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A454F">
      <w:pPr>
        <w:rPr>
          <w:rFonts w:hint="eastAsia" w:ascii="宋体" w:hAnsi="宋体" w:cs="宋体"/>
        </w:rPr>
      </w:pPr>
    </w:p>
    <w:p w14:paraId="77A07F0D">
      <w:pPr>
        <w:rPr>
          <w:rFonts w:ascii="宋体" w:hAnsi="宋体" w:cs="宋体"/>
        </w:rPr>
      </w:pPr>
    </w:p>
    <w:p w14:paraId="05217C2D">
      <w:pPr>
        <w:rPr>
          <w:rFonts w:ascii="宋体" w:hAnsi="宋体" w:cs="宋体"/>
        </w:rPr>
      </w:pPr>
    </w:p>
    <w:p w14:paraId="5491B10D">
      <w:pPr>
        <w:pStyle w:val="24"/>
        <w:spacing w:after="0" w:line="1300" w:lineRule="exact"/>
        <w:ind w:left="0" w:leftChars="0" w:firstLine="0" w:firstLineChars="0"/>
        <w:jc w:val="center"/>
        <w:rPr>
          <w:rFonts w:ascii="宋体" w:hAnsi="宋体" w:cs="宋体"/>
          <w:b/>
          <w:bCs/>
          <w:sz w:val="96"/>
          <w:szCs w:val="96"/>
        </w:rPr>
      </w:pPr>
      <w:r>
        <w:rPr>
          <w:rFonts w:hint="eastAsia" w:ascii="Times New Roman" w:hAnsi="Times New Roman"/>
          <w:b/>
          <w:bCs/>
          <w:sz w:val="96"/>
          <w:szCs w:val="96"/>
        </w:rPr>
        <w:t>政府采购</w:t>
      </w:r>
      <w:r>
        <w:rPr>
          <w:rFonts w:hint="eastAsia" w:ascii="宋体" w:hAnsi="宋体" w:cs="宋体"/>
          <w:b/>
          <w:bCs/>
          <w:sz w:val="96"/>
          <w:szCs w:val="96"/>
        </w:rPr>
        <w:t>文件</w:t>
      </w:r>
    </w:p>
    <w:p w14:paraId="129D1E22">
      <w:pPr>
        <w:jc w:val="center"/>
        <w:rPr>
          <w:rFonts w:ascii="宋体" w:hAnsi="宋体" w:cs="宋体"/>
          <w:sz w:val="44"/>
          <w:szCs w:val="44"/>
        </w:rPr>
      </w:pPr>
      <w:r>
        <w:rPr>
          <w:rFonts w:hint="eastAsia" w:ascii="宋体" w:hAnsi="宋体" w:cs="宋体"/>
          <w:sz w:val="52"/>
          <w:szCs w:val="52"/>
        </w:rPr>
        <w:t>【服务类】</w:t>
      </w:r>
    </w:p>
    <w:p w14:paraId="01ED8B47">
      <w:pPr>
        <w:pStyle w:val="24"/>
        <w:ind w:left="0" w:leftChars="0" w:firstLine="0" w:firstLineChars="0"/>
        <w:rPr>
          <w:rFonts w:ascii="宋体" w:hAnsi="宋体" w:cs="宋体"/>
        </w:rPr>
      </w:pPr>
      <w:r>
        <w:rPr>
          <w:rFonts w:hint="eastAsia" w:ascii="宋体" w:hAnsi="宋体" w:cs="宋体"/>
        </w:rPr>
        <w:t xml:space="preserve"> </w:t>
      </w:r>
    </w:p>
    <w:p w14:paraId="24EDA069">
      <w:pPr>
        <w:pStyle w:val="24"/>
        <w:ind w:left="0" w:leftChars="0" w:firstLine="0" w:firstLineChars="0"/>
        <w:jc w:val="center"/>
        <w:rPr>
          <w:rFonts w:hint="eastAsia" w:ascii="宋体" w:hAnsi="宋体" w:eastAsia="宋体" w:cs="宋体"/>
          <w:b/>
          <w:sz w:val="44"/>
          <w:szCs w:val="44"/>
          <w:lang w:eastAsia="zh-CN"/>
        </w:rPr>
      </w:pPr>
      <w:r>
        <w:rPr>
          <w:rFonts w:hint="eastAsia" w:ascii="宋体" w:hAnsi="宋体" w:cs="宋体"/>
          <w:b/>
          <w:sz w:val="44"/>
          <w:szCs w:val="44"/>
        </w:rPr>
        <w:t>项目编号：</w:t>
      </w:r>
      <w:r>
        <w:rPr>
          <w:rFonts w:hint="eastAsia" w:ascii="宋体" w:hAnsi="宋体" w:cs="宋体"/>
          <w:b/>
          <w:sz w:val="44"/>
          <w:szCs w:val="44"/>
          <w:lang w:eastAsia="zh-CN"/>
        </w:rPr>
        <w:t>3324-DH2531F1019</w:t>
      </w:r>
    </w:p>
    <w:p w14:paraId="0FDF7300">
      <w:pPr>
        <w:pStyle w:val="24"/>
        <w:ind w:left="0" w:leftChars="0" w:firstLine="0" w:firstLineChars="0"/>
        <w:jc w:val="center"/>
        <w:rPr>
          <w:rFonts w:hint="eastAsia" w:ascii="宋体" w:hAnsi="宋体" w:eastAsia="宋体" w:cs="宋体"/>
          <w:b/>
          <w:sz w:val="44"/>
          <w:szCs w:val="44"/>
          <w:lang w:eastAsia="zh-CN"/>
        </w:rPr>
      </w:pPr>
      <w:r>
        <w:rPr>
          <w:rFonts w:hint="eastAsia" w:ascii="宋体" w:hAnsi="宋体" w:cs="宋体"/>
          <w:b/>
          <w:sz w:val="44"/>
          <w:szCs w:val="44"/>
        </w:rPr>
        <w:t>项目名称：</w:t>
      </w:r>
      <w:r>
        <w:rPr>
          <w:rFonts w:hint="eastAsia" w:ascii="宋体" w:hAnsi="宋体" w:cs="宋体"/>
          <w:b/>
          <w:sz w:val="44"/>
          <w:szCs w:val="44"/>
          <w:lang w:eastAsia="zh-CN"/>
        </w:rPr>
        <w:t>深圳市文化广电旅游体育2024年度局属各单位运营情况、年度经营情况及合法合规性审计工作</w:t>
      </w:r>
      <w:bookmarkStart w:id="249" w:name="_GoBack"/>
      <w:bookmarkEnd w:id="249"/>
      <w:r>
        <w:rPr>
          <w:rFonts w:hint="eastAsia" w:ascii="宋体" w:hAnsi="宋体" w:cs="宋体"/>
          <w:b/>
          <w:sz w:val="44"/>
          <w:szCs w:val="44"/>
          <w:lang w:eastAsia="zh-CN"/>
        </w:rPr>
        <w:t>服务项目</w:t>
      </w:r>
    </w:p>
    <w:p w14:paraId="053E27B6">
      <w:pPr>
        <w:jc w:val="center"/>
        <w:rPr>
          <w:rFonts w:ascii="宋体" w:hAnsi="宋体" w:cs="宋体"/>
          <w:b/>
          <w:sz w:val="44"/>
          <w:szCs w:val="44"/>
        </w:rPr>
      </w:pPr>
    </w:p>
    <w:p w14:paraId="67E83BB8">
      <w:pPr>
        <w:pStyle w:val="24"/>
        <w:rPr>
          <w:rFonts w:ascii="宋体" w:hAnsi="宋体" w:cs="宋体"/>
        </w:rPr>
      </w:pPr>
      <w:r>
        <w:rPr>
          <w:rFonts w:hint="eastAsia" w:ascii="宋体" w:hAnsi="宋体" w:cs="宋体"/>
        </w:rPr>
        <w:drawing>
          <wp:anchor distT="0" distB="0" distL="114300" distR="114300" simplePos="0" relativeHeight="251659264" behindDoc="1" locked="0" layoutInCell="1" allowOverlap="1">
            <wp:simplePos x="0" y="0"/>
            <wp:positionH relativeFrom="column">
              <wp:posOffset>1248410</wp:posOffset>
            </wp:positionH>
            <wp:positionV relativeFrom="paragraph">
              <wp:posOffset>170815</wp:posOffset>
            </wp:positionV>
            <wp:extent cx="2633980" cy="2094230"/>
            <wp:effectExtent l="0" t="0" r="13970" b="1270"/>
            <wp:wrapTight wrapText="bothSides">
              <wp:wrapPolygon>
                <wp:start x="0" y="0"/>
                <wp:lineTo x="0" y="21417"/>
                <wp:lineTo x="21402" y="21417"/>
                <wp:lineTo x="21402" y="0"/>
                <wp:lineTo x="0" y="0"/>
              </wp:wrapPolygon>
            </wp:wrapTight>
            <wp:docPr id="1"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logo"/>
                    <pic:cNvPicPr>
                      <a:picLocks noChangeAspect="1"/>
                    </pic:cNvPicPr>
                  </pic:nvPicPr>
                  <pic:blipFill>
                    <a:blip r:embed="rId8"/>
                    <a:stretch>
                      <a:fillRect/>
                    </a:stretch>
                  </pic:blipFill>
                  <pic:spPr>
                    <a:xfrm>
                      <a:off x="0" y="0"/>
                      <a:ext cx="2633980" cy="2094230"/>
                    </a:xfrm>
                    <a:prstGeom prst="rect">
                      <a:avLst/>
                    </a:prstGeom>
                    <a:noFill/>
                    <a:ln>
                      <a:noFill/>
                    </a:ln>
                  </pic:spPr>
                </pic:pic>
              </a:graphicData>
            </a:graphic>
          </wp:anchor>
        </w:drawing>
      </w:r>
    </w:p>
    <w:p w14:paraId="09CD5BC1">
      <w:pPr>
        <w:jc w:val="center"/>
        <w:rPr>
          <w:rFonts w:ascii="宋体" w:hAnsi="宋体" w:cs="宋体"/>
          <w:b/>
          <w:sz w:val="52"/>
          <w:szCs w:val="52"/>
        </w:rPr>
      </w:pPr>
    </w:p>
    <w:p w14:paraId="35A30C4B">
      <w:pPr>
        <w:rPr>
          <w:rFonts w:ascii="宋体" w:hAnsi="宋体" w:cs="宋体"/>
          <w:b/>
          <w:sz w:val="52"/>
          <w:szCs w:val="52"/>
        </w:rPr>
      </w:pPr>
    </w:p>
    <w:p w14:paraId="64411BCB">
      <w:pPr>
        <w:rPr>
          <w:rFonts w:ascii="宋体" w:hAnsi="宋体" w:cs="宋体"/>
          <w:sz w:val="52"/>
          <w:szCs w:val="52"/>
        </w:rPr>
      </w:pPr>
    </w:p>
    <w:p w14:paraId="7CE685CE">
      <w:pPr>
        <w:rPr>
          <w:rFonts w:ascii="宋体" w:hAnsi="宋体" w:cs="宋体"/>
          <w:b/>
          <w:sz w:val="44"/>
          <w:szCs w:val="44"/>
        </w:rPr>
      </w:pPr>
    </w:p>
    <w:p w14:paraId="14C0CD46">
      <w:pPr>
        <w:jc w:val="center"/>
        <w:rPr>
          <w:rFonts w:ascii="宋体" w:hAnsi="宋体" w:cs="宋体"/>
          <w:b/>
          <w:sz w:val="44"/>
          <w:szCs w:val="44"/>
        </w:rPr>
      </w:pPr>
    </w:p>
    <w:p w14:paraId="6A2BA482">
      <w:pPr>
        <w:jc w:val="center"/>
        <w:rPr>
          <w:rFonts w:ascii="宋体" w:hAnsi="宋体" w:cs="宋体"/>
          <w:b/>
          <w:sz w:val="44"/>
          <w:szCs w:val="44"/>
        </w:rPr>
      </w:pPr>
      <w:r>
        <w:rPr>
          <w:rFonts w:hint="eastAsia" w:ascii="宋体" w:hAnsi="宋体" w:cs="宋体"/>
          <w:b/>
          <w:sz w:val="44"/>
          <w:szCs w:val="44"/>
        </w:rPr>
        <w:t>深圳市东海国际招标有限公司</w:t>
      </w:r>
    </w:p>
    <w:p w14:paraId="739EE276">
      <w:pPr>
        <w:pStyle w:val="24"/>
        <w:rPr>
          <w:rFonts w:ascii="宋体" w:hAnsi="宋体" w:cs="宋体"/>
        </w:rPr>
      </w:pPr>
    </w:p>
    <w:p w14:paraId="3FF8A69D">
      <w:pPr>
        <w:jc w:val="center"/>
        <w:rPr>
          <w:rFonts w:ascii="宋体" w:hAnsi="宋体" w:cs="宋体"/>
          <w:b/>
          <w:snapToGrid w:val="0"/>
          <w:sz w:val="44"/>
          <w:szCs w:val="44"/>
        </w:rPr>
      </w:pPr>
      <w:r>
        <w:rPr>
          <w:rFonts w:hint="eastAsia" w:ascii="宋体" w:hAnsi="宋体" w:cs="宋体"/>
          <w:b/>
          <w:bCs/>
          <w:sz w:val="44"/>
          <w:szCs w:val="44"/>
        </w:rPr>
        <w:t>二〇二</w:t>
      </w:r>
      <w:r>
        <w:rPr>
          <w:rFonts w:hint="eastAsia" w:ascii="宋体" w:hAnsi="宋体" w:cs="宋体"/>
          <w:b/>
          <w:bCs/>
          <w:sz w:val="44"/>
          <w:szCs w:val="44"/>
          <w:lang w:eastAsia="zh-CN"/>
        </w:rPr>
        <w:t>五</w:t>
      </w:r>
      <w:r>
        <w:rPr>
          <w:rFonts w:hint="eastAsia" w:ascii="宋体" w:hAnsi="宋体" w:cs="宋体"/>
          <w:b/>
          <w:bCs/>
          <w:sz w:val="44"/>
          <w:szCs w:val="44"/>
        </w:rPr>
        <w:t xml:space="preserve">年 </w:t>
      </w:r>
      <w:r>
        <w:rPr>
          <w:rFonts w:hint="eastAsia" w:ascii="宋体" w:hAnsi="宋体" w:cs="宋体"/>
          <w:b/>
          <w:snapToGrid w:val="0"/>
          <w:sz w:val="44"/>
          <w:szCs w:val="44"/>
        </w:rPr>
        <w:t>· 中国深圳</w:t>
      </w:r>
    </w:p>
    <w:p w14:paraId="7909D23A">
      <w:pPr>
        <w:pStyle w:val="3"/>
        <w:bidi w:val="0"/>
        <w:rPr>
          <w:rFonts w:hint="eastAsia"/>
        </w:rPr>
      </w:pPr>
      <w:r>
        <w:rPr>
          <w:rFonts w:hint="eastAsia" w:ascii="宋体" w:hAnsi="宋体" w:cs="宋体"/>
          <w:b/>
          <w:snapToGrid w:val="0"/>
          <w:sz w:val="44"/>
        </w:rPr>
        <w:br w:type="page"/>
      </w:r>
      <w:r>
        <w:rPr>
          <w:rFonts w:hint="eastAsia"/>
          <w:lang w:val="en-US" w:eastAsia="zh-CN"/>
        </w:rPr>
        <w:t>特别</w:t>
      </w:r>
      <w:r>
        <w:rPr>
          <w:rFonts w:hint="eastAsia"/>
        </w:rPr>
        <w:t>警示条款</w:t>
      </w:r>
    </w:p>
    <w:p w14:paraId="2F3D3E16">
      <w:pPr>
        <w:pBdr>
          <w:top w:val="none" w:color="auto" w:sz="0" w:space="1"/>
          <w:left w:val="none" w:color="auto" w:sz="0" w:space="4"/>
          <w:bottom w:val="none" w:color="auto" w:sz="0" w:space="1"/>
          <w:right w:val="none" w:color="auto" w:sz="0" w:space="4"/>
        </w:pBdr>
        <w:spacing w:after="240" w:afterLines="100" w:line="400" w:lineRule="exact"/>
        <w:ind w:firstLine="422" w:firstLineChars="200"/>
        <w:rPr>
          <w:rFonts w:hint="eastAsia" w:ascii="宋体" w:hAnsi="宋体" w:eastAsia="宋体" w:cs="宋体"/>
          <w:b/>
          <w:bCs/>
          <w:color w:val="FF0000"/>
          <w:szCs w:val="21"/>
          <w:highlight w:val="yellow"/>
        </w:rPr>
      </w:pPr>
      <w:r>
        <w:rPr>
          <w:rFonts w:hint="eastAsia" w:ascii="宋体" w:hAnsi="宋体" w:eastAsia="宋体" w:cs="宋体"/>
          <w:b/>
          <w:bCs/>
          <w:color w:val="FF0000"/>
          <w:szCs w:val="21"/>
          <w:highlight w:val="yellow"/>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4812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vAlign w:val="center"/>
          </w:tcPr>
          <w:p w14:paraId="68026BEA">
            <w:pPr>
              <w:pBdr>
                <w:top w:val="none" w:color="auto" w:sz="0" w:space="1"/>
                <w:left w:val="none" w:color="auto" w:sz="0" w:space="4"/>
                <w:bottom w:val="none" w:color="auto" w:sz="0" w:space="1"/>
                <w:right w:val="none" w:color="auto" w:sz="0" w:space="4"/>
              </w:pBd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7711" w:type="dxa"/>
            <w:tcBorders>
              <w:tl2br w:val="nil"/>
              <w:tr2bl w:val="nil"/>
            </w:tcBorders>
            <w:vAlign w:val="center"/>
          </w:tcPr>
          <w:p w14:paraId="63F88431">
            <w:pPr>
              <w:pBdr>
                <w:top w:val="none" w:color="auto" w:sz="0" w:space="1"/>
                <w:left w:val="none" w:color="auto" w:sz="0" w:space="4"/>
                <w:bottom w:val="none" w:color="auto" w:sz="0" w:space="1"/>
                <w:right w:val="none" w:color="auto" w:sz="0" w:space="4"/>
              </w:pBdr>
              <w:spacing w:line="400" w:lineRule="exact"/>
              <w:jc w:val="center"/>
              <w:rPr>
                <w:rFonts w:hint="eastAsia" w:ascii="宋体" w:hAnsi="宋体" w:eastAsia="宋体" w:cs="宋体"/>
                <w:color w:val="FF0000"/>
                <w:szCs w:val="21"/>
              </w:rPr>
            </w:pPr>
            <w:r>
              <w:rPr>
                <w:rFonts w:hint="eastAsia" w:ascii="宋体" w:hAnsi="宋体" w:eastAsia="宋体" w:cs="宋体"/>
                <w:b/>
                <w:bCs/>
                <w:color w:val="FF0000"/>
                <w:szCs w:val="21"/>
              </w:rPr>
              <w:t>供应商参与投标禁止情形</w:t>
            </w:r>
          </w:p>
        </w:tc>
      </w:tr>
      <w:tr w14:paraId="717F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14:paraId="2811954E">
            <w:pPr>
              <w:pBdr>
                <w:top w:val="none" w:color="auto" w:sz="0" w:space="1"/>
                <w:left w:val="none" w:color="auto" w:sz="0" w:space="4"/>
                <w:bottom w:val="none" w:color="auto" w:sz="0" w:space="1"/>
                <w:right w:val="none" w:color="auto" w:sz="0" w:space="4"/>
              </w:pBd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7711" w:type="dxa"/>
            <w:tcBorders>
              <w:tl2br w:val="nil"/>
              <w:tr2bl w:val="nil"/>
            </w:tcBorders>
            <w:vAlign w:val="center"/>
          </w:tcPr>
          <w:p w14:paraId="1D79B5E2">
            <w:pPr>
              <w:pBdr>
                <w:top w:val="none" w:color="auto" w:sz="0" w:space="1"/>
                <w:left w:val="none" w:color="auto" w:sz="0" w:space="4"/>
                <w:bottom w:val="none" w:color="auto" w:sz="0" w:space="1"/>
                <w:right w:val="none" w:color="auto" w:sz="0" w:space="4"/>
              </w:pBdr>
              <w:spacing w:line="400" w:lineRule="exact"/>
              <w:jc w:val="left"/>
              <w:rPr>
                <w:rFonts w:hint="eastAsia" w:ascii="宋体" w:hAnsi="宋体" w:eastAsia="宋体" w:cs="宋体"/>
                <w:color w:val="FF0000"/>
                <w:szCs w:val="21"/>
              </w:rPr>
            </w:pPr>
            <w:r>
              <w:rPr>
                <w:rFonts w:hint="eastAsia" w:ascii="宋体" w:hAnsi="宋体" w:eastAsia="宋体" w:cs="宋体"/>
                <w:color w:val="FF0000"/>
                <w:szCs w:val="21"/>
              </w:rPr>
              <w:t>与其他投标供应商的法定代表人、主要经营负责人、投标授权代表人、项目负责人、主要技术人员为</w:t>
            </w:r>
            <w:r>
              <w:rPr>
                <w:rFonts w:hint="eastAsia" w:ascii="宋体" w:hAnsi="宋体" w:eastAsia="宋体" w:cs="宋体"/>
                <w:b/>
                <w:bCs/>
                <w:color w:val="FF0000"/>
                <w:szCs w:val="21"/>
              </w:rPr>
              <w:t>同一人、属同一单位或者在同一单位缴纳社会保险</w:t>
            </w:r>
            <w:r>
              <w:rPr>
                <w:rFonts w:hint="eastAsia" w:ascii="宋体" w:hAnsi="宋体" w:eastAsia="宋体" w:cs="宋体"/>
                <w:color w:val="FF0000"/>
                <w:szCs w:val="21"/>
              </w:rPr>
              <w:t>。</w:t>
            </w:r>
          </w:p>
        </w:tc>
      </w:tr>
      <w:tr w14:paraId="24C2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vAlign w:val="center"/>
          </w:tcPr>
          <w:p w14:paraId="26B23E5B">
            <w:pPr>
              <w:pBdr>
                <w:top w:val="none" w:color="auto" w:sz="0" w:space="1"/>
                <w:left w:val="none" w:color="auto" w:sz="0" w:space="4"/>
                <w:bottom w:val="none" w:color="auto" w:sz="0" w:space="1"/>
                <w:right w:val="none" w:color="auto" w:sz="0" w:space="4"/>
              </w:pBd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7711" w:type="dxa"/>
            <w:tcBorders>
              <w:tl2br w:val="nil"/>
              <w:tr2bl w:val="nil"/>
            </w:tcBorders>
            <w:vAlign w:val="center"/>
          </w:tcPr>
          <w:p w14:paraId="577EC242">
            <w:pPr>
              <w:pBdr>
                <w:top w:val="none" w:color="auto" w:sz="0" w:space="1"/>
                <w:left w:val="none" w:color="auto" w:sz="0" w:space="4"/>
                <w:bottom w:val="none" w:color="auto" w:sz="0" w:space="1"/>
                <w:right w:val="none" w:color="auto" w:sz="0" w:space="4"/>
              </w:pBdr>
              <w:spacing w:line="400" w:lineRule="exact"/>
              <w:jc w:val="left"/>
              <w:rPr>
                <w:rFonts w:hint="eastAsia" w:ascii="宋体" w:hAnsi="宋体" w:eastAsia="宋体" w:cs="宋体"/>
                <w:color w:val="FF0000"/>
                <w:szCs w:val="21"/>
              </w:rPr>
            </w:pPr>
            <w:r>
              <w:rPr>
                <w:rFonts w:hint="eastAsia" w:ascii="宋体" w:hAnsi="宋体" w:eastAsia="宋体" w:cs="宋体"/>
                <w:color w:val="FF0000"/>
                <w:szCs w:val="21"/>
              </w:rPr>
              <w:t>参与本项目政府采购活动时，与其他投标供应商存在单位负责人为</w:t>
            </w:r>
            <w:r>
              <w:rPr>
                <w:rFonts w:hint="eastAsia" w:ascii="宋体" w:hAnsi="宋体" w:eastAsia="宋体" w:cs="宋体"/>
                <w:b/>
                <w:bCs/>
                <w:color w:val="FF0000"/>
                <w:szCs w:val="21"/>
              </w:rPr>
              <w:t>同一人或直接控股、管理关系</w:t>
            </w:r>
            <w:r>
              <w:rPr>
                <w:rFonts w:hint="eastAsia" w:ascii="宋体" w:hAnsi="宋体" w:eastAsia="宋体" w:cs="宋体"/>
                <w:color w:val="FF0000"/>
                <w:szCs w:val="21"/>
              </w:rPr>
              <w:t>。</w:t>
            </w:r>
          </w:p>
        </w:tc>
      </w:tr>
      <w:tr w14:paraId="055F2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14:paraId="58803A0B">
            <w:pPr>
              <w:pBdr>
                <w:top w:val="none" w:color="auto" w:sz="0" w:space="1"/>
                <w:left w:val="none" w:color="auto" w:sz="0" w:space="4"/>
                <w:bottom w:val="none" w:color="auto" w:sz="0" w:space="1"/>
                <w:right w:val="none" w:color="auto" w:sz="0" w:space="4"/>
              </w:pBd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7711" w:type="dxa"/>
            <w:tcBorders>
              <w:tl2br w:val="nil"/>
              <w:tr2bl w:val="nil"/>
            </w:tcBorders>
            <w:vAlign w:val="center"/>
          </w:tcPr>
          <w:p w14:paraId="4E7FACB8">
            <w:pPr>
              <w:pBdr>
                <w:top w:val="none" w:color="auto" w:sz="0" w:space="1"/>
                <w:left w:val="none" w:color="auto" w:sz="0" w:space="4"/>
                <w:bottom w:val="none" w:color="auto" w:sz="0" w:space="1"/>
                <w:right w:val="none" w:color="auto" w:sz="0" w:space="4"/>
              </w:pBdr>
              <w:spacing w:line="400" w:lineRule="exact"/>
              <w:jc w:val="left"/>
              <w:rPr>
                <w:rFonts w:hint="eastAsia" w:ascii="宋体" w:hAnsi="宋体" w:eastAsia="宋体" w:cs="宋体"/>
                <w:color w:val="FF0000"/>
                <w:szCs w:val="21"/>
              </w:rPr>
            </w:pPr>
            <w:r>
              <w:rPr>
                <w:rFonts w:hint="eastAsia" w:ascii="宋体" w:hAnsi="宋体" w:eastAsia="宋体" w:cs="宋体"/>
                <w:color w:val="FF0000"/>
                <w:szCs w:val="21"/>
              </w:rPr>
              <w:t>与其他投标供应商的投标文件或部分投标文件</w:t>
            </w:r>
            <w:r>
              <w:rPr>
                <w:rFonts w:hint="eastAsia" w:ascii="宋体" w:hAnsi="宋体" w:eastAsia="宋体" w:cs="宋体"/>
                <w:b/>
                <w:bCs/>
                <w:color w:val="FF0000"/>
                <w:szCs w:val="21"/>
              </w:rPr>
              <w:t>相互混装或存在非正常一致</w:t>
            </w:r>
            <w:r>
              <w:rPr>
                <w:rFonts w:hint="eastAsia" w:ascii="宋体" w:hAnsi="宋体" w:eastAsia="宋体" w:cs="宋体"/>
                <w:color w:val="FF0000"/>
                <w:szCs w:val="21"/>
              </w:rPr>
              <w:t>。</w:t>
            </w:r>
          </w:p>
        </w:tc>
      </w:tr>
      <w:tr w14:paraId="3721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vAlign w:val="center"/>
          </w:tcPr>
          <w:p w14:paraId="380B642F">
            <w:pPr>
              <w:pBdr>
                <w:top w:val="none" w:color="auto" w:sz="0" w:space="1"/>
                <w:left w:val="none" w:color="auto" w:sz="0" w:space="4"/>
                <w:bottom w:val="none" w:color="auto" w:sz="0" w:space="1"/>
                <w:right w:val="none" w:color="auto" w:sz="0" w:space="4"/>
              </w:pBd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7711" w:type="dxa"/>
            <w:tcBorders>
              <w:tl2br w:val="nil"/>
              <w:tr2bl w:val="nil"/>
            </w:tcBorders>
            <w:vAlign w:val="center"/>
          </w:tcPr>
          <w:p w14:paraId="792B82F3">
            <w:pPr>
              <w:pBdr>
                <w:top w:val="none" w:color="auto" w:sz="0" w:space="1"/>
                <w:left w:val="none" w:color="auto" w:sz="0" w:space="4"/>
                <w:bottom w:val="none" w:color="auto" w:sz="0" w:space="1"/>
                <w:right w:val="none" w:color="auto" w:sz="0" w:space="4"/>
              </w:pBdr>
              <w:spacing w:line="400" w:lineRule="exact"/>
              <w:jc w:val="left"/>
              <w:rPr>
                <w:rFonts w:hint="eastAsia" w:ascii="宋体" w:hAnsi="宋体" w:eastAsia="宋体" w:cs="宋体"/>
                <w:color w:val="FF0000"/>
                <w:szCs w:val="21"/>
              </w:rPr>
            </w:pPr>
            <w:r>
              <w:rPr>
                <w:rFonts w:hint="eastAsia" w:ascii="宋体" w:hAnsi="宋体" w:eastAsia="宋体" w:cs="宋体"/>
                <w:color w:val="FF0000"/>
                <w:szCs w:val="21"/>
              </w:rPr>
              <w:t>与其他投标供应商的投标文件由</w:t>
            </w:r>
            <w:r>
              <w:rPr>
                <w:rFonts w:hint="eastAsia" w:ascii="宋体" w:hAnsi="宋体" w:eastAsia="宋体" w:cs="宋体"/>
                <w:b/>
                <w:bCs/>
                <w:color w:val="FF0000"/>
                <w:szCs w:val="21"/>
              </w:rPr>
              <w:t>同一单位或者同一人编制</w:t>
            </w:r>
            <w:r>
              <w:rPr>
                <w:rFonts w:hint="eastAsia" w:ascii="宋体" w:hAnsi="宋体" w:eastAsia="宋体" w:cs="宋体"/>
                <w:color w:val="FF0000"/>
                <w:szCs w:val="21"/>
              </w:rPr>
              <w:t>，或者使用</w:t>
            </w:r>
            <w:r>
              <w:rPr>
                <w:rFonts w:hint="eastAsia" w:ascii="宋体" w:hAnsi="宋体" w:eastAsia="宋体" w:cs="宋体"/>
                <w:b/>
                <w:bCs/>
                <w:color w:val="FF0000"/>
                <w:szCs w:val="21"/>
              </w:rPr>
              <w:t>同一设备编制</w:t>
            </w:r>
            <w:r>
              <w:rPr>
                <w:rFonts w:hint="eastAsia" w:ascii="宋体" w:hAnsi="宋体" w:eastAsia="宋体" w:cs="宋体"/>
                <w:color w:val="FF0000"/>
                <w:szCs w:val="21"/>
              </w:rPr>
              <w:t>（“文件制作机器码”“文件创建标识码”一致）。</w:t>
            </w:r>
          </w:p>
        </w:tc>
      </w:tr>
      <w:tr w14:paraId="0A1A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vAlign w:val="center"/>
          </w:tcPr>
          <w:p w14:paraId="5EAA59A4">
            <w:pPr>
              <w:pBdr>
                <w:top w:val="none" w:color="auto" w:sz="0" w:space="1"/>
                <w:left w:val="none" w:color="auto" w:sz="0" w:space="4"/>
                <w:bottom w:val="none" w:color="auto" w:sz="0" w:space="1"/>
                <w:right w:val="none" w:color="auto" w:sz="0" w:space="4"/>
              </w:pBd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7711" w:type="dxa"/>
            <w:tcBorders>
              <w:tl2br w:val="nil"/>
              <w:tr2bl w:val="nil"/>
            </w:tcBorders>
            <w:vAlign w:val="center"/>
          </w:tcPr>
          <w:p w14:paraId="61E97B00">
            <w:pPr>
              <w:pBdr>
                <w:top w:val="none" w:color="auto" w:sz="0" w:space="1"/>
                <w:left w:val="none" w:color="auto" w:sz="0" w:space="4"/>
                <w:bottom w:val="none" w:color="auto" w:sz="0" w:space="1"/>
                <w:right w:val="none" w:color="auto" w:sz="0" w:space="4"/>
              </w:pBdr>
              <w:spacing w:line="400" w:lineRule="exact"/>
              <w:jc w:val="left"/>
              <w:rPr>
                <w:rFonts w:hint="eastAsia" w:ascii="宋体" w:hAnsi="宋体" w:eastAsia="宋体" w:cs="宋体"/>
                <w:color w:val="FF0000"/>
                <w:szCs w:val="21"/>
              </w:rPr>
            </w:pPr>
            <w:r>
              <w:rPr>
                <w:rFonts w:hint="eastAsia" w:ascii="宋体" w:hAnsi="宋体" w:eastAsia="宋体" w:cs="宋体"/>
                <w:color w:val="FF0000"/>
                <w:szCs w:val="21"/>
              </w:rPr>
              <w:t>提供</w:t>
            </w:r>
            <w:r>
              <w:rPr>
                <w:rFonts w:hint="eastAsia" w:ascii="宋体" w:hAnsi="宋体" w:eastAsia="宋体" w:cs="宋体"/>
                <w:b/>
                <w:bCs/>
                <w:color w:val="FF0000"/>
                <w:szCs w:val="21"/>
              </w:rPr>
              <w:t>未经出具机构核实</w:t>
            </w:r>
            <w:r>
              <w:rPr>
                <w:rFonts w:hint="eastAsia" w:ascii="宋体" w:hAnsi="宋体" w:eastAsia="宋体" w:cs="宋体"/>
                <w:color w:val="FF0000"/>
                <w:szCs w:val="21"/>
              </w:rPr>
              <w:t>的虚假的检验检测报告、业绩材料、社保缴纳证明、学历学位证书、职称认证证书等材料。</w:t>
            </w:r>
          </w:p>
        </w:tc>
      </w:tr>
      <w:tr w14:paraId="6B6D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vAlign w:val="center"/>
          </w:tcPr>
          <w:p w14:paraId="00C155AF">
            <w:pPr>
              <w:pBdr>
                <w:top w:val="none" w:color="auto" w:sz="0" w:space="1"/>
                <w:left w:val="none" w:color="auto" w:sz="0" w:space="4"/>
                <w:bottom w:val="none" w:color="auto" w:sz="0" w:space="1"/>
                <w:right w:val="none" w:color="auto" w:sz="0" w:space="4"/>
              </w:pBd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7711" w:type="dxa"/>
            <w:tcBorders>
              <w:tl2br w:val="nil"/>
              <w:tr2bl w:val="nil"/>
            </w:tcBorders>
            <w:vAlign w:val="center"/>
          </w:tcPr>
          <w:p w14:paraId="02B333A5">
            <w:pPr>
              <w:pBdr>
                <w:top w:val="none" w:color="auto" w:sz="0" w:space="1"/>
                <w:left w:val="none" w:color="auto" w:sz="0" w:space="4"/>
                <w:bottom w:val="none" w:color="auto" w:sz="0" w:space="1"/>
                <w:right w:val="none" w:color="auto" w:sz="0" w:space="4"/>
              </w:pBdr>
              <w:spacing w:line="400" w:lineRule="exact"/>
              <w:jc w:val="left"/>
              <w:rPr>
                <w:rFonts w:hint="eastAsia" w:ascii="宋体" w:hAnsi="宋体" w:eastAsia="宋体" w:cs="宋体"/>
                <w:color w:val="FF0000"/>
                <w:szCs w:val="21"/>
              </w:rPr>
            </w:pPr>
            <w:r>
              <w:rPr>
                <w:rFonts w:hint="eastAsia" w:ascii="宋体" w:hAnsi="宋体" w:eastAsia="宋体" w:cs="宋体"/>
                <w:color w:val="FF0000"/>
                <w:szCs w:val="21"/>
              </w:rPr>
              <w:t>擅自将投标密钥或电子营业执照出借他人使用或未妥善保管。</w:t>
            </w:r>
          </w:p>
        </w:tc>
      </w:tr>
    </w:tbl>
    <w:p w14:paraId="333F9CC0">
      <w:pPr>
        <w:ind w:firstLine="420" w:firstLineChars="200"/>
        <w:rPr>
          <w:rFonts w:hint="eastAsia" w:ascii="宋体" w:hAnsi="宋体"/>
          <w:szCs w:val="21"/>
        </w:rPr>
      </w:pPr>
    </w:p>
    <w:p w14:paraId="5EDE48B0">
      <w:pPr>
        <w:ind w:firstLine="420" w:firstLineChars="200"/>
        <w:rPr>
          <w:rFonts w:ascii="宋体" w:hAnsi="宋体"/>
          <w:szCs w:val="21"/>
        </w:rPr>
      </w:pPr>
      <w:r>
        <w:rPr>
          <w:rFonts w:hint="eastAsia" w:ascii="宋体" w:hAnsi="宋体"/>
          <w:szCs w:val="21"/>
        </w:rPr>
        <w:t>一、</w:t>
      </w:r>
      <w:r>
        <w:rPr>
          <w:rFonts w:hint="eastAsia" w:ascii="宋体" w:hAnsi="宋体"/>
          <w:b/>
          <w:bCs/>
          <w:szCs w:val="21"/>
        </w:rPr>
        <w:t>《深圳经济特区政府采购条例》第五十七条</w:t>
      </w:r>
      <w:r>
        <w:rPr>
          <w:rFonts w:hint="eastAsia" w:ascii="宋体" w:hAnsi="宋体"/>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50BF9E1">
      <w:pPr>
        <w:ind w:firstLine="420" w:firstLineChars="200"/>
        <w:rPr>
          <w:rFonts w:ascii="宋体" w:hAnsi="宋体"/>
          <w:szCs w:val="21"/>
        </w:rPr>
      </w:pPr>
      <w:r>
        <w:rPr>
          <w:rFonts w:hint="eastAsia" w:ascii="宋体" w:hAnsi="宋体"/>
          <w:szCs w:val="21"/>
        </w:rPr>
        <w:t>（一）在采购活动中应当回避而未回避的；</w:t>
      </w:r>
    </w:p>
    <w:p w14:paraId="530D3562">
      <w:pPr>
        <w:ind w:firstLine="420" w:firstLineChars="200"/>
        <w:rPr>
          <w:rFonts w:ascii="宋体" w:hAnsi="宋体"/>
          <w:szCs w:val="21"/>
        </w:rPr>
      </w:pPr>
      <w:r>
        <w:rPr>
          <w:rFonts w:hint="eastAsia" w:ascii="宋体" w:hAnsi="宋体"/>
          <w:szCs w:val="21"/>
        </w:rPr>
        <w:t>（二）未按本条例规定签订、履行采购合同，造成严重后果的；</w:t>
      </w:r>
    </w:p>
    <w:p w14:paraId="11461EF6">
      <w:pPr>
        <w:ind w:firstLine="420" w:firstLineChars="200"/>
        <w:rPr>
          <w:rFonts w:ascii="宋体" w:hAnsi="宋体"/>
          <w:szCs w:val="21"/>
        </w:rPr>
      </w:pPr>
      <w:r>
        <w:rPr>
          <w:rFonts w:hint="eastAsia" w:ascii="宋体" w:hAnsi="宋体"/>
          <w:szCs w:val="21"/>
        </w:rPr>
        <w:t>（三）隐瞒真实情况，提供虚假资料的；</w:t>
      </w:r>
    </w:p>
    <w:p w14:paraId="69E1E770">
      <w:pPr>
        <w:ind w:firstLine="420" w:firstLineChars="200"/>
        <w:rPr>
          <w:rFonts w:ascii="宋体" w:hAnsi="宋体"/>
          <w:szCs w:val="21"/>
        </w:rPr>
      </w:pPr>
      <w:r>
        <w:rPr>
          <w:rFonts w:hint="eastAsia" w:ascii="宋体" w:hAnsi="宋体"/>
          <w:szCs w:val="21"/>
        </w:rPr>
        <w:t>（四）以非法手段排斥其他供应商参与竞争的；</w:t>
      </w:r>
    </w:p>
    <w:p w14:paraId="78C89C01">
      <w:pPr>
        <w:ind w:firstLine="420" w:firstLineChars="200"/>
        <w:rPr>
          <w:rFonts w:ascii="宋体" w:hAnsi="宋体"/>
          <w:szCs w:val="21"/>
        </w:rPr>
      </w:pPr>
      <w:r>
        <w:rPr>
          <w:rFonts w:hint="eastAsia" w:ascii="宋体" w:hAnsi="宋体"/>
          <w:szCs w:val="21"/>
        </w:rPr>
        <w:t>（五）与其他采购参加人串通投标的；</w:t>
      </w:r>
    </w:p>
    <w:p w14:paraId="2FFA16EE">
      <w:pPr>
        <w:ind w:firstLine="420" w:firstLineChars="200"/>
        <w:rPr>
          <w:rFonts w:ascii="宋体" w:hAnsi="宋体"/>
          <w:szCs w:val="21"/>
        </w:rPr>
      </w:pPr>
      <w:r>
        <w:rPr>
          <w:rFonts w:hint="eastAsia" w:ascii="宋体" w:hAnsi="宋体"/>
          <w:szCs w:val="21"/>
        </w:rPr>
        <w:t>（六）恶意投诉的；</w:t>
      </w:r>
    </w:p>
    <w:p w14:paraId="04DC4D93">
      <w:pPr>
        <w:ind w:firstLine="420" w:firstLineChars="200"/>
        <w:rPr>
          <w:rFonts w:ascii="宋体" w:hAnsi="宋体"/>
          <w:szCs w:val="21"/>
        </w:rPr>
      </w:pPr>
      <w:r>
        <w:rPr>
          <w:rFonts w:hint="eastAsia" w:ascii="宋体" w:hAnsi="宋体"/>
          <w:szCs w:val="21"/>
        </w:rPr>
        <w:t>（七）向采购项目相关人行贿或者提供其他不当利益的；</w:t>
      </w:r>
    </w:p>
    <w:p w14:paraId="0D4B762D">
      <w:pPr>
        <w:ind w:firstLine="420" w:firstLineChars="200"/>
        <w:rPr>
          <w:rFonts w:ascii="宋体" w:hAnsi="宋体"/>
          <w:szCs w:val="21"/>
        </w:rPr>
      </w:pPr>
      <w:r>
        <w:rPr>
          <w:rFonts w:hint="eastAsia" w:ascii="宋体" w:hAnsi="宋体"/>
          <w:szCs w:val="21"/>
        </w:rPr>
        <w:t>（八）阻碍、抗拒主管部门监督检查的；</w:t>
      </w:r>
    </w:p>
    <w:p w14:paraId="3669AF3A">
      <w:pPr>
        <w:ind w:firstLine="420" w:firstLineChars="200"/>
        <w:rPr>
          <w:rFonts w:ascii="宋体" w:hAnsi="宋体"/>
          <w:szCs w:val="21"/>
        </w:rPr>
      </w:pPr>
      <w:r>
        <w:rPr>
          <w:rFonts w:hint="eastAsia" w:ascii="宋体" w:hAnsi="宋体"/>
          <w:szCs w:val="21"/>
        </w:rPr>
        <w:t>（九）其他违反本条例规定的行为。</w:t>
      </w:r>
    </w:p>
    <w:p w14:paraId="41C2C635">
      <w:pPr>
        <w:ind w:firstLine="422" w:firstLineChars="200"/>
        <w:rPr>
          <w:rFonts w:ascii="宋体" w:hAnsi="宋体"/>
          <w:szCs w:val="21"/>
        </w:rPr>
      </w:pPr>
      <w:r>
        <w:rPr>
          <w:rFonts w:hint="eastAsia" w:ascii="宋体" w:hAnsi="宋体"/>
          <w:b/>
          <w:bCs/>
          <w:szCs w:val="21"/>
        </w:rPr>
        <w:t>二、《深圳经济特区政府采购条例实施细则》第七十五条 </w:t>
      </w:r>
      <w:r>
        <w:rPr>
          <w:rFonts w:hint="eastAsia" w:ascii="宋体" w:hAnsi="宋体"/>
          <w:szCs w:val="21"/>
        </w:rPr>
        <w:t>供应商有下列情形的，属于采购条例所称的串通投标行为，按照采购条例第五十七条有关规定处理：</w:t>
      </w:r>
    </w:p>
    <w:p w14:paraId="0617901C">
      <w:pPr>
        <w:ind w:firstLine="420" w:firstLineChars="200"/>
        <w:rPr>
          <w:rFonts w:ascii="宋体" w:hAnsi="宋体"/>
          <w:szCs w:val="21"/>
        </w:rPr>
      </w:pPr>
      <w:r>
        <w:rPr>
          <w:rFonts w:hint="eastAsia" w:ascii="宋体" w:hAnsi="宋体"/>
          <w:szCs w:val="21"/>
        </w:rPr>
        <w:t>（一）投标供应商之间相互约定给予未中标的供应商利益补偿；</w:t>
      </w:r>
    </w:p>
    <w:p w14:paraId="1981E3F9">
      <w:pPr>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018E7A78">
      <w:pPr>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349F4096">
      <w:pPr>
        <w:ind w:firstLine="420" w:firstLineChars="200"/>
        <w:rPr>
          <w:rFonts w:ascii="宋体" w:hAnsi="宋体"/>
          <w:szCs w:val="21"/>
        </w:rPr>
      </w:pPr>
      <w:r>
        <w:rPr>
          <w:rFonts w:hint="eastAsia" w:ascii="宋体" w:hAnsi="宋体"/>
          <w:szCs w:val="21"/>
        </w:rPr>
        <w:t>（四）不同投标供应商的投标文件或部分投标文件相互混装；</w:t>
      </w:r>
    </w:p>
    <w:p w14:paraId="4B48E65E">
      <w:pPr>
        <w:ind w:firstLine="420" w:firstLineChars="200"/>
        <w:rPr>
          <w:rFonts w:ascii="宋体" w:hAnsi="宋体"/>
          <w:szCs w:val="21"/>
        </w:rPr>
      </w:pPr>
      <w:r>
        <w:rPr>
          <w:rFonts w:hint="eastAsia" w:ascii="宋体" w:hAnsi="宋体"/>
          <w:szCs w:val="21"/>
        </w:rPr>
        <w:t>（五）不同投标供应商的投标文件内容存在非正常一致；</w:t>
      </w:r>
    </w:p>
    <w:p w14:paraId="2B382C0E">
      <w:pPr>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7A410187">
      <w:pPr>
        <w:ind w:firstLine="420" w:firstLineChars="200"/>
        <w:rPr>
          <w:rFonts w:ascii="宋体" w:hAnsi="宋体"/>
          <w:szCs w:val="21"/>
        </w:rPr>
      </w:pPr>
      <w:r>
        <w:rPr>
          <w:rFonts w:hint="eastAsia" w:ascii="宋体" w:hAnsi="宋体"/>
          <w:szCs w:val="21"/>
        </w:rPr>
        <w:t>（七）主管部门依照法律、法规认定的其他情形。</w:t>
      </w:r>
    </w:p>
    <w:p w14:paraId="5887D4B3">
      <w:pPr>
        <w:ind w:firstLine="422" w:firstLineChars="200"/>
        <w:rPr>
          <w:rFonts w:ascii="宋体" w:hAnsi="宋体"/>
          <w:szCs w:val="21"/>
        </w:rPr>
      </w:pPr>
      <w:r>
        <w:rPr>
          <w:rFonts w:hint="eastAsia" w:ascii="宋体" w:hAnsi="宋体"/>
          <w:b/>
          <w:bCs/>
          <w:szCs w:val="21"/>
        </w:rPr>
        <w:t>三、《深圳经济特区政府采购条例实施细则》第七十七条 </w:t>
      </w:r>
      <w:r>
        <w:rPr>
          <w:rFonts w:hint="eastAsia" w:ascii="宋体" w:hAnsi="宋体"/>
          <w:szCs w:val="21"/>
        </w:rPr>
        <w:t>供应商有下列情形之一的，属于隐瞒真实情况，提供虚假资料，按照采购条例第五十七条的有关规定处理：</w:t>
      </w:r>
    </w:p>
    <w:p w14:paraId="0C393FB7">
      <w:pPr>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0B7099FB">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（二）由其他单位或者其他单位负责人在投标供应商编制的投标文件上加盖印章或者签字的；</w:t>
      </w:r>
    </w:p>
    <w:p w14:paraId="1AFC0DC6">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（三）项目负责人或者主要技术人员不是本单位人员的；</w:t>
      </w:r>
    </w:p>
    <w:p w14:paraId="29BBF01C">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（四）投标保证金不是从投标供应商基本账户转出的；</w:t>
      </w:r>
    </w:p>
    <w:p w14:paraId="6A168ECB">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（五）其他隐瞒真实情况、提供虚假资料的行为。</w:t>
      </w:r>
    </w:p>
    <w:p w14:paraId="585F6B30">
      <w:pPr>
        <w:ind w:firstLine="42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投标供应商不能提供项目负责人或者主要技术人员的劳动合同、社会保险等劳动关系证明材料的，视为存在前款第（三）项规定的情形</w:t>
      </w:r>
      <w:r>
        <w:rPr>
          <w:rFonts w:hint="eastAsia" w:ascii="宋体" w:hAnsi="宋体"/>
          <w:color w:val="000000" w:themeColor="text1"/>
          <w:sz w:val="20"/>
          <w:szCs w:val="20"/>
          <w:highlight w:val="none"/>
          <w14:textFill>
            <w14:solidFill>
              <w14:schemeClr w14:val="tx1"/>
            </w14:solidFill>
          </w14:textFill>
        </w:rPr>
        <w:t>。</w:t>
      </w:r>
    </w:p>
    <w:p w14:paraId="1FB39E80">
      <w:pPr>
        <w:numPr>
          <w:ilvl w:val="0"/>
          <w:numId w:val="3"/>
        </w:numPr>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eastAsia="宋体" w:cs="Times New Roman"/>
          <w:b/>
          <w:bCs/>
          <w:color w:val="000000" w:themeColor="text1"/>
          <w:sz w:val="21"/>
          <w:szCs w:val="21"/>
          <w:highlight w:val="none"/>
          <w14:textFill>
            <w14:solidFill>
              <w14:schemeClr w14:val="tx1"/>
            </w14:solidFill>
          </w14:textFill>
        </w:rPr>
        <w:t xml:space="preserve">《中华人民共和国政府采购法实施条例》 </w:t>
      </w:r>
      <w:r>
        <w:rPr>
          <w:rFonts w:hint="eastAsia" w:ascii="宋体" w:hAnsi="宋体" w:cs="宋体"/>
          <w:b/>
          <w:bCs/>
          <w:color w:val="000000" w:themeColor="text1"/>
          <w:sz w:val="21"/>
          <w:szCs w:val="21"/>
          <w:highlight w:val="none"/>
          <w14:textFill>
            <w14:solidFill>
              <w14:schemeClr w14:val="tx1"/>
            </w14:solidFill>
          </w14:textFill>
        </w:rPr>
        <w:t>第十八条</w:t>
      </w:r>
      <w:r>
        <w:rPr>
          <w:rFonts w:hint="eastAsia" w:ascii="宋体" w:hAnsi="宋体" w:cs="宋体"/>
          <w:color w:val="000000" w:themeColor="text1"/>
          <w:sz w:val="21"/>
          <w:szCs w:val="21"/>
          <w:highlight w:val="none"/>
          <w14:textFill>
            <w14:solidFill>
              <w14:schemeClr w14:val="tx1"/>
            </w14:solidFill>
          </w14:textFill>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B909EB0">
      <w:pPr>
        <w:numPr>
          <w:ilvl w:val="0"/>
          <w:numId w:val="3"/>
        </w:numPr>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《深圳市财政局关于采购文件增加风险告知有关事项的通知》</w:t>
      </w:r>
      <w:r>
        <w:rPr>
          <w:rFonts w:hint="eastAsia" w:ascii="宋体" w:hAnsi="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各投标供应商应按要求提交《政府采购违法行为风险知悉确认书》（详见第</w:t>
      </w:r>
      <w:r>
        <w:rPr>
          <w:rFonts w:hint="eastAsia" w:ascii="宋体" w:hAnsi="宋体" w:cs="宋体"/>
          <w:color w:val="000000" w:themeColor="text1"/>
          <w:sz w:val="21"/>
          <w:szCs w:val="21"/>
          <w:highlight w:val="none"/>
          <w:lang w:eastAsia="zh-CN"/>
          <w14:textFill>
            <w14:solidFill>
              <w14:schemeClr w14:val="tx1"/>
            </w14:solidFill>
          </w14:textFill>
        </w:rPr>
        <w:t>三</w:t>
      </w:r>
      <w:r>
        <w:rPr>
          <w:rFonts w:hint="eastAsia" w:ascii="宋体" w:hAnsi="宋体" w:cs="宋体"/>
          <w:color w:val="000000" w:themeColor="text1"/>
          <w:sz w:val="21"/>
          <w:szCs w:val="21"/>
          <w:highlight w:val="none"/>
          <w14:textFill>
            <w14:solidFill>
              <w14:schemeClr w14:val="tx1"/>
            </w14:solidFill>
          </w14:textFill>
        </w:rPr>
        <w:t>章 投标文件格式、附件第二部分：投标文件格式—政府采购违法行为风险知悉确认书）。该文件由负责人或投标授权代表签字并加盖单位公章后，与投标文件一并提交。</w:t>
      </w:r>
    </w:p>
    <w:p w14:paraId="45B0070A">
      <w:pPr>
        <w:numPr>
          <w:ilvl w:val="0"/>
          <w:numId w:val="0"/>
        </w:numPr>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注：该风险知悉确认书用于对供应商违法行为的警示，不作为供应商资格性审查及符合性审查条件。</w:t>
      </w:r>
    </w:p>
    <w:p w14:paraId="554F5073">
      <w:pPr>
        <w:ind w:firstLine="440" w:firstLineChars="200"/>
        <w:rPr>
          <w:rFonts w:ascii="宋体" w:hAnsi="宋体" w:cs="宋体"/>
          <w:sz w:val="22"/>
          <w:szCs w:val="22"/>
        </w:rPr>
      </w:pPr>
    </w:p>
    <w:p w14:paraId="26C85042">
      <w:pPr>
        <w:rPr>
          <w:rFonts w:ascii="宋体" w:hAnsi="宋体" w:cs="宋体"/>
          <w:b/>
          <w:snapToGrid w:val="0"/>
          <w:sz w:val="22"/>
          <w:szCs w:val="22"/>
        </w:rPr>
      </w:pPr>
      <w:r>
        <w:rPr>
          <w:rFonts w:hint="eastAsia" w:ascii="宋体" w:hAnsi="宋体" w:cs="宋体"/>
          <w:b/>
          <w:snapToGrid w:val="0"/>
          <w:sz w:val="22"/>
          <w:szCs w:val="22"/>
        </w:rPr>
        <w:br w:type="page"/>
      </w:r>
    </w:p>
    <w:p w14:paraId="558163ED">
      <w:pPr>
        <w:pStyle w:val="6"/>
      </w:pPr>
    </w:p>
    <w:p w14:paraId="6B319D99">
      <w:pPr>
        <w:jc w:val="center"/>
        <w:rPr>
          <w:b/>
          <w:sz w:val="32"/>
          <w:szCs w:val="32"/>
        </w:rPr>
      </w:pPr>
      <w:r>
        <w:rPr>
          <w:b/>
          <w:sz w:val="32"/>
          <w:szCs w:val="32"/>
        </w:rPr>
        <w:t>目   录</w:t>
      </w:r>
    </w:p>
    <w:p w14:paraId="344C6F05">
      <w:pPr>
        <w:rPr>
          <w:b/>
          <w:sz w:val="24"/>
        </w:rPr>
      </w:pPr>
    </w:p>
    <w:p w14:paraId="363B0DDF">
      <w:pPr>
        <w:jc w:val="center"/>
        <w:rPr>
          <w:b/>
          <w:sz w:val="24"/>
        </w:rPr>
      </w:pPr>
      <w:r>
        <w:rPr>
          <w:b/>
          <w:sz w:val="24"/>
        </w:rPr>
        <w:t>第一册  专用条款</w:t>
      </w:r>
    </w:p>
    <w:p w14:paraId="2262BC89">
      <w:pPr>
        <w:rPr>
          <w:szCs w:val="21"/>
        </w:rPr>
      </w:pPr>
    </w:p>
    <w:p w14:paraId="606DDDAA">
      <w:pPr>
        <w:rPr>
          <w:szCs w:val="21"/>
        </w:rPr>
      </w:pPr>
      <w:r>
        <w:rPr>
          <w:szCs w:val="21"/>
        </w:rPr>
        <w:t>关键信息</w:t>
      </w:r>
    </w:p>
    <w:p w14:paraId="33F3A670">
      <w:pPr>
        <w:rPr>
          <w:szCs w:val="21"/>
        </w:rPr>
      </w:pPr>
      <w:r>
        <w:rPr>
          <w:szCs w:val="21"/>
        </w:rPr>
        <w:t xml:space="preserve">第一章  </w:t>
      </w:r>
      <w:r>
        <w:rPr>
          <w:rFonts w:hint="eastAsia"/>
          <w:szCs w:val="21"/>
        </w:rPr>
        <w:t>招标</w:t>
      </w:r>
      <w:r>
        <w:rPr>
          <w:szCs w:val="21"/>
        </w:rPr>
        <w:t>公告</w:t>
      </w:r>
    </w:p>
    <w:p w14:paraId="63D7A055">
      <w:pPr>
        <w:rPr>
          <w:szCs w:val="21"/>
        </w:rPr>
      </w:pPr>
      <w:r>
        <w:rPr>
          <w:szCs w:val="21"/>
        </w:rPr>
        <w:t>第二章  招标项目需求</w:t>
      </w:r>
    </w:p>
    <w:p w14:paraId="0A086A91">
      <w:pPr>
        <w:rPr>
          <w:szCs w:val="21"/>
        </w:rPr>
      </w:pPr>
      <w:r>
        <w:rPr>
          <w:szCs w:val="21"/>
        </w:rPr>
        <w:t>第三章  投标文件格式、附件</w:t>
      </w:r>
    </w:p>
    <w:p w14:paraId="7679E0A7">
      <w:pPr>
        <w:rPr>
          <w:szCs w:val="21"/>
        </w:rPr>
      </w:pPr>
      <w:r>
        <w:rPr>
          <w:szCs w:val="21"/>
        </w:rPr>
        <w:t>第四章  政府采购合同的签订、履行及验收</w:t>
      </w:r>
    </w:p>
    <w:p w14:paraId="5263037C">
      <w:pPr>
        <w:rPr>
          <w:b/>
          <w:sz w:val="24"/>
        </w:rPr>
      </w:pPr>
    </w:p>
    <w:p w14:paraId="634F5A1A">
      <w:pPr>
        <w:jc w:val="center"/>
        <w:rPr>
          <w:b/>
          <w:sz w:val="24"/>
        </w:rPr>
      </w:pPr>
      <w:r>
        <w:rPr>
          <w:b/>
          <w:sz w:val="24"/>
        </w:rPr>
        <w:t>第二册  通用条款</w:t>
      </w:r>
    </w:p>
    <w:p w14:paraId="6A6F03A9">
      <w:pPr>
        <w:rPr>
          <w:szCs w:val="21"/>
        </w:rPr>
      </w:pPr>
    </w:p>
    <w:p w14:paraId="2B3268BB">
      <w:pPr>
        <w:rPr>
          <w:szCs w:val="21"/>
        </w:rPr>
      </w:pPr>
      <w:r>
        <w:rPr>
          <w:szCs w:val="21"/>
        </w:rPr>
        <w:t>第一章 总则</w:t>
      </w:r>
    </w:p>
    <w:p w14:paraId="761AD3EF">
      <w:pPr>
        <w:rPr>
          <w:szCs w:val="21"/>
        </w:rPr>
      </w:pPr>
      <w:r>
        <w:rPr>
          <w:szCs w:val="21"/>
        </w:rPr>
        <w:t>第二章 采购文件</w:t>
      </w:r>
    </w:p>
    <w:p w14:paraId="3D8B7CFC">
      <w:pPr>
        <w:rPr>
          <w:szCs w:val="21"/>
        </w:rPr>
      </w:pPr>
      <w:r>
        <w:rPr>
          <w:szCs w:val="21"/>
        </w:rPr>
        <w:t>第三章 投标文件的编制</w:t>
      </w:r>
    </w:p>
    <w:p w14:paraId="7B3DC2E7">
      <w:pPr>
        <w:rPr>
          <w:szCs w:val="21"/>
        </w:rPr>
      </w:pPr>
      <w:r>
        <w:rPr>
          <w:szCs w:val="21"/>
        </w:rPr>
        <w:t>第四章 投标文件的递交</w:t>
      </w:r>
    </w:p>
    <w:p w14:paraId="7904DACB">
      <w:pPr>
        <w:rPr>
          <w:szCs w:val="21"/>
        </w:rPr>
      </w:pPr>
      <w:r>
        <w:rPr>
          <w:szCs w:val="21"/>
        </w:rPr>
        <w:t>第五章 开标</w:t>
      </w:r>
    </w:p>
    <w:p w14:paraId="6C531FAA">
      <w:pPr>
        <w:rPr>
          <w:szCs w:val="21"/>
        </w:rPr>
      </w:pPr>
      <w:r>
        <w:rPr>
          <w:szCs w:val="21"/>
        </w:rPr>
        <w:t>第六章 评标要求</w:t>
      </w:r>
    </w:p>
    <w:p w14:paraId="147BF90E">
      <w:pPr>
        <w:rPr>
          <w:szCs w:val="21"/>
        </w:rPr>
      </w:pPr>
      <w:r>
        <w:rPr>
          <w:szCs w:val="21"/>
        </w:rPr>
        <w:t>第七章 评标程序及评标方法</w:t>
      </w:r>
    </w:p>
    <w:p w14:paraId="4B9BC40A">
      <w:pPr>
        <w:rPr>
          <w:szCs w:val="21"/>
        </w:rPr>
      </w:pPr>
      <w:r>
        <w:rPr>
          <w:szCs w:val="21"/>
        </w:rPr>
        <w:t>第八章 定标及公示</w:t>
      </w:r>
    </w:p>
    <w:p w14:paraId="59D6AE60">
      <w:pPr>
        <w:rPr>
          <w:szCs w:val="21"/>
        </w:rPr>
      </w:pPr>
      <w:r>
        <w:rPr>
          <w:szCs w:val="21"/>
        </w:rPr>
        <w:t>第九章 公开招标失败的后续处理</w:t>
      </w:r>
    </w:p>
    <w:p w14:paraId="2B0F32C1">
      <w:pPr>
        <w:rPr>
          <w:szCs w:val="21"/>
        </w:rPr>
      </w:pPr>
      <w:r>
        <w:rPr>
          <w:szCs w:val="21"/>
        </w:rPr>
        <w:t>第十章 合同的授予与备案</w:t>
      </w:r>
    </w:p>
    <w:p w14:paraId="4FBFF80C">
      <w:pPr>
        <w:rPr>
          <w:sz w:val="24"/>
        </w:rPr>
      </w:pPr>
      <w:r>
        <w:rPr>
          <w:szCs w:val="21"/>
        </w:rPr>
        <w:t>第十一章 质疑处理</w:t>
      </w:r>
    </w:p>
    <w:p w14:paraId="37490742">
      <w:pPr>
        <w:jc w:val="center"/>
        <w:rPr>
          <w:b/>
          <w:sz w:val="24"/>
        </w:rPr>
      </w:pPr>
    </w:p>
    <w:p w14:paraId="177F6D25">
      <w:pPr>
        <w:jc w:val="center"/>
        <w:rPr>
          <w:b/>
          <w:sz w:val="24"/>
        </w:rPr>
      </w:pPr>
      <w:r>
        <w:rPr>
          <w:b/>
          <w:sz w:val="24"/>
        </w:rPr>
        <w:t>第</w:t>
      </w:r>
      <w:r>
        <w:rPr>
          <w:rFonts w:hint="eastAsia"/>
          <w:b/>
          <w:sz w:val="24"/>
        </w:rPr>
        <w:t>三</w:t>
      </w:r>
      <w:r>
        <w:rPr>
          <w:b/>
          <w:sz w:val="24"/>
        </w:rPr>
        <w:t xml:space="preserve">册  </w:t>
      </w:r>
      <w:r>
        <w:rPr>
          <w:rFonts w:hint="eastAsia"/>
          <w:b/>
          <w:sz w:val="24"/>
        </w:rPr>
        <w:t>附件</w:t>
      </w:r>
    </w:p>
    <w:p w14:paraId="096CE1AA">
      <w:pPr>
        <w:pStyle w:val="10"/>
      </w:pPr>
    </w:p>
    <w:p w14:paraId="545392D4">
      <w:pPr>
        <w:rPr>
          <w:szCs w:val="21"/>
        </w:rPr>
      </w:pPr>
      <w:r>
        <w:rPr>
          <w:rFonts w:hint="eastAsia"/>
          <w:szCs w:val="21"/>
        </w:rPr>
        <w:t>一、</w:t>
      </w:r>
      <w:r>
        <w:rPr>
          <w:szCs w:val="21"/>
        </w:rPr>
        <w:t xml:space="preserve"> </w:t>
      </w:r>
      <w:r>
        <w:rPr>
          <w:rFonts w:hint="eastAsia"/>
          <w:szCs w:val="21"/>
        </w:rPr>
        <w:t>财政部 工业和信息化部关于印发《政府采购促进中小企业发展管理办法》的通知</w:t>
      </w:r>
    </w:p>
    <w:p w14:paraId="65E21BEC">
      <w:pPr>
        <w:rPr>
          <w:szCs w:val="21"/>
        </w:rPr>
      </w:pPr>
      <w:r>
        <w:rPr>
          <w:szCs w:val="21"/>
        </w:rPr>
        <w:t>二</w:t>
      </w:r>
      <w:r>
        <w:rPr>
          <w:rFonts w:hint="eastAsia"/>
          <w:szCs w:val="21"/>
        </w:rPr>
        <w:t>、</w:t>
      </w:r>
      <w:r>
        <w:rPr>
          <w:szCs w:val="21"/>
        </w:rPr>
        <w:t xml:space="preserve"> </w:t>
      </w:r>
      <w:r>
        <w:rPr>
          <w:rFonts w:hint="eastAsia"/>
          <w:szCs w:val="21"/>
        </w:rPr>
        <w:t>关于印发中小企业划型标准规定的通知</w:t>
      </w:r>
    </w:p>
    <w:p w14:paraId="77B04035">
      <w:pPr>
        <w:rPr>
          <w:szCs w:val="21"/>
        </w:rPr>
      </w:pPr>
      <w:r>
        <w:rPr>
          <w:rFonts w:hint="eastAsia"/>
          <w:szCs w:val="21"/>
        </w:rPr>
        <w:t>三、 国家统计局关于印发《统计上大中小微型企业划分办法 （2017）》的通知</w:t>
      </w:r>
    </w:p>
    <w:p w14:paraId="6D9FB854">
      <w:pPr>
        <w:rPr>
          <w:szCs w:val="21"/>
        </w:rPr>
      </w:pPr>
      <w:r>
        <w:rPr>
          <w:rFonts w:hint="eastAsia"/>
          <w:szCs w:val="21"/>
        </w:rPr>
        <w:t>四、 财政部 民政部 中国残疾人联合会关于促进残疾人就业 政府采购政策的通知</w:t>
      </w:r>
    </w:p>
    <w:p w14:paraId="61D26644">
      <w:pPr>
        <w:rPr>
          <w:rFonts w:ascii="宋体" w:hAnsi="宋体" w:cs="宋体"/>
          <w:sz w:val="22"/>
          <w:szCs w:val="22"/>
        </w:rPr>
      </w:pPr>
    </w:p>
    <w:p w14:paraId="1C57BC7E">
      <w:pPr>
        <w:jc w:val="center"/>
        <w:rPr>
          <w:rFonts w:ascii="宋体" w:hAnsi="宋体" w:cs="宋体"/>
          <w:sz w:val="24"/>
        </w:rPr>
      </w:pPr>
      <w:r>
        <w:rPr>
          <w:rFonts w:hint="eastAsia" w:ascii="宋体" w:hAnsi="宋体" w:cs="宋体"/>
          <w:sz w:val="24"/>
        </w:rPr>
        <w:br w:type="page"/>
      </w:r>
    </w:p>
    <w:p w14:paraId="4E7AB73D">
      <w:pPr>
        <w:pStyle w:val="2"/>
        <w:spacing w:after="0" w:afterLines="0"/>
        <w:rPr>
          <w:rFonts w:ascii="宋体" w:hAnsi="宋体" w:cs="宋体"/>
          <w:b/>
          <w:bCs/>
          <w:sz w:val="36"/>
          <w:szCs w:val="96"/>
        </w:rPr>
      </w:pPr>
      <w:r>
        <w:rPr>
          <w:rFonts w:hint="eastAsia" w:ascii="宋体" w:hAnsi="宋体" w:cs="宋体"/>
          <w:b/>
          <w:bCs/>
          <w:sz w:val="36"/>
          <w:szCs w:val="96"/>
        </w:rPr>
        <w:t>关键信息</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2511"/>
        <w:gridCol w:w="5102"/>
      </w:tblGrid>
      <w:tr w14:paraId="175E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blHeader/>
          <w:jc w:val="center"/>
        </w:trPr>
        <w:tc>
          <w:tcPr>
            <w:tcW w:w="535" w:type="pct"/>
            <w:vAlign w:val="center"/>
          </w:tcPr>
          <w:p w14:paraId="1497BC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z w:val="22"/>
                <w:szCs w:val="22"/>
              </w:rPr>
            </w:pPr>
            <w:r>
              <w:rPr>
                <w:rFonts w:hint="eastAsia" w:ascii="宋体" w:hAnsi="宋体" w:cs="宋体"/>
                <w:b/>
                <w:sz w:val="22"/>
                <w:szCs w:val="22"/>
              </w:rPr>
              <w:t>序号</w:t>
            </w:r>
          </w:p>
        </w:tc>
        <w:tc>
          <w:tcPr>
            <w:tcW w:w="1472" w:type="pct"/>
            <w:vAlign w:val="center"/>
          </w:tcPr>
          <w:p w14:paraId="1FA0BB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z w:val="22"/>
                <w:szCs w:val="22"/>
              </w:rPr>
            </w:pPr>
            <w:r>
              <w:rPr>
                <w:rFonts w:hint="eastAsia" w:ascii="宋体" w:hAnsi="宋体" w:cs="宋体"/>
                <w:b/>
                <w:sz w:val="22"/>
                <w:szCs w:val="22"/>
              </w:rPr>
              <w:t>内容</w:t>
            </w:r>
          </w:p>
        </w:tc>
        <w:tc>
          <w:tcPr>
            <w:tcW w:w="2991" w:type="pct"/>
            <w:vAlign w:val="center"/>
          </w:tcPr>
          <w:p w14:paraId="67C931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z w:val="22"/>
                <w:szCs w:val="22"/>
              </w:rPr>
            </w:pPr>
            <w:r>
              <w:rPr>
                <w:rFonts w:hint="eastAsia" w:ascii="宋体" w:hAnsi="宋体" w:cs="宋体"/>
                <w:b/>
                <w:sz w:val="22"/>
                <w:szCs w:val="22"/>
              </w:rPr>
              <w:t>说明及要求</w:t>
            </w:r>
          </w:p>
        </w:tc>
      </w:tr>
      <w:tr w14:paraId="6A26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5" w:type="pct"/>
            <w:vAlign w:val="center"/>
          </w:tcPr>
          <w:p w14:paraId="29F6ED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2"/>
                <w:szCs w:val="22"/>
              </w:rPr>
            </w:pPr>
            <w:r>
              <w:rPr>
                <w:rFonts w:hint="eastAsia" w:ascii="宋体" w:hAnsi="宋体" w:cs="宋体"/>
                <w:sz w:val="22"/>
                <w:szCs w:val="22"/>
              </w:rPr>
              <w:t>1</w:t>
            </w:r>
          </w:p>
        </w:tc>
        <w:tc>
          <w:tcPr>
            <w:tcW w:w="1472" w:type="pct"/>
            <w:vAlign w:val="center"/>
          </w:tcPr>
          <w:p w14:paraId="7B0C0B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2"/>
                <w:szCs w:val="22"/>
              </w:rPr>
            </w:pPr>
            <w:r>
              <w:rPr>
                <w:rFonts w:hint="eastAsia" w:ascii="宋体" w:hAnsi="宋体" w:cs="宋体"/>
                <w:sz w:val="22"/>
                <w:szCs w:val="22"/>
              </w:rPr>
              <w:t>采购项目</w:t>
            </w:r>
          </w:p>
        </w:tc>
        <w:tc>
          <w:tcPr>
            <w:tcW w:w="2991" w:type="pct"/>
            <w:vAlign w:val="center"/>
          </w:tcPr>
          <w:p w14:paraId="2C8CA79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2"/>
                <w:szCs w:val="22"/>
                <w:lang w:eastAsia="zh-CN"/>
              </w:rPr>
            </w:pPr>
            <w:r>
              <w:rPr>
                <w:rFonts w:hint="eastAsia" w:ascii="宋体" w:hAnsi="宋体" w:cs="宋体"/>
                <w:sz w:val="22"/>
                <w:szCs w:val="22"/>
                <w:lang w:eastAsia="zh-CN"/>
              </w:rPr>
              <w:t>深圳市文化广电旅游体育2024年度局属各单位运营情况、年度经营情况及合法合规性审计工作服务项目</w:t>
            </w:r>
          </w:p>
        </w:tc>
      </w:tr>
      <w:tr w14:paraId="4C74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35" w:type="pct"/>
            <w:vAlign w:val="center"/>
          </w:tcPr>
          <w:p w14:paraId="69C2C0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2"/>
                <w:szCs w:val="22"/>
              </w:rPr>
            </w:pPr>
            <w:r>
              <w:rPr>
                <w:rFonts w:hint="eastAsia" w:ascii="宋体" w:hAnsi="宋体" w:cs="宋体"/>
                <w:sz w:val="22"/>
                <w:szCs w:val="22"/>
              </w:rPr>
              <w:t>2</w:t>
            </w:r>
          </w:p>
        </w:tc>
        <w:tc>
          <w:tcPr>
            <w:tcW w:w="1472" w:type="pct"/>
            <w:vAlign w:val="center"/>
          </w:tcPr>
          <w:p w14:paraId="428418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2"/>
                <w:szCs w:val="22"/>
              </w:rPr>
            </w:pPr>
            <w:r>
              <w:rPr>
                <w:rFonts w:hint="eastAsia" w:ascii="宋体" w:hAnsi="宋体" w:cs="宋体"/>
                <w:sz w:val="22"/>
                <w:szCs w:val="22"/>
              </w:rPr>
              <w:t>采购方式</w:t>
            </w:r>
          </w:p>
        </w:tc>
        <w:tc>
          <w:tcPr>
            <w:tcW w:w="2991" w:type="pct"/>
            <w:vAlign w:val="center"/>
          </w:tcPr>
          <w:p w14:paraId="0AA27AE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sz w:val="22"/>
                <w:szCs w:val="22"/>
              </w:rPr>
            </w:pPr>
            <w:r>
              <w:rPr>
                <w:rFonts w:hint="eastAsia" w:ascii="宋体" w:hAnsi="宋体" w:cs="宋体"/>
                <w:sz w:val="22"/>
                <w:szCs w:val="22"/>
              </w:rPr>
              <w:t>公开招标</w:t>
            </w:r>
          </w:p>
        </w:tc>
      </w:tr>
      <w:tr w14:paraId="58FE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pct"/>
            <w:vAlign w:val="center"/>
          </w:tcPr>
          <w:p w14:paraId="51C2C7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2"/>
                <w:szCs w:val="22"/>
              </w:rPr>
            </w:pPr>
            <w:r>
              <w:rPr>
                <w:rFonts w:hint="eastAsia" w:ascii="宋体" w:hAnsi="宋体" w:cs="宋体"/>
                <w:sz w:val="22"/>
                <w:szCs w:val="22"/>
              </w:rPr>
              <w:t>3</w:t>
            </w:r>
          </w:p>
        </w:tc>
        <w:tc>
          <w:tcPr>
            <w:tcW w:w="1472" w:type="pct"/>
            <w:vAlign w:val="center"/>
          </w:tcPr>
          <w:p w14:paraId="27233B5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2"/>
                <w:szCs w:val="22"/>
              </w:rPr>
            </w:pPr>
            <w:r>
              <w:rPr>
                <w:rFonts w:hint="eastAsia" w:ascii="宋体" w:hAnsi="宋体" w:cs="宋体"/>
                <w:sz w:val="22"/>
                <w:szCs w:val="22"/>
              </w:rPr>
              <w:t>采购项目预算</w:t>
            </w:r>
          </w:p>
        </w:tc>
        <w:tc>
          <w:tcPr>
            <w:tcW w:w="2991" w:type="pct"/>
            <w:vAlign w:val="center"/>
          </w:tcPr>
          <w:p w14:paraId="375ECE9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sz w:val="22"/>
                <w:szCs w:val="22"/>
              </w:rPr>
            </w:pPr>
            <w:r>
              <w:rPr>
                <w:rFonts w:hint="eastAsia" w:ascii="宋体" w:hAnsi="宋体" w:cs="宋体"/>
                <w:sz w:val="22"/>
                <w:szCs w:val="22"/>
              </w:rPr>
              <w:t>人民币</w:t>
            </w:r>
            <w:r>
              <w:rPr>
                <w:rFonts w:hint="eastAsia" w:ascii="宋体" w:hAnsi="宋体" w:cs="宋体"/>
                <w:sz w:val="22"/>
                <w:szCs w:val="22"/>
                <w:lang w:eastAsia="zh-CN"/>
              </w:rPr>
              <w:t>260,000.00</w:t>
            </w:r>
            <w:r>
              <w:rPr>
                <w:rFonts w:hint="eastAsia" w:ascii="宋体" w:hAnsi="宋体" w:cs="宋体"/>
                <w:sz w:val="22"/>
                <w:szCs w:val="22"/>
              </w:rPr>
              <w:t>元</w:t>
            </w:r>
          </w:p>
        </w:tc>
      </w:tr>
      <w:tr w14:paraId="6CFB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535" w:type="pct"/>
            <w:vAlign w:val="center"/>
          </w:tcPr>
          <w:p w14:paraId="01D3A9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2"/>
                <w:szCs w:val="22"/>
              </w:rPr>
            </w:pPr>
            <w:r>
              <w:rPr>
                <w:rFonts w:hint="eastAsia" w:ascii="宋体" w:hAnsi="宋体" w:cs="宋体"/>
                <w:sz w:val="22"/>
                <w:szCs w:val="22"/>
              </w:rPr>
              <w:t>4</w:t>
            </w:r>
          </w:p>
        </w:tc>
        <w:tc>
          <w:tcPr>
            <w:tcW w:w="1472" w:type="pct"/>
            <w:vAlign w:val="center"/>
          </w:tcPr>
          <w:p w14:paraId="017650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2"/>
                <w:szCs w:val="22"/>
              </w:rPr>
            </w:pPr>
            <w:r>
              <w:rPr>
                <w:rFonts w:hint="eastAsia" w:ascii="宋体" w:hAnsi="宋体" w:cs="宋体"/>
                <w:sz w:val="22"/>
                <w:szCs w:val="22"/>
              </w:rPr>
              <w:t>投标保证金</w:t>
            </w:r>
          </w:p>
        </w:tc>
        <w:tc>
          <w:tcPr>
            <w:tcW w:w="2991" w:type="pct"/>
            <w:vAlign w:val="center"/>
          </w:tcPr>
          <w:p w14:paraId="097E8C2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sz w:val="22"/>
                <w:szCs w:val="22"/>
              </w:rPr>
            </w:pPr>
            <w:r>
              <w:rPr>
                <w:rFonts w:hint="eastAsia" w:ascii="宋体" w:hAnsi="宋体" w:cs="宋体"/>
                <w:sz w:val="22"/>
              </w:rPr>
              <w:t>不要求提供</w:t>
            </w:r>
          </w:p>
        </w:tc>
      </w:tr>
      <w:tr w14:paraId="7E50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5" w:type="pct"/>
            <w:vAlign w:val="center"/>
          </w:tcPr>
          <w:p w14:paraId="24488AC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2"/>
                <w:szCs w:val="22"/>
              </w:rPr>
            </w:pPr>
            <w:r>
              <w:rPr>
                <w:rFonts w:hint="eastAsia" w:ascii="宋体" w:hAnsi="宋体" w:cs="宋体"/>
                <w:sz w:val="22"/>
                <w:szCs w:val="22"/>
              </w:rPr>
              <w:t>5</w:t>
            </w:r>
          </w:p>
        </w:tc>
        <w:tc>
          <w:tcPr>
            <w:tcW w:w="1472" w:type="pct"/>
            <w:vAlign w:val="center"/>
          </w:tcPr>
          <w:p w14:paraId="565317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2"/>
                <w:szCs w:val="22"/>
              </w:rPr>
            </w:pPr>
            <w:r>
              <w:rPr>
                <w:rFonts w:hint="eastAsia" w:ascii="宋体" w:hAnsi="宋体" w:cs="宋体"/>
                <w:sz w:val="22"/>
                <w:szCs w:val="22"/>
              </w:rPr>
              <w:t>投标人的替代方案</w:t>
            </w:r>
          </w:p>
        </w:tc>
        <w:tc>
          <w:tcPr>
            <w:tcW w:w="2991" w:type="pct"/>
            <w:vAlign w:val="center"/>
          </w:tcPr>
          <w:p w14:paraId="0D4CB1E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sz w:val="22"/>
                <w:szCs w:val="22"/>
                <w:u w:val="single"/>
              </w:rPr>
            </w:pPr>
            <w:r>
              <w:rPr>
                <w:rFonts w:hint="eastAsia" w:ascii="宋体" w:hAnsi="宋体" w:cs="宋体"/>
                <w:sz w:val="22"/>
                <w:szCs w:val="22"/>
              </w:rPr>
              <w:t>不允许</w:t>
            </w:r>
          </w:p>
        </w:tc>
      </w:tr>
      <w:tr w14:paraId="5C00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5" w:type="pct"/>
            <w:vAlign w:val="center"/>
          </w:tcPr>
          <w:p w14:paraId="12C9A4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2"/>
                <w:szCs w:val="22"/>
              </w:rPr>
            </w:pPr>
            <w:r>
              <w:rPr>
                <w:rFonts w:hint="eastAsia" w:ascii="宋体" w:hAnsi="宋体" w:cs="宋体"/>
                <w:sz w:val="22"/>
                <w:szCs w:val="22"/>
              </w:rPr>
              <w:t>6</w:t>
            </w:r>
          </w:p>
        </w:tc>
        <w:tc>
          <w:tcPr>
            <w:tcW w:w="1472" w:type="pct"/>
            <w:vAlign w:val="center"/>
          </w:tcPr>
          <w:p w14:paraId="493F9B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2"/>
                <w:szCs w:val="22"/>
              </w:rPr>
            </w:pPr>
            <w:r>
              <w:rPr>
                <w:rFonts w:hint="eastAsia" w:ascii="宋体" w:hAnsi="宋体" w:cs="宋体"/>
                <w:bCs/>
                <w:sz w:val="22"/>
                <w:szCs w:val="22"/>
              </w:rPr>
              <w:t>投标有效期</w:t>
            </w:r>
          </w:p>
        </w:tc>
        <w:tc>
          <w:tcPr>
            <w:tcW w:w="2991" w:type="pct"/>
            <w:vAlign w:val="center"/>
          </w:tcPr>
          <w:p w14:paraId="70AD2D3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bCs/>
                <w:sz w:val="22"/>
                <w:szCs w:val="22"/>
              </w:rPr>
            </w:pPr>
            <w:r>
              <w:rPr>
                <w:rFonts w:hint="eastAsia" w:ascii="宋体" w:hAnsi="宋体" w:cs="宋体"/>
                <w:sz w:val="22"/>
                <w:szCs w:val="22"/>
                <w:u w:val="single"/>
              </w:rPr>
              <w:t>120</w:t>
            </w:r>
            <w:r>
              <w:rPr>
                <w:rFonts w:hint="eastAsia" w:ascii="宋体" w:hAnsi="宋体" w:cs="宋体"/>
                <w:sz w:val="22"/>
                <w:szCs w:val="22"/>
              </w:rPr>
              <w:t>日（日历日）</w:t>
            </w:r>
          </w:p>
        </w:tc>
      </w:tr>
      <w:tr w14:paraId="0B1F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5" w:type="pct"/>
            <w:vAlign w:val="center"/>
          </w:tcPr>
          <w:p w14:paraId="5E04F90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2"/>
                <w:szCs w:val="22"/>
              </w:rPr>
            </w:pPr>
            <w:r>
              <w:rPr>
                <w:rFonts w:hint="eastAsia" w:ascii="宋体" w:hAnsi="宋体" w:cs="宋体"/>
                <w:sz w:val="22"/>
                <w:szCs w:val="22"/>
              </w:rPr>
              <w:t>7</w:t>
            </w:r>
          </w:p>
        </w:tc>
        <w:tc>
          <w:tcPr>
            <w:tcW w:w="1472" w:type="pct"/>
            <w:vAlign w:val="center"/>
          </w:tcPr>
          <w:p w14:paraId="535D74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2"/>
                <w:szCs w:val="22"/>
              </w:rPr>
            </w:pPr>
            <w:r>
              <w:rPr>
                <w:rFonts w:hint="eastAsia" w:ascii="宋体" w:hAnsi="宋体" w:cs="宋体"/>
                <w:sz w:val="22"/>
                <w:szCs w:val="22"/>
              </w:rPr>
              <w:t>投标文件份数</w:t>
            </w:r>
          </w:p>
        </w:tc>
        <w:tc>
          <w:tcPr>
            <w:tcW w:w="2991" w:type="pct"/>
            <w:vAlign w:val="center"/>
          </w:tcPr>
          <w:p w14:paraId="7155FE5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sz w:val="22"/>
                <w:szCs w:val="22"/>
                <w:u w:val="single"/>
              </w:rPr>
            </w:pPr>
            <w:r>
              <w:rPr>
                <w:rFonts w:hint="eastAsia" w:ascii="宋体" w:hAnsi="宋体" w:cs="宋体"/>
                <w:sz w:val="22"/>
                <w:szCs w:val="22"/>
              </w:rPr>
              <w:t>正本一份，副本五份，投标文件电子版（盖章扫描件）一份。</w:t>
            </w:r>
          </w:p>
        </w:tc>
      </w:tr>
      <w:tr w14:paraId="12E6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5" w:type="pct"/>
            <w:vAlign w:val="center"/>
          </w:tcPr>
          <w:p w14:paraId="309840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2"/>
                <w:szCs w:val="22"/>
              </w:rPr>
            </w:pPr>
            <w:r>
              <w:rPr>
                <w:rFonts w:hint="eastAsia" w:ascii="宋体" w:hAnsi="宋体" w:cs="宋体"/>
                <w:sz w:val="22"/>
                <w:szCs w:val="22"/>
              </w:rPr>
              <w:t>8</w:t>
            </w:r>
          </w:p>
        </w:tc>
        <w:tc>
          <w:tcPr>
            <w:tcW w:w="1472" w:type="pct"/>
            <w:vAlign w:val="center"/>
          </w:tcPr>
          <w:p w14:paraId="236498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2"/>
                <w:szCs w:val="22"/>
              </w:rPr>
            </w:pPr>
            <w:r>
              <w:rPr>
                <w:rFonts w:hint="eastAsia" w:ascii="宋体" w:hAnsi="宋体" w:cs="宋体"/>
                <w:sz w:val="22"/>
                <w:szCs w:val="22"/>
              </w:rPr>
              <w:t>履约担保金额</w:t>
            </w:r>
          </w:p>
        </w:tc>
        <w:tc>
          <w:tcPr>
            <w:tcW w:w="2991" w:type="pct"/>
            <w:vAlign w:val="center"/>
          </w:tcPr>
          <w:p w14:paraId="2F867CE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sz w:val="22"/>
                <w:szCs w:val="22"/>
              </w:rPr>
            </w:pPr>
            <w:r>
              <w:rPr>
                <w:rFonts w:hint="eastAsia" w:ascii="宋体" w:hAnsi="宋体" w:cs="宋体"/>
                <w:sz w:val="22"/>
                <w:szCs w:val="22"/>
              </w:rPr>
              <w:t>无</w:t>
            </w:r>
          </w:p>
        </w:tc>
      </w:tr>
      <w:tr w14:paraId="302A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35" w:type="pct"/>
            <w:vAlign w:val="center"/>
          </w:tcPr>
          <w:p w14:paraId="4364311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2"/>
                <w:szCs w:val="22"/>
              </w:rPr>
            </w:pPr>
            <w:r>
              <w:rPr>
                <w:rFonts w:hint="eastAsia" w:ascii="宋体" w:hAnsi="宋体" w:cs="宋体"/>
                <w:sz w:val="22"/>
                <w:szCs w:val="22"/>
              </w:rPr>
              <w:t>9</w:t>
            </w:r>
          </w:p>
        </w:tc>
        <w:tc>
          <w:tcPr>
            <w:tcW w:w="1472" w:type="pct"/>
            <w:vAlign w:val="center"/>
          </w:tcPr>
          <w:p w14:paraId="43C758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2"/>
                <w:szCs w:val="22"/>
              </w:rPr>
            </w:pPr>
            <w:r>
              <w:rPr>
                <w:rFonts w:hint="eastAsia" w:ascii="宋体" w:hAnsi="宋体" w:cs="宋体"/>
                <w:sz w:val="22"/>
                <w:szCs w:val="22"/>
              </w:rPr>
              <w:t>招标代理服务费</w:t>
            </w:r>
          </w:p>
        </w:tc>
        <w:tc>
          <w:tcPr>
            <w:tcW w:w="2991" w:type="pct"/>
            <w:vAlign w:val="center"/>
          </w:tcPr>
          <w:p w14:paraId="7A73E2F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2"/>
                <w:szCs w:val="22"/>
              </w:rPr>
            </w:pPr>
            <w:r>
              <w:rPr>
                <w:rFonts w:hint="eastAsia" w:ascii="宋体" w:hAnsi="宋体" w:eastAsia="宋体" w:cs="宋体"/>
                <w:sz w:val="22"/>
                <w:szCs w:val="22"/>
              </w:rPr>
              <w:t>1.采购项目招标代理服务费由中标方在领取《中标通知书》的同时向招标代理机构缴纳。</w:t>
            </w:r>
          </w:p>
          <w:p w14:paraId="72DCACC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2"/>
                <w:szCs w:val="22"/>
              </w:rPr>
            </w:pPr>
            <w:r>
              <w:rPr>
                <w:rFonts w:hint="eastAsia" w:ascii="宋体" w:hAnsi="宋体" w:eastAsia="宋体" w:cs="宋体"/>
                <w:sz w:val="22"/>
                <w:szCs w:val="22"/>
              </w:rPr>
              <w:t>2.招标代理服务费依据深财购[2018]27号文及相关规定收费。</w:t>
            </w:r>
          </w:p>
          <w:p w14:paraId="646AEAF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sz w:val="22"/>
                <w:szCs w:val="22"/>
              </w:rPr>
            </w:pPr>
            <w:r>
              <w:rPr>
                <w:rFonts w:hint="eastAsia" w:ascii="宋体" w:hAnsi="宋体" w:eastAsia="宋体" w:cs="宋体"/>
                <w:sz w:val="22"/>
                <w:szCs w:val="22"/>
              </w:rPr>
              <w:t>3.招标代理服务费不足人民币</w:t>
            </w:r>
            <w:r>
              <w:rPr>
                <w:rFonts w:hint="eastAsia" w:ascii="宋体" w:hAnsi="宋体" w:cs="宋体"/>
                <w:sz w:val="22"/>
                <w:szCs w:val="22"/>
                <w:lang w:eastAsia="zh-CN"/>
              </w:rPr>
              <w:t>4,500.00</w:t>
            </w:r>
            <w:r>
              <w:rPr>
                <w:rFonts w:hint="eastAsia" w:ascii="宋体" w:hAnsi="宋体" w:eastAsia="宋体" w:cs="宋体"/>
                <w:sz w:val="22"/>
                <w:szCs w:val="22"/>
              </w:rPr>
              <w:t>元时，按人民币</w:t>
            </w:r>
            <w:r>
              <w:rPr>
                <w:rFonts w:hint="eastAsia" w:ascii="宋体" w:hAnsi="宋体" w:cs="宋体"/>
                <w:sz w:val="22"/>
                <w:szCs w:val="22"/>
                <w:lang w:eastAsia="zh-CN"/>
              </w:rPr>
              <w:t>4,500.00</w:t>
            </w:r>
            <w:r>
              <w:rPr>
                <w:rFonts w:hint="eastAsia" w:ascii="宋体" w:hAnsi="宋体" w:eastAsia="宋体" w:cs="宋体"/>
                <w:sz w:val="22"/>
                <w:szCs w:val="22"/>
              </w:rPr>
              <w:t>元收取。</w:t>
            </w:r>
          </w:p>
        </w:tc>
      </w:tr>
    </w:tbl>
    <w:p w14:paraId="191CA7C1">
      <w:pPr>
        <w:jc w:val="center"/>
        <w:rPr>
          <w:rFonts w:ascii="宋体" w:hAnsi="宋体" w:cs="宋体"/>
          <w:b/>
          <w:sz w:val="28"/>
          <w:szCs w:val="28"/>
        </w:rPr>
      </w:pPr>
    </w:p>
    <w:p w14:paraId="684BE832">
      <w:pPr>
        <w:jc w:val="center"/>
        <w:rPr>
          <w:rFonts w:ascii="宋体" w:hAnsi="宋体" w:cs="宋体"/>
          <w:b/>
          <w:sz w:val="28"/>
          <w:szCs w:val="28"/>
        </w:rPr>
      </w:pPr>
      <w:r>
        <w:rPr>
          <w:rFonts w:hint="eastAsia" w:ascii="宋体" w:hAnsi="宋体" w:cs="宋体"/>
          <w:b/>
          <w:sz w:val="28"/>
          <w:szCs w:val="28"/>
        </w:rPr>
        <w:br w:type="page"/>
      </w:r>
    </w:p>
    <w:p w14:paraId="78FD7BAA">
      <w:pPr>
        <w:pStyle w:val="2"/>
        <w:spacing w:after="0" w:afterAutospacing="0"/>
        <w:rPr>
          <w:rFonts w:ascii="宋体" w:hAnsi="宋体" w:cs="宋体"/>
          <w:b/>
          <w:sz w:val="36"/>
          <w:szCs w:val="36"/>
        </w:rPr>
      </w:pPr>
      <w:r>
        <w:rPr>
          <w:rFonts w:hint="eastAsia" w:ascii="宋体" w:hAnsi="宋体" w:cs="宋体"/>
          <w:b/>
          <w:sz w:val="36"/>
          <w:szCs w:val="36"/>
        </w:rPr>
        <w:t>投标文件初审表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7847"/>
      </w:tblGrid>
      <w:tr w14:paraId="086C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2"/>
            <w:vAlign w:val="center"/>
          </w:tcPr>
          <w:p w14:paraId="44CADFF1">
            <w:pPr>
              <w:spacing w:beforeAutospacing="0" w:line="360" w:lineRule="exact"/>
              <w:jc w:val="center"/>
              <w:rPr>
                <w:rFonts w:ascii="宋体" w:hAnsi="宋体" w:cs="宋体"/>
                <w:b/>
                <w:sz w:val="22"/>
                <w:szCs w:val="22"/>
              </w:rPr>
            </w:pPr>
            <w:r>
              <w:rPr>
                <w:rFonts w:hint="eastAsia" w:ascii="宋体" w:hAnsi="宋体" w:cs="宋体"/>
                <w:b/>
                <w:sz w:val="22"/>
                <w:szCs w:val="22"/>
              </w:rPr>
              <w:t>资格性审查表</w:t>
            </w:r>
          </w:p>
        </w:tc>
      </w:tr>
      <w:tr w14:paraId="5532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vAlign w:val="center"/>
          </w:tcPr>
          <w:p w14:paraId="219156B4">
            <w:pPr>
              <w:rPr>
                <w:rFonts w:ascii="宋体" w:cs="宋体"/>
                <w:szCs w:val="21"/>
              </w:rPr>
            </w:pPr>
            <w:r>
              <w:rPr>
                <w:rFonts w:hint="eastAsia" w:ascii="宋体" w:cs="宋体"/>
                <w:szCs w:val="21"/>
              </w:rPr>
              <w:t>1</w:t>
            </w:r>
          </w:p>
        </w:tc>
        <w:tc>
          <w:tcPr>
            <w:tcW w:w="4599" w:type="pct"/>
            <w:vAlign w:val="center"/>
          </w:tcPr>
          <w:p w14:paraId="1B86A023">
            <w:pPr>
              <w:rPr>
                <w:rFonts w:ascii="宋体" w:cs="宋体"/>
                <w:szCs w:val="21"/>
              </w:rPr>
            </w:pPr>
            <w:r>
              <w:rPr>
                <w:rFonts w:hint="eastAsia" w:ascii="宋体" w:cs="宋体"/>
                <w:szCs w:val="21"/>
              </w:rPr>
              <w:t>投标人不符合资格要求，或未提交相应的资格证明资料（详见招标公告投标人资格要求，即申请人的资格要求）</w:t>
            </w:r>
          </w:p>
        </w:tc>
      </w:tr>
      <w:tr w14:paraId="40080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2"/>
            <w:vAlign w:val="center"/>
          </w:tcPr>
          <w:p w14:paraId="3EF27A22">
            <w:pPr>
              <w:spacing w:line="360" w:lineRule="exact"/>
              <w:jc w:val="center"/>
              <w:rPr>
                <w:rFonts w:ascii="宋体" w:hAnsi="宋体" w:cs="宋体"/>
                <w:b/>
                <w:sz w:val="22"/>
                <w:szCs w:val="22"/>
              </w:rPr>
            </w:pPr>
            <w:r>
              <w:rPr>
                <w:rFonts w:hint="eastAsia" w:ascii="宋体" w:hAnsi="宋体" w:cs="宋体"/>
                <w:b/>
                <w:sz w:val="22"/>
                <w:szCs w:val="22"/>
              </w:rPr>
              <w:t>符合性审查表</w:t>
            </w:r>
          </w:p>
        </w:tc>
      </w:tr>
      <w:tr w14:paraId="2AA1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vAlign w:val="center"/>
          </w:tcPr>
          <w:p w14:paraId="123490D8">
            <w:pPr>
              <w:numPr>
                <w:ilvl w:val="0"/>
                <w:numId w:val="4"/>
              </w:numPr>
              <w:spacing w:line="360" w:lineRule="exact"/>
              <w:rPr>
                <w:rFonts w:ascii="宋体" w:hAnsi="宋体" w:cs="宋体"/>
                <w:sz w:val="22"/>
                <w:szCs w:val="22"/>
              </w:rPr>
            </w:pPr>
          </w:p>
        </w:tc>
        <w:tc>
          <w:tcPr>
            <w:tcW w:w="4599" w:type="pct"/>
          </w:tcPr>
          <w:p w14:paraId="6EA7CCD4">
            <w:pPr>
              <w:rPr>
                <w:rFonts w:ascii="宋体" w:cs="宋体"/>
                <w:szCs w:val="21"/>
              </w:rPr>
            </w:pPr>
            <w:r>
              <w:rPr>
                <w:rFonts w:hint="eastAsia" w:ascii="宋体" w:cs="宋体"/>
                <w:szCs w:val="21"/>
              </w:rPr>
              <w:t>将一个包或一个标段的内容拆开投标；</w:t>
            </w:r>
          </w:p>
        </w:tc>
      </w:tr>
      <w:tr w14:paraId="63B3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vAlign w:val="center"/>
          </w:tcPr>
          <w:p w14:paraId="6D7830B0">
            <w:pPr>
              <w:numPr>
                <w:ilvl w:val="0"/>
                <w:numId w:val="4"/>
              </w:numPr>
              <w:spacing w:line="360" w:lineRule="exact"/>
              <w:rPr>
                <w:rFonts w:ascii="宋体" w:hAnsi="宋体" w:cs="宋体"/>
                <w:sz w:val="22"/>
                <w:szCs w:val="22"/>
              </w:rPr>
            </w:pPr>
          </w:p>
        </w:tc>
        <w:tc>
          <w:tcPr>
            <w:tcW w:w="4599" w:type="pct"/>
          </w:tcPr>
          <w:p w14:paraId="5144E189">
            <w:pPr>
              <w:rPr>
                <w:rFonts w:ascii="宋体" w:cs="宋体"/>
                <w:szCs w:val="21"/>
              </w:rPr>
            </w:pPr>
            <w:r>
              <w:rPr>
                <w:rFonts w:hint="eastAsia" w:ascii="宋体" w:cs="宋体"/>
                <w:szCs w:val="21"/>
              </w:rPr>
              <w:t>对同一项目投标时，提供两套以上的投标方案（招标文件另有规定的除外）；</w:t>
            </w:r>
          </w:p>
        </w:tc>
      </w:tr>
      <w:tr w14:paraId="5E85F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vAlign w:val="center"/>
          </w:tcPr>
          <w:p w14:paraId="55635D5A">
            <w:pPr>
              <w:numPr>
                <w:ilvl w:val="0"/>
                <w:numId w:val="4"/>
              </w:numPr>
              <w:spacing w:line="360" w:lineRule="exact"/>
              <w:rPr>
                <w:rFonts w:ascii="宋体" w:hAnsi="宋体" w:cs="宋体"/>
                <w:sz w:val="22"/>
                <w:szCs w:val="22"/>
              </w:rPr>
            </w:pPr>
          </w:p>
        </w:tc>
        <w:tc>
          <w:tcPr>
            <w:tcW w:w="4599" w:type="pct"/>
          </w:tcPr>
          <w:p w14:paraId="55B37B0F">
            <w:pPr>
              <w:rPr>
                <w:rFonts w:ascii="宋体" w:cs="宋体"/>
                <w:szCs w:val="21"/>
              </w:rPr>
            </w:pPr>
            <w:r>
              <w:rPr>
                <w:rFonts w:hint="eastAsia" w:ascii="宋体" w:cs="宋体"/>
                <w:szCs w:val="21"/>
              </w:rPr>
              <w:t>分项报价或投标总价高于相应财政预算金额（或设定的财政预算金额下的最高限价）；</w:t>
            </w:r>
          </w:p>
        </w:tc>
      </w:tr>
      <w:tr w14:paraId="4CFA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vAlign w:val="center"/>
          </w:tcPr>
          <w:p w14:paraId="6DB63456">
            <w:pPr>
              <w:numPr>
                <w:ilvl w:val="0"/>
                <w:numId w:val="4"/>
              </w:numPr>
              <w:spacing w:line="360" w:lineRule="exact"/>
              <w:rPr>
                <w:rFonts w:ascii="宋体" w:hAnsi="宋体" w:cs="宋体"/>
                <w:sz w:val="22"/>
                <w:szCs w:val="22"/>
              </w:rPr>
            </w:pPr>
          </w:p>
        </w:tc>
        <w:tc>
          <w:tcPr>
            <w:tcW w:w="4599" w:type="pct"/>
          </w:tcPr>
          <w:p w14:paraId="5652E440">
            <w:pPr>
              <w:rPr>
                <w:rFonts w:ascii="宋体" w:cs="宋体"/>
                <w:szCs w:val="21"/>
              </w:rPr>
            </w:pPr>
            <w:r>
              <w:rPr>
                <w:rFonts w:hint="eastAsia" w:ascii="宋体" w:cs="宋体"/>
                <w:szCs w:val="21"/>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7F242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vAlign w:val="center"/>
          </w:tcPr>
          <w:p w14:paraId="1722EC64">
            <w:pPr>
              <w:numPr>
                <w:ilvl w:val="0"/>
                <w:numId w:val="4"/>
              </w:numPr>
              <w:spacing w:line="360" w:lineRule="exact"/>
              <w:rPr>
                <w:rFonts w:ascii="宋体" w:hAnsi="宋体" w:cs="宋体"/>
                <w:sz w:val="22"/>
                <w:szCs w:val="22"/>
              </w:rPr>
            </w:pPr>
          </w:p>
        </w:tc>
        <w:tc>
          <w:tcPr>
            <w:tcW w:w="4599" w:type="pct"/>
          </w:tcPr>
          <w:p w14:paraId="71295DF5">
            <w:pPr>
              <w:rPr>
                <w:rFonts w:ascii="宋体" w:cs="宋体"/>
                <w:szCs w:val="21"/>
              </w:rPr>
            </w:pPr>
            <w:r>
              <w:rPr>
                <w:rFonts w:hint="eastAsia" w:ascii="宋体" w:cs="宋体"/>
                <w:szCs w:val="21"/>
              </w:rPr>
              <w:t>所投货物、服务在技术、商务等方面没有实质性满足招标文件要求的（是否实质性满足招标文件要求，由评审委员会根据《实质性条款响应情况表》做出评判）；</w:t>
            </w:r>
          </w:p>
        </w:tc>
      </w:tr>
      <w:tr w14:paraId="6527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vAlign w:val="center"/>
          </w:tcPr>
          <w:p w14:paraId="2EB71372">
            <w:pPr>
              <w:numPr>
                <w:ilvl w:val="0"/>
                <w:numId w:val="4"/>
              </w:numPr>
              <w:spacing w:line="360" w:lineRule="exact"/>
              <w:rPr>
                <w:rFonts w:ascii="宋体" w:hAnsi="宋体" w:cs="宋体"/>
                <w:sz w:val="22"/>
                <w:szCs w:val="22"/>
              </w:rPr>
            </w:pPr>
          </w:p>
        </w:tc>
        <w:tc>
          <w:tcPr>
            <w:tcW w:w="4599" w:type="pct"/>
          </w:tcPr>
          <w:p w14:paraId="26521801">
            <w:pPr>
              <w:rPr>
                <w:rFonts w:ascii="宋体" w:cs="宋体"/>
                <w:szCs w:val="21"/>
              </w:rPr>
            </w:pPr>
            <w:r>
              <w:rPr>
                <w:rFonts w:hint="eastAsia" w:ascii="宋体" w:cs="宋体"/>
                <w:szCs w:val="21"/>
              </w:rPr>
              <w:t>未按招标文件所提供的样式填写《投标函》；未按招标文件所提供的《政府采购投标及履约承诺函》进行承诺；未按招标文件对投标文件组成的要求提供投标文件；</w:t>
            </w:r>
          </w:p>
        </w:tc>
      </w:tr>
      <w:tr w14:paraId="7F9D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vAlign w:val="center"/>
          </w:tcPr>
          <w:p w14:paraId="6366B13B">
            <w:pPr>
              <w:numPr>
                <w:ilvl w:val="0"/>
                <w:numId w:val="4"/>
              </w:numPr>
              <w:spacing w:line="360" w:lineRule="exact"/>
              <w:rPr>
                <w:rFonts w:ascii="宋体" w:hAnsi="宋体" w:cs="宋体"/>
                <w:sz w:val="22"/>
                <w:szCs w:val="22"/>
              </w:rPr>
            </w:pPr>
          </w:p>
        </w:tc>
        <w:tc>
          <w:tcPr>
            <w:tcW w:w="4599" w:type="pct"/>
          </w:tcPr>
          <w:p w14:paraId="18671B30">
            <w:pPr>
              <w:rPr>
                <w:rFonts w:ascii="宋体" w:cs="宋体"/>
                <w:szCs w:val="21"/>
              </w:rPr>
            </w:pPr>
            <w:r>
              <w:rPr>
                <w:rFonts w:hint="eastAsia" w:ascii="宋体" w:cs="宋体"/>
                <w:szCs w:val="21"/>
              </w:rPr>
              <w:t>投标文件电子文档带病毒；</w:t>
            </w:r>
          </w:p>
        </w:tc>
      </w:tr>
      <w:tr w14:paraId="310D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vAlign w:val="center"/>
          </w:tcPr>
          <w:p w14:paraId="6C2C4A90">
            <w:pPr>
              <w:numPr>
                <w:ilvl w:val="0"/>
                <w:numId w:val="4"/>
              </w:numPr>
              <w:spacing w:line="360" w:lineRule="exact"/>
              <w:rPr>
                <w:rFonts w:ascii="宋体" w:hAnsi="宋体" w:cs="宋体"/>
                <w:sz w:val="22"/>
                <w:szCs w:val="22"/>
              </w:rPr>
            </w:pPr>
          </w:p>
        </w:tc>
        <w:tc>
          <w:tcPr>
            <w:tcW w:w="4599" w:type="pct"/>
          </w:tcPr>
          <w:p w14:paraId="4B7F9E5D">
            <w:pPr>
              <w:rPr>
                <w:rFonts w:ascii="宋体" w:cs="宋体"/>
                <w:szCs w:val="21"/>
              </w:rPr>
            </w:pPr>
            <w:r>
              <w:rPr>
                <w:rFonts w:hint="eastAsia" w:ascii="宋体" w:cs="宋体"/>
                <w:szCs w:val="21"/>
              </w:rPr>
              <w:t>法律、法规、规章、规范性文件规定的其他情形。</w:t>
            </w:r>
          </w:p>
        </w:tc>
      </w:tr>
    </w:tbl>
    <w:p w14:paraId="2623F8B7">
      <w:pPr>
        <w:rPr>
          <w:rFonts w:ascii="Times New Roman" w:hAnsi="Times New Roman"/>
          <w:b/>
        </w:rPr>
      </w:pPr>
    </w:p>
    <w:p w14:paraId="78240324">
      <w:pPr>
        <w:rPr>
          <w:rFonts w:ascii="Times New Roman" w:hAnsi="Times New Roman"/>
          <w:b/>
          <w:sz w:val="22"/>
          <w:szCs w:val="22"/>
        </w:rPr>
      </w:pPr>
      <w:r>
        <w:rPr>
          <w:rFonts w:hint="eastAsia" w:ascii="Times New Roman" w:hAnsi="Times New Roman"/>
          <w:b/>
          <w:sz w:val="22"/>
          <w:szCs w:val="22"/>
        </w:rPr>
        <w:t>备注：《资格性审查表》和《符合性审查表》初审不通过，按投标无效处理。</w:t>
      </w:r>
    </w:p>
    <w:p w14:paraId="4D7E638A">
      <w:pPr>
        <w:pStyle w:val="2"/>
        <w:spacing w:before="0" w:after="0" w:line="240" w:lineRule="auto"/>
        <w:rPr>
          <w:rFonts w:ascii="宋体" w:hAnsi="宋体" w:cs="宋体"/>
        </w:rPr>
      </w:pPr>
      <w:r>
        <w:rPr>
          <w:rFonts w:hint="eastAsia" w:ascii="宋体" w:hAnsi="宋体" w:cs="宋体"/>
        </w:rPr>
        <w:br w:type="page"/>
      </w:r>
      <w:r>
        <w:rPr>
          <w:rFonts w:hint="eastAsia" w:ascii="宋体" w:hAnsi="宋体" w:cs="宋体"/>
          <w:b/>
          <w:sz w:val="28"/>
          <w:szCs w:val="28"/>
        </w:rPr>
        <w:t>评标信息</w:t>
      </w:r>
    </w:p>
    <w:p w14:paraId="2F27E8FF">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 w:val="22"/>
          <w:szCs w:val="22"/>
        </w:rPr>
      </w:pPr>
      <w:r>
        <w:rPr>
          <w:rFonts w:hint="eastAsia" w:ascii="宋体" w:hAnsi="宋体" w:cs="宋体"/>
          <w:sz w:val="22"/>
          <w:szCs w:val="22"/>
        </w:rPr>
        <w:t>评标方法：综合评分法。按照招标文件中规定的各项因素进行量化打分，以评标总得分的平均分最高的投标人为中标候选供应商；采购人根据评标委员会评审结果确定中标候选供应商为中标人。</w:t>
      </w:r>
    </w:p>
    <w:p w14:paraId="18C804D7">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 w:val="22"/>
          <w:szCs w:val="22"/>
        </w:rPr>
      </w:pPr>
      <w:r>
        <w:rPr>
          <w:rFonts w:hint="eastAsia" w:ascii="宋体" w:hAnsi="宋体" w:cs="宋体"/>
          <w:sz w:val="22"/>
          <w:szCs w:val="22"/>
        </w:rPr>
        <w:t>综合评分法中的价格分统一采用低价优先法计算。即满足采购文件要求且投标价格最低的投标报价为评标基准价，其价格分为满分。其他投标人的价格分统一按照下列公式计算：投标报价得分=(评标基准价/投标报价)×分值</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137"/>
        <w:gridCol w:w="895"/>
        <w:gridCol w:w="4691"/>
      </w:tblGrid>
      <w:tr w14:paraId="5516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75" w:type="dxa"/>
            <w:gridSpan w:val="3"/>
            <w:vAlign w:val="center"/>
          </w:tcPr>
          <w:p w14:paraId="335325A4">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评分项</w:t>
            </w:r>
          </w:p>
        </w:tc>
        <w:tc>
          <w:tcPr>
            <w:tcW w:w="4691" w:type="dxa"/>
            <w:vAlign w:val="center"/>
          </w:tcPr>
          <w:p w14:paraId="071F6C24">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分值</w:t>
            </w:r>
          </w:p>
        </w:tc>
      </w:tr>
      <w:tr w14:paraId="5D08B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75" w:type="dxa"/>
            <w:gridSpan w:val="3"/>
            <w:vAlign w:val="center"/>
          </w:tcPr>
          <w:p w14:paraId="06FF781E">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价格</w:t>
            </w:r>
          </w:p>
        </w:tc>
        <w:tc>
          <w:tcPr>
            <w:tcW w:w="4691" w:type="dxa"/>
            <w:vAlign w:val="center"/>
          </w:tcPr>
          <w:p w14:paraId="3FE617A4">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b/>
                <w:bCs/>
                <w:sz w:val="22"/>
                <w:szCs w:val="22"/>
                <w:lang w:val="en-US" w:eastAsia="zh-CN"/>
              </w:rPr>
            </w:pPr>
            <w:r>
              <w:rPr>
                <w:rFonts w:hint="default" w:ascii="Times New Roman" w:hAnsi="Times New Roman" w:eastAsia="宋体" w:cs="Times New Roman"/>
                <w:b/>
                <w:bCs/>
                <w:sz w:val="22"/>
                <w:szCs w:val="22"/>
                <w:lang w:val="en-US" w:eastAsia="zh-CN"/>
              </w:rPr>
              <w:t>15</w:t>
            </w:r>
          </w:p>
        </w:tc>
      </w:tr>
      <w:tr w14:paraId="0787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75" w:type="dxa"/>
            <w:gridSpan w:val="3"/>
            <w:vAlign w:val="center"/>
          </w:tcPr>
          <w:p w14:paraId="315AB609">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技术部分</w:t>
            </w:r>
          </w:p>
        </w:tc>
        <w:tc>
          <w:tcPr>
            <w:tcW w:w="4691" w:type="dxa"/>
            <w:vAlign w:val="center"/>
          </w:tcPr>
          <w:p w14:paraId="4AAFFAA4">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b/>
                <w:bCs/>
                <w:sz w:val="22"/>
                <w:szCs w:val="22"/>
                <w:lang w:val="en-US" w:eastAsia="zh-CN"/>
              </w:rPr>
            </w:pPr>
            <w:r>
              <w:rPr>
                <w:rFonts w:hint="eastAsia" w:ascii="Times New Roman" w:hAnsi="Times New Roman" w:cs="Times New Roman"/>
                <w:b/>
                <w:bCs/>
                <w:sz w:val="22"/>
                <w:szCs w:val="22"/>
                <w:lang w:val="en-US" w:eastAsia="zh-CN"/>
              </w:rPr>
              <w:t>70</w:t>
            </w:r>
          </w:p>
        </w:tc>
      </w:tr>
      <w:tr w14:paraId="4784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shd w:val="clear" w:color="auto" w:fill="BDD6EE"/>
            <w:vAlign w:val="center"/>
          </w:tcPr>
          <w:p w14:paraId="52BB7C6E">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序号</w:t>
            </w:r>
          </w:p>
        </w:tc>
        <w:tc>
          <w:tcPr>
            <w:tcW w:w="2137" w:type="dxa"/>
            <w:shd w:val="clear" w:color="auto" w:fill="BDD6EE"/>
            <w:vAlign w:val="center"/>
          </w:tcPr>
          <w:p w14:paraId="2638D77E">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评分因素</w:t>
            </w:r>
          </w:p>
        </w:tc>
        <w:tc>
          <w:tcPr>
            <w:tcW w:w="895" w:type="dxa"/>
            <w:shd w:val="clear" w:color="auto" w:fill="BDD6EE"/>
            <w:vAlign w:val="center"/>
          </w:tcPr>
          <w:p w14:paraId="1C9D7DC6">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分值</w:t>
            </w:r>
          </w:p>
        </w:tc>
        <w:tc>
          <w:tcPr>
            <w:tcW w:w="4691" w:type="dxa"/>
            <w:shd w:val="clear" w:color="auto" w:fill="BDD6EE"/>
            <w:vAlign w:val="center"/>
          </w:tcPr>
          <w:p w14:paraId="5CB20A30">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评分准则</w:t>
            </w:r>
          </w:p>
        </w:tc>
      </w:tr>
      <w:tr w14:paraId="10A4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Align w:val="center"/>
          </w:tcPr>
          <w:p w14:paraId="03F43819">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w:t>
            </w:r>
          </w:p>
        </w:tc>
        <w:tc>
          <w:tcPr>
            <w:tcW w:w="2137" w:type="dxa"/>
            <w:shd w:val="clear" w:color="auto" w:fill="auto"/>
            <w:vAlign w:val="center"/>
          </w:tcPr>
          <w:p w14:paraId="088BD71D">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kern w:val="2"/>
                <w:sz w:val="22"/>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sz w:val="22"/>
                <w:szCs w:val="22"/>
                <w:lang w:eastAsia="zh-CN"/>
                <w14:textFill>
                  <w14:solidFill>
                    <w14:schemeClr w14:val="tx1"/>
                  </w14:solidFill>
                </w14:textFill>
              </w:rPr>
              <w:t>服务条款偏离情况</w:t>
            </w:r>
          </w:p>
        </w:tc>
        <w:tc>
          <w:tcPr>
            <w:tcW w:w="895" w:type="dxa"/>
            <w:shd w:val="clear" w:color="auto" w:fill="auto"/>
            <w:vAlign w:val="center"/>
          </w:tcPr>
          <w:p w14:paraId="4E88172F">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kern w:val="2"/>
                <w:sz w:val="22"/>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5</w:t>
            </w:r>
          </w:p>
        </w:tc>
        <w:tc>
          <w:tcPr>
            <w:tcW w:w="4691" w:type="dxa"/>
            <w:shd w:val="clear" w:color="auto" w:fill="auto"/>
            <w:vAlign w:val="top"/>
          </w:tcPr>
          <w:p w14:paraId="37086E35">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color w:val="000000" w:themeColor="text1"/>
                <w:sz w:val="22"/>
                <w:szCs w:val="22"/>
                <w:highlight w:val="none"/>
                <w14:textFill>
                  <w14:solidFill>
                    <w14:schemeClr w14:val="tx1"/>
                  </w14:solidFill>
                </w14:textFill>
              </w:rPr>
              <w:t>投标人应如实填写《服务条款偏离表》，评审委员会根据服务要求条款响应情况进行打分，各项服务要求条款要求全部满足的得满分，服务条款每负偏离一项扣</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2"/>
                <w:szCs w:val="22"/>
                <w:highlight w:val="none"/>
                <w14:textFill>
                  <w14:solidFill>
                    <w14:schemeClr w14:val="tx1"/>
                  </w14:solidFill>
                </w14:textFill>
              </w:rPr>
              <w:t>分，扣完为止。</w:t>
            </w:r>
          </w:p>
        </w:tc>
      </w:tr>
      <w:tr w14:paraId="017A0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Align w:val="center"/>
          </w:tcPr>
          <w:p w14:paraId="02B36E20">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22"/>
                <w:szCs w:val="22"/>
                <w:lang w:eastAsia="zh-CN"/>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2</w:t>
            </w:r>
          </w:p>
        </w:tc>
        <w:tc>
          <w:tcPr>
            <w:tcW w:w="2137" w:type="dxa"/>
            <w:shd w:val="clear" w:color="auto" w:fill="auto"/>
            <w:vAlign w:val="center"/>
          </w:tcPr>
          <w:p w14:paraId="24D38DA2">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lang w:eastAsia="zh-CN"/>
                <w14:textFill>
                  <w14:solidFill>
                    <w14:schemeClr w14:val="tx1"/>
                  </w14:solidFill>
                </w14:textFill>
              </w:rPr>
              <w:t>总体工作</w:t>
            </w:r>
            <w:r>
              <w:rPr>
                <w:rFonts w:hint="default" w:ascii="Times New Roman" w:hAnsi="Times New Roman" w:eastAsia="宋体" w:cs="Times New Roman"/>
                <w:color w:val="000000" w:themeColor="text1"/>
                <w:sz w:val="22"/>
                <w:szCs w:val="22"/>
                <w14:textFill>
                  <w14:solidFill>
                    <w14:schemeClr w14:val="tx1"/>
                  </w14:solidFill>
                </w14:textFill>
              </w:rPr>
              <w:t>方案</w:t>
            </w:r>
          </w:p>
        </w:tc>
        <w:tc>
          <w:tcPr>
            <w:tcW w:w="895" w:type="dxa"/>
            <w:shd w:val="clear" w:color="auto" w:fill="auto"/>
            <w:vAlign w:val="center"/>
          </w:tcPr>
          <w:p w14:paraId="6A7E5C1D">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15</w:t>
            </w:r>
          </w:p>
        </w:tc>
        <w:tc>
          <w:tcPr>
            <w:tcW w:w="4691" w:type="dxa"/>
            <w:shd w:val="clear" w:color="auto" w:fill="auto"/>
          </w:tcPr>
          <w:p w14:paraId="66E0E8BC">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（一）评审内容：</w:t>
            </w:r>
            <w:r>
              <w:rPr>
                <w:rFonts w:hint="default" w:ascii="Times New Roman" w:hAnsi="Times New Roman" w:eastAsia="宋体" w:cs="Times New Roman"/>
                <w:sz w:val="22"/>
                <w:szCs w:val="22"/>
              </w:rPr>
              <w:t xml:space="preserve"> </w:t>
            </w:r>
          </w:p>
          <w:p w14:paraId="4035031C">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评审委员会根据投标单位的总体工作方案进行评审，包括但不限于以下内容：</w:t>
            </w:r>
          </w:p>
          <w:p w14:paraId="584622AE">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kern w:val="0"/>
                <w:sz w:val="22"/>
                <w:szCs w:val="22"/>
                <w:lang w:eastAsia="zh-CN" w:bidi="ar"/>
              </w:rPr>
            </w:pPr>
            <w:r>
              <w:rPr>
                <w:rFonts w:hint="default" w:ascii="Times New Roman" w:hAnsi="Times New Roman" w:eastAsia="宋体" w:cs="Times New Roman"/>
                <w:color w:val="000000"/>
                <w:kern w:val="0"/>
                <w:sz w:val="22"/>
                <w:szCs w:val="22"/>
                <w:lang w:bidi="ar"/>
              </w:rPr>
              <w:t>1.</w:t>
            </w:r>
            <w:r>
              <w:rPr>
                <w:rFonts w:hint="default" w:ascii="Times New Roman" w:hAnsi="Times New Roman" w:eastAsia="宋体" w:cs="Times New Roman"/>
                <w:color w:val="000000"/>
                <w:kern w:val="0"/>
                <w:sz w:val="22"/>
                <w:szCs w:val="22"/>
                <w:lang w:eastAsia="zh-CN" w:bidi="ar"/>
              </w:rPr>
              <w:t>工作流程、及方法；</w:t>
            </w:r>
          </w:p>
          <w:p w14:paraId="02C437D1">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kern w:val="0"/>
                <w:sz w:val="22"/>
                <w:szCs w:val="22"/>
                <w:lang w:bidi="ar"/>
              </w:rPr>
            </w:pPr>
            <w:r>
              <w:rPr>
                <w:rFonts w:hint="default" w:ascii="Times New Roman" w:hAnsi="Times New Roman" w:eastAsia="宋体" w:cs="Times New Roman"/>
                <w:color w:val="000000"/>
                <w:kern w:val="0"/>
                <w:sz w:val="22"/>
                <w:szCs w:val="22"/>
                <w:lang w:val="en-US" w:eastAsia="zh-CN" w:bidi="ar"/>
              </w:rPr>
              <w:t>2.服务团队配置</w:t>
            </w:r>
            <w:r>
              <w:rPr>
                <w:rFonts w:hint="default" w:ascii="Times New Roman" w:hAnsi="Times New Roman" w:eastAsia="宋体" w:cs="Times New Roman"/>
                <w:color w:val="000000"/>
                <w:kern w:val="0"/>
                <w:sz w:val="22"/>
                <w:szCs w:val="22"/>
                <w:lang w:bidi="ar"/>
              </w:rPr>
              <w:t>；</w:t>
            </w:r>
          </w:p>
          <w:p w14:paraId="081A3A36">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kern w:val="0"/>
                <w:sz w:val="22"/>
                <w:szCs w:val="22"/>
                <w:lang w:bidi="ar"/>
              </w:rPr>
            </w:pPr>
            <w:r>
              <w:rPr>
                <w:rFonts w:hint="default" w:ascii="Times New Roman" w:hAnsi="Times New Roman" w:eastAsia="宋体" w:cs="Times New Roman"/>
                <w:color w:val="000000"/>
                <w:kern w:val="0"/>
                <w:sz w:val="22"/>
                <w:szCs w:val="22"/>
                <w:lang w:val="en-US" w:eastAsia="zh-CN" w:bidi="ar"/>
              </w:rPr>
              <w:t>3</w:t>
            </w:r>
            <w:r>
              <w:rPr>
                <w:rFonts w:hint="default" w:ascii="Times New Roman" w:hAnsi="Times New Roman" w:eastAsia="宋体" w:cs="Times New Roman"/>
                <w:color w:val="000000"/>
                <w:kern w:val="0"/>
                <w:sz w:val="22"/>
                <w:szCs w:val="22"/>
                <w:lang w:bidi="ar"/>
              </w:rPr>
              <w:t>.投标人对市级</w:t>
            </w:r>
            <w:r>
              <w:rPr>
                <w:rFonts w:hint="default" w:ascii="Times New Roman" w:hAnsi="Times New Roman" w:eastAsia="宋体" w:cs="Times New Roman"/>
                <w:color w:val="000000"/>
                <w:kern w:val="0"/>
                <w:sz w:val="22"/>
                <w:szCs w:val="22"/>
                <w:lang w:eastAsia="zh-CN" w:bidi="ar"/>
              </w:rPr>
              <w:t>或以上政府部门或</w:t>
            </w:r>
            <w:r>
              <w:rPr>
                <w:rFonts w:hint="default" w:ascii="Times New Roman" w:hAnsi="Times New Roman" w:eastAsia="宋体" w:cs="Times New Roman"/>
                <w:color w:val="000000"/>
                <w:kern w:val="0"/>
                <w:sz w:val="22"/>
                <w:szCs w:val="22"/>
                <w:lang w:bidi="ar"/>
              </w:rPr>
              <w:t>事业单位支出标准及制度规范掌握情况。</w:t>
            </w:r>
          </w:p>
          <w:p w14:paraId="153ADF74">
            <w:pPr>
              <w:keepNext w:val="0"/>
              <w:keepLines w:val="0"/>
              <w:pageBreakBefore w:val="0"/>
              <w:widowControl w:val="0"/>
              <w:numPr>
                <w:ilvl w:val="255"/>
                <w:numId w:val="0"/>
              </w:numPr>
              <w:kinsoku/>
              <w:wordWrap/>
              <w:overflowPunct/>
              <w:topLinePunct w:val="0"/>
              <w:bidi w:val="0"/>
              <w:spacing w:line="360" w:lineRule="exact"/>
              <w:jc w:val="left"/>
              <w:textAlignment w:val="auto"/>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（二）评分依据：</w:t>
            </w:r>
          </w:p>
          <w:p w14:paraId="3835738C">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每提供以上1点得</w:t>
            </w:r>
            <w:r>
              <w:rPr>
                <w:rFonts w:hint="default" w:ascii="Times New Roman" w:hAnsi="Times New Roman" w:eastAsia="宋体" w:cs="Times New Roman"/>
                <w:sz w:val="22"/>
                <w:szCs w:val="22"/>
                <w:lang w:val="en-US" w:eastAsia="zh-CN"/>
              </w:rPr>
              <w:t>2</w:t>
            </w:r>
            <w:r>
              <w:rPr>
                <w:rFonts w:hint="default" w:ascii="Times New Roman" w:hAnsi="Times New Roman" w:eastAsia="宋体" w:cs="Times New Roman"/>
                <w:sz w:val="22"/>
                <w:szCs w:val="22"/>
              </w:rPr>
              <w:t>分，最高得</w:t>
            </w:r>
            <w:r>
              <w:rPr>
                <w:rFonts w:hint="default" w:ascii="Times New Roman" w:hAnsi="Times New Roman" w:eastAsia="宋体" w:cs="Times New Roman"/>
                <w:sz w:val="22"/>
                <w:szCs w:val="22"/>
                <w:lang w:val="en-US" w:eastAsia="zh-CN"/>
              </w:rPr>
              <w:t>6</w:t>
            </w:r>
            <w:r>
              <w:rPr>
                <w:rFonts w:hint="default" w:ascii="Times New Roman" w:hAnsi="Times New Roman" w:eastAsia="宋体" w:cs="Times New Roman"/>
                <w:sz w:val="22"/>
                <w:szCs w:val="22"/>
              </w:rPr>
              <w:t>分，缺项不得分。</w:t>
            </w:r>
          </w:p>
          <w:p w14:paraId="0CFFC7D6">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在此基础上，专家根据内容的合理性进行评分：</w:t>
            </w:r>
          </w:p>
          <w:p w14:paraId="67560E34">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优评分标准：方案符合实际、完整、规范、思路清晰，内容合理性强。</w:t>
            </w:r>
          </w:p>
          <w:p w14:paraId="4EF5A51C">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良评分标准：方案较符合实际、较完整规范、思路较清晰，内容合理性较强。</w:t>
            </w:r>
          </w:p>
          <w:p w14:paraId="4311083B">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中评分标准：方案较普通、完整性规范性一般，思路不够清晰，内容合理性一般。</w:t>
            </w:r>
          </w:p>
          <w:p w14:paraId="1BC0C7E3">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差评分标准</w:t>
            </w:r>
            <w:r>
              <w:rPr>
                <w:rFonts w:hint="default" w:ascii="Times New Roman" w:hAnsi="Times New Roman" w:eastAsia="宋体" w:cs="Times New Roman"/>
                <w:sz w:val="22"/>
                <w:szCs w:val="22"/>
                <w:lang w:eastAsia="zh-CN"/>
              </w:rPr>
              <w:t>：</w:t>
            </w:r>
            <w:r>
              <w:rPr>
                <w:rFonts w:hint="default" w:ascii="Times New Roman" w:hAnsi="Times New Roman" w:eastAsia="宋体" w:cs="Times New Roman"/>
                <w:sz w:val="22"/>
                <w:szCs w:val="22"/>
              </w:rPr>
              <w:t>方案不完整、不规范，思路不清晰，内容合理性较差或未提供。</w:t>
            </w:r>
          </w:p>
          <w:p w14:paraId="73114F04">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评价为优加</w:t>
            </w:r>
            <w:r>
              <w:rPr>
                <w:rFonts w:hint="default" w:ascii="Times New Roman" w:hAnsi="Times New Roman" w:eastAsia="宋体" w:cs="Times New Roman"/>
                <w:sz w:val="22"/>
                <w:szCs w:val="22"/>
                <w:lang w:val="en-US" w:eastAsia="zh-CN"/>
              </w:rPr>
              <w:t>9</w:t>
            </w:r>
            <w:r>
              <w:rPr>
                <w:rFonts w:hint="default" w:ascii="Times New Roman" w:hAnsi="Times New Roman" w:eastAsia="宋体" w:cs="Times New Roman"/>
                <w:sz w:val="22"/>
                <w:szCs w:val="22"/>
              </w:rPr>
              <w:t>分。</w:t>
            </w:r>
          </w:p>
          <w:p w14:paraId="08C69B70">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评价为良加</w:t>
            </w:r>
            <w:r>
              <w:rPr>
                <w:rFonts w:hint="default" w:ascii="Times New Roman" w:hAnsi="Times New Roman" w:eastAsia="宋体" w:cs="Times New Roman"/>
                <w:sz w:val="22"/>
                <w:szCs w:val="22"/>
                <w:lang w:val="en-US" w:eastAsia="zh-CN"/>
              </w:rPr>
              <w:t>6</w:t>
            </w:r>
            <w:r>
              <w:rPr>
                <w:rFonts w:hint="default" w:ascii="Times New Roman" w:hAnsi="Times New Roman" w:eastAsia="宋体" w:cs="Times New Roman"/>
                <w:sz w:val="22"/>
                <w:szCs w:val="22"/>
              </w:rPr>
              <w:t>分。</w:t>
            </w:r>
          </w:p>
          <w:p w14:paraId="21975DBF">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评价为中加</w:t>
            </w:r>
            <w:r>
              <w:rPr>
                <w:rFonts w:hint="default" w:ascii="Times New Roman" w:hAnsi="Times New Roman" w:eastAsia="宋体" w:cs="Times New Roman"/>
                <w:sz w:val="22"/>
                <w:szCs w:val="22"/>
                <w:lang w:val="en-US" w:eastAsia="zh-CN"/>
              </w:rPr>
              <w:t>3</w:t>
            </w:r>
            <w:r>
              <w:rPr>
                <w:rFonts w:hint="default" w:ascii="Times New Roman" w:hAnsi="Times New Roman" w:eastAsia="宋体" w:cs="Times New Roman"/>
                <w:sz w:val="22"/>
                <w:szCs w:val="22"/>
              </w:rPr>
              <w:t>分。</w:t>
            </w:r>
          </w:p>
          <w:p w14:paraId="0B6F4533">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评价为差不得分。如评审为差，评审专家须书面说明理由，并记录在档。</w:t>
            </w:r>
          </w:p>
        </w:tc>
      </w:tr>
      <w:tr w14:paraId="25A9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Align w:val="center"/>
          </w:tcPr>
          <w:p w14:paraId="17E80BCB">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sz w:val="22"/>
                <w:szCs w:val="22"/>
                <w:lang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3</w:t>
            </w:r>
          </w:p>
        </w:tc>
        <w:tc>
          <w:tcPr>
            <w:tcW w:w="2137" w:type="dxa"/>
            <w:vAlign w:val="center"/>
          </w:tcPr>
          <w:p w14:paraId="6F8567F5">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lang w:eastAsia="zh-CN"/>
                <w14:textFill>
                  <w14:solidFill>
                    <w14:schemeClr w14:val="tx1"/>
                  </w14:solidFill>
                </w14:textFill>
              </w:rPr>
              <w:t>服务</w:t>
            </w:r>
            <w:r>
              <w:rPr>
                <w:rFonts w:hint="default" w:ascii="Times New Roman" w:hAnsi="Times New Roman" w:eastAsia="宋体" w:cs="Times New Roman"/>
                <w:color w:val="000000" w:themeColor="text1"/>
                <w:sz w:val="22"/>
                <w:szCs w:val="22"/>
                <w14:textFill>
                  <w14:solidFill>
                    <w14:schemeClr w14:val="tx1"/>
                  </w14:solidFill>
                </w14:textFill>
              </w:rPr>
              <w:t>保障措施</w:t>
            </w:r>
          </w:p>
        </w:tc>
        <w:tc>
          <w:tcPr>
            <w:tcW w:w="895" w:type="dxa"/>
            <w:vAlign w:val="center"/>
          </w:tcPr>
          <w:p w14:paraId="483E100D">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15</w:t>
            </w:r>
          </w:p>
        </w:tc>
        <w:tc>
          <w:tcPr>
            <w:tcW w:w="4691" w:type="dxa"/>
          </w:tcPr>
          <w:p w14:paraId="48AF2DC8">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（一）评审内容：</w:t>
            </w:r>
            <w:r>
              <w:rPr>
                <w:rFonts w:hint="default" w:ascii="Times New Roman" w:hAnsi="Times New Roman" w:eastAsia="宋体" w:cs="Times New Roman"/>
                <w:sz w:val="22"/>
                <w:szCs w:val="22"/>
              </w:rPr>
              <w:t xml:space="preserve"> </w:t>
            </w:r>
          </w:p>
          <w:p w14:paraId="13AF7F02">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评审委员会根据投标单位的</w:t>
            </w:r>
            <w:r>
              <w:rPr>
                <w:rFonts w:hint="default" w:ascii="Times New Roman" w:hAnsi="Times New Roman" w:eastAsia="宋体" w:cs="Times New Roman"/>
                <w:color w:val="000000"/>
                <w:sz w:val="22"/>
                <w:szCs w:val="22"/>
              </w:rPr>
              <w:t>服务保障措施</w:t>
            </w:r>
            <w:r>
              <w:rPr>
                <w:rFonts w:hint="default" w:ascii="Times New Roman" w:hAnsi="Times New Roman" w:eastAsia="宋体" w:cs="Times New Roman"/>
                <w:sz w:val="22"/>
                <w:szCs w:val="22"/>
              </w:rPr>
              <w:t>进行评审，包括但不限于以下内容：</w:t>
            </w:r>
          </w:p>
          <w:p w14:paraId="75328A3E">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kern w:val="0"/>
                <w:sz w:val="22"/>
                <w:szCs w:val="22"/>
                <w:lang w:bidi="ar"/>
              </w:rPr>
            </w:pPr>
            <w:r>
              <w:rPr>
                <w:rFonts w:hint="default" w:ascii="Times New Roman" w:hAnsi="Times New Roman" w:eastAsia="宋体" w:cs="Times New Roman"/>
                <w:color w:val="000000"/>
                <w:kern w:val="0"/>
                <w:sz w:val="22"/>
                <w:szCs w:val="22"/>
                <w:lang w:bidi="ar"/>
              </w:rPr>
              <w:t>1.针对服务人员突然离岗的保障措施；</w:t>
            </w:r>
          </w:p>
          <w:p w14:paraId="71745917">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kern w:val="0"/>
                <w:sz w:val="22"/>
                <w:szCs w:val="22"/>
                <w:lang w:bidi="ar"/>
              </w:rPr>
            </w:pPr>
            <w:r>
              <w:rPr>
                <w:rFonts w:hint="default" w:ascii="Times New Roman" w:hAnsi="Times New Roman" w:eastAsia="宋体" w:cs="Times New Roman"/>
                <w:color w:val="000000"/>
                <w:kern w:val="0"/>
                <w:sz w:val="22"/>
                <w:szCs w:val="22"/>
                <w:lang w:bidi="ar"/>
              </w:rPr>
              <w:t>2.人员无法胜任岗位要求的保障措施；</w:t>
            </w:r>
          </w:p>
          <w:p w14:paraId="7347CE99">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kern w:val="0"/>
                <w:sz w:val="22"/>
                <w:szCs w:val="22"/>
                <w:lang w:bidi="ar"/>
              </w:rPr>
            </w:pPr>
            <w:r>
              <w:rPr>
                <w:rFonts w:hint="default" w:ascii="Times New Roman" w:hAnsi="Times New Roman" w:eastAsia="宋体" w:cs="Times New Roman"/>
                <w:color w:val="000000"/>
                <w:kern w:val="0"/>
                <w:sz w:val="22"/>
                <w:szCs w:val="22"/>
                <w:lang w:bidi="ar"/>
              </w:rPr>
              <w:t>3.其他针对连贯性提供的保障措施。</w:t>
            </w:r>
          </w:p>
          <w:p w14:paraId="1A183D62">
            <w:pPr>
              <w:keepNext w:val="0"/>
              <w:keepLines w:val="0"/>
              <w:pageBreakBefore w:val="0"/>
              <w:widowControl w:val="0"/>
              <w:numPr>
                <w:ilvl w:val="255"/>
                <w:numId w:val="0"/>
              </w:numPr>
              <w:kinsoku/>
              <w:wordWrap/>
              <w:overflowPunct/>
              <w:topLinePunct w:val="0"/>
              <w:bidi w:val="0"/>
              <w:spacing w:line="360" w:lineRule="exact"/>
              <w:jc w:val="left"/>
              <w:textAlignment w:val="auto"/>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（二）评分依据：</w:t>
            </w:r>
          </w:p>
          <w:p w14:paraId="115F6F8F">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每提供以上1点得</w:t>
            </w:r>
            <w:r>
              <w:rPr>
                <w:rFonts w:hint="default" w:ascii="Times New Roman" w:hAnsi="Times New Roman" w:eastAsia="宋体" w:cs="Times New Roman"/>
                <w:sz w:val="22"/>
                <w:szCs w:val="22"/>
                <w:lang w:val="en-US" w:eastAsia="zh-CN"/>
              </w:rPr>
              <w:t>2</w:t>
            </w:r>
            <w:r>
              <w:rPr>
                <w:rFonts w:hint="default" w:ascii="Times New Roman" w:hAnsi="Times New Roman" w:eastAsia="宋体" w:cs="Times New Roman"/>
                <w:sz w:val="22"/>
                <w:szCs w:val="22"/>
              </w:rPr>
              <w:t>分，最高得</w:t>
            </w:r>
            <w:r>
              <w:rPr>
                <w:rFonts w:hint="default" w:ascii="Times New Roman" w:hAnsi="Times New Roman" w:eastAsia="宋体" w:cs="Times New Roman"/>
                <w:sz w:val="22"/>
                <w:szCs w:val="22"/>
                <w:lang w:val="en-US" w:eastAsia="zh-CN"/>
              </w:rPr>
              <w:t>6</w:t>
            </w:r>
            <w:r>
              <w:rPr>
                <w:rFonts w:hint="default" w:ascii="Times New Roman" w:hAnsi="Times New Roman" w:eastAsia="宋体" w:cs="Times New Roman"/>
                <w:sz w:val="22"/>
                <w:szCs w:val="22"/>
              </w:rPr>
              <w:t>分，缺项不得分。</w:t>
            </w:r>
          </w:p>
          <w:p w14:paraId="1B9C3873">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在此基础上，专家根据内容的合理性进行评分：</w:t>
            </w:r>
          </w:p>
          <w:p w14:paraId="020C2F9F">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优评分标准：方案符合实际、完整、规范、思路清晰，内容合理性强。</w:t>
            </w:r>
          </w:p>
          <w:p w14:paraId="1EB7EE66">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良评分标准：方案较符合实际、较完整规范、思路较清晰，内容合理性较强。</w:t>
            </w:r>
          </w:p>
          <w:p w14:paraId="11FE3306">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中评分标准：方案较普通、完整性规范性一般，思路不够清晰，内容合理性一般。</w:t>
            </w:r>
          </w:p>
          <w:p w14:paraId="5A12BB10">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差评分标准</w:t>
            </w:r>
            <w:r>
              <w:rPr>
                <w:rFonts w:hint="default" w:ascii="Times New Roman" w:hAnsi="Times New Roman" w:eastAsia="宋体" w:cs="Times New Roman"/>
                <w:sz w:val="22"/>
                <w:szCs w:val="22"/>
                <w:lang w:eastAsia="zh-CN"/>
              </w:rPr>
              <w:t>：</w:t>
            </w:r>
            <w:r>
              <w:rPr>
                <w:rFonts w:hint="default" w:ascii="Times New Roman" w:hAnsi="Times New Roman" w:eastAsia="宋体" w:cs="Times New Roman"/>
                <w:sz w:val="22"/>
                <w:szCs w:val="22"/>
              </w:rPr>
              <w:t>方案不完整、不规范，思路不清晰，内容合理性较差或未提供。</w:t>
            </w:r>
          </w:p>
          <w:p w14:paraId="7905D11E">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评价为优加</w:t>
            </w:r>
            <w:r>
              <w:rPr>
                <w:rFonts w:hint="default" w:ascii="Times New Roman" w:hAnsi="Times New Roman" w:eastAsia="宋体" w:cs="Times New Roman"/>
                <w:sz w:val="22"/>
                <w:szCs w:val="22"/>
                <w:lang w:val="en-US" w:eastAsia="zh-CN"/>
              </w:rPr>
              <w:t>9</w:t>
            </w:r>
            <w:r>
              <w:rPr>
                <w:rFonts w:hint="default" w:ascii="Times New Roman" w:hAnsi="Times New Roman" w:eastAsia="宋体" w:cs="Times New Roman"/>
                <w:sz w:val="22"/>
                <w:szCs w:val="22"/>
              </w:rPr>
              <w:t>分。</w:t>
            </w:r>
          </w:p>
          <w:p w14:paraId="0216F780">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评价为良加</w:t>
            </w:r>
            <w:r>
              <w:rPr>
                <w:rFonts w:hint="default" w:ascii="Times New Roman" w:hAnsi="Times New Roman" w:eastAsia="宋体" w:cs="Times New Roman"/>
                <w:sz w:val="22"/>
                <w:szCs w:val="22"/>
                <w:lang w:val="en-US" w:eastAsia="zh-CN"/>
              </w:rPr>
              <w:t>6</w:t>
            </w:r>
            <w:r>
              <w:rPr>
                <w:rFonts w:hint="default" w:ascii="Times New Roman" w:hAnsi="Times New Roman" w:eastAsia="宋体" w:cs="Times New Roman"/>
                <w:sz w:val="22"/>
                <w:szCs w:val="22"/>
              </w:rPr>
              <w:t>分。</w:t>
            </w:r>
          </w:p>
          <w:p w14:paraId="7B635501">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评价为中加</w:t>
            </w:r>
            <w:r>
              <w:rPr>
                <w:rFonts w:hint="default" w:ascii="Times New Roman" w:hAnsi="Times New Roman" w:eastAsia="宋体" w:cs="Times New Roman"/>
                <w:sz w:val="22"/>
                <w:szCs w:val="22"/>
                <w:lang w:val="en-US" w:eastAsia="zh-CN"/>
              </w:rPr>
              <w:t>3</w:t>
            </w:r>
            <w:r>
              <w:rPr>
                <w:rFonts w:hint="default" w:ascii="Times New Roman" w:hAnsi="Times New Roman" w:eastAsia="宋体" w:cs="Times New Roman"/>
                <w:sz w:val="22"/>
                <w:szCs w:val="22"/>
              </w:rPr>
              <w:t>分。</w:t>
            </w:r>
          </w:p>
          <w:p w14:paraId="5FED89A5">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hint="default" w:ascii="Times New Roman" w:hAnsi="Times New Roman" w:eastAsia="宋体" w:cs="Times New Roman"/>
                <w:b/>
                <w:bCs/>
                <w:sz w:val="22"/>
                <w:szCs w:val="22"/>
              </w:rPr>
            </w:pPr>
            <w:r>
              <w:rPr>
                <w:rFonts w:hint="default" w:ascii="Times New Roman" w:hAnsi="Times New Roman" w:eastAsia="宋体" w:cs="Times New Roman"/>
                <w:sz w:val="22"/>
                <w:szCs w:val="22"/>
              </w:rPr>
              <w:t>评价为差不得分。如评审为差，评审专家须书面说明理由，并记录在档。</w:t>
            </w:r>
          </w:p>
        </w:tc>
      </w:tr>
      <w:tr w14:paraId="1C53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Align w:val="center"/>
          </w:tcPr>
          <w:p w14:paraId="17B7A4A7">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sz w:val="22"/>
                <w:szCs w:val="22"/>
                <w:lang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4</w:t>
            </w:r>
          </w:p>
        </w:tc>
        <w:tc>
          <w:tcPr>
            <w:tcW w:w="2137" w:type="dxa"/>
            <w:vAlign w:val="center"/>
          </w:tcPr>
          <w:p w14:paraId="37C9C833">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项目重点难点分析、应对措施及相关的合理化建议</w:t>
            </w:r>
          </w:p>
        </w:tc>
        <w:tc>
          <w:tcPr>
            <w:tcW w:w="895" w:type="dxa"/>
            <w:vAlign w:val="center"/>
          </w:tcPr>
          <w:p w14:paraId="4EBB7192">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15</w:t>
            </w:r>
          </w:p>
        </w:tc>
        <w:tc>
          <w:tcPr>
            <w:tcW w:w="4691" w:type="dxa"/>
          </w:tcPr>
          <w:p w14:paraId="123F5B5F">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（一）评审内容：</w:t>
            </w:r>
            <w:r>
              <w:rPr>
                <w:rFonts w:hint="default" w:ascii="Times New Roman" w:hAnsi="Times New Roman" w:eastAsia="宋体" w:cs="Times New Roman"/>
                <w:sz w:val="22"/>
                <w:szCs w:val="22"/>
              </w:rPr>
              <w:t xml:space="preserve"> </w:t>
            </w:r>
          </w:p>
          <w:p w14:paraId="40CDB714">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评审委员会根据投标单位的项目重点难点分析、应对措施及相关的合理化建议进行评审，包括但不限于以下内容：</w:t>
            </w:r>
          </w:p>
          <w:p w14:paraId="30052A76">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kern w:val="0"/>
                <w:sz w:val="22"/>
                <w:szCs w:val="22"/>
                <w:lang w:eastAsia="zh-CN" w:bidi="ar"/>
              </w:rPr>
            </w:pPr>
            <w:r>
              <w:rPr>
                <w:rFonts w:hint="default" w:ascii="Times New Roman" w:hAnsi="Times New Roman" w:eastAsia="宋体" w:cs="Times New Roman"/>
                <w:color w:val="000000"/>
                <w:kern w:val="0"/>
                <w:sz w:val="22"/>
                <w:szCs w:val="22"/>
                <w:lang w:bidi="ar"/>
              </w:rPr>
              <w:t>1</w:t>
            </w:r>
            <w:r>
              <w:rPr>
                <w:rFonts w:hint="default" w:ascii="Times New Roman" w:hAnsi="Times New Roman" w:eastAsia="宋体" w:cs="Times New Roman"/>
                <w:color w:val="000000"/>
                <w:kern w:val="0"/>
                <w:sz w:val="22"/>
                <w:szCs w:val="22"/>
                <w:lang w:val="en-US" w:eastAsia="zh-CN" w:bidi="ar"/>
              </w:rPr>
              <w:t>.</w:t>
            </w:r>
            <w:r>
              <w:rPr>
                <w:rFonts w:hint="default" w:ascii="Times New Roman" w:hAnsi="Times New Roman" w:eastAsia="宋体" w:cs="Times New Roman"/>
                <w:color w:val="000000"/>
                <w:kern w:val="0"/>
                <w:sz w:val="22"/>
                <w:szCs w:val="22"/>
                <w:lang w:bidi="ar"/>
              </w:rPr>
              <w:t>项目重点、难点的分析</w:t>
            </w:r>
            <w:r>
              <w:rPr>
                <w:rFonts w:hint="default" w:ascii="Times New Roman" w:hAnsi="Times New Roman" w:eastAsia="宋体" w:cs="Times New Roman"/>
                <w:color w:val="000000"/>
                <w:kern w:val="0"/>
                <w:sz w:val="22"/>
                <w:szCs w:val="22"/>
                <w:lang w:eastAsia="zh-CN" w:bidi="ar"/>
              </w:rPr>
              <w:t>；</w:t>
            </w:r>
          </w:p>
          <w:p w14:paraId="56228D94">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kern w:val="0"/>
                <w:sz w:val="22"/>
                <w:szCs w:val="22"/>
                <w:lang w:eastAsia="zh-CN" w:bidi="ar"/>
              </w:rPr>
            </w:pPr>
            <w:r>
              <w:rPr>
                <w:rFonts w:hint="default" w:ascii="Times New Roman" w:hAnsi="Times New Roman" w:eastAsia="宋体" w:cs="Times New Roman"/>
                <w:color w:val="000000"/>
                <w:kern w:val="0"/>
                <w:sz w:val="22"/>
                <w:szCs w:val="22"/>
                <w:lang w:bidi="ar"/>
              </w:rPr>
              <w:t>2</w:t>
            </w:r>
            <w:r>
              <w:rPr>
                <w:rFonts w:hint="default" w:ascii="Times New Roman" w:hAnsi="Times New Roman" w:eastAsia="宋体" w:cs="Times New Roman"/>
                <w:color w:val="000000"/>
                <w:kern w:val="0"/>
                <w:sz w:val="22"/>
                <w:szCs w:val="22"/>
                <w:lang w:val="en-US" w:eastAsia="zh-CN" w:bidi="ar"/>
              </w:rPr>
              <w:t>.</w:t>
            </w:r>
            <w:r>
              <w:rPr>
                <w:rFonts w:hint="default" w:ascii="Times New Roman" w:hAnsi="Times New Roman" w:eastAsia="宋体" w:cs="Times New Roman"/>
                <w:color w:val="000000"/>
                <w:kern w:val="0"/>
                <w:sz w:val="22"/>
                <w:szCs w:val="22"/>
                <w:lang w:bidi="ar"/>
              </w:rPr>
              <w:t>项目重点、难点的应对措施</w:t>
            </w:r>
            <w:r>
              <w:rPr>
                <w:rFonts w:hint="default" w:ascii="Times New Roman" w:hAnsi="Times New Roman" w:eastAsia="宋体" w:cs="Times New Roman"/>
                <w:color w:val="000000"/>
                <w:kern w:val="0"/>
                <w:sz w:val="22"/>
                <w:szCs w:val="22"/>
                <w:lang w:eastAsia="zh-CN" w:bidi="ar"/>
              </w:rPr>
              <w:t>；</w:t>
            </w:r>
          </w:p>
          <w:p w14:paraId="7BB4D258">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kern w:val="0"/>
                <w:sz w:val="22"/>
                <w:szCs w:val="22"/>
                <w:lang w:bidi="ar"/>
              </w:rPr>
            </w:pPr>
            <w:r>
              <w:rPr>
                <w:rFonts w:hint="default" w:ascii="Times New Roman" w:hAnsi="Times New Roman" w:eastAsia="宋体" w:cs="Times New Roman"/>
                <w:color w:val="000000"/>
                <w:kern w:val="0"/>
                <w:sz w:val="22"/>
                <w:szCs w:val="22"/>
                <w:lang w:bidi="ar"/>
              </w:rPr>
              <w:t>3</w:t>
            </w:r>
            <w:r>
              <w:rPr>
                <w:rFonts w:hint="default" w:ascii="Times New Roman" w:hAnsi="Times New Roman" w:eastAsia="宋体" w:cs="Times New Roman"/>
                <w:color w:val="000000"/>
                <w:kern w:val="0"/>
                <w:sz w:val="22"/>
                <w:szCs w:val="22"/>
                <w:lang w:val="en-US" w:eastAsia="zh-CN" w:bidi="ar"/>
              </w:rPr>
              <w:t>.</w:t>
            </w:r>
            <w:r>
              <w:rPr>
                <w:rFonts w:hint="default" w:ascii="Times New Roman" w:hAnsi="Times New Roman" w:eastAsia="宋体" w:cs="Times New Roman"/>
                <w:color w:val="000000"/>
                <w:kern w:val="0"/>
                <w:sz w:val="22"/>
                <w:szCs w:val="22"/>
                <w:lang w:bidi="ar"/>
              </w:rPr>
              <w:t>项目实施提出的相关合理化建议。</w:t>
            </w:r>
          </w:p>
          <w:p w14:paraId="4B824C98">
            <w:pPr>
              <w:keepNext w:val="0"/>
              <w:keepLines w:val="0"/>
              <w:pageBreakBefore w:val="0"/>
              <w:widowControl w:val="0"/>
              <w:numPr>
                <w:ilvl w:val="255"/>
                <w:numId w:val="0"/>
              </w:numPr>
              <w:kinsoku/>
              <w:wordWrap/>
              <w:overflowPunct/>
              <w:topLinePunct w:val="0"/>
              <w:bidi w:val="0"/>
              <w:spacing w:line="360" w:lineRule="exact"/>
              <w:jc w:val="left"/>
              <w:textAlignment w:val="auto"/>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（二）评分依据：</w:t>
            </w:r>
          </w:p>
          <w:p w14:paraId="261E7257">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每提供以上1点得</w:t>
            </w:r>
            <w:r>
              <w:rPr>
                <w:rFonts w:hint="default" w:ascii="Times New Roman" w:hAnsi="Times New Roman" w:eastAsia="宋体" w:cs="Times New Roman"/>
                <w:sz w:val="22"/>
                <w:szCs w:val="22"/>
                <w:lang w:val="en-US" w:eastAsia="zh-CN"/>
              </w:rPr>
              <w:t>2</w:t>
            </w:r>
            <w:r>
              <w:rPr>
                <w:rFonts w:hint="default" w:ascii="Times New Roman" w:hAnsi="Times New Roman" w:eastAsia="宋体" w:cs="Times New Roman"/>
                <w:sz w:val="22"/>
                <w:szCs w:val="22"/>
              </w:rPr>
              <w:t>分，最高得</w:t>
            </w:r>
            <w:r>
              <w:rPr>
                <w:rFonts w:hint="default" w:ascii="Times New Roman" w:hAnsi="Times New Roman" w:eastAsia="宋体" w:cs="Times New Roman"/>
                <w:sz w:val="22"/>
                <w:szCs w:val="22"/>
                <w:lang w:val="en-US" w:eastAsia="zh-CN"/>
              </w:rPr>
              <w:t>6</w:t>
            </w:r>
            <w:r>
              <w:rPr>
                <w:rFonts w:hint="default" w:ascii="Times New Roman" w:hAnsi="Times New Roman" w:eastAsia="宋体" w:cs="Times New Roman"/>
                <w:sz w:val="22"/>
                <w:szCs w:val="22"/>
              </w:rPr>
              <w:t>分，缺项不得分。</w:t>
            </w:r>
          </w:p>
          <w:p w14:paraId="3F3BDB78">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在此基础上，专家根据内容的合理性进行评分：</w:t>
            </w:r>
          </w:p>
          <w:p w14:paraId="2045E6D7">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优评分标准：方案符合实际、完整、规范、思路清晰，内容合理性强。</w:t>
            </w:r>
          </w:p>
          <w:p w14:paraId="27FAEE04">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良评分标准：方案较符合实际、较完整规范、思路较清晰，内容合理性较强。</w:t>
            </w:r>
          </w:p>
          <w:p w14:paraId="3614E72C">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中评分标准：方案较普通、完整性规范性一般，思路不够清晰，内容合理性一般。</w:t>
            </w:r>
          </w:p>
          <w:p w14:paraId="60BA2CEF">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差评分标准</w:t>
            </w:r>
            <w:r>
              <w:rPr>
                <w:rFonts w:hint="default" w:ascii="Times New Roman" w:hAnsi="Times New Roman" w:eastAsia="宋体" w:cs="Times New Roman"/>
                <w:sz w:val="22"/>
                <w:szCs w:val="22"/>
                <w:lang w:eastAsia="zh-CN"/>
              </w:rPr>
              <w:t>：</w:t>
            </w:r>
            <w:r>
              <w:rPr>
                <w:rFonts w:hint="default" w:ascii="Times New Roman" w:hAnsi="Times New Roman" w:eastAsia="宋体" w:cs="Times New Roman"/>
                <w:sz w:val="22"/>
                <w:szCs w:val="22"/>
              </w:rPr>
              <w:t>方案不完整、不规范，思路不清晰，内容合理性较差或未提供。</w:t>
            </w:r>
          </w:p>
          <w:p w14:paraId="218AD39E">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评价为优加</w:t>
            </w:r>
            <w:r>
              <w:rPr>
                <w:rFonts w:hint="default" w:ascii="Times New Roman" w:hAnsi="Times New Roman" w:eastAsia="宋体" w:cs="Times New Roman"/>
                <w:sz w:val="22"/>
                <w:szCs w:val="22"/>
                <w:lang w:val="en-US" w:eastAsia="zh-CN"/>
              </w:rPr>
              <w:t>9</w:t>
            </w:r>
            <w:r>
              <w:rPr>
                <w:rFonts w:hint="default" w:ascii="Times New Roman" w:hAnsi="Times New Roman" w:eastAsia="宋体" w:cs="Times New Roman"/>
                <w:sz w:val="22"/>
                <w:szCs w:val="22"/>
              </w:rPr>
              <w:t>分。</w:t>
            </w:r>
          </w:p>
          <w:p w14:paraId="7DCD629C">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评价为良加</w:t>
            </w:r>
            <w:r>
              <w:rPr>
                <w:rFonts w:hint="default" w:ascii="Times New Roman" w:hAnsi="Times New Roman" w:eastAsia="宋体" w:cs="Times New Roman"/>
                <w:sz w:val="22"/>
                <w:szCs w:val="22"/>
                <w:lang w:val="en-US" w:eastAsia="zh-CN"/>
              </w:rPr>
              <w:t>6</w:t>
            </w:r>
            <w:r>
              <w:rPr>
                <w:rFonts w:hint="default" w:ascii="Times New Roman" w:hAnsi="Times New Roman" w:eastAsia="宋体" w:cs="Times New Roman"/>
                <w:sz w:val="22"/>
                <w:szCs w:val="22"/>
              </w:rPr>
              <w:t>分。</w:t>
            </w:r>
          </w:p>
          <w:p w14:paraId="4B3F5B44">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评价为中加</w:t>
            </w:r>
            <w:r>
              <w:rPr>
                <w:rFonts w:hint="default" w:ascii="Times New Roman" w:hAnsi="Times New Roman" w:eastAsia="宋体" w:cs="Times New Roman"/>
                <w:sz w:val="22"/>
                <w:szCs w:val="22"/>
                <w:lang w:val="en-US" w:eastAsia="zh-CN"/>
              </w:rPr>
              <w:t>3</w:t>
            </w:r>
            <w:r>
              <w:rPr>
                <w:rFonts w:hint="default" w:ascii="Times New Roman" w:hAnsi="Times New Roman" w:eastAsia="宋体" w:cs="Times New Roman"/>
                <w:sz w:val="22"/>
                <w:szCs w:val="22"/>
              </w:rPr>
              <w:t>分。</w:t>
            </w:r>
          </w:p>
          <w:p w14:paraId="0B007830">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评价为差不得分。如评审为差，评审专家须书面说明理由，并记录在档。</w:t>
            </w:r>
          </w:p>
        </w:tc>
      </w:tr>
      <w:tr w14:paraId="360A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Align w:val="center"/>
          </w:tcPr>
          <w:p w14:paraId="4D5D6FBB">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5</w:t>
            </w:r>
          </w:p>
        </w:tc>
        <w:tc>
          <w:tcPr>
            <w:tcW w:w="2137" w:type="dxa"/>
            <w:shd w:val="clear" w:color="auto" w:fill="auto"/>
            <w:vAlign w:val="center"/>
          </w:tcPr>
          <w:p w14:paraId="76F131C2">
            <w:pPr>
              <w:keepNext w:val="0"/>
              <w:keepLines w:val="0"/>
              <w:pageBreakBefore w:val="0"/>
              <w:kinsoku/>
              <w:wordWrap w:val="0"/>
              <w:overflowPunct/>
              <w:topLinePunct w:val="0"/>
              <w:autoSpaceDE/>
              <w:autoSpaceDN/>
              <w:bidi w:val="0"/>
              <w:spacing w:line="360" w:lineRule="exact"/>
              <w:jc w:val="center"/>
              <w:textAlignment w:val="auto"/>
              <w:rPr>
                <w:rFonts w:hint="default" w:ascii="Times New Roman" w:hAnsi="Times New Roman" w:eastAsia="宋体" w:cs="Times New Roman"/>
                <w:color w:val="000000" w:themeColor="text1"/>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违约承诺</w:t>
            </w:r>
          </w:p>
        </w:tc>
        <w:tc>
          <w:tcPr>
            <w:tcW w:w="895" w:type="dxa"/>
            <w:shd w:val="clear" w:color="auto" w:fill="auto"/>
            <w:vAlign w:val="center"/>
          </w:tcPr>
          <w:p w14:paraId="7DA04E68">
            <w:pPr>
              <w:keepNext w:val="0"/>
              <w:keepLines w:val="0"/>
              <w:pageBreakBefore w:val="0"/>
              <w:kinsoku/>
              <w:wordWrap w:val="0"/>
              <w:overflowPunct/>
              <w:topLinePunct w:val="0"/>
              <w:autoSpaceDE/>
              <w:autoSpaceDN/>
              <w:bidi w:val="0"/>
              <w:spacing w:line="360" w:lineRule="exact"/>
              <w:jc w:val="center"/>
              <w:textAlignment w:val="auto"/>
              <w:rPr>
                <w:rFonts w:hint="default" w:ascii="Times New Roman" w:hAnsi="Times New Roman" w:eastAsia="宋体" w:cs="Times New Roman"/>
                <w:color w:val="000000" w:themeColor="text1"/>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5</w:t>
            </w:r>
          </w:p>
        </w:tc>
        <w:tc>
          <w:tcPr>
            <w:tcW w:w="4691" w:type="dxa"/>
            <w:shd w:val="clear" w:color="auto" w:fill="auto"/>
            <w:vAlign w:val="center"/>
          </w:tcPr>
          <w:p w14:paraId="71E7346E">
            <w:pPr>
              <w:keepNext w:val="0"/>
              <w:keepLines w:val="0"/>
              <w:pageBreakBefore w:val="0"/>
              <w:kinsoku/>
              <w:overflowPunct/>
              <w:topLinePunct w:val="0"/>
              <w:autoSpaceDE/>
              <w:autoSpaceDN/>
              <w:bidi w:val="0"/>
              <w:spacing w:line="360" w:lineRule="exact"/>
              <w:ind w:right="0" w:rightChars="0" w:firstLine="0" w:firstLineChars="0"/>
              <w:jc w:val="both"/>
              <w:textAlignment w:val="auto"/>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（一）评审内容：</w:t>
            </w:r>
          </w:p>
          <w:p w14:paraId="451C6C6A">
            <w:pPr>
              <w:keepNext w:val="0"/>
              <w:keepLines w:val="0"/>
              <w:pageBreakBefore w:val="0"/>
              <w:kinsoku/>
              <w:overflowPunct/>
              <w:topLinePunct w:val="0"/>
              <w:autoSpaceDE/>
              <w:autoSpaceDN/>
              <w:bidi w:val="0"/>
              <w:spacing w:line="360" w:lineRule="exact"/>
              <w:ind w:right="0" w:rightChars="0" w:firstLine="0" w:firstLineChars="0"/>
              <w:jc w:val="both"/>
              <w:textAlignment w:val="auto"/>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投标人承诺以下全部三项的得5分，否则不得分。</w:t>
            </w:r>
          </w:p>
          <w:p w14:paraId="7257D451">
            <w:pPr>
              <w:keepNext w:val="0"/>
              <w:keepLines w:val="0"/>
              <w:pageBreakBefore w:val="0"/>
              <w:kinsoku/>
              <w:overflowPunct/>
              <w:topLinePunct w:val="0"/>
              <w:autoSpaceDE/>
              <w:autoSpaceDN/>
              <w:bidi w:val="0"/>
              <w:spacing w:line="360" w:lineRule="exact"/>
              <w:ind w:right="0" w:rightChars="0" w:firstLine="0" w:firstLineChars="0"/>
              <w:jc w:val="both"/>
              <w:textAlignment w:val="auto"/>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1.人员严格按照招标文件及投标承诺配置；</w:t>
            </w:r>
          </w:p>
          <w:p w14:paraId="44CF076E">
            <w:pPr>
              <w:keepNext w:val="0"/>
              <w:keepLines w:val="0"/>
              <w:pageBreakBefore w:val="0"/>
              <w:kinsoku/>
              <w:overflowPunct/>
              <w:topLinePunct w:val="0"/>
              <w:autoSpaceDE/>
              <w:autoSpaceDN/>
              <w:bidi w:val="0"/>
              <w:spacing w:line="360" w:lineRule="exact"/>
              <w:ind w:right="0" w:rightChars="0" w:firstLine="0" w:firstLineChars="0"/>
              <w:jc w:val="both"/>
              <w:textAlignment w:val="auto"/>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2.服务质量达到招标文件要求；</w:t>
            </w:r>
          </w:p>
          <w:p w14:paraId="0C76BAA0">
            <w:pPr>
              <w:keepNext w:val="0"/>
              <w:keepLines w:val="0"/>
              <w:pageBreakBefore w:val="0"/>
              <w:kinsoku/>
              <w:overflowPunct/>
              <w:topLinePunct w:val="0"/>
              <w:autoSpaceDE/>
              <w:autoSpaceDN/>
              <w:bidi w:val="0"/>
              <w:spacing w:line="360" w:lineRule="exact"/>
              <w:ind w:right="0" w:rightChars="0" w:firstLine="0" w:firstLineChars="0"/>
              <w:jc w:val="both"/>
              <w:textAlignment w:val="auto"/>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3.对未能达到的管理要求承担管理责任。</w:t>
            </w:r>
          </w:p>
          <w:p w14:paraId="2FE9B846">
            <w:pPr>
              <w:keepNext w:val="0"/>
              <w:keepLines w:val="0"/>
              <w:pageBreakBefore w:val="0"/>
              <w:widowControl w:val="0"/>
              <w:numPr>
                <w:ilvl w:val="255"/>
                <w:numId w:val="0"/>
              </w:numPr>
              <w:kinsoku/>
              <w:wordWrap/>
              <w:overflowPunct/>
              <w:topLinePunct w:val="0"/>
              <w:bidi w:val="0"/>
              <w:spacing w:line="360" w:lineRule="exact"/>
              <w:jc w:val="left"/>
              <w:textAlignment w:val="auto"/>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（二）评分依据：</w:t>
            </w:r>
          </w:p>
          <w:p w14:paraId="4593FC6B">
            <w:pPr>
              <w:keepNext w:val="0"/>
              <w:keepLines w:val="0"/>
              <w:pageBreakBefore w:val="0"/>
              <w:kinsoku/>
              <w:wordWrap w:val="0"/>
              <w:overflowPunct/>
              <w:topLinePunct w:val="0"/>
              <w:autoSpaceDE/>
              <w:autoSpaceDN/>
              <w:bidi w:val="0"/>
              <w:spacing w:line="360" w:lineRule="exact"/>
              <w:textAlignment w:val="auto"/>
              <w:rPr>
                <w:rFonts w:hint="default" w:ascii="Times New Roman" w:hAnsi="Times New Roman" w:eastAsia="宋体"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要求提供承诺函（格式自拟）作为得分依据，未按提供承诺函的不得分。</w:t>
            </w:r>
          </w:p>
        </w:tc>
      </w:tr>
      <w:tr w14:paraId="4848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Align w:val="center"/>
          </w:tcPr>
          <w:p w14:paraId="165603F3">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sz w:val="22"/>
                <w:szCs w:val="22"/>
                <w:lang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6</w:t>
            </w:r>
          </w:p>
        </w:tc>
        <w:tc>
          <w:tcPr>
            <w:tcW w:w="2137" w:type="dxa"/>
            <w:vAlign w:val="center"/>
          </w:tcPr>
          <w:p w14:paraId="28C9B755">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拟安排团队成员</w:t>
            </w:r>
          </w:p>
        </w:tc>
        <w:tc>
          <w:tcPr>
            <w:tcW w:w="895" w:type="dxa"/>
            <w:vAlign w:val="center"/>
          </w:tcPr>
          <w:p w14:paraId="74B9FF20">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15</w:t>
            </w:r>
          </w:p>
        </w:tc>
        <w:tc>
          <w:tcPr>
            <w:tcW w:w="4691" w:type="dxa"/>
          </w:tcPr>
          <w:p w14:paraId="3AA56FF1">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b/>
                <w:bCs/>
                <w:color w:val="000000" w:themeColor="text1"/>
                <w:sz w:val="22"/>
                <w:szCs w:val="22"/>
                <w14:textFill>
                  <w14:solidFill>
                    <w14:schemeClr w14:val="tx1"/>
                  </w14:solidFill>
                </w14:textFill>
              </w:rPr>
              <w:t>（一）评审内容：</w:t>
            </w:r>
            <w:r>
              <w:rPr>
                <w:rFonts w:hint="default" w:ascii="Times New Roman" w:hAnsi="Times New Roman" w:eastAsia="宋体" w:cs="Times New Roman"/>
                <w:color w:val="000000" w:themeColor="text1"/>
                <w:sz w:val="22"/>
                <w:szCs w:val="22"/>
                <w14:textFill>
                  <w14:solidFill>
                    <w14:schemeClr w14:val="tx1"/>
                  </w14:solidFill>
                </w14:textFill>
              </w:rPr>
              <w:t xml:space="preserve"> </w:t>
            </w:r>
          </w:p>
          <w:p w14:paraId="61405996">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1.投标人承诺提供至少4名团队成员（其中3名为备选）全程参与审计工作的，得5分，本小项最高得5分；</w:t>
            </w:r>
          </w:p>
          <w:p w14:paraId="12CDC1BD">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2.拟派的团队成员具有同类项目工作经验的，每提供1人得2.5分，本小项最高得10分；</w:t>
            </w:r>
          </w:p>
          <w:p w14:paraId="76A6FBC7">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以上累计最高得15分。</w:t>
            </w:r>
          </w:p>
          <w:p w14:paraId="4D26C628">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b/>
                <w:bCs/>
                <w:color w:val="000000" w:themeColor="text1"/>
                <w:sz w:val="22"/>
                <w:szCs w:val="22"/>
                <w14:textFill>
                  <w14:solidFill>
                    <w14:schemeClr w14:val="tx1"/>
                  </w14:solidFill>
                </w14:textFill>
              </w:rPr>
              <w:t>（二）评分依据：</w:t>
            </w:r>
          </w:p>
          <w:p w14:paraId="05849C2B">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w:t>
            </w:r>
            <w:r>
              <w:rPr>
                <w:rFonts w:hint="default" w:ascii="Times New Roman" w:hAnsi="Times New Roman" w:eastAsia="宋体" w:cs="Times New Roman"/>
                <w:color w:val="000000" w:themeColor="text1"/>
                <w:sz w:val="22"/>
                <w:szCs w:val="22"/>
                <w14:textFill>
                  <w14:solidFill>
                    <w14:schemeClr w14:val="tx1"/>
                  </w14:solidFill>
                </w14:textFill>
              </w:rPr>
              <w:t>要求提供承诺（格式自定）作为得分依据，未提供承诺或承诺内容不满足要求不得分。</w:t>
            </w:r>
          </w:p>
          <w:p w14:paraId="2A2FD5FF">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2.要求提供通过供应商缴纳的近三个月任意一个月的社保证明作为本单位员工的证明依据。若供应商成立不足一个月的，需提供成立情况说明函（格式自拟），无需提供相关人员社保，亦可得分；若为退休返聘人员，需提供说明函（格式自拟），无需提供相关人员社保，亦可得分。</w:t>
            </w:r>
          </w:p>
          <w:p w14:paraId="06515E0A">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3.如涉及考察人员工作经验，要求提供项目合同关键信息作为得分依据，通过合同关键信息无法判断是否得分的，还须同时提供合同甲方出具的证明文件。</w:t>
            </w:r>
          </w:p>
          <w:p w14:paraId="78C2C1A4">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4.以上资料均要求提供扫描件，原件备查。评分中出现无证明资料或专家无法凭所提供资料判断是否得分的情况，一律作不得分处理。</w:t>
            </w:r>
          </w:p>
        </w:tc>
      </w:tr>
      <w:tr w14:paraId="2200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75" w:type="dxa"/>
            <w:gridSpan w:val="3"/>
            <w:vAlign w:val="center"/>
          </w:tcPr>
          <w:p w14:paraId="2C140872">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商务部分</w:t>
            </w:r>
          </w:p>
        </w:tc>
        <w:tc>
          <w:tcPr>
            <w:tcW w:w="4691" w:type="dxa"/>
            <w:vAlign w:val="center"/>
          </w:tcPr>
          <w:p w14:paraId="435B363A">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b/>
                <w:bCs/>
                <w:sz w:val="22"/>
                <w:szCs w:val="22"/>
                <w:lang w:val="en-US" w:eastAsia="zh-CN"/>
              </w:rPr>
            </w:pPr>
            <w:r>
              <w:rPr>
                <w:rFonts w:hint="default" w:ascii="Times New Roman" w:hAnsi="Times New Roman" w:eastAsia="宋体" w:cs="Times New Roman"/>
                <w:b/>
                <w:bCs/>
                <w:sz w:val="22"/>
                <w:szCs w:val="22"/>
                <w:lang w:val="en-US" w:eastAsia="zh-CN"/>
              </w:rPr>
              <w:t>15</w:t>
            </w:r>
          </w:p>
        </w:tc>
      </w:tr>
      <w:tr w14:paraId="1527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shd w:val="clear" w:color="auto" w:fill="BDD6EE"/>
            <w:vAlign w:val="center"/>
          </w:tcPr>
          <w:p w14:paraId="73D5E04B">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序号</w:t>
            </w:r>
          </w:p>
        </w:tc>
        <w:tc>
          <w:tcPr>
            <w:tcW w:w="2137" w:type="dxa"/>
            <w:shd w:val="clear" w:color="auto" w:fill="BDD6EE"/>
            <w:vAlign w:val="center"/>
          </w:tcPr>
          <w:p w14:paraId="33F765C1">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评分因素</w:t>
            </w:r>
          </w:p>
        </w:tc>
        <w:tc>
          <w:tcPr>
            <w:tcW w:w="895" w:type="dxa"/>
            <w:shd w:val="clear" w:color="auto" w:fill="BDD6EE"/>
            <w:vAlign w:val="center"/>
          </w:tcPr>
          <w:p w14:paraId="51C72D3A">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分值</w:t>
            </w:r>
          </w:p>
        </w:tc>
        <w:tc>
          <w:tcPr>
            <w:tcW w:w="4691" w:type="dxa"/>
            <w:shd w:val="clear" w:color="auto" w:fill="BDD6EE"/>
            <w:vAlign w:val="center"/>
          </w:tcPr>
          <w:p w14:paraId="7EAA50B7">
            <w:pPr>
              <w:keepNext w:val="0"/>
              <w:keepLines w:val="0"/>
              <w:pageBreakBefore w:val="0"/>
              <w:widowControl w:val="0"/>
              <w:kinsoku/>
              <w:wordWrap/>
              <w:overflowPunct/>
              <w:topLinePunct w:val="0"/>
              <w:bidi w:val="0"/>
              <w:spacing w:line="360" w:lineRule="exact"/>
              <w:ind w:firstLine="440" w:firstLineChars="200"/>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评分准则</w:t>
            </w:r>
          </w:p>
        </w:tc>
      </w:tr>
      <w:tr w14:paraId="24B7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Align w:val="center"/>
          </w:tcPr>
          <w:p w14:paraId="7F7C6D51">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color w:val="000000" w:themeColor="text1"/>
                <w:sz w:val="22"/>
                <w:szCs w:val="22"/>
                <w14:textFill>
                  <w14:solidFill>
                    <w14:schemeClr w14:val="tx1"/>
                  </w14:solidFill>
                </w14:textFill>
              </w:rPr>
              <w:t>1</w:t>
            </w:r>
          </w:p>
        </w:tc>
        <w:tc>
          <w:tcPr>
            <w:tcW w:w="2137" w:type="dxa"/>
            <w:vAlign w:val="center"/>
          </w:tcPr>
          <w:p w14:paraId="0D438B58">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color w:val="000000"/>
                <w:sz w:val="22"/>
                <w:szCs w:val="22"/>
                <w:lang w:bidi="ar"/>
              </w:rPr>
              <w:t>投标人同类项目业绩情况</w:t>
            </w:r>
          </w:p>
        </w:tc>
        <w:tc>
          <w:tcPr>
            <w:tcW w:w="895" w:type="dxa"/>
            <w:vAlign w:val="center"/>
          </w:tcPr>
          <w:p w14:paraId="02E1A665">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10</w:t>
            </w:r>
          </w:p>
        </w:tc>
        <w:tc>
          <w:tcPr>
            <w:tcW w:w="4691" w:type="dxa"/>
            <w:vAlign w:val="center"/>
          </w:tcPr>
          <w:p w14:paraId="75DC8757">
            <w:pPr>
              <w:keepNext w:val="0"/>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（一）评审内容：</w:t>
            </w:r>
            <w:r>
              <w:rPr>
                <w:rFonts w:hint="default" w:ascii="Times New Roman" w:hAnsi="Times New Roman" w:eastAsia="宋体" w:cs="Times New Roman"/>
                <w:sz w:val="22"/>
                <w:szCs w:val="22"/>
              </w:rPr>
              <w:t xml:space="preserve"> </w:t>
            </w:r>
          </w:p>
          <w:p w14:paraId="5C112342">
            <w:pPr>
              <w:keepNext w:val="0"/>
              <w:keepLines w:val="0"/>
              <w:pageBreakBefore w:val="0"/>
              <w:widowControl w:val="0"/>
              <w:kinsoku/>
              <w:wordWrap/>
              <w:overflowPunct/>
              <w:topLinePunct w:val="0"/>
              <w:bidi w:val="0"/>
              <w:adjustRightInd w:val="0"/>
              <w:snapToGrid w:val="0"/>
              <w:spacing w:line="360" w:lineRule="exact"/>
              <w:textAlignment w:val="auto"/>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lang w:bidi="ar"/>
              </w:rPr>
              <w:t>考察投标人自</w:t>
            </w:r>
            <w:r>
              <w:rPr>
                <w:rFonts w:hint="default" w:ascii="Times New Roman" w:hAnsi="Times New Roman" w:eastAsia="宋体" w:cs="Times New Roman"/>
                <w:color w:val="000000"/>
                <w:sz w:val="22"/>
                <w:szCs w:val="22"/>
                <w:lang w:val="en-US" w:eastAsia="zh-CN"/>
              </w:rPr>
              <w:t>2022</w:t>
            </w:r>
            <w:r>
              <w:rPr>
                <w:rFonts w:hint="default" w:ascii="Times New Roman" w:hAnsi="Times New Roman" w:eastAsia="宋体" w:cs="Times New Roman"/>
                <w:color w:val="000000"/>
                <w:sz w:val="22"/>
                <w:szCs w:val="22"/>
              </w:rPr>
              <w:t>年</w:t>
            </w:r>
            <w:r>
              <w:rPr>
                <w:rFonts w:hint="default" w:ascii="Times New Roman" w:hAnsi="Times New Roman" w:eastAsia="宋体" w:cs="Times New Roman"/>
                <w:color w:val="000000"/>
                <w:sz w:val="22"/>
                <w:szCs w:val="22"/>
                <w:lang w:val="en-US" w:eastAsia="zh-CN"/>
              </w:rPr>
              <w:t>2</w:t>
            </w:r>
            <w:r>
              <w:rPr>
                <w:rFonts w:hint="default" w:ascii="Times New Roman" w:hAnsi="Times New Roman" w:eastAsia="宋体" w:cs="Times New Roman"/>
                <w:color w:val="000000"/>
                <w:sz w:val="22"/>
                <w:szCs w:val="22"/>
              </w:rPr>
              <w:t>月1日</w:t>
            </w:r>
            <w:r>
              <w:rPr>
                <w:rFonts w:hint="default" w:ascii="Times New Roman" w:hAnsi="Times New Roman" w:eastAsia="宋体" w:cs="Times New Roman"/>
                <w:color w:val="000000"/>
                <w:sz w:val="22"/>
                <w:szCs w:val="22"/>
                <w:lang w:bidi="ar"/>
              </w:rPr>
              <w:t>至本项目投标截止日（以合同签订时间为准）</w:t>
            </w:r>
            <w:r>
              <w:rPr>
                <w:rFonts w:hint="default" w:ascii="Times New Roman" w:hAnsi="Times New Roman" w:eastAsia="宋体" w:cs="Times New Roman"/>
                <w:color w:val="000000"/>
                <w:sz w:val="22"/>
                <w:szCs w:val="22"/>
                <w:lang w:eastAsia="zh-CN" w:bidi="ar"/>
              </w:rPr>
              <w:t>政府部门或事业单位</w:t>
            </w:r>
            <w:r>
              <w:rPr>
                <w:rFonts w:hint="default" w:ascii="Times New Roman" w:hAnsi="Times New Roman" w:eastAsia="宋体" w:cs="Times New Roman"/>
                <w:color w:val="000000"/>
                <w:sz w:val="22"/>
                <w:szCs w:val="22"/>
                <w:lang w:bidi="ar"/>
              </w:rPr>
              <w:t>同类</w:t>
            </w:r>
            <w:r>
              <w:rPr>
                <w:rFonts w:hint="default" w:ascii="Times New Roman" w:hAnsi="Times New Roman" w:eastAsia="宋体" w:cs="Times New Roman"/>
                <w:color w:val="000000"/>
                <w:sz w:val="22"/>
                <w:szCs w:val="22"/>
                <w:lang w:eastAsia="zh-CN" w:bidi="ar"/>
              </w:rPr>
              <w:t>审计</w:t>
            </w:r>
            <w:r>
              <w:rPr>
                <w:rFonts w:hint="default" w:ascii="Times New Roman" w:hAnsi="Times New Roman" w:eastAsia="宋体" w:cs="Times New Roman"/>
                <w:color w:val="000000"/>
                <w:sz w:val="22"/>
                <w:szCs w:val="22"/>
                <w:lang w:bidi="ar"/>
              </w:rPr>
              <w:t>项目业绩情况：每提供1个得</w:t>
            </w:r>
            <w:r>
              <w:rPr>
                <w:rFonts w:hint="default" w:ascii="Times New Roman" w:hAnsi="Times New Roman" w:eastAsia="宋体" w:cs="Times New Roman"/>
                <w:color w:val="000000"/>
                <w:sz w:val="22"/>
                <w:szCs w:val="22"/>
                <w:lang w:val="en-US" w:eastAsia="zh-CN" w:bidi="ar"/>
              </w:rPr>
              <w:t>2.5</w:t>
            </w:r>
            <w:r>
              <w:rPr>
                <w:rFonts w:hint="default" w:ascii="Times New Roman" w:hAnsi="Times New Roman" w:eastAsia="宋体" w:cs="Times New Roman"/>
                <w:color w:val="000000"/>
                <w:sz w:val="22"/>
                <w:szCs w:val="22"/>
                <w:lang w:bidi="ar"/>
              </w:rPr>
              <w:t>分，最高得</w:t>
            </w:r>
            <w:r>
              <w:rPr>
                <w:rFonts w:hint="default" w:ascii="Times New Roman" w:hAnsi="Times New Roman" w:eastAsia="宋体" w:cs="Times New Roman"/>
                <w:color w:val="000000"/>
                <w:sz w:val="22"/>
                <w:szCs w:val="22"/>
                <w:lang w:val="en-US" w:eastAsia="zh-CN" w:bidi="ar"/>
              </w:rPr>
              <w:t>10</w:t>
            </w:r>
            <w:r>
              <w:rPr>
                <w:rFonts w:hint="default" w:ascii="Times New Roman" w:hAnsi="Times New Roman" w:eastAsia="宋体" w:cs="Times New Roman"/>
                <w:color w:val="000000"/>
                <w:sz w:val="22"/>
                <w:szCs w:val="22"/>
                <w:lang w:bidi="ar"/>
              </w:rPr>
              <w:t>分；未提供不得分。</w:t>
            </w:r>
          </w:p>
          <w:p w14:paraId="040E0F05">
            <w:pPr>
              <w:keepNext w:val="0"/>
              <w:keepLines w:val="0"/>
              <w:pageBreakBefore w:val="0"/>
              <w:widowControl w:val="0"/>
              <w:numPr>
                <w:ilvl w:val="255"/>
                <w:numId w:val="0"/>
              </w:numPr>
              <w:kinsoku/>
              <w:wordWrap/>
              <w:overflowPunct/>
              <w:topLinePunct w:val="0"/>
              <w:bidi w:val="0"/>
              <w:spacing w:line="360" w:lineRule="exact"/>
              <w:textAlignment w:val="auto"/>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（二）评分依据：</w:t>
            </w:r>
          </w:p>
          <w:p w14:paraId="764A10B1">
            <w:pPr>
              <w:keepNext w:val="0"/>
              <w:keepLines w:val="0"/>
              <w:pageBreakBefore w:val="0"/>
              <w:widowControl w:val="0"/>
              <w:kinsoku/>
              <w:wordWrap/>
              <w:overflowPunct/>
              <w:topLinePunct w:val="0"/>
              <w:bidi w:val="0"/>
              <w:adjustRightInd w:val="0"/>
              <w:snapToGrid w:val="0"/>
              <w:spacing w:line="360" w:lineRule="exact"/>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lang w:bidi="ar"/>
              </w:rPr>
              <w:t>1.要求</w:t>
            </w:r>
            <w:r>
              <w:rPr>
                <w:rFonts w:hint="default" w:ascii="Times New Roman" w:hAnsi="Times New Roman" w:eastAsia="宋体" w:cs="Times New Roman"/>
                <w:color w:val="000000"/>
                <w:sz w:val="22"/>
                <w:szCs w:val="22"/>
                <w:lang w:eastAsia="zh-CN" w:bidi="ar"/>
              </w:rPr>
              <w:t>提供</w:t>
            </w:r>
            <w:r>
              <w:rPr>
                <w:rFonts w:hint="default" w:ascii="Times New Roman" w:hAnsi="Times New Roman" w:eastAsia="宋体" w:cs="Times New Roman"/>
                <w:color w:val="000000"/>
                <w:sz w:val="22"/>
                <w:szCs w:val="22"/>
                <w:lang w:bidi="ar"/>
              </w:rPr>
              <w:t>合同关键页（包括</w:t>
            </w:r>
            <w:r>
              <w:rPr>
                <w:rFonts w:hint="default" w:ascii="Times New Roman" w:hAnsi="Times New Roman" w:eastAsia="宋体" w:cs="Times New Roman"/>
                <w:color w:val="000000"/>
                <w:sz w:val="22"/>
                <w:szCs w:val="22"/>
                <w:lang w:eastAsia="zh-CN" w:bidi="ar"/>
              </w:rPr>
              <w:t>但不限于合同</w:t>
            </w:r>
            <w:r>
              <w:rPr>
                <w:rFonts w:hint="default" w:ascii="Times New Roman" w:hAnsi="Times New Roman" w:eastAsia="宋体" w:cs="Times New Roman"/>
                <w:color w:val="000000"/>
                <w:sz w:val="22"/>
                <w:szCs w:val="22"/>
                <w:lang w:bidi="ar"/>
              </w:rPr>
              <w:t>内容页、落款日期页、盖章页等内容）作为得分依据</w:t>
            </w:r>
            <w:r>
              <w:rPr>
                <w:rFonts w:hint="default" w:ascii="Times New Roman" w:hAnsi="Times New Roman" w:eastAsia="宋体" w:cs="Times New Roman"/>
                <w:color w:val="000000"/>
                <w:sz w:val="22"/>
                <w:szCs w:val="22"/>
                <w:lang w:eastAsia="zh-CN" w:bidi="ar"/>
              </w:rPr>
              <w:t>。</w:t>
            </w:r>
          </w:p>
          <w:p w14:paraId="0DE0EBD1">
            <w:pPr>
              <w:keepNext w:val="0"/>
              <w:keepLines w:val="0"/>
              <w:pageBreakBefore w:val="0"/>
              <w:widowControl w:val="0"/>
              <w:kinsoku/>
              <w:wordWrap/>
              <w:overflowPunct/>
              <w:topLinePunct w:val="0"/>
              <w:bidi w:val="0"/>
              <w:adjustRightInd w:val="0"/>
              <w:snapToGrid w:val="0"/>
              <w:spacing w:line="360" w:lineRule="exact"/>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lang w:bidi="ar"/>
              </w:rPr>
              <w:t>2.通过合同关键信息无法判断是否得分的，还须同时提供能证明得分的其它证明资料，如项目报告或合同甲方出具的证明文件等</w:t>
            </w:r>
            <w:r>
              <w:rPr>
                <w:rFonts w:hint="default" w:ascii="Times New Roman" w:hAnsi="Times New Roman" w:eastAsia="宋体" w:cs="Times New Roman"/>
                <w:color w:val="000000"/>
                <w:sz w:val="22"/>
                <w:szCs w:val="22"/>
                <w:lang w:eastAsia="zh-CN" w:bidi="ar"/>
              </w:rPr>
              <w:t>。</w:t>
            </w:r>
          </w:p>
          <w:p w14:paraId="79A62ACF">
            <w:pPr>
              <w:keepNext w:val="0"/>
              <w:keepLines w:val="0"/>
              <w:pageBreakBefore w:val="0"/>
              <w:widowControl w:val="0"/>
              <w:kinsoku/>
              <w:wordWrap/>
              <w:overflowPunct/>
              <w:topLinePunct w:val="0"/>
              <w:bidi w:val="0"/>
              <w:adjustRightInd w:val="0"/>
              <w:snapToGrid w:val="0"/>
              <w:spacing w:line="3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color w:val="000000"/>
                <w:sz w:val="22"/>
                <w:szCs w:val="22"/>
                <w:lang w:bidi="ar"/>
              </w:rPr>
              <w:t>3.以上资料均要求提供扫描件，原件备查。评分中出现无证明资料或专家无法凭所提供资料判断是否得分的情况，一律作不得分处理。</w:t>
            </w:r>
          </w:p>
        </w:tc>
      </w:tr>
      <w:tr w14:paraId="6A207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Align w:val="center"/>
          </w:tcPr>
          <w:p w14:paraId="2BB97FD9">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val="en-US" w:eastAsia="zh-CN"/>
              </w:rPr>
              <w:t>2</w:t>
            </w:r>
          </w:p>
        </w:tc>
        <w:tc>
          <w:tcPr>
            <w:tcW w:w="2137" w:type="dxa"/>
            <w:vAlign w:val="center"/>
          </w:tcPr>
          <w:p w14:paraId="37170D66">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诚信</w:t>
            </w:r>
          </w:p>
        </w:tc>
        <w:tc>
          <w:tcPr>
            <w:tcW w:w="895" w:type="dxa"/>
            <w:vAlign w:val="center"/>
          </w:tcPr>
          <w:p w14:paraId="2DB75A18">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5</w:t>
            </w:r>
          </w:p>
        </w:tc>
        <w:tc>
          <w:tcPr>
            <w:tcW w:w="4691" w:type="dxa"/>
            <w:vAlign w:val="center"/>
          </w:tcPr>
          <w:p w14:paraId="690CEA40">
            <w:pPr>
              <w:keepNext w:val="0"/>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47C461C8">
            <w:pPr>
              <w:keepNext w:val="0"/>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kern w:val="0"/>
                <w:sz w:val="22"/>
                <w:szCs w:val="22"/>
              </w:rPr>
            </w:pPr>
            <w:r>
              <w:rPr>
                <w:rFonts w:hint="default" w:ascii="Times New Roman" w:hAnsi="Times New Roman" w:eastAsia="宋体" w:cs="Times New Roman"/>
                <w:sz w:val="22"/>
                <w:szCs w:val="22"/>
              </w:rPr>
              <w:t>（采购代理机构通过“信用中国”、“中国政府采购网”、“深圳市政府采购监管网”以及市、区财政部门认定的其他渠道查询供应商信用信息，投标人无需提供证明材料。）</w:t>
            </w:r>
          </w:p>
        </w:tc>
      </w:tr>
    </w:tbl>
    <w:p w14:paraId="59C081DA">
      <w:pPr>
        <w:spacing w:line="360" w:lineRule="auto"/>
        <w:rPr>
          <w:rFonts w:ascii="宋体" w:hAnsi="宋体" w:cs="宋体"/>
          <w:sz w:val="22"/>
          <w:szCs w:val="22"/>
        </w:rPr>
      </w:pPr>
      <w:r>
        <w:rPr>
          <w:rFonts w:hint="eastAsia" w:ascii="宋体" w:hAnsi="宋体" w:cs="宋体"/>
          <w:sz w:val="22"/>
          <w:szCs w:val="22"/>
        </w:rPr>
        <w:t>备注：</w:t>
      </w:r>
    </w:p>
    <w:p w14:paraId="173173FA">
      <w:pPr>
        <w:spacing w:line="360" w:lineRule="auto"/>
        <w:rPr>
          <w:rFonts w:ascii="宋体" w:hAnsi="宋体" w:cs="宋体"/>
          <w:sz w:val="22"/>
          <w:szCs w:val="22"/>
        </w:rPr>
      </w:pPr>
      <w:r>
        <w:rPr>
          <w:rFonts w:hint="eastAsia" w:ascii="宋体" w:hAnsi="宋体" w:cs="宋体"/>
          <w:sz w:val="22"/>
          <w:szCs w:val="22"/>
        </w:rPr>
        <w:t>1.价格、技术、商务部分累加分为100分。</w:t>
      </w:r>
    </w:p>
    <w:p w14:paraId="757E6F94">
      <w:pPr>
        <w:spacing w:line="360" w:lineRule="auto"/>
        <w:jc w:val="left"/>
        <w:rPr>
          <w:rFonts w:ascii="宋体" w:hAnsi="宋体" w:cs="宋体"/>
          <w:b/>
          <w:sz w:val="52"/>
          <w:szCs w:val="52"/>
        </w:rPr>
      </w:pPr>
      <w:r>
        <w:rPr>
          <w:rFonts w:hint="eastAsia" w:ascii="宋体" w:hAnsi="宋体" w:cs="宋体"/>
          <w:sz w:val="22"/>
          <w:szCs w:val="22"/>
        </w:rPr>
        <w:t>2.各投标人得分精确到小数点后两位。</w:t>
      </w:r>
    </w:p>
    <w:p w14:paraId="74FC692E">
      <w:pPr>
        <w:pStyle w:val="37"/>
        <w:rPr>
          <w:rFonts w:ascii="宋体" w:hAnsi="宋体" w:eastAsia="宋体" w:cs="宋体"/>
          <w:b/>
          <w:sz w:val="52"/>
          <w:szCs w:val="52"/>
        </w:rPr>
      </w:pPr>
    </w:p>
    <w:p w14:paraId="18A193D1">
      <w:pPr>
        <w:pStyle w:val="2"/>
        <w:rPr>
          <w:rFonts w:ascii="宋体" w:hAnsi="宋体" w:cs="宋体"/>
          <w:b/>
          <w:sz w:val="52"/>
          <w:szCs w:val="52"/>
        </w:rPr>
      </w:pPr>
    </w:p>
    <w:p w14:paraId="4BA16BF0">
      <w:pPr>
        <w:pStyle w:val="2"/>
        <w:rPr>
          <w:rFonts w:ascii="宋体" w:hAnsi="宋体" w:cs="宋体"/>
          <w:b/>
          <w:sz w:val="52"/>
          <w:szCs w:val="52"/>
        </w:rPr>
      </w:pPr>
    </w:p>
    <w:p w14:paraId="7B367B23">
      <w:pPr>
        <w:pStyle w:val="2"/>
        <w:rPr>
          <w:rFonts w:ascii="宋体" w:hAnsi="宋体" w:cs="宋体"/>
          <w:b/>
          <w:sz w:val="44"/>
        </w:rPr>
      </w:pPr>
      <w:r>
        <w:rPr>
          <w:rFonts w:hint="eastAsia" w:ascii="宋体" w:hAnsi="宋体" w:cs="宋体"/>
          <w:b/>
          <w:sz w:val="52"/>
          <w:szCs w:val="52"/>
        </w:rPr>
        <w:t>第一册  专用条款</w:t>
      </w:r>
      <w:r>
        <w:rPr>
          <w:rFonts w:hint="eastAsia" w:ascii="宋体" w:hAnsi="宋体" w:cs="宋体"/>
          <w:b/>
        </w:rPr>
        <w:br w:type="page"/>
      </w:r>
    </w:p>
    <w:p w14:paraId="6538A171">
      <w:pPr>
        <w:pStyle w:val="3"/>
        <w:rPr>
          <w:rFonts w:ascii="宋体" w:hAnsi="宋体" w:cs="宋体"/>
          <w:sz w:val="22"/>
        </w:rPr>
      </w:pPr>
      <w:bookmarkStart w:id="0" w:name="bt合同条款"/>
      <w:bookmarkEnd w:id="0"/>
      <w:bookmarkStart w:id="1" w:name="bt投标文件签署授权委托书"/>
      <w:bookmarkEnd w:id="1"/>
      <w:bookmarkStart w:id="2" w:name="bt投标人情况介绍"/>
      <w:bookmarkEnd w:id="2"/>
      <w:bookmarkStart w:id="3" w:name="bt合同格式"/>
      <w:bookmarkEnd w:id="3"/>
      <w:bookmarkStart w:id="4" w:name="bt投标报价汇总表"/>
      <w:bookmarkEnd w:id="4"/>
      <w:bookmarkStart w:id="5" w:name="bt本工程承诺书"/>
      <w:bookmarkEnd w:id="5"/>
      <w:bookmarkStart w:id="6" w:name="bt说明"/>
      <w:bookmarkEnd w:id="6"/>
      <w:bookmarkStart w:id="7" w:name="bt项目管理班子配备情况"/>
      <w:bookmarkEnd w:id="7"/>
      <w:bookmarkStart w:id="8" w:name="bt投标函"/>
      <w:bookmarkEnd w:id="8"/>
      <w:bookmarkStart w:id="9" w:name="bt其他资料由投标人自定"/>
      <w:bookmarkEnd w:id="9"/>
      <w:bookmarkStart w:id="10" w:name="bt商务标投标文件格式"/>
      <w:bookmarkEnd w:id="10"/>
      <w:bookmarkStart w:id="11" w:name="bt投标人须知"/>
      <w:bookmarkEnd w:id="11"/>
      <w:bookmarkStart w:id="12" w:name="bt合同条款及格式"/>
      <w:bookmarkEnd w:id="12"/>
      <w:bookmarkStart w:id="13" w:name="bt技术标投标文件格式"/>
      <w:bookmarkEnd w:id="13"/>
      <w:bookmarkStart w:id="14" w:name="bt开标一览表"/>
      <w:bookmarkEnd w:id="14"/>
      <w:bookmarkStart w:id="15" w:name="合同格式"/>
      <w:bookmarkEnd w:id="15"/>
      <w:bookmarkStart w:id="16" w:name="bt其他资料2"/>
      <w:bookmarkEnd w:id="16"/>
      <w:r>
        <w:rPr>
          <w:rFonts w:hint="eastAsia"/>
          <w:sz w:val="36"/>
          <w:szCs w:val="22"/>
        </w:rPr>
        <w:t>第一章  招标公告</w:t>
      </w:r>
    </w:p>
    <w:p w14:paraId="67C55AFD">
      <w:pPr>
        <w:pStyle w:val="21"/>
        <w:widowControl/>
        <w:shd w:val="clear" w:color="auto" w:fill="FFFFFF"/>
        <w:spacing w:line="360" w:lineRule="atLeast"/>
        <w:ind w:firstLine="435"/>
        <w:jc w:val="left"/>
      </w:pPr>
      <w:r>
        <w:rPr>
          <w:rFonts w:hint="eastAsia" w:ascii="宋体" w:hAnsi="宋体" w:cs="宋体"/>
          <w:color w:val="333333"/>
          <w:sz w:val="22"/>
          <w:szCs w:val="22"/>
          <w:shd w:val="clear" w:color="auto" w:fill="FFFFFF"/>
        </w:rPr>
        <w:t>深圳市东海国际招标有限公司</w:t>
      </w:r>
      <w:r>
        <w:rPr>
          <w:rFonts w:hint="eastAsia" w:ascii="宋体" w:hAnsi="宋体" w:cs="宋体"/>
          <w:sz w:val="22"/>
          <w:szCs w:val="22"/>
          <w:shd w:val="clear" w:color="auto" w:fill="FFFFFF"/>
        </w:rPr>
        <w:t>（以下简称“采购代理机构”）受采购人委托，就</w:t>
      </w:r>
      <w:r>
        <w:rPr>
          <w:rFonts w:hint="eastAsia" w:ascii="宋体" w:hAnsi="宋体" w:cs="宋体"/>
          <w:sz w:val="22"/>
          <w:szCs w:val="22"/>
          <w:shd w:val="clear" w:color="auto" w:fill="FFFFFF"/>
          <w:lang w:eastAsia="zh-CN"/>
        </w:rPr>
        <w:t>深圳市文化广电旅游体育2024年度局属各单位运营情况、年度经营情况及合法合规性审计工作服务项目</w:t>
      </w:r>
      <w:r>
        <w:rPr>
          <w:rFonts w:hint="eastAsia" w:ascii="宋体" w:hAnsi="宋体" w:cs="宋体"/>
          <w:sz w:val="22"/>
          <w:szCs w:val="22"/>
          <w:shd w:val="clear" w:color="auto" w:fill="FFFFFF"/>
        </w:rPr>
        <w:t>进行公开招标，欢迎符合资格条件的投标人前来投标。</w:t>
      </w:r>
      <w:r>
        <w:rPr>
          <w:rFonts w:hint="eastAsia" w:ascii="宋体" w:hAnsi="宋体" w:cs="宋体"/>
          <w:sz w:val="22"/>
          <w:szCs w:val="22"/>
          <w:shd w:val="clear" w:color="auto" w:fill="FFFFFF"/>
          <w:lang w:eastAsia="zh-CN"/>
        </w:rPr>
        <w:t>深圳市文化广电旅游体育2024年度局属各单位运营情况、年度经营情况及合法合规性审计工作服务项目</w:t>
      </w:r>
      <w:r>
        <w:rPr>
          <w:rFonts w:hint="eastAsia" w:ascii="宋体" w:hAnsi="宋体" w:cs="宋体"/>
          <w:sz w:val="22"/>
          <w:szCs w:val="22"/>
          <w:shd w:val="clear" w:color="auto" w:fill="FFFFFF"/>
        </w:rPr>
        <w:t>的潜在投标人应在深圳市罗湖区太宁路2号百仕达大厦27B获取招标文件，并于</w:t>
      </w:r>
      <w:r>
        <w:rPr>
          <w:rFonts w:hint="eastAsia" w:ascii="宋体" w:hAnsi="宋体" w:cs="宋体"/>
          <w:sz w:val="22"/>
          <w:szCs w:val="22"/>
          <w:lang w:eastAsia="zh-CN"/>
        </w:rPr>
        <w:t>2025</w:t>
      </w:r>
      <w:r>
        <w:rPr>
          <w:rFonts w:hint="eastAsia" w:ascii="宋体" w:hAnsi="宋体" w:cs="宋体"/>
          <w:sz w:val="22"/>
          <w:szCs w:val="22"/>
        </w:rPr>
        <w:t>年</w:t>
      </w:r>
      <w:r>
        <w:rPr>
          <w:rFonts w:hint="eastAsia" w:ascii="宋体" w:hAnsi="宋体" w:cs="宋体"/>
          <w:sz w:val="22"/>
          <w:szCs w:val="22"/>
          <w:lang w:val="en-US" w:eastAsia="zh-CN"/>
        </w:rPr>
        <w:t>3</w:t>
      </w:r>
      <w:r>
        <w:rPr>
          <w:rFonts w:hint="eastAsia" w:ascii="宋体" w:hAnsi="宋体" w:cs="宋体"/>
          <w:sz w:val="22"/>
          <w:szCs w:val="22"/>
        </w:rPr>
        <w:t>月</w:t>
      </w:r>
      <w:r>
        <w:rPr>
          <w:rFonts w:hint="eastAsia" w:ascii="宋体" w:hAnsi="宋体" w:cs="宋体"/>
          <w:sz w:val="22"/>
          <w:szCs w:val="22"/>
          <w:lang w:val="en-US" w:eastAsia="zh-CN"/>
        </w:rPr>
        <w:t>18</w:t>
      </w:r>
      <w:r>
        <w:rPr>
          <w:rFonts w:hint="eastAsia" w:ascii="宋体" w:hAnsi="宋体" w:cs="宋体"/>
          <w:sz w:val="22"/>
          <w:szCs w:val="22"/>
        </w:rPr>
        <w:t>日</w:t>
      </w:r>
      <w:r>
        <w:rPr>
          <w:rFonts w:hint="eastAsia" w:ascii="宋体" w:hAnsi="宋体" w:cs="宋体"/>
          <w:sz w:val="22"/>
          <w:szCs w:val="22"/>
          <w:lang w:val="en-US" w:eastAsia="zh-CN"/>
        </w:rPr>
        <w:t>09</w:t>
      </w:r>
      <w:r>
        <w:rPr>
          <w:rFonts w:hint="eastAsia" w:ascii="宋体" w:hAnsi="宋体" w:cs="宋体"/>
          <w:sz w:val="22"/>
          <w:szCs w:val="22"/>
        </w:rPr>
        <w:t>点30分</w:t>
      </w:r>
      <w:r>
        <w:rPr>
          <w:rFonts w:hint="eastAsia" w:ascii="宋体" w:hAnsi="宋体" w:cs="宋体"/>
          <w:sz w:val="22"/>
          <w:szCs w:val="22"/>
          <w:shd w:val="clear" w:color="auto" w:fill="FFFFFF"/>
        </w:rPr>
        <w:t>（北京时间）前递交投标文件。</w:t>
      </w:r>
    </w:p>
    <w:p w14:paraId="0A3D4A3B">
      <w:pPr>
        <w:pStyle w:val="3"/>
        <w:widowControl/>
        <w:shd w:val="clear" w:color="auto" w:fill="FFFFFF"/>
        <w:spacing w:before="300" w:after="150" w:line="360" w:lineRule="atLeast"/>
        <w:jc w:val="left"/>
        <w:rPr>
          <w:rStyle w:val="28"/>
          <w:rFonts w:ascii="宋体" w:hAnsi="宋体" w:cs="宋体"/>
          <w:b/>
          <w:sz w:val="22"/>
          <w:szCs w:val="22"/>
          <w:shd w:val="clear" w:color="auto" w:fill="FFFFFF"/>
        </w:rPr>
      </w:pPr>
      <w:r>
        <w:rPr>
          <w:rStyle w:val="28"/>
          <w:rFonts w:hint="eastAsia" w:ascii="宋体" w:hAnsi="宋体" w:cs="宋体"/>
          <w:b/>
          <w:sz w:val="22"/>
          <w:szCs w:val="22"/>
          <w:shd w:val="clear" w:color="auto" w:fill="FFFFFF"/>
        </w:rPr>
        <w:t>一、项目基本情况</w:t>
      </w:r>
    </w:p>
    <w:p w14:paraId="754A7A21">
      <w:pPr>
        <w:pStyle w:val="21"/>
        <w:widowControl/>
        <w:shd w:val="clear" w:color="auto" w:fill="FFFFFF"/>
        <w:spacing w:line="360" w:lineRule="atLeast"/>
        <w:ind w:firstLine="435"/>
        <w:jc w:val="left"/>
        <w:rPr>
          <w:rFonts w:hint="eastAsia" w:ascii="微软雅黑" w:hAnsi="微软雅黑" w:eastAsia="宋体" w:cs="微软雅黑"/>
          <w:sz w:val="21"/>
          <w:szCs w:val="21"/>
          <w:lang w:eastAsia="zh-CN"/>
        </w:rPr>
      </w:pPr>
      <w:r>
        <w:rPr>
          <w:rFonts w:hint="eastAsia" w:ascii="宋体" w:hAnsi="宋体" w:cs="宋体"/>
          <w:sz w:val="22"/>
          <w:szCs w:val="22"/>
          <w:shd w:val="clear" w:color="auto" w:fill="FFFFFF"/>
        </w:rPr>
        <w:t>1.项目编号：</w:t>
      </w:r>
      <w:r>
        <w:rPr>
          <w:rFonts w:hint="eastAsia" w:ascii="宋体" w:hAnsi="宋体" w:cs="宋体"/>
          <w:sz w:val="22"/>
          <w:szCs w:val="22"/>
          <w:lang w:eastAsia="zh-CN"/>
        </w:rPr>
        <w:t>3324-DH2531F1019</w:t>
      </w:r>
    </w:p>
    <w:p w14:paraId="5F874150">
      <w:pPr>
        <w:pStyle w:val="21"/>
        <w:widowControl/>
        <w:shd w:val="clear" w:color="auto" w:fill="FFFFFF"/>
        <w:spacing w:line="360" w:lineRule="atLeast"/>
        <w:ind w:firstLine="435"/>
        <w:jc w:val="left"/>
        <w:rPr>
          <w:rFonts w:hint="eastAsia" w:ascii="微软雅黑" w:hAnsi="微软雅黑" w:eastAsia="宋体" w:cs="微软雅黑"/>
          <w:sz w:val="21"/>
          <w:szCs w:val="21"/>
          <w:lang w:eastAsia="zh-CN"/>
        </w:rPr>
      </w:pPr>
      <w:r>
        <w:rPr>
          <w:rFonts w:hint="eastAsia" w:ascii="宋体" w:hAnsi="宋体" w:cs="宋体"/>
          <w:sz w:val="22"/>
          <w:szCs w:val="22"/>
          <w:shd w:val="clear" w:color="auto" w:fill="FFFFFF"/>
        </w:rPr>
        <w:t>2.项目名称：</w:t>
      </w:r>
      <w:r>
        <w:rPr>
          <w:rFonts w:hint="eastAsia" w:ascii="宋体" w:hAnsi="宋体" w:cs="宋体"/>
          <w:sz w:val="22"/>
          <w:szCs w:val="22"/>
          <w:shd w:val="clear" w:color="auto" w:fill="FFFFFF"/>
          <w:lang w:eastAsia="zh-CN"/>
        </w:rPr>
        <w:t>深圳市文化广电旅游体育2024年度局属各单位运营情况、年度经营情况及合法合规性审计工作服务项目</w:t>
      </w:r>
    </w:p>
    <w:p w14:paraId="16D1A01F">
      <w:pPr>
        <w:pStyle w:val="21"/>
        <w:widowControl/>
        <w:shd w:val="clear" w:color="auto" w:fill="FFFFFF"/>
        <w:spacing w:line="360" w:lineRule="atLeast"/>
        <w:ind w:firstLine="435"/>
        <w:jc w:val="left"/>
        <w:rPr>
          <w:rFonts w:ascii="微软雅黑" w:hAnsi="微软雅黑" w:eastAsia="微软雅黑" w:cs="微软雅黑"/>
          <w:sz w:val="21"/>
          <w:szCs w:val="21"/>
        </w:rPr>
      </w:pPr>
      <w:r>
        <w:rPr>
          <w:rFonts w:hint="eastAsia" w:ascii="宋体" w:hAnsi="宋体" w:cs="宋体"/>
          <w:sz w:val="22"/>
          <w:szCs w:val="22"/>
          <w:shd w:val="clear" w:color="auto" w:fill="FFFFFF"/>
        </w:rPr>
        <w:t>3.预算金额：人民币</w:t>
      </w:r>
      <w:r>
        <w:rPr>
          <w:rFonts w:hint="eastAsia" w:ascii="宋体" w:hAnsi="宋体" w:cs="宋体"/>
          <w:sz w:val="22"/>
          <w:szCs w:val="22"/>
          <w:lang w:eastAsia="zh-CN"/>
        </w:rPr>
        <w:t>260,000.00</w:t>
      </w:r>
      <w:r>
        <w:rPr>
          <w:rFonts w:hint="eastAsia" w:ascii="宋体" w:hAnsi="宋体" w:cs="宋体"/>
          <w:sz w:val="22"/>
          <w:szCs w:val="22"/>
          <w:shd w:val="clear" w:color="auto" w:fill="FFFFFF"/>
        </w:rPr>
        <w:t>元</w:t>
      </w:r>
    </w:p>
    <w:p w14:paraId="0BD5C13E">
      <w:pPr>
        <w:pStyle w:val="21"/>
        <w:widowControl/>
        <w:shd w:val="clear" w:color="auto" w:fill="FFFFFF"/>
        <w:spacing w:line="360" w:lineRule="atLeast"/>
        <w:ind w:firstLine="435"/>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4.最高限价：人民币</w:t>
      </w:r>
      <w:r>
        <w:rPr>
          <w:rFonts w:hint="eastAsia" w:ascii="宋体" w:hAnsi="宋体" w:cs="宋体"/>
          <w:sz w:val="22"/>
          <w:szCs w:val="22"/>
          <w:lang w:eastAsia="zh-CN"/>
        </w:rPr>
        <w:t>260,000.00</w:t>
      </w:r>
      <w:r>
        <w:rPr>
          <w:rFonts w:hint="eastAsia" w:ascii="宋体" w:hAnsi="宋体" w:cs="宋体"/>
          <w:color w:val="333333"/>
          <w:sz w:val="22"/>
          <w:szCs w:val="22"/>
          <w:shd w:val="clear" w:color="auto" w:fill="FFFFFF"/>
        </w:rPr>
        <w:t>元</w:t>
      </w:r>
    </w:p>
    <w:p w14:paraId="523BF37C">
      <w:pPr>
        <w:pStyle w:val="21"/>
        <w:widowControl/>
        <w:shd w:val="clear" w:color="auto" w:fill="FFFFFF"/>
        <w:spacing w:line="360" w:lineRule="atLeast"/>
        <w:ind w:firstLine="435"/>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5.采购需求：详见招标文件。</w:t>
      </w:r>
    </w:p>
    <w:p w14:paraId="57121F00">
      <w:pPr>
        <w:pStyle w:val="21"/>
        <w:widowControl/>
        <w:shd w:val="clear" w:color="auto" w:fill="FFFFFF"/>
        <w:spacing w:line="360" w:lineRule="atLeast"/>
        <w:ind w:firstLine="435"/>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6.合同履行期限：详见招标文件。</w:t>
      </w:r>
    </w:p>
    <w:p w14:paraId="0219C856">
      <w:pPr>
        <w:pStyle w:val="21"/>
        <w:widowControl/>
        <w:shd w:val="clear" w:color="auto" w:fill="FFFFFF"/>
        <w:spacing w:line="360" w:lineRule="atLeast"/>
        <w:ind w:firstLine="435"/>
        <w:jc w:val="left"/>
        <w:rPr>
          <w:rFonts w:hint="default" w:ascii="宋体" w:hAnsi="宋体" w:eastAsia="宋体" w:cs="宋体"/>
          <w:color w:val="333333"/>
          <w:sz w:val="22"/>
          <w:szCs w:val="22"/>
          <w:shd w:val="clear" w:color="auto" w:fill="FFFFFF"/>
          <w:lang w:val="en-US" w:eastAsia="zh-CN"/>
        </w:rPr>
      </w:pPr>
      <w:r>
        <w:rPr>
          <w:rFonts w:hint="eastAsia" w:ascii="宋体" w:hAnsi="宋体" w:cs="宋体"/>
          <w:color w:val="333333"/>
          <w:sz w:val="22"/>
          <w:szCs w:val="22"/>
          <w:shd w:val="clear" w:color="auto" w:fill="FFFFFF"/>
        </w:rPr>
        <w:t>7.本项目不接受联合体投标。</w:t>
      </w:r>
    </w:p>
    <w:p w14:paraId="57389722">
      <w:pPr>
        <w:pStyle w:val="3"/>
        <w:widowControl/>
        <w:shd w:val="clear" w:color="auto" w:fill="FFFFFF"/>
        <w:spacing w:before="300" w:after="150" w:line="360" w:lineRule="atLeast"/>
        <w:jc w:val="left"/>
        <w:rPr>
          <w:rStyle w:val="28"/>
          <w:rFonts w:ascii="宋体" w:hAnsi="宋体" w:cs="宋体"/>
          <w:b/>
          <w:color w:val="333333"/>
          <w:sz w:val="22"/>
          <w:szCs w:val="22"/>
          <w:shd w:val="clear" w:color="auto" w:fill="FFFFFF"/>
        </w:rPr>
      </w:pPr>
      <w:r>
        <w:rPr>
          <w:rStyle w:val="28"/>
          <w:rFonts w:hint="eastAsia" w:ascii="宋体" w:hAnsi="宋体" w:cs="宋体"/>
          <w:b/>
          <w:color w:val="333333"/>
          <w:sz w:val="22"/>
          <w:szCs w:val="22"/>
          <w:shd w:val="clear" w:color="auto" w:fill="FFFFFF"/>
          <w:lang w:eastAsia="zh-CN"/>
        </w:rPr>
        <w:t>二</w:t>
      </w:r>
      <w:r>
        <w:rPr>
          <w:rStyle w:val="28"/>
          <w:rFonts w:hint="eastAsia" w:ascii="宋体" w:hAnsi="宋体" w:cs="宋体"/>
          <w:b/>
          <w:color w:val="333333"/>
          <w:sz w:val="22"/>
          <w:szCs w:val="22"/>
          <w:shd w:val="clear" w:color="auto" w:fill="FFFFFF"/>
        </w:rPr>
        <w:t>、申请人的资格要求</w:t>
      </w:r>
    </w:p>
    <w:p w14:paraId="149C6A03">
      <w:pPr>
        <w:pStyle w:val="21"/>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5CF43869">
      <w:pPr>
        <w:pStyle w:val="21"/>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2.落实政府采购政策需满足的资格要求：无；</w:t>
      </w:r>
    </w:p>
    <w:p w14:paraId="59267F5D">
      <w:pPr>
        <w:pStyle w:val="21"/>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3.本项目的特定资格要求：</w:t>
      </w:r>
    </w:p>
    <w:p w14:paraId="6E292CBA">
      <w:pPr>
        <w:pStyle w:val="21"/>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（1）参与本项目投标前三年内，在经营活动中没有重大违法记录（须按本项目投标文件格式要求提供《政府采购投标及履约承诺函》加盖投标人公章）；</w:t>
      </w:r>
    </w:p>
    <w:p w14:paraId="42AD8A17">
      <w:pPr>
        <w:pStyle w:val="21"/>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7AB0F04E">
      <w:pPr>
        <w:pStyle w:val="21"/>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27B84257">
      <w:pPr>
        <w:pStyle w:val="21"/>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1E826BB5">
      <w:pPr>
        <w:pStyle w:val="21"/>
        <w:widowControl/>
        <w:shd w:val="clear" w:color="auto" w:fill="FFFFFF"/>
        <w:spacing w:line="360" w:lineRule="atLeast"/>
        <w:ind w:firstLine="440" w:firstLineChars="200"/>
        <w:jc w:val="left"/>
        <w:rPr>
          <w:rFonts w:hint="eastAsia" w:ascii="宋体" w:hAnsi="宋体" w:eastAsia="宋体" w:cs="宋体"/>
          <w:color w:val="333333"/>
          <w:sz w:val="22"/>
          <w:szCs w:val="22"/>
          <w:shd w:val="clear" w:color="auto" w:fill="FFFFFF"/>
          <w:lang w:eastAsia="zh-CN"/>
        </w:rPr>
      </w:pPr>
      <w:r>
        <w:rPr>
          <w:rFonts w:hint="eastAsia" w:ascii="宋体" w:hAnsi="宋体" w:cs="宋体"/>
          <w:color w:val="333333"/>
          <w:sz w:val="22"/>
          <w:szCs w:val="22"/>
          <w:shd w:val="clear" w:color="auto" w:fill="FFFFFF"/>
        </w:rPr>
        <w:t>（5）参与本项目不存在《深圳市财政局政府采购供应商信用信息管理办法》列明的严重违法失信行为（由供应商在《政府采购投标及履约承诺函》中作出声明）</w:t>
      </w:r>
      <w:r>
        <w:rPr>
          <w:rFonts w:hint="eastAsia" w:ascii="宋体" w:hAnsi="宋体" w:cs="宋体"/>
          <w:color w:val="333333"/>
          <w:sz w:val="22"/>
          <w:szCs w:val="22"/>
          <w:shd w:val="clear" w:color="auto" w:fill="FFFFFF"/>
          <w:lang w:eastAsia="zh-CN"/>
        </w:rPr>
        <w:t>；</w:t>
      </w:r>
    </w:p>
    <w:p w14:paraId="2BDABED9">
      <w:pPr>
        <w:pStyle w:val="21"/>
        <w:widowControl/>
        <w:shd w:val="clear" w:color="auto" w:fill="FFFFFF"/>
        <w:spacing w:line="360" w:lineRule="atLeast"/>
        <w:ind w:firstLine="440" w:firstLineChars="200"/>
        <w:jc w:val="left"/>
        <w:rPr>
          <w:rFonts w:hint="eastAsia" w:ascii="Times New Roman" w:hAnsi="Times New Roman"/>
          <w:b/>
          <w:bCs/>
          <w:color w:val="auto"/>
          <w:sz w:val="22"/>
          <w:szCs w:val="22"/>
          <w:shd w:val="clear" w:color="auto" w:fill="FFFFFF"/>
          <w:lang w:eastAsia="zh-CN"/>
        </w:rPr>
      </w:pPr>
      <w:r>
        <w:rPr>
          <w:rFonts w:hint="eastAsia" w:ascii="宋体" w:hAnsi="宋体" w:cs="宋体"/>
          <w:color w:val="333333"/>
          <w:sz w:val="22"/>
          <w:szCs w:val="22"/>
          <w:shd w:val="clear" w:color="auto" w:fill="FFFFFF"/>
        </w:rPr>
        <w:t>（6）</w:t>
      </w:r>
      <w:r>
        <w:rPr>
          <w:rFonts w:hint="eastAsia" w:ascii="Times New Roman" w:hAnsi="Times New Roman"/>
          <w:color w:val="000000"/>
          <w:sz w:val="22"/>
          <w:szCs w:val="22"/>
          <w:shd w:val="clear" w:color="auto" w:fill="FFFFFF"/>
          <w:lang w:eastAsia="zh-CN"/>
        </w:rPr>
        <w:t>不同供应商的法定代表人、主要经营负责人、项目投</w:t>
      </w:r>
      <w:r>
        <w:rPr>
          <w:rFonts w:hint="eastAsia" w:ascii="Times New Roman" w:hAnsi="Times New Roman"/>
          <w:color w:val="auto"/>
          <w:sz w:val="22"/>
          <w:szCs w:val="22"/>
          <w:shd w:val="clear" w:color="auto" w:fill="FFFFFF"/>
          <w:lang w:eastAsia="zh-CN"/>
        </w:rPr>
        <w:t>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Times New Roman" w:hAnsi="Times New Roman"/>
          <w:b/>
          <w:bCs/>
          <w:color w:val="auto"/>
          <w:sz w:val="22"/>
          <w:szCs w:val="22"/>
          <w:shd w:val="clear" w:color="auto" w:fill="FFFFFF"/>
          <w:lang w:eastAsia="zh-CN"/>
        </w:rPr>
        <w:t>（由供应商填写《供应商基本情况表》相关信息）；</w:t>
      </w:r>
    </w:p>
    <w:p w14:paraId="5F0288D2">
      <w:pPr>
        <w:pStyle w:val="21"/>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Times New Roman" w:hAnsi="Times New Roman"/>
          <w:b w:val="0"/>
          <w:bCs w:val="0"/>
          <w:color w:val="auto"/>
          <w:sz w:val="22"/>
          <w:szCs w:val="22"/>
          <w:shd w:val="clear" w:color="auto" w:fill="FFFFFF"/>
          <w:lang w:eastAsia="zh-CN"/>
        </w:rPr>
        <w:t>（</w:t>
      </w:r>
      <w:r>
        <w:rPr>
          <w:rFonts w:hint="eastAsia" w:ascii="Times New Roman" w:hAnsi="Times New Roman"/>
          <w:b w:val="0"/>
          <w:bCs w:val="0"/>
          <w:color w:val="auto"/>
          <w:sz w:val="22"/>
          <w:szCs w:val="22"/>
          <w:shd w:val="clear" w:color="auto" w:fill="FFFFFF"/>
          <w:lang w:val="en-US" w:eastAsia="zh-CN"/>
        </w:rPr>
        <w:t>7</w:t>
      </w:r>
      <w:r>
        <w:rPr>
          <w:rFonts w:hint="eastAsia" w:ascii="Times New Roman" w:hAnsi="Times New Roman"/>
          <w:b w:val="0"/>
          <w:bCs w:val="0"/>
          <w:color w:val="auto"/>
          <w:sz w:val="22"/>
          <w:szCs w:val="22"/>
          <w:shd w:val="clear" w:color="auto" w:fill="FFFFFF"/>
          <w:lang w:eastAsia="zh-CN"/>
        </w:rPr>
        <w:t>）</w:t>
      </w:r>
      <w:r>
        <w:rPr>
          <w:rFonts w:hint="eastAsia" w:ascii="宋体" w:hAnsi="宋体" w:cs="宋体"/>
          <w:b w:val="0"/>
          <w:bCs w:val="0"/>
          <w:color w:val="auto"/>
          <w:sz w:val="22"/>
          <w:szCs w:val="22"/>
          <w:shd w:val="clear" w:color="auto" w:fill="FFFFFF"/>
        </w:rPr>
        <w:t>投</w:t>
      </w:r>
      <w:r>
        <w:rPr>
          <w:rFonts w:hint="eastAsia" w:ascii="宋体" w:hAnsi="宋体" w:cs="宋体"/>
          <w:color w:val="auto"/>
          <w:sz w:val="22"/>
          <w:szCs w:val="22"/>
          <w:shd w:val="clear" w:color="auto" w:fill="FFFFFF"/>
        </w:rPr>
        <w:t>标人未被列入失信被执行人、重大税收违法案件当事人名单及政府采购严重违法失信行为记录名单（“信用中国”（www.creditchina.gov.cn）</w:t>
      </w:r>
      <w:r>
        <w:rPr>
          <w:rFonts w:hint="eastAsia" w:ascii="宋体" w:hAnsi="宋体" w:cs="宋体"/>
          <w:color w:val="333333"/>
          <w:sz w:val="22"/>
          <w:szCs w:val="22"/>
          <w:shd w:val="clear" w:color="auto" w:fill="FFFFFF"/>
        </w:rPr>
        <w:t>“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7CC32FD9">
      <w:pPr>
        <w:pStyle w:val="21"/>
        <w:widowControl/>
        <w:shd w:val="clear" w:color="auto" w:fill="FFFFFF"/>
        <w:spacing w:line="360" w:lineRule="atLeast"/>
        <w:ind w:firstLine="442" w:firstLineChars="200"/>
        <w:jc w:val="left"/>
        <w:rPr>
          <w:rFonts w:ascii="微软雅黑" w:hAnsi="微软雅黑" w:eastAsia="微软雅黑" w:cs="微软雅黑"/>
          <w:color w:val="auto"/>
          <w:sz w:val="21"/>
          <w:szCs w:val="21"/>
        </w:rPr>
      </w:pPr>
      <w:r>
        <w:rPr>
          <w:rFonts w:hint="eastAsia" w:ascii="宋体" w:hAnsi="宋体" w:cs="宋体"/>
          <w:b/>
          <w:bCs/>
          <w:color w:val="333333"/>
          <w:sz w:val="22"/>
          <w:szCs w:val="22"/>
          <w:shd w:val="clear" w:color="auto" w:fill="FFFFFF"/>
        </w:rPr>
        <w:t>（</w:t>
      </w:r>
      <w:r>
        <w:rPr>
          <w:rFonts w:hint="eastAsia" w:ascii="宋体" w:hAnsi="宋体" w:cs="宋体"/>
          <w:b/>
          <w:bCs/>
          <w:color w:val="333333"/>
          <w:sz w:val="22"/>
          <w:szCs w:val="22"/>
          <w:shd w:val="clear" w:color="auto" w:fill="FFFFFF"/>
          <w:lang w:val="en-US" w:eastAsia="zh-CN"/>
        </w:rPr>
        <w:t>8</w:t>
      </w:r>
      <w:r>
        <w:rPr>
          <w:rFonts w:hint="eastAsia" w:ascii="宋体" w:hAnsi="宋体" w:cs="宋体"/>
          <w:b/>
          <w:bCs/>
          <w:color w:val="333333"/>
          <w:sz w:val="22"/>
          <w:szCs w:val="22"/>
          <w:shd w:val="clear" w:color="auto" w:fill="FFFFFF"/>
        </w:rPr>
        <w:t>）投标人须提供国家企业信用信息公示系统（https://www.gsxt.gov.cn/index.html）或机关赋码和事业单位登记管理网（http://www.gjsy.gov.cn/sydwfrxxcx/）或全国社会组织信用信息公示平台（https://xxgs.chinanpo.mca.gov.</w:t>
      </w:r>
      <w:r>
        <w:rPr>
          <w:rFonts w:hint="eastAsia" w:ascii="宋体" w:hAnsi="宋体" w:cs="宋体"/>
          <w:b/>
          <w:bCs/>
          <w:color w:val="auto"/>
          <w:sz w:val="22"/>
          <w:szCs w:val="22"/>
          <w:shd w:val="clear" w:color="auto" w:fill="FFFFFF"/>
        </w:rPr>
        <w:t>cn/gsxt/newList）网站截图，作为不同供应商之间不存在单位负责人为同一人或者直接控股、管理关系的补充证明；</w:t>
      </w:r>
    </w:p>
    <w:p w14:paraId="0DCC6404">
      <w:pPr>
        <w:pStyle w:val="21"/>
        <w:widowControl/>
        <w:shd w:val="clear" w:color="auto" w:fill="FFFFFF"/>
        <w:spacing w:line="360" w:lineRule="atLeast"/>
        <w:ind w:firstLine="440" w:firstLineChars="200"/>
        <w:jc w:val="left"/>
        <w:rPr>
          <w:rFonts w:hint="eastAsia" w:ascii="宋体" w:hAnsi="宋体" w:cs="宋体"/>
          <w:b/>
          <w:bCs/>
          <w:color w:val="auto"/>
          <w:sz w:val="22"/>
          <w:szCs w:val="22"/>
          <w:shd w:val="clear" w:color="auto" w:fill="FFFFFF"/>
          <w:lang w:eastAsia="zh-CN"/>
        </w:rPr>
      </w:pPr>
      <w:r>
        <w:rPr>
          <w:rFonts w:hint="eastAsia" w:ascii="宋体" w:hAnsi="宋体" w:cs="宋体"/>
          <w:color w:val="auto"/>
          <w:sz w:val="22"/>
          <w:szCs w:val="22"/>
          <w:shd w:val="clear" w:color="auto" w:fill="FFFFFF"/>
        </w:rPr>
        <w:t>（</w:t>
      </w:r>
      <w:r>
        <w:rPr>
          <w:rFonts w:hint="eastAsia" w:ascii="宋体" w:hAnsi="宋体" w:cs="宋体"/>
          <w:color w:val="auto"/>
          <w:sz w:val="22"/>
          <w:szCs w:val="22"/>
          <w:shd w:val="clear" w:color="auto" w:fill="FFFFFF"/>
          <w:lang w:val="en-US" w:eastAsia="zh-CN"/>
        </w:rPr>
        <w:t>9</w:t>
      </w:r>
      <w:r>
        <w:rPr>
          <w:rFonts w:hint="eastAsia" w:ascii="宋体" w:hAnsi="宋体" w:cs="宋体"/>
          <w:color w:val="auto"/>
          <w:sz w:val="22"/>
          <w:szCs w:val="22"/>
          <w:shd w:val="clear" w:color="auto" w:fill="FFFFFF"/>
        </w:rPr>
        <w:t>）本项目不接受联合体投标，不允许分包或转包</w:t>
      </w:r>
      <w:r>
        <w:rPr>
          <w:rFonts w:hint="eastAsia" w:ascii="宋体" w:hAnsi="宋体" w:cs="宋体"/>
          <w:b w:val="0"/>
          <w:bCs w:val="0"/>
          <w:color w:val="auto"/>
          <w:sz w:val="22"/>
          <w:szCs w:val="22"/>
          <w:shd w:val="clear" w:color="auto" w:fill="FFFFFF"/>
          <w:lang w:eastAsia="zh-CN"/>
        </w:rPr>
        <w:t>。</w:t>
      </w:r>
    </w:p>
    <w:p w14:paraId="46300B74">
      <w:pPr>
        <w:pStyle w:val="3"/>
        <w:widowControl/>
        <w:shd w:val="clear" w:color="auto" w:fill="FFFFFF"/>
        <w:spacing w:before="300" w:after="150" w:line="360" w:lineRule="atLeast"/>
        <w:jc w:val="left"/>
        <w:rPr>
          <w:rStyle w:val="28"/>
          <w:rFonts w:ascii="宋体" w:hAnsi="宋体" w:cs="宋体"/>
          <w:b/>
          <w:color w:val="333333"/>
          <w:sz w:val="22"/>
          <w:szCs w:val="22"/>
          <w:shd w:val="clear" w:color="auto" w:fill="FFFFFF"/>
        </w:rPr>
      </w:pPr>
      <w:r>
        <w:rPr>
          <w:rStyle w:val="28"/>
          <w:rFonts w:hint="eastAsia" w:ascii="宋体" w:hAnsi="宋体" w:cs="宋体"/>
          <w:b/>
          <w:color w:val="333333"/>
          <w:sz w:val="22"/>
          <w:szCs w:val="22"/>
          <w:shd w:val="clear" w:color="auto" w:fill="FFFFFF"/>
          <w:lang w:eastAsia="zh-CN"/>
        </w:rPr>
        <w:t>三</w:t>
      </w:r>
      <w:r>
        <w:rPr>
          <w:rStyle w:val="28"/>
          <w:rFonts w:hint="eastAsia" w:ascii="宋体" w:hAnsi="宋体" w:cs="宋体"/>
          <w:b/>
          <w:color w:val="333333"/>
          <w:sz w:val="22"/>
          <w:szCs w:val="22"/>
          <w:shd w:val="clear" w:color="auto" w:fill="FFFFFF"/>
        </w:rPr>
        <w:t>、获取招标文件</w:t>
      </w:r>
    </w:p>
    <w:p w14:paraId="1A12BF7E">
      <w:pPr>
        <w:pStyle w:val="21"/>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1.时间：</w:t>
      </w:r>
      <w:r>
        <w:rPr>
          <w:rFonts w:hint="eastAsia" w:ascii="宋体" w:hAnsi="宋体" w:cs="宋体"/>
          <w:color w:val="333333"/>
          <w:sz w:val="22"/>
          <w:szCs w:val="22"/>
          <w:shd w:val="clear" w:color="auto" w:fill="FFFFFF"/>
          <w:lang w:eastAsia="zh-CN"/>
        </w:rPr>
        <w:t>2025</w:t>
      </w:r>
      <w:r>
        <w:rPr>
          <w:rFonts w:hint="eastAsia" w:ascii="宋体" w:hAnsi="宋体" w:cs="宋体"/>
          <w:color w:val="333333"/>
          <w:sz w:val="22"/>
          <w:szCs w:val="22"/>
          <w:shd w:val="clear" w:color="auto" w:fill="FFFFFF"/>
        </w:rPr>
        <w:t>年</w:t>
      </w:r>
      <w:r>
        <w:rPr>
          <w:rFonts w:hint="eastAsia" w:ascii="宋体" w:hAnsi="宋体" w:cs="宋体"/>
          <w:color w:val="333333"/>
          <w:sz w:val="22"/>
          <w:szCs w:val="22"/>
          <w:shd w:val="clear" w:color="auto" w:fill="FFFFFF"/>
          <w:lang w:val="en-US" w:eastAsia="zh-CN"/>
        </w:rPr>
        <w:t>3</w:t>
      </w:r>
      <w:r>
        <w:rPr>
          <w:rFonts w:hint="eastAsia" w:ascii="宋体" w:hAnsi="宋体" w:cs="宋体"/>
          <w:color w:val="333333"/>
          <w:sz w:val="22"/>
          <w:szCs w:val="22"/>
          <w:shd w:val="clear" w:color="auto" w:fill="FFFFFF"/>
        </w:rPr>
        <w:t>月</w:t>
      </w:r>
      <w:r>
        <w:rPr>
          <w:rFonts w:hint="eastAsia" w:ascii="宋体" w:hAnsi="宋体" w:cs="宋体"/>
          <w:color w:val="333333"/>
          <w:sz w:val="22"/>
          <w:szCs w:val="22"/>
          <w:shd w:val="clear" w:color="auto" w:fill="FFFFFF"/>
          <w:lang w:val="en-US" w:eastAsia="zh-CN"/>
        </w:rPr>
        <w:t>6</w:t>
      </w:r>
      <w:r>
        <w:rPr>
          <w:rFonts w:hint="eastAsia" w:ascii="宋体" w:hAnsi="宋体" w:cs="宋体"/>
          <w:color w:val="333333"/>
          <w:sz w:val="22"/>
          <w:szCs w:val="22"/>
          <w:shd w:val="clear" w:color="auto" w:fill="FFFFFF"/>
        </w:rPr>
        <w:t>日至</w:t>
      </w:r>
      <w:r>
        <w:rPr>
          <w:rFonts w:hint="eastAsia" w:ascii="宋体" w:hAnsi="宋体" w:cs="宋体"/>
          <w:color w:val="333333"/>
          <w:sz w:val="22"/>
          <w:szCs w:val="22"/>
          <w:shd w:val="clear" w:color="auto" w:fill="FFFFFF"/>
          <w:lang w:eastAsia="zh-CN"/>
        </w:rPr>
        <w:t>2025</w:t>
      </w:r>
      <w:r>
        <w:rPr>
          <w:rFonts w:hint="eastAsia" w:ascii="宋体" w:hAnsi="宋体" w:cs="宋体"/>
          <w:color w:val="333333"/>
          <w:sz w:val="22"/>
          <w:szCs w:val="22"/>
          <w:shd w:val="clear" w:color="auto" w:fill="FFFFFF"/>
        </w:rPr>
        <w:t>年</w:t>
      </w:r>
      <w:r>
        <w:rPr>
          <w:rFonts w:hint="eastAsia" w:ascii="宋体" w:hAnsi="宋体" w:cs="宋体"/>
          <w:color w:val="333333"/>
          <w:sz w:val="22"/>
          <w:szCs w:val="22"/>
          <w:shd w:val="clear" w:color="auto" w:fill="FFFFFF"/>
          <w:lang w:val="en-US" w:eastAsia="zh-CN"/>
        </w:rPr>
        <w:t>3</w:t>
      </w:r>
      <w:r>
        <w:rPr>
          <w:rFonts w:hint="eastAsia" w:ascii="宋体" w:hAnsi="宋体" w:cs="宋体"/>
          <w:color w:val="333333"/>
          <w:sz w:val="22"/>
          <w:szCs w:val="22"/>
          <w:shd w:val="clear" w:color="auto" w:fill="FFFFFF"/>
        </w:rPr>
        <w:t>月</w:t>
      </w:r>
      <w:r>
        <w:rPr>
          <w:rFonts w:hint="eastAsia" w:ascii="宋体" w:hAnsi="宋体" w:cs="宋体"/>
          <w:color w:val="333333"/>
          <w:sz w:val="22"/>
          <w:szCs w:val="22"/>
          <w:shd w:val="clear" w:color="auto" w:fill="FFFFFF"/>
          <w:lang w:val="en-US" w:eastAsia="zh-CN"/>
        </w:rPr>
        <w:t>13</w:t>
      </w:r>
      <w:r>
        <w:rPr>
          <w:rFonts w:hint="eastAsia" w:ascii="宋体" w:hAnsi="宋体" w:cs="宋体"/>
          <w:color w:val="333333"/>
          <w:sz w:val="22"/>
          <w:szCs w:val="22"/>
          <w:shd w:val="clear" w:color="auto" w:fill="FFFFFF"/>
        </w:rPr>
        <w:t>日，每天上午09:00至12:00，下午14</w:t>
      </w:r>
      <w:r>
        <w:rPr>
          <w:rFonts w:hint="eastAsia" w:ascii="宋体" w:hAnsi="宋体" w:cs="宋体"/>
          <w:color w:val="333333"/>
          <w:sz w:val="22"/>
          <w:szCs w:val="22"/>
          <w:shd w:val="clear" w:color="auto" w:fill="FFFFFF"/>
          <w:lang w:val="en-US" w:eastAsia="zh-CN"/>
        </w:rPr>
        <w:t>:</w:t>
      </w:r>
      <w:r>
        <w:rPr>
          <w:rFonts w:hint="eastAsia" w:ascii="宋体" w:hAnsi="宋体" w:cs="宋体"/>
          <w:color w:val="333333"/>
          <w:sz w:val="22"/>
          <w:szCs w:val="22"/>
          <w:shd w:val="clear" w:color="auto" w:fill="FFFFFF"/>
        </w:rPr>
        <w:t>30至17:30（北京时间，法定节假日除外）</w:t>
      </w:r>
    </w:p>
    <w:p w14:paraId="641B31E1">
      <w:pPr>
        <w:pStyle w:val="21"/>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2.地点：深圳市罗湖区太宁路2号百仕达大厦27B</w:t>
      </w:r>
    </w:p>
    <w:p w14:paraId="10094DDE">
      <w:pPr>
        <w:pStyle w:val="21"/>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3.方式：现场投标报名或网上投标报名（报名资料均需加盖单位公章）</w:t>
      </w:r>
    </w:p>
    <w:p w14:paraId="016725B6">
      <w:pPr>
        <w:pStyle w:val="21"/>
        <w:widowControl/>
        <w:shd w:val="clear" w:color="auto" w:fill="FFFFFF"/>
        <w:spacing w:line="360" w:lineRule="atLeast"/>
        <w:ind w:firstLine="440" w:firstLineChars="200"/>
        <w:jc w:val="left"/>
        <w:rPr>
          <w:rFonts w:ascii="宋体" w:hAnsi="宋体" w:cs="宋体"/>
          <w:color w:val="333333"/>
          <w:sz w:val="22"/>
          <w:szCs w:val="22"/>
          <w:shd w:val="clear" w:color="auto" w:fill="FFFFFF"/>
        </w:rPr>
      </w:pPr>
      <w:r>
        <w:rPr>
          <w:rFonts w:hint="eastAsia" w:ascii="宋体" w:hAnsi="宋体" w:cs="宋体"/>
          <w:color w:val="333333"/>
          <w:sz w:val="22"/>
          <w:szCs w:val="22"/>
          <w:shd w:val="clear" w:color="auto" w:fill="FFFFFF"/>
        </w:rPr>
        <w:t>（1）现场投标报名，提供以下资料：1）营业执照（或事业法人登记证等证明文件）复印件；2）法定代表人证明书及授权委托书，附上法定代表人身份证复印件</w:t>
      </w:r>
      <w:r>
        <w:rPr>
          <w:rFonts w:hint="eastAsia" w:ascii="宋体" w:hAnsi="宋体" w:cs="宋体"/>
          <w:color w:val="333333"/>
          <w:sz w:val="22"/>
          <w:szCs w:val="22"/>
          <w:shd w:val="clear" w:color="auto" w:fill="FFFFFF"/>
          <w:lang w:eastAsia="zh-CN"/>
        </w:rPr>
        <w:t>、</w:t>
      </w:r>
      <w:r>
        <w:rPr>
          <w:rFonts w:hint="eastAsia" w:ascii="宋体" w:hAnsi="宋体" w:cs="宋体"/>
          <w:color w:val="333333"/>
          <w:sz w:val="22"/>
          <w:szCs w:val="22"/>
          <w:shd w:val="clear" w:color="auto" w:fill="FFFFFF"/>
        </w:rPr>
        <w:t>授权代表身份证复印件；3）《洽购文件登记表》；4）资格要求中其他资质证明文件。</w:t>
      </w:r>
    </w:p>
    <w:p w14:paraId="66C856D2">
      <w:pPr>
        <w:pStyle w:val="21"/>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2）网上投标报名：发送报名资料至我司邮箱进行报名登记及获取招标文件，邮箱地址：dh@szdhit.com。报名邮件需附以下资料：1）营业执照（或事业法人登记证等证明文件）复印件；2）法定代表人证明书及授权委托书，附上法定代表人身份证复印件</w:t>
      </w:r>
      <w:r>
        <w:rPr>
          <w:rFonts w:hint="eastAsia" w:ascii="宋体" w:hAnsi="宋体" w:cs="宋体"/>
          <w:color w:val="333333"/>
          <w:sz w:val="22"/>
          <w:szCs w:val="22"/>
          <w:shd w:val="clear" w:color="auto" w:fill="FFFFFF"/>
          <w:lang w:eastAsia="zh-CN"/>
        </w:rPr>
        <w:t>、</w:t>
      </w:r>
      <w:r>
        <w:rPr>
          <w:rFonts w:hint="eastAsia" w:ascii="宋体" w:hAnsi="宋体" w:cs="宋体"/>
          <w:color w:val="333333"/>
          <w:sz w:val="22"/>
          <w:szCs w:val="22"/>
          <w:shd w:val="clear" w:color="auto" w:fill="FFFFFF"/>
        </w:rPr>
        <w:t>授权代表身份证复印件；3）《洽购文件登记表》；4）资格要求中其他资质证明文件；5）购买标书费用银行转账凭证。报名时间以邮件收到时间为准，工作人员将在第二个工作日与报名资料完整的投标人联系。</w:t>
      </w:r>
    </w:p>
    <w:p w14:paraId="4A29BD80">
      <w:pPr>
        <w:pStyle w:val="21"/>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（3）供应商可到采购代理机构网站（www.szdhit.com）下载中心免费下载</w:t>
      </w:r>
      <w:bookmarkStart w:id="17" w:name="OLE_LINK26"/>
      <w:bookmarkEnd w:id="17"/>
      <w:r>
        <w:rPr>
          <w:rFonts w:hint="eastAsia" w:ascii="宋体" w:hAnsi="宋体" w:cs="宋体"/>
          <w:color w:val="333333"/>
          <w:sz w:val="22"/>
          <w:szCs w:val="22"/>
          <w:shd w:val="clear" w:color="auto" w:fill="FFFFFF"/>
        </w:rPr>
        <w:t>《洽购文件登记表》及《法定代表人证明书及授权委托书》。</w:t>
      </w:r>
    </w:p>
    <w:p w14:paraId="45351084">
      <w:pPr>
        <w:pStyle w:val="21"/>
        <w:widowControl/>
        <w:shd w:val="clear" w:color="auto" w:fill="FFFFFF"/>
        <w:spacing w:line="360" w:lineRule="atLeast"/>
        <w:ind w:firstLine="442" w:firstLineChars="200"/>
        <w:jc w:val="left"/>
        <w:rPr>
          <w:rFonts w:ascii="微软雅黑" w:hAnsi="微软雅黑" w:eastAsia="微软雅黑" w:cs="微软雅黑"/>
          <w:b/>
          <w:bCs/>
          <w:color w:val="333333"/>
          <w:sz w:val="21"/>
          <w:szCs w:val="21"/>
        </w:rPr>
      </w:pPr>
      <w:r>
        <w:rPr>
          <w:rFonts w:hint="eastAsia" w:ascii="宋体" w:hAnsi="宋体" w:cs="宋体"/>
          <w:b/>
          <w:bCs/>
          <w:color w:val="333333"/>
          <w:sz w:val="22"/>
          <w:szCs w:val="22"/>
          <w:shd w:val="clear" w:color="auto" w:fill="FFFFFF"/>
        </w:rPr>
        <w:t>（4）标书发售联系人及联系方式：葛小姐，0755-86959378转8001</w:t>
      </w:r>
    </w:p>
    <w:p w14:paraId="1505E34C">
      <w:pPr>
        <w:pStyle w:val="21"/>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4.售价：500.00元（售后不退）</w:t>
      </w:r>
    </w:p>
    <w:p w14:paraId="72531FAF">
      <w:pPr>
        <w:pStyle w:val="21"/>
        <w:widowControl/>
        <w:shd w:val="clear" w:color="auto" w:fill="FFFFFF"/>
        <w:spacing w:line="360" w:lineRule="atLeast"/>
        <w:ind w:firstLine="660" w:firstLineChars="3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开户行名称及账号</w:t>
      </w:r>
    </w:p>
    <w:p w14:paraId="484DADD7">
      <w:pPr>
        <w:pStyle w:val="21"/>
        <w:widowControl/>
        <w:shd w:val="clear" w:color="auto" w:fill="FFFFFF"/>
        <w:spacing w:line="360" w:lineRule="atLeast"/>
        <w:ind w:firstLine="660" w:firstLineChars="3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开户行：中国农业银行股份有限公司深圳东湖支行</w:t>
      </w:r>
    </w:p>
    <w:p w14:paraId="0E47F15B">
      <w:pPr>
        <w:pStyle w:val="21"/>
        <w:widowControl/>
        <w:shd w:val="clear" w:color="auto" w:fill="FFFFFF"/>
        <w:spacing w:line="360" w:lineRule="atLeast"/>
        <w:ind w:firstLine="660" w:firstLineChars="3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账户名称：深圳市东海国际招标有限公司</w:t>
      </w:r>
    </w:p>
    <w:p w14:paraId="2BBE1926">
      <w:pPr>
        <w:pStyle w:val="21"/>
        <w:widowControl/>
        <w:shd w:val="clear" w:color="auto" w:fill="FFFFFF"/>
        <w:spacing w:line="360" w:lineRule="atLeast"/>
        <w:ind w:firstLine="660" w:firstLineChars="3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账号：4100 1800 0400 2656 1</w:t>
      </w:r>
    </w:p>
    <w:p w14:paraId="7987A753">
      <w:pPr>
        <w:pStyle w:val="21"/>
        <w:widowControl/>
        <w:shd w:val="clear" w:color="auto" w:fill="FFFFFF"/>
        <w:spacing w:line="360" w:lineRule="atLeast"/>
        <w:ind w:firstLine="660" w:firstLineChars="300"/>
        <w:jc w:val="left"/>
        <w:rPr>
          <w:rFonts w:hint="eastAsia" w:ascii="宋体" w:hAnsi="宋体" w:cs="宋体"/>
          <w:color w:val="auto"/>
          <w:sz w:val="22"/>
          <w:szCs w:val="22"/>
          <w:shd w:val="clear" w:color="auto" w:fill="FFFFFF"/>
          <w:lang w:eastAsia="zh-CN"/>
        </w:rPr>
      </w:pPr>
      <w:r>
        <w:rPr>
          <w:rFonts w:hint="eastAsia" w:ascii="宋体" w:hAnsi="宋体" w:cs="宋体"/>
          <w:color w:val="333333"/>
          <w:sz w:val="22"/>
          <w:szCs w:val="22"/>
          <w:shd w:val="clear" w:color="auto" w:fill="FFFFFF"/>
        </w:rPr>
        <w:t>付款时请备注公司名称+付款原因（购买采购文件或中标服务费付款）</w:t>
      </w:r>
    </w:p>
    <w:p w14:paraId="16D94E17">
      <w:pPr>
        <w:pStyle w:val="3"/>
        <w:widowControl/>
        <w:shd w:val="clear" w:color="auto" w:fill="FFFFFF"/>
        <w:spacing w:before="300" w:after="150" w:line="360" w:lineRule="atLeast"/>
        <w:jc w:val="left"/>
        <w:rPr>
          <w:rFonts w:ascii="微软雅黑" w:hAnsi="微软雅黑" w:eastAsia="微软雅黑" w:cs="微软雅黑"/>
          <w:color w:val="333333"/>
          <w:sz w:val="45"/>
          <w:szCs w:val="45"/>
        </w:rPr>
      </w:pPr>
      <w:r>
        <w:rPr>
          <w:rStyle w:val="28"/>
          <w:rFonts w:hint="eastAsia" w:ascii="宋体" w:hAnsi="宋体" w:cs="宋体"/>
          <w:b/>
          <w:color w:val="333333"/>
          <w:sz w:val="22"/>
          <w:szCs w:val="22"/>
          <w:shd w:val="clear" w:color="auto" w:fill="FFFFFF"/>
        </w:rPr>
        <w:t>四、提交投标文件截止时间、开标时间和地点</w:t>
      </w:r>
    </w:p>
    <w:p w14:paraId="3580C88D">
      <w:pPr>
        <w:pStyle w:val="21"/>
        <w:widowControl/>
        <w:shd w:val="clear" w:color="auto" w:fill="FFFFFF"/>
        <w:spacing w:line="360" w:lineRule="atLeast"/>
        <w:ind w:firstLine="435"/>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1.时间：</w:t>
      </w:r>
      <w:r>
        <w:rPr>
          <w:rFonts w:hint="eastAsia" w:ascii="宋体" w:hAnsi="宋体" w:cs="宋体"/>
          <w:sz w:val="22"/>
          <w:szCs w:val="22"/>
          <w:lang w:eastAsia="zh-CN"/>
        </w:rPr>
        <w:t>2025</w:t>
      </w:r>
      <w:r>
        <w:rPr>
          <w:rFonts w:hint="eastAsia" w:ascii="宋体" w:hAnsi="宋体" w:cs="宋体"/>
          <w:sz w:val="22"/>
          <w:szCs w:val="22"/>
        </w:rPr>
        <w:t>年</w:t>
      </w:r>
      <w:r>
        <w:rPr>
          <w:rFonts w:hint="eastAsia" w:ascii="宋体" w:hAnsi="宋体" w:cs="宋体"/>
          <w:sz w:val="22"/>
          <w:szCs w:val="22"/>
          <w:lang w:val="en-US" w:eastAsia="zh-CN"/>
        </w:rPr>
        <w:t>3</w:t>
      </w:r>
      <w:r>
        <w:rPr>
          <w:rFonts w:hint="eastAsia" w:ascii="宋体" w:hAnsi="宋体" w:cs="宋体"/>
          <w:sz w:val="22"/>
          <w:szCs w:val="22"/>
        </w:rPr>
        <w:t>月</w:t>
      </w:r>
      <w:r>
        <w:rPr>
          <w:rFonts w:hint="eastAsia" w:ascii="宋体" w:hAnsi="宋体" w:cs="宋体"/>
          <w:sz w:val="22"/>
          <w:szCs w:val="22"/>
          <w:lang w:val="en-US" w:eastAsia="zh-CN"/>
        </w:rPr>
        <w:t>18</w:t>
      </w:r>
      <w:r>
        <w:rPr>
          <w:rFonts w:hint="eastAsia" w:ascii="宋体" w:hAnsi="宋体" w:cs="宋体"/>
          <w:sz w:val="22"/>
          <w:szCs w:val="22"/>
        </w:rPr>
        <w:t>日</w:t>
      </w:r>
      <w:r>
        <w:rPr>
          <w:rFonts w:hint="eastAsia" w:ascii="宋体" w:hAnsi="宋体" w:cs="宋体"/>
          <w:sz w:val="22"/>
          <w:szCs w:val="22"/>
          <w:lang w:val="en-US" w:eastAsia="zh-CN"/>
        </w:rPr>
        <w:t>09</w:t>
      </w:r>
      <w:r>
        <w:rPr>
          <w:rFonts w:hint="eastAsia" w:ascii="宋体" w:hAnsi="宋体" w:cs="宋体"/>
          <w:sz w:val="22"/>
          <w:szCs w:val="22"/>
        </w:rPr>
        <w:t>点30分</w:t>
      </w:r>
      <w:r>
        <w:rPr>
          <w:rFonts w:hint="eastAsia" w:ascii="宋体" w:hAnsi="宋体" w:cs="宋体"/>
          <w:sz w:val="22"/>
          <w:szCs w:val="22"/>
          <w:shd w:val="clear" w:color="auto" w:fill="FFFFFF"/>
        </w:rPr>
        <w:t>（北京时间）</w:t>
      </w:r>
    </w:p>
    <w:p w14:paraId="30C71AE8">
      <w:pPr>
        <w:pStyle w:val="21"/>
        <w:widowControl/>
        <w:shd w:val="clear" w:color="auto" w:fill="FFFFFF"/>
        <w:spacing w:line="360" w:lineRule="atLeast"/>
        <w:ind w:firstLine="435"/>
        <w:jc w:val="left"/>
        <w:rPr>
          <w:rFonts w:ascii="微软雅黑" w:hAnsi="微软雅黑" w:eastAsia="微软雅黑" w:cs="微软雅黑"/>
          <w:sz w:val="21"/>
          <w:szCs w:val="21"/>
        </w:rPr>
      </w:pPr>
      <w:r>
        <w:rPr>
          <w:rFonts w:hint="eastAsia" w:ascii="宋体" w:hAnsi="宋体" w:cs="宋体"/>
          <w:color w:val="333333"/>
          <w:sz w:val="22"/>
          <w:szCs w:val="22"/>
          <w:shd w:val="clear" w:color="auto" w:fill="FFFFFF"/>
        </w:rPr>
        <w:t>2.地点：深圳市罗湖区太宁路2号百仕达大厦2</w:t>
      </w:r>
      <w:r>
        <w:rPr>
          <w:rFonts w:hint="eastAsia" w:ascii="宋体" w:hAnsi="宋体" w:cs="宋体"/>
          <w:sz w:val="22"/>
          <w:szCs w:val="22"/>
          <w:shd w:val="clear" w:color="auto" w:fill="FFFFFF"/>
        </w:rPr>
        <w:t>7B深圳市东海国际招标有限公司</w:t>
      </w:r>
      <w:r>
        <w:rPr>
          <w:rFonts w:hint="eastAsia" w:ascii="宋体" w:hAnsi="宋体" w:cs="宋体"/>
          <w:sz w:val="22"/>
          <w:szCs w:val="22"/>
          <w:shd w:val="clear" w:color="auto" w:fill="FFFFFF"/>
          <w:lang w:val="en-US" w:eastAsia="zh-CN"/>
        </w:rPr>
        <w:t>1</w:t>
      </w:r>
      <w:r>
        <w:rPr>
          <w:rFonts w:hint="eastAsia" w:ascii="宋体" w:hAnsi="宋体" w:cs="宋体"/>
          <w:sz w:val="22"/>
          <w:szCs w:val="22"/>
          <w:shd w:val="clear" w:color="auto" w:fill="FFFFFF"/>
        </w:rPr>
        <w:t>号开标室</w:t>
      </w:r>
    </w:p>
    <w:p w14:paraId="1BB09AA8">
      <w:pPr>
        <w:pStyle w:val="3"/>
        <w:widowControl/>
        <w:shd w:val="clear" w:color="auto" w:fill="FFFFFF"/>
        <w:spacing w:before="300" w:after="150" w:line="360" w:lineRule="atLeast"/>
        <w:jc w:val="left"/>
        <w:rPr>
          <w:rFonts w:ascii="微软雅黑" w:hAnsi="微软雅黑" w:eastAsia="微软雅黑" w:cs="微软雅黑"/>
          <w:color w:val="333333"/>
          <w:sz w:val="45"/>
          <w:szCs w:val="45"/>
        </w:rPr>
      </w:pPr>
      <w:r>
        <w:rPr>
          <w:rStyle w:val="28"/>
          <w:rFonts w:hint="eastAsia" w:ascii="宋体" w:hAnsi="宋体" w:cs="宋体"/>
          <w:b/>
          <w:color w:val="333333"/>
          <w:sz w:val="22"/>
          <w:szCs w:val="22"/>
          <w:shd w:val="clear" w:color="auto" w:fill="FFFFFF"/>
        </w:rPr>
        <w:t>五、公告期限</w:t>
      </w:r>
    </w:p>
    <w:p w14:paraId="06400B58">
      <w:pPr>
        <w:pStyle w:val="21"/>
        <w:widowControl/>
        <w:shd w:val="clear" w:color="auto" w:fill="FFFFFF"/>
        <w:spacing w:line="360" w:lineRule="atLeast"/>
        <w:ind w:firstLine="435"/>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自本公告发布之日起5个工作日。</w:t>
      </w:r>
    </w:p>
    <w:p w14:paraId="71BAA20F">
      <w:pPr>
        <w:pStyle w:val="3"/>
        <w:widowControl/>
        <w:shd w:val="clear" w:color="auto" w:fill="FFFFFF"/>
        <w:spacing w:before="300" w:after="150" w:line="360" w:lineRule="atLeast"/>
        <w:jc w:val="left"/>
        <w:rPr>
          <w:rFonts w:ascii="微软雅黑" w:hAnsi="微软雅黑" w:eastAsia="微软雅黑" w:cs="微软雅黑"/>
          <w:color w:val="333333"/>
          <w:sz w:val="45"/>
          <w:szCs w:val="45"/>
        </w:rPr>
      </w:pPr>
      <w:r>
        <w:rPr>
          <w:rStyle w:val="28"/>
          <w:rFonts w:hint="eastAsia" w:ascii="宋体" w:hAnsi="宋体" w:cs="宋体"/>
          <w:b/>
          <w:color w:val="333333"/>
          <w:sz w:val="22"/>
          <w:szCs w:val="22"/>
          <w:shd w:val="clear" w:color="auto" w:fill="FFFFFF"/>
        </w:rPr>
        <w:t>六、其他补充事宜</w:t>
      </w:r>
    </w:p>
    <w:p w14:paraId="3C5337D9">
      <w:pPr>
        <w:pStyle w:val="21"/>
        <w:widowControl/>
        <w:shd w:val="clear" w:color="auto" w:fill="FFFFFF"/>
        <w:spacing w:line="360" w:lineRule="atLeast"/>
        <w:ind w:firstLine="435"/>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1.公示网站</w:t>
      </w:r>
    </w:p>
    <w:p w14:paraId="4A956238">
      <w:pPr>
        <w:pStyle w:val="21"/>
        <w:widowControl/>
        <w:shd w:val="clear" w:color="auto" w:fill="FFFFFF"/>
        <w:spacing w:line="360" w:lineRule="atLeast"/>
        <w:ind w:firstLine="435"/>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深圳公共资源交易网：www.szggzy.com </w:t>
      </w:r>
    </w:p>
    <w:p w14:paraId="7D54136A">
      <w:pPr>
        <w:pStyle w:val="21"/>
        <w:widowControl/>
        <w:shd w:val="clear" w:color="auto" w:fill="FFFFFF"/>
        <w:spacing w:line="360" w:lineRule="atLeast"/>
        <w:ind w:firstLine="435"/>
        <w:jc w:val="left"/>
        <w:rPr>
          <w:rFonts w:ascii="宋体" w:hAnsi="宋体" w:cs="宋体"/>
          <w:color w:val="333333"/>
          <w:sz w:val="22"/>
          <w:szCs w:val="22"/>
          <w:shd w:val="clear" w:color="auto" w:fill="FFFFFF"/>
        </w:rPr>
      </w:pPr>
      <w:r>
        <w:rPr>
          <w:rFonts w:hint="eastAsia" w:ascii="宋体" w:hAnsi="宋体" w:cs="宋体"/>
          <w:color w:val="333333"/>
          <w:sz w:val="22"/>
          <w:szCs w:val="22"/>
          <w:shd w:val="clear" w:color="auto" w:fill="FFFFFF"/>
        </w:rPr>
        <w:t>深圳市东海国际招标有限公司官网：www.szdhit.com</w:t>
      </w:r>
    </w:p>
    <w:p w14:paraId="25594DC7">
      <w:pPr>
        <w:pStyle w:val="21"/>
        <w:widowControl/>
        <w:shd w:val="clear" w:color="auto" w:fill="FFFFFF"/>
        <w:spacing w:line="360" w:lineRule="atLeast"/>
        <w:ind w:firstLine="435"/>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2.其他事项：</w:t>
      </w:r>
    </w:p>
    <w:p w14:paraId="0AE1F52B">
      <w:pPr>
        <w:pStyle w:val="21"/>
        <w:widowControl/>
        <w:shd w:val="clear" w:color="auto" w:fill="FFFFFF"/>
        <w:spacing w:line="360" w:lineRule="atLeast"/>
        <w:ind w:firstLine="435"/>
        <w:jc w:val="left"/>
        <w:rPr>
          <w:rFonts w:ascii="宋体" w:hAnsi="宋体" w:cs="宋体"/>
          <w:color w:val="333333"/>
          <w:sz w:val="22"/>
          <w:szCs w:val="22"/>
          <w:shd w:val="clear" w:color="auto" w:fill="FFFFFF"/>
        </w:rPr>
      </w:pPr>
      <w:r>
        <w:rPr>
          <w:rFonts w:hint="eastAsia" w:ascii="宋体" w:hAnsi="宋体" w:cs="宋体"/>
          <w:color w:val="333333"/>
          <w:sz w:val="22"/>
          <w:szCs w:val="22"/>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04AEF28B">
      <w:pPr>
        <w:pStyle w:val="21"/>
        <w:widowControl/>
        <w:shd w:val="clear" w:color="auto" w:fill="FFFFFF"/>
        <w:spacing w:line="360" w:lineRule="atLeast"/>
        <w:ind w:firstLine="435"/>
        <w:jc w:val="left"/>
        <w:rPr>
          <w:rFonts w:ascii="宋体" w:hAnsi="宋体" w:cs="宋体"/>
          <w:color w:val="333333"/>
          <w:sz w:val="22"/>
          <w:szCs w:val="22"/>
          <w:shd w:val="clear" w:color="auto" w:fill="FFFFFF"/>
        </w:rPr>
      </w:pPr>
      <w:r>
        <w:rPr>
          <w:rFonts w:hint="eastAsia" w:ascii="宋体" w:hAnsi="宋体" w:cs="宋体"/>
          <w:color w:val="333333"/>
          <w:sz w:val="22"/>
          <w:szCs w:val="22"/>
          <w:shd w:val="clear" w:color="auto" w:fill="FFFFFF"/>
        </w:rPr>
        <w:t>邮寄地址：深圳市罗湖区太宁路2号百仕达大厦27B深圳市东海国际招标有限公司，收件人：葛小姐，联系电话：0755-86959378转8001。</w:t>
      </w:r>
    </w:p>
    <w:p w14:paraId="23FB4EC5">
      <w:pPr>
        <w:pStyle w:val="3"/>
        <w:widowControl/>
        <w:shd w:val="clear" w:color="auto" w:fill="FFFFFF"/>
        <w:spacing w:before="300" w:after="150" w:line="360" w:lineRule="atLeast"/>
        <w:jc w:val="left"/>
        <w:rPr>
          <w:rFonts w:ascii="微软雅黑" w:hAnsi="微软雅黑" w:eastAsia="微软雅黑" w:cs="微软雅黑"/>
          <w:color w:val="333333"/>
          <w:sz w:val="45"/>
          <w:szCs w:val="45"/>
        </w:rPr>
      </w:pPr>
      <w:r>
        <w:rPr>
          <w:rStyle w:val="28"/>
          <w:rFonts w:hint="eastAsia" w:ascii="宋体" w:hAnsi="宋体" w:cs="宋体"/>
          <w:b/>
          <w:color w:val="333333"/>
          <w:sz w:val="22"/>
          <w:szCs w:val="22"/>
          <w:shd w:val="clear" w:color="auto" w:fill="FFFFFF"/>
        </w:rPr>
        <w:t>七、对本次招标提出询问，请按以下方式联系。</w:t>
      </w:r>
    </w:p>
    <w:p w14:paraId="27888406">
      <w:pPr>
        <w:pStyle w:val="21"/>
        <w:widowControl/>
        <w:shd w:val="clear" w:color="auto" w:fill="FFFFFF"/>
        <w:spacing w:line="360" w:lineRule="atLeast"/>
        <w:ind w:firstLine="435"/>
        <w:jc w:val="left"/>
        <w:rPr>
          <w:rFonts w:hint="eastAsia" w:ascii="宋体" w:hAnsi="宋体" w:eastAsia="宋体" w:cs="宋体"/>
          <w:color w:val="333333"/>
          <w:sz w:val="22"/>
          <w:szCs w:val="22"/>
          <w:shd w:val="clear" w:color="auto" w:fill="FFFFFF"/>
        </w:rPr>
      </w:pPr>
      <w:r>
        <w:rPr>
          <w:rFonts w:hint="default" w:ascii="宋体" w:hAnsi="宋体" w:eastAsia="宋体" w:cs="宋体"/>
          <w:color w:val="333333"/>
          <w:sz w:val="22"/>
          <w:szCs w:val="22"/>
          <w:shd w:val="clear" w:color="auto" w:fill="FFFFFF"/>
        </w:rPr>
        <w:t>1.</w:t>
      </w:r>
      <w:r>
        <w:rPr>
          <w:rFonts w:hint="eastAsia" w:ascii="宋体" w:hAnsi="宋体" w:eastAsia="宋体" w:cs="宋体"/>
          <w:color w:val="333333"/>
          <w:sz w:val="22"/>
          <w:szCs w:val="22"/>
          <w:shd w:val="clear" w:color="auto" w:fill="FFFFFF"/>
        </w:rPr>
        <w:t>采购人信息</w:t>
      </w:r>
    </w:p>
    <w:p w14:paraId="60ECD341">
      <w:pPr>
        <w:pStyle w:val="21"/>
        <w:widowControl/>
        <w:shd w:val="clear" w:color="auto" w:fill="FFFFFF"/>
        <w:spacing w:line="360" w:lineRule="atLeast"/>
        <w:ind w:firstLine="435"/>
        <w:jc w:val="left"/>
        <w:rPr>
          <w:rFonts w:hint="eastAsia" w:ascii="宋体" w:hAnsi="宋体" w:eastAsia="宋体" w:cs="宋体"/>
          <w:color w:val="333333"/>
          <w:sz w:val="22"/>
          <w:szCs w:val="22"/>
          <w:shd w:val="clear" w:color="auto" w:fill="FFFFFF"/>
        </w:rPr>
      </w:pPr>
      <w:r>
        <w:rPr>
          <w:rFonts w:hint="eastAsia" w:ascii="宋体" w:hAnsi="宋体" w:eastAsia="宋体" w:cs="宋体"/>
          <w:color w:val="333333"/>
          <w:sz w:val="22"/>
          <w:szCs w:val="22"/>
          <w:shd w:val="clear" w:color="auto" w:fill="FFFFFF"/>
          <w:lang w:val="en-US" w:eastAsia="zh-CN"/>
        </w:rPr>
        <w:t>名　称：</w:t>
      </w:r>
      <w:r>
        <w:rPr>
          <w:rFonts w:hint="eastAsia" w:ascii="宋体" w:hAnsi="宋体" w:eastAsia="宋体" w:cs="宋体"/>
          <w:color w:val="333333"/>
          <w:sz w:val="22"/>
          <w:szCs w:val="22"/>
          <w:shd w:val="clear" w:color="auto" w:fill="FFFFFF"/>
          <w:lang w:eastAsia="zh-CN"/>
        </w:rPr>
        <w:t>深圳市文化广电旅游体育局</w:t>
      </w:r>
    </w:p>
    <w:p w14:paraId="085C54F4">
      <w:pPr>
        <w:pStyle w:val="21"/>
        <w:widowControl/>
        <w:shd w:val="clear" w:color="auto" w:fill="FFFFFF"/>
        <w:spacing w:line="360" w:lineRule="atLeast"/>
        <w:ind w:firstLine="435"/>
        <w:jc w:val="left"/>
        <w:rPr>
          <w:rFonts w:hint="default" w:ascii="宋体" w:hAnsi="宋体" w:eastAsia="宋体" w:cs="宋体"/>
          <w:color w:val="333333"/>
          <w:sz w:val="22"/>
          <w:szCs w:val="22"/>
          <w:shd w:val="clear" w:color="auto" w:fill="FFFFFF"/>
        </w:rPr>
      </w:pPr>
      <w:r>
        <w:rPr>
          <w:rFonts w:hint="eastAsia" w:ascii="宋体" w:hAnsi="宋体" w:eastAsia="宋体" w:cs="宋体"/>
          <w:color w:val="333333"/>
          <w:sz w:val="22"/>
          <w:szCs w:val="22"/>
          <w:shd w:val="clear" w:color="auto" w:fill="FFFFFF"/>
          <w:lang w:val="en-US" w:eastAsia="zh-CN"/>
        </w:rPr>
        <w:t>地　址：深圳市福田区市民中心C区</w:t>
      </w:r>
    </w:p>
    <w:p w14:paraId="67CAB5B8">
      <w:pPr>
        <w:pStyle w:val="21"/>
        <w:widowControl/>
        <w:shd w:val="clear" w:color="auto" w:fill="FFFFFF"/>
        <w:spacing w:line="360" w:lineRule="atLeast"/>
        <w:ind w:firstLine="435"/>
        <w:jc w:val="left"/>
        <w:rPr>
          <w:rFonts w:hint="default" w:ascii="宋体" w:hAnsi="宋体" w:eastAsia="宋体" w:cs="宋体"/>
          <w:color w:val="333333"/>
          <w:sz w:val="22"/>
          <w:szCs w:val="22"/>
          <w:shd w:val="clear" w:color="auto" w:fill="FFFFFF"/>
          <w:lang w:val="en" w:eastAsia="zh-CN"/>
        </w:rPr>
      </w:pPr>
      <w:r>
        <w:rPr>
          <w:rFonts w:hint="eastAsia" w:ascii="宋体" w:hAnsi="宋体" w:eastAsia="宋体" w:cs="宋体"/>
          <w:color w:val="333333"/>
          <w:sz w:val="22"/>
          <w:szCs w:val="22"/>
          <w:shd w:val="clear" w:color="auto" w:fill="FFFFFF"/>
          <w:lang w:val="en-US" w:eastAsia="zh-CN"/>
        </w:rPr>
        <w:t>联系方式：林工，0755-</w:t>
      </w:r>
      <w:r>
        <w:rPr>
          <w:rFonts w:hint="default" w:ascii="宋体" w:hAnsi="宋体" w:eastAsia="宋体" w:cs="宋体"/>
          <w:color w:val="333333"/>
          <w:sz w:val="22"/>
          <w:szCs w:val="22"/>
          <w:shd w:val="clear" w:color="auto" w:fill="FFFFFF"/>
          <w:lang w:val="en" w:eastAsia="zh-CN"/>
        </w:rPr>
        <w:t>88125931</w:t>
      </w:r>
    </w:p>
    <w:p w14:paraId="19A5CFFC">
      <w:pPr>
        <w:pStyle w:val="21"/>
        <w:widowControl/>
        <w:shd w:val="clear" w:color="auto" w:fill="FFFFFF"/>
        <w:spacing w:line="360" w:lineRule="atLeast"/>
        <w:ind w:firstLine="435"/>
        <w:jc w:val="left"/>
        <w:rPr>
          <w:rFonts w:hint="eastAsia" w:ascii="宋体" w:hAnsi="宋体" w:eastAsia="宋体" w:cs="宋体"/>
          <w:color w:val="333333"/>
          <w:sz w:val="22"/>
          <w:szCs w:val="22"/>
          <w:shd w:val="clear" w:color="auto" w:fill="FFFFFF"/>
        </w:rPr>
      </w:pPr>
      <w:r>
        <w:rPr>
          <w:rFonts w:hint="default" w:ascii="宋体" w:hAnsi="宋体" w:eastAsia="宋体" w:cs="宋体"/>
          <w:color w:val="333333"/>
          <w:sz w:val="22"/>
          <w:szCs w:val="22"/>
          <w:shd w:val="clear" w:color="auto" w:fill="FFFFFF"/>
        </w:rPr>
        <w:t>2.</w:t>
      </w:r>
      <w:r>
        <w:rPr>
          <w:rFonts w:hint="eastAsia" w:ascii="宋体" w:hAnsi="宋体" w:eastAsia="宋体" w:cs="宋体"/>
          <w:color w:val="333333"/>
          <w:sz w:val="22"/>
          <w:szCs w:val="22"/>
          <w:shd w:val="clear" w:color="auto" w:fill="FFFFFF"/>
        </w:rPr>
        <w:t>采购代理机构信息</w:t>
      </w:r>
    </w:p>
    <w:p w14:paraId="03EE5DAE">
      <w:pPr>
        <w:pStyle w:val="21"/>
        <w:widowControl/>
        <w:shd w:val="clear" w:color="auto" w:fill="FFFFFF"/>
        <w:spacing w:line="360" w:lineRule="atLeast"/>
        <w:ind w:firstLine="435"/>
        <w:jc w:val="left"/>
        <w:rPr>
          <w:rFonts w:hint="eastAsia" w:ascii="宋体" w:hAnsi="宋体" w:eastAsia="宋体" w:cs="宋体"/>
          <w:color w:val="333333"/>
          <w:sz w:val="22"/>
          <w:szCs w:val="22"/>
          <w:shd w:val="clear" w:color="auto" w:fill="FFFFFF"/>
        </w:rPr>
      </w:pPr>
      <w:r>
        <w:rPr>
          <w:rFonts w:hint="eastAsia" w:ascii="宋体" w:hAnsi="宋体" w:eastAsia="宋体" w:cs="宋体"/>
          <w:color w:val="333333"/>
          <w:sz w:val="22"/>
          <w:szCs w:val="22"/>
          <w:shd w:val="clear" w:color="auto" w:fill="FFFFFF"/>
        </w:rPr>
        <w:t>名　称：深圳市东海国际招标有限公司</w:t>
      </w:r>
    </w:p>
    <w:p w14:paraId="7920DDDC">
      <w:pPr>
        <w:pStyle w:val="21"/>
        <w:widowControl/>
        <w:shd w:val="clear" w:color="auto" w:fill="FFFFFF"/>
        <w:spacing w:line="360" w:lineRule="atLeast"/>
        <w:ind w:firstLine="435"/>
        <w:jc w:val="left"/>
        <w:rPr>
          <w:rFonts w:hint="eastAsia" w:ascii="宋体" w:hAnsi="宋体" w:eastAsia="宋体" w:cs="宋体"/>
          <w:color w:val="333333"/>
          <w:sz w:val="22"/>
          <w:szCs w:val="22"/>
          <w:shd w:val="clear" w:color="auto" w:fill="FFFFFF"/>
        </w:rPr>
      </w:pPr>
      <w:r>
        <w:rPr>
          <w:rFonts w:hint="eastAsia" w:ascii="宋体" w:hAnsi="宋体" w:eastAsia="宋体" w:cs="宋体"/>
          <w:color w:val="333333"/>
          <w:sz w:val="22"/>
          <w:szCs w:val="22"/>
          <w:shd w:val="clear" w:color="auto" w:fill="FFFFFF"/>
        </w:rPr>
        <w:t>地　址：深圳市罗湖区太宁路</w:t>
      </w:r>
      <w:r>
        <w:rPr>
          <w:rFonts w:hint="default" w:ascii="宋体" w:hAnsi="宋体" w:eastAsia="宋体" w:cs="宋体"/>
          <w:color w:val="333333"/>
          <w:sz w:val="22"/>
          <w:szCs w:val="22"/>
          <w:shd w:val="clear" w:color="auto" w:fill="FFFFFF"/>
        </w:rPr>
        <w:t>2</w:t>
      </w:r>
      <w:r>
        <w:rPr>
          <w:rFonts w:hint="eastAsia" w:ascii="宋体" w:hAnsi="宋体" w:eastAsia="宋体" w:cs="宋体"/>
          <w:color w:val="333333"/>
          <w:sz w:val="22"/>
          <w:szCs w:val="22"/>
          <w:shd w:val="clear" w:color="auto" w:fill="FFFFFF"/>
        </w:rPr>
        <w:t>号百仕达大厦</w:t>
      </w:r>
      <w:r>
        <w:rPr>
          <w:rFonts w:hint="default" w:ascii="宋体" w:hAnsi="宋体" w:eastAsia="宋体" w:cs="宋体"/>
          <w:color w:val="333333"/>
          <w:sz w:val="22"/>
          <w:szCs w:val="22"/>
          <w:shd w:val="clear" w:color="auto" w:fill="FFFFFF"/>
        </w:rPr>
        <w:t>27B</w:t>
      </w:r>
    </w:p>
    <w:p w14:paraId="089ADEEC">
      <w:pPr>
        <w:pStyle w:val="21"/>
        <w:widowControl/>
        <w:shd w:val="clear" w:color="auto" w:fill="FFFFFF"/>
        <w:spacing w:line="360" w:lineRule="atLeast"/>
        <w:ind w:firstLine="435"/>
        <w:jc w:val="left"/>
        <w:rPr>
          <w:rFonts w:hint="eastAsia" w:ascii="宋体" w:hAnsi="宋体" w:eastAsia="宋体" w:cs="宋体"/>
          <w:color w:val="333333"/>
          <w:sz w:val="22"/>
          <w:szCs w:val="22"/>
          <w:shd w:val="clear" w:color="auto" w:fill="FFFFFF"/>
        </w:rPr>
      </w:pPr>
      <w:r>
        <w:rPr>
          <w:rFonts w:hint="eastAsia" w:ascii="宋体" w:hAnsi="宋体" w:eastAsia="宋体" w:cs="宋体"/>
          <w:color w:val="333333"/>
          <w:sz w:val="22"/>
          <w:szCs w:val="22"/>
          <w:shd w:val="clear" w:color="auto" w:fill="FFFFFF"/>
        </w:rPr>
        <w:t>联系方式：</w:t>
      </w:r>
      <w:r>
        <w:rPr>
          <w:rFonts w:hint="default" w:ascii="宋体" w:hAnsi="宋体" w:eastAsia="宋体" w:cs="宋体"/>
          <w:color w:val="333333"/>
          <w:sz w:val="22"/>
          <w:szCs w:val="22"/>
          <w:shd w:val="clear" w:color="auto" w:fill="FFFFFF"/>
        </w:rPr>
        <w:t>0755-86959378</w:t>
      </w:r>
    </w:p>
    <w:p w14:paraId="3F8E511C">
      <w:pPr>
        <w:pStyle w:val="21"/>
        <w:widowControl/>
        <w:shd w:val="clear" w:color="auto" w:fill="FFFFFF"/>
        <w:spacing w:line="360" w:lineRule="atLeast"/>
        <w:ind w:firstLine="435"/>
        <w:jc w:val="left"/>
        <w:rPr>
          <w:rFonts w:hint="eastAsia" w:ascii="宋体" w:hAnsi="宋体" w:eastAsia="宋体" w:cs="宋体"/>
          <w:color w:val="333333"/>
          <w:sz w:val="22"/>
          <w:szCs w:val="22"/>
          <w:shd w:val="clear" w:color="auto" w:fill="FFFFFF"/>
        </w:rPr>
      </w:pPr>
      <w:r>
        <w:rPr>
          <w:rFonts w:hint="default" w:ascii="宋体" w:hAnsi="宋体" w:eastAsia="宋体" w:cs="宋体"/>
          <w:color w:val="333333"/>
          <w:sz w:val="22"/>
          <w:szCs w:val="22"/>
          <w:shd w:val="clear" w:color="auto" w:fill="FFFFFF"/>
        </w:rPr>
        <w:t>3.</w:t>
      </w:r>
      <w:r>
        <w:rPr>
          <w:rFonts w:hint="eastAsia" w:ascii="宋体" w:hAnsi="宋体" w:eastAsia="宋体" w:cs="宋体"/>
          <w:color w:val="333333"/>
          <w:sz w:val="22"/>
          <w:szCs w:val="22"/>
          <w:shd w:val="clear" w:color="auto" w:fill="FFFFFF"/>
        </w:rPr>
        <w:t>项目联系方式</w:t>
      </w:r>
    </w:p>
    <w:p w14:paraId="71539FF9">
      <w:pPr>
        <w:pStyle w:val="21"/>
        <w:widowControl/>
        <w:shd w:val="clear" w:color="auto" w:fill="FFFFFF"/>
        <w:spacing w:line="360" w:lineRule="atLeast"/>
        <w:ind w:firstLine="435"/>
        <w:jc w:val="left"/>
        <w:rPr>
          <w:rFonts w:hint="eastAsia" w:ascii="宋体" w:hAnsi="宋体" w:eastAsia="宋体" w:cs="宋体"/>
          <w:color w:val="333333"/>
          <w:sz w:val="22"/>
          <w:szCs w:val="22"/>
          <w:shd w:val="clear" w:color="auto" w:fill="FFFFFF"/>
        </w:rPr>
      </w:pPr>
      <w:r>
        <w:rPr>
          <w:rFonts w:hint="eastAsia" w:ascii="宋体" w:hAnsi="宋体" w:eastAsia="宋体" w:cs="宋体"/>
          <w:color w:val="333333"/>
          <w:sz w:val="22"/>
          <w:szCs w:val="22"/>
          <w:shd w:val="clear" w:color="auto" w:fill="FFFFFF"/>
        </w:rPr>
        <w:t>项目联系人：钟工</w:t>
      </w:r>
      <w:r>
        <w:rPr>
          <w:rFonts w:hint="default" w:ascii="宋体" w:hAnsi="宋体" w:eastAsia="宋体" w:cs="宋体"/>
          <w:color w:val="333333"/>
          <w:sz w:val="22"/>
          <w:szCs w:val="22"/>
          <w:shd w:val="clear" w:color="auto" w:fill="FFFFFF"/>
        </w:rPr>
        <w:t>/</w:t>
      </w:r>
      <w:r>
        <w:rPr>
          <w:rFonts w:hint="eastAsia" w:ascii="宋体" w:hAnsi="宋体" w:eastAsia="宋体" w:cs="宋体"/>
          <w:color w:val="333333"/>
          <w:sz w:val="22"/>
          <w:szCs w:val="22"/>
          <w:shd w:val="clear" w:color="auto" w:fill="FFFFFF"/>
        </w:rPr>
        <w:t>段工</w:t>
      </w:r>
    </w:p>
    <w:p w14:paraId="67C6B962">
      <w:pPr>
        <w:pStyle w:val="21"/>
        <w:widowControl/>
        <w:shd w:val="clear" w:color="auto" w:fill="FFFFFF"/>
        <w:spacing w:line="360" w:lineRule="atLeast"/>
        <w:ind w:firstLine="435"/>
        <w:jc w:val="left"/>
        <w:rPr>
          <w:rFonts w:hint="default" w:ascii="宋体" w:hAnsi="宋体" w:eastAsia="宋体" w:cs="宋体"/>
          <w:color w:val="333333"/>
          <w:sz w:val="22"/>
          <w:szCs w:val="22"/>
          <w:shd w:val="clear" w:color="auto" w:fill="FFFFFF"/>
          <w:lang w:val="en-US" w:eastAsia="zh-CN"/>
        </w:rPr>
      </w:pPr>
      <w:r>
        <w:rPr>
          <w:rFonts w:hint="eastAsia" w:ascii="宋体" w:hAnsi="宋体" w:eastAsia="宋体" w:cs="宋体"/>
          <w:color w:val="333333"/>
          <w:sz w:val="22"/>
          <w:szCs w:val="22"/>
          <w:shd w:val="clear" w:color="auto" w:fill="FFFFFF"/>
        </w:rPr>
        <w:t>电　话：</w:t>
      </w:r>
      <w:r>
        <w:rPr>
          <w:rFonts w:hint="default" w:ascii="宋体" w:hAnsi="宋体" w:eastAsia="宋体" w:cs="宋体"/>
          <w:color w:val="333333"/>
          <w:sz w:val="22"/>
          <w:szCs w:val="22"/>
          <w:shd w:val="clear" w:color="auto" w:fill="FFFFFF"/>
        </w:rPr>
        <w:t>0755-86959378</w:t>
      </w:r>
      <w:r>
        <w:rPr>
          <w:rFonts w:hint="eastAsia" w:ascii="宋体" w:hAnsi="宋体" w:eastAsia="宋体" w:cs="宋体"/>
          <w:color w:val="333333"/>
          <w:sz w:val="22"/>
          <w:szCs w:val="22"/>
          <w:shd w:val="clear" w:color="auto" w:fill="FFFFFF"/>
        </w:rPr>
        <w:t>或</w:t>
      </w:r>
      <w:r>
        <w:rPr>
          <w:rFonts w:hint="default" w:ascii="宋体" w:hAnsi="宋体" w:eastAsia="宋体" w:cs="宋体"/>
          <w:color w:val="333333"/>
          <w:sz w:val="22"/>
          <w:szCs w:val="22"/>
          <w:shd w:val="clear" w:color="auto" w:fill="FFFFFF"/>
        </w:rPr>
        <w:t>86959778</w:t>
      </w:r>
      <w:r>
        <w:rPr>
          <w:rFonts w:hint="eastAsia" w:ascii="宋体" w:hAnsi="宋体" w:eastAsia="宋体" w:cs="宋体"/>
          <w:color w:val="333333"/>
          <w:sz w:val="22"/>
          <w:szCs w:val="22"/>
          <w:shd w:val="clear" w:color="auto" w:fill="FFFFFF"/>
        </w:rPr>
        <w:t>转</w:t>
      </w:r>
      <w:r>
        <w:rPr>
          <w:rFonts w:hint="default" w:ascii="宋体" w:hAnsi="宋体" w:eastAsia="宋体" w:cs="宋体"/>
          <w:color w:val="333333"/>
          <w:sz w:val="22"/>
          <w:szCs w:val="22"/>
          <w:shd w:val="clear" w:color="auto" w:fill="FFFFFF"/>
        </w:rPr>
        <w:t>8010/80</w:t>
      </w:r>
      <w:r>
        <w:rPr>
          <w:rFonts w:hint="eastAsia" w:ascii="宋体" w:hAnsi="宋体" w:cs="宋体"/>
          <w:color w:val="333333"/>
          <w:sz w:val="22"/>
          <w:szCs w:val="22"/>
          <w:shd w:val="clear" w:color="auto" w:fill="FFFFFF"/>
          <w:lang w:val="en-US" w:eastAsia="zh-CN"/>
        </w:rPr>
        <w:t>15</w:t>
      </w:r>
    </w:p>
    <w:p w14:paraId="1B737B4D">
      <w:pPr>
        <w:pStyle w:val="21"/>
        <w:widowControl/>
        <w:shd w:val="clear" w:color="auto" w:fill="FFFFFF"/>
        <w:spacing w:line="360" w:lineRule="atLeast"/>
        <w:ind w:firstLine="435"/>
        <w:jc w:val="left"/>
        <w:rPr>
          <w:rFonts w:ascii="宋体" w:hAnsi="宋体" w:cs="宋体"/>
          <w:color w:val="333333"/>
          <w:kern w:val="0"/>
          <w:sz w:val="22"/>
          <w:szCs w:val="22"/>
          <w:shd w:val="clear" w:color="auto" w:fill="FFFFFF"/>
          <w:lang w:bidi="ar"/>
        </w:rPr>
      </w:pPr>
      <w:r>
        <w:rPr>
          <w:rFonts w:hint="default" w:ascii="宋体" w:hAnsi="宋体" w:eastAsia="宋体" w:cs="宋体"/>
          <w:color w:val="333333"/>
          <w:sz w:val="22"/>
          <w:szCs w:val="22"/>
          <w:shd w:val="clear" w:color="auto" w:fill="FFFFFF"/>
        </w:rPr>
        <w:t>4.</w:t>
      </w:r>
      <w:r>
        <w:rPr>
          <w:rFonts w:hint="eastAsia" w:ascii="宋体" w:hAnsi="宋体" w:eastAsia="宋体" w:cs="宋体"/>
          <w:color w:val="333333"/>
          <w:sz w:val="22"/>
          <w:szCs w:val="22"/>
          <w:shd w:val="clear" w:color="auto" w:fill="FFFFFF"/>
        </w:rPr>
        <w:t>监督电话：邹先生，</w:t>
      </w:r>
      <w:r>
        <w:rPr>
          <w:rFonts w:hint="default" w:ascii="宋体" w:hAnsi="宋体" w:eastAsia="宋体" w:cs="宋体"/>
          <w:color w:val="333333"/>
          <w:sz w:val="22"/>
          <w:szCs w:val="22"/>
          <w:shd w:val="clear" w:color="auto" w:fill="FFFFFF"/>
        </w:rPr>
        <w:t>13510343601</w:t>
      </w:r>
    </w:p>
    <w:p w14:paraId="4AEFE959">
      <w:pPr>
        <w:ind w:left="-3780" w:leftChars="-1800"/>
        <w:jc w:val="right"/>
        <w:rPr>
          <w:rFonts w:ascii="宋体" w:hAnsi="宋体" w:cs="宋体"/>
          <w:color w:val="333333"/>
          <w:kern w:val="0"/>
          <w:sz w:val="22"/>
          <w:szCs w:val="22"/>
          <w:shd w:val="clear" w:color="auto" w:fill="FFFFFF"/>
          <w:lang w:bidi="ar"/>
        </w:rPr>
      </w:pPr>
    </w:p>
    <w:p w14:paraId="280731FC">
      <w:pPr>
        <w:ind w:left="-3780" w:leftChars="-1800"/>
        <w:jc w:val="right"/>
        <w:rPr>
          <w:rFonts w:ascii="宋体" w:hAnsi="宋体" w:cs="宋体"/>
          <w:color w:val="333333"/>
          <w:kern w:val="0"/>
          <w:sz w:val="22"/>
          <w:szCs w:val="22"/>
          <w:shd w:val="clear" w:color="auto" w:fill="FFFFFF"/>
          <w:lang w:bidi="ar"/>
        </w:rPr>
      </w:pPr>
      <w:r>
        <w:rPr>
          <w:rFonts w:hint="eastAsia" w:ascii="宋体" w:hAnsi="宋体" w:cs="宋体"/>
          <w:color w:val="333333"/>
          <w:kern w:val="0"/>
          <w:sz w:val="22"/>
          <w:szCs w:val="22"/>
          <w:shd w:val="clear" w:color="auto" w:fill="FFFFFF"/>
          <w:lang w:bidi="ar"/>
        </w:rPr>
        <w:t>深圳市东海国际招标有限公司</w:t>
      </w:r>
    </w:p>
    <w:p w14:paraId="185D02FE">
      <w:pPr>
        <w:ind w:left="-3780" w:leftChars="-1800"/>
        <w:jc w:val="right"/>
        <w:rPr>
          <w:rFonts w:ascii="宋体" w:hAnsi="宋体" w:cs="宋体"/>
          <w:color w:val="333333"/>
          <w:kern w:val="0"/>
          <w:sz w:val="22"/>
          <w:szCs w:val="22"/>
          <w:shd w:val="clear" w:color="auto" w:fill="FFFFFF"/>
          <w:lang w:bidi="ar"/>
        </w:rPr>
      </w:pPr>
      <w:r>
        <w:rPr>
          <w:rFonts w:hint="eastAsia" w:ascii="宋体" w:hAnsi="宋体" w:cs="宋体"/>
          <w:color w:val="333333"/>
          <w:kern w:val="0"/>
          <w:sz w:val="22"/>
          <w:szCs w:val="22"/>
          <w:shd w:val="clear" w:color="auto" w:fill="FFFFFF"/>
          <w:lang w:bidi="ar"/>
        </w:rPr>
        <w:t xml:space="preserve">                                                                                    </w:t>
      </w:r>
      <w:r>
        <w:rPr>
          <w:rFonts w:hint="eastAsia" w:ascii="宋体" w:hAnsi="宋体" w:cs="宋体"/>
          <w:color w:val="333333"/>
          <w:kern w:val="0"/>
          <w:sz w:val="22"/>
          <w:szCs w:val="22"/>
          <w:shd w:val="clear" w:color="auto" w:fill="FFFFFF"/>
          <w:lang w:eastAsia="zh-CN" w:bidi="ar"/>
        </w:rPr>
        <w:t>2025</w:t>
      </w:r>
      <w:r>
        <w:rPr>
          <w:rFonts w:hint="eastAsia" w:ascii="宋体" w:hAnsi="宋体" w:cs="宋体"/>
          <w:color w:val="333333"/>
          <w:kern w:val="0"/>
          <w:sz w:val="22"/>
          <w:szCs w:val="22"/>
          <w:shd w:val="clear" w:color="auto" w:fill="FFFFFF"/>
          <w:lang w:bidi="ar"/>
        </w:rPr>
        <w:t>年</w:t>
      </w:r>
      <w:r>
        <w:rPr>
          <w:rFonts w:hint="eastAsia" w:ascii="宋体" w:hAnsi="宋体" w:cs="宋体"/>
          <w:color w:val="333333"/>
          <w:kern w:val="0"/>
          <w:sz w:val="22"/>
          <w:szCs w:val="22"/>
          <w:shd w:val="clear" w:color="auto" w:fill="FFFFFF"/>
          <w:lang w:val="en-US" w:eastAsia="zh-CN" w:bidi="ar"/>
        </w:rPr>
        <w:t>3</w:t>
      </w:r>
      <w:r>
        <w:rPr>
          <w:rFonts w:hint="eastAsia" w:ascii="宋体" w:hAnsi="宋体" w:cs="宋体"/>
          <w:color w:val="333333"/>
          <w:kern w:val="0"/>
          <w:sz w:val="22"/>
          <w:szCs w:val="22"/>
          <w:shd w:val="clear" w:color="auto" w:fill="FFFFFF"/>
          <w:lang w:bidi="ar"/>
        </w:rPr>
        <w:t>月</w:t>
      </w:r>
      <w:r>
        <w:rPr>
          <w:rFonts w:hint="eastAsia" w:ascii="宋体" w:hAnsi="宋体" w:cs="宋体"/>
          <w:color w:val="333333"/>
          <w:kern w:val="0"/>
          <w:sz w:val="22"/>
          <w:szCs w:val="22"/>
          <w:shd w:val="clear" w:color="auto" w:fill="FFFFFF"/>
          <w:lang w:val="en-US" w:eastAsia="zh-CN" w:bidi="ar"/>
        </w:rPr>
        <w:t>6</w:t>
      </w:r>
      <w:r>
        <w:rPr>
          <w:rFonts w:hint="eastAsia" w:ascii="宋体" w:hAnsi="宋体" w:cs="宋体"/>
          <w:color w:val="333333"/>
          <w:kern w:val="0"/>
          <w:sz w:val="22"/>
          <w:szCs w:val="22"/>
          <w:shd w:val="clear" w:color="auto" w:fill="FFFFFF"/>
          <w:lang w:bidi="ar"/>
        </w:rPr>
        <w:t>日</w:t>
      </w:r>
    </w:p>
    <w:p w14:paraId="58E4B49C">
      <w:pPr>
        <w:rPr>
          <w:rFonts w:hint="eastAsia"/>
          <w:sz w:val="36"/>
          <w:szCs w:val="22"/>
        </w:rPr>
      </w:pPr>
      <w:r>
        <w:rPr>
          <w:rFonts w:hint="eastAsia"/>
          <w:sz w:val="36"/>
          <w:szCs w:val="22"/>
        </w:rPr>
        <w:br w:type="page"/>
      </w:r>
    </w:p>
    <w:p w14:paraId="1E03AD0E">
      <w:pPr>
        <w:pStyle w:val="3"/>
        <w:rPr>
          <w:sz w:val="36"/>
          <w:szCs w:val="22"/>
        </w:rPr>
      </w:pPr>
      <w:r>
        <w:rPr>
          <w:rFonts w:hint="eastAsia"/>
          <w:sz w:val="36"/>
          <w:szCs w:val="22"/>
        </w:rPr>
        <w:t>第二章  招标项目需求</w:t>
      </w:r>
    </w:p>
    <w:p w14:paraId="5CF2AEDD">
      <w:pPr>
        <w:spacing w:line="360" w:lineRule="exact"/>
        <w:ind w:firstLine="400" w:firstLineChars="200"/>
        <w:rPr>
          <w:rFonts w:ascii="宋体" w:hAnsi="宋体" w:cs="宋体"/>
          <w:sz w:val="20"/>
          <w:szCs w:val="21"/>
        </w:rPr>
      </w:pPr>
    </w:p>
    <w:p w14:paraId="27CB404C">
      <w:pPr>
        <w:pStyle w:val="3"/>
        <w:keepNext w:val="0"/>
        <w:keepLines w:val="0"/>
        <w:pageBreakBefore w:val="0"/>
        <w:numPr>
          <w:ilvl w:val="0"/>
          <w:numId w:val="5"/>
        </w:numPr>
        <w:kinsoku/>
        <w:wordWrap/>
        <w:overflowPunct/>
        <w:topLinePunct w:val="0"/>
        <w:autoSpaceDE/>
        <w:autoSpaceDN/>
        <w:bidi w:val="0"/>
        <w:adjustRightInd/>
        <w:spacing w:line="360" w:lineRule="exact"/>
        <w:textAlignment w:val="auto"/>
        <w:rPr>
          <w:rFonts w:ascii="宋体" w:hAnsi="宋体" w:cs="宋体"/>
        </w:rPr>
      </w:pPr>
      <w:r>
        <w:rPr>
          <w:rFonts w:hint="eastAsia" w:ascii="宋体" w:hAnsi="宋体" w:cs="宋体"/>
          <w:sz w:val="32"/>
          <w:szCs w:val="32"/>
        </w:rPr>
        <w:t>实质性条款</w:t>
      </w:r>
    </w:p>
    <w:tbl>
      <w:tblPr>
        <w:tblStyle w:val="25"/>
        <w:tblW w:w="5018" w:type="pct"/>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7810"/>
      </w:tblGrid>
      <w:tr w14:paraId="05BC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shd w:val="clear" w:color="auto" w:fill="auto"/>
            <w:vAlign w:val="center"/>
          </w:tcPr>
          <w:p w14:paraId="1E61469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kern w:val="0"/>
                <w:sz w:val="22"/>
                <w:szCs w:val="22"/>
              </w:rPr>
            </w:pPr>
            <w:r>
              <w:rPr>
                <w:rFonts w:hint="default" w:ascii="Times New Roman" w:hAnsi="Times New Roman" w:eastAsia="宋体" w:cs="Times New Roman"/>
                <w:b/>
                <w:bCs/>
                <w:kern w:val="0"/>
                <w:sz w:val="22"/>
                <w:szCs w:val="22"/>
              </w:rPr>
              <w:t>序号</w:t>
            </w:r>
          </w:p>
        </w:tc>
        <w:tc>
          <w:tcPr>
            <w:tcW w:w="4561" w:type="pct"/>
            <w:shd w:val="clear" w:color="auto" w:fill="auto"/>
            <w:vAlign w:val="center"/>
          </w:tcPr>
          <w:p w14:paraId="729F376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kern w:val="0"/>
                <w:sz w:val="22"/>
                <w:szCs w:val="22"/>
              </w:rPr>
            </w:pPr>
            <w:r>
              <w:rPr>
                <w:rFonts w:hint="default" w:ascii="Times New Roman" w:hAnsi="Times New Roman" w:eastAsia="宋体" w:cs="Times New Roman"/>
                <w:b/>
                <w:bCs/>
                <w:kern w:val="0"/>
                <w:sz w:val="22"/>
                <w:szCs w:val="22"/>
              </w:rPr>
              <w:t>具体内容</w:t>
            </w:r>
          </w:p>
        </w:tc>
      </w:tr>
      <w:tr w14:paraId="7B92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vAlign w:val="center"/>
          </w:tcPr>
          <w:p w14:paraId="5BE79AC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p>
        </w:tc>
        <w:tc>
          <w:tcPr>
            <w:tcW w:w="4561" w:type="pct"/>
            <w:vAlign w:val="center"/>
          </w:tcPr>
          <w:p w14:paraId="1E80F9A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满足本项目标★的条款要求</w:t>
            </w:r>
            <w:r>
              <w:rPr>
                <w:rFonts w:hint="default" w:ascii="Times New Roman" w:hAnsi="Times New Roman" w:eastAsia="宋体" w:cs="Times New Roman"/>
                <w:sz w:val="22"/>
                <w:szCs w:val="22"/>
                <w:highlight w:val="none"/>
                <w:lang w:eastAsia="zh-CN"/>
              </w:rPr>
              <w:t>。</w:t>
            </w:r>
          </w:p>
        </w:tc>
      </w:tr>
    </w:tbl>
    <w:p w14:paraId="1911AA8B">
      <w:pPr>
        <w:keepNext w:val="0"/>
        <w:keepLines w:val="0"/>
        <w:pageBreakBefore w:val="0"/>
        <w:kinsoku/>
        <w:wordWrap/>
        <w:overflowPunct/>
        <w:topLinePunct w:val="0"/>
        <w:autoSpaceDE/>
        <w:autoSpaceDN/>
        <w:bidi w:val="0"/>
        <w:spacing w:line="360" w:lineRule="exact"/>
        <w:ind w:firstLine="400" w:firstLineChars="200"/>
        <w:rPr>
          <w:rFonts w:ascii="宋体" w:hAnsi="宋体" w:cs="宋体"/>
          <w:sz w:val="20"/>
          <w:szCs w:val="21"/>
        </w:rPr>
      </w:pPr>
    </w:p>
    <w:p w14:paraId="2673391A">
      <w:pPr>
        <w:pStyle w:val="3"/>
        <w:keepNext w:val="0"/>
        <w:keepLines w:val="0"/>
        <w:pageBreakBefore w:val="0"/>
        <w:numPr>
          <w:ilvl w:val="0"/>
          <w:numId w:val="5"/>
        </w:numPr>
        <w:kinsoku/>
        <w:wordWrap/>
        <w:overflowPunct/>
        <w:topLinePunct w:val="0"/>
        <w:autoSpaceDE/>
        <w:autoSpaceDN/>
        <w:bidi w:val="0"/>
        <w:adjustRightInd/>
        <w:spacing w:line="360" w:lineRule="exact"/>
        <w:textAlignment w:val="auto"/>
        <w:rPr>
          <w:rFonts w:hint="eastAsia" w:ascii="宋体" w:hAnsi="宋体" w:cs="宋体"/>
          <w:sz w:val="32"/>
          <w:szCs w:val="32"/>
        </w:rPr>
      </w:pPr>
      <w:r>
        <w:rPr>
          <w:rFonts w:hint="eastAsia" w:ascii="宋体" w:hAnsi="宋体" w:cs="宋体"/>
          <w:sz w:val="32"/>
          <w:szCs w:val="32"/>
        </w:rPr>
        <w:t>项目基本信息</w:t>
      </w:r>
    </w:p>
    <w:tbl>
      <w:tblPr>
        <w:tblStyle w:val="25"/>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929"/>
        <w:gridCol w:w="1622"/>
        <w:gridCol w:w="1622"/>
        <w:gridCol w:w="1622"/>
      </w:tblGrid>
      <w:tr w14:paraId="5053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83" w:type="dxa"/>
            <w:shd w:val="clear" w:color="auto" w:fill="auto"/>
            <w:noWrap w:val="0"/>
            <w:vAlign w:val="center"/>
          </w:tcPr>
          <w:p w14:paraId="4D5DC654">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序号</w:t>
            </w:r>
          </w:p>
        </w:tc>
        <w:tc>
          <w:tcPr>
            <w:tcW w:w="2929" w:type="dxa"/>
            <w:shd w:val="clear" w:color="auto" w:fill="auto"/>
            <w:noWrap w:val="0"/>
            <w:vAlign w:val="center"/>
          </w:tcPr>
          <w:p w14:paraId="44ED7DE5">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sz w:val="22"/>
                <w:szCs w:val="22"/>
                <w:lang w:eastAsia="zh-CN"/>
              </w:rPr>
            </w:pPr>
            <w:r>
              <w:rPr>
                <w:rFonts w:hint="default" w:ascii="Times New Roman" w:hAnsi="Times New Roman" w:eastAsia="宋体" w:cs="Times New Roman"/>
                <w:b/>
                <w:bCs/>
                <w:sz w:val="22"/>
                <w:szCs w:val="22"/>
                <w:lang w:eastAsia="zh-CN"/>
              </w:rPr>
              <w:t>服务内容</w:t>
            </w:r>
          </w:p>
        </w:tc>
        <w:tc>
          <w:tcPr>
            <w:tcW w:w="1622" w:type="dxa"/>
            <w:shd w:val="clear" w:color="auto" w:fill="auto"/>
            <w:noWrap w:val="0"/>
            <w:vAlign w:val="center"/>
          </w:tcPr>
          <w:p w14:paraId="1BD42615">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sz w:val="22"/>
                <w:szCs w:val="22"/>
                <w:lang w:eastAsia="zh-CN"/>
              </w:rPr>
            </w:pPr>
            <w:r>
              <w:rPr>
                <w:rFonts w:hint="default" w:ascii="Times New Roman" w:hAnsi="Times New Roman" w:eastAsia="宋体" w:cs="Times New Roman"/>
                <w:b/>
                <w:bCs/>
                <w:sz w:val="22"/>
                <w:szCs w:val="22"/>
                <w:lang w:eastAsia="zh-CN"/>
              </w:rPr>
              <w:t>数量</w:t>
            </w:r>
          </w:p>
        </w:tc>
        <w:tc>
          <w:tcPr>
            <w:tcW w:w="1622" w:type="dxa"/>
            <w:shd w:val="clear" w:color="auto" w:fill="auto"/>
            <w:noWrap w:val="0"/>
            <w:vAlign w:val="center"/>
          </w:tcPr>
          <w:p w14:paraId="0F4D65DF">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sz w:val="22"/>
                <w:szCs w:val="22"/>
                <w:lang w:eastAsia="zh-CN"/>
              </w:rPr>
            </w:pPr>
            <w:r>
              <w:rPr>
                <w:rFonts w:hint="default" w:ascii="Times New Roman" w:hAnsi="Times New Roman" w:eastAsia="宋体" w:cs="Times New Roman"/>
                <w:b/>
                <w:bCs/>
                <w:sz w:val="22"/>
                <w:szCs w:val="22"/>
                <w:lang w:eastAsia="zh-CN"/>
              </w:rPr>
              <w:t>单位</w:t>
            </w:r>
          </w:p>
        </w:tc>
        <w:tc>
          <w:tcPr>
            <w:tcW w:w="1622" w:type="dxa"/>
            <w:shd w:val="clear" w:color="auto" w:fill="auto"/>
            <w:noWrap w:val="0"/>
            <w:vAlign w:val="center"/>
          </w:tcPr>
          <w:p w14:paraId="44DA627A">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sz w:val="22"/>
                <w:szCs w:val="22"/>
                <w:lang w:eastAsia="zh-CN"/>
              </w:rPr>
            </w:pPr>
            <w:r>
              <w:rPr>
                <w:rFonts w:hint="default" w:ascii="Times New Roman" w:hAnsi="Times New Roman" w:eastAsia="宋体" w:cs="Times New Roman"/>
                <w:b/>
                <w:bCs/>
                <w:sz w:val="22"/>
                <w:szCs w:val="22"/>
                <w:lang w:eastAsia="zh-CN"/>
              </w:rPr>
              <w:t>预算</w:t>
            </w:r>
            <w:r>
              <w:rPr>
                <w:rFonts w:hint="default" w:ascii="Times New Roman" w:hAnsi="Times New Roman" w:eastAsia="宋体" w:cs="Times New Roman"/>
                <w:b/>
                <w:bCs/>
                <w:sz w:val="22"/>
                <w:szCs w:val="22"/>
              </w:rPr>
              <w:t>金额（元）</w:t>
            </w:r>
          </w:p>
        </w:tc>
      </w:tr>
      <w:tr w14:paraId="2FBA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83" w:type="dxa"/>
            <w:noWrap w:val="0"/>
            <w:vAlign w:val="center"/>
          </w:tcPr>
          <w:p w14:paraId="5C763693">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bCs/>
                <w:kern w:val="2"/>
                <w:sz w:val="22"/>
                <w:szCs w:val="22"/>
                <w:lang w:val="en-US" w:eastAsia="zh-CN" w:bidi="ar-SA"/>
              </w:rPr>
            </w:pPr>
            <w:r>
              <w:rPr>
                <w:rFonts w:hint="default" w:ascii="Times New Roman" w:hAnsi="Times New Roman" w:eastAsia="宋体" w:cs="Times New Roman"/>
                <w:bCs/>
                <w:sz w:val="22"/>
                <w:szCs w:val="22"/>
              </w:rPr>
              <w:t>1</w:t>
            </w:r>
          </w:p>
        </w:tc>
        <w:tc>
          <w:tcPr>
            <w:tcW w:w="2929" w:type="dxa"/>
            <w:noWrap w:val="0"/>
            <w:vAlign w:val="center"/>
          </w:tcPr>
          <w:p w14:paraId="69144BC3">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sz w:val="22"/>
                <w:szCs w:val="22"/>
                <w:lang w:val="en-US" w:eastAsia="zh-CN"/>
              </w:rPr>
            </w:pPr>
            <w:r>
              <w:rPr>
                <w:rFonts w:hint="eastAsia" w:ascii="Times New Roman" w:hAnsi="Times New Roman" w:cs="Times New Roman"/>
                <w:sz w:val="22"/>
                <w:szCs w:val="22"/>
                <w:shd w:val="clear" w:color="auto" w:fill="FFFFFF"/>
                <w:lang w:eastAsia="zh-CN"/>
              </w:rPr>
              <w:t>深圳市文化广电旅游体育2024年度局属各单位运营情况、年度经营情况及合法合规性审计工作服务项目</w:t>
            </w:r>
          </w:p>
        </w:tc>
        <w:tc>
          <w:tcPr>
            <w:tcW w:w="1622" w:type="dxa"/>
            <w:noWrap w:val="0"/>
            <w:vAlign w:val="center"/>
          </w:tcPr>
          <w:p w14:paraId="491FB8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kern w:val="0"/>
                <w:sz w:val="22"/>
                <w:szCs w:val="22"/>
                <w:lang w:val="en-US" w:eastAsia="zh-CN" w:bidi="ar"/>
              </w:rPr>
            </w:pPr>
            <w:r>
              <w:rPr>
                <w:rFonts w:hint="default" w:ascii="Times New Roman" w:hAnsi="Times New Roman" w:eastAsia="宋体" w:cs="Times New Roman"/>
                <w:color w:val="000000"/>
                <w:kern w:val="0"/>
                <w:sz w:val="22"/>
                <w:szCs w:val="22"/>
                <w:lang w:val="en-US" w:eastAsia="zh-CN" w:bidi="ar"/>
              </w:rPr>
              <w:t>1</w:t>
            </w:r>
          </w:p>
        </w:tc>
        <w:tc>
          <w:tcPr>
            <w:tcW w:w="1622" w:type="dxa"/>
            <w:noWrap w:val="0"/>
            <w:vAlign w:val="center"/>
          </w:tcPr>
          <w:p w14:paraId="5BE0B09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项</w:t>
            </w:r>
          </w:p>
        </w:tc>
        <w:tc>
          <w:tcPr>
            <w:tcW w:w="1622" w:type="dxa"/>
            <w:noWrap w:val="0"/>
            <w:vAlign w:val="center"/>
          </w:tcPr>
          <w:p w14:paraId="615B02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sz w:val="22"/>
                <w:szCs w:val="22"/>
                <w:lang w:eastAsia="zh-CN"/>
              </w:rPr>
            </w:pPr>
            <w:r>
              <w:rPr>
                <w:rFonts w:hint="eastAsia" w:ascii="Times New Roman" w:hAnsi="Times New Roman" w:cs="Times New Roman"/>
                <w:sz w:val="22"/>
                <w:szCs w:val="22"/>
                <w:lang w:eastAsia="zh-CN"/>
              </w:rPr>
              <w:t>260,000.00</w:t>
            </w:r>
          </w:p>
        </w:tc>
      </w:tr>
    </w:tbl>
    <w:p w14:paraId="301908BD">
      <w:pPr>
        <w:keepNext w:val="0"/>
        <w:keepLines w:val="0"/>
        <w:pageBreakBefore w:val="0"/>
        <w:kinsoku/>
        <w:wordWrap/>
        <w:overflowPunct/>
        <w:topLinePunct w:val="0"/>
        <w:autoSpaceDE/>
        <w:autoSpaceDN/>
        <w:bidi w:val="0"/>
        <w:spacing w:line="360" w:lineRule="exact"/>
        <w:ind w:firstLine="422" w:firstLineChars="200"/>
        <w:rPr>
          <w:rFonts w:ascii="宋体" w:hAnsi="宋体" w:cs="宋体"/>
          <w:b/>
          <w:bCs/>
          <w:sz w:val="20"/>
          <w:szCs w:val="21"/>
        </w:rPr>
      </w:pPr>
      <w:r>
        <w:rPr>
          <w:rFonts w:hint="eastAsia"/>
          <w:b/>
          <w:bCs/>
          <w:lang w:eastAsia="zh-CN"/>
        </w:rPr>
        <w:t>注：超出财政预算金额的投标报价将做无效标处理。</w:t>
      </w:r>
    </w:p>
    <w:p w14:paraId="1788F6A3">
      <w:pPr>
        <w:rPr>
          <w:rFonts w:hint="eastAsia" w:eastAsia="宋体"/>
          <w:lang w:eastAsia="zh-CN"/>
        </w:rPr>
      </w:pPr>
    </w:p>
    <w:p w14:paraId="43B9962C">
      <w:pPr>
        <w:pStyle w:val="3"/>
        <w:keepNext w:val="0"/>
        <w:keepLines w:val="0"/>
        <w:pageBreakBefore w:val="0"/>
        <w:numPr>
          <w:ilvl w:val="0"/>
          <w:numId w:val="5"/>
        </w:numPr>
        <w:kinsoku/>
        <w:wordWrap/>
        <w:overflowPunct/>
        <w:topLinePunct w:val="0"/>
        <w:autoSpaceDE/>
        <w:autoSpaceDN/>
        <w:bidi w:val="0"/>
        <w:adjustRightInd/>
        <w:spacing w:line="360" w:lineRule="exact"/>
        <w:textAlignment w:val="auto"/>
        <w:rPr>
          <w:rFonts w:hint="eastAsia" w:ascii="宋体" w:hAnsi="宋体" w:cs="宋体"/>
          <w:sz w:val="32"/>
          <w:szCs w:val="32"/>
        </w:rPr>
      </w:pPr>
      <w:r>
        <w:rPr>
          <w:rFonts w:hint="eastAsia" w:ascii="宋体" w:hAnsi="宋体" w:cs="宋体"/>
          <w:sz w:val="32"/>
          <w:szCs w:val="32"/>
        </w:rPr>
        <w:t>具体服务要求</w:t>
      </w:r>
    </w:p>
    <w:p w14:paraId="0E440E08">
      <w:pPr>
        <w:keepNext w:val="0"/>
        <w:keepLines w:val="0"/>
        <w:pageBreakBefore w:val="0"/>
        <w:numPr>
          <w:ilvl w:val="0"/>
          <w:numId w:val="0"/>
        </w:numPr>
        <w:kinsoku/>
        <w:wordWrap/>
        <w:overflowPunct/>
        <w:topLinePunct w:val="0"/>
        <w:autoSpaceDE/>
        <w:autoSpaceDN/>
        <w:bidi w:val="0"/>
        <w:adjustRightInd/>
        <w:snapToGrid/>
        <w:spacing w:line="360" w:lineRule="exact"/>
        <w:ind w:firstLine="442" w:firstLineChars="20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b/>
          <w:bCs/>
          <w:color w:val="000000"/>
          <w:sz w:val="22"/>
          <w:szCs w:val="22"/>
          <w:highlight w:val="none"/>
          <w:lang w:val="en-US" w:eastAsia="zh-CN"/>
        </w:rPr>
        <w:t>1.</w:t>
      </w:r>
      <w:r>
        <w:rPr>
          <w:rFonts w:hint="default" w:ascii="Times New Roman" w:hAnsi="Times New Roman" w:eastAsia="宋体" w:cs="Times New Roman"/>
          <w:b/>
          <w:bCs/>
          <w:color w:val="000000"/>
          <w:sz w:val="22"/>
          <w:szCs w:val="22"/>
          <w:highlight w:val="none"/>
        </w:rPr>
        <w:t>运营管理情况专项</w:t>
      </w:r>
      <w:r>
        <w:rPr>
          <w:rFonts w:hint="default" w:ascii="Times New Roman" w:hAnsi="Times New Roman" w:eastAsia="宋体" w:cs="Times New Roman"/>
          <w:b/>
          <w:bCs/>
          <w:color w:val="000000"/>
          <w:sz w:val="22"/>
          <w:szCs w:val="22"/>
          <w:highlight w:val="none"/>
          <w:lang w:eastAsia="zh-CN"/>
        </w:rPr>
        <w:t>审计：</w:t>
      </w:r>
      <w:r>
        <w:rPr>
          <w:rFonts w:hint="default" w:ascii="Times New Roman" w:hAnsi="Times New Roman" w:eastAsia="宋体" w:cs="Times New Roman"/>
          <w:b w:val="0"/>
          <w:bCs w:val="0"/>
          <w:color w:val="000000"/>
          <w:sz w:val="22"/>
          <w:szCs w:val="22"/>
          <w:highlight w:val="none"/>
          <w:lang w:eastAsia="zh-CN"/>
        </w:rPr>
        <w:t>主要对各相关单位在审计期间内奖励性绩效工资分配、违规使用专项资金、违规使用“三公”经费、违规设立小金库、是否落实“过紧日子”、违反政府采购管理规定、固定资产的管理和使用情况、自有物业管理、编外人员管理、借调人员管理、职工在企业从事营利性活动及任职兼职管理不到位情况等项目进行专项审计调查，并出具专项审计报告书。</w:t>
      </w:r>
    </w:p>
    <w:p w14:paraId="1196A52B">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b w:val="0"/>
          <w:bCs w:val="0"/>
          <w:color w:val="000000"/>
          <w:sz w:val="22"/>
          <w:szCs w:val="22"/>
          <w:highlight w:val="none"/>
          <w:lang w:val="en-US" w:eastAsia="zh-CN"/>
        </w:rPr>
        <w:t>1.1审计对象为市文化广电旅游体育局下属11家单位：深圳市文物管理办公室、深圳市文化广电旅游体育研究中心、深圳图书馆、深圳市文化馆、深圳市广播电视技术中心、深圳少年儿童图书馆、深圳美术馆、深圳市文化遗产保护中心、深圳市职业体育管理中心、深圳市群众体育促进中心、及深圳市当代艺术与城市规划馆（简称两馆）。审计期间为2024年1月1日至2024年12月31日。</w:t>
      </w:r>
    </w:p>
    <w:p w14:paraId="3C1959D0">
      <w:pPr>
        <w:keepNext w:val="0"/>
        <w:keepLines w:val="0"/>
        <w:pageBreakBefore w:val="0"/>
        <w:numPr>
          <w:ilvl w:val="0"/>
          <w:numId w:val="0"/>
        </w:numPr>
        <w:kinsoku/>
        <w:wordWrap/>
        <w:overflowPunct/>
        <w:topLinePunct w:val="0"/>
        <w:autoSpaceDE/>
        <w:autoSpaceDN/>
        <w:bidi w:val="0"/>
        <w:adjustRightInd/>
        <w:snapToGrid/>
        <w:spacing w:line="360" w:lineRule="exact"/>
        <w:ind w:firstLine="442" w:firstLineChars="200"/>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b/>
          <w:bCs/>
          <w:color w:val="auto"/>
          <w:sz w:val="22"/>
          <w:szCs w:val="22"/>
          <w:highlight w:val="none"/>
          <w:lang w:val="en-US" w:eastAsia="zh-CN"/>
        </w:rPr>
        <w:t>2.年度审计：</w:t>
      </w:r>
      <w:r>
        <w:rPr>
          <w:rFonts w:hint="default" w:ascii="Times New Roman" w:hAnsi="Times New Roman" w:eastAsia="宋体" w:cs="Times New Roman"/>
          <w:b w:val="0"/>
          <w:bCs w:val="0"/>
          <w:color w:val="auto"/>
          <w:sz w:val="22"/>
          <w:szCs w:val="22"/>
          <w:highlight w:val="none"/>
          <w:lang w:val="en-US" w:eastAsia="zh-CN"/>
        </w:rPr>
        <w:t>主要对各相关单位开展年度经营情况审计，出具年审报告，同时还应核实包括国有资产保值增值率、营业收入、人工成本比重、成本费用增长率等财务管理指标</w:t>
      </w:r>
      <w:r>
        <w:rPr>
          <w:rFonts w:hint="default" w:ascii="Times New Roman" w:hAnsi="Times New Roman" w:eastAsia="宋体" w:cs="Times New Roman"/>
          <w:b w:val="0"/>
          <w:bCs w:val="0"/>
          <w:color w:val="auto"/>
          <w:sz w:val="22"/>
          <w:szCs w:val="22"/>
          <w:highlight w:val="none"/>
          <w:lang w:eastAsia="zh-CN"/>
        </w:rPr>
        <w:t>。</w:t>
      </w:r>
    </w:p>
    <w:p w14:paraId="2FFBC7E2">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default" w:ascii="Times New Roman" w:hAnsi="Times New Roman" w:eastAsia="宋体" w:cs="Times New Roman"/>
          <w:color w:val="000000"/>
          <w:sz w:val="22"/>
          <w:szCs w:val="22"/>
          <w:highlight w:val="none"/>
          <w:lang w:val="en-US" w:eastAsia="zh-CN"/>
        </w:rPr>
      </w:pPr>
      <w:r>
        <w:rPr>
          <w:rFonts w:hint="default" w:ascii="Times New Roman" w:hAnsi="Times New Roman" w:eastAsia="宋体" w:cs="Times New Roman"/>
          <w:b w:val="0"/>
          <w:bCs w:val="0"/>
          <w:color w:val="000000"/>
          <w:sz w:val="22"/>
          <w:szCs w:val="22"/>
          <w:highlight w:val="none"/>
          <w:lang w:val="en-US" w:eastAsia="zh-CN"/>
        </w:rPr>
        <w:t>2.1审计对象为市文化广电旅游体育局下属8家单位：深圳歌舞剧院有限公司、深圳市深圳戏院有限公司、深圳大剧院运营管理有限责任公司、深圳音乐厅运营管理有限责任公司、深圳市粤剧团有限公司及深圳市演出有限公司、深圳交响乐团及深圳市当代艺术与城市规划馆。审计期间为2024年1月1日至2024年12月31日</w:t>
      </w:r>
      <w:r>
        <w:rPr>
          <w:rFonts w:hint="default" w:ascii="Times New Roman" w:hAnsi="Times New Roman" w:eastAsia="宋体" w:cs="Times New Roman"/>
          <w:color w:val="000000"/>
          <w:sz w:val="22"/>
          <w:szCs w:val="22"/>
          <w:highlight w:val="none"/>
          <w:lang w:eastAsia="zh-CN"/>
        </w:rPr>
        <w:t>。</w:t>
      </w:r>
    </w:p>
    <w:p w14:paraId="4E16A88B">
      <w:pPr>
        <w:keepNext w:val="0"/>
        <w:keepLines w:val="0"/>
        <w:pageBreakBefore w:val="0"/>
        <w:numPr>
          <w:ilvl w:val="0"/>
          <w:numId w:val="0"/>
        </w:numPr>
        <w:kinsoku/>
        <w:wordWrap/>
        <w:overflowPunct/>
        <w:topLinePunct w:val="0"/>
        <w:autoSpaceDE/>
        <w:autoSpaceDN/>
        <w:bidi w:val="0"/>
        <w:adjustRightInd/>
        <w:snapToGrid/>
        <w:spacing w:line="360" w:lineRule="exact"/>
        <w:ind w:firstLine="442" w:firstLineChars="200"/>
        <w:rPr>
          <w:rFonts w:hint="eastAsia" w:ascii="Times New Roman" w:hAnsi="Times New Roman" w:eastAsia="宋体" w:cs="Times New Roman"/>
          <w:b w:val="0"/>
          <w:bCs w:val="0"/>
          <w:color w:val="000000"/>
          <w:sz w:val="22"/>
          <w:szCs w:val="22"/>
          <w:highlight w:val="none"/>
          <w:lang w:val="en-US" w:eastAsia="zh-CN"/>
        </w:rPr>
      </w:pPr>
      <w:r>
        <w:rPr>
          <w:rFonts w:hint="eastAsia" w:ascii="Times New Roman" w:hAnsi="Times New Roman" w:cs="Times New Roman"/>
          <w:b/>
          <w:bCs/>
          <w:color w:val="000000"/>
          <w:sz w:val="22"/>
          <w:szCs w:val="22"/>
          <w:highlight w:val="none"/>
          <w:lang w:val="en-US" w:eastAsia="zh-CN"/>
        </w:rPr>
        <w:t>3.合法合规性审计：</w:t>
      </w:r>
      <w:r>
        <w:rPr>
          <w:rFonts w:hint="eastAsia" w:ascii="Times New Roman" w:hAnsi="Times New Roman" w:eastAsia="宋体" w:cs="Times New Roman"/>
          <w:b w:val="0"/>
          <w:bCs w:val="0"/>
          <w:color w:val="auto"/>
          <w:sz w:val="22"/>
          <w:szCs w:val="22"/>
          <w:highlight w:val="none"/>
          <w:lang w:val="en-US" w:eastAsia="zh-CN"/>
        </w:rPr>
        <w:t>主要对各相关文化企业开展合法合规性审计，出具审计意见书。</w:t>
      </w:r>
      <w:r>
        <w:rPr>
          <w:rFonts w:hint="eastAsia" w:ascii="Times New Roman" w:hAnsi="Times New Roman" w:eastAsia="宋体" w:cs="Times New Roman"/>
          <w:b w:val="0"/>
          <w:bCs w:val="0"/>
          <w:color w:val="000000"/>
          <w:sz w:val="22"/>
          <w:szCs w:val="22"/>
          <w:highlight w:val="none"/>
          <w:lang w:val="en-US" w:eastAsia="zh-CN"/>
        </w:rPr>
        <w:t>具体内容主要包括：</w:t>
      </w:r>
    </w:p>
    <w:p w14:paraId="6C5DFC2B">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eastAsia" w:ascii="Times New Roman" w:hAnsi="Times New Roman" w:eastAsia="宋体" w:cs="Times New Roman"/>
          <w:b w:val="0"/>
          <w:bCs w:val="0"/>
          <w:color w:val="000000"/>
          <w:sz w:val="22"/>
          <w:szCs w:val="22"/>
          <w:highlight w:val="none"/>
          <w:lang w:val="en-US" w:eastAsia="zh-CN"/>
        </w:rPr>
      </w:pPr>
      <w:r>
        <w:rPr>
          <w:rFonts w:hint="eastAsia" w:ascii="Times New Roman" w:hAnsi="Times New Roman" w:cs="Times New Roman"/>
          <w:b w:val="0"/>
          <w:bCs w:val="0"/>
          <w:color w:val="000000"/>
          <w:sz w:val="22"/>
          <w:szCs w:val="22"/>
          <w:highlight w:val="none"/>
          <w:lang w:val="en-US" w:eastAsia="zh-CN"/>
        </w:rPr>
        <w:t>3.1</w:t>
      </w:r>
      <w:r>
        <w:rPr>
          <w:rFonts w:hint="eastAsia" w:ascii="Times New Roman" w:hAnsi="Times New Roman" w:eastAsia="宋体" w:cs="Times New Roman"/>
          <w:b w:val="0"/>
          <w:bCs w:val="0"/>
          <w:color w:val="000000"/>
          <w:sz w:val="22"/>
          <w:szCs w:val="22"/>
          <w:highlight w:val="none"/>
          <w:lang w:val="en-US" w:eastAsia="zh-CN"/>
        </w:rPr>
        <w:t>内部控制制度的健立健全情况，反映其内控缺陷及提出审计意见；</w:t>
      </w:r>
    </w:p>
    <w:p w14:paraId="12AA2256">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eastAsia" w:ascii="Times New Roman" w:hAnsi="Times New Roman" w:eastAsia="宋体" w:cs="Times New Roman"/>
          <w:b w:val="0"/>
          <w:bCs w:val="0"/>
          <w:color w:val="000000"/>
          <w:sz w:val="22"/>
          <w:szCs w:val="22"/>
          <w:highlight w:val="none"/>
          <w:lang w:val="en-US" w:eastAsia="zh-CN"/>
        </w:rPr>
      </w:pPr>
      <w:r>
        <w:rPr>
          <w:rFonts w:hint="eastAsia" w:ascii="Times New Roman" w:hAnsi="Times New Roman" w:cs="Times New Roman"/>
          <w:b w:val="0"/>
          <w:bCs w:val="0"/>
          <w:color w:val="000000"/>
          <w:sz w:val="22"/>
          <w:szCs w:val="22"/>
          <w:highlight w:val="none"/>
          <w:lang w:val="en-US" w:eastAsia="zh-CN"/>
        </w:rPr>
        <w:t>3.2</w:t>
      </w:r>
      <w:r>
        <w:rPr>
          <w:rFonts w:hint="eastAsia" w:ascii="Times New Roman" w:hAnsi="Times New Roman" w:eastAsia="宋体" w:cs="Times New Roman"/>
          <w:b w:val="0"/>
          <w:bCs w:val="0"/>
          <w:color w:val="000000"/>
          <w:sz w:val="22"/>
          <w:szCs w:val="22"/>
          <w:highlight w:val="none"/>
          <w:lang w:val="en-US" w:eastAsia="zh-CN"/>
        </w:rPr>
        <w:t>法规及内控制度的执行情况；</w:t>
      </w:r>
    </w:p>
    <w:p w14:paraId="63BB622E">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eastAsia" w:ascii="Times New Roman" w:hAnsi="Times New Roman" w:eastAsia="宋体" w:cs="Times New Roman"/>
          <w:b w:val="0"/>
          <w:bCs w:val="0"/>
          <w:color w:val="000000"/>
          <w:sz w:val="22"/>
          <w:szCs w:val="22"/>
          <w:highlight w:val="none"/>
          <w:lang w:val="en-US" w:eastAsia="zh-CN"/>
        </w:rPr>
      </w:pPr>
      <w:r>
        <w:rPr>
          <w:rFonts w:hint="eastAsia" w:ascii="Times New Roman" w:hAnsi="Times New Roman" w:cs="Times New Roman"/>
          <w:b w:val="0"/>
          <w:bCs w:val="0"/>
          <w:color w:val="000000"/>
          <w:sz w:val="22"/>
          <w:szCs w:val="22"/>
          <w:highlight w:val="none"/>
          <w:lang w:val="en-US" w:eastAsia="zh-CN"/>
        </w:rPr>
        <w:t>3.3</w:t>
      </w:r>
      <w:r>
        <w:rPr>
          <w:rFonts w:hint="eastAsia" w:ascii="Times New Roman" w:hAnsi="Times New Roman" w:eastAsia="宋体" w:cs="Times New Roman"/>
          <w:b w:val="0"/>
          <w:bCs w:val="0"/>
          <w:color w:val="000000"/>
          <w:sz w:val="22"/>
          <w:szCs w:val="22"/>
          <w:highlight w:val="none"/>
          <w:lang w:val="en-US" w:eastAsia="zh-CN"/>
        </w:rPr>
        <w:t>薪酬制度的建立及执行情况；</w:t>
      </w:r>
    </w:p>
    <w:p w14:paraId="1E2B6780">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eastAsia" w:ascii="Times New Roman" w:hAnsi="Times New Roman" w:eastAsia="宋体" w:cs="Times New Roman"/>
          <w:b w:val="0"/>
          <w:bCs w:val="0"/>
          <w:color w:val="000000"/>
          <w:sz w:val="22"/>
          <w:szCs w:val="22"/>
          <w:highlight w:val="none"/>
          <w:lang w:val="en-US" w:eastAsia="zh-CN"/>
        </w:rPr>
      </w:pPr>
      <w:r>
        <w:rPr>
          <w:rFonts w:hint="eastAsia" w:ascii="Times New Roman" w:hAnsi="Times New Roman" w:cs="Times New Roman"/>
          <w:b w:val="0"/>
          <w:bCs w:val="0"/>
          <w:color w:val="000000"/>
          <w:sz w:val="22"/>
          <w:szCs w:val="22"/>
          <w:highlight w:val="none"/>
          <w:lang w:val="en-US" w:eastAsia="zh-CN"/>
        </w:rPr>
        <w:t>3.4</w:t>
      </w:r>
      <w:r>
        <w:rPr>
          <w:rFonts w:hint="eastAsia" w:ascii="Times New Roman" w:hAnsi="Times New Roman" w:eastAsia="宋体" w:cs="Times New Roman"/>
          <w:b w:val="0"/>
          <w:bCs w:val="0"/>
          <w:color w:val="000000"/>
          <w:sz w:val="22"/>
          <w:szCs w:val="22"/>
          <w:highlight w:val="none"/>
          <w:lang w:val="en-US" w:eastAsia="zh-CN"/>
        </w:rPr>
        <w:t>招标采购</w:t>
      </w:r>
      <w:r>
        <w:rPr>
          <w:rFonts w:hint="eastAsia" w:ascii="Times New Roman" w:hAnsi="Times New Roman" w:cs="Times New Roman"/>
          <w:b w:val="0"/>
          <w:bCs w:val="0"/>
          <w:color w:val="000000"/>
          <w:sz w:val="22"/>
          <w:szCs w:val="22"/>
          <w:highlight w:val="none"/>
          <w:lang w:val="en-US" w:eastAsia="zh-CN"/>
        </w:rPr>
        <w:t>（</w:t>
      </w:r>
      <w:r>
        <w:rPr>
          <w:rFonts w:hint="eastAsia" w:ascii="Times New Roman" w:hAnsi="Times New Roman" w:eastAsia="宋体" w:cs="Times New Roman"/>
          <w:b w:val="0"/>
          <w:bCs w:val="0"/>
          <w:color w:val="000000"/>
          <w:sz w:val="22"/>
          <w:szCs w:val="22"/>
          <w:highlight w:val="none"/>
          <w:lang w:val="en-US" w:eastAsia="zh-CN"/>
        </w:rPr>
        <w:t>特别是自行采购</w:t>
      </w:r>
      <w:r>
        <w:rPr>
          <w:rFonts w:hint="eastAsia" w:ascii="Times New Roman" w:hAnsi="Times New Roman" w:cs="Times New Roman"/>
          <w:b w:val="0"/>
          <w:bCs w:val="0"/>
          <w:color w:val="000000"/>
          <w:sz w:val="22"/>
          <w:szCs w:val="22"/>
          <w:highlight w:val="none"/>
          <w:lang w:val="en-US" w:eastAsia="zh-CN"/>
        </w:rPr>
        <w:t>）</w:t>
      </w:r>
      <w:r>
        <w:rPr>
          <w:rFonts w:hint="eastAsia" w:ascii="Times New Roman" w:hAnsi="Times New Roman" w:eastAsia="宋体" w:cs="Times New Roman"/>
          <w:b w:val="0"/>
          <w:bCs w:val="0"/>
          <w:color w:val="000000"/>
          <w:sz w:val="22"/>
          <w:szCs w:val="22"/>
          <w:highlight w:val="none"/>
          <w:lang w:val="en-US" w:eastAsia="zh-CN"/>
        </w:rPr>
        <w:t>情况；</w:t>
      </w:r>
    </w:p>
    <w:p w14:paraId="29EE6058">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eastAsia" w:ascii="Times New Roman" w:hAnsi="Times New Roman" w:eastAsia="宋体" w:cs="Times New Roman"/>
          <w:b w:val="0"/>
          <w:bCs w:val="0"/>
          <w:color w:val="000000"/>
          <w:sz w:val="22"/>
          <w:szCs w:val="22"/>
          <w:highlight w:val="none"/>
          <w:lang w:val="en-US" w:eastAsia="zh-CN"/>
        </w:rPr>
      </w:pPr>
      <w:r>
        <w:rPr>
          <w:rFonts w:hint="eastAsia" w:ascii="Times New Roman" w:hAnsi="Times New Roman" w:cs="Times New Roman"/>
          <w:b w:val="0"/>
          <w:bCs w:val="0"/>
          <w:color w:val="000000"/>
          <w:sz w:val="22"/>
          <w:szCs w:val="22"/>
          <w:highlight w:val="none"/>
          <w:lang w:val="en-US" w:eastAsia="zh-CN"/>
        </w:rPr>
        <w:t>3.5</w:t>
      </w:r>
      <w:r>
        <w:rPr>
          <w:rFonts w:hint="eastAsia" w:ascii="Times New Roman" w:hAnsi="Times New Roman" w:eastAsia="宋体" w:cs="Times New Roman"/>
          <w:b w:val="0"/>
          <w:bCs w:val="0"/>
          <w:color w:val="000000"/>
          <w:sz w:val="22"/>
          <w:szCs w:val="22"/>
          <w:highlight w:val="none"/>
          <w:lang w:val="en-US" w:eastAsia="zh-CN"/>
        </w:rPr>
        <w:t>重要合同的管理情况；</w:t>
      </w:r>
    </w:p>
    <w:p w14:paraId="57EFF5A2">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eastAsia" w:ascii="Times New Roman" w:hAnsi="Times New Roman" w:eastAsia="宋体" w:cs="Times New Roman"/>
          <w:b w:val="0"/>
          <w:bCs w:val="0"/>
          <w:color w:val="000000"/>
          <w:sz w:val="22"/>
          <w:szCs w:val="22"/>
          <w:highlight w:val="none"/>
          <w:lang w:val="en-US" w:eastAsia="zh-CN"/>
        </w:rPr>
      </w:pPr>
      <w:r>
        <w:rPr>
          <w:rFonts w:hint="eastAsia" w:ascii="Times New Roman" w:hAnsi="Times New Roman" w:cs="Times New Roman"/>
          <w:b w:val="0"/>
          <w:bCs w:val="0"/>
          <w:color w:val="000000"/>
          <w:sz w:val="22"/>
          <w:szCs w:val="22"/>
          <w:highlight w:val="none"/>
          <w:lang w:val="en-US" w:eastAsia="zh-CN"/>
        </w:rPr>
        <w:t>3.6</w:t>
      </w:r>
      <w:r>
        <w:rPr>
          <w:rFonts w:hint="eastAsia" w:ascii="Times New Roman" w:hAnsi="Times New Roman" w:eastAsia="宋体" w:cs="Times New Roman"/>
          <w:b w:val="0"/>
          <w:bCs w:val="0"/>
          <w:color w:val="000000"/>
          <w:sz w:val="22"/>
          <w:szCs w:val="22"/>
          <w:highlight w:val="none"/>
          <w:lang w:val="en-US" w:eastAsia="zh-CN"/>
        </w:rPr>
        <w:t>演出设备及乐器的管理情况；</w:t>
      </w:r>
    </w:p>
    <w:p w14:paraId="33F6877C">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eastAsia" w:ascii="Times New Roman" w:hAnsi="Times New Roman" w:eastAsia="宋体" w:cs="Times New Roman"/>
          <w:b w:val="0"/>
          <w:bCs w:val="0"/>
          <w:color w:val="000000"/>
          <w:sz w:val="22"/>
          <w:szCs w:val="22"/>
          <w:highlight w:val="none"/>
          <w:lang w:val="en-US" w:eastAsia="zh-CN"/>
        </w:rPr>
      </w:pPr>
      <w:r>
        <w:rPr>
          <w:rFonts w:hint="eastAsia" w:ascii="Times New Roman" w:hAnsi="Times New Roman" w:cs="Times New Roman"/>
          <w:b w:val="0"/>
          <w:bCs w:val="0"/>
          <w:color w:val="000000"/>
          <w:sz w:val="22"/>
          <w:szCs w:val="22"/>
          <w:highlight w:val="none"/>
          <w:lang w:val="en-US" w:eastAsia="zh-CN"/>
        </w:rPr>
        <w:t>3.7</w:t>
      </w:r>
      <w:r>
        <w:rPr>
          <w:rFonts w:hint="eastAsia" w:ascii="Times New Roman" w:hAnsi="Times New Roman" w:eastAsia="宋体" w:cs="Times New Roman"/>
          <w:b w:val="0"/>
          <w:bCs w:val="0"/>
          <w:color w:val="000000"/>
          <w:sz w:val="22"/>
          <w:szCs w:val="22"/>
          <w:highlight w:val="none"/>
          <w:lang w:val="en-US" w:eastAsia="zh-CN"/>
        </w:rPr>
        <w:t>物业出租出借情况。</w:t>
      </w:r>
    </w:p>
    <w:p w14:paraId="00CB4FAB">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eastAsia" w:ascii="Times New Roman" w:hAnsi="Times New Roman" w:eastAsia="宋体" w:cs="Times New Roman"/>
          <w:b w:val="0"/>
          <w:bCs w:val="0"/>
          <w:color w:val="auto"/>
          <w:sz w:val="22"/>
          <w:szCs w:val="22"/>
          <w:highlight w:val="none"/>
          <w:lang w:val="en-US" w:eastAsia="zh-CN"/>
        </w:rPr>
      </w:pPr>
      <w:r>
        <w:rPr>
          <w:rFonts w:hint="default" w:ascii="Times New Roman" w:hAnsi="Times New Roman" w:eastAsia="宋体" w:cs="Times New Roman"/>
          <w:i w:val="0"/>
          <w:iCs w:val="0"/>
          <w:caps w:val="0"/>
          <w:color w:val="auto"/>
          <w:spacing w:val="0"/>
          <w:sz w:val="22"/>
          <w:szCs w:val="22"/>
          <w:lang w:val="en-US" w:eastAsia="zh-CN"/>
        </w:rPr>
        <w:t>3.8审计对象为市文化广电旅游体育局下属6家文化企业：深圳歌舞剧院有限公司、深圳市深圳戏院有限公司、深圳大剧院运营管理有限责任公司、深圳音乐厅运营管理有限责任公司、深圳市粤剧团有限公司及深圳市演出有限公司。审计期间为2024年1月1日至2024年12月31日。</w:t>
      </w:r>
    </w:p>
    <w:p w14:paraId="6746439B">
      <w:pPr>
        <w:keepNext w:val="0"/>
        <w:keepLines w:val="0"/>
        <w:pageBreakBefore w:val="0"/>
        <w:numPr>
          <w:ilvl w:val="0"/>
          <w:numId w:val="0"/>
        </w:numPr>
        <w:kinsoku/>
        <w:wordWrap/>
        <w:overflowPunct/>
        <w:topLinePunct w:val="0"/>
        <w:autoSpaceDE/>
        <w:autoSpaceDN/>
        <w:bidi w:val="0"/>
        <w:adjustRightInd/>
        <w:snapToGrid/>
        <w:spacing w:line="360" w:lineRule="exact"/>
        <w:ind w:firstLine="442" w:firstLineChars="200"/>
        <w:rPr>
          <w:rFonts w:hint="default" w:ascii="Times New Roman" w:hAnsi="Times New Roman" w:eastAsia="宋体" w:cs="Times New Roman"/>
          <w:b/>
          <w:bCs/>
          <w:color w:val="000000"/>
          <w:sz w:val="22"/>
          <w:szCs w:val="22"/>
          <w:highlight w:val="none"/>
          <w:lang w:val="en-US" w:eastAsia="zh-CN"/>
        </w:rPr>
      </w:pPr>
      <w:r>
        <w:rPr>
          <w:rFonts w:hint="eastAsia" w:ascii="Times New Roman" w:hAnsi="Times New Roman" w:cs="Times New Roman"/>
          <w:b/>
          <w:bCs/>
          <w:color w:val="000000"/>
          <w:sz w:val="22"/>
          <w:szCs w:val="22"/>
          <w:highlight w:val="none"/>
          <w:lang w:val="en-US" w:eastAsia="zh-CN"/>
        </w:rPr>
        <w:t>4</w:t>
      </w:r>
      <w:r>
        <w:rPr>
          <w:rFonts w:hint="default" w:ascii="Times New Roman" w:hAnsi="Times New Roman" w:eastAsia="宋体" w:cs="Times New Roman"/>
          <w:b/>
          <w:bCs/>
          <w:color w:val="000000"/>
          <w:sz w:val="22"/>
          <w:szCs w:val="22"/>
          <w:highlight w:val="none"/>
          <w:lang w:val="en-US" w:eastAsia="zh-CN"/>
        </w:rPr>
        <w:t>.项目管理和服务要求</w:t>
      </w:r>
      <w:r>
        <w:rPr>
          <w:rFonts w:hint="eastAsia" w:ascii="Times New Roman" w:hAnsi="Times New Roman" w:cs="Times New Roman"/>
          <w:b/>
          <w:bCs/>
          <w:color w:val="000000"/>
          <w:sz w:val="22"/>
          <w:szCs w:val="22"/>
          <w:highlight w:val="none"/>
          <w:lang w:val="en-US" w:eastAsia="zh-CN"/>
        </w:rPr>
        <w:t>：</w:t>
      </w:r>
    </w:p>
    <w:p w14:paraId="7151A04F">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default" w:ascii="Times New Roman" w:hAnsi="Times New Roman" w:eastAsia="宋体" w:cs="Times New Roman"/>
          <w:color w:val="000000"/>
          <w:sz w:val="22"/>
          <w:szCs w:val="22"/>
          <w:highlight w:val="none"/>
          <w:lang w:val="en-US" w:eastAsia="zh-CN"/>
        </w:rPr>
      </w:pPr>
      <w:r>
        <w:rPr>
          <w:rFonts w:hint="eastAsia" w:ascii="Times New Roman" w:hAnsi="Times New Roman" w:cs="Times New Roman"/>
          <w:color w:val="000000"/>
          <w:sz w:val="22"/>
          <w:szCs w:val="22"/>
          <w:highlight w:val="none"/>
          <w:lang w:val="en-US" w:eastAsia="zh-CN"/>
        </w:rPr>
        <w:t>4.1</w:t>
      </w:r>
      <w:r>
        <w:rPr>
          <w:rFonts w:hint="default" w:ascii="Times New Roman" w:hAnsi="Times New Roman" w:eastAsia="宋体" w:cs="Times New Roman"/>
          <w:color w:val="000000"/>
          <w:sz w:val="22"/>
          <w:szCs w:val="22"/>
          <w:highlight w:val="none"/>
          <w:lang w:val="en-US" w:eastAsia="zh-CN"/>
        </w:rPr>
        <w:t>确保数据审查质量，并对审计数据的真实性负责，严格履行保密义务；</w:t>
      </w:r>
    </w:p>
    <w:p w14:paraId="2F486D8E">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default" w:ascii="Times New Roman" w:hAnsi="Times New Roman" w:eastAsia="宋体" w:cs="Times New Roman"/>
          <w:color w:val="000000"/>
          <w:sz w:val="22"/>
          <w:szCs w:val="22"/>
          <w:highlight w:val="none"/>
          <w:lang w:val="en-US" w:eastAsia="zh-CN"/>
        </w:rPr>
      </w:pPr>
      <w:r>
        <w:rPr>
          <w:rFonts w:hint="eastAsia" w:ascii="Times New Roman" w:hAnsi="Times New Roman" w:cs="Times New Roman"/>
          <w:color w:val="000000"/>
          <w:sz w:val="22"/>
          <w:szCs w:val="22"/>
          <w:highlight w:val="none"/>
          <w:lang w:val="en-US" w:eastAsia="zh-CN"/>
        </w:rPr>
        <w:t>4.2</w:t>
      </w:r>
      <w:r>
        <w:rPr>
          <w:rFonts w:hint="default" w:ascii="Times New Roman" w:hAnsi="Times New Roman" w:eastAsia="宋体" w:cs="Times New Roman"/>
          <w:color w:val="000000"/>
          <w:sz w:val="22"/>
          <w:szCs w:val="22"/>
          <w:highlight w:val="none"/>
          <w:lang w:val="en-US" w:eastAsia="zh-CN"/>
        </w:rPr>
        <w:t>中标</w:t>
      </w:r>
      <w:r>
        <w:rPr>
          <w:rFonts w:hint="eastAsia" w:ascii="Times New Roman" w:hAnsi="Times New Roman" w:cs="Times New Roman"/>
          <w:color w:val="000000"/>
          <w:sz w:val="22"/>
          <w:szCs w:val="22"/>
          <w:highlight w:val="none"/>
          <w:lang w:val="en-US" w:eastAsia="zh-CN"/>
        </w:rPr>
        <w:t>人</w:t>
      </w:r>
      <w:r>
        <w:rPr>
          <w:rFonts w:hint="default" w:ascii="Times New Roman" w:hAnsi="Times New Roman" w:eastAsia="宋体" w:cs="Times New Roman"/>
          <w:color w:val="000000"/>
          <w:sz w:val="22"/>
          <w:szCs w:val="22"/>
          <w:highlight w:val="none"/>
          <w:lang w:val="en-US" w:eastAsia="zh-CN"/>
        </w:rPr>
        <w:t>应有至少3个或以上审计小组同时进行外勤工作，每个小组至少安排2名审计员。</w:t>
      </w:r>
    </w:p>
    <w:p w14:paraId="57AAE661">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default" w:ascii="Times New Roman" w:hAnsi="Times New Roman" w:eastAsia="宋体" w:cs="Times New Roman"/>
          <w:color w:val="000000"/>
          <w:sz w:val="22"/>
          <w:szCs w:val="22"/>
          <w:highlight w:val="none"/>
          <w:lang w:val="en-US" w:eastAsia="zh-CN"/>
        </w:rPr>
      </w:pPr>
      <w:r>
        <w:rPr>
          <w:rFonts w:hint="eastAsia" w:ascii="Times New Roman" w:hAnsi="Times New Roman" w:cs="Times New Roman"/>
          <w:color w:val="000000"/>
          <w:sz w:val="22"/>
          <w:szCs w:val="22"/>
          <w:highlight w:val="none"/>
          <w:lang w:val="en-US" w:eastAsia="zh-CN"/>
        </w:rPr>
        <w:t>4.3</w:t>
      </w:r>
      <w:r>
        <w:rPr>
          <w:rFonts w:hint="default" w:ascii="Times New Roman" w:hAnsi="Times New Roman" w:eastAsia="宋体" w:cs="Times New Roman"/>
          <w:color w:val="000000"/>
          <w:sz w:val="22"/>
          <w:szCs w:val="22"/>
          <w:highlight w:val="none"/>
          <w:lang w:val="en-US" w:eastAsia="zh-CN"/>
        </w:rPr>
        <w:t>要求中标单位全面检查、审核会计凭证，并要做好相关检查工作记录。</w:t>
      </w:r>
    </w:p>
    <w:p w14:paraId="44F33561">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default" w:ascii="Times New Roman" w:hAnsi="Times New Roman" w:eastAsia="宋体" w:cs="Times New Roman"/>
          <w:color w:val="000000"/>
          <w:sz w:val="22"/>
          <w:szCs w:val="22"/>
          <w:highlight w:val="none"/>
          <w:lang w:val="en-US" w:eastAsia="zh-CN"/>
        </w:rPr>
      </w:pPr>
      <w:r>
        <w:rPr>
          <w:rFonts w:hint="eastAsia" w:ascii="Times New Roman" w:hAnsi="Times New Roman" w:cs="Times New Roman"/>
          <w:color w:val="000000"/>
          <w:sz w:val="22"/>
          <w:szCs w:val="22"/>
          <w:highlight w:val="none"/>
          <w:lang w:val="en-US" w:eastAsia="zh-CN"/>
        </w:rPr>
        <w:t>4.4</w:t>
      </w:r>
      <w:r>
        <w:rPr>
          <w:rFonts w:hint="default" w:ascii="Times New Roman" w:hAnsi="Times New Roman" w:eastAsia="宋体" w:cs="Times New Roman"/>
          <w:color w:val="000000"/>
          <w:sz w:val="22"/>
          <w:szCs w:val="22"/>
          <w:highlight w:val="none"/>
          <w:lang w:val="en-US" w:eastAsia="zh-CN"/>
        </w:rPr>
        <w:t>自进场审计之日起2个月内出具财务收支审计报告以及审计发现问题汇总表电子版和纸质版。</w:t>
      </w:r>
    </w:p>
    <w:p w14:paraId="62BAD48F">
      <w:pPr>
        <w:pStyle w:val="10"/>
        <w:keepNext w:val="0"/>
        <w:keepLines w:val="0"/>
        <w:pageBreakBefore w:val="0"/>
        <w:widowControl w:val="0"/>
        <w:kinsoku/>
        <w:wordWrap/>
        <w:overflowPunct/>
        <w:topLinePunct w:val="0"/>
        <w:autoSpaceDE/>
        <w:autoSpaceDN/>
        <w:bidi w:val="0"/>
        <w:spacing w:line="360" w:lineRule="exact"/>
        <w:ind w:firstLine="400" w:firstLineChars="200"/>
        <w:textAlignment w:val="auto"/>
        <w:rPr>
          <w:rFonts w:hint="eastAsia" w:ascii="宋体" w:hAnsi="宋体" w:cs="宋体"/>
          <w:b w:val="0"/>
          <w:bCs w:val="0"/>
          <w:sz w:val="20"/>
          <w:szCs w:val="20"/>
          <w:lang w:val="en"/>
        </w:rPr>
      </w:pPr>
      <w:r>
        <w:rPr>
          <w:rFonts w:hint="eastAsia" w:ascii="宋体" w:hAnsi="宋体" w:cs="宋体"/>
          <w:b w:val="0"/>
          <w:bCs w:val="0"/>
          <w:sz w:val="20"/>
          <w:szCs w:val="20"/>
          <w:lang w:val="en"/>
        </w:rPr>
        <w:t>注：带“▲”号的部分为重要条款，负偏离将导致严重扣分，但不导致投标无效。带“★”号的条款为实质性条款，任何一条负偏离将被视为未实质性满足招标文件要求作投标无效处理。</w:t>
      </w:r>
    </w:p>
    <w:p w14:paraId="138039FB">
      <w:pPr>
        <w:keepNext w:val="0"/>
        <w:keepLines w:val="0"/>
        <w:pageBreakBefore w:val="0"/>
        <w:widowControl w:val="0"/>
        <w:kinsoku/>
        <w:wordWrap/>
        <w:overflowPunct/>
        <w:topLinePunct w:val="0"/>
        <w:autoSpaceDE/>
        <w:autoSpaceDN/>
        <w:bidi w:val="0"/>
        <w:spacing w:line="360" w:lineRule="exact"/>
        <w:ind w:firstLine="400" w:firstLineChars="200"/>
        <w:textAlignment w:val="auto"/>
        <w:rPr>
          <w:rFonts w:ascii="宋体" w:hAnsi="宋体" w:cs="宋体"/>
          <w:sz w:val="20"/>
          <w:szCs w:val="21"/>
        </w:rPr>
      </w:pPr>
    </w:p>
    <w:p w14:paraId="1A2B96AA">
      <w:pPr>
        <w:pStyle w:val="3"/>
        <w:keepNext w:val="0"/>
        <w:keepLines w:val="0"/>
        <w:pageBreakBefore w:val="0"/>
        <w:widowControl w:val="0"/>
        <w:numPr>
          <w:ilvl w:val="0"/>
          <w:numId w:val="5"/>
        </w:numPr>
        <w:kinsoku/>
        <w:wordWrap/>
        <w:overflowPunct/>
        <w:topLinePunct w:val="0"/>
        <w:autoSpaceDE/>
        <w:autoSpaceDN/>
        <w:bidi w:val="0"/>
        <w:adjustRightInd/>
        <w:spacing w:line="360" w:lineRule="exact"/>
        <w:textAlignment w:val="auto"/>
        <w:rPr>
          <w:rFonts w:ascii="宋体" w:hAnsi="宋体" w:cs="宋体"/>
          <w:sz w:val="32"/>
          <w:szCs w:val="32"/>
        </w:rPr>
      </w:pPr>
      <w:r>
        <w:rPr>
          <w:rFonts w:hint="eastAsia" w:ascii="宋体" w:hAnsi="宋体" w:cs="宋体"/>
          <w:sz w:val="32"/>
          <w:szCs w:val="32"/>
        </w:rPr>
        <w:t>商务需求</w:t>
      </w:r>
      <w:r>
        <w:rPr>
          <w:rFonts w:hint="eastAsia" w:ascii="宋体" w:hAnsi="宋体" w:cs="宋体"/>
          <w:sz w:val="32"/>
          <w:szCs w:val="32"/>
          <w:lang w:val="en-US" w:eastAsia="zh-CN"/>
        </w:rPr>
        <w:t xml:space="preserve"> </w:t>
      </w:r>
    </w:p>
    <w:p w14:paraId="5660DA05">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default" w:ascii="Times New Roman" w:hAnsi="Times New Roman" w:eastAsia="宋体" w:cs="Times New Roman"/>
          <w:b/>
          <w:bCs/>
          <w:sz w:val="22"/>
          <w:szCs w:val="22"/>
          <w:lang w:val="en-US" w:eastAsia="zh-CN"/>
        </w:rPr>
      </w:pPr>
      <w:r>
        <w:rPr>
          <w:rFonts w:hint="default" w:ascii="Times New Roman" w:hAnsi="Times New Roman" w:eastAsia="宋体" w:cs="Times New Roman"/>
          <w:b/>
          <w:bCs/>
          <w:sz w:val="22"/>
          <w:szCs w:val="22"/>
          <w:lang w:val="en-US" w:eastAsia="zh-CN"/>
        </w:rPr>
        <w:t>★1.服务期</w:t>
      </w:r>
    </w:p>
    <w:p w14:paraId="0C24D5ED">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val="en-US" w:eastAsia="zh-CN"/>
        </w:rPr>
        <w:t>1.1</w:t>
      </w:r>
      <w:r>
        <w:rPr>
          <w:rFonts w:hint="default" w:ascii="Times New Roman" w:hAnsi="Times New Roman" w:eastAsia="宋体" w:cs="Times New Roman"/>
          <w:sz w:val="22"/>
          <w:szCs w:val="22"/>
          <w:lang w:eastAsia="zh-CN"/>
        </w:rPr>
        <w:t>自合同签订之日起至审计报告验收合格；</w:t>
      </w:r>
    </w:p>
    <w:p w14:paraId="4AB173C2">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1.2完成期限：运营情况专项审计于2025年4月21日前完成；年度经营情况审计于2025年3月31日前完成；合法合规性审计于2025年4月21日前完成</w:t>
      </w:r>
      <w:r>
        <w:rPr>
          <w:rFonts w:hint="default" w:ascii="Times New Roman" w:hAnsi="Times New Roman" w:eastAsia="宋体" w:cs="Times New Roman"/>
          <w:sz w:val="22"/>
          <w:szCs w:val="22"/>
          <w:lang w:eastAsia="zh-CN"/>
        </w:rPr>
        <w:t>。</w:t>
      </w:r>
    </w:p>
    <w:p w14:paraId="2235817B">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default" w:ascii="Times New Roman" w:hAnsi="Times New Roman" w:eastAsia="宋体" w:cs="Times New Roman"/>
          <w:b/>
          <w:bCs/>
          <w:sz w:val="22"/>
          <w:szCs w:val="22"/>
          <w:lang w:val="en-US" w:eastAsia="zh-CN"/>
        </w:rPr>
      </w:pPr>
      <w:r>
        <w:rPr>
          <w:rFonts w:hint="default" w:ascii="Times New Roman" w:hAnsi="Times New Roman" w:eastAsia="宋体" w:cs="Times New Roman"/>
          <w:b/>
          <w:bCs/>
          <w:sz w:val="22"/>
          <w:szCs w:val="22"/>
          <w:lang w:val="en-US" w:eastAsia="zh-CN"/>
        </w:rPr>
        <w:t>2.服务地点</w:t>
      </w:r>
    </w:p>
    <w:p w14:paraId="0665E351">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深圳市文化广电旅游体育局属被审计单位。</w:t>
      </w:r>
    </w:p>
    <w:p w14:paraId="4ED22B13">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default" w:ascii="Times New Roman" w:hAnsi="Times New Roman" w:eastAsia="宋体" w:cs="Times New Roman"/>
          <w:b/>
          <w:bCs/>
          <w:sz w:val="22"/>
          <w:szCs w:val="22"/>
          <w:lang w:val="en-US" w:eastAsia="zh-CN"/>
        </w:rPr>
      </w:pPr>
      <w:r>
        <w:rPr>
          <w:rFonts w:hint="default" w:ascii="Times New Roman" w:hAnsi="Times New Roman" w:eastAsia="宋体" w:cs="Times New Roman"/>
          <w:b/>
          <w:bCs/>
          <w:sz w:val="22"/>
          <w:szCs w:val="22"/>
          <w:lang w:val="en-US" w:eastAsia="zh-CN"/>
        </w:rPr>
        <w:t>3.付款方法和条件</w:t>
      </w:r>
    </w:p>
    <w:p w14:paraId="7649ED9D">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eastAsia="zh-CN"/>
        </w:rPr>
        <w:t>本项目金额不超过人民币</w:t>
      </w:r>
      <w:r>
        <w:rPr>
          <w:rFonts w:hint="eastAsia" w:ascii="Times New Roman" w:hAnsi="Times New Roman" w:cs="Times New Roman"/>
          <w:sz w:val="22"/>
          <w:szCs w:val="22"/>
          <w:lang w:val="en-US" w:eastAsia="zh-CN"/>
        </w:rPr>
        <w:t>260,000.00</w:t>
      </w:r>
      <w:r>
        <w:rPr>
          <w:rFonts w:hint="default" w:ascii="Times New Roman" w:hAnsi="Times New Roman" w:eastAsia="宋体" w:cs="Times New Roman"/>
          <w:sz w:val="22"/>
          <w:szCs w:val="22"/>
          <w:lang w:eastAsia="zh-CN"/>
        </w:rPr>
        <w:t>元（具体以中标金额为准），协议签订后，中标人向深圳市文化广电旅游体育局开据有效发票，以审计报告详尽准确、管理建议清晰可行为验收目标，待验收合格后</w:t>
      </w:r>
      <w:r>
        <w:rPr>
          <w:rFonts w:hint="eastAsia" w:ascii="Times New Roman" w:hAnsi="Times New Roman" w:cs="Times New Roman"/>
          <w:sz w:val="22"/>
          <w:szCs w:val="22"/>
          <w:lang w:val="en-US" w:eastAsia="zh-CN"/>
        </w:rPr>
        <w:t>10个工作日</w:t>
      </w:r>
      <w:r>
        <w:rPr>
          <w:rFonts w:hint="default" w:ascii="Times New Roman" w:hAnsi="Times New Roman" w:eastAsia="宋体" w:cs="Times New Roman"/>
          <w:sz w:val="22"/>
          <w:szCs w:val="22"/>
          <w:lang w:eastAsia="zh-CN"/>
        </w:rPr>
        <w:t>内付全款。</w:t>
      </w:r>
    </w:p>
    <w:p w14:paraId="4E7F5984">
      <w:pPr>
        <w:pStyle w:val="10"/>
        <w:keepNext w:val="0"/>
        <w:keepLines w:val="0"/>
        <w:pageBreakBefore w:val="0"/>
        <w:widowControl w:val="0"/>
        <w:kinsoku/>
        <w:wordWrap/>
        <w:overflowPunct/>
        <w:topLinePunct w:val="0"/>
        <w:autoSpaceDE/>
        <w:autoSpaceDN/>
        <w:bidi w:val="0"/>
        <w:spacing w:line="360" w:lineRule="exact"/>
        <w:ind w:firstLine="400" w:firstLineChars="200"/>
        <w:textAlignment w:val="auto"/>
        <w:rPr>
          <w:rFonts w:hint="eastAsia" w:ascii="宋体" w:hAnsi="宋体" w:cs="宋体"/>
          <w:b w:val="0"/>
          <w:bCs w:val="0"/>
          <w:sz w:val="20"/>
          <w:szCs w:val="20"/>
          <w:lang w:val="en"/>
        </w:rPr>
      </w:pPr>
      <w:r>
        <w:rPr>
          <w:rFonts w:hint="eastAsia" w:ascii="宋体" w:hAnsi="宋体" w:cs="宋体"/>
          <w:b w:val="0"/>
          <w:bCs w:val="0"/>
          <w:sz w:val="20"/>
          <w:szCs w:val="20"/>
          <w:lang w:val="en"/>
        </w:rPr>
        <w:t xml:space="preserve">注：带“▲”号的部分为重要条款，负偏离将导致严重扣分，但不导致投标无效。带“★”号的条款为实质性条款，任何一条负偏离将被视为未实质性满足招标文件要求作投标无效处理。 </w:t>
      </w:r>
    </w:p>
    <w:p w14:paraId="1BFA0136">
      <w:pPr>
        <w:keepNext w:val="0"/>
        <w:keepLines w:val="0"/>
        <w:pageBreakBefore w:val="0"/>
        <w:widowControl w:val="0"/>
        <w:kinsoku/>
        <w:wordWrap/>
        <w:overflowPunct/>
        <w:topLinePunct w:val="0"/>
        <w:autoSpaceDE/>
        <w:autoSpaceDN/>
        <w:bidi w:val="0"/>
        <w:spacing w:line="360" w:lineRule="exact"/>
        <w:ind w:firstLine="400" w:firstLineChars="200"/>
        <w:textAlignment w:val="auto"/>
        <w:rPr>
          <w:rFonts w:ascii="宋体" w:hAnsi="宋体" w:cs="宋体"/>
          <w:sz w:val="20"/>
          <w:szCs w:val="21"/>
        </w:rPr>
      </w:pPr>
    </w:p>
    <w:p w14:paraId="2118AE5C">
      <w:pPr>
        <w:pStyle w:val="3"/>
        <w:keepNext w:val="0"/>
        <w:keepLines w:val="0"/>
        <w:pageBreakBefore w:val="0"/>
        <w:widowControl w:val="0"/>
        <w:numPr>
          <w:ilvl w:val="0"/>
          <w:numId w:val="5"/>
        </w:numPr>
        <w:kinsoku/>
        <w:wordWrap/>
        <w:overflowPunct/>
        <w:topLinePunct w:val="0"/>
        <w:autoSpaceDE/>
        <w:autoSpaceDN/>
        <w:bidi w:val="0"/>
        <w:adjustRightInd/>
        <w:spacing w:line="360" w:lineRule="exact"/>
        <w:textAlignment w:val="auto"/>
        <w:rPr>
          <w:rFonts w:ascii="宋体" w:hAnsi="宋体" w:cs="宋体"/>
          <w:sz w:val="32"/>
          <w:szCs w:val="32"/>
        </w:rPr>
      </w:pPr>
      <w:r>
        <w:rPr>
          <w:rFonts w:hint="eastAsia" w:ascii="宋体" w:hAnsi="宋体" w:cs="宋体"/>
          <w:sz w:val="32"/>
          <w:szCs w:val="32"/>
        </w:rPr>
        <w:t>投标报价要求</w:t>
      </w:r>
    </w:p>
    <w:p w14:paraId="639E60E7">
      <w:pPr>
        <w:pStyle w:val="24"/>
        <w:keepNext w:val="0"/>
        <w:keepLines w:val="0"/>
        <w:pageBreakBefore w:val="0"/>
        <w:widowControl w:val="0"/>
        <w:numPr>
          <w:ilvl w:val="0"/>
          <w:numId w:val="6"/>
        </w:numPr>
        <w:kinsoku/>
        <w:wordWrap/>
        <w:overflowPunct/>
        <w:topLinePunct w:val="0"/>
        <w:autoSpaceDE/>
        <w:autoSpaceDN/>
        <w:bidi w:val="0"/>
        <w:adjustRightInd/>
        <w:snapToGrid/>
        <w:spacing w:after="0" w:line="360" w:lineRule="exact"/>
        <w:ind w:leftChars="0" w:firstLine="440"/>
        <w:textAlignment w:val="auto"/>
        <w:rPr>
          <w:rFonts w:hint="eastAsia" w:ascii="宋体" w:hAnsi="宋体" w:eastAsia="宋体" w:cs="宋体"/>
          <w:kern w:val="0"/>
          <w:sz w:val="22"/>
          <w:szCs w:val="22"/>
        </w:rPr>
      </w:pPr>
      <w:r>
        <w:rPr>
          <w:rFonts w:hint="eastAsia" w:ascii="宋体" w:hAnsi="宋体" w:eastAsia="宋体" w:cs="宋体"/>
          <w:kern w:val="0"/>
          <w:sz w:val="22"/>
          <w:szCs w:val="22"/>
        </w:rPr>
        <w:t>本项目服务费采用包干制，应包括服务成本、企业的利润</w:t>
      </w:r>
      <w:r>
        <w:rPr>
          <w:rFonts w:hint="eastAsia" w:ascii="宋体" w:hAnsi="宋体" w:cs="宋体"/>
          <w:kern w:val="0"/>
          <w:sz w:val="22"/>
          <w:szCs w:val="22"/>
          <w:lang w:eastAsia="zh-CN"/>
        </w:rPr>
        <w:t>、</w:t>
      </w:r>
      <w:r>
        <w:rPr>
          <w:rFonts w:hint="eastAsia" w:ascii="宋体" w:hAnsi="宋体" w:eastAsia="宋体" w:cs="宋体"/>
          <w:b w:val="0"/>
          <w:bCs/>
          <w:kern w:val="2"/>
          <w:sz w:val="22"/>
          <w:szCs w:val="22"/>
          <w:u w:val="none"/>
          <w:lang w:val="en-US" w:eastAsia="zh-CN" w:bidi="ar-SA"/>
        </w:rPr>
        <w:t>国家规定的各项税费等所有项目相关费用</w:t>
      </w:r>
      <w:r>
        <w:rPr>
          <w:rFonts w:hint="eastAsia" w:ascii="宋体" w:hAnsi="宋体" w:eastAsia="宋体" w:cs="宋体"/>
          <w:kern w:val="0"/>
          <w:sz w:val="22"/>
          <w:szCs w:val="22"/>
        </w:rPr>
        <w:t>。由企业根据招标文件所提供的资料自行测算投标报价；一经中标，投标报价作为中标单位与采购单位签定的合同金额，合同期限内不做调整；</w:t>
      </w:r>
    </w:p>
    <w:p w14:paraId="7C404F36">
      <w:pPr>
        <w:pStyle w:val="24"/>
        <w:keepNext w:val="0"/>
        <w:keepLines w:val="0"/>
        <w:pageBreakBefore w:val="0"/>
        <w:widowControl w:val="0"/>
        <w:numPr>
          <w:ilvl w:val="0"/>
          <w:numId w:val="6"/>
        </w:numPr>
        <w:kinsoku/>
        <w:wordWrap/>
        <w:overflowPunct/>
        <w:topLinePunct w:val="0"/>
        <w:autoSpaceDE/>
        <w:autoSpaceDN/>
        <w:bidi w:val="0"/>
        <w:adjustRightInd/>
        <w:snapToGrid/>
        <w:spacing w:after="0" w:line="360" w:lineRule="exact"/>
        <w:ind w:leftChars="0" w:firstLine="440"/>
        <w:textAlignment w:val="auto"/>
        <w:rPr>
          <w:rFonts w:hint="eastAsia" w:ascii="宋体" w:hAnsi="宋体" w:eastAsia="宋体" w:cs="宋体"/>
          <w:kern w:val="0"/>
          <w:sz w:val="22"/>
          <w:szCs w:val="22"/>
        </w:rPr>
      </w:pPr>
      <w:r>
        <w:rPr>
          <w:rFonts w:hint="eastAsia" w:ascii="宋体" w:hAnsi="宋体" w:eastAsia="宋体" w:cs="宋体"/>
          <w:kern w:val="0"/>
          <w:sz w:val="22"/>
          <w:szCs w:val="22"/>
        </w:rPr>
        <w:t>投标人应根据本企业的成本自行决定报价。不得以低于成本的报价竞标；评标委员会认为投标人的报价明显低于其他通过符合性审查投保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A29EAE">
      <w:pPr>
        <w:pStyle w:val="24"/>
        <w:keepNext w:val="0"/>
        <w:keepLines w:val="0"/>
        <w:pageBreakBefore w:val="0"/>
        <w:widowControl w:val="0"/>
        <w:numPr>
          <w:ilvl w:val="0"/>
          <w:numId w:val="6"/>
        </w:numPr>
        <w:kinsoku/>
        <w:wordWrap/>
        <w:overflowPunct/>
        <w:topLinePunct w:val="0"/>
        <w:autoSpaceDE/>
        <w:autoSpaceDN/>
        <w:bidi w:val="0"/>
        <w:adjustRightInd/>
        <w:snapToGrid/>
        <w:spacing w:after="0" w:line="360" w:lineRule="exact"/>
        <w:ind w:leftChars="0" w:firstLine="440"/>
        <w:textAlignment w:val="auto"/>
        <w:rPr>
          <w:rFonts w:hint="eastAsia" w:ascii="宋体" w:hAnsi="宋体" w:eastAsia="宋体" w:cs="宋体"/>
          <w:kern w:val="0"/>
          <w:sz w:val="22"/>
          <w:szCs w:val="22"/>
        </w:rPr>
      </w:pPr>
      <w:r>
        <w:rPr>
          <w:rFonts w:hint="eastAsia" w:ascii="宋体" w:hAnsi="宋体" w:eastAsia="宋体" w:cs="宋体"/>
          <w:kern w:val="0"/>
          <w:sz w:val="22"/>
          <w:szCs w:val="22"/>
        </w:rPr>
        <w:t>投标人的投标报价不得超过财政预算限额或最高投投标限价；</w:t>
      </w:r>
    </w:p>
    <w:p w14:paraId="5513D03F">
      <w:pPr>
        <w:pStyle w:val="24"/>
        <w:keepNext w:val="0"/>
        <w:keepLines w:val="0"/>
        <w:pageBreakBefore w:val="0"/>
        <w:widowControl w:val="0"/>
        <w:numPr>
          <w:ilvl w:val="0"/>
          <w:numId w:val="6"/>
        </w:numPr>
        <w:kinsoku/>
        <w:wordWrap/>
        <w:overflowPunct/>
        <w:topLinePunct w:val="0"/>
        <w:autoSpaceDE/>
        <w:autoSpaceDN/>
        <w:bidi w:val="0"/>
        <w:adjustRightInd/>
        <w:snapToGrid/>
        <w:spacing w:after="0" w:line="360" w:lineRule="exact"/>
        <w:ind w:leftChars="0" w:firstLine="440"/>
        <w:textAlignment w:val="auto"/>
        <w:rPr>
          <w:rFonts w:hint="eastAsia" w:ascii="宋体" w:hAnsi="宋体" w:eastAsia="宋体" w:cs="宋体"/>
          <w:kern w:val="0"/>
          <w:sz w:val="22"/>
          <w:szCs w:val="22"/>
        </w:rPr>
      </w:pPr>
      <w:r>
        <w:rPr>
          <w:rFonts w:hint="eastAsia" w:ascii="宋体" w:hAnsi="宋体" w:eastAsia="宋体" w:cs="宋体"/>
          <w:kern w:val="0"/>
          <w:sz w:val="22"/>
          <w:szCs w:val="22"/>
        </w:rPr>
        <w:t>投标人的投标报价，应是本项目招标范围和招标文件及合同条款上所列的各项内容中所述的全部，不得以任何理由予以重复，并以投标人在投标文件中提出的综合单价或总价为依据；</w:t>
      </w:r>
    </w:p>
    <w:p w14:paraId="7218A644">
      <w:pPr>
        <w:pStyle w:val="24"/>
        <w:keepNext w:val="0"/>
        <w:keepLines w:val="0"/>
        <w:pageBreakBefore w:val="0"/>
        <w:widowControl w:val="0"/>
        <w:numPr>
          <w:ilvl w:val="0"/>
          <w:numId w:val="6"/>
        </w:numPr>
        <w:kinsoku/>
        <w:wordWrap/>
        <w:overflowPunct/>
        <w:topLinePunct w:val="0"/>
        <w:autoSpaceDE/>
        <w:autoSpaceDN/>
        <w:bidi w:val="0"/>
        <w:adjustRightInd/>
        <w:snapToGrid/>
        <w:spacing w:after="0" w:line="360" w:lineRule="exact"/>
        <w:ind w:leftChars="0" w:firstLine="440"/>
        <w:textAlignment w:val="auto"/>
        <w:rPr>
          <w:rFonts w:hint="eastAsia" w:ascii="宋体" w:hAnsi="宋体" w:eastAsia="宋体" w:cs="宋体"/>
          <w:kern w:val="0"/>
          <w:sz w:val="22"/>
          <w:szCs w:val="22"/>
        </w:rPr>
      </w:pPr>
      <w:r>
        <w:rPr>
          <w:rFonts w:hint="eastAsia" w:ascii="宋体" w:hAnsi="宋体" w:eastAsia="宋体" w:cs="宋体"/>
          <w:kern w:val="0"/>
          <w:sz w:val="22"/>
          <w:szCs w:val="22"/>
        </w:rPr>
        <w:t>除采购代理机构通过修改招标文件予以更正，否则，投标人应毫无例外地按招标文件所列的清单中项目和数量填报综合单价和合价。投标人未填综合单价或合价的项目，在实施后，视作该项费用已包括在其它有价款的综合单价或合价内，不得申请额外支付；</w:t>
      </w:r>
    </w:p>
    <w:p w14:paraId="21981751">
      <w:pPr>
        <w:pStyle w:val="24"/>
        <w:keepNext w:val="0"/>
        <w:keepLines w:val="0"/>
        <w:pageBreakBefore w:val="0"/>
        <w:widowControl w:val="0"/>
        <w:numPr>
          <w:ilvl w:val="0"/>
          <w:numId w:val="6"/>
        </w:numPr>
        <w:kinsoku/>
        <w:wordWrap/>
        <w:overflowPunct/>
        <w:topLinePunct w:val="0"/>
        <w:autoSpaceDE/>
        <w:autoSpaceDN/>
        <w:bidi w:val="0"/>
        <w:adjustRightInd/>
        <w:snapToGrid/>
        <w:spacing w:after="0" w:line="360" w:lineRule="exact"/>
        <w:ind w:leftChars="0" w:firstLine="440"/>
        <w:textAlignment w:val="auto"/>
        <w:rPr>
          <w:rFonts w:hint="eastAsia" w:ascii="宋体" w:hAnsi="宋体" w:eastAsia="宋体" w:cs="宋体"/>
          <w:kern w:val="0"/>
          <w:sz w:val="22"/>
          <w:szCs w:val="22"/>
        </w:rPr>
      </w:pPr>
      <w:r>
        <w:rPr>
          <w:rFonts w:hint="eastAsia" w:ascii="宋体" w:hAnsi="宋体" w:eastAsia="宋体" w:cs="宋体"/>
          <w:kern w:val="0"/>
          <w:sz w:val="22"/>
          <w:szCs w:val="22"/>
        </w:rPr>
        <w:t>投标人应先到项目地点踏勘以充分了解项目的位置、情况、道路及任何其它足以影响投标报价的情况，任何因忽视或误解项目情况而导致的索赔或服务期限延长申请将不获批准；</w:t>
      </w:r>
    </w:p>
    <w:p w14:paraId="165BF3B5">
      <w:pPr>
        <w:pStyle w:val="24"/>
        <w:keepNext w:val="0"/>
        <w:keepLines w:val="0"/>
        <w:pageBreakBefore w:val="0"/>
        <w:widowControl w:val="0"/>
        <w:numPr>
          <w:ilvl w:val="0"/>
          <w:numId w:val="6"/>
        </w:numPr>
        <w:kinsoku/>
        <w:wordWrap/>
        <w:overflowPunct/>
        <w:topLinePunct w:val="0"/>
        <w:autoSpaceDE/>
        <w:autoSpaceDN/>
        <w:bidi w:val="0"/>
        <w:adjustRightInd/>
        <w:snapToGrid/>
        <w:spacing w:after="0" w:line="360" w:lineRule="exact"/>
        <w:ind w:leftChars="0" w:firstLine="440"/>
        <w:textAlignment w:val="auto"/>
        <w:rPr>
          <w:rFonts w:hint="eastAsia" w:ascii="宋体" w:hAnsi="宋体" w:eastAsia="宋体" w:cs="宋体"/>
          <w:kern w:val="0"/>
          <w:sz w:val="22"/>
          <w:szCs w:val="22"/>
        </w:rPr>
      </w:pPr>
      <w:r>
        <w:rPr>
          <w:rFonts w:hint="eastAsia" w:ascii="宋体" w:hAnsi="宋体" w:eastAsia="宋体" w:cs="宋体"/>
          <w:kern w:val="0"/>
          <w:sz w:val="22"/>
          <w:szCs w:val="22"/>
        </w:rPr>
        <w:t>投标人不得期望通过索赔等方式获取补偿，否则，除可能遭到拒绝外，还可能将被作为不良行为记录在案，并可能影响其以后参加政府采购的项目投标。各投标人在投标报价时，应充分考虑投标报价的风险。 </w:t>
      </w:r>
    </w:p>
    <w:p w14:paraId="6791CEA8">
      <w:pPr>
        <w:keepNext w:val="0"/>
        <w:keepLines w:val="0"/>
        <w:pageBreakBefore w:val="0"/>
        <w:widowControl w:val="0"/>
        <w:kinsoku/>
        <w:wordWrap/>
        <w:overflowPunct/>
        <w:topLinePunct w:val="0"/>
        <w:autoSpaceDE/>
        <w:autoSpaceDN/>
        <w:bidi w:val="0"/>
        <w:spacing w:line="360" w:lineRule="exact"/>
        <w:ind w:firstLine="400" w:firstLineChars="200"/>
        <w:textAlignment w:val="auto"/>
        <w:rPr>
          <w:rFonts w:ascii="宋体" w:hAnsi="宋体" w:cs="宋体"/>
          <w:sz w:val="20"/>
          <w:szCs w:val="21"/>
        </w:rPr>
      </w:pPr>
    </w:p>
    <w:p w14:paraId="6C64279D">
      <w:pPr>
        <w:pStyle w:val="3"/>
        <w:keepNext w:val="0"/>
        <w:keepLines w:val="0"/>
        <w:pageBreakBefore w:val="0"/>
        <w:widowControl w:val="0"/>
        <w:numPr>
          <w:ilvl w:val="0"/>
          <w:numId w:val="5"/>
        </w:numPr>
        <w:kinsoku/>
        <w:wordWrap/>
        <w:overflowPunct/>
        <w:topLinePunct w:val="0"/>
        <w:autoSpaceDE/>
        <w:autoSpaceDN/>
        <w:bidi w:val="0"/>
        <w:adjustRightInd/>
        <w:spacing w:line="360" w:lineRule="exact"/>
        <w:textAlignment w:val="auto"/>
        <w:rPr>
          <w:rFonts w:ascii="宋体" w:hAnsi="宋体" w:cs="宋体"/>
          <w:sz w:val="32"/>
          <w:szCs w:val="32"/>
        </w:rPr>
      </w:pPr>
      <w:r>
        <w:rPr>
          <w:rFonts w:hint="eastAsia" w:ascii="宋体" w:hAnsi="宋体" w:cs="宋体"/>
          <w:sz w:val="32"/>
          <w:szCs w:val="32"/>
        </w:rPr>
        <w:t>政策导向</w:t>
      </w:r>
    </w:p>
    <w:p w14:paraId="277B0CA3">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（1）投标人提供的服务全部均由优惠主体承接，则对其投标总价给予</w:t>
      </w:r>
      <w:r>
        <w:rPr>
          <w:rFonts w:hint="eastAsia" w:ascii="宋体" w:hAnsi="宋体" w:eastAsia="宋体" w:cs="宋体"/>
          <w:b/>
          <w:bCs/>
          <w:sz w:val="22"/>
          <w:szCs w:val="22"/>
          <w:u w:val="single"/>
        </w:rPr>
        <w:t>10 %</w:t>
      </w:r>
      <w:r>
        <w:rPr>
          <w:rFonts w:hint="eastAsia" w:ascii="宋体" w:hAnsi="宋体" w:eastAsia="宋体" w:cs="宋体"/>
          <w:sz w:val="22"/>
          <w:szCs w:val="22"/>
        </w:rPr>
        <w:t>的扣除，用扣除后的价格参与评审。满足多项优惠政策的企业，不重复享受多项价格扣除政策。</w:t>
      </w:r>
    </w:p>
    <w:p w14:paraId="68350194">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14:paraId="34D48477">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（2）根据《工业和信息化部、国家统计局、国家发展和改革委员会、财政部关于印发中小企业划型标准规定的通知》（工信部联企业〔2011〕300 号），本项目采购标的（项目需求）对应的中小企业划分标准所属行业为</w:t>
      </w:r>
      <w:r>
        <w:rPr>
          <w:rFonts w:hint="eastAsia" w:ascii="宋体" w:hAnsi="宋体" w:cs="宋体"/>
          <w:b/>
          <w:bCs/>
          <w:sz w:val="22"/>
          <w:szCs w:val="22"/>
          <w:u w:val="single"/>
          <w:lang w:eastAsia="zh-CN"/>
        </w:rPr>
        <w:t>租赁和商务服务业</w:t>
      </w:r>
      <w:r>
        <w:rPr>
          <w:rFonts w:hint="eastAsia" w:ascii="宋体" w:hAnsi="宋体" w:eastAsia="宋体" w:cs="宋体"/>
          <w:sz w:val="22"/>
          <w:szCs w:val="22"/>
        </w:rPr>
        <w:t>。</w:t>
      </w:r>
    </w:p>
    <w:p w14:paraId="56668D10">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三章“投标文件格式、附件”中“中小企业、残疾人福利性单位和监狱企业政策导向”章节提供的格式）。监狱企业或者代理提供监狱企业货物的供应商如须享受优惠政策，除上述资料外，还须提供省级以上监狱管理局、戒毒管理局出具的监狱企业证明文件。</w:t>
      </w:r>
    </w:p>
    <w:p w14:paraId="6396942B">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Cs w:val="22"/>
        </w:rPr>
      </w:pPr>
      <w:r>
        <w:rPr>
          <w:rFonts w:hint="eastAsia" w:ascii="宋体" w:hAnsi="宋体" w:eastAsia="宋体" w:cs="宋体"/>
          <w:sz w:val="22"/>
          <w:szCs w:val="22"/>
        </w:rPr>
        <w:t>（4）享受价格扣除获得政府采购合同的，小微企业不得将合同分包给大中型企业。</w:t>
      </w:r>
      <w:r>
        <w:rPr>
          <w:rFonts w:hint="eastAsia" w:ascii="宋体" w:hAnsi="宋体" w:cs="宋体"/>
          <w:szCs w:val="21"/>
        </w:rPr>
        <w:br w:type="page"/>
      </w:r>
    </w:p>
    <w:p w14:paraId="56EDD9ED">
      <w:pPr>
        <w:rPr>
          <w:rFonts w:ascii="宋体" w:hAnsi="宋体" w:cs="宋体"/>
          <w:szCs w:val="22"/>
        </w:rPr>
      </w:pPr>
    </w:p>
    <w:p w14:paraId="79D6E277">
      <w:pPr>
        <w:rPr>
          <w:rFonts w:ascii="宋体" w:hAnsi="宋体" w:cs="宋体"/>
          <w:szCs w:val="22"/>
        </w:rPr>
      </w:pPr>
    </w:p>
    <w:p w14:paraId="412C935D">
      <w:pPr>
        <w:rPr>
          <w:rFonts w:ascii="宋体" w:hAnsi="宋体" w:cs="宋体"/>
          <w:szCs w:val="22"/>
        </w:rPr>
      </w:pPr>
    </w:p>
    <w:p w14:paraId="17AB0D07">
      <w:pPr>
        <w:rPr>
          <w:rFonts w:ascii="宋体" w:hAnsi="宋体" w:cs="宋体"/>
          <w:szCs w:val="22"/>
        </w:rPr>
      </w:pPr>
    </w:p>
    <w:p w14:paraId="4CA91166">
      <w:pPr>
        <w:rPr>
          <w:rFonts w:ascii="宋体" w:hAnsi="宋体" w:cs="宋体"/>
          <w:szCs w:val="22"/>
        </w:rPr>
      </w:pPr>
    </w:p>
    <w:p w14:paraId="39743959">
      <w:pPr>
        <w:rPr>
          <w:rFonts w:ascii="宋体" w:hAnsi="宋体" w:cs="宋体"/>
          <w:szCs w:val="22"/>
        </w:rPr>
      </w:pPr>
    </w:p>
    <w:p w14:paraId="14E6A210">
      <w:pPr>
        <w:rPr>
          <w:rFonts w:ascii="宋体" w:hAnsi="宋体" w:cs="宋体"/>
          <w:szCs w:val="22"/>
        </w:rPr>
      </w:pPr>
    </w:p>
    <w:p w14:paraId="6286E11E">
      <w:pPr>
        <w:rPr>
          <w:rFonts w:ascii="宋体" w:hAnsi="宋体" w:cs="宋体"/>
          <w:szCs w:val="22"/>
        </w:rPr>
      </w:pPr>
    </w:p>
    <w:p w14:paraId="55BF4917">
      <w:pPr>
        <w:rPr>
          <w:rFonts w:ascii="宋体" w:hAnsi="宋体" w:cs="宋体"/>
          <w:szCs w:val="22"/>
        </w:rPr>
      </w:pPr>
    </w:p>
    <w:p w14:paraId="487AA2A2">
      <w:pPr>
        <w:pStyle w:val="10"/>
      </w:pPr>
    </w:p>
    <w:p w14:paraId="52863CD4">
      <w:pPr>
        <w:rPr>
          <w:rFonts w:ascii="宋体" w:hAnsi="宋体" w:cs="宋体"/>
          <w:szCs w:val="22"/>
        </w:rPr>
      </w:pPr>
    </w:p>
    <w:p w14:paraId="44906FFE">
      <w:pPr>
        <w:rPr>
          <w:rFonts w:ascii="宋体" w:hAnsi="宋体" w:cs="宋体"/>
          <w:szCs w:val="22"/>
        </w:rPr>
      </w:pPr>
    </w:p>
    <w:p w14:paraId="4F750A1F">
      <w:pPr>
        <w:rPr>
          <w:rFonts w:ascii="宋体" w:hAnsi="宋体" w:cs="宋体"/>
          <w:szCs w:val="22"/>
        </w:rPr>
      </w:pPr>
    </w:p>
    <w:p w14:paraId="419193C5">
      <w:pPr>
        <w:rPr>
          <w:rFonts w:ascii="宋体" w:hAnsi="宋体" w:cs="宋体"/>
          <w:szCs w:val="22"/>
        </w:rPr>
      </w:pPr>
    </w:p>
    <w:p w14:paraId="544B6AC9">
      <w:pPr>
        <w:rPr>
          <w:rFonts w:ascii="宋体" w:hAnsi="宋体" w:cs="宋体"/>
          <w:szCs w:val="22"/>
        </w:rPr>
      </w:pPr>
    </w:p>
    <w:p w14:paraId="64B59CEB">
      <w:pPr>
        <w:rPr>
          <w:rFonts w:ascii="宋体" w:hAnsi="宋体" w:cs="宋体"/>
          <w:szCs w:val="22"/>
        </w:rPr>
      </w:pPr>
    </w:p>
    <w:p w14:paraId="741731DF">
      <w:pPr>
        <w:pStyle w:val="3"/>
        <w:rPr>
          <w:rFonts w:cs="宋体"/>
          <w:bCs/>
          <w:kern w:val="28"/>
          <w:sz w:val="44"/>
          <w:szCs w:val="44"/>
        </w:rPr>
      </w:pPr>
      <w:r>
        <w:rPr>
          <w:rFonts w:hint="eastAsia" w:cs="宋体"/>
          <w:bCs/>
          <w:kern w:val="28"/>
          <w:sz w:val="44"/>
          <w:szCs w:val="44"/>
        </w:rPr>
        <w:t>第三章  投标文件格式、附件</w:t>
      </w:r>
    </w:p>
    <w:p w14:paraId="0C4C66C6">
      <w:pPr>
        <w:pStyle w:val="3"/>
        <w:rPr>
          <w:rFonts w:cs="宋体"/>
          <w:bCs/>
          <w:kern w:val="28"/>
          <w:sz w:val="44"/>
          <w:szCs w:val="44"/>
        </w:rPr>
      </w:pPr>
      <w:r>
        <w:rPr>
          <w:rFonts w:hint="eastAsia" w:cs="宋体"/>
          <w:bCs/>
          <w:kern w:val="28"/>
          <w:sz w:val="44"/>
          <w:szCs w:val="44"/>
        </w:rPr>
        <w:br w:type="page"/>
      </w:r>
      <w:r>
        <w:rPr>
          <w:rFonts w:hint="eastAsia" w:cs="宋体"/>
          <w:sz w:val="32"/>
          <w:szCs w:val="32"/>
        </w:rPr>
        <w:t>附件1：开标文件</w:t>
      </w:r>
    </w:p>
    <w:p w14:paraId="02DBD867">
      <w:pPr>
        <w:pStyle w:val="38"/>
        <w:rPr>
          <w:rFonts w:ascii="宋体" w:hAnsi="宋体" w:eastAsia="宋体" w:cs="宋体"/>
          <w:lang w:eastAsia="zh-CN"/>
        </w:rPr>
      </w:pPr>
    </w:p>
    <w:p w14:paraId="441D9690">
      <w:pPr>
        <w:pStyle w:val="38"/>
        <w:rPr>
          <w:rFonts w:ascii="宋体" w:hAnsi="宋体" w:eastAsia="宋体" w:cs="宋体"/>
          <w:lang w:eastAsia="zh-CN"/>
        </w:rPr>
      </w:pPr>
    </w:p>
    <w:p w14:paraId="08FE3F68">
      <w:pPr>
        <w:pStyle w:val="38"/>
        <w:rPr>
          <w:rFonts w:ascii="宋体" w:hAnsi="宋体" w:eastAsia="宋体" w:cs="宋体"/>
          <w:lang w:eastAsia="zh-CN"/>
        </w:rPr>
      </w:pPr>
    </w:p>
    <w:p w14:paraId="419CF140">
      <w:pPr>
        <w:jc w:val="center"/>
        <w:rPr>
          <w:rFonts w:hint="eastAsia" w:ascii="宋体" w:hAnsi="宋体" w:eastAsia="宋体" w:cs="宋体"/>
          <w:sz w:val="40"/>
          <w:szCs w:val="40"/>
          <w:lang w:eastAsia="zh-CN"/>
        </w:rPr>
      </w:pPr>
      <w:r>
        <w:rPr>
          <w:rFonts w:hint="eastAsia" w:ascii="宋体" w:hAnsi="宋体" w:cs="宋体"/>
          <w:sz w:val="40"/>
          <w:szCs w:val="40"/>
          <w:lang w:eastAsia="zh-CN"/>
        </w:rPr>
        <w:t>深圳市文化广电旅游体育2024年度局属各单位运营情况、年度经营情况及合法合规性审计工作服务项目</w:t>
      </w:r>
    </w:p>
    <w:p w14:paraId="625EDA0C">
      <w:pPr>
        <w:jc w:val="center"/>
        <w:rPr>
          <w:rFonts w:ascii="宋体" w:hAnsi="宋体" w:cs="宋体"/>
          <w:sz w:val="44"/>
          <w:szCs w:val="44"/>
        </w:rPr>
      </w:pPr>
      <w:r>
        <w:rPr>
          <w:rFonts w:hint="eastAsia" w:ascii="宋体" w:hAnsi="宋体" w:cs="宋体"/>
          <w:sz w:val="44"/>
          <w:szCs w:val="44"/>
        </w:rPr>
        <w:t>（唱标信封）</w:t>
      </w:r>
    </w:p>
    <w:p w14:paraId="3087CB5F">
      <w:pPr>
        <w:jc w:val="center"/>
        <w:rPr>
          <w:rFonts w:ascii="宋体" w:hAnsi="宋体" w:cs="宋体"/>
          <w:sz w:val="44"/>
          <w:szCs w:val="44"/>
        </w:rPr>
      </w:pPr>
    </w:p>
    <w:p w14:paraId="40E9323F">
      <w:pPr>
        <w:jc w:val="center"/>
        <w:rPr>
          <w:rFonts w:ascii="宋体" w:hAnsi="宋体" w:cs="宋体"/>
          <w:sz w:val="44"/>
          <w:szCs w:val="44"/>
        </w:rPr>
      </w:pPr>
    </w:p>
    <w:p w14:paraId="4BD9584E">
      <w:pPr>
        <w:jc w:val="center"/>
        <w:rPr>
          <w:rFonts w:ascii="宋体" w:hAnsi="宋体" w:cs="宋体"/>
          <w:sz w:val="44"/>
          <w:szCs w:val="44"/>
        </w:rPr>
      </w:pPr>
    </w:p>
    <w:p w14:paraId="7553B61B">
      <w:pPr>
        <w:jc w:val="center"/>
        <w:rPr>
          <w:rFonts w:ascii="宋体" w:hAnsi="宋体" w:cs="宋体"/>
          <w:sz w:val="44"/>
          <w:szCs w:val="44"/>
        </w:rPr>
      </w:pPr>
    </w:p>
    <w:p w14:paraId="01F2528C">
      <w:pPr>
        <w:rPr>
          <w:rFonts w:ascii="宋体" w:hAnsi="宋体" w:cs="宋体"/>
          <w:sz w:val="44"/>
          <w:szCs w:val="44"/>
        </w:rPr>
      </w:pPr>
    </w:p>
    <w:p w14:paraId="4807DAF7">
      <w:pPr>
        <w:spacing w:line="480" w:lineRule="auto"/>
        <w:ind w:firstLine="1400" w:firstLineChars="500"/>
        <w:rPr>
          <w:rFonts w:ascii="宋体" w:hAnsi="宋体" w:cs="宋体"/>
          <w:sz w:val="28"/>
          <w:szCs w:val="28"/>
          <w:u w:val="single"/>
        </w:rPr>
      </w:pPr>
      <w:r>
        <w:rPr>
          <w:rFonts w:hint="eastAsia" w:ascii="宋体" w:hAnsi="宋体" w:cs="宋体"/>
          <w:sz w:val="28"/>
          <w:szCs w:val="28"/>
        </w:rPr>
        <w:t>项目编号：_____________________________</w:t>
      </w:r>
    </w:p>
    <w:p w14:paraId="082B3D34">
      <w:pPr>
        <w:spacing w:line="480" w:lineRule="auto"/>
        <w:ind w:firstLine="1400" w:firstLineChars="500"/>
        <w:rPr>
          <w:rFonts w:ascii="宋体" w:hAnsi="宋体" w:cs="宋体"/>
          <w:sz w:val="28"/>
          <w:szCs w:val="28"/>
          <w:u w:val="single"/>
        </w:rPr>
      </w:pPr>
      <w:r>
        <w:rPr>
          <w:rFonts w:hint="eastAsia" w:ascii="宋体" w:hAnsi="宋体" w:cs="宋体"/>
          <w:sz w:val="28"/>
          <w:szCs w:val="28"/>
        </w:rPr>
        <w:t>供应商（盖章）：___________________________</w:t>
      </w:r>
    </w:p>
    <w:p w14:paraId="699D5BBD">
      <w:pPr>
        <w:spacing w:line="480" w:lineRule="auto"/>
        <w:ind w:firstLine="1400" w:firstLineChars="500"/>
        <w:rPr>
          <w:rFonts w:ascii="宋体" w:hAnsi="宋体" w:cs="宋体"/>
          <w:sz w:val="28"/>
          <w:szCs w:val="28"/>
        </w:rPr>
      </w:pPr>
      <w:r>
        <w:rPr>
          <w:rFonts w:hint="eastAsia" w:ascii="宋体" w:hAnsi="宋体" w:cs="宋体"/>
          <w:sz w:val="28"/>
          <w:szCs w:val="28"/>
        </w:rPr>
        <w:t>法定代表人或授权委托人签字：__________________</w:t>
      </w:r>
    </w:p>
    <w:p w14:paraId="6AB6D751">
      <w:pPr>
        <w:spacing w:line="360" w:lineRule="auto"/>
        <w:ind w:firstLine="1400" w:firstLineChars="500"/>
        <w:rPr>
          <w:rFonts w:ascii="宋体" w:hAnsi="宋体" w:cs="宋体"/>
          <w:sz w:val="28"/>
          <w:szCs w:val="28"/>
        </w:rPr>
      </w:pPr>
      <w:r>
        <w:rPr>
          <w:rFonts w:hint="eastAsia" w:ascii="宋体" w:hAnsi="宋体" w:cs="宋体"/>
          <w:sz w:val="28"/>
          <w:szCs w:val="28"/>
        </w:rPr>
        <w:t>投标日期：____________年_____月______日</w:t>
      </w:r>
    </w:p>
    <w:p w14:paraId="4A9EA367">
      <w:pPr>
        <w:spacing w:line="360" w:lineRule="auto"/>
        <w:ind w:firstLine="1400" w:firstLineChars="500"/>
        <w:rPr>
          <w:rFonts w:ascii="宋体" w:hAnsi="宋体" w:cs="宋体"/>
          <w:sz w:val="28"/>
          <w:szCs w:val="28"/>
        </w:rPr>
      </w:pPr>
    </w:p>
    <w:p w14:paraId="4875B0BD">
      <w:pPr>
        <w:spacing w:line="360" w:lineRule="auto"/>
        <w:ind w:firstLine="1400" w:firstLineChars="500"/>
        <w:rPr>
          <w:rFonts w:ascii="宋体" w:hAnsi="宋体" w:cs="宋体"/>
          <w:sz w:val="28"/>
          <w:szCs w:val="28"/>
        </w:rPr>
      </w:pPr>
    </w:p>
    <w:p w14:paraId="605B7607">
      <w:pPr>
        <w:spacing w:line="360" w:lineRule="auto"/>
        <w:ind w:firstLine="1400" w:firstLineChars="500"/>
        <w:rPr>
          <w:rFonts w:ascii="宋体" w:hAnsi="宋体" w:cs="宋体"/>
          <w:sz w:val="28"/>
          <w:szCs w:val="28"/>
        </w:rPr>
      </w:pPr>
    </w:p>
    <w:p w14:paraId="251FF1A0">
      <w:pPr>
        <w:pStyle w:val="24"/>
        <w:ind w:left="0" w:leftChars="0" w:firstLine="0" w:firstLineChars="0"/>
        <w:rPr>
          <w:rFonts w:ascii="宋体" w:hAnsi="宋体" w:cs="宋体"/>
        </w:rPr>
      </w:pPr>
      <w:r>
        <w:rPr>
          <w:rFonts w:hint="eastAsia" w:ascii="宋体" w:hAnsi="宋体" w:cs="宋体"/>
        </w:rPr>
        <w:br w:type="page"/>
      </w:r>
    </w:p>
    <w:p w14:paraId="5AAAB4C8">
      <w:pPr>
        <w:pStyle w:val="4"/>
        <w:spacing w:before="120" w:after="120"/>
        <w:jc w:val="center"/>
        <w:rPr>
          <w:rFonts w:cs="宋体"/>
          <w:snapToGrid w:val="0"/>
          <w:sz w:val="32"/>
        </w:rPr>
      </w:pPr>
      <w:r>
        <w:rPr>
          <w:rFonts w:hint="eastAsia" w:cs="宋体"/>
          <w:sz w:val="32"/>
        </w:rPr>
        <w:t>一、开标一览表</w:t>
      </w:r>
    </w:p>
    <w:p w14:paraId="0A6CA469">
      <w:pPr>
        <w:spacing w:line="360" w:lineRule="auto"/>
        <w:ind w:right="525"/>
        <w:rPr>
          <w:rFonts w:ascii="宋体" w:hAnsi="宋体" w:cs="宋体"/>
          <w:bCs/>
          <w:snapToGrid w:val="0"/>
          <w:kern w:val="0"/>
          <w:sz w:val="22"/>
          <w:szCs w:val="22"/>
        </w:rPr>
      </w:pPr>
      <w:r>
        <w:rPr>
          <w:rFonts w:hint="eastAsia" w:ascii="宋体" w:hAnsi="宋体" w:cs="宋体"/>
          <w:sz w:val="22"/>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930"/>
        <w:gridCol w:w="3474"/>
      </w:tblGrid>
      <w:tr w14:paraId="009F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0" w:hRule="atLeast"/>
        </w:trPr>
        <w:tc>
          <w:tcPr>
            <w:tcW w:w="2122" w:type="dxa"/>
            <w:vAlign w:val="center"/>
          </w:tcPr>
          <w:p w14:paraId="722C987F">
            <w:pPr>
              <w:spacing w:line="360" w:lineRule="auto"/>
              <w:jc w:val="center"/>
              <w:rPr>
                <w:rFonts w:ascii="宋体" w:hAnsi="宋体" w:cs="宋体"/>
                <w:snapToGrid w:val="0"/>
                <w:kern w:val="0"/>
                <w:sz w:val="22"/>
                <w:szCs w:val="22"/>
              </w:rPr>
            </w:pPr>
            <w:r>
              <w:rPr>
                <w:rFonts w:hint="eastAsia" w:ascii="宋体" w:hAnsi="宋体" w:cs="宋体"/>
                <w:bCs/>
                <w:snapToGrid w:val="0"/>
                <w:kern w:val="0"/>
                <w:sz w:val="22"/>
                <w:szCs w:val="22"/>
              </w:rPr>
              <w:t>项目编号</w:t>
            </w:r>
          </w:p>
        </w:tc>
        <w:tc>
          <w:tcPr>
            <w:tcW w:w="2930" w:type="dxa"/>
            <w:vAlign w:val="center"/>
          </w:tcPr>
          <w:p w14:paraId="43D52E2F">
            <w:pPr>
              <w:spacing w:line="360" w:lineRule="auto"/>
              <w:jc w:val="center"/>
              <w:rPr>
                <w:rFonts w:ascii="宋体" w:hAnsi="宋体" w:cs="宋体"/>
                <w:snapToGrid w:val="0"/>
                <w:kern w:val="0"/>
                <w:sz w:val="22"/>
                <w:szCs w:val="22"/>
              </w:rPr>
            </w:pPr>
            <w:r>
              <w:rPr>
                <w:rFonts w:hint="eastAsia" w:ascii="宋体" w:hAnsi="宋体" w:cs="宋体"/>
                <w:snapToGrid w:val="0"/>
                <w:kern w:val="0"/>
                <w:sz w:val="22"/>
                <w:szCs w:val="22"/>
              </w:rPr>
              <w:t>项目名称</w:t>
            </w:r>
          </w:p>
        </w:tc>
        <w:tc>
          <w:tcPr>
            <w:tcW w:w="3474" w:type="dxa"/>
            <w:vAlign w:val="center"/>
          </w:tcPr>
          <w:p w14:paraId="092EBF79">
            <w:pPr>
              <w:spacing w:line="360" w:lineRule="auto"/>
              <w:jc w:val="center"/>
              <w:rPr>
                <w:rFonts w:ascii="宋体" w:hAnsi="宋体" w:cs="宋体"/>
                <w:snapToGrid w:val="0"/>
                <w:kern w:val="0"/>
                <w:sz w:val="22"/>
                <w:szCs w:val="22"/>
              </w:rPr>
            </w:pPr>
            <w:r>
              <w:rPr>
                <w:rFonts w:hint="eastAsia" w:ascii="宋体" w:hAnsi="宋体" w:cs="宋体"/>
                <w:snapToGrid w:val="0"/>
                <w:kern w:val="0"/>
                <w:sz w:val="22"/>
                <w:szCs w:val="22"/>
              </w:rPr>
              <w:t>投标</w:t>
            </w:r>
            <w:r>
              <w:rPr>
                <w:rFonts w:hint="eastAsia" w:ascii="宋体" w:hAnsi="宋体" w:cs="宋体"/>
                <w:sz w:val="22"/>
                <w:szCs w:val="22"/>
              </w:rPr>
              <w:t>总</w:t>
            </w:r>
            <w:r>
              <w:rPr>
                <w:rFonts w:hint="eastAsia" w:ascii="宋体" w:hAnsi="宋体" w:cs="宋体"/>
                <w:snapToGrid w:val="0"/>
                <w:kern w:val="0"/>
                <w:sz w:val="22"/>
                <w:szCs w:val="22"/>
              </w:rPr>
              <w:t>价（元）</w:t>
            </w:r>
          </w:p>
        </w:tc>
      </w:tr>
      <w:tr w14:paraId="4E5B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2122" w:type="dxa"/>
            <w:vAlign w:val="center"/>
          </w:tcPr>
          <w:p w14:paraId="1FB51508">
            <w:pPr>
              <w:spacing w:line="360" w:lineRule="auto"/>
              <w:jc w:val="center"/>
              <w:rPr>
                <w:rFonts w:ascii="宋体" w:hAnsi="宋体" w:cs="宋体"/>
                <w:snapToGrid w:val="0"/>
                <w:kern w:val="0"/>
                <w:sz w:val="22"/>
                <w:szCs w:val="22"/>
              </w:rPr>
            </w:pPr>
          </w:p>
        </w:tc>
        <w:tc>
          <w:tcPr>
            <w:tcW w:w="2930" w:type="dxa"/>
            <w:vAlign w:val="center"/>
          </w:tcPr>
          <w:p w14:paraId="50CB8D6E">
            <w:pPr>
              <w:widowControl/>
              <w:spacing w:line="360" w:lineRule="auto"/>
              <w:jc w:val="center"/>
              <w:rPr>
                <w:rFonts w:ascii="宋体" w:hAnsi="宋体" w:cs="宋体"/>
                <w:kern w:val="0"/>
                <w:sz w:val="22"/>
                <w:szCs w:val="22"/>
              </w:rPr>
            </w:pPr>
          </w:p>
        </w:tc>
        <w:tc>
          <w:tcPr>
            <w:tcW w:w="3474" w:type="dxa"/>
            <w:vAlign w:val="center"/>
          </w:tcPr>
          <w:p w14:paraId="7794D9BA">
            <w:pPr>
              <w:spacing w:line="360" w:lineRule="auto"/>
              <w:rPr>
                <w:rFonts w:ascii="宋体" w:hAnsi="宋体" w:cs="宋体"/>
                <w:snapToGrid w:val="0"/>
                <w:kern w:val="0"/>
                <w:sz w:val="22"/>
                <w:szCs w:val="22"/>
              </w:rPr>
            </w:pPr>
            <w:r>
              <w:rPr>
                <w:rFonts w:hint="eastAsia" w:ascii="宋体" w:hAnsi="宋体" w:cs="宋体"/>
                <w:snapToGrid w:val="0"/>
                <w:kern w:val="0"/>
                <w:sz w:val="22"/>
                <w:szCs w:val="22"/>
              </w:rPr>
              <w:t>大写：</w:t>
            </w:r>
          </w:p>
          <w:p w14:paraId="16584E8D">
            <w:pPr>
              <w:spacing w:line="360" w:lineRule="auto"/>
              <w:rPr>
                <w:rFonts w:ascii="宋体" w:hAnsi="宋体" w:cs="宋体"/>
                <w:snapToGrid w:val="0"/>
                <w:kern w:val="0"/>
                <w:sz w:val="22"/>
                <w:szCs w:val="22"/>
              </w:rPr>
            </w:pPr>
            <w:r>
              <w:rPr>
                <w:rFonts w:hint="eastAsia" w:ascii="宋体" w:hAnsi="宋体" w:cs="宋体"/>
                <w:snapToGrid w:val="0"/>
                <w:kern w:val="0"/>
                <w:sz w:val="22"/>
                <w:szCs w:val="22"/>
              </w:rPr>
              <w:t>小写：</w:t>
            </w:r>
          </w:p>
        </w:tc>
      </w:tr>
    </w:tbl>
    <w:p w14:paraId="768CFFD5">
      <w:pPr>
        <w:spacing w:line="360" w:lineRule="auto"/>
        <w:rPr>
          <w:rFonts w:ascii="宋体" w:hAnsi="宋体" w:cs="宋体"/>
          <w:snapToGrid w:val="0"/>
          <w:kern w:val="0"/>
          <w:sz w:val="22"/>
          <w:szCs w:val="22"/>
        </w:rPr>
      </w:pPr>
    </w:p>
    <w:p w14:paraId="7E47577B">
      <w:pPr>
        <w:spacing w:line="360" w:lineRule="exact"/>
        <w:rPr>
          <w:rFonts w:ascii="宋体" w:hAnsi="宋体" w:cs="宋体"/>
          <w:snapToGrid w:val="0"/>
          <w:kern w:val="0"/>
          <w:sz w:val="22"/>
        </w:rPr>
      </w:pPr>
      <w:r>
        <w:rPr>
          <w:rFonts w:hint="eastAsia" w:ascii="宋体" w:hAnsi="宋体" w:cs="宋体"/>
          <w:snapToGrid w:val="0"/>
          <w:kern w:val="0"/>
          <w:sz w:val="22"/>
          <w:szCs w:val="22"/>
        </w:rPr>
        <w:t>注：</w:t>
      </w:r>
      <w:r>
        <w:rPr>
          <w:rFonts w:hint="eastAsia" w:ascii="宋体" w:hAnsi="宋体" w:cs="宋体"/>
          <w:snapToGrid w:val="0"/>
          <w:kern w:val="0"/>
          <w:sz w:val="22"/>
        </w:rPr>
        <w:t>此表应与法定代表人证明书、法定代表人授权书一同密封单独提交。</w:t>
      </w:r>
    </w:p>
    <w:p w14:paraId="4B5A39A1">
      <w:pPr>
        <w:spacing w:line="360" w:lineRule="auto"/>
        <w:ind w:right="2100" w:rightChars="1000"/>
        <w:jc w:val="right"/>
        <w:rPr>
          <w:rFonts w:ascii="宋体" w:hAnsi="宋体" w:cs="宋体"/>
          <w:snapToGrid w:val="0"/>
          <w:kern w:val="0"/>
          <w:sz w:val="22"/>
          <w:szCs w:val="22"/>
        </w:rPr>
      </w:pPr>
    </w:p>
    <w:p w14:paraId="0EE05880">
      <w:pPr>
        <w:spacing w:line="360" w:lineRule="auto"/>
        <w:ind w:right="2100" w:rightChars="1000"/>
        <w:jc w:val="left"/>
        <w:rPr>
          <w:rFonts w:ascii="宋体" w:hAnsi="宋体" w:cs="宋体"/>
          <w:snapToGrid w:val="0"/>
          <w:kern w:val="0"/>
          <w:sz w:val="22"/>
          <w:szCs w:val="22"/>
        </w:rPr>
      </w:pPr>
      <w:r>
        <w:rPr>
          <w:rFonts w:hint="eastAsia" w:ascii="宋体" w:hAnsi="宋体" w:cs="宋体"/>
          <w:snapToGrid w:val="0"/>
          <w:kern w:val="0"/>
          <w:sz w:val="22"/>
          <w:szCs w:val="22"/>
          <w:lang w:val="zh-CN"/>
        </w:rPr>
        <w:t>法定代表人（</w:t>
      </w:r>
      <w:r>
        <w:rPr>
          <w:rFonts w:hint="eastAsia" w:ascii="宋体" w:hAnsi="宋体" w:cs="宋体"/>
          <w:snapToGrid w:val="0"/>
          <w:kern w:val="0"/>
          <w:sz w:val="22"/>
          <w:szCs w:val="22"/>
        </w:rPr>
        <w:t>单位负责人</w:t>
      </w:r>
      <w:r>
        <w:rPr>
          <w:rFonts w:hint="eastAsia" w:ascii="宋体" w:hAnsi="宋体" w:cs="宋体"/>
          <w:snapToGrid w:val="0"/>
          <w:kern w:val="0"/>
          <w:sz w:val="22"/>
          <w:szCs w:val="22"/>
          <w:lang w:val="zh-CN"/>
        </w:rPr>
        <w:t>）或其授权代表（签字</w:t>
      </w:r>
      <w:r>
        <w:rPr>
          <w:rFonts w:hint="eastAsia" w:ascii="宋体" w:hAnsi="宋体" w:cs="宋体"/>
          <w:snapToGrid w:val="0"/>
          <w:kern w:val="0"/>
          <w:sz w:val="22"/>
          <w:szCs w:val="22"/>
        </w:rPr>
        <w:t>或盖章</w:t>
      </w:r>
      <w:r>
        <w:rPr>
          <w:rFonts w:hint="eastAsia" w:ascii="宋体" w:hAnsi="宋体" w:cs="宋体"/>
          <w:snapToGrid w:val="0"/>
          <w:kern w:val="0"/>
          <w:sz w:val="22"/>
          <w:szCs w:val="22"/>
          <w:lang w:val="zh-CN"/>
        </w:rPr>
        <w:t>）</w:t>
      </w:r>
      <w:r>
        <w:rPr>
          <w:rFonts w:hint="eastAsia" w:ascii="宋体" w:hAnsi="宋体" w:cs="宋体"/>
          <w:snapToGrid w:val="0"/>
          <w:kern w:val="0"/>
          <w:sz w:val="22"/>
          <w:szCs w:val="22"/>
        </w:rPr>
        <w:t xml:space="preserve">：                   </w:t>
      </w:r>
    </w:p>
    <w:p w14:paraId="616F3FD8">
      <w:pPr>
        <w:spacing w:line="360" w:lineRule="auto"/>
        <w:ind w:right="2100" w:rightChars="1000"/>
        <w:jc w:val="left"/>
        <w:rPr>
          <w:rFonts w:ascii="宋体" w:hAnsi="宋体" w:cs="宋体"/>
          <w:snapToGrid w:val="0"/>
          <w:kern w:val="0"/>
          <w:sz w:val="22"/>
          <w:szCs w:val="22"/>
        </w:rPr>
      </w:pPr>
      <w:r>
        <w:rPr>
          <w:rFonts w:hint="eastAsia" w:ascii="宋体" w:hAnsi="宋体" w:cs="宋体"/>
          <w:snapToGrid w:val="0"/>
          <w:kern w:val="0"/>
          <w:sz w:val="22"/>
          <w:szCs w:val="22"/>
        </w:rPr>
        <w:t xml:space="preserve">投标人名称（盖章）：                        </w:t>
      </w:r>
    </w:p>
    <w:p w14:paraId="20C404BB">
      <w:pPr>
        <w:spacing w:line="360" w:lineRule="auto"/>
        <w:ind w:right="2100" w:rightChars="1000"/>
        <w:jc w:val="left"/>
        <w:rPr>
          <w:rFonts w:ascii="宋体" w:hAnsi="宋体" w:cs="宋体"/>
          <w:snapToGrid w:val="0"/>
          <w:kern w:val="0"/>
          <w:sz w:val="22"/>
          <w:szCs w:val="22"/>
        </w:rPr>
      </w:pPr>
      <w:r>
        <w:rPr>
          <w:rFonts w:hint="eastAsia" w:ascii="宋体" w:hAnsi="宋体" w:cs="宋体"/>
          <w:snapToGrid w:val="0"/>
          <w:kern w:val="0"/>
          <w:sz w:val="22"/>
          <w:szCs w:val="22"/>
        </w:rPr>
        <w:t>日期：   年   月   日</w:t>
      </w:r>
    </w:p>
    <w:p w14:paraId="6FAA7574">
      <w:pPr>
        <w:spacing w:line="360" w:lineRule="exact"/>
        <w:ind w:right="2100" w:rightChars="1000"/>
        <w:jc w:val="left"/>
        <w:rPr>
          <w:rFonts w:ascii="宋体" w:hAnsi="宋体" w:cs="宋体"/>
          <w:snapToGrid w:val="0"/>
          <w:kern w:val="0"/>
        </w:rPr>
      </w:pPr>
    </w:p>
    <w:p w14:paraId="54EEB008">
      <w:pPr>
        <w:pStyle w:val="24"/>
        <w:rPr>
          <w:rFonts w:ascii="宋体" w:hAnsi="宋体" w:cs="宋体"/>
          <w:snapToGrid w:val="0"/>
          <w:kern w:val="0"/>
        </w:rPr>
      </w:pPr>
    </w:p>
    <w:p w14:paraId="1EB60DB2">
      <w:pPr>
        <w:pStyle w:val="24"/>
        <w:rPr>
          <w:rFonts w:ascii="宋体" w:hAnsi="宋体" w:cs="宋体"/>
          <w:snapToGrid w:val="0"/>
          <w:kern w:val="0"/>
        </w:rPr>
      </w:pPr>
    </w:p>
    <w:p w14:paraId="2A9B732A">
      <w:r>
        <w:rPr>
          <w:rFonts w:hint="eastAsia"/>
        </w:rPr>
        <w:t xml:space="preserve">            </w:t>
      </w:r>
    </w:p>
    <w:p w14:paraId="7B81AB46"/>
    <w:p w14:paraId="613F5FEA"/>
    <w:p w14:paraId="182FB5B2"/>
    <w:p w14:paraId="66ABD09E"/>
    <w:p w14:paraId="7A6E6031"/>
    <w:p w14:paraId="5B6113CB"/>
    <w:p w14:paraId="29A7C40E"/>
    <w:p w14:paraId="418F48FA"/>
    <w:p w14:paraId="1B916C64"/>
    <w:p w14:paraId="2573A059"/>
    <w:p w14:paraId="5D453341">
      <w:r>
        <w:rPr>
          <w:rFonts w:hint="eastAsia"/>
        </w:rPr>
        <w:br w:type="page"/>
      </w:r>
    </w:p>
    <w:p w14:paraId="243A9D52">
      <w:pPr>
        <w:pStyle w:val="4"/>
        <w:spacing w:before="120" w:after="120"/>
        <w:jc w:val="center"/>
        <w:rPr>
          <w:rFonts w:cs="宋体"/>
          <w:sz w:val="32"/>
        </w:rPr>
      </w:pPr>
      <w:r>
        <w:rPr>
          <w:rFonts w:hint="eastAsia" w:cs="宋体"/>
          <w:sz w:val="32"/>
        </w:rPr>
        <w:t>二、法定代表人资格证明书</w:t>
      </w:r>
    </w:p>
    <w:p w14:paraId="7E758EB9">
      <w:pPr>
        <w:rPr>
          <w:rFonts w:ascii="宋体" w:hAnsi="宋体" w:cs="宋体"/>
        </w:rPr>
      </w:pPr>
    </w:p>
    <w:p w14:paraId="2703A09C">
      <w:pPr>
        <w:spacing w:line="300" w:lineRule="auto"/>
        <w:ind w:left="140"/>
        <w:rPr>
          <w:rFonts w:ascii="宋体" w:hAnsi="宋体"/>
          <w:sz w:val="22"/>
          <w:szCs w:val="22"/>
        </w:rPr>
      </w:pPr>
      <w:r>
        <w:rPr>
          <w:rFonts w:hint="eastAsia" w:ascii="宋体" w:hAnsi="宋体"/>
          <w:sz w:val="22"/>
          <w:szCs w:val="22"/>
          <w:u w:val="single"/>
        </w:rPr>
        <w:t xml:space="preserve">  （姓名）  </w:t>
      </w:r>
      <w:r>
        <w:rPr>
          <w:rFonts w:hint="eastAsia" w:ascii="宋体" w:hAnsi="宋体"/>
          <w:sz w:val="22"/>
          <w:szCs w:val="22"/>
        </w:rPr>
        <w:t>同志，现任我单位</w:t>
      </w:r>
      <w:r>
        <w:rPr>
          <w:rFonts w:hint="eastAsia" w:ascii="宋体" w:hAnsi="宋体"/>
          <w:sz w:val="22"/>
          <w:szCs w:val="22"/>
          <w:u w:val="single"/>
        </w:rPr>
        <w:t xml:space="preserve">       </w:t>
      </w:r>
      <w:r>
        <w:rPr>
          <w:rFonts w:hint="eastAsia" w:ascii="宋体" w:hAnsi="宋体"/>
          <w:sz w:val="22"/>
          <w:szCs w:val="22"/>
        </w:rPr>
        <w:t>职务，为我单位法定代表人（负责人）。</w:t>
      </w:r>
    </w:p>
    <w:p w14:paraId="379BD206">
      <w:pPr>
        <w:spacing w:line="300" w:lineRule="auto"/>
        <w:ind w:left="140"/>
        <w:rPr>
          <w:rFonts w:ascii="宋体" w:hAnsi="宋体"/>
          <w:sz w:val="22"/>
          <w:szCs w:val="22"/>
          <w:u w:val="single"/>
        </w:rPr>
      </w:pPr>
      <w:r>
        <w:rPr>
          <w:rFonts w:hint="eastAsia" w:ascii="宋体" w:hAnsi="宋体"/>
          <w:sz w:val="22"/>
          <w:szCs w:val="22"/>
        </w:rPr>
        <w:t xml:space="preserve">身份证号： </w:t>
      </w:r>
      <w:r>
        <w:rPr>
          <w:rFonts w:hint="eastAsia" w:ascii="宋体" w:hAnsi="宋体"/>
          <w:sz w:val="22"/>
          <w:szCs w:val="22"/>
          <w:u w:val="single"/>
        </w:rPr>
        <w:t xml:space="preserve">              </w:t>
      </w:r>
    </w:p>
    <w:p w14:paraId="30E7AD93">
      <w:pPr>
        <w:spacing w:line="300" w:lineRule="auto"/>
        <w:ind w:left="140"/>
        <w:rPr>
          <w:rFonts w:ascii="宋体" w:hAnsi="宋体"/>
          <w:sz w:val="22"/>
          <w:szCs w:val="22"/>
          <w:u w:val="single"/>
        </w:rPr>
      </w:pPr>
      <w:r>
        <w:rPr>
          <w:rFonts w:hint="eastAsia" w:ascii="宋体" w:hAnsi="宋体"/>
          <w:sz w:val="22"/>
          <w:szCs w:val="22"/>
        </w:rPr>
        <w:t xml:space="preserve">联系电话：  </w:t>
      </w:r>
      <w:r>
        <w:rPr>
          <w:rFonts w:hint="eastAsia" w:ascii="宋体" w:hAnsi="宋体"/>
          <w:sz w:val="22"/>
          <w:szCs w:val="22"/>
          <w:u w:val="single"/>
        </w:rPr>
        <w:t xml:space="preserve">             </w:t>
      </w:r>
    </w:p>
    <w:p w14:paraId="49DB8346">
      <w:pPr>
        <w:spacing w:line="300" w:lineRule="auto"/>
        <w:ind w:left="140"/>
        <w:rPr>
          <w:rFonts w:ascii="宋体" w:hAnsi="宋体"/>
          <w:b/>
          <w:sz w:val="22"/>
          <w:szCs w:val="22"/>
        </w:rPr>
      </w:pPr>
      <w:r>
        <w:rPr>
          <w:rFonts w:hint="eastAsia" w:ascii="宋体" w:hAnsi="宋体"/>
          <w:sz w:val="22"/>
          <w:szCs w:val="22"/>
        </w:rPr>
        <w:t>特此证明。</w:t>
      </w:r>
    </w:p>
    <w:p w14:paraId="62FA3723">
      <w:pPr>
        <w:spacing w:line="300" w:lineRule="auto"/>
        <w:rPr>
          <w:rFonts w:ascii="Arial" w:hAnsi="Arial"/>
          <w:sz w:val="22"/>
          <w:szCs w:val="22"/>
        </w:rPr>
      </w:pPr>
    </w:p>
    <w:p w14:paraId="088CD57E">
      <w:pPr>
        <w:spacing w:line="300" w:lineRule="auto"/>
        <w:rPr>
          <w:rFonts w:ascii="Arial" w:hAnsi="Arial"/>
          <w:sz w:val="22"/>
          <w:szCs w:val="22"/>
        </w:rPr>
      </w:pPr>
      <w:r>
        <w:rPr>
          <w:rFonts w:hint="eastAsia" w:ascii="Arial" w:hAnsi="Arial"/>
          <w:sz w:val="22"/>
          <w:szCs w:val="22"/>
        </w:rPr>
        <w:t>投标人（投标单位）：</w:t>
      </w:r>
      <w:r>
        <w:rPr>
          <w:rFonts w:ascii="Arial" w:hAnsi="Arial"/>
          <w:sz w:val="22"/>
          <w:szCs w:val="22"/>
          <w:u w:val="single"/>
        </w:rPr>
        <w:t xml:space="preserve">           </w:t>
      </w:r>
    </w:p>
    <w:p w14:paraId="6F404B31">
      <w:pPr>
        <w:spacing w:line="300" w:lineRule="auto"/>
        <w:rPr>
          <w:rFonts w:ascii="Arial" w:hAnsi="Arial"/>
          <w:sz w:val="22"/>
          <w:szCs w:val="22"/>
        </w:rPr>
      </w:pPr>
      <w:r>
        <w:rPr>
          <w:rFonts w:hint="eastAsia" w:ascii="Arial" w:hAnsi="Arial"/>
          <w:sz w:val="22"/>
          <w:szCs w:val="22"/>
        </w:rPr>
        <w:t>日</w:t>
      </w:r>
      <w:r>
        <w:rPr>
          <w:rFonts w:ascii="Arial" w:hAnsi="Arial"/>
          <w:sz w:val="22"/>
          <w:szCs w:val="22"/>
        </w:rPr>
        <w:t xml:space="preserve">  </w:t>
      </w:r>
      <w:r>
        <w:rPr>
          <w:rFonts w:hint="eastAsia" w:ascii="Arial" w:hAnsi="Arial"/>
          <w:sz w:val="22"/>
          <w:szCs w:val="22"/>
        </w:rPr>
        <w:t>期：</w:t>
      </w:r>
      <w:r>
        <w:rPr>
          <w:rFonts w:ascii="Arial" w:hAnsi="Arial"/>
          <w:sz w:val="22"/>
          <w:szCs w:val="22"/>
          <w:u w:val="single"/>
        </w:rPr>
        <w:t xml:space="preserve">     </w:t>
      </w:r>
      <w:r>
        <w:rPr>
          <w:rFonts w:hint="eastAsia" w:ascii="Arial" w:hAnsi="Arial"/>
          <w:sz w:val="22"/>
          <w:szCs w:val="22"/>
        </w:rPr>
        <w:t>年</w:t>
      </w:r>
      <w:r>
        <w:rPr>
          <w:rFonts w:ascii="Arial" w:hAnsi="Arial"/>
          <w:sz w:val="22"/>
          <w:szCs w:val="22"/>
          <w:u w:val="single"/>
        </w:rPr>
        <w:t xml:space="preserve">     </w:t>
      </w:r>
      <w:r>
        <w:rPr>
          <w:rFonts w:hint="eastAsia" w:ascii="Arial" w:hAnsi="Arial"/>
          <w:sz w:val="22"/>
          <w:szCs w:val="22"/>
        </w:rPr>
        <w:t>月</w:t>
      </w:r>
      <w:r>
        <w:rPr>
          <w:rFonts w:ascii="Arial" w:hAnsi="Arial"/>
          <w:sz w:val="22"/>
          <w:szCs w:val="22"/>
          <w:u w:val="single"/>
        </w:rPr>
        <w:t xml:space="preserve">     </w:t>
      </w:r>
      <w:r>
        <w:rPr>
          <w:rFonts w:hint="eastAsia" w:ascii="Arial" w:hAnsi="Arial"/>
          <w:sz w:val="22"/>
          <w:szCs w:val="22"/>
        </w:rPr>
        <w:t>日</w:t>
      </w:r>
    </w:p>
    <w:p w14:paraId="3FA8F641">
      <w:pPr>
        <w:spacing w:line="500" w:lineRule="exact"/>
        <w:rPr>
          <w:rFonts w:ascii="Arial" w:hAnsi="Arial"/>
          <w:sz w:val="22"/>
          <w:szCs w:val="22"/>
        </w:rPr>
      </w:pPr>
    </w:p>
    <w:p w14:paraId="0C2D0B57">
      <w:pPr>
        <w:spacing w:line="360" w:lineRule="exact"/>
        <w:rPr>
          <w:rFonts w:ascii="宋体" w:hAnsi="宋体" w:cs="宋体"/>
          <w:b/>
          <w:sz w:val="22"/>
          <w:szCs w:val="22"/>
        </w:rPr>
      </w:pPr>
      <w:r>
        <w:rPr>
          <w:rFonts w:hint="eastAsia" w:ascii="宋体" w:hAnsi="宋体" w:cs="宋体"/>
          <w:b/>
          <w:sz w:val="22"/>
          <w:szCs w:val="22"/>
        </w:rPr>
        <w:t>必须提供法定代表人（负责人）有效期内身份证的正反面扫描件（港澳台居民可提供往来通行证），非中国国籍管辖范围的，可提供公安部门认可的身份证明材料，否则将导致投标无效。</w:t>
      </w:r>
    </w:p>
    <w:p w14:paraId="234C8A99">
      <w:pPr>
        <w:spacing w:line="360" w:lineRule="exact"/>
        <w:rPr>
          <w:rFonts w:ascii="宋体" w:hAnsi="宋体" w:cs="宋体"/>
          <w:bCs/>
          <w:sz w:val="22"/>
          <w:szCs w:val="22"/>
        </w:rPr>
      </w:pPr>
    </w:p>
    <w:p w14:paraId="6107E3C9">
      <w:pPr>
        <w:snapToGrid w:val="0"/>
        <w:spacing w:line="360" w:lineRule="exact"/>
        <w:rPr>
          <w:rFonts w:ascii="宋体" w:hAnsi="宋体" w:cs="宋体"/>
          <w:bCs/>
          <w:sz w:val="22"/>
          <w:szCs w:val="22"/>
        </w:rPr>
      </w:pPr>
      <w:r>
        <w:rPr>
          <w:rFonts w:hint="eastAsia" w:ascii="宋体" w:hAnsi="宋体" w:cs="宋体"/>
          <w:bCs/>
          <w:sz w:val="22"/>
          <w:szCs w:val="22"/>
        </w:rPr>
        <w:t>备注：</w:t>
      </w:r>
    </w:p>
    <w:p w14:paraId="7A61DF69">
      <w:pPr>
        <w:snapToGrid w:val="0"/>
        <w:spacing w:line="360" w:lineRule="exact"/>
        <w:rPr>
          <w:rFonts w:ascii="宋体" w:hAnsi="宋体" w:cs="宋体"/>
          <w:bCs/>
          <w:sz w:val="22"/>
          <w:szCs w:val="22"/>
        </w:rPr>
      </w:pPr>
      <w:r>
        <w:rPr>
          <w:rFonts w:hint="eastAsia" w:ascii="宋体" w:hAnsi="宋体" w:cs="宋体"/>
          <w:bCs/>
          <w:sz w:val="22"/>
          <w:szCs w:val="22"/>
        </w:rPr>
        <w:t>1、如发现上述人员非投标人法定代表人（负责人），视同提供虚假资料，按投标无效处理，并将依法承担相应法律责任。</w:t>
      </w:r>
    </w:p>
    <w:p w14:paraId="118228C6">
      <w:pPr>
        <w:snapToGrid w:val="0"/>
        <w:spacing w:line="360" w:lineRule="exact"/>
        <w:rPr>
          <w:rFonts w:ascii="宋体" w:hAnsi="宋体" w:cs="宋体"/>
          <w:bCs/>
          <w:sz w:val="22"/>
          <w:szCs w:val="22"/>
        </w:rPr>
      </w:pPr>
      <w:r>
        <w:rPr>
          <w:rFonts w:hint="eastAsia" w:ascii="宋体" w:hAnsi="宋体" w:cs="宋体"/>
          <w:bCs/>
          <w:sz w:val="22"/>
          <w:szCs w:val="22"/>
        </w:rPr>
        <w:t>2、法定代表人为投标人（企业事业单位、国家机关、社会团体）的主要行政负责人。</w:t>
      </w:r>
    </w:p>
    <w:p w14:paraId="6FCEF6C9">
      <w:pPr>
        <w:snapToGrid w:val="0"/>
        <w:spacing w:line="360" w:lineRule="exact"/>
        <w:rPr>
          <w:rFonts w:ascii="宋体" w:hAnsi="宋体" w:cs="宋体"/>
          <w:bCs/>
          <w:sz w:val="22"/>
          <w:szCs w:val="22"/>
        </w:rPr>
      </w:pPr>
      <w:r>
        <w:rPr>
          <w:rFonts w:hint="eastAsia" w:ascii="宋体" w:hAnsi="宋体" w:cs="宋体"/>
          <w:bCs/>
          <w:sz w:val="22"/>
          <w:szCs w:val="22"/>
        </w:rPr>
        <w:t>3、本证明书要求投标供应商同时提供法定代表人（负责人）的身份证扫描件（正反两面）作为附件方为有效。</w:t>
      </w:r>
    </w:p>
    <w:p w14:paraId="182A7A2E">
      <w:pPr>
        <w:snapToGrid w:val="0"/>
        <w:spacing w:line="360" w:lineRule="exact"/>
        <w:rPr>
          <w:rFonts w:ascii="宋体" w:hAnsi="宋体" w:cs="宋体"/>
          <w:bCs/>
          <w:sz w:val="22"/>
          <w:szCs w:val="22"/>
        </w:rPr>
      </w:pPr>
      <w:r>
        <w:rPr>
          <w:rFonts w:hint="eastAsia" w:ascii="宋体" w:hAnsi="宋体" w:cs="宋体"/>
          <w:bCs/>
          <w:sz w:val="22"/>
          <w:szCs w:val="22"/>
        </w:rPr>
        <w:t>4、本项目投标授权代表为法定代表人（负责人）的，无需提供法定代表人（负责人）授权书。</w:t>
      </w:r>
    </w:p>
    <w:p w14:paraId="15433792">
      <w:pPr>
        <w:snapToGrid w:val="0"/>
        <w:spacing w:line="360" w:lineRule="exact"/>
        <w:rPr>
          <w:rFonts w:hint="eastAsia" w:ascii="宋体" w:hAnsi="宋体" w:cs="宋体"/>
          <w:bCs/>
          <w:sz w:val="22"/>
          <w:szCs w:val="22"/>
        </w:rPr>
      </w:pPr>
      <w:r>
        <w:rPr>
          <w:rFonts w:hint="eastAsia" w:ascii="宋体" w:hAnsi="宋体" w:cs="宋体"/>
          <w:bCs/>
          <w:sz w:val="22"/>
          <w:szCs w:val="22"/>
        </w:rPr>
        <w:t>5、内容必须填写真实、清楚，涂改无效，不得转让、买卖。</w:t>
      </w:r>
    </w:p>
    <w:p w14:paraId="729C30C0">
      <w:pPr>
        <w:snapToGrid w:val="0"/>
        <w:spacing w:line="360" w:lineRule="exact"/>
        <w:rPr>
          <w:rFonts w:hint="eastAsia" w:ascii="宋体" w:hAnsi="宋体" w:cs="宋体"/>
          <w:b/>
          <w:bCs w:val="0"/>
          <w:sz w:val="22"/>
          <w:szCs w:val="22"/>
        </w:rPr>
      </w:pPr>
      <w:r>
        <w:rPr>
          <w:rFonts w:hint="eastAsia" w:ascii="宋体" w:hAnsi="宋体" w:cs="宋体"/>
          <w:b/>
          <w:bCs w:val="0"/>
          <w:sz w:val="22"/>
          <w:szCs w:val="22"/>
        </w:rPr>
        <w:t>温馨提示：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610735B0">
      <w:pPr>
        <w:jc w:val="center"/>
        <w:rPr>
          <w:rFonts w:ascii="宋体" w:hAnsi="宋体" w:cs="宋体"/>
          <w:bCs/>
          <w:sz w:val="24"/>
        </w:rPr>
      </w:pPr>
      <w:r>
        <w:rPr>
          <w:rFonts w:hint="eastAsia" w:ascii="宋体" w:hAnsi="宋体" w:cs="宋体"/>
          <w:bCs/>
          <w:sz w:val="24"/>
        </w:rPr>
        <w:br w:type="page"/>
      </w:r>
    </w:p>
    <w:p w14:paraId="02B9F868">
      <w:pPr>
        <w:pStyle w:val="4"/>
        <w:spacing w:before="120" w:after="120"/>
        <w:jc w:val="center"/>
        <w:rPr>
          <w:rFonts w:cs="宋体"/>
          <w:sz w:val="32"/>
        </w:rPr>
      </w:pPr>
      <w:r>
        <w:rPr>
          <w:rFonts w:hint="eastAsia" w:cs="宋体"/>
          <w:sz w:val="32"/>
        </w:rPr>
        <w:t>三、法定代表人授权书</w:t>
      </w:r>
    </w:p>
    <w:p w14:paraId="31DFDEAD">
      <w:pPr>
        <w:rPr>
          <w:rFonts w:ascii="宋体" w:hAnsi="宋体" w:cs="宋体"/>
          <w:bCs/>
          <w:sz w:val="24"/>
        </w:rPr>
      </w:pPr>
    </w:p>
    <w:p w14:paraId="4E74B8B1">
      <w:pPr>
        <w:spacing w:line="360" w:lineRule="auto"/>
        <w:ind w:firstLine="440" w:firstLineChars="200"/>
        <w:rPr>
          <w:rFonts w:ascii="Times New Roman" w:hAnsi="Times New Roman"/>
          <w:sz w:val="22"/>
          <w:szCs w:val="22"/>
        </w:rPr>
      </w:pPr>
      <w:r>
        <w:rPr>
          <w:rFonts w:hint="eastAsia" w:ascii="宋体" w:hAnsi="宋体" w:cs="宋体"/>
          <w:bCs/>
          <w:sz w:val="22"/>
        </w:rPr>
        <w:t xml:space="preserve"> </w:t>
      </w:r>
      <w:r>
        <w:rPr>
          <w:rFonts w:ascii="Times New Roman" w:hAnsi="Times New Roman"/>
          <w:sz w:val="22"/>
          <w:szCs w:val="22"/>
        </w:rPr>
        <w:t>本授权委托书声明：我</w:t>
      </w:r>
      <w:r>
        <w:rPr>
          <w:rFonts w:ascii="Times New Roman" w:hAnsi="Times New Roman"/>
          <w:sz w:val="22"/>
          <w:szCs w:val="22"/>
          <w:u w:val="single"/>
        </w:rPr>
        <w:t xml:space="preserve">  （姓名）  </w:t>
      </w:r>
      <w:r>
        <w:rPr>
          <w:rFonts w:ascii="Times New Roman" w:hAnsi="Times New Roman"/>
          <w:sz w:val="22"/>
          <w:szCs w:val="22"/>
        </w:rPr>
        <w:t>系</w:t>
      </w:r>
      <w:r>
        <w:rPr>
          <w:rFonts w:ascii="Times New Roman" w:hAnsi="Times New Roman"/>
          <w:sz w:val="22"/>
          <w:szCs w:val="22"/>
          <w:u w:val="single"/>
        </w:rPr>
        <w:t xml:space="preserve">  （投标人名称）   </w:t>
      </w:r>
      <w:r>
        <w:rPr>
          <w:rFonts w:ascii="Times New Roman" w:hAnsi="Times New Roman"/>
          <w:sz w:val="22"/>
          <w:szCs w:val="22"/>
        </w:rPr>
        <w:t>的法定代表人（负责人），现授权委托</w:t>
      </w:r>
      <w:r>
        <w:rPr>
          <w:rFonts w:ascii="Times New Roman" w:hAnsi="Times New Roman"/>
          <w:sz w:val="22"/>
          <w:szCs w:val="22"/>
          <w:u w:val="single"/>
        </w:rPr>
        <w:t xml:space="preserve">  （姓名）  </w:t>
      </w:r>
      <w:r>
        <w:rPr>
          <w:rFonts w:ascii="Times New Roman" w:hAnsi="Times New Roman"/>
          <w:sz w:val="22"/>
          <w:szCs w:val="22"/>
        </w:rPr>
        <w:t>为我单位签署本项目已递交的投标文件的法定代表人（负责人）的授权委托代理人，代表我单位签署本项目的投标文件、参与项目投标、澄清投标文件、签署合同和处理与该项目有关的一切事务。在此过程中代理人所签署的一切文件及处理与该项目有关的一切事务，我均予以承认。</w:t>
      </w:r>
    </w:p>
    <w:p w14:paraId="5377DDC1">
      <w:pPr>
        <w:spacing w:line="360" w:lineRule="auto"/>
        <w:ind w:firstLine="440" w:firstLineChars="200"/>
        <w:rPr>
          <w:rFonts w:ascii="Times New Roman" w:hAnsi="Times New Roman"/>
          <w:sz w:val="22"/>
          <w:szCs w:val="22"/>
        </w:rPr>
      </w:pPr>
      <w:r>
        <w:rPr>
          <w:rFonts w:ascii="Times New Roman" w:hAnsi="Times New Roman"/>
          <w:sz w:val="22"/>
          <w:szCs w:val="22"/>
        </w:rPr>
        <w:t>授权书有效期内被授权人签署的所有文件不因授权的撤销而失效。被授权人无转委托权。</w:t>
      </w:r>
    </w:p>
    <w:p w14:paraId="2241EB27">
      <w:pPr>
        <w:spacing w:line="300" w:lineRule="auto"/>
        <w:rPr>
          <w:rFonts w:ascii="Times New Roman" w:hAnsi="Times New Roman"/>
          <w:sz w:val="22"/>
          <w:szCs w:val="22"/>
        </w:rPr>
      </w:pPr>
    </w:p>
    <w:p w14:paraId="6F545C8A">
      <w:pPr>
        <w:spacing w:line="360" w:lineRule="auto"/>
        <w:ind w:left="3360" w:leftChars="1600"/>
        <w:rPr>
          <w:rFonts w:ascii="Times New Roman" w:hAnsi="Times New Roman"/>
          <w:sz w:val="22"/>
          <w:szCs w:val="22"/>
          <w:u w:val="single"/>
        </w:rPr>
      </w:pPr>
      <w:r>
        <w:rPr>
          <w:rFonts w:ascii="Times New Roman" w:hAnsi="Times New Roman"/>
          <w:sz w:val="22"/>
          <w:szCs w:val="22"/>
        </w:rPr>
        <w:t>代理人：</w:t>
      </w:r>
      <w:r>
        <w:rPr>
          <w:rFonts w:ascii="Times New Roman" w:hAnsi="Times New Roman"/>
          <w:sz w:val="22"/>
          <w:szCs w:val="22"/>
          <w:u w:val="single"/>
        </w:rPr>
        <w:t xml:space="preserve">                  </w:t>
      </w:r>
      <w:r>
        <w:rPr>
          <w:rFonts w:ascii="Times New Roman" w:hAnsi="Times New Roman"/>
          <w:sz w:val="22"/>
          <w:szCs w:val="22"/>
        </w:rPr>
        <w:t>性别：</w:t>
      </w:r>
      <w:r>
        <w:rPr>
          <w:rFonts w:ascii="Times New Roman" w:hAnsi="Times New Roman"/>
          <w:sz w:val="22"/>
          <w:szCs w:val="22"/>
          <w:u w:val="single"/>
        </w:rPr>
        <w:t xml:space="preserve">           </w:t>
      </w:r>
    </w:p>
    <w:p w14:paraId="358D0A6D">
      <w:pPr>
        <w:spacing w:line="360" w:lineRule="auto"/>
        <w:ind w:left="3360" w:leftChars="1600"/>
        <w:rPr>
          <w:rFonts w:ascii="Times New Roman" w:hAnsi="Times New Roman"/>
          <w:sz w:val="22"/>
          <w:szCs w:val="22"/>
        </w:rPr>
      </w:pPr>
      <w:r>
        <w:rPr>
          <w:rFonts w:ascii="Times New Roman" w:hAnsi="Times New Roman"/>
          <w:sz w:val="22"/>
          <w:szCs w:val="22"/>
        </w:rPr>
        <w:t>联系电话：</w:t>
      </w:r>
      <w:r>
        <w:rPr>
          <w:rFonts w:ascii="Times New Roman" w:hAnsi="Times New Roman"/>
          <w:sz w:val="22"/>
          <w:szCs w:val="22"/>
          <w:u w:val="single"/>
        </w:rPr>
        <w:t xml:space="preserve">              </w:t>
      </w:r>
      <w:r>
        <w:rPr>
          <w:rFonts w:ascii="Times New Roman" w:hAnsi="Times New Roman"/>
          <w:sz w:val="22"/>
          <w:szCs w:val="22"/>
        </w:rPr>
        <w:t>手机：</w:t>
      </w:r>
      <w:r>
        <w:rPr>
          <w:rFonts w:ascii="Times New Roman" w:hAnsi="Times New Roman"/>
          <w:sz w:val="22"/>
          <w:szCs w:val="22"/>
          <w:u w:val="single"/>
        </w:rPr>
        <w:t xml:space="preserve">                 </w:t>
      </w:r>
    </w:p>
    <w:p w14:paraId="11A351A3">
      <w:pPr>
        <w:spacing w:line="360" w:lineRule="auto"/>
        <w:ind w:left="3360" w:leftChars="1600"/>
        <w:rPr>
          <w:rFonts w:ascii="Times New Roman" w:hAnsi="Times New Roman"/>
          <w:sz w:val="22"/>
          <w:szCs w:val="22"/>
          <w:u w:val="single"/>
        </w:rPr>
      </w:pPr>
      <w:r>
        <w:rPr>
          <w:rFonts w:ascii="Times New Roman" w:hAnsi="Times New Roman"/>
          <w:sz w:val="22"/>
          <w:szCs w:val="22"/>
        </w:rPr>
        <w:t>身份证号码：</w:t>
      </w:r>
      <w:r>
        <w:rPr>
          <w:rFonts w:ascii="Times New Roman" w:hAnsi="Times New Roman"/>
          <w:sz w:val="22"/>
          <w:szCs w:val="22"/>
          <w:u w:val="single"/>
        </w:rPr>
        <w:t xml:space="preserve">                       </w:t>
      </w:r>
      <w:r>
        <w:rPr>
          <w:rFonts w:ascii="Times New Roman" w:hAnsi="Times New Roman"/>
          <w:sz w:val="22"/>
          <w:szCs w:val="22"/>
        </w:rPr>
        <w:t>职务：</w:t>
      </w:r>
      <w:r>
        <w:rPr>
          <w:rFonts w:ascii="Times New Roman" w:hAnsi="Times New Roman"/>
          <w:sz w:val="22"/>
          <w:szCs w:val="22"/>
          <w:u w:val="single"/>
        </w:rPr>
        <w:t xml:space="preserve">      </w:t>
      </w:r>
    </w:p>
    <w:p w14:paraId="0725CFF4">
      <w:pPr>
        <w:spacing w:line="360" w:lineRule="auto"/>
        <w:ind w:left="3360" w:leftChars="1600"/>
        <w:rPr>
          <w:rFonts w:ascii="Times New Roman" w:hAnsi="Times New Roman"/>
          <w:sz w:val="22"/>
          <w:szCs w:val="22"/>
        </w:rPr>
      </w:pPr>
      <w:r>
        <w:rPr>
          <w:rFonts w:ascii="Times New Roman" w:hAnsi="Times New Roman"/>
          <w:sz w:val="22"/>
          <w:szCs w:val="22"/>
        </w:rPr>
        <w:t>投标人（投标单位）：</w:t>
      </w:r>
      <w:r>
        <w:rPr>
          <w:rFonts w:ascii="Times New Roman" w:hAnsi="Times New Roman"/>
          <w:sz w:val="22"/>
          <w:szCs w:val="22"/>
          <w:u w:val="single"/>
        </w:rPr>
        <w:t xml:space="preserve">                            </w:t>
      </w:r>
    </w:p>
    <w:p w14:paraId="445B9883">
      <w:pPr>
        <w:spacing w:line="360" w:lineRule="auto"/>
        <w:ind w:left="3360" w:leftChars="1600"/>
        <w:rPr>
          <w:rFonts w:ascii="Times New Roman" w:hAnsi="Times New Roman"/>
          <w:sz w:val="22"/>
          <w:szCs w:val="22"/>
        </w:rPr>
      </w:pPr>
      <w:r>
        <w:rPr>
          <w:rFonts w:ascii="Times New Roman" w:hAnsi="Times New Roman"/>
          <w:sz w:val="22"/>
          <w:szCs w:val="22"/>
        </w:rPr>
        <w:t>授权委托日期：</w:t>
      </w:r>
      <w:r>
        <w:rPr>
          <w:rFonts w:ascii="Times New Roman" w:hAnsi="Times New Roman"/>
          <w:sz w:val="22"/>
          <w:szCs w:val="22"/>
          <w:u w:val="single"/>
        </w:rPr>
        <w:t xml:space="preserve">         </w:t>
      </w:r>
      <w:r>
        <w:rPr>
          <w:rFonts w:ascii="Times New Roman" w:hAnsi="Times New Roman"/>
          <w:sz w:val="22"/>
          <w:szCs w:val="22"/>
        </w:rPr>
        <w:t>年</w:t>
      </w:r>
      <w:r>
        <w:rPr>
          <w:rFonts w:ascii="Times New Roman" w:hAnsi="Times New Roman"/>
          <w:sz w:val="22"/>
          <w:szCs w:val="22"/>
          <w:u w:val="single"/>
        </w:rPr>
        <w:t xml:space="preserve">      </w:t>
      </w:r>
      <w:r>
        <w:rPr>
          <w:rFonts w:ascii="Times New Roman" w:hAnsi="Times New Roman"/>
          <w:sz w:val="22"/>
          <w:szCs w:val="22"/>
        </w:rPr>
        <w:t xml:space="preserve">月 </w:t>
      </w:r>
      <w:r>
        <w:rPr>
          <w:rFonts w:ascii="Times New Roman" w:hAnsi="Times New Roman"/>
          <w:sz w:val="22"/>
          <w:szCs w:val="22"/>
          <w:u w:val="single"/>
        </w:rPr>
        <w:t xml:space="preserve">      </w:t>
      </w:r>
      <w:r>
        <w:rPr>
          <w:rFonts w:ascii="Times New Roman" w:hAnsi="Times New Roman"/>
          <w:sz w:val="22"/>
          <w:szCs w:val="22"/>
        </w:rPr>
        <w:t>日</w:t>
      </w:r>
    </w:p>
    <w:p w14:paraId="541D46FB">
      <w:pPr>
        <w:spacing w:line="500" w:lineRule="exact"/>
        <w:ind w:firstLine="440" w:firstLineChars="200"/>
        <w:rPr>
          <w:rFonts w:ascii="Times New Roman" w:hAnsi="Times New Roman"/>
          <w:sz w:val="22"/>
          <w:szCs w:val="22"/>
        </w:rPr>
      </w:pPr>
    </w:p>
    <w:p w14:paraId="5E138188">
      <w:pPr>
        <w:spacing w:line="360" w:lineRule="exact"/>
        <w:rPr>
          <w:rFonts w:ascii="Times New Roman" w:hAnsi="Times New Roman"/>
          <w:b/>
          <w:sz w:val="22"/>
          <w:szCs w:val="22"/>
        </w:rPr>
      </w:pPr>
      <w:r>
        <w:rPr>
          <w:rFonts w:ascii="Times New Roman" w:hAnsi="Times New Roman"/>
          <w:b/>
          <w:sz w:val="22"/>
          <w:szCs w:val="22"/>
        </w:rPr>
        <w:t>必须提供代理人有效期内身份证的正反面扫描件（港澳台居民可提供往来通行证），非中国国籍管辖范围的，可提供公安部门认可的身份证明材料，否则将导致投标无效。</w:t>
      </w:r>
    </w:p>
    <w:p w14:paraId="099D78E6">
      <w:pPr>
        <w:spacing w:line="360" w:lineRule="exact"/>
        <w:rPr>
          <w:rFonts w:ascii="Times New Roman" w:hAnsi="Times New Roman"/>
          <w:b/>
          <w:sz w:val="22"/>
          <w:szCs w:val="22"/>
        </w:rPr>
      </w:pPr>
    </w:p>
    <w:p w14:paraId="4A0216D5">
      <w:pPr>
        <w:tabs>
          <w:tab w:val="left" w:pos="651"/>
        </w:tabs>
        <w:snapToGrid w:val="0"/>
        <w:spacing w:line="360" w:lineRule="exact"/>
        <w:rPr>
          <w:rFonts w:ascii="Times New Roman" w:hAnsi="Times New Roman"/>
          <w:sz w:val="22"/>
          <w:szCs w:val="22"/>
        </w:rPr>
      </w:pPr>
      <w:r>
        <w:rPr>
          <w:rFonts w:ascii="Times New Roman" w:hAnsi="Times New Roman"/>
          <w:sz w:val="22"/>
          <w:szCs w:val="22"/>
        </w:rPr>
        <w:t>备注：</w:t>
      </w:r>
    </w:p>
    <w:p w14:paraId="28196560">
      <w:pPr>
        <w:tabs>
          <w:tab w:val="left" w:pos="651"/>
        </w:tabs>
        <w:snapToGrid w:val="0"/>
        <w:spacing w:line="360" w:lineRule="exact"/>
        <w:rPr>
          <w:rFonts w:ascii="Times New Roman" w:hAnsi="Times New Roman"/>
          <w:sz w:val="22"/>
          <w:szCs w:val="22"/>
        </w:rPr>
      </w:pPr>
      <w:r>
        <w:rPr>
          <w:rFonts w:ascii="Times New Roman" w:hAnsi="Times New Roman"/>
          <w:sz w:val="22"/>
          <w:szCs w:val="22"/>
        </w:rPr>
        <w:t>1、本项目投标授权代表为法定代表人（负责人）的，无需提供《法定代表人（负责人）授权书》。</w:t>
      </w:r>
    </w:p>
    <w:p w14:paraId="76020E1D">
      <w:pPr>
        <w:tabs>
          <w:tab w:val="left" w:pos="651"/>
        </w:tabs>
        <w:snapToGrid w:val="0"/>
        <w:spacing w:line="360" w:lineRule="exact"/>
        <w:rPr>
          <w:rFonts w:ascii="Times New Roman" w:hAnsi="Times New Roman"/>
          <w:sz w:val="22"/>
          <w:szCs w:val="22"/>
        </w:rPr>
      </w:pPr>
      <w:r>
        <w:rPr>
          <w:rFonts w:ascii="Times New Roman" w:hAnsi="Times New Roman"/>
          <w:sz w:val="22"/>
          <w:szCs w:val="22"/>
        </w:rPr>
        <w:t>2、投标授权代表须为投标供应商在职人员（在职期限应包括开标当日），且仅代表本投标供应商进行投标。投标文件中无需提供证明材料，采购人和招标机构保留对投标授权代表社保情况、劳动合同等进行调查核实的权利。如发现投标授权代表非投标人在职人员，视同提供虚假资料，按投标无效处理，并将依法承担相应法律责任。</w:t>
      </w:r>
    </w:p>
    <w:p w14:paraId="7CBDFAE0">
      <w:pPr>
        <w:tabs>
          <w:tab w:val="left" w:pos="651"/>
        </w:tabs>
        <w:snapToGrid w:val="0"/>
        <w:spacing w:line="360" w:lineRule="exact"/>
        <w:rPr>
          <w:rFonts w:ascii="Times New Roman" w:hAnsi="Times New Roman"/>
          <w:b/>
          <w:bCs/>
          <w:sz w:val="22"/>
          <w:szCs w:val="22"/>
        </w:rPr>
      </w:pPr>
      <w:r>
        <w:rPr>
          <w:rFonts w:hint="eastAsia" w:ascii="Times New Roman" w:hAnsi="Times New Roman"/>
          <w:b/>
          <w:bCs/>
          <w:sz w:val="22"/>
          <w:szCs w:val="22"/>
        </w:rPr>
        <w:t>温馨提示：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1DBE015F">
      <w:pPr>
        <w:pStyle w:val="3"/>
        <w:rPr>
          <w:rFonts w:cs="宋体"/>
          <w:sz w:val="32"/>
          <w:szCs w:val="32"/>
        </w:rPr>
      </w:pPr>
      <w:r>
        <w:rPr>
          <w:rFonts w:hint="eastAsia" w:cs="宋体"/>
          <w:bCs/>
          <w:sz w:val="22"/>
        </w:rPr>
        <w:br w:type="page"/>
      </w:r>
      <w:r>
        <w:rPr>
          <w:rFonts w:hint="eastAsia" w:cs="宋体"/>
          <w:sz w:val="32"/>
          <w:szCs w:val="32"/>
        </w:rPr>
        <w:t>附件2、投标文件</w:t>
      </w:r>
    </w:p>
    <w:p w14:paraId="0CF85788">
      <w:pPr>
        <w:ind w:left="907" w:leftChars="432" w:firstLine="990" w:firstLineChars="450"/>
        <w:rPr>
          <w:rFonts w:ascii="宋体" w:hAnsi="宋体" w:cs="宋体"/>
          <w:bCs/>
          <w:sz w:val="22"/>
        </w:rPr>
      </w:pPr>
    </w:p>
    <w:p w14:paraId="1C6FF40E">
      <w:pPr>
        <w:ind w:left="907" w:leftChars="432" w:firstLine="990" w:firstLineChars="450"/>
        <w:rPr>
          <w:rFonts w:ascii="宋体" w:hAnsi="宋体" w:cs="宋体"/>
          <w:bCs/>
          <w:sz w:val="22"/>
        </w:rPr>
      </w:pPr>
    </w:p>
    <w:p w14:paraId="33DD2ACC">
      <w:pPr>
        <w:ind w:left="907" w:leftChars="432" w:firstLine="990" w:firstLineChars="450"/>
        <w:rPr>
          <w:rFonts w:ascii="宋体" w:hAnsi="宋体" w:cs="宋体"/>
          <w:bCs/>
          <w:sz w:val="22"/>
        </w:rPr>
      </w:pPr>
    </w:p>
    <w:p w14:paraId="1F402E18">
      <w:pPr>
        <w:ind w:left="907" w:leftChars="432" w:firstLine="990" w:firstLineChars="450"/>
        <w:rPr>
          <w:rFonts w:ascii="宋体" w:hAnsi="宋体" w:cs="宋体"/>
          <w:bCs/>
          <w:sz w:val="22"/>
        </w:rPr>
      </w:pPr>
    </w:p>
    <w:p w14:paraId="771BF2AD">
      <w:pPr>
        <w:ind w:left="907" w:leftChars="432" w:firstLine="990" w:firstLineChars="450"/>
        <w:rPr>
          <w:rFonts w:ascii="宋体" w:hAnsi="宋体" w:cs="宋体"/>
          <w:bCs/>
          <w:sz w:val="22"/>
        </w:rPr>
      </w:pPr>
    </w:p>
    <w:p w14:paraId="7105A30B">
      <w:pPr>
        <w:ind w:left="907" w:leftChars="432" w:firstLine="990" w:firstLineChars="450"/>
        <w:rPr>
          <w:rFonts w:ascii="宋体" w:hAnsi="宋体" w:cs="宋体"/>
          <w:bCs/>
          <w:sz w:val="22"/>
        </w:rPr>
      </w:pPr>
    </w:p>
    <w:p w14:paraId="24C25E08">
      <w:pPr>
        <w:jc w:val="center"/>
        <w:rPr>
          <w:rFonts w:hint="eastAsia" w:ascii="宋体" w:hAnsi="宋体" w:eastAsia="宋体" w:cs="宋体"/>
          <w:snapToGrid w:val="0"/>
          <w:kern w:val="0"/>
          <w:sz w:val="48"/>
          <w:szCs w:val="48"/>
          <w:lang w:eastAsia="zh-CN"/>
        </w:rPr>
      </w:pPr>
      <w:r>
        <w:rPr>
          <w:rFonts w:hint="eastAsia" w:ascii="宋体" w:hAnsi="宋体" w:cs="宋体"/>
          <w:sz w:val="40"/>
          <w:szCs w:val="40"/>
          <w:lang w:eastAsia="zh-CN"/>
        </w:rPr>
        <w:t>深圳市文化广电旅游体育2024年度局属各单位运营情况、年度经营情况及合法合规性审计工作服务项目</w:t>
      </w:r>
    </w:p>
    <w:p w14:paraId="5608AFA4">
      <w:pPr>
        <w:jc w:val="center"/>
        <w:rPr>
          <w:rFonts w:ascii="宋体" w:hAnsi="宋体" w:cs="宋体"/>
          <w:sz w:val="44"/>
          <w:szCs w:val="44"/>
        </w:rPr>
      </w:pPr>
      <w:r>
        <w:rPr>
          <w:rFonts w:hint="eastAsia" w:ascii="宋体" w:hAnsi="宋体" w:cs="宋体"/>
          <w:sz w:val="44"/>
          <w:szCs w:val="44"/>
        </w:rPr>
        <w:t>（投标文件）</w:t>
      </w:r>
    </w:p>
    <w:p w14:paraId="51FCE148">
      <w:pPr>
        <w:jc w:val="center"/>
        <w:rPr>
          <w:rFonts w:ascii="宋体" w:hAnsi="宋体" w:cs="宋体"/>
          <w:sz w:val="44"/>
          <w:szCs w:val="44"/>
        </w:rPr>
      </w:pPr>
    </w:p>
    <w:p w14:paraId="581F26AB">
      <w:pPr>
        <w:jc w:val="center"/>
        <w:rPr>
          <w:rFonts w:ascii="宋体" w:hAnsi="宋体" w:cs="宋体"/>
          <w:sz w:val="44"/>
          <w:szCs w:val="44"/>
        </w:rPr>
      </w:pPr>
    </w:p>
    <w:p w14:paraId="7AB79426">
      <w:pPr>
        <w:jc w:val="center"/>
        <w:rPr>
          <w:rFonts w:ascii="宋体" w:hAnsi="宋体" w:cs="宋体"/>
          <w:sz w:val="44"/>
          <w:szCs w:val="44"/>
        </w:rPr>
      </w:pPr>
    </w:p>
    <w:p w14:paraId="5F773D67">
      <w:pPr>
        <w:jc w:val="center"/>
        <w:rPr>
          <w:rFonts w:ascii="宋体" w:hAnsi="宋体" w:cs="宋体"/>
          <w:sz w:val="44"/>
          <w:szCs w:val="44"/>
        </w:rPr>
      </w:pPr>
    </w:p>
    <w:p w14:paraId="6CC6CA3E">
      <w:pPr>
        <w:rPr>
          <w:rFonts w:ascii="宋体" w:hAnsi="宋体" w:cs="宋体"/>
          <w:sz w:val="44"/>
          <w:szCs w:val="44"/>
        </w:rPr>
      </w:pPr>
    </w:p>
    <w:p w14:paraId="09A75E98">
      <w:pPr>
        <w:spacing w:line="480" w:lineRule="auto"/>
        <w:ind w:firstLine="1400" w:firstLineChars="500"/>
        <w:rPr>
          <w:rFonts w:ascii="宋体" w:hAnsi="宋体" w:cs="宋体"/>
          <w:sz w:val="28"/>
          <w:szCs w:val="28"/>
          <w:u w:val="single"/>
        </w:rPr>
      </w:pPr>
      <w:r>
        <w:rPr>
          <w:rFonts w:hint="eastAsia" w:ascii="宋体" w:hAnsi="宋体" w:cs="宋体"/>
          <w:sz w:val="28"/>
          <w:szCs w:val="28"/>
        </w:rPr>
        <w:t>项目编号：_____________________________</w:t>
      </w:r>
    </w:p>
    <w:p w14:paraId="6AAE1438">
      <w:pPr>
        <w:spacing w:line="480" w:lineRule="auto"/>
        <w:ind w:firstLine="1400" w:firstLineChars="500"/>
        <w:rPr>
          <w:rFonts w:ascii="宋体" w:hAnsi="宋体" w:cs="宋体"/>
          <w:sz w:val="28"/>
          <w:szCs w:val="28"/>
          <w:u w:val="single"/>
        </w:rPr>
      </w:pPr>
      <w:r>
        <w:rPr>
          <w:rFonts w:hint="eastAsia" w:ascii="宋体" w:hAnsi="宋体" w:cs="宋体"/>
          <w:sz w:val="28"/>
          <w:szCs w:val="28"/>
        </w:rPr>
        <w:t>供应商（盖章）：___________________________</w:t>
      </w:r>
    </w:p>
    <w:p w14:paraId="132E3345">
      <w:pPr>
        <w:spacing w:line="480" w:lineRule="auto"/>
        <w:ind w:firstLine="1400" w:firstLineChars="500"/>
        <w:rPr>
          <w:rFonts w:ascii="宋体" w:hAnsi="宋体" w:cs="宋体"/>
          <w:sz w:val="28"/>
          <w:szCs w:val="28"/>
        </w:rPr>
      </w:pPr>
      <w:r>
        <w:rPr>
          <w:rFonts w:hint="eastAsia" w:ascii="宋体" w:hAnsi="宋体" w:cs="宋体"/>
          <w:sz w:val="28"/>
          <w:szCs w:val="28"/>
        </w:rPr>
        <w:t>法定代表人或授权委托人签字：__________________</w:t>
      </w:r>
    </w:p>
    <w:p w14:paraId="0F76B07B">
      <w:pPr>
        <w:ind w:firstLine="1400" w:firstLineChars="500"/>
        <w:jc w:val="left"/>
        <w:rPr>
          <w:rFonts w:ascii="宋体" w:hAnsi="宋体" w:cs="宋体"/>
          <w:sz w:val="28"/>
          <w:szCs w:val="28"/>
        </w:rPr>
      </w:pPr>
      <w:r>
        <w:rPr>
          <w:rFonts w:hint="eastAsia" w:ascii="宋体" w:hAnsi="宋体" w:cs="宋体"/>
          <w:sz w:val="28"/>
          <w:szCs w:val="28"/>
        </w:rPr>
        <w:t>投标日期：____________年_____月______日</w:t>
      </w:r>
    </w:p>
    <w:p w14:paraId="13CC28DB">
      <w:pPr>
        <w:pStyle w:val="24"/>
        <w:ind w:firstLine="560"/>
        <w:rPr>
          <w:rFonts w:ascii="宋体" w:hAnsi="宋体" w:cs="宋体"/>
          <w:sz w:val="28"/>
          <w:szCs w:val="28"/>
        </w:rPr>
      </w:pPr>
    </w:p>
    <w:p w14:paraId="2C88C587">
      <w:pPr>
        <w:pStyle w:val="24"/>
        <w:ind w:firstLine="560"/>
        <w:rPr>
          <w:rFonts w:ascii="宋体" w:hAnsi="宋体" w:cs="宋体"/>
          <w:sz w:val="28"/>
          <w:szCs w:val="28"/>
        </w:rPr>
      </w:pPr>
    </w:p>
    <w:p w14:paraId="1439A36C">
      <w:pPr>
        <w:pStyle w:val="24"/>
        <w:ind w:firstLine="560"/>
        <w:rPr>
          <w:rFonts w:ascii="宋体" w:hAnsi="宋体" w:cs="宋体"/>
          <w:sz w:val="28"/>
          <w:szCs w:val="28"/>
        </w:rPr>
      </w:pPr>
    </w:p>
    <w:p w14:paraId="5D45038F">
      <w:pPr>
        <w:pStyle w:val="24"/>
        <w:ind w:firstLine="560"/>
        <w:rPr>
          <w:rFonts w:ascii="宋体" w:hAnsi="宋体" w:cs="宋体"/>
          <w:sz w:val="28"/>
          <w:szCs w:val="28"/>
        </w:rPr>
      </w:pPr>
    </w:p>
    <w:p w14:paraId="33999502">
      <w:pPr>
        <w:pStyle w:val="24"/>
        <w:ind w:firstLine="560"/>
        <w:rPr>
          <w:rFonts w:ascii="宋体" w:hAnsi="宋体" w:cs="宋体"/>
          <w:sz w:val="28"/>
          <w:szCs w:val="28"/>
        </w:rPr>
      </w:pPr>
    </w:p>
    <w:p w14:paraId="3D6BD29C">
      <w:pPr>
        <w:jc w:val="center"/>
        <w:rPr>
          <w:rFonts w:ascii="宋体" w:hAnsi="宋体" w:cs="宋体"/>
          <w:b/>
          <w:bCs/>
          <w:sz w:val="32"/>
          <w:szCs w:val="32"/>
        </w:rPr>
      </w:pPr>
    </w:p>
    <w:p w14:paraId="7D4CB0A7">
      <w:pPr>
        <w:rPr>
          <w:rFonts w:ascii="宋体" w:hAnsi="宋体" w:cs="宋体"/>
          <w:b/>
          <w:bCs/>
          <w:sz w:val="32"/>
          <w:szCs w:val="32"/>
        </w:rPr>
      </w:pPr>
      <w:r>
        <w:rPr>
          <w:rFonts w:hint="eastAsia" w:ascii="宋体" w:hAnsi="宋体" w:cs="宋体"/>
          <w:b/>
          <w:bCs/>
          <w:sz w:val="32"/>
          <w:szCs w:val="32"/>
        </w:rPr>
        <w:br w:type="page"/>
      </w:r>
    </w:p>
    <w:p w14:paraId="45F0DC36">
      <w:pPr>
        <w:jc w:val="center"/>
        <w:rPr>
          <w:rFonts w:ascii="宋体" w:hAnsi="宋体" w:cs="宋体"/>
          <w:bCs/>
          <w:sz w:val="22"/>
        </w:rPr>
      </w:pPr>
      <w:r>
        <w:rPr>
          <w:rFonts w:hint="eastAsia" w:ascii="宋体" w:hAnsi="宋体" w:cs="宋体"/>
          <w:b/>
          <w:bCs/>
          <w:sz w:val="32"/>
          <w:szCs w:val="32"/>
        </w:rPr>
        <w:t>投标文件目录</w:t>
      </w:r>
    </w:p>
    <w:p w14:paraId="7454A07E">
      <w:pPr>
        <w:ind w:firstLine="1100" w:firstLineChars="500"/>
        <w:jc w:val="left"/>
        <w:rPr>
          <w:rFonts w:ascii="宋体" w:hAnsi="宋体" w:cs="宋体"/>
          <w:bCs/>
          <w:sz w:val="22"/>
        </w:rPr>
      </w:pPr>
    </w:p>
    <w:p w14:paraId="39286216">
      <w:pPr>
        <w:numPr>
          <w:ilvl w:val="0"/>
          <w:numId w:val="7"/>
        </w:numPr>
        <w:spacing w:line="360" w:lineRule="auto"/>
        <w:rPr>
          <w:rFonts w:ascii="宋体" w:hAnsi="宋体" w:cs="宋体"/>
          <w:sz w:val="22"/>
          <w:szCs w:val="22"/>
        </w:rPr>
      </w:pPr>
      <w:r>
        <w:rPr>
          <w:rFonts w:hint="eastAsia" w:ascii="宋体" w:hAnsi="宋体" w:cs="宋体"/>
          <w:sz w:val="22"/>
          <w:szCs w:val="22"/>
        </w:rPr>
        <w:t>评标指引表</w:t>
      </w:r>
    </w:p>
    <w:p w14:paraId="404AAF98">
      <w:pPr>
        <w:numPr>
          <w:ilvl w:val="0"/>
          <w:numId w:val="7"/>
        </w:numPr>
        <w:spacing w:line="360" w:lineRule="auto"/>
        <w:rPr>
          <w:rFonts w:ascii="宋体" w:hAnsi="宋体" w:cs="宋体"/>
          <w:sz w:val="22"/>
          <w:szCs w:val="22"/>
        </w:rPr>
      </w:pPr>
      <w:r>
        <w:rPr>
          <w:rFonts w:hint="eastAsia" w:ascii="宋体" w:hAnsi="宋体" w:cs="宋体"/>
          <w:sz w:val="22"/>
          <w:szCs w:val="22"/>
        </w:rPr>
        <w:t>投标函</w:t>
      </w:r>
    </w:p>
    <w:p w14:paraId="7BAAD903">
      <w:pPr>
        <w:numPr>
          <w:ilvl w:val="0"/>
          <w:numId w:val="7"/>
        </w:numPr>
        <w:spacing w:line="360" w:lineRule="auto"/>
        <w:rPr>
          <w:rFonts w:ascii="宋体" w:hAnsi="宋体" w:cs="宋体"/>
          <w:sz w:val="22"/>
          <w:szCs w:val="22"/>
        </w:rPr>
      </w:pPr>
      <w:r>
        <w:rPr>
          <w:rFonts w:hint="eastAsia" w:ascii="宋体" w:hAnsi="宋体" w:cs="宋体"/>
          <w:sz w:val="22"/>
          <w:szCs w:val="22"/>
        </w:rPr>
        <w:t>政府采购投标及履约承诺函</w:t>
      </w:r>
    </w:p>
    <w:p w14:paraId="6957883B">
      <w:pPr>
        <w:numPr>
          <w:ilvl w:val="0"/>
          <w:numId w:val="7"/>
        </w:numPr>
        <w:spacing w:line="360" w:lineRule="auto"/>
      </w:pPr>
      <w:r>
        <w:rPr>
          <w:rFonts w:hint="eastAsia" w:ascii="宋体" w:hAnsi="宋体" w:cs="宋体"/>
          <w:sz w:val="22"/>
          <w:szCs w:val="22"/>
        </w:rPr>
        <w:t>诚信承诺函</w:t>
      </w:r>
    </w:p>
    <w:p w14:paraId="523311D0">
      <w:pPr>
        <w:numPr>
          <w:ilvl w:val="0"/>
          <w:numId w:val="7"/>
        </w:numPr>
        <w:spacing w:line="360" w:lineRule="auto"/>
      </w:pPr>
      <w:r>
        <w:rPr>
          <w:rFonts w:hint="eastAsia" w:ascii="宋体" w:hAnsi="宋体" w:cs="宋体"/>
          <w:sz w:val="22"/>
        </w:rPr>
        <w:t>政府采购违法行为风险知悉确认书</w:t>
      </w:r>
    </w:p>
    <w:p w14:paraId="06B3F75B">
      <w:pPr>
        <w:numPr>
          <w:ilvl w:val="0"/>
          <w:numId w:val="7"/>
        </w:numPr>
        <w:spacing w:line="360" w:lineRule="auto"/>
        <w:rPr>
          <w:rFonts w:ascii="宋体" w:hAnsi="宋体" w:cs="宋体"/>
          <w:sz w:val="22"/>
          <w:szCs w:val="22"/>
        </w:rPr>
      </w:pPr>
      <w:r>
        <w:rPr>
          <w:rFonts w:hint="eastAsia" w:ascii="宋体" w:hAnsi="宋体" w:cs="宋体"/>
          <w:sz w:val="22"/>
          <w:szCs w:val="22"/>
        </w:rPr>
        <w:t>法定代表人证明书</w:t>
      </w:r>
    </w:p>
    <w:p w14:paraId="6AEFFF5E">
      <w:pPr>
        <w:numPr>
          <w:ilvl w:val="0"/>
          <w:numId w:val="7"/>
        </w:numPr>
        <w:spacing w:line="360" w:lineRule="auto"/>
        <w:rPr>
          <w:rFonts w:ascii="宋体" w:hAnsi="宋体" w:cs="宋体"/>
          <w:sz w:val="22"/>
          <w:szCs w:val="22"/>
        </w:rPr>
      </w:pPr>
      <w:r>
        <w:rPr>
          <w:rFonts w:hint="eastAsia" w:ascii="宋体" w:hAnsi="宋体" w:cs="宋体"/>
          <w:sz w:val="22"/>
          <w:szCs w:val="22"/>
        </w:rPr>
        <w:t>法定代表人授权书</w:t>
      </w:r>
    </w:p>
    <w:p w14:paraId="6DF83BC4">
      <w:pPr>
        <w:numPr>
          <w:ilvl w:val="0"/>
          <w:numId w:val="7"/>
        </w:numPr>
        <w:spacing w:line="360" w:lineRule="auto"/>
        <w:rPr>
          <w:rFonts w:ascii="宋体" w:hAnsi="宋体" w:cs="宋体"/>
          <w:sz w:val="22"/>
          <w:szCs w:val="22"/>
        </w:rPr>
      </w:pPr>
      <w:r>
        <w:rPr>
          <w:rFonts w:hint="eastAsia" w:ascii="宋体" w:hAnsi="宋体" w:cs="宋体"/>
          <w:sz w:val="22"/>
          <w:szCs w:val="22"/>
        </w:rPr>
        <w:t>招标代理服务费承诺函</w:t>
      </w:r>
    </w:p>
    <w:p w14:paraId="1FD337BB">
      <w:pPr>
        <w:numPr>
          <w:ilvl w:val="0"/>
          <w:numId w:val="7"/>
        </w:numPr>
        <w:spacing w:line="360" w:lineRule="auto"/>
        <w:rPr>
          <w:rFonts w:ascii="宋体" w:hAnsi="宋体" w:cs="宋体"/>
          <w:sz w:val="22"/>
          <w:szCs w:val="22"/>
        </w:rPr>
      </w:pPr>
      <w:r>
        <w:rPr>
          <w:rFonts w:hint="eastAsia" w:ascii="宋体" w:hAnsi="宋体" w:cs="宋体"/>
          <w:sz w:val="22"/>
          <w:szCs w:val="22"/>
        </w:rPr>
        <w:t>报价清单表</w:t>
      </w:r>
    </w:p>
    <w:p w14:paraId="44A41EED">
      <w:pPr>
        <w:numPr>
          <w:ilvl w:val="0"/>
          <w:numId w:val="7"/>
        </w:numPr>
        <w:spacing w:line="360" w:lineRule="auto"/>
        <w:rPr>
          <w:rFonts w:ascii="宋体" w:hAnsi="宋体" w:cs="宋体"/>
          <w:sz w:val="22"/>
          <w:szCs w:val="22"/>
        </w:rPr>
      </w:pPr>
      <w:r>
        <w:rPr>
          <w:rFonts w:hint="eastAsia" w:ascii="宋体" w:hAnsi="宋体" w:cs="宋体"/>
          <w:sz w:val="22"/>
          <w:szCs w:val="22"/>
        </w:rPr>
        <w:t>供应商情况介绍</w:t>
      </w:r>
    </w:p>
    <w:p w14:paraId="6A5D473E">
      <w:pPr>
        <w:numPr>
          <w:ilvl w:val="0"/>
          <w:numId w:val="7"/>
        </w:numPr>
        <w:spacing w:line="360" w:lineRule="auto"/>
        <w:rPr>
          <w:rFonts w:ascii="宋体" w:hAnsi="宋体" w:cs="宋体"/>
          <w:sz w:val="22"/>
          <w:szCs w:val="22"/>
        </w:rPr>
      </w:pPr>
      <w:r>
        <w:rPr>
          <w:rFonts w:hint="eastAsia" w:ascii="宋体" w:hAnsi="宋体" w:cs="宋体"/>
          <w:sz w:val="22"/>
          <w:szCs w:val="22"/>
        </w:rPr>
        <w:t>项目主要管理及技术人员情况</w:t>
      </w:r>
    </w:p>
    <w:p w14:paraId="25DA041C">
      <w:pPr>
        <w:numPr>
          <w:ilvl w:val="0"/>
          <w:numId w:val="7"/>
        </w:numPr>
        <w:spacing w:line="360" w:lineRule="auto"/>
        <w:rPr>
          <w:rFonts w:ascii="宋体" w:hAnsi="宋体" w:cs="宋体"/>
          <w:sz w:val="22"/>
          <w:szCs w:val="22"/>
        </w:rPr>
      </w:pPr>
      <w:r>
        <w:rPr>
          <w:rFonts w:hint="eastAsia" w:ascii="宋体" w:hAnsi="宋体" w:cs="宋体"/>
          <w:sz w:val="22"/>
          <w:szCs w:val="22"/>
        </w:rPr>
        <w:t>项目具体方案</w:t>
      </w:r>
    </w:p>
    <w:p w14:paraId="540097F0">
      <w:pPr>
        <w:numPr>
          <w:ilvl w:val="0"/>
          <w:numId w:val="7"/>
        </w:numPr>
        <w:spacing w:line="360" w:lineRule="auto"/>
        <w:rPr>
          <w:rFonts w:ascii="宋体" w:hAnsi="宋体" w:cs="宋体"/>
          <w:sz w:val="22"/>
          <w:szCs w:val="22"/>
        </w:rPr>
      </w:pPr>
      <w:r>
        <w:rPr>
          <w:rFonts w:hint="eastAsia" w:ascii="宋体" w:hAnsi="宋体" w:cs="宋体"/>
          <w:sz w:val="22"/>
          <w:szCs w:val="22"/>
        </w:rPr>
        <w:t>商务条款偏离表</w:t>
      </w:r>
    </w:p>
    <w:p w14:paraId="5F608F5E">
      <w:pPr>
        <w:numPr>
          <w:ilvl w:val="0"/>
          <w:numId w:val="7"/>
        </w:numPr>
        <w:spacing w:line="360" w:lineRule="auto"/>
        <w:rPr>
          <w:rFonts w:ascii="宋体" w:hAnsi="宋体" w:cs="宋体"/>
          <w:sz w:val="22"/>
          <w:szCs w:val="22"/>
        </w:rPr>
      </w:pPr>
      <w:r>
        <w:rPr>
          <w:rFonts w:hint="eastAsia" w:ascii="宋体" w:hAnsi="宋体" w:cs="宋体"/>
          <w:sz w:val="22"/>
          <w:szCs w:val="22"/>
        </w:rPr>
        <w:t>服务条款偏离表</w:t>
      </w:r>
    </w:p>
    <w:p w14:paraId="5C030E0F">
      <w:pPr>
        <w:numPr>
          <w:ilvl w:val="0"/>
          <w:numId w:val="7"/>
        </w:numPr>
        <w:spacing w:line="360" w:lineRule="auto"/>
        <w:rPr>
          <w:rFonts w:ascii="宋体" w:hAnsi="宋体" w:cs="宋体"/>
          <w:sz w:val="22"/>
          <w:szCs w:val="22"/>
        </w:rPr>
      </w:pPr>
      <w:r>
        <w:rPr>
          <w:rFonts w:hint="eastAsia" w:ascii="宋体" w:hAnsi="宋体" w:cs="宋体"/>
          <w:sz w:val="22"/>
          <w:szCs w:val="22"/>
        </w:rPr>
        <w:t>实质性条款响应情况表</w:t>
      </w:r>
    </w:p>
    <w:p w14:paraId="0A6689ED">
      <w:pPr>
        <w:numPr>
          <w:ilvl w:val="0"/>
          <w:numId w:val="7"/>
        </w:numPr>
        <w:spacing w:line="360" w:lineRule="auto"/>
        <w:rPr>
          <w:rFonts w:ascii="宋体" w:hAnsi="宋体" w:cs="宋体"/>
          <w:sz w:val="22"/>
          <w:szCs w:val="22"/>
        </w:rPr>
      </w:pPr>
      <w:r>
        <w:rPr>
          <w:rFonts w:hint="eastAsia" w:ascii="宋体" w:hAnsi="宋体" w:cs="宋体"/>
          <w:sz w:val="22"/>
          <w:szCs w:val="22"/>
        </w:rPr>
        <w:t>中小企业、残疾人福利性单位和监狱企业政策导向</w:t>
      </w:r>
    </w:p>
    <w:p w14:paraId="0FA4FA9F">
      <w:pPr>
        <w:numPr>
          <w:ilvl w:val="0"/>
          <w:numId w:val="7"/>
        </w:numPr>
        <w:spacing w:line="360" w:lineRule="auto"/>
        <w:rPr>
          <w:rFonts w:ascii="宋体" w:hAnsi="宋体" w:cs="宋体"/>
          <w:sz w:val="22"/>
          <w:szCs w:val="22"/>
        </w:rPr>
      </w:pPr>
      <w:r>
        <w:rPr>
          <w:rFonts w:hint="eastAsia" w:ascii="宋体" w:hAnsi="宋体" w:cs="宋体"/>
          <w:sz w:val="22"/>
          <w:szCs w:val="22"/>
        </w:rPr>
        <w:t>招标文件要求的其他内容及投标人认为需要加以说明的其他内容</w:t>
      </w:r>
    </w:p>
    <w:p w14:paraId="37F4EB53">
      <w:pPr>
        <w:jc w:val="center"/>
        <w:rPr>
          <w:rFonts w:ascii="宋体" w:hAnsi="宋体" w:cs="宋体"/>
          <w:bCs/>
          <w:kern w:val="28"/>
          <w:sz w:val="44"/>
          <w:szCs w:val="44"/>
        </w:rPr>
      </w:pPr>
    </w:p>
    <w:p w14:paraId="09F2D446">
      <w:pPr>
        <w:numPr>
          <w:ilvl w:val="0"/>
          <w:numId w:val="8"/>
        </w:numPr>
        <w:ind w:left="420" w:firstLine="0"/>
        <w:jc w:val="center"/>
        <w:outlineLvl w:val="2"/>
        <w:rPr>
          <w:rFonts w:ascii="宋体" w:hAnsi="宋体" w:cs="宋体"/>
          <w:b/>
          <w:bCs/>
          <w:sz w:val="32"/>
          <w:szCs w:val="32"/>
        </w:rPr>
      </w:pPr>
      <w:r>
        <w:rPr>
          <w:rFonts w:hint="eastAsia" w:ascii="宋体" w:hAnsi="宋体" w:cs="宋体"/>
          <w:bCs/>
          <w:kern w:val="28"/>
          <w:sz w:val="44"/>
          <w:szCs w:val="44"/>
        </w:rPr>
        <w:br w:type="page"/>
      </w:r>
      <w:r>
        <w:rPr>
          <w:rFonts w:hint="eastAsia" w:ascii="宋体" w:hAnsi="宋体" w:cs="宋体"/>
          <w:b/>
          <w:bCs/>
          <w:sz w:val="32"/>
          <w:szCs w:val="32"/>
        </w:rPr>
        <w:t>评标指引表</w:t>
      </w:r>
    </w:p>
    <w:p w14:paraId="76512404">
      <w:pPr>
        <w:jc w:val="center"/>
        <w:rPr>
          <w:rFonts w:ascii="宋体" w:hAnsi="宋体" w:cs="宋体"/>
          <w:b/>
          <w:sz w:val="22"/>
          <w:szCs w:val="22"/>
        </w:rPr>
      </w:pPr>
      <w:r>
        <w:rPr>
          <w:rFonts w:hint="eastAsia" w:ascii="宋体" w:hAnsi="宋体" w:cs="宋体"/>
          <w:b/>
          <w:sz w:val="22"/>
          <w:szCs w:val="22"/>
        </w:rPr>
        <w:t>（置于投标文件的首页）</w:t>
      </w:r>
    </w:p>
    <w:p w14:paraId="4669B1E1">
      <w:pPr>
        <w:jc w:val="center"/>
        <w:rPr>
          <w:rFonts w:ascii="宋体" w:hAnsi="宋体" w:cs="宋体"/>
          <w:b/>
          <w:sz w:val="22"/>
          <w:szCs w:val="22"/>
        </w:rPr>
      </w:pPr>
    </w:p>
    <w:p w14:paraId="31668A5E">
      <w:pPr>
        <w:ind w:firstLine="440" w:firstLineChars="200"/>
        <w:rPr>
          <w:rFonts w:ascii="宋体" w:hAnsi="宋体" w:cs="宋体"/>
          <w:sz w:val="22"/>
          <w:szCs w:val="22"/>
        </w:rPr>
      </w:pPr>
      <w:r>
        <w:rPr>
          <w:rFonts w:hint="eastAsia" w:ascii="宋体" w:hAnsi="宋体" w:cs="宋体"/>
          <w:sz w:val="22"/>
          <w:szCs w:val="22"/>
        </w:rPr>
        <w:t>为方便参与该项目的评委专家的评标，快速找到评标事项与该项目投标文件所对应的位置，请投标人参照下表格式，编制本项目评标指引表。</w:t>
      </w:r>
    </w:p>
    <w:p w14:paraId="7BAE6CE0">
      <w:pPr>
        <w:jc w:val="center"/>
        <w:rPr>
          <w:rFonts w:ascii="宋体" w:hAnsi="宋体" w:cs="宋体"/>
          <w:b/>
          <w:sz w:val="22"/>
          <w:szCs w:val="22"/>
        </w:rPr>
      </w:pPr>
      <w:r>
        <w:rPr>
          <w:rFonts w:hint="eastAsia" w:ascii="宋体" w:hAnsi="宋体" w:cs="宋体"/>
          <w:b/>
          <w:sz w:val="22"/>
          <w:szCs w:val="22"/>
        </w:rPr>
        <w:t>评标指引表</w:t>
      </w:r>
    </w:p>
    <w:tbl>
      <w:tblPr>
        <w:tblStyle w:val="25"/>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947"/>
        <w:gridCol w:w="1014"/>
        <w:gridCol w:w="1371"/>
        <w:gridCol w:w="1106"/>
        <w:gridCol w:w="1201"/>
      </w:tblGrid>
      <w:tr w14:paraId="6C23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340" w:type="dxa"/>
            <w:gridSpan w:val="6"/>
          </w:tcPr>
          <w:p w14:paraId="709886B4">
            <w:pPr>
              <w:jc w:val="center"/>
              <w:rPr>
                <w:rFonts w:ascii="宋体" w:hAnsi="宋体" w:cs="宋体"/>
                <w:b/>
                <w:sz w:val="22"/>
                <w:szCs w:val="22"/>
              </w:rPr>
            </w:pPr>
            <w:r>
              <w:rPr>
                <w:rFonts w:hint="eastAsia" w:ascii="宋体" w:hAnsi="宋体" w:cs="宋体"/>
                <w:b/>
                <w:sz w:val="22"/>
                <w:szCs w:val="22"/>
              </w:rPr>
              <w:t>一、资格性审查指引</w:t>
            </w:r>
          </w:p>
        </w:tc>
      </w:tr>
      <w:tr w14:paraId="24B3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1" w:type="dxa"/>
          </w:tcPr>
          <w:p w14:paraId="77EE674F">
            <w:pPr>
              <w:jc w:val="center"/>
              <w:rPr>
                <w:rFonts w:ascii="宋体" w:hAnsi="宋体" w:cs="宋体"/>
                <w:b/>
                <w:sz w:val="22"/>
                <w:szCs w:val="22"/>
              </w:rPr>
            </w:pPr>
            <w:r>
              <w:rPr>
                <w:rFonts w:hint="eastAsia" w:ascii="宋体" w:hAnsi="宋体" w:cs="宋体"/>
                <w:b/>
                <w:sz w:val="22"/>
                <w:szCs w:val="22"/>
              </w:rPr>
              <w:t>序号</w:t>
            </w:r>
          </w:p>
        </w:tc>
        <w:tc>
          <w:tcPr>
            <w:tcW w:w="2947" w:type="dxa"/>
            <w:vAlign w:val="center"/>
          </w:tcPr>
          <w:p w14:paraId="056BE25E">
            <w:pPr>
              <w:jc w:val="center"/>
              <w:rPr>
                <w:rFonts w:ascii="宋体" w:hAnsi="宋体" w:cs="宋体"/>
                <w:b/>
                <w:sz w:val="22"/>
                <w:szCs w:val="22"/>
              </w:rPr>
            </w:pPr>
            <w:r>
              <w:rPr>
                <w:rFonts w:hint="eastAsia" w:ascii="宋体" w:hAnsi="宋体" w:cs="宋体"/>
                <w:b/>
                <w:sz w:val="22"/>
                <w:szCs w:val="22"/>
              </w:rPr>
              <w:t>资格性检查项目</w:t>
            </w:r>
          </w:p>
        </w:tc>
        <w:tc>
          <w:tcPr>
            <w:tcW w:w="3491" w:type="dxa"/>
            <w:gridSpan w:val="3"/>
            <w:vAlign w:val="center"/>
          </w:tcPr>
          <w:p w14:paraId="6D0C96F8">
            <w:pPr>
              <w:jc w:val="center"/>
              <w:rPr>
                <w:rFonts w:ascii="宋体" w:hAnsi="宋体" w:cs="宋体"/>
                <w:b/>
                <w:sz w:val="22"/>
                <w:szCs w:val="22"/>
              </w:rPr>
            </w:pPr>
            <w:r>
              <w:rPr>
                <w:rFonts w:hint="eastAsia" w:ascii="宋体" w:hAnsi="宋体" w:cs="宋体"/>
                <w:b/>
                <w:sz w:val="22"/>
                <w:szCs w:val="22"/>
              </w:rPr>
              <w:t>证明文件</w:t>
            </w:r>
          </w:p>
        </w:tc>
        <w:tc>
          <w:tcPr>
            <w:tcW w:w="1201" w:type="dxa"/>
            <w:vAlign w:val="center"/>
          </w:tcPr>
          <w:p w14:paraId="14E834CB">
            <w:pPr>
              <w:jc w:val="center"/>
              <w:rPr>
                <w:rFonts w:ascii="宋体" w:hAnsi="宋体" w:cs="宋体"/>
                <w:b/>
                <w:sz w:val="22"/>
                <w:szCs w:val="22"/>
              </w:rPr>
            </w:pPr>
            <w:r>
              <w:rPr>
                <w:rFonts w:hint="eastAsia" w:ascii="宋体" w:hAnsi="宋体" w:cs="宋体"/>
                <w:b/>
                <w:sz w:val="22"/>
                <w:szCs w:val="22"/>
              </w:rPr>
              <w:t>起止页码</w:t>
            </w:r>
          </w:p>
        </w:tc>
      </w:tr>
      <w:tr w14:paraId="5221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1" w:type="dxa"/>
          </w:tcPr>
          <w:p w14:paraId="6368798E">
            <w:pPr>
              <w:jc w:val="center"/>
              <w:rPr>
                <w:rFonts w:ascii="宋体" w:hAnsi="宋体" w:cs="宋体"/>
                <w:b/>
                <w:sz w:val="22"/>
                <w:szCs w:val="22"/>
              </w:rPr>
            </w:pPr>
            <w:r>
              <w:rPr>
                <w:rFonts w:hint="eastAsia" w:ascii="宋体" w:hAnsi="宋体" w:cs="宋体"/>
                <w:b/>
                <w:sz w:val="22"/>
                <w:szCs w:val="22"/>
              </w:rPr>
              <w:t>1</w:t>
            </w:r>
          </w:p>
        </w:tc>
        <w:tc>
          <w:tcPr>
            <w:tcW w:w="2947" w:type="dxa"/>
            <w:vAlign w:val="center"/>
          </w:tcPr>
          <w:p w14:paraId="28061C96">
            <w:pPr>
              <w:jc w:val="center"/>
              <w:rPr>
                <w:rFonts w:ascii="宋体" w:hAnsi="宋体" w:cs="宋体"/>
                <w:b/>
                <w:sz w:val="22"/>
                <w:szCs w:val="22"/>
              </w:rPr>
            </w:pPr>
          </w:p>
        </w:tc>
        <w:tc>
          <w:tcPr>
            <w:tcW w:w="3491" w:type="dxa"/>
            <w:gridSpan w:val="3"/>
            <w:vAlign w:val="center"/>
          </w:tcPr>
          <w:p w14:paraId="371EA9A1">
            <w:pPr>
              <w:jc w:val="center"/>
              <w:rPr>
                <w:rFonts w:ascii="宋体" w:hAnsi="宋体" w:cs="宋体"/>
                <w:b/>
                <w:sz w:val="22"/>
                <w:szCs w:val="22"/>
              </w:rPr>
            </w:pPr>
          </w:p>
        </w:tc>
        <w:tc>
          <w:tcPr>
            <w:tcW w:w="1201" w:type="dxa"/>
            <w:vAlign w:val="center"/>
          </w:tcPr>
          <w:p w14:paraId="114DDA6E">
            <w:pPr>
              <w:jc w:val="center"/>
              <w:rPr>
                <w:rFonts w:ascii="宋体" w:hAnsi="宋体" w:cs="宋体"/>
                <w:b/>
                <w:sz w:val="22"/>
                <w:szCs w:val="22"/>
              </w:rPr>
            </w:pPr>
          </w:p>
        </w:tc>
      </w:tr>
      <w:tr w14:paraId="68A5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1" w:type="dxa"/>
          </w:tcPr>
          <w:p w14:paraId="11660709">
            <w:pPr>
              <w:jc w:val="center"/>
              <w:rPr>
                <w:rFonts w:ascii="宋体" w:hAnsi="宋体" w:cs="宋体"/>
                <w:b/>
                <w:sz w:val="22"/>
                <w:szCs w:val="22"/>
              </w:rPr>
            </w:pPr>
            <w:r>
              <w:rPr>
                <w:rFonts w:hint="eastAsia" w:ascii="宋体" w:hAnsi="宋体" w:cs="宋体"/>
                <w:b/>
                <w:sz w:val="22"/>
                <w:szCs w:val="22"/>
              </w:rPr>
              <w:t>2</w:t>
            </w:r>
          </w:p>
        </w:tc>
        <w:tc>
          <w:tcPr>
            <w:tcW w:w="2947" w:type="dxa"/>
            <w:vAlign w:val="center"/>
          </w:tcPr>
          <w:p w14:paraId="39AE8B3E">
            <w:pPr>
              <w:jc w:val="center"/>
              <w:rPr>
                <w:rFonts w:ascii="宋体" w:hAnsi="宋体" w:cs="宋体"/>
                <w:b/>
                <w:sz w:val="22"/>
                <w:szCs w:val="22"/>
              </w:rPr>
            </w:pPr>
          </w:p>
        </w:tc>
        <w:tc>
          <w:tcPr>
            <w:tcW w:w="3491" w:type="dxa"/>
            <w:gridSpan w:val="3"/>
            <w:vAlign w:val="center"/>
          </w:tcPr>
          <w:p w14:paraId="7D3F87A0">
            <w:pPr>
              <w:jc w:val="center"/>
              <w:rPr>
                <w:rFonts w:ascii="宋体" w:hAnsi="宋体" w:cs="宋体"/>
                <w:b/>
                <w:sz w:val="22"/>
                <w:szCs w:val="22"/>
              </w:rPr>
            </w:pPr>
          </w:p>
        </w:tc>
        <w:tc>
          <w:tcPr>
            <w:tcW w:w="1201" w:type="dxa"/>
            <w:vAlign w:val="center"/>
          </w:tcPr>
          <w:p w14:paraId="2D4ACBE0">
            <w:pPr>
              <w:jc w:val="center"/>
              <w:rPr>
                <w:rFonts w:ascii="宋体" w:hAnsi="宋体" w:cs="宋体"/>
                <w:b/>
                <w:sz w:val="22"/>
                <w:szCs w:val="22"/>
              </w:rPr>
            </w:pPr>
          </w:p>
        </w:tc>
      </w:tr>
      <w:tr w14:paraId="3EE5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1" w:type="dxa"/>
          </w:tcPr>
          <w:p w14:paraId="7DA4178F">
            <w:pPr>
              <w:jc w:val="center"/>
              <w:rPr>
                <w:rFonts w:ascii="宋体" w:hAnsi="宋体" w:cs="宋体"/>
                <w:b/>
                <w:sz w:val="22"/>
                <w:szCs w:val="22"/>
              </w:rPr>
            </w:pPr>
            <w:r>
              <w:rPr>
                <w:rFonts w:hint="eastAsia" w:ascii="宋体" w:hAnsi="宋体" w:cs="宋体"/>
                <w:b/>
                <w:sz w:val="22"/>
                <w:szCs w:val="22"/>
              </w:rPr>
              <w:t>……</w:t>
            </w:r>
          </w:p>
        </w:tc>
        <w:tc>
          <w:tcPr>
            <w:tcW w:w="2947" w:type="dxa"/>
            <w:vAlign w:val="center"/>
          </w:tcPr>
          <w:p w14:paraId="7C03B1C2">
            <w:pPr>
              <w:jc w:val="center"/>
              <w:rPr>
                <w:rFonts w:ascii="宋体" w:hAnsi="宋体" w:cs="宋体"/>
                <w:b/>
                <w:sz w:val="22"/>
                <w:szCs w:val="22"/>
              </w:rPr>
            </w:pPr>
            <w:r>
              <w:rPr>
                <w:rFonts w:hint="eastAsia" w:ascii="宋体" w:hAnsi="宋体" w:cs="宋体"/>
                <w:b/>
                <w:sz w:val="22"/>
                <w:szCs w:val="22"/>
              </w:rPr>
              <w:t>…………</w:t>
            </w:r>
          </w:p>
        </w:tc>
        <w:tc>
          <w:tcPr>
            <w:tcW w:w="3491" w:type="dxa"/>
            <w:gridSpan w:val="3"/>
            <w:vAlign w:val="center"/>
          </w:tcPr>
          <w:p w14:paraId="4A69AED5">
            <w:pPr>
              <w:jc w:val="center"/>
              <w:rPr>
                <w:rFonts w:ascii="宋体" w:hAnsi="宋体" w:cs="宋体"/>
                <w:b/>
                <w:sz w:val="22"/>
                <w:szCs w:val="22"/>
              </w:rPr>
            </w:pPr>
          </w:p>
        </w:tc>
        <w:tc>
          <w:tcPr>
            <w:tcW w:w="1201" w:type="dxa"/>
            <w:vAlign w:val="center"/>
          </w:tcPr>
          <w:p w14:paraId="2C8DD8BB">
            <w:pPr>
              <w:jc w:val="center"/>
              <w:rPr>
                <w:rFonts w:ascii="宋体" w:hAnsi="宋体" w:cs="宋体"/>
                <w:b/>
                <w:sz w:val="22"/>
                <w:szCs w:val="22"/>
              </w:rPr>
            </w:pPr>
          </w:p>
        </w:tc>
      </w:tr>
      <w:tr w14:paraId="24F0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340" w:type="dxa"/>
            <w:gridSpan w:val="6"/>
          </w:tcPr>
          <w:p w14:paraId="34C43ECF">
            <w:pPr>
              <w:jc w:val="center"/>
              <w:rPr>
                <w:rFonts w:ascii="宋体" w:hAnsi="宋体" w:cs="宋体"/>
                <w:b/>
                <w:sz w:val="22"/>
                <w:szCs w:val="22"/>
              </w:rPr>
            </w:pPr>
            <w:r>
              <w:rPr>
                <w:rFonts w:hint="eastAsia" w:ascii="宋体" w:hAnsi="宋体" w:cs="宋体"/>
                <w:b/>
                <w:sz w:val="22"/>
                <w:szCs w:val="22"/>
              </w:rPr>
              <w:t>二、符合性审查指引</w:t>
            </w:r>
          </w:p>
        </w:tc>
      </w:tr>
      <w:tr w14:paraId="2280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1" w:type="dxa"/>
          </w:tcPr>
          <w:p w14:paraId="640F57C9">
            <w:pPr>
              <w:jc w:val="center"/>
              <w:rPr>
                <w:rFonts w:ascii="宋体" w:hAnsi="宋体" w:cs="宋体"/>
                <w:b/>
                <w:sz w:val="22"/>
                <w:szCs w:val="22"/>
              </w:rPr>
            </w:pPr>
            <w:r>
              <w:rPr>
                <w:rFonts w:hint="eastAsia" w:ascii="宋体" w:hAnsi="宋体" w:cs="宋体"/>
                <w:b/>
                <w:sz w:val="22"/>
                <w:szCs w:val="22"/>
              </w:rPr>
              <w:t>序号</w:t>
            </w:r>
          </w:p>
        </w:tc>
        <w:tc>
          <w:tcPr>
            <w:tcW w:w="2947" w:type="dxa"/>
            <w:vAlign w:val="center"/>
          </w:tcPr>
          <w:p w14:paraId="7E0F0036">
            <w:pPr>
              <w:jc w:val="center"/>
              <w:rPr>
                <w:rFonts w:ascii="宋体" w:hAnsi="宋体" w:cs="宋体"/>
                <w:b/>
                <w:sz w:val="22"/>
                <w:szCs w:val="22"/>
              </w:rPr>
            </w:pPr>
            <w:r>
              <w:rPr>
                <w:rFonts w:hint="eastAsia" w:ascii="宋体" w:hAnsi="宋体" w:cs="宋体"/>
                <w:b/>
                <w:sz w:val="22"/>
                <w:szCs w:val="22"/>
              </w:rPr>
              <w:t>符合性检查项目</w:t>
            </w:r>
          </w:p>
        </w:tc>
        <w:tc>
          <w:tcPr>
            <w:tcW w:w="3491" w:type="dxa"/>
            <w:gridSpan w:val="3"/>
            <w:vAlign w:val="center"/>
          </w:tcPr>
          <w:p w14:paraId="45FF859D">
            <w:pPr>
              <w:jc w:val="center"/>
              <w:rPr>
                <w:rFonts w:ascii="宋体" w:hAnsi="宋体" w:cs="宋体"/>
                <w:b/>
                <w:sz w:val="22"/>
                <w:szCs w:val="22"/>
              </w:rPr>
            </w:pPr>
            <w:r>
              <w:rPr>
                <w:rFonts w:hint="eastAsia" w:ascii="宋体" w:hAnsi="宋体" w:cs="宋体"/>
                <w:b/>
                <w:sz w:val="22"/>
                <w:szCs w:val="22"/>
              </w:rPr>
              <w:t>说明</w:t>
            </w:r>
          </w:p>
        </w:tc>
        <w:tc>
          <w:tcPr>
            <w:tcW w:w="1201" w:type="dxa"/>
            <w:vAlign w:val="center"/>
          </w:tcPr>
          <w:p w14:paraId="60BF8E62">
            <w:pPr>
              <w:jc w:val="center"/>
              <w:rPr>
                <w:rFonts w:ascii="宋体" w:hAnsi="宋体" w:cs="宋体"/>
                <w:b/>
                <w:sz w:val="22"/>
                <w:szCs w:val="22"/>
              </w:rPr>
            </w:pPr>
            <w:r>
              <w:rPr>
                <w:rFonts w:hint="eastAsia" w:ascii="宋体" w:hAnsi="宋体" w:cs="宋体"/>
                <w:b/>
                <w:sz w:val="22"/>
                <w:szCs w:val="22"/>
              </w:rPr>
              <w:t>起止页码</w:t>
            </w:r>
          </w:p>
        </w:tc>
      </w:tr>
      <w:tr w14:paraId="2FB6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1" w:type="dxa"/>
          </w:tcPr>
          <w:p w14:paraId="2D2301A5">
            <w:pPr>
              <w:jc w:val="center"/>
              <w:rPr>
                <w:rFonts w:ascii="宋体" w:hAnsi="宋体" w:cs="宋体"/>
                <w:b/>
                <w:sz w:val="22"/>
                <w:szCs w:val="22"/>
              </w:rPr>
            </w:pPr>
            <w:r>
              <w:rPr>
                <w:rFonts w:hint="eastAsia" w:ascii="宋体" w:hAnsi="宋体" w:cs="宋体"/>
                <w:b/>
                <w:sz w:val="22"/>
                <w:szCs w:val="22"/>
              </w:rPr>
              <w:t>1</w:t>
            </w:r>
          </w:p>
        </w:tc>
        <w:tc>
          <w:tcPr>
            <w:tcW w:w="2947" w:type="dxa"/>
          </w:tcPr>
          <w:p w14:paraId="672702E4">
            <w:pPr>
              <w:jc w:val="center"/>
              <w:rPr>
                <w:rFonts w:ascii="宋体" w:hAnsi="宋体" w:cs="宋体"/>
                <w:b/>
                <w:sz w:val="22"/>
                <w:szCs w:val="22"/>
              </w:rPr>
            </w:pPr>
          </w:p>
        </w:tc>
        <w:tc>
          <w:tcPr>
            <w:tcW w:w="3491" w:type="dxa"/>
            <w:gridSpan w:val="3"/>
            <w:vAlign w:val="center"/>
          </w:tcPr>
          <w:p w14:paraId="6AA4A02A">
            <w:pPr>
              <w:jc w:val="center"/>
              <w:rPr>
                <w:rFonts w:ascii="宋体" w:hAnsi="宋体" w:cs="宋体"/>
                <w:b/>
                <w:sz w:val="22"/>
                <w:szCs w:val="22"/>
              </w:rPr>
            </w:pPr>
          </w:p>
        </w:tc>
        <w:tc>
          <w:tcPr>
            <w:tcW w:w="1201" w:type="dxa"/>
            <w:vAlign w:val="center"/>
          </w:tcPr>
          <w:p w14:paraId="75E5F733">
            <w:pPr>
              <w:jc w:val="center"/>
              <w:rPr>
                <w:rFonts w:ascii="宋体" w:hAnsi="宋体" w:cs="宋体"/>
                <w:b/>
                <w:sz w:val="22"/>
                <w:szCs w:val="22"/>
              </w:rPr>
            </w:pPr>
          </w:p>
        </w:tc>
      </w:tr>
      <w:tr w14:paraId="401A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1" w:type="dxa"/>
          </w:tcPr>
          <w:p w14:paraId="0C190CA4">
            <w:pPr>
              <w:jc w:val="center"/>
              <w:rPr>
                <w:rFonts w:ascii="宋体" w:hAnsi="宋体" w:cs="宋体"/>
                <w:b/>
                <w:sz w:val="22"/>
                <w:szCs w:val="22"/>
              </w:rPr>
            </w:pPr>
            <w:r>
              <w:rPr>
                <w:rFonts w:hint="eastAsia" w:ascii="宋体" w:hAnsi="宋体" w:cs="宋体"/>
                <w:b/>
                <w:sz w:val="22"/>
                <w:szCs w:val="22"/>
              </w:rPr>
              <w:t>2</w:t>
            </w:r>
          </w:p>
        </w:tc>
        <w:tc>
          <w:tcPr>
            <w:tcW w:w="2947" w:type="dxa"/>
          </w:tcPr>
          <w:p w14:paraId="4A641BCF">
            <w:pPr>
              <w:jc w:val="center"/>
              <w:rPr>
                <w:rFonts w:ascii="宋体" w:hAnsi="宋体" w:cs="宋体"/>
                <w:b/>
                <w:sz w:val="22"/>
                <w:szCs w:val="22"/>
              </w:rPr>
            </w:pPr>
          </w:p>
        </w:tc>
        <w:tc>
          <w:tcPr>
            <w:tcW w:w="3491" w:type="dxa"/>
            <w:gridSpan w:val="3"/>
            <w:vAlign w:val="center"/>
          </w:tcPr>
          <w:p w14:paraId="16E179D3">
            <w:pPr>
              <w:jc w:val="center"/>
              <w:rPr>
                <w:rFonts w:ascii="宋体" w:hAnsi="宋体" w:cs="宋体"/>
                <w:b/>
                <w:sz w:val="22"/>
                <w:szCs w:val="22"/>
              </w:rPr>
            </w:pPr>
          </w:p>
        </w:tc>
        <w:tc>
          <w:tcPr>
            <w:tcW w:w="1201" w:type="dxa"/>
            <w:vAlign w:val="center"/>
          </w:tcPr>
          <w:p w14:paraId="49814F22">
            <w:pPr>
              <w:jc w:val="center"/>
              <w:rPr>
                <w:rFonts w:ascii="宋体" w:hAnsi="宋体" w:cs="宋体"/>
                <w:b/>
                <w:sz w:val="22"/>
                <w:szCs w:val="22"/>
              </w:rPr>
            </w:pPr>
          </w:p>
        </w:tc>
      </w:tr>
      <w:tr w14:paraId="73E1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1" w:type="dxa"/>
          </w:tcPr>
          <w:p w14:paraId="09657B9C">
            <w:pPr>
              <w:jc w:val="center"/>
              <w:rPr>
                <w:rFonts w:ascii="宋体" w:hAnsi="宋体" w:cs="宋体"/>
                <w:b/>
                <w:sz w:val="22"/>
                <w:szCs w:val="22"/>
              </w:rPr>
            </w:pPr>
            <w:r>
              <w:rPr>
                <w:rFonts w:hint="eastAsia" w:ascii="宋体" w:hAnsi="宋体" w:cs="宋体"/>
                <w:b/>
                <w:sz w:val="22"/>
                <w:szCs w:val="22"/>
              </w:rPr>
              <w:t>3</w:t>
            </w:r>
          </w:p>
        </w:tc>
        <w:tc>
          <w:tcPr>
            <w:tcW w:w="2947" w:type="dxa"/>
          </w:tcPr>
          <w:p w14:paraId="1CD50CD7">
            <w:pPr>
              <w:jc w:val="center"/>
              <w:rPr>
                <w:rFonts w:ascii="宋体" w:hAnsi="宋体" w:cs="宋体"/>
                <w:b/>
                <w:sz w:val="22"/>
                <w:szCs w:val="22"/>
              </w:rPr>
            </w:pPr>
          </w:p>
        </w:tc>
        <w:tc>
          <w:tcPr>
            <w:tcW w:w="3491" w:type="dxa"/>
            <w:gridSpan w:val="3"/>
            <w:vAlign w:val="center"/>
          </w:tcPr>
          <w:p w14:paraId="4B319BAF">
            <w:pPr>
              <w:jc w:val="center"/>
              <w:rPr>
                <w:rFonts w:ascii="宋体" w:hAnsi="宋体" w:cs="宋体"/>
                <w:b/>
                <w:sz w:val="22"/>
                <w:szCs w:val="22"/>
              </w:rPr>
            </w:pPr>
          </w:p>
        </w:tc>
        <w:tc>
          <w:tcPr>
            <w:tcW w:w="1201" w:type="dxa"/>
            <w:vAlign w:val="center"/>
          </w:tcPr>
          <w:p w14:paraId="569E6619">
            <w:pPr>
              <w:jc w:val="center"/>
              <w:rPr>
                <w:rFonts w:ascii="宋体" w:hAnsi="宋体" w:cs="宋体"/>
                <w:b/>
                <w:sz w:val="22"/>
                <w:szCs w:val="22"/>
              </w:rPr>
            </w:pPr>
          </w:p>
        </w:tc>
      </w:tr>
      <w:tr w14:paraId="3F19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1" w:type="dxa"/>
          </w:tcPr>
          <w:p w14:paraId="7C95899E">
            <w:pPr>
              <w:jc w:val="center"/>
              <w:rPr>
                <w:rFonts w:ascii="宋体" w:hAnsi="宋体" w:cs="宋体"/>
                <w:b/>
                <w:sz w:val="22"/>
                <w:szCs w:val="22"/>
              </w:rPr>
            </w:pPr>
            <w:r>
              <w:rPr>
                <w:rFonts w:hint="eastAsia" w:ascii="宋体" w:hAnsi="宋体" w:cs="宋体"/>
                <w:b/>
                <w:sz w:val="22"/>
                <w:szCs w:val="22"/>
              </w:rPr>
              <w:t>4</w:t>
            </w:r>
          </w:p>
        </w:tc>
        <w:tc>
          <w:tcPr>
            <w:tcW w:w="2947" w:type="dxa"/>
          </w:tcPr>
          <w:p w14:paraId="5701A61E">
            <w:pPr>
              <w:jc w:val="center"/>
              <w:rPr>
                <w:rFonts w:ascii="宋体" w:hAnsi="宋体" w:cs="宋体"/>
                <w:b/>
                <w:sz w:val="22"/>
                <w:szCs w:val="22"/>
              </w:rPr>
            </w:pPr>
          </w:p>
        </w:tc>
        <w:tc>
          <w:tcPr>
            <w:tcW w:w="3491" w:type="dxa"/>
            <w:gridSpan w:val="3"/>
            <w:vAlign w:val="center"/>
          </w:tcPr>
          <w:p w14:paraId="604D25A7">
            <w:pPr>
              <w:jc w:val="center"/>
              <w:rPr>
                <w:rFonts w:ascii="宋体" w:hAnsi="宋体" w:cs="宋体"/>
                <w:b/>
                <w:sz w:val="22"/>
                <w:szCs w:val="22"/>
              </w:rPr>
            </w:pPr>
          </w:p>
        </w:tc>
        <w:tc>
          <w:tcPr>
            <w:tcW w:w="1201" w:type="dxa"/>
            <w:vAlign w:val="center"/>
          </w:tcPr>
          <w:p w14:paraId="33609F6C">
            <w:pPr>
              <w:jc w:val="center"/>
              <w:rPr>
                <w:rFonts w:ascii="宋体" w:hAnsi="宋体" w:cs="宋体"/>
                <w:b/>
                <w:sz w:val="22"/>
                <w:szCs w:val="22"/>
              </w:rPr>
            </w:pPr>
          </w:p>
        </w:tc>
      </w:tr>
      <w:tr w14:paraId="4BA5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1" w:type="dxa"/>
          </w:tcPr>
          <w:p w14:paraId="4048F21B">
            <w:pPr>
              <w:jc w:val="center"/>
              <w:rPr>
                <w:rFonts w:ascii="宋体" w:hAnsi="宋体" w:cs="宋体"/>
                <w:b/>
                <w:sz w:val="22"/>
                <w:szCs w:val="22"/>
              </w:rPr>
            </w:pPr>
            <w:r>
              <w:rPr>
                <w:rFonts w:hint="eastAsia" w:ascii="宋体" w:hAnsi="宋体" w:cs="宋体"/>
                <w:b/>
                <w:sz w:val="22"/>
                <w:szCs w:val="22"/>
              </w:rPr>
              <w:t>5</w:t>
            </w:r>
          </w:p>
        </w:tc>
        <w:tc>
          <w:tcPr>
            <w:tcW w:w="2947" w:type="dxa"/>
          </w:tcPr>
          <w:p w14:paraId="7ECFC941">
            <w:pPr>
              <w:jc w:val="center"/>
              <w:rPr>
                <w:rFonts w:ascii="宋体" w:hAnsi="宋体" w:cs="宋体"/>
                <w:sz w:val="22"/>
                <w:szCs w:val="22"/>
              </w:rPr>
            </w:pPr>
          </w:p>
        </w:tc>
        <w:tc>
          <w:tcPr>
            <w:tcW w:w="3491" w:type="dxa"/>
            <w:gridSpan w:val="3"/>
            <w:vAlign w:val="center"/>
          </w:tcPr>
          <w:p w14:paraId="7213B0A7">
            <w:pPr>
              <w:jc w:val="center"/>
              <w:rPr>
                <w:rFonts w:ascii="宋体" w:hAnsi="宋体" w:cs="宋体"/>
                <w:b/>
                <w:sz w:val="22"/>
                <w:szCs w:val="22"/>
              </w:rPr>
            </w:pPr>
          </w:p>
        </w:tc>
        <w:tc>
          <w:tcPr>
            <w:tcW w:w="1201" w:type="dxa"/>
            <w:vAlign w:val="center"/>
          </w:tcPr>
          <w:p w14:paraId="1D8B475A">
            <w:pPr>
              <w:jc w:val="center"/>
              <w:rPr>
                <w:rFonts w:ascii="宋体" w:hAnsi="宋体" w:cs="宋体"/>
                <w:b/>
                <w:sz w:val="22"/>
                <w:szCs w:val="22"/>
              </w:rPr>
            </w:pPr>
          </w:p>
        </w:tc>
      </w:tr>
      <w:tr w14:paraId="02A1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1" w:type="dxa"/>
          </w:tcPr>
          <w:p w14:paraId="1F17A13E">
            <w:pPr>
              <w:jc w:val="center"/>
              <w:rPr>
                <w:rFonts w:ascii="宋体" w:hAnsi="宋体" w:cs="宋体"/>
                <w:b/>
                <w:sz w:val="22"/>
                <w:szCs w:val="22"/>
              </w:rPr>
            </w:pPr>
            <w:r>
              <w:rPr>
                <w:rFonts w:hint="eastAsia" w:ascii="宋体" w:hAnsi="宋体" w:cs="宋体"/>
                <w:b/>
                <w:sz w:val="22"/>
                <w:szCs w:val="22"/>
              </w:rPr>
              <w:t>6</w:t>
            </w:r>
          </w:p>
        </w:tc>
        <w:tc>
          <w:tcPr>
            <w:tcW w:w="2947" w:type="dxa"/>
          </w:tcPr>
          <w:p w14:paraId="1EE2A5BB">
            <w:pPr>
              <w:jc w:val="center"/>
              <w:rPr>
                <w:rFonts w:ascii="宋体" w:hAnsi="宋体" w:cs="宋体"/>
                <w:sz w:val="22"/>
                <w:szCs w:val="22"/>
              </w:rPr>
            </w:pPr>
          </w:p>
        </w:tc>
        <w:tc>
          <w:tcPr>
            <w:tcW w:w="3491" w:type="dxa"/>
            <w:gridSpan w:val="3"/>
            <w:vAlign w:val="center"/>
          </w:tcPr>
          <w:p w14:paraId="47366A44">
            <w:pPr>
              <w:jc w:val="center"/>
              <w:rPr>
                <w:rFonts w:ascii="宋体" w:hAnsi="宋体" w:cs="宋体"/>
                <w:b/>
                <w:sz w:val="22"/>
                <w:szCs w:val="22"/>
              </w:rPr>
            </w:pPr>
          </w:p>
        </w:tc>
        <w:tc>
          <w:tcPr>
            <w:tcW w:w="1201" w:type="dxa"/>
            <w:vAlign w:val="center"/>
          </w:tcPr>
          <w:p w14:paraId="626C8C67">
            <w:pPr>
              <w:jc w:val="center"/>
              <w:rPr>
                <w:rFonts w:ascii="宋体" w:hAnsi="宋体" w:cs="宋体"/>
                <w:b/>
                <w:sz w:val="22"/>
                <w:szCs w:val="22"/>
              </w:rPr>
            </w:pPr>
          </w:p>
        </w:tc>
      </w:tr>
      <w:tr w14:paraId="5D5A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1" w:type="dxa"/>
          </w:tcPr>
          <w:p w14:paraId="4F5D6382">
            <w:pPr>
              <w:jc w:val="center"/>
              <w:rPr>
                <w:rFonts w:ascii="宋体" w:hAnsi="宋体" w:cs="宋体"/>
                <w:b/>
                <w:sz w:val="22"/>
                <w:szCs w:val="22"/>
              </w:rPr>
            </w:pPr>
            <w:r>
              <w:rPr>
                <w:rFonts w:hint="eastAsia" w:ascii="宋体" w:hAnsi="宋体" w:cs="宋体"/>
                <w:b/>
                <w:sz w:val="22"/>
                <w:szCs w:val="22"/>
              </w:rPr>
              <w:t>7</w:t>
            </w:r>
          </w:p>
        </w:tc>
        <w:tc>
          <w:tcPr>
            <w:tcW w:w="2947" w:type="dxa"/>
          </w:tcPr>
          <w:p w14:paraId="22A6B8BB">
            <w:pPr>
              <w:jc w:val="center"/>
              <w:rPr>
                <w:rFonts w:ascii="宋体" w:hAnsi="宋体" w:cs="宋体"/>
                <w:sz w:val="22"/>
                <w:szCs w:val="22"/>
              </w:rPr>
            </w:pPr>
          </w:p>
        </w:tc>
        <w:tc>
          <w:tcPr>
            <w:tcW w:w="3491" w:type="dxa"/>
            <w:gridSpan w:val="3"/>
            <w:vAlign w:val="center"/>
          </w:tcPr>
          <w:p w14:paraId="00BE8635">
            <w:pPr>
              <w:jc w:val="center"/>
              <w:rPr>
                <w:rFonts w:ascii="宋体" w:hAnsi="宋体" w:cs="宋体"/>
                <w:b/>
                <w:sz w:val="22"/>
                <w:szCs w:val="22"/>
              </w:rPr>
            </w:pPr>
          </w:p>
        </w:tc>
        <w:tc>
          <w:tcPr>
            <w:tcW w:w="1201" w:type="dxa"/>
            <w:vAlign w:val="center"/>
          </w:tcPr>
          <w:p w14:paraId="195FC406">
            <w:pPr>
              <w:jc w:val="center"/>
              <w:rPr>
                <w:rFonts w:ascii="宋体" w:hAnsi="宋体" w:cs="宋体"/>
                <w:b/>
                <w:sz w:val="22"/>
                <w:szCs w:val="22"/>
              </w:rPr>
            </w:pPr>
          </w:p>
        </w:tc>
      </w:tr>
      <w:tr w14:paraId="22C7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1" w:type="dxa"/>
          </w:tcPr>
          <w:p w14:paraId="4B5BFD2B">
            <w:pPr>
              <w:jc w:val="center"/>
              <w:rPr>
                <w:rFonts w:ascii="宋体" w:hAnsi="宋体" w:cs="宋体"/>
                <w:b/>
                <w:sz w:val="22"/>
                <w:szCs w:val="22"/>
              </w:rPr>
            </w:pPr>
            <w:r>
              <w:rPr>
                <w:rFonts w:hint="eastAsia" w:ascii="宋体" w:hAnsi="宋体" w:cs="宋体"/>
                <w:b/>
                <w:sz w:val="22"/>
                <w:szCs w:val="22"/>
              </w:rPr>
              <w:t>8</w:t>
            </w:r>
          </w:p>
        </w:tc>
        <w:tc>
          <w:tcPr>
            <w:tcW w:w="2947" w:type="dxa"/>
          </w:tcPr>
          <w:p w14:paraId="3D61CB05">
            <w:pPr>
              <w:jc w:val="center"/>
              <w:rPr>
                <w:rFonts w:ascii="宋体" w:hAnsi="宋体" w:cs="宋体"/>
                <w:b/>
                <w:sz w:val="22"/>
                <w:szCs w:val="22"/>
              </w:rPr>
            </w:pPr>
          </w:p>
        </w:tc>
        <w:tc>
          <w:tcPr>
            <w:tcW w:w="3491" w:type="dxa"/>
            <w:gridSpan w:val="3"/>
            <w:vAlign w:val="center"/>
          </w:tcPr>
          <w:p w14:paraId="77777D6E">
            <w:pPr>
              <w:jc w:val="center"/>
              <w:rPr>
                <w:rFonts w:ascii="宋体" w:hAnsi="宋体" w:cs="宋体"/>
                <w:b/>
                <w:sz w:val="22"/>
                <w:szCs w:val="22"/>
              </w:rPr>
            </w:pPr>
          </w:p>
        </w:tc>
        <w:tc>
          <w:tcPr>
            <w:tcW w:w="1201" w:type="dxa"/>
            <w:vAlign w:val="center"/>
          </w:tcPr>
          <w:p w14:paraId="76A5D264">
            <w:pPr>
              <w:jc w:val="center"/>
              <w:rPr>
                <w:rFonts w:ascii="宋体" w:hAnsi="宋体" w:cs="宋体"/>
                <w:b/>
                <w:sz w:val="22"/>
                <w:szCs w:val="22"/>
              </w:rPr>
            </w:pPr>
          </w:p>
        </w:tc>
      </w:tr>
      <w:tr w14:paraId="614A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340" w:type="dxa"/>
            <w:gridSpan w:val="6"/>
          </w:tcPr>
          <w:p w14:paraId="22948DC2">
            <w:pPr>
              <w:jc w:val="center"/>
              <w:rPr>
                <w:rFonts w:ascii="宋体" w:hAnsi="宋体" w:cs="宋体"/>
                <w:b/>
                <w:sz w:val="22"/>
                <w:szCs w:val="22"/>
              </w:rPr>
            </w:pPr>
            <w:r>
              <w:rPr>
                <w:rFonts w:hint="eastAsia" w:ascii="宋体" w:hAnsi="宋体" w:cs="宋体"/>
                <w:b/>
                <w:sz w:val="22"/>
                <w:szCs w:val="22"/>
              </w:rPr>
              <w:t>三、综合评分指引</w:t>
            </w:r>
          </w:p>
        </w:tc>
      </w:tr>
      <w:tr w14:paraId="1DD2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1" w:type="dxa"/>
          </w:tcPr>
          <w:p w14:paraId="0E01285B">
            <w:pPr>
              <w:jc w:val="center"/>
              <w:rPr>
                <w:rFonts w:ascii="宋体" w:hAnsi="宋体" w:cs="宋体"/>
                <w:b/>
                <w:sz w:val="22"/>
                <w:szCs w:val="22"/>
              </w:rPr>
            </w:pPr>
            <w:r>
              <w:rPr>
                <w:rFonts w:hint="eastAsia" w:ascii="宋体" w:hAnsi="宋体" w:cs="宋体"/>
                <w:b/>
                <w:sz w:val="22"/>
                <w:szCs w:val="22"/>
              </w:rPr>
              <w:t>评分类别</w:t>
            </w:r>
          </w:p>
        </w:tc>
        <w:tc>
          <w:tcPr>
            <w:tcW w:w="3961" w:type="dxa"/>
            <w:gridSpan w:val="2"/>
            <w:vAlign w:val="center"/>
          </w:tcPr>
          <w:p w14:paraId="7D7A43E1">
            <w:pPr>
              <w:jc w:val="center"/>
              <w:rPr>
                <w:rFonts w:ascii="宋体" w:hAnsi="宋体" w:cs="宋体"/>
                <w:b/>
                <w:sz w:val="22"/>
                <w:szCs w:val="22"/>
              </w:rPr>
            </w:pPr>
            <w:r>
              <w:rPr>
                <w:rFonts w:hint="eastAsia" w:ascii="宋体" w:hAnsi="宋体" w:cs="宋体"/>
                <w:b/>
                <w:sz w:val="22"/>
                <w:szCs w:val="22"/>
              </w:rPr>
              <w:t>评分项目</w:t>
            </w:r>
          </w:p>
        </w:tc>
        <w:tc>
          <w:tcPr>
            <w:tcW w:w="1371" w:type="dxa"/>
            <w:vAlign w:val="center"/>
          </w:tcPr>
          <w:p w14:paraId="7D7B8F08">
            <w:pPr>
              <w:jc w:val="center"/>
              <w:rPr>
                <w:rFonts w:ascii="宋体" w:hAnsi="宋体" w:cs="宋体"/>
                <w:b/>
                <w:sz w:val="22"/>
                <w:szCs w:val="22"/>
              </w:rPr>
            </w:pPr>
            <w:r>
              <w:rPr>
                <w:rFonts w:hint="eastAsia" w:ascii="宋体" w:hAnsi="宋体" w:cs="宋体"/>
                <w:b/>
                <w:sz w:val="22"/>
                <w:szCs w:val="22"/>
              </w:rPr>
              <w:t>分值</w:t>
            </w:r>
          </w:p>
          <w:p w14:paraId="04705140">
            <w:pPr>
              <w:jc w:val="center"/>
              <w:rPr>
                <w:rFonts w:ascii="宋体" w:hAnsi="宋体" w:cs="宋体"/>
                <w:b/>
                <w:sz w:val="22"/>
                <w:szCs w:val="22"/>
              </w:rPr>
            </w:pPr>
            <w:r>
              <w:rPr>
                <w:rFonts w:hint="eastAsia" w:ascii="宋体" w:hAnsi="宋体" w:cs="宋体"/>
                <w:b/>
                <w:sz w:val="22"/>
                <w:szCs w:val="22"/>
              </w:rPr>
              <w:t>（或权重）</w:t>
            </w:r>
          </w:p>
        </w:tc>
        <w:tc>
          <w:tcPr>
            <w:tcW w:w="1106" w:type="dxa"/>
            <w:vAlign w:val="center"/>
          </w:tcPr>
          <w:p w14:paraId="57B11CF3">
            <w:pPr>
              <w:jc w:val="center"/>
              <w:rPr>
                <w:rFonts w:ascii="宋体" w:hAnsi="宋体" w:cs="宋体"/>
                <w:b/>
                <w:sz w:val="22"/>
                <w:szCs w:val="22"/>
              </w:rPr>
            </w:pPr>
            <w:r>
              <w:rPr>
                <w:rFonts w:hint="eastAsia" w:ascii="宋体" w:hAnsi="宋体" w:cs="宋体"/>
                <w:b/>
                <w:sz w:val="22"/>
                <w:szCs w:val="22"/>
              </w:rPr>
              <w:t>对应章节</w:t>
            </w:r>
          </w:p>
        </w:tc>
        <w:tc>
          <w:tcPr>
            <w:tcW w:w="1201" w:type="dxa"/>
            <w:vAlign w:val="center"/>
          </w:tcPr>
          <w:p w14:paraId="57EDA5A4">
            <w:pPr>
              <w:jc w:val="center"/>
              <w:rPr>
                <w:rFonts w:ascii="宋体" w:hAnsi="宋体" w:cs="宋体"/>
                <w:b/>
                <w:sz w:val="22"/>
                <w:szCs w:val="22"/>
              </w:rPr>
            </w:pPr>
            <w:r>
              <w:rPr>
                <w:rFonts w:hint="eastAsia" w:ascii="宋体" w:hAnsi="宋体" w:cs="宋体"/>
                <w:b/>
                <w:sz w:val="22"/>
                <w:szCs w:val="22"/>
              </w:rPr>
              <w:t>起止页码</w:t>
            </w:r>
          </w:p>
        </w:tc>
      </w:tr>
      <w:tr w14:paraId="20289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vMerge w:val="restart"/>
            <w:vAlign w:val="center"/>
          </w:tcPr>
          <w:p w14:paraId="4F4EDE58">
            <w:pPr>
              <w:jc w:val="center"/>
              <w:rPr>
                <w:rFonts w:ascii="宋体" w:hAnsi="宋体" w:cs="宋体"/>
                <w:b/>
                <w:sz w:val="22"/>
                <w:szCs w:val="22"/>
              </w:rPr>
            </w:pPr>
            <w:r>
              <w:rPr>
                <w:rFonts w:hint="eastAsia" w:ascii="宋体" w:hAnsi="宋体" w:cs="宋体"/>
                <w:b/>
                <w:sz w:val="22"/>
                <w:szCs w:val="22"/>
              </w:rPr>
              <w:t>技术部分</w:t>
            </w:r>
          </w:p>
        </w:tc>
        <w:tc>
          <w:tcPr>
            <w:tcW w:w="3961" w:type="dxa"/>
            <w:gridSpan w:val="2"/>
          </w:tcPr>
          <w:p w14:paraId="56DB9A56">
            <w:pPr>
              <w:jc w:val="center"/>
              <w:rPr>
                <w:rFonts w:ascii="宋体" w:hAnsi="宋体" w:cs="宋体"/>
                <w:b/>
                <w:sz w:val="22"/>
                <w:szCs w:val="22"/>
              </w:rPr>
            </w:pPr>
            <w:r>
              <w:rPr>
                <w:rFonts w:hint="eastAsia" w:ascii="宋体" w:hAnsi="宋体" w:cs="宋体"/>
                <w:b/>
                <w:sz w:val="22"/>
                <w:szCs w:val="22"/>
              </w:rPr>
              <w:t>1.…………</w:t>
            </w:r>
          </w:p>
        </w:tc>
        <w:tc>
          <w:tcPr>
            <w:tcW w:w="1371" w:type="dxa"/>
          </w:tcPr>
          <w:p w14:paraId="1190ED00">
            <w:pPr>
              <w:jc w:val="center"/>
              <w:rPr>
                <w:rFonts w:ascii="宋体" w:hAnsi="宋体" w:cs="宋体"/>
                <w:b/>
                <w:sz w:val="22"/>
                <w:szCs w:val="22"/>
              </w:rPr>
            </w:pPr>
          </w:p>
        </w:tc>
        <w:tc>
          <w:tcPr>
            <w:tcW w:w="1106" w:type="dxa"/>
          </w:tcPr>
          <w:p w14:paraId="4521F73F">
            <w:pPr>
              <w:jc w:val="center"/>
              <w:rPr>
                <w:rFonts w:ascii="宋体" w:hAnsi="宋体" w:cs="宋体"/>
                <w:b/>
                <w:sz w:val="22"/>
                <w:szCs w:val="22"/>
              </w:rPr>
            </w:pPr>
          </w:p>
        </w:tc>
        <w:tc>
          <w:tcPr>
            <w:tcW w:w="1201" w:type="dxa"/>
          </w:tcPr>
          <w:p w14:paraId="40020CBA">
            <w:pPr>
              <w:jc w:val="center"/>
              <w:rPr>
                <w:rFonts w:ascii="宋体" w:hAnsi="宋体" w:cs="宋体"/>
                <w:b/>
                <w:sz w:val="22"/>
                <w:szCs w:val="22"/>
              </w:rPr>
            </w:pPr>
          </w:p>
        </w:tc>
      </w:tr>
      <w:tr w14:paraId="3D72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vMerge w:val="continue"/>
            <w:vAlign w:val="center"/>
          </w:tcPr>
          <w:p w14:paraId="6A923115">
            <w:pPr>
              <w:jc w:val="center"/>
              <w:rPr>
                <w:rFonts w:ascii="宋体" w:hAnsi="宋体" w:cs="宋体"/>
                <w:b/>
                <w:sz w:val="22"/>
                <w:szCs w:val="22"/>
              </w:rPr>
            </w:pPr>
          </w:p>
        </w:tc>
        <w:tc>
          <w:tcPr>
            <w:tcW w:w="3961" w:type="dxa"/>
            <w:gridSpan w:val="2"/>
          </w:tcPr>
          <w:p w14:paraId="7A8D52A9">
            <w:pPr>
              <w:jc w:val="center"/>
              <w:rPr>
                <w:rFonts w:ascii="宋体" w:hAnsi="宋体" w:cs="宋体"/>
                <w:b/>
                <w:sz w:val="22"/>
                <w:szCs w:val="22"/>
              </w:rPr>
            </w:pPr>
            <w:r>
              <w:rPr>
                <w:rFonts w:hint="eastAsia" w:ascii="宋体" w:hAnsi="宋体" w:cs="宋体"/>
                <w:b/>
                <w:sz w:val="22"/>
                <w:szCs w:val="22"/>
              </w:rPr>
              <w:t>2.…………</w:t>
            </w:r>
          </w:p>
        </w:tc>
        <w:tc>
          <w:tcPr>
            <w:tcW w:w="1371" w:type="dxa"/>
          </w:tcPr>
          <w:p w14:paraId="3DC4E7C5">
            <w:pPr>
              <w:jc w:val="center"/>
              <w:rPr>
                <w:rFonts w:ascii="宋体" w:hAnsi="宋体" w:cs="宋体"/>
                <w:b/>
                <w:sz w:val="22"/>
                <w:szCs w:val="22"/>
              </w:rPr>
            </w:pPr>
          </w:p>
        </w:tc>
        <w:tc>
          <w:tcPr>
            <w:tcW w:w="1106" w:type="dxa"/>
          </w:tcPr>
          <w:p w14:paraId="17B9FFAE">
            <w:pPr>
              <w:jc w:val="center"/>
              <w:rPr>
                <w:rFonts w:ascii="宋体" w:hAnsi="宋体" w:cs="宋体"/>
                <w:b/>
                <w:sz w:val="22"/>
                <w:szCs w:val="22"/>
              </w:rPr>
            </w:pPr>
          </w:p>
        </w:tc>
        <w:tc>
          <w:tcPr>
            <w:tcW w:w="1201" w:type="dxa"/>
          </w:tcPr>
          <w:p w14:paraId="5DAA8E90">
            <w:pPr>
              <w:jc w:val="center"/>
              <w:rPr>
                <w:rFonts w:ascii="宋体" w:hAnsi="宋体" w:cs="宋体"/>
                <w:b/>
                <w:sz w:val="22"/>
                <w:szCs w:val="22"/>
              </w:rPr>
            </w:pPr>
          </w:p>
        </w:tc>
      </w:tr>
      <w:tr w14:paraId="4CBC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vMerge w:val="continue"/>
            <w:vAlign w:val="center"/>
          </w:tcPr>
          <w:p w14:paraId="1B38A698">
            <w:pPr>
              <w:jc w:val="center"/>
              <w:rPr>
                <w:rFonts w:ascii="宋体" w:hAnsi="宋体" w:cs="宋体"/>
                <w:b/>
                <w:sz w:val="22"/>
                <w:szCs w:val="22"/>
              </w:rPr>
            </w:pPr>
          </w:p>
        </w:tc>
        <w:tc>
          <w:tcPr>
            <w:tcW w:w="3961" w:type="dxa"/>
            <w:gridSpan w:val="2"/>
          </w:tcPr>
          <w:p w14:paraId="4EAF723C">
            <w:pPr>
              <w:jc w:val="center"/>
              <w:rPr>
                <w:rFonts w:ascii="宋体" w:hAnsi="宋体" w:cs="宋体"/>
                <w:b/>
                <w:sz w:val="22"/>
                <w:szCs w:val="22"/>
              </w:rPr>
            </w:pPr>
            <w:r>
              <w:rPr>
                <w:rFonts w:hint="eastAsia" w:ascii="宋体" w:hAnsi="宋体" w:cs="宋体"/>
                <w:b/>
                <w:sz w:val="22"/>
                <w:szCs w:val="22"/>
              </w:rPr>
              <w:t>…………</w:t>
            </w:r>
          </w:p>
        </w:tc>
        <w:tc>
          <w:tcPr>
            <w:tcW w:w="1371" w:type="dxa"/>
          </w:tcPr>
          <w:p w14:paraId="4B0008CA">
            <w:pPr>
              <w:jc w:val="center"/>
              <w:rPr>
                <w:rFonts w:ascii="宋体" w:hAnsi="宋体" w:cs="宋体"/>
                <w:b/>
                <w:sz w:val="22"/>
                <w:szCs w:val="22"/>
              </w:rPr>
            </w:pPr>
          </w:p>
        </w:tc>
        <w:tc>
          <w:tcPr>
            <w:tcW w:w="1106" w:type="dxa"/>
          </w:tcPr>
          <w:p w14:paraId="28DE1C2E">
            <w:pPr>
              <w:jc w:val="center"/>
              <w:rPr>
                <w:rFonts w:ascii="宋体" w:hAnsi="宋体" w:cs="宋体"/>
                <w:b/>
                <w:sz w:val="22"/>
                <w:szCs w:val="22"/>
              </w:rPr>
            </w:pPr>
          </w:p>
        </w:tc>
        <w:tc>
          <w:tcPr>
            <w:tcW w:w="1201" w:type="dxa"/>
          </w:tcPr>
          <w:p w14:paraId="721F1671">
            <w:pPr>
              <w:jc w:val="center"/>
              <w:rPr>
                <w:rFonts w:ascii="宋体" w:hAnsi="宋体" w:cs="宋体"/>
                <w:b/>
                <w:sz w:val="22"/>
                <w:szCs w:val="22"/>
              </w:rPr>
            </w:pPr>
          </w:p>
        </w:tc>
      </w:tr>
      <w:tr w14:paraId="22E4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1" w:type="dxa"/>
            <w:vMerge w:val="restart"/>
            <w:vAlign w:val="center"/>
          </w:tcPr>
          <w:p w14:paraId="07745770">
            <w:pPr>
              <w:jc w:val="center"/>
              <w:rPr>
                <w:rFonts w:ascii="宋体" w:hAnsi="宋体" w:cs="宋体"/>
                <w:b/>
                <w:sz w:val="22"/>
                <w:szCs w:val="22"/>
              </w:rPr>
            </w:pPr>
            <w:r>
              <w:rPr>
                <w:rFonts w:hint="eastAsia" w:ascii="宋体" w:hAnsi="宋体" w:cs="宋体"/>
                <w:b/>
                <w:sz w:val="22"/>
                <w:szCs w:val="22"/>
              </w:rPr>
              <w:t>商务部分</w:t>
            </w:r>
          </w:p>
        </w:tc>
        <w:tc>
          <w:tcPr>
            <w:tcW w:w="3961" w:type="dxa"/>
            <w:gridSpan w:val="2"/>
          </w:tcPr>
          <w:p w14:paraId="617F8792">
            <w:pPr>
              <w:jc w:val="center"/>
              <w:rPr>
                <w:rFonts w:ascii="宋体" w:hAnsi="宋体" w:cs="宋体"/>
                <w:b/>
                <w:sz w:val="22"/>
                <w:szCs w:val="22"/>
              </w:rPr>
            </w:pPr>
            <w:r>
              <w:rPr>
                <w:rFonts w:hint="eastAsia" w:ascii="宋体" w:hAnsi="宋体" w:cs="宋体"/>
                <w:b/>
                <w:sz w:val="22"/>
                <w:szCs w:val="22"/>
              </w:rPr>
              <w:t>1.…………</w:t>
            </w:r>
          </w:p>
        </w:tc>
        <w:tc>
          <w:tcPr>
            <w:tcW w:w="1371" w:type="dxa"/>
          </w:tcPr>
          <w:p w14:paraId="301F523F">
            <w:pPr>
              <w:jc w:val="center"/>
              <w:rPr>
                <w:rFonts w:ascii="宋体" w:hAnsi="宋体" w:cs="宋体"/>
                <w:b/>
                <w:sz w:val="22"/>
                <w:szCs w:val="22"/>
              </w:rPr>
            </w:pPr>
          </w:p>
        </w:tc>
        <w:tc>
          <w:tcPr>
            <w:tcW w:w="1106" w:type="dxa"/>
          </w:tcPr>
          <w:p w14:paraId="6CF474DB">
            <w:pPr>
              <w:jc w:val="center"/>
              <w:rPr>
                <w:rFonts w:ascii="宋体" w:hAnsi="宋体" w:cs="宋体"/>
                <w:b/>
                <w:sz w:val="22"/>
                <w:szCs w:val="22"/>
              </w:rPr>
            </w:pPr>
          </w:p>
        </w:tc>
        <w:tc>
          <w:tcPr>
            <w:tcW w:w="1201" w:type="dxa"/>
          </w:tcPr>
          <w:p w14:paraId="4FC0D73D">
            <w:pPr>
              <w:jc w:val="center"/>
              <w:rPr>
                <w:rFonts w:ascii="宋体" w:hAnsi="宋体" w:cs="宋体"/>
                <w:b/>
                <w:sz w:val="22"/>
                <w:szCs w:val="22"/>
              </w:rPr>
            </w:pPr>
          </w:p>
        </w:tc>
      </w:tr>
      <w:tr w14:paraId="2441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1" w:type="dxa"/>
            <w:vMerge w:val="continue"/>
          </w:tcPr>
          <w:p w14:paraId="36D7C467">
            <w:pPr>
              <w:jc w:val="center"/>
              <w:rPr>
                <w:rFonts w:ascii="宋体" w:hAnsi="宋体" w:cs="宋体"/>
                <w:b/>
                <w:sz w:val="22"/>
                <w:szCs w:val="22"/>
              </w:rPr>
            </w:pPr>
          </w:p>
        </w:tc>
        <w:tc>
          <w:tcPr>
            <w:tcW w:w="3961" w:type="dxa"/>
            <w:gridSpan w:val="2"/>
          </w:tcPr>
          <w:p w14:paraId="499C8C61">
            <w:pPr>
              <w:jc w:val="center"/>
              <w:rPr>
                <w:rFonts w:ascii="宋体" w:hAnsi="宋体" w:cs="宋体"/>
                <w:b/>
                <w:sz w:val="22"/>
                <w:szCs w:val="22"/>
              </w:rPr>
            </w:pPr>
            <w:r>
              <w:rPr>
                <w:rFonts w:hint="eastAsia" w:ascii="宋体" w:hAnsi="宋体" w:cs="宋体"/>
                <w:b/>
                <w:sz w:val="22"/>
                <w:szCs w:val="22"/>
              </w:rPr>
              <w:t>2.…………</w:t>
            </w:r>
          </w:p>
        </w:tc>
        <w:tc>
          <w:tcPr>
            <w:tcW w:w="1371" w:type="dxa"/>
          </w:tcPr>
          <w:p w14:paraId="3BE3BA95">
            <w:pPr>
              <w:jc w:val="center"/>
              <w:rPr>
                <w:rFonts w:ascii="宋体" w:hAnsi="宋体" w:cs="宋体"/>
                <w:b/>
                <w:sz w:val="22"/>
                <w:szCs w:val="22"/>
              </w:rPr>
            </w:pPr>
          </w:p>
        </w:tc>
        <w:tc>
          <w:tcPr>
            <w:tcW w:w="1106" w:type="dxa"/>
          </w:tcPr>
          <w:p w14:paraId="3A7E7485">
            <w:pPr>
              <w:jc w:val="center"/>
              <w:rPr>
                <w:rFonts w:ascii="宋体" w:hAnsi="宋体" w:cs="宋体"/>
                <w:b/>
                <w:sz w:val="22"/>
                <w:szCs w:val="22"/>
              </w:rPr>
            </w:pPr>
          </w:p>
        </w:tc>
        <w:tc>
          <w:tcPr>
            <w:tcW w:w="1201" w:type="dxa"/>
          </w:tcPr>
          <w:p w14:paraId="50D5F24D">
            <w:pPr>
              <w:jc w:val="center"/>
              <w:rPr>
                <w:rFonts w:ascii="宋体" w:hAnsi="宋体" w:cs="宋体"/>
                <w:b/>
                <w:sz w:val="22"/>
                <w:szCs w:val="22"/>
              </w:rPr>
            </w:pPr>
          </w:p>
        </w:tc>
      </w:tr>
      <w:tr w14:paraId="4902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01" w:type="dxa"/>
            <w:vMerge w:val="continue"/>
          </w:tcPr>
          <w:p w14:paraId="77E7DB0A">
            <w:pPr>
              <w:jc w:val="center"/>
              <w:rPr>
                <w:rFonts w:ascii="宋体" w:hAnsi="宋体" w:cs="宋体"/>
                <w:b/>
                <w:sz w:val="22"/>
                <w:szCs w:val="22"/>
              </w:rPr>
            </w:pPr>
          </w:p>
        </w:tc>
        <w:tc>
          <w:tcPr>
            <w:tcW w:w="3961" w:type="dxa"/>
            <w:gridSpan w:val="2"/>
          </w:tcPr>
          <w:p w14:paraId="6B364C66">
            <w:pPr>
              <w:jc w:val="center"/>
              <w:rPr>
                <w:rFonts w:ascii="宋体" w:hAnsi="宋体" w:cs="宋体"/>
                <w:b/>
                <w:sz w:val="22"/>
                <w:szCs w:val="22"/>
              </w:rPr>
            </w:pPr>
            <w:r>
              <w:rPr>
                <w:rFonts w:hint="eastAsia" w:ascii="宋体" w:hAnsi="宋体" w:cs="宋体"/>
                <w:b/>
                <w:sz w:val="22"/>
                <w:szCs w:val="22"/>
              </w:rPr>
              <w:t>…………</w:t>
            </w:r>
          </w:p>
        </w:tc>
        <w:tc>
          <w:tcPr>
            <w:tcW w:w="1371" w:type="dxa"/>
          </w:tcPr>
          <w:p w14:paraId="6081BF98">
            <w:pPr>
              <w:jc w:val="center"/>
              <w:rPr>
                <w:rFonts w:ascii="宋体" w:hAnsi="宋体" w:cs="宋体"/>
                <w:b/>
                <w:sz w:val="22"/>
                <w:szCs w:val="22"/>
              </w:rPr>
            </w:pPr>
          </w:p>
        </w:tc>
        <w:tc>
          <w:tcPr>
            <w:tcW w:w="1106" w:type="dxa"/>
          </w:tcPr>
          <w:p w14:paraId="13EB9ECB">
            <w:pPr>
              <w:jc w:val="center"/>
              <w:rPr>
                <w:rFonts w:ascii="宋体" w:hAnsi="宋体" w:cs="宋体"/>
                <w:b/>
                <w:sz w:val="22"/>
                <w:szCs w:val="22"/>
              </w:rPr>
            </w:pPr>
          </w:p>
        </w:tc>
        <w:tc>
          <w:tcPr>
            <w:tcW w:w="1201" w:type="dxa"/>
          </w:tcPr>
          <w:p w14:paraId="6A8459FA">
            <w:pPr>
              <w:jc w:val="center"/>
              <w:rPr>
                <w:rFonts w:ascii="宋体" w:hAnsi="宋体" w:cs="宋体"/>
                <w:b/>
                <w:sz w:val="22"/>
                <w:szCs w:val="22"/>
              </w:rPr>
            </w:pPr>
          </w:p>
        </w:tc>
      </w:tr>
    </w:tbl>
    <w:p w14:paraId="2A6D94A7">
      <w:pPr>
        <w:ind w:firstLine="442" w:firstLineChars="200"/>
        <w:rPr>
          <w:rFonts w:ascii="宋体" w:hAnsi="宋体" w:cs="宋体"/>
          <w:b/>
          <w:sz w:val="22"/>
          <w:szCs w:val="22"/>
        </w:rPr>
      </w:pPr>
      <w:r>
        <w:rPr>
          <w:rFonts w:hint="eastAsia" w:ascii="宋体" w:hAnsi="宋体" w:cs="宋体"/>
          <w:b/>
          <w:sz w:val="22"/>
          <w:szCs w:val="22"/>
        </w:rPr>
        <w:t>注：请投标人按照“关键信息——投标文件初审表、评标信息”的审查和评分内容，自上而下的顺序填写本表。因项目次序混乱而影响评标效率及评标结果者，投标人自负其责。</w:t>
      </w:r>
    </w:p>
    <w:p w14:paraId="66421818">
      <w:pPr>
        <w:jc w:val="center"/>
        <w:rPr>
          <w:rFonts w:ascii="宋体" w:hAnsi="宋体" w:cs="宋体"/>
          <w:szCs w:val="21"/>
        </w:rPr>
      </w:pPr>
    </w:p>
    <w:p w14:paraId="3D08819C"/>
    <w:p w14:paraId="18ADA064">
      <w:pPr>
        <w:numPr>
          <w:ilvl w:val="0"/>
          <w:numId w:val="8"/>
        </w:numPr>
        <w:ind w:left="420" w:firstLine="0"/>
        <w:jc w:val="center"/>
        <w:outlineLvl w:val="2"/>
        <w:rPr>
          <w:rFonts w:ascii="宋体" w:hAnsi="宋体" w:cs="宋体"/>
          <w:b/>
          <w:sz w:val="32"/>
          <w:szCs w:val="32"/>
        </w:rPr>
      </w:pPr>
      <w:r>
        <w:rPr>
          <w:rFonts w:hint="eastAsia" w:ascii="宋体" w:hAnsi="宋体" w:cs="宋体"/>
          <w:szCs w:val="21"/>
        </w:rPr>
        <w:br w:type="page"/>
      </w:r>
      <w:r>
        <w:rPr>
          <w:rFonts w:hint="eastAsia" w:ascii="宋体" w:hAnsi="宋体" w:cs="宋体"/>
          <w:b/>
          <w:sz w:val="32"/>
          <w:szCs w:val="32"/>
        </w:rPr>
        <w:t>投标函</w:t>
      </w:r>
    </w:p>
    <w:p w14:paraId="6612B54B">
      <w:pPr>
        <w:spacing w:line="360" w:lineRule="exact"/>
        <w:rPr>
          <w:rFonts w:ascii="宋体" w:hAnsi="宋体" w:cs="宋体"/>
          <w:sz w:val="22"/>
          <w:szCs w:val="22"/>
        </w:rPr>
      </w:pPr>
      <w:r>
        <w:rPr>
          <w:rFonts w:hint="eastAsia" w:ascii="宋体" w:hAnsi="宋体" w:cs="宋体"/>
          <w:sz w:val="22"/>
          <w:szCs w:val="22"/>
        </w:rPr>
        <w:t>致：</w:t>
      </w:r>
      <w:r>
        <w:rPr>
          <w:rFonts w:hint="eastAsia" w:ascii="宋体" w:hAnsi="宋体" w:cs="宋体"/>
          <w:kern w:val="0"/>
          <w:sz w:val="22"/>
          <w:szCs w:val="22"/>
        </w:rPr>
        <w:t>深圳市东海国际招标有限公司</w:t>
      </w:r>
    </w:p>
    <w:p w14:paraId="36E27219">
      <w:pPr>
        <w:spacing w:line="360" w:lineRule="exact"/>
        <w:ind w:firstLine="440" w:firstLineChars="200"/>
        <w:rPr>
          <w:rFonts w:ascii="宋体" w:hAnsi="宋体" w:cs="宋体"/>
          <w:sz w:val="22"/>
          <w:szCs w:val="22"/>
        </w:rPr>
      </w:pPr>
      <w:r>
        <w:rPr>
          <w:rFonts w:hint="eastAsia" w:ascii="宋体" w:hAnsi="宋体" w:cs="宋体"/>
          <w:sz w:val="22"/>
          <w:szCs w:val="22"/>
        </w:rPr>
        <w:t>根据贵方</w:t>
      </w:r>
      <w:r>
        <w:rPr>
          <w:rFonts w:hint="eastAsia" w:ascii="宋体" w:hAnsi="宋体" w:cs="宋体"/>
          <w:sz w:val="22"/>
          <w:szCs w:val="22"/>
          <w:u w:val="single"/>
        </w:rPr>
        <w:t xml:space="preserve">                     （项目名称）</w:t>
      </w:r>
      <w:r>
        <w:rPr>
          <w:rFonts w:hint="eastAsia" w:ascii="宋体" w:hAnsi="宋体" w:cs="宋体"/>
          <w:sz w:val="22"/>
          <w:szCs w:val="22"/>
        </w:rPr>
        <w:t>的招标公告</w:t>
      </w:r>
      <w:r>
        <w:rPr>
          <w:rFonts w:hint="eastAsia" w:ascii="宋体" w:hAnsi="宋体" w:cs="宋体"/>
          <w:sz w:val="22"/>
          <w:szCs w:val="22"/>
          <w:u w:val="single"/>
        </w:rPr>
        <w:t>（项目编号为      ）</w:t>
      </w:r>
      <w:r>
        <w:rPr>
          <w:rFonts w:hint="eastAsia" w:ascii="宋体" w:hAnsi="宋体" w:cs="宋体"/>
          <w:sz w:val="22"/>
          <w:szCs w:val="22"/>
        </w:rPr>
        <w:t>，本人经我方法定代表人授权正式代表投标人</w:t>
      </w:r>
      <w:r>
        <w:rPr>
          <w:rFonts w:hint="eastAsia" w:ascii="宋体" w:hAnsi="宋体" w:cs="宋体"/>
          <w:sz w:val="22"/>
          <w:szCs w:val="22"/>
          <w:u w:val="single"/>
        </w:rPr>
        <w:t xml:space="preserve">                    </w:t>
      </w:r>
      <w:r>
        <w:rPr>
          <w:rFonts w:hint="eastAsia" w:ascii="宋体" w:hAnsi="宋体" w:cs="宋体"/>
          <w:sz w:val="22"/>
          <w:szCs w:val="22"/>
        </w:rPr>
        <w:t>（投标人的名称），提交唱标信封1份及投标文件正本1份，副本5份，投标文件电子版1份（盖章扫描件）。</w:t>
      </w:r>
    </w:p>
    <w:p w14:paraId="280AEB19">
      <w:pPr>
        <w:spacing w:line="360" w:lineRule="exact"/>
        <w:rPr>
          <w:rFonts w:ascii="宋体" w:hAnsi="宋体" w:cs="宋体"/>
          <w:sz w:val="22"/>
          <w:szCs w:val="22"/>
        </w:rPr>
      </w:pPr>
      <w:r>
        <w:rPr>
          <w:rFonts w:hint="eastAsia" w:ascii="宋体" w:hAnsi="宋体" w:cs="宋体"/>
          <w:sz w:val="22"/>
          <w:szCs w:val="22"/>
        </w:rPr>
        <w:t xml:space="preserve">    据此函，本人代表投标方保证，所提供的全部资料是真实的。本人承诺：</w:t>
      </w:r>
    </w:p>
    <w:p w14:paraId="6FFBBAD6">
      <w:pPr>
        <w:spacing w:line="360" w:lineRule="exact"/>
        <w:ind w:firstLine="440" w:firstLineChars="200"/>
        <w:rPr>
          <w:rFonts w:ascii="宋体" w:hAnsi="宋体" w:cs="宋体"/>
          <w:sz w:val="22"/>
          <w:szCs w:val="22"/>
        </w:rPr>
      </w:pPr>
      <w:r>
        <w:rPr>
          <w:rFonts w:hint="eastAsia" w:ascii="宋体" w:hAnsi="宋体" w:cs="宋体"/>
          <w:sz w:val="22"/>
          <w:szCs w:val="22"/>
        </w:rPr>
        <w:t>（1）我方愿以开标一览表中的投标报价并按采购文件要求承包上述项目并修补其任何缺陷；</w:t>
      </w:r>
    </w:p>
    <w:p w14:paraId="5B8CE44B">
      <w:pPr>
        <w:spacing w:line="360" w:lineRule="exact"/>
        <w:ind w:firstLine="440" w:firstLineChars="200"/>
        <w:rPr>
          <w:rFonts w:ascii="宋体" w:hAnsi="宋体" w:cs="宋体"/>
          <w:sz w:val="22"/>
          <w:szCs w:val="22"/>
        </w:rPr>
      </w:pPr>
      <w:r>
        <w:rPr>
          <w:rFonts w:hint="eastAsia" w:ascii="宋体" w:hAnsi="宋体" w:cs="宋体"/>
          <w:sz w:val="22"/>
          <w:szCs w:val="22"/>
        </w:rPr>
        <w:t>（2）我方承担根据采购文件的规定，完成合同的责任和义务。</w:t>
      </w:r>
    </w:p>
    <w:p w14:paraId="7451841E">
      <w:pPr>
        <w:spacing w:line="360" w:lineRule="exact"/>
        <w:ind w:firstLine="440" w:firstLineChars="200"/>
        <w:rPr>
          <w:rFonts w:ascii="宋体" w:hAnsi="宋体" w:cs="宋体"/>
          <w:sz w:val="22"/>
          <w:szCs w:val="22"/>
        </w:rPr>
      </w:pPr>
      <w:r>
        <w:rPr>
          <w:rFonts w:hint="eastAsia" w:ascii="宋体" w:hAnsi="宋体" w:cs="宋体"/>
          <w:sz w:val="22"/>
          <w:szCs w:val="22"/>
        </w:rPr>
        <w:t>（3）我方已详细阅读了全部采购文件，包括采购文件修改书（如果有的话），参考资料及有关附件，我们完全理解并同意放弃对这方面有不清楚或误解的问题和质疑投诉的权利。</w:t>
      </w:r>
    </w:p>
    <w:p w14:paraId="41B689E6">
      <w:pPr>
        <w:spacing w:line="360" w:lineRule="exact"/>
        <w:ind w:firstLine="440" w:firstLineChars="200"/>
        <w:rPr>
          <w:rFonts w:ascii="宋体" w:hAnsi="宋体" w:cs="宋体"/>
          <w:sz w:val="22"/>
          <w:szCs w:val="22"/>
        </w:rPr>
      </w:pPr>
      <w:r>
        <w:rPr>
          <w:rFonts w:hint="eastAsia" w:ascii="宋体" w:hAnsi="宋体" w:cs="宋体"/>
          <w:sz w:val="22"/>
          <w:szCs w:val="22"/>
        </w:rPr>
        <w:t>（4）我方同意所递交的投标文件在“关键信息-投标须知前附表”规定的投标有效期内有效，在此期间内我方的投标有可能中标，我方将受此约束。</w:t>
      </w:r>
    </w:p>
    <w:p w14:paraId="10C0AF00">
      <w:pPr>
        <w:spacing w:line="360" w:lineRule="exact"/>
        <w:ind w:firstLine="440" w:firstLineChars="200"/>
        <w:rPr>
          <w:rFonts w:ascii="宋体" w:hAnsi="宋体" w:cs="宋体"/>
          <w:sz w:val="22"/>
          <w:szCs w:val="22"/>
        </w:rPr>
      </w:pPr>
      <w:r>
        <w:rPr>
          <w:rFonts w:hint="eastAsia" w:ascii="宋体" w:hAnsi="宋体" w:cs="宋体"/>
          <w:sz w:val="22"/>
          <w:szCs w:val="22"/>
        </w:rPr>
        <w:t>（5）除非另外达成协议并生效，贵方的中标通知书和本投标文件将构成约束我们双方的合同。</w:t>
      </w:r>
    </w:p>
    <w:p w14:paraId="5A7471F9">
      <w:pPr>
        <w:spacing w:line="360" w:lineRule="exact"/>
        <w:ind w:firstLine="440" w:firstLineChars="200"/>
        <w:rPr>
          <w:rFonts w:ascii="宋体" w:hAnsi="宋体" w:cs="宋体"/>
          <w:sz w:val="22"/>
          <w:szCs w:val="22"/>
        </w:rPr>
      </w:pPr>
      <w:r>
        <w:rPr>
          <w:rFonts w:hint="eastAsia" w:ascii="宋体" w:hAnsi="宋体" w:cs="宋体"/>
          <w:sz w:val="22"/>
          <w:szCs w:val="22"/>
        </w:rPr>
        <w:t>（6）同意向贵方提供贵方可能要求的与本投标有关的任何证据或资料。</w:t>
      </w:r>
    </w:p>
    <w:p w14:paraId="62539CA8">
      <w:pPr>
        <w:spacing w:line="360" w:lineRule="exact"/>
        <w:ind w:firstLine="440" w:firstLineChars="200"/>
        <w:rPr>
          <w:rFonts w:ascii="宋体" w:hAnsi="宋体" w:cs="宋体"/>
          <w:sz w:val="22"/>
          <w:szCs w:val="22"/>
        </w:rPr>
      </w:pPr>
      <w:r>
        <w:rPr>
          <w:rFonts w:hint="eastAsia" w:ascii="宋体" w:hAnsi="宋体" w:cs="宋体"/>
          <w:sz w:val="22"/>
          <w:szCs w:val="22"/>
        </w:rPr>
        <w:t>（7）我方完全理解贵方不一定要接受最低报价的投标或收到的任何投标。</w:t>
      </w:r>
    </w:p>
    <w:p w14:paraId="07840988">
      <w:pPr>
        <w:spacing w:line="360" w:lineRule="exact"/>
        <w:ind w:firstLine="440" w:firstLineChars="200"/>
        <w:rPr>
          <w:rFonts w:ascii="宋体" w:hAnsi="宋体" w:cs="宋体"/>
          <w:sz w:val="22"/>
          <w:szCs w:val="22"/>
        </w:rPr>
      </w:pPr>
    </w:p>
    <w:p w14:paraId="5EB62BA7">
      <w:pPr>
        <w:spacing w:line="360" w:lineRule="exact"/>
        <w:ind w:firstLine="440" w:firstLineChars="200"/>
        <w:rPr>
          <w:rFonts w:ascii="宋体" w:hAnsi="宋体" w:cs="宋体"/>
          <w:sz w:val="22"/>
          <w:szCs w:val="22"/>
        </w:rPr>
      </w:pPr>
    </w:p>
    <w:p w14:paraId="78B1F2C6">
      <w:pPr>
        <w:spacing w:line="360" w:lineRule="exact"/>
        <w:ind w:firstLine="440" w:firstLineChars="200"/>
        <w:rPr>
          <w:rFonts w:ascii="宋体" w:hAnsi="宋体" w:cs="宋体"/>
          <w:sz w:val="22"/>
          <w:szCs w:val="22"/>
        </w:rPr>
      </w:pPr>
      <w:r>
        <w:rPr>
          <w:rFonts w:hint="eastAsia" w:ascii="宋体" w:hAnsi="宋体" w:cs="宋体"/>
          <w:sz w:val="22"/>
          <w:szCs w:val="22"/>
        </w:rPr>
        <w:t>与本投标有关的正式通信方式：</w:t>
      </w:r>
    </w:p>
    <w:p w14:paraId="693B2302">
      <w:pPr>
        <w:spacing w:line="360" w:lineRule="exact"/>
        <w:ind w:firstLine="440" w:firstLineChars="200"/>
        <w:rPr>
          <w:rFonts w:ascii="宋体" w:hAnsi="宋体" w:cs="宋体"/>
          <w:sz w:val="22"/>
          <w:szCs w:val="22"/>
          <w:u w:val="single"/>
        </w:rPr>
      </w:pPr>
      <w:r>
        <w:rPr>
          <w:rFonts w:hint="eastAsia" w:ascii="宋体" w:hAnsi="宋体" w:cs="宋体"/>
          <w:sz w:val="22"/>
          <w:szCs w:val="22"/>
        </w:rPr>
        <w:t>地址：</w:t>
      </w:r>
      <w:r>
        <w:rPr>
          <w:rFonts w:hint="eastAsia" w:ascii="宋体" w:hAnsi="宋体" w:cs="宋体"/>
          <w:sz w:val="22"/>
          <w:szCs w:val="22"/>
          <w:u w:val="single"/>
        </w:rPr>
        <w:t xml:space="preserve">                                          </w:t>
      </w:r>
      <w:r>
        <w:rPr>
          <w:rFonts w:hint="eastAsia" w:ascii="宋体" w:hAnsi="宋体" w:cs="宋体"/>
          <w:sz w:val="22"/>
          <w:szCs w:val="22"/>
        </w:rPr>
        <w:t xml:space="preserve"> 邮政编码：</w:t>
      </w:r>
      <w:r>
        <w:rPr>
          <w:rFonts w:hint="eastAsia" w:ascii="宋体" w:hAnsi="宋体" w:cs="宋体"/>
          <w:sz w:val="22"/>
          <w:szCs w:val="22"/>
          <w:u w:val="single"/>
        </w:rPr>
        <w:t xml:space="preserve">         </w:t>
      </w:r>
    </w:p>
    <w:p w14:paraId="5A352B89">
      <w:pPr>
        <w:spacing w:line="360" w:lineRule="exact"/>
        <w:ind w:firstLine="440" w:firstLineChars="200"/>
        <w:rPr>
          <w:rFonts w:ascii="宋体" w:hAnsi="宋体" w:cs="宋体"/>
          <w:sz w:val="22"/>
          <w:szCs w:val="22"/>
          <w:u w:val="single"/>
        </w:rPr>
      </w:pPr>
      <w:r>
        <w:rPr>
          <w:rFonts w:hint="eastAsia" w:ascii="宋体" w:hAnsi="宋体" w:cs="宋体"/>
          <w:sz w:val="22"/>
          <w:szCs w:val="22"/>
        </w:rPr>
        <w:t>电话、手机、传真或电传：</w:t>
      </w:r>
      <w:r>
        <w:rPr>
          <w:rFonts w:hint="eastAsia" w:ascii="宋体" w:hAnsi="宋体" w:cs="宋体"/>
          <w:sz w:val="22"/>
          <w:szCs w:val="22"/>
          <w:u w:val="single"/>
        </w:rPr>
        <w:t xml:space="preserve">                                            </w:t>
      </w:r>
    </w:p>
    <w:p w14:paraId="0C25E1E7">
      <w:pPr>
        <w:spacing w:line="360" w:lineRule="exact"/>
        <w:ind w:firstLine="440" w:firstLineChars="200"/>
        <w:rPr>
          <w:rFonts w:ascii="宋体" w:hAnsi="宋体" w:cs="宋体"/>
          <w:sz w:val="22"/>
          <w:szCs w:val="22"/>
          <w:u w:val="single"/>
        </w:rPr>
      </w:pPr>
      <w:r>
        <w:rPr>
          <w:rFonts w:hint="eastAsia" w:ascii="宋体" w:hAnsi="宋体" w:cs="宋体"/>
          <w:sz w:val="22"/>
          <w:szCs w:val="22"/>
        </w:rPr>
        <w:t>开户银行名称：</w:t>
      </w:r>
      <w:r>
        <w:rPr>
          <w:rFonts w:hint="eastAsia" w:ascii="宋体" w:hAnsi="宋体" w:cs="宋体"/>
          <w:sz w:val="22"/>
          <w:szCs w:val="22"/>
          <w:u w:val="single"/>
        </w:rPr>
        <w:t xml:space="preserve">               </w:t>
      </w:r>
      <w:r>
        <w:rPr>
          <w:rFonts w:hint="eastAsia" w:ascii="宋体" w:hAnsi="宋体" w:cs="宋体"/>
          <w:sz w:val="22"/>
          <w:szCs w:val="22"/>
        </w:rPr>
        <w:t xml:space="preserve"> 开户银行账号：</w:t>
      </w:r>
      <w:r>
        <w:rPr>
          <w:rFonts w:hint="eastAsia" w:ascii="宋体" w:hAnsi="宋体" w:cs="宋体"/>
          <w:sz w:val="22"/>
          <w:szCs w:val="22"/>
          <w:u w:val="single"/>
        </w:rPr>
        <w:t xml:space="preserve">               </w:t>
      </w:r>
    </w:p>
    <w:p w14:paraId="50AE3332">
      <w:pPr>
        <w:spacing w:line="360" w:lineRule="exact"/>
        <w:ind w:firstLine="440" w:firstLineChars="200"/>
        <w:rPr>
          <w:rFonts w:ascii="宋体" w:hAnsi="宋体" w:cs="宋体"/>
          <w:sz w:val="22"/>
          <w:szCs w:val="22"/>
          <w:u w:val="single"/>
        </w:rPr>
      </w:pPr>
      <w:r>
        <w:rPr>
          <w:rFonts w:hint="eastAsia" w:ascii="宋体" w:hAnsi="宋体" w:cs="宋体"/>
          <w:sz w:val="22"/>
          <w:szCs w:val="22"/>
        </w:rPr>
        <w:t>开户银行地址：</w:t>
      </w:r>
      <w:r>
        <w:rPr>
          <w:rFonts w:hint="eastAsia" w:ascii="宋体" w:hAnsi="宋体" w:cs="宋体"/>
          <w:sz w:val="22"/>
          <w:szCs w:val="22"/>
          <w:u w:val="single"/>
        </w:rPr>
        <w:t xml:space="preserve">               </w:t>
      </w:r>
      <w:r>
        <w:rPr>
          <w:rFonts w:hint="eastAsia" w:ascii="宋体" w:hAnsi="宋体" w:cs="宋体"/>
          <w:sz w:val="22"/>
          <w:szCs w:val="22"/>
        </w:rPr>
        <w:t xml:space="preserve"> 开户银行电话：</w:t>
      </w:r>
      <w:r>
        <w:rPr>
          <w:rFonts w:hint="eastAsia" w:ascii="宋体" w:hAnsi="宋体" w:cs="宋体"/>
          <w:sz w:val="22"/>
          <w:szCs w:val="22"/>
          <w:u w:val="single"/>
        </w:rPr>
        <w:t xml:space="preserve">               </w:t>
      </w:r>
    </w:p>
    <w:p w14:paraId="4A40DBB0">
      <w:pPr>
        <w:spacing w:line="360" w:lineRule="exact"/>
        <w:ind w:firstLine="5317" w:firstLineChars="2417"/>
        <w:rPr>
          <w:rFonts w:ascii="宋体" w:hAnsi="宋体" w:cs="宋体"/>
          <w:sz w:val="22"/>
          <w:szCs w:val="22"/>
        </w:rPr>
      </w:pPr>
    </w:p>
    <w:p w14:paraId="13461760">
      <w:pPr>
        <w:spacing w:line="360" w:lineRule="auto"/>
        <w:rPr>
          <w:sz w:val="22"/>
        </w:rPr>
      </w:pPr>
      <w:r>
        <w:rPr>
          <w:rFonts w:hint="eastAsia" w:ascii="宋体" w:hAnsi="宋体"/>
          <w:sz w:val="22"/>
          <w:lang w:val="zh-CN"/>
        </w:rPr>
        <w:t>法定代表人（</w:t>
      </w:r>
      <w:r>
        <w:rPr>
          <w:rFonts w:hint="eastAsia" w:ascii="宋体" w:hAnsi="宋体"/>
          <w:sz w:val="22"/>
        </w:rPr>
        <w:t>单位负责人</w:t>
      </w:r>
      <w:r>
        <w:rPr>
          <w:rFonts w:hint="eastAsia" w:ascii="宋体" w:hAnsi="宋体"/>
          <w:sz w:val="22"/>
          <w:lang w:val="zh-CN"/>
        </w:rPr>
        <w:t>）或其授权代表（签字</w:t>
      </w:r>
      <w:r>
        <w:rPr>
          <w:rFonts w:hint="eastAsia" w:ascii="宋体" w:hAnsi="宋体"/>
          <w:sz w:val="22"/>
        </w:rPr>
        <w:t>或盖章</w:t>
      </w:r>
      <w:r>
        <w:rPr>
          <w:rFonts w:hint="eastAsia" w:ascii="宋体" w:hAnsi="宋体"/>
          <w:sz w:val="22"/>
          <w:lang w:val="zh-CN"/>
        </w:rPr>
        <w:t>）</w:t>
      </w:r>
      <w:r>
        <w:rPr>
          <w:rFonts w:hint="eastAsia"/>
          <w:sz w:val="22"/>
        </w:rPr>
        <w:t xml:space="preserve">：                   </w:t>
      </w:r>
    </w:p>
    <w:p w14:paraId="2B4303C6">
      <w:pPr>
        <w:spacing w:line="360" w:lineRule="auto"/>
        <w:rPr>
          <w:sz w:val="22"/>
        </w:rPr>
      </w:pPr>
      <w:r>
        <w:rPr>
          <w:rFonts w:hint="eastAsia"/>
          <w:sz w:val="22"/>
        </w:rPr>
        <w:t xml:space="preserve">投标人名称（盖章）：                        </w:t>
      </w:r>
    </w:p>
    <w:p w14:paraId="70356B0C">
      <w:pPr>
        <w:spacing w:line="360" w:lineRule="auto"/>
        <w:rPr>
          <w:sz w:val="22"/>
        </w:rPr>
      </w:pPr>
      <w:r>
        <w:rPr>
          <w:rFonts w:hint="eastAsia"/>
          <w:sz w:val="22"/>
        </w:rPr>
        <w:t>日期：   年   月   日</w:t>
      </w:r>
    </w:p>
    <w:p w14:paraId="0E791EFC">
      <w:pPr>
        <w:rPr>
          <w:b/>
          <w:sz w:val="24"/>
        </w:rPr>
      </w:pPr>
    </w:p>
    <w:p w14:paraId="08596423">
      <w:pPr>
        <w:jc w:val="center"/>
        <w:rPr>
          <w:b/>
          <w:bCs/>
          <w:sz w:val="32"/>
          <w:szCs w:val="32"/>
        </w:rPr>
      </w:pPr>
    </w:p>
    <w:p w14:paraId="31389DD5">
      <w:pPr>
        <w:spacing w:line="360" w:lineRule="auto"/>
        <w:jc w:val="center"/>
        <w:rPr>
          <w:b/>
          <w:bCs/>
          <w:sz w:val="32"/>
          <w:szCs w:val="32"/>
        </w:rPr>
      </w:pPr>
    </w:p>
    <w:p w14:paraId="2FA4CB49">
      <w:pPr>
        <w:spacing w:line="360" w:lineRule="auto"/>
        <w:jc w:val="center"/>
        <w:rPr>
          <w:b/>
          <w:bCs/>
          <w:sz w:val="32"/>
          <w:szCs w:val="32"/>
        </w:rPr>
      </w:pPr>
    </w:p>
    <w:p w14:paraId="5C97139D">
      <w:pPr>
        <w:spacing w:line="360" w:lineRule="auto"/>
        <w:jc w:val="both"/>
        <w:rPr>
          <w:rFonts w:ascii="宋体" w:hAnsi="宋体" w:cs="宋体"/>
          <w:szCs w:val="21"/>
        </w:rPr>
      </w:pPr>
      <w:r>
        <w:rPr>
          <w:rFonts w:hint="eastAsia" w:ascii="宋体" w:hAnsi="宋体" w:cs="宋体"/>
          <w:szCs w:val="21"/>
        </w:rPr>
        <w:br w:type="page"/>
      </w:r>
    </w:p>
    <w:p w14:paraId="0187257C">
      <w:pPr>
        <w:numPr>
          <w:ilvl w:val="0"/>
          <w:numId w:val="8"/>
        </w:numPr>
        <w:ind w:left="420" w:firstLine="0"/>
        <w:jc w:val="center"/>
        <w:outlineLvl w:val="2"/>
        <w:rPr>
          <w:rFonts w:ascii="宋体" w:hAnsi="宋体" w:cs="宋体"/>
          <w:b/>
          <w:bCs/>
          <w:sz w:val="32"/>
        </w:rPr>
      </w:pPr>
      <w:r>
        <w:rPr>
          <w:rFonts w:hint="eastAsia" w:ascii="宋体" w:hAnsi="宋体" w:cs="宋体"/>
          <w:b/>
          <w:bCs/>
          <w:sz w:val="32"/>
        </w:rPr>
        <w:t>政府采购投标及履约承诺函</w:t>
      </w:r>
    </w:p>
    <w:p w14:paraId="5E6ACE41">
      <w:pPr>
        <w:widowControl/>
        <w:spacing w:line="240" w:lineRule="exact"/>
        <w:jc w:val="left"/>
        <w:rPr>
          <w:rFonts w:ascii="宋体" w:hAnsi="宋体" w:cs="宋体"/>
          <w:kern w:val="0"/>
          <w:sz w:val="32"/>
          <w:szCs w:val="18"/>
        </w:rPr>
      </w:pPr>
    </w:p>
    <w:p w14:paraId="5CDCBD45">
      <w:pPr>
        <w:ind w:right="-815" w:firstLine="420" w:firstLineChars="200"/>
        <w:rPr>
          <w:rFonts w:ascii="宋体" w:hAnsi="宋体"/>
          <w:szCs w:val="21"/>
        </w:rPr>
      </w:pPr>
      <w:r>
        <w:rPr>
          <w:rFonts w:hint="eastAsia" w:ascii="宋体" w:hAnsi="宋体"/>
          <w:szCs w:val="21"/>
        </w:rPr>
        <w:t>我单位承诺：</w:t>
      </w:r>
    </w:p>
    <w:p w14:paraId="4D58565A">
      <w:pPr>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65C2300D">
      <w:pPr>
        <w:ind w:firstLine="420" w:firstLineChars="200"/>
        <w:rPr>
          <w:rFonts w:ascii="宋体" w:hAnsi="宋体"/>
          <w:szCs w:val="21"/>
        </w:rPr>
      </w:pPr>
      <w:r>
        <w:rPr>
          <w:rFonts w:hint="eastAsia" w:ascii="宋体" w:hAnsi="宋体"/>
          <w:szCs w:val="21"/>
        </w:rPr>
        <w:t>2.我单位参与该项目投标，符合招标文件关于联合体及进口产品的相关资格要求。</w:t>
      </w:r>
    </w:p>
    <w:p w14:paraId="228AF27A">
      <w:pPr>
        <w:ind w:firstLine="420" w:firstLineChars="200"/>
        <w:rPr>
          <w:rFonts w:ascii="宋体" w:hAnsi="宋体"/>
          <w:szCs w:val="21"/>
        </w:rPr>
      </w:pPr>
      <w:r>
        <w:rPr>
          <w:rFonts w:hint="eastAsia" w:ascii="宋体" w:hAnsi="宋体"/>
          <w:szCs w:val="21"/>
        </w:rPr>
        <w:t>3.我单位参与本项目投标前三年内，在经营活动中没有重大违法记录。</w:t>
      </w:r>
    </w:p>
    <w:p w14:paraId="17E8CA34">
      <w:pPr>
        <w:ind w:firstLine="420" w:firstLineChars="200"/>
        <w:rPr>
          <w:rFonts w:ascii="宋体" w:hAnsi="宋体"/>
          <w:szCs w:val="21"/>
        </w:rPr>
      </w:pPr>
      <w:r>
        <w:rPr>
          <w:rFonts w:hint="eastAsia" w:ascii="宋体" w:hAnsi="宋体"/>
          <w:szCs w:val="21"/>
        </w:rPr>
        <w:t>4.我单位参与本项目</w:t>
      </w:r>
      <w:r>
        <w:rPr>
          <w:rFonts w:hint="eastAsia"/>
        </w:rPr>
        <w:t>政府采购活动时不存在被有关部门禁止参与政府采购活动且在有效期内的情况。</w:t>
      </w:r>
    </w:p>
    <w:p w14:paraId="457F1730">
      <w:pPr>
        <w:ind w:firstLine="420" w:firstLineChars="200"/>
        <w:rPr>
          <w:rFonts w:ascii="宋体" w:hAnsi="宋体"/>
          <w:szCs w:val="21"/>
        </w:rPr>
      </w:pPr>
      <w:r>
        <w:rPr>
          <w:rFonts w:hint="eastAsia" w:ascii="宋体" w:hAnsi="宋体"/>
          <w:szCs w:val="21"/>
        </w:rPr>
        <w:t>5.我单位具备《中华人民共和国政府采购法》第二十二条的条件。</w:t>
      </w:r>
    </w:p>
    <w:p w14:paraId="403644B4">
      <w:pPr>
        <w:ind w:firstLine="420" w:firstLineChars="200"/>
        <w:rPr>
          <w:rFonts w:ascii="宋体" w:hAnsi="宋体"/>
          <w:szCs w:val="21"/>
        </w:rPr>
      </w:pPr>
      <w:r>
        <w:rPr>
          <w:rFonts w:hint="eastAsia" w:ascii="宋体" w:hAnsi="宋体"/>
          <w:szCs w:val="21"/>
        </w:rPr>
        <w:t>6.我单位</w:t>
      </w:r>
      <w:r>
        <w:rPr>
          <w:rFonts w:hint="eastAsia"/>
        </w:rPr>
        <w:t>未被列入失信被执行人、重大税收违法案件当事人名单（重大税收违法失信主体）、政府采购严重违法失信行为记录名单。</w:t>
      </w:r>
    </w:p>
    <w:p w14:paraId="3DCFBD0B">
      <w:pPr>
        <w:ind w:firstLine="420" w:firstLineChars="200"/>
        <w:rPr>
          <w:rFonts w:ascii="宋体" w:hAnsi="宋体"/>
          <w:szCs w:val="21"/>
        </w:rPr>
      </w:pPr>
      <w:r>
        <w:rPr>
          <w:rFonts w:hint="eastAsia" w:ascii="宋体" w:hAnsi="宋体"/>
          <w:szCs w:val="21"/>
        </w:rPr>
        <w:t>7.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537953F2">
      <w:pPr>
        <w:ind w:firstLine="420" w:firstLineChars="200"/>
        <w:rPr>
          <w:rFonts w:ascii="宋体" w:hAnsi="宋体"/>
          <w:szCs w:val="21"/>
        </w:rPr>
      </w:pPr>
      <w:r>
        <w:rPr>
          <w:rFonts w:hint="eastAsia" w:ascii="宋体" w:hAnsi="宋体"/>
          <w:szCs w:val="21"/>
        </w:rPr>
        <w:t>8.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1B6E4AC0">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6624FAC4">
      <w:pPr>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7375F182">
      <w:pPr>
        <w:ind w:firstLine="420" w:firstLineChars="200"/>
        <w:rPr>
          <w:rFonts w:ascii="宋体" w:hAnsi="宋体"/>
          <w:szCs w:val="21"/>
        </w:rPr>
      </w:pPr>
      <w:r>
        <w:rPr>
          <w:rFonts w:hint="eastAsia" w:ascii="宋体" w:hAnsi="宋体"/>
          <w:szCs w:val="21"/>
        </w:rPr>
        <w:t>10.我单位承诺中标后项目不转包，未经采购人同意不进行分包。</w:t>
      </w:r>
    </w:p>
    <w:p w14:paraId="28F75265">
      <w:pPr>
        <w:ind w:firstLine="420" w:firstLineChars="200"/>
        <w:rPr>
          <w:rFonts w:ascii="宋体" w:hAnsi="宋体"/>
        </w:rPr>
      </w:pPr>
      <w:r>
        <w:rPr>
          <w:rFonts w:hint="eastAsia" w:ascii="宋体" w:hAnsi="宋体"/>
          <w:szCs w:val="21"/>
        </w:rPr>
        <w:t>11</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FC0B376">
      <w:pPr>
        <w:ind w:firstLine="420" w:firstLineChars="200"/>
        <w:rPr>
          <w:rFonts w:ascii="宋体" w:hAnsi="宋体"/>
        </w:rPr>
      </w:pPr>
      <w:r>
        <w:rPr>
          <w:rFonts w:ascii="宋体" w:hAnsi="宋体"/>
        </w:rPr>
        <w:t>1</w:t>
      </w:r>
      <w:r>
        <w:rPr>
          <w:rFonts w:hint="eastAsia" w:ascii="宋体" w:hAnsi="宋体"/>
        </w:rPr>
        <w:t>2</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p>
    <w:p w14:paraId="7B13DBB4">
      <w:pPr>
        <w:ind w:firstLine="420" w:firstLineChars="200"/>
        <w:rPr>
          <w:rFonts w:ascii="宋体" w:hAnsi="宋体"/>
        </w:rPr>
      </w:pPr>
      <w:r>
        <w:rPr>
          <w:rFonts w:hint="eastAsia" w:ascii="宋体" w:hAnsi="宋体"/>
        </w:rPr>
        <w:t>13</w:t>
      </w:r>
      <w:r>
        <w:rPr>
          <w:rFonts w:ascii="宋体" w:hAnsi="宋体"/>
        </w:rPr>
        <w:t>.</w:t>
      </w:r>
      <w:r>
        <w:rPr>
          <w:rFonts w:hint="eastAsia" w:ascii="宋体" w:hAnsi="宋体"/>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797BA1F0">
      <w:pPr>
        <w:numPr>
          <w:ilvl w:val="255"/>
          <w:numId w:val="0"/>
        </w:numPr>
        <w:ind w:firstLine="420" w:firstLineChars="200"/>
        <w:rPr>
          <w:rFonts w:ascii="宋体" w:hAnsi="宋体"/>
        </w:rPr>
      </w:pPr>
      <w:r>
        <w:rPr>
          <w:rFonts w:hint="eastAsia" w:ascii="宋体" w:hAnsi="宋体"/>
        </w:rPr>
        <w:t>14.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3303C5AB">
      <w:pPr>
        <w:ind w:firstLine="420" w:firstLineChars="200"/>
        <w:rPr>
          <w:rFonts w:ascii="宋体" w:hAnsi="宋体"/>
        </w:rPr>
      </w:pPr>
      <w:r>
        <w:rPr>
          <w:rFonts w:hint="eastAsia" w:ascii="宋体" w:hAnsi="宋体"/>
        </w:rPr>
        <w:t>15.我单位清楚，如存在违反投标承诺行为情节严重的，将根据《深圳市财政局关于印发&lt;深圳市财政局政府采购供应商信用信息管理办法&gt;的通知》，依法被列入失信信息。</w:t>
      </w:r>
    </w:p>
    <w:p w14:paraId="0AE5A173">
      <w:pPr>
        <w:ind w:firstLine="420" w:firstLineChars="200"/>
      </w:pPr>
      <w:r>
        <w:rPr>
          <w:rFonts w:hint="eastAsia" w:ascii="宋体" w:hAnsi="宋体"/>
        </w:rPr>
        <w:t>16.我单位保证，参与本项目不存在《深圳市财政局政府采购供应商信用信息管理办法》列明的严重违法失信行为。</w:t>
      </w:r>
    </w:p>
    <w:p w14:paraId="15B03B08">
      <w:pPr>
        <w:ind w:firstLine="420" w:firstLineChars="200"/>
        <w:rPr>
          <w:rFonts w:ascii="宋体" w:hAnsi="宋体"/>
          <w:szCs w:val="21"/>
        </w:rPr>
      </w:pPr>
      <w:r>
        <w:rPr>
          <w:rFonts w:hint="eastAsia" w:ascii="宋体" w:hAnsi="宋体"/>
          <w:szCs w:val="21"/>
        </w:rPr>
        <w:t xml:space="preserve">以上承诺，如有违反，愿依照国家相关法律法规处理，并承担由此给采购人带来的损失。                   </w:t>
      </w:r>
    </w:p>
    <w:p w14:paraId="4A25FF0B">
      <w:pPr>
        <w:spacing w:before="60" w:beforeLines="25" w:after="60" w:afterLines="25"/>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p>
    <w:p w14:paraId="7C552E85">
      <w:pPr>
        <w:spacing w:before="60" w:beforeLines="25" w:after="60" w:afterLines="25"/>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 xml:space="preserve">                     投标人：</w:t>
      </w:r>
      <w:r>
        <w:rPr>
          <w:rFonts w:hint="eastAsia"/>
          <w:color w:val="000000" w:themeColor="text1"/>
          <w:szCs w:val="21"/>
          <w:u w:val="single"/>
          <w14:textFill>
            <w14:solidFill>
              <w14:schemeClr w14:val="tx1"/>
            </w14:solidFill>
          </w14:textFill>
        </w:rPr>
        <w:t xml:space="preserve">              </w:t>
      </w:r>
    </w:p>
    <w:p w14:paraId="6C8C6AD2">
      <w:pPr>
        <w:ind w:firstLine="64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3454E925">
      <w:pPr>
        <w:rPr>
          <w:rFonts w:ascii="宋体" w:hAnsi="宋体" w:cs="宋体"/>
          <w:b/>
          <w:bCs/>
          <w:sz w:val="32"/>
        </w:rPr>
      </w:pPr>
      <w:r>
        <w:rPr>
          <w:rFonts w:hint="eastAsia" w:ascii="宋体" w:hAnsi="宋体" w:cs="宋体"/>
          <w:b/>
          <w:bCs/>
          <w:sz w:val="32"/>
        </w:rPr>
        <w:br w:type="page"/>
      </w:r>
    </w:p>
    <w:p w14:paraId="3E4945B2">
      <w:pPr>
        <w:numPr>
          <w:ilvl w:val="0"/>
          <w:numId w:val="8"/>
        </w:numPr>
        <w:ind w:left="420" w:firstLine="0"/>
        <w:jc w:val="center"/>
        <w:outlineLvl w:val="2"/>
        <w:rPr>
          <w:rFonts w:ascii="宋体" w:hAnsi="宋体" w:cs="宋体"/>
          <w:b/>
          <w:bCs/>
          <w:sz w:val="32"/>
        </w:rPr>
      </w:pPr>
      <w:r>
        <w:rPr>
          <w:rFonts w:hint="eastAsia" w:ascii="宋体" w:hAnsi="宋体" w:cs="宋体"/>
          <w:b/>
          <w:bCs/>
          <w:sz w:val="32"/>
        </w:rPr>
        <w:t>诚信承诺函</w:t>
      </w:r>
    </w:p>
    <w:p w14:paraId="0CC582D8">
      <w:pPr>
        <w:spacing w:line="360" w:lineRule="auto"/>
        <w:rPr>
          <w:rFonts w:ascii="宋体" w:hAnsi="宋体" w:cs="宋体"/>
          <w:sz w:val="22"/>
          <w:szCs w:val="22"/>
        </w:rPr>
      </w:pPr>
    </w:p>
    <w:p w14:paraId="43930E75">
      <w:pPr>
        <w:spacing w:line="360" w:lineRule="auto"/>
        <w:rPr>
          <w:rFonts w:ascii="宋体" w:hAnsi="宋体" w:cs="宋体"/>
          <w:sz w:val="22"/>
          <w:szCs w:val="22"/>
        </w:rPr>
      </w:pPr>
      <w:r>
        <w:rPr>
          <w:rFonts w:hint="eastAsia" w:ascii="宋体" w:hAnsi="宋体" w:cs="宋体"/>
          <w:sz w:val="22"/>
          <w:szCs w:val="22"/>
        </w:rPr>
        <w:t>致：深圳市东海国际招标有限公司</w:t>
      </w:r>
    </w:p>
    <w:p w14:paraId="26148EA6">
      <w:pPr>
        <w:spacing w:line="360" w:lineRule="auto"/>
        <w:ind w:firstLine="440" w:firstLineChars="200"/>
        <w:rPr>
          <w:rFonts w:ascii="宋体" w:hAnsi="宋体" w:cs="宋体"/>
          <w:sz w:val="22"/>
          <w:szCs w:val="22"/>
        </w:rPr>
      </w:pPr>
      <w:r>
        <w:rPr>
          <w:rFonts w:hint="eastAsia" w:ascii="宋体" w:hAnsi="宋体" w:cs="宋体"/>
          <w:sz w:val="22"/>
          <w:szCs w:val="22"/>
        </w:rPr>
        <w:t>我公司承诺，在政府采购招标投标活动中无下列行为：</w:t>
      </w:r>
    </w:p>
    <w:p w14:paraId="12960D21">
      <w:pPr>
        <w:tabs>
          <w:tab w:val="left" w:pos="567"/>
        </w:tabs>
        <w:spacing w:line="360" w:lineRule="auto"/>
        <w:ind w:left="420"/>
        <w:jc w:val="left"/>
        <w:rPr>
          <w:rFonts w:ascii="宋体" w:hAnsi="宋体" w:cs="宋体"/>
          <w:sz w:val="22"/>
          <w:szCs w:val="22"/>
        </w:rPr>
      </w:pPr>
      <w:r>
        <w:rPr>
          <w:rFonts w:hint="eastAsia" w:ascii="宋体" w:hAnsi="宋体" w:cs="宋体"/>
          <w:sz w:val="22"/>
          <w:szCs w:val="22"/>
        </w:rPr>
        <w:t>（一）被纪检监察部门立案调查，违法违规事实成立的；</w:t>
      </w:r>
    </w:p>
    <w:p w14:paraId="27AF4980">
      <w:pPr>
        <w:tabs>
          <w:tab w:val="left" w:pos="567"/>
        </w:tabs>
        <w:spacing w:line="360" w:lineRule="auto"/>
        <w:ind w:left="420"/>
        <w:jc w:val="left"/>
        <w:rPr>
          <w:rFonts w:ascii="宋体" w:hAnsi="宋体" w:cs="宋体"/>
          <w:sz w:val="22"/>
          <w:szCs w:val="22"/>
        </w:rPr>
      </w:pPr>
      <w:r>
        <w:rPr>
          <w:rFonts w:hint="eastAsia" w:ascii="宋体" w:hAnsi="宋体" w:cs="宋体"/>
          <w:sz w:val="22"/>
          <w:szCs w:val="22"/>
        </w:rPr>
        <w:t>（二）未按本条例规定签订、履行采购合同，造成严重后果的；</w:t>
      </w:r>
    </w:p>
    <w:p w14:paraId="26E9042D">
      <w:pPr>
        <w:tabs>
          <w:tab w:val="left" w:pos="567"/>
        </w:tabs>
        <w:spacing w:line="360" w:lineRule="auto"/>
        <w:ind w:left="420"/>
        <w:jc w:val="left"/>
        <w:rPr>
          <w:rFonts w:ascii="宋体" w:hAnsi="宋体" w:cs="宋体"/>
          <w:sz w:val="22"/>
          <w:szCs w:val="22"/>
        </w:rPr>
      </w:pPr>
      <w:r>
        <w:rPr>
          <w:rFonts w:hint="eastAsia" w:ascii="宋体" w:hAnsi="宋体" w:cs="宋体"/>
          <w:sz w:val="22"/>
          <w:szCs w:val="22"/>
        </w:rPr>
        <w:t>（三）隐瞒真实情况，提供虚假资料的；</w:t>
      </w:r>
    </w:p>
    <w:p w14:paraId="66611DDD">
      <w:pPr>
        <w:tabs>
          <w:tab w:val="left" w:pos="567"/>
        </w:tabs>
        <w:spacing w:line="360" w:lineRule="auto"/>
        <w:ind w:left="420"/>
        <w:jc w:val="left"/>
        <w:rPr>
          <w:rFonts w:ascii="宋体" w:hAnsi="宋体" w:cs="宋体"/>
          <w:sz w:val="22"/>
          <w:szCs w:val="22"/>
        </w:rPr>
      </w:pPr>
      <w:r>
        <w:rPr>
          <w:rFonts w:hint="eastAsia" w:ascii="宋体" w:hAnsi="宋体" w:cs="宋体"/>
          <w:sz w:val="22"/>
          <w:szCs w:val="22"/>
        </w:rPr>
        <w:t>（四）以非法手段排斥其他供应商参与竞争的；</w:t>
      </w:r>
    </w:p>
    <w:p w14:paraId="3A160C6B">
      <w:pPr>
        <w:tabs>
          <w:tab w:val="left" w:pos="567"/>
        </w:tabs>
        <w:spacing w:line="360" w:lineRule="auto"/>
        <w:ind w:left="420"/>
        <w:jc w:val="left"/>
        <w:rPr>
          <w:rFonts w:ascii="宋体" w:hAnsi="宋体" w:cs="宋体"/>
          <w:sz w:val="22"/>
          <w:szCs w:val="22"/>
        </w:rPr>
      </w:pPr>
      <w:r>
        <w:rPr>
          <w:rFonts w:hint="eastAsia" w:ascii="宋体" w:hAnsi="宋体" w:cs="宋体"/>
          <w:sz w:val="22"/>
          <w:szCs w:val="22"/>
        </w:rPr>
        <w:t>（五）与其他采购参加人串通投标的；</w:t>
      </w:r>
    </w:p>
    <w:p w14:paraId="49121D89">
      <w:pPr>
        <w:tabs>
          <w:tab w:val="left" w:pos="567"/>
        </w:tabs>
        <w:spacing w:line="360" w:lineRule="auto"/>
        <w:ind w:left="420"/>
        <w:jc w:val="left"/>
        <w:rPr>
          <w:rFonts w:ascii="宋体" w:hAnsi="宋体" w:cs="宋体"/>
          <w:sz w:val="22"/>
          <w:szCs w:val="22"/>
        </w:rPr>
      </w:pPr>
      <w:r>
        <w:rPr>
          <w:rFonts w:hint="eastAsia" w:ascii="宋体" w:hAnsi="宋体" w:cs="宋体"/>
          <w:sz w:val="22"/>
          <w:szCs w:val="22"/>
        </w:rPr>
        <w:t xml:space="preserve">（六）在采购活动中应当回避而未回避的； </w:t>
      </w:r>
    </w:p>
    <w:p w14:paraId="65C926F5">
      <w:pPr>
        <w:tabs>
          <w:tab w:val="left" w:pos="567"/>
        </w:tabs>
        <w:spacing w:line="360" w:lineRule="auto"/>
        <w:ind w:left="420"/>
        <w:jc w:val="left"/>
        <w:rPr>
          <w:rFonts w:ascii="宋体" w:hAnsi="宋体" w:cs="宋体"/>
          <w:sz w:val="22"/>
          <w:szCs w:val="22"/>
        </w:rPr>
      </w:pPr>
      <w:r>
        <w:rPr>
          <w:rFonts w:hint="eastAsia" w:ascii="宋体" w:hAnsi="宋体" w:cs="宋体"/>
          <w:sz w:val="22"/>
          <w:szCs w:val="22"/>
        </w:rPr>
        <w:t xml:space="preserve">（七）恶意投诉的； </w:t>
      </w:r>
    </w:p>
    <w:p w14:paraId="1DFCEE64">
      <w:pPr>
        <w:tabs>
          <w:tab w:val="left" w:pos="567"/>
        </w:tabs>
        <w:spacing w:line="360" w:lineRule="auto"/>
        <w:ind w:left="420"/>
        <w:jc w:val="left"/>
        <w:rPr>
          <w:rFonts w:ascii="宋体" w:hAnsi="宋体" w:cs="宋体"/>
          <w:sz w:val="22"/>
          <w:szCs w:val="22"/>
        </w:rPr>
      </w:pPr>
      <w:r>
        <w:rPr>
          <w:rFonts w:hint="eastAsia" w:ascii="宋体" w:hAnsi="宋体" w:cs="宋体"/>
          <w:sz w:val="22"/>
          <w:szCs w:val="22"/>
        </w:rPr>
        <w:t xml:space="preserve">（八）向采购项目相关人行贿或者提供其他不当利益的； </w:t>
      </w:r>
    </w:p>
    <w:p w14:paraId="0C801C6B">
      <w:pPr>
        <w:tabs>
          <w:tab w:val="left" w:pos="567"/>
        </w:tabs>
        <w:spacing w:line="360" w:lineRule="auto"/>
        <w:ind w:left="420"/>
        <w:jc w:val="left"/>
        <w:rPr>
          <w:rFonts w:ascii="宋体" w:hAnsi="宋体" w:cs="宋体"/>
          <w:sz w:val="22"/>
          <w:szCs w:val="22"/>
        </w:rPr>
      </w:pPr>
      <w:r>
        <w:rPr>
          <w:rFonts w:hint="eastAsia" w:ascii="宋体" w:hAnsi="宋体" w:cs="宋体"/>
          <w:sz w:val="22"/>
          <w:szCs w:val="22"/>
        </w:rPr>
        <w:t>（九）阻碍、抗拒主管部门监督检查的；</w:t>
      </w:r>
    </w:p>
    <w:p w14:paraId="1EE2DCFC">
      <w:pPr>
        <w:tabs>
          <w:tab w:val="left" w:pos="567"/>
        </w:tabs>
        <w:spacing w:line="360" w:lineRule="auto"/>
        <w:ind w:left="420"/>
        <w:jc w:val="left"/>
        <w:rPr>
          <w:rFonts w:ascii="宋体" w:hAnsi="宋体" w:cs="宋体"/>
          <w:sz w:val="22"/>
          <w:szCs w:val="22"/>
        </w:rPr>
      </w:pPr>
      <w:r>
        <w:rPr>
          <w:rFonts w:hint="eastAsia" w:ascii="宋体" w:hAnsi="宋体" w:cs="宋体"/>
          <w:sz w:val="22"/>
          <w:szCs w:val="22"/>
        </w:rPr>
        <w:t>（十）履约检查不合格或者评价为差的；</w:t>
      </w:r>
    </w:p>
    <w:p w14:paraId="5C2B6871">
      <w:pPr>
        <w:tabs>
          <w:tab w:val="left" w:pos="567"/>
        </w:tabs>
        <w:spacing w:line="360" w:lineRule="auto"/>
        <w:ind w:left="420"/>
        <w:jc w:val="left"/>
        <w:rPr>
          <w:rFonts w:ascii="宋体" w:hAnsi="宋体" w:cs="宋体"/>
          <w:sz w:val="22"/>
          <w:szCs w:val="22"/>
        </w:rPr>
      </w:pPr>
      <w:r>
        <w:rPr>
          <w:rFonts w:hint="eastAsia" w:ascii="宋体" w:hAnsi="宋体" w:cs="宋体"/>
          <w:sz w:val="22"/>
          <w:szCs w:val="22"/>
        </w:rPr>
        <w:t xml:space="preserve">（十一）参与本项目投标前三年内，在经营活动中有重大违法记录； </w:t>
      </w:r>
    </w:p>
    <w:p w14:paraId="1013A57A">
      <w:pPr>
        <w:tabs>
          <w:tab w:val="left" w:pos="567"/>
        </w:tabs>
        <w:spacing w:line="360" w:lineRule="auto"/>
        <w:ind w:left="420"/>
        <w:jc w:val="left"/>
        <w:rPr>
          <w:rFonts w:ascii="宋体" w:hAnsi="宋体" w:cs="宋体"/>
          <w:sz w:val="22"/>
          <w:szCs w:val="22"/>
        </w:rPr>
      </w:pPr>
      <w:r>
        <w:rPr>
          <w:rFonts w:hint="eastAsia" w:ascii="宋体" w:hAnsi="宋体" w:cs="宋体"/>
          <w:sz w:val="22"/>
          <w:szCs w:val="22"/>
        </w:rPr>
        <w:t>（十二）参与本项目政府采购活动时在处于被有关部门禁止参与政府采购活动且在有效期内的情况；</w:t>
      </w:r>
    </w:p>
    <w:p w14:paraId="2436F73C">
      <w:pPr>
        <w:spacing w:line="360" w:lineRule="auto"/>
        <w:ind w:firstLine="440" w:firstLineChars="200"/>
        <w:rPr>
          <w:rFonts w:ascii="宋体" w:hAnsi="宋体" w:cs="宋体"/>
          <w:sz w:val="22"/>
          <w:szCs w:val="22"/>
        </w:rPr>
      </w:pPr>
      <w:r>
        <w:rPr>
          <w:rFonts w:hint="eastAsia" w:ascii="宋体" w:hAnsi="宋体" w:cs="宋体"/>
          <w:sz w:val="22"/>
          <w:szCs w:val="22"/>
        </w:rPr>
        <w:t>（十三）主管部门认定的其他情形。</w:t>
      </w:r>
    </w:p>
    <w:p w14:paraId="0422E38F">
      <w:pPr>
        <w:spacing w:line="360" w:lineRule="auto"/>
        <w:ind w:firstLine="440" w:firstLineChars="200"/>
        <w:rPr>
          <w:rFonts w:ascii="宋体" w:hAnsi="宋体" w:cs="宋体"/>
          <w:sz w:val="22"/>
          <w:szCs w:val="22"/>
        </w:rPr>
      </w:pPr>
      <w:r>
        <w:rPr>
          <w:rFonts w:hint="eastAsia" w:ascii="宋体" w:hAnsi="宋体" w:cs="宋体"/>
          <w:sz w:val="22"/>
          <w:szCs w:val="22"/>
        </w:rPr>
        <w:t>如我司在开标日前三年内存在上述行为超出法定追诉时效未被追诉、或者上述情节轻微未给予禁止参加政府采购的行政处罚，我司自愿承担虚假应标以及其他一切不利的法律后果。</w:t>
      </w:r>
    </w:p>
    <w:p w14:paraId="0D09A4A0">
      <w:pPr>
        <w:spacing w:line="360" w:lineRule="auto"/>
        <w:ind w:firstLine="440" w:firstLineChars="200"/>
        <w:rPr>
          <w:rFonts w:ascii="宋体" w:hAnsi="宋体" w:cs="宋体"/>
          <w:sz w:val="22"/>
          <w:szCs w:val="22"/>
        </w:rPr>
      </w:pPr>
      <w:r>
        <w:rPr>
          <w:rFonts w:hint="eastAsia" w:ascii="宋体" w:hAnsi="宋体" w:cs="宋体"/>
          <w:sz w:val="22"/>
          <w:szCs w:val="22"/>
        </w:rPr>
        <w:t>特此承诺。</w:t>
      </w:r>
    </w:p>
    <w:p w14:paraId="0F852F86">
      <w:pPr>
        <w:spacing w:line="360" w:lineRule="auto"/>
        <w:ind w:firstLine="440" w:firstLineChars="200"/>
        <w:rPr>
          <w:rFonts w:ascii="宋体" w:hAnsi="宋体" w:cs="宋体"/>
          <w:sz w:val="22"/>
          <w:szCs w:val="22"/>
        </w:rPr>
      </w:pPr>
    </w:p>
    <w:p w14:paraId="712E820E">
      <w:pPr>
        <w:spacing w:line="360" w:lineRule="auto"/>
        <w:rPr>
          <w:rFonts w:ascii="Times New Roman" w:hAnsi="Times New Roman"/>
          <w:sz w:val="22"/>
          <w:szCs w:val="22"/>
        </w:rPr>
      </w:pPr>
      <w:r>
        <w:rPr>
          <w:rFonts w:hint="eastAsia" w:ascii="宋体" w:hAnsi="宋体"/>
          <w:sz w:val="22"/>
          <w:szCs w:val="22"/>
          <w:lang w:val="zh-CN"/>
        </w:rPr>
        <w:t>法定代表人（</w:t>
      </w:r>
      <w:r>
        <w:rPr>
          <w:rFonts w:hint="eastAsia" w:ascii="宋体" w:hAnsi="宋体"/>
          <w:sz w:val="22"/>
          <w:szCs w:val="22"/>
        </w:rPr>
        <w:t>单位负责人</w:t>
      </w:r>
      <w:r>
        <w:rPr>
          <w:rFonts w:hint="eastAsia" w:ascii="宋体" w:hAnsi="宋体"/>
          <w:sz w:val="22"/>
          <w:szCs w:val="22"/>
          <w:lang w:val="zh-CN"/>
        </w:rPr>
        <w:t>）或其授权代表（签字</w:t>
      </w:r>
      <w:r>
        <w:rPr>
          <w:rFonts w:hint="eastAsia" w:ascii="宋体" w:hAnsi="宋体"/>
          <w:sz w:val="22"/>
          <w:szCs w:val="22"/>
        </w:rPr>
        <w:t>或盖章</w:t>
      </w:r>
      <w:r>
        <w:rPr>
          <w:rFonts w:hint="eastAsia" w:ascii="宋体" w:hAnsi="宋体"/>
          <w:sz w:val="22"/>
          <w:szCs w:val="22"/>
          <w:lang w:val="zh-CN"/>
        </w:rPr>
        <w:t>）</w:t>
      </w:r>
      <w:r>
        <w:rPr>
          <w:rFonts w:hint="eastAsia" w:ascii="Times New Roman" w:hAnsi="Times New Roman"/>
          <w:sz w:val="22"/>
          <w:szCs w:val="22"/>
        </w:rPr>
        <w:t xml:space="preserve">：                   </w:t>
      </w:r>
    </w:p>
    <w:p w14:paraId="349EA04F">
      <w:pPr>
        <w:spacing w:line="360" w:lineRule="auto"/>
        <w:rPr>
          <w:rFonts w:ascii="Times New Roman" w:hAnsi="Times New Roman"/>
          <w:sz w:val="22"/>
          <w:szCs w:val="22"/>
        </w:rPr>
      </w:pPr>
      <w:r>
        <w:rPr>
          <w:rFonts w:hint="eastAsia" w:ascii="Times New Roman" w:hAnsi="Times New Roman"/>
          <w:sz w:val="22"/>
          <w:szCs w:val="22"/>
        </w:rPr>
        <w:t xml:space="preserve">投标人名称（盖章）：                        </w:t>
      </w:r>
    </w:p>
    <w:p w14:paraId="7C130973">
      <w:pPr>
        <w:spacing w:line="360" w:lineRule="auto"/>
        <w:rPr>
          <w:rFonts w:ascii="Times New Roman" w:hAnsi="Times New Roman"/>
          <w:sz w:val="22"/>
          <w:szCs w:val="22"/>
        </w:rPr>
      </w:pPr>
      <w:r>
        <w:rPr>
          <w:rFonts w:hint="eastAsia" w:ascii="Times New Roman" w:hAnsi="Times New Roman"/>
          <w:sz w:val="22"/>
          <w:szCs w:val="22"/>
        </w:rPr>
        <w:t>日期：   年   月   日</w:t>
      </w:r>
    </w:p>
    <w:p w14:paraId="2EA61552">
      <w:pPr>
        <w:pStyle w:val="10"/>
        <w:spacing w:line="360" w:lineRule="exact"/>
        <w:ind w:firstLine="440" w:firstLineChars="200"/>
        <w:rPr>
          <w:rFonts w:ascii="宋体" w:hAnsi="宋体" w:cs="宋体"/>
          <w:b w:val="0"/>
          <w:sz w:val="22"/>
          <w:szCs w:val="22"/>
        </w:rPr>
      </w:pPr>
      <w:r>
        <w:rPr>
          <w:rFonts w:hint="eastAsia" w:ascii="宋体" w:hAnsi="宋体" w:cs="宋体"/>
          <w:b w:val="0"/>
          <w:sz w:val="22"/>
          <w:szCs w:val="22"/>
        </w:rPr>
        <w:br w:type="page"/>
      </w:r>
    </w:p>
    <w:p w14:paraId="21174595">
      <w:pPr>
        <w:numPr>
          <w:ilvl w:val="0"/>
          <w:numId w:val="8"/>
        </w:numPr>
        <w:ind w:left="420" w:firstLine="0"/>
        <w:jc w:val="center"/>
        <w:outlineLvl w:val="2"/>
        <w:rPr>
          <w:rFonts w:ascii="Times New Roman" w:hAnsi="Times New Roman"/>
          <w:b/>
          <w:bCs/>
          <w:sz w:val="32"/>
          <w:szCs w:val="32"/>
        </w:rPr>
      </w:pPr>
      <w:r>
        <w:rPr>
          <w:rFonts w:hint="eastAsia" w:ascii="宋体" w:hAnsi="宋体" w:cs="FZXBSK--GBK1-0"/>
          <w:b/>
          <w:kern w:val="0"/>
          <w:sz w:val="32"/>
          <w:szCs w:val="32"/>
        </w:rPr>
        <w:t>政府采购违法行为风险知悉确认书</w:t>
      </w:r>
    </w:p>
    <w:p w14:paraId="681A2ECB">
      <w:pPr>
        <w:adjustRightInd w:val="0"/>
        <w:spacing w:line="480" w:lineRule="atLeast"/>
        <w:ind w:firstLine="420" w:firstLineChars="200"/>
        <w:textAlignment w:val="baseline"/>
        <w:rPr>
          <w:rFonts w:ascii="长城仿宋" w:hAnsi="Times New Roman"/>
          <w:kern w:val="0"/>
          <w:szCs w:val="20"/>
        </w:rPr>
      </w:pPr>
    </w:p>
    <w:p w14:paraId="62C99473">
      <w:pPr>
        <w:spacing w:after="120" w:afterLines="50" w:line="360" w:lineRule="exact"/>
        <w:ind w:firstLine="422" w:firstLineChars="200"/>
        <w:rPr>
          <w:rFonts w:hint="eastAsia" w:ascii="宋体" w:hAnsi="宋体" w:eastAsia="宋体" w:cs="宋体"/>
          <w:b/>
          <w:bCs/>
          <w:szCs w:val="21"/>
        </w:rPr>
      </w:pPr>
      <w:r>
        <w:rPr>
          <w:rFonts w:hint="eastAsia" w:ascii="宋体" w:hAnsi="宋体" w:eastAsia="宋体" w:cs="宋体"/>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45C9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79396443">
            <w:pPr>
              <w:spacing w:line="400" w:lineRule="exact"/>
              <w:jc w:val="center"/>
              <w:rPr>
                <w:rFonts w:hint="eastAsia" w:ascii="宋体" w:hAnsi="宋体" w:eastAsia="宋体" w:cs="宋体"/>
                <w:szCs w:val="21"/>
              </w:rPr>
            </w:pPr>
            <w:r>
              <w:rPr>
                <w:rFonts w:hint="eastAsia" w:ascii="宋体" w:hAnsi="宋体" w:eastAsia="宋体" w:cs="宋体"/>
                <w:szCs w:val="21"/>
              </w:rPr>
              <w:t>序号</w:t>
            </w:r>
          </w:p>
        </w:tc>
        <w:tc>
          <w:tcPr>
            <w:tcW w:w="7811" w:type="dxa"/>
          </w:tcPr>
          <w:p w14:paraId="6B24B7CA">
            <w:pPr>
              <w:spacing w:line="400" w:lineRule="exact"/>
              <w:jc w:val="center"/>
              <w:rPr>
                <w:rFonts w:hint="eastAsia" w:ascii="宋体" w:hAnsi="宋体" w:eastAsia="宋体" w:cs="宋体"/>
                <w:szCs w:val="21"/>
              </w:rPr>
            </w:pPr>
            <w:r>
              <w:rPr>
                <w:rFonts w:hint="eastAsia" w:ascii="宋体" w:hAnsi="宋体" w:eastAsia="宋体" w:cs="宋体"/>
                <w:b/>
                <w:bCs/>
                <w:szCs w:val="21"/>
              </w:rPr>
              <w:t>供应商参与投标禁止情形</w:t>
            </w:r>
          </w:p>
        </w:tc>
      </w:tr>
      <w:tr w14:paraId="1B6D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6014FD80">
            <w:pPr>
              <w:spacing w:line="400" w:lineRule="exact"/>
              <w:jc w:val="center"/>
              <w:rPr>
                <w:rFonts w:hint="eastAsia" w:ascii="宋体" w:hAnsi="宋体" w:eastAsia="宋体" w:cs="宋体"/>
                <w:szCs w:val="21"/>
              </w:rPr>
            </w:pPr>
            <w:r>
              <w:rPr>
                <w:rFonts w:hint="eastAsia" w:ascii="宋体" w:hAnsi="宋体" w:eastAsia="宋体" w:cs="宋体"/>
                <w:szCs w:val="21"/>
              </w:rPr>
              <w:t>1</w:t>
            </w:r>
          </w:p>
        </w:tc>
        <w:tc>
          <w:tcPr>
            <w:tcW w:w="7811" w:type="dxa"/>
            <w:vAlign w:val="center"/>
          </w:tcPr>
          <w:p w14:paraId="7D816EA8">
            <w:pPr>
              <w:spacing w:line="400" w:lineRule="exact"/>
              <w:jc w:val="left"/>
              <w:rPr>
                <w:rFonts w:hint="eastAsia" w:ascii="宋体" w:hAnsi="宋体" w:eastAsia="宋体" w:cs="宋体"/>
                <w:szCs w:val="21"/>
              </w:rPr>
            </w:pPr>
            <w:r>
              <w:rPr>
                <w:rFonts w:hint="eastAsia" w:ascii="宋体" w:hAnsi="宋体" w:eastAsia="宋体" w:cs="宋体"/>
                <w:szCs w:val="21"/>
              </w:rPr>
              <w:t>与其他投标供应商的法定代表人、主要经营负责人、投标授权代表人、项目负责人、主要技术人员为</w:t>
            </w:r>
            <w:r>
              <w:rPr>
                <w:rFonts w:hint="eastAsia" w:ascii="宋体" w:hAnsi="宋体" w:eastAsia="宋体" w:cs="宋体"/>
                <w:b/>
                <w:bCs/>
                <w:szCs w:val="21"/>
              </w:rPr>
              <w:t>同一人、属同一单位或者在同一单位缴纳社会保险</w:t>
            </w:r>
            <w:r>
              <w:rPr>
                <w:rFonts w:hint="eastAsia" w:ascii="宋体" w:hAnsi="宋体" w:eastAsia="宋体" w:cs="宋体"/>
                <w:szCs w:val="21"/>
              </w:rPr>
              <w:t>。</w:t>
            </w:r>
          </w:p>
        </w:tc>
      </w:tr>
      <w:tr w14:paraId="5BA86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0FACE7EA">
            <w:pPr>
              <w:spacing w:line="400" w:lineRule="exact"/>
              <w:jc w:val="center"/>
              <w:rPr>
                <w:rFonts w:hint="eastAsia" w:ascii="宋体" w:hAnsi="宋体" w:eastAsia="宋体" w:cs="宋体"/>
                <w:szCs w:val="21"/>
              </w:rPr>
            </w:pPr>
            <w:r>
              <w:rPr>
                <w:rFonts w:hint="eastAsia" w:ascii="宋体" w:hAnsi="宋体" w:eastAsia="宋体" w:cs="宋体"/>
                <w:szCs w:val="21"/>
              </w:rPr>
              <w:t>2</w:t>
            </w:r>
          </w:p>
        </w:tc>
        <w:tc>
          <w:tcPr>
            <w:tcW w:w="7811" w:type="dxa"/>
            <w:vAlign w:val="center"/>
          </w:tcPr>
          <w:p w14:paraId="442BF1B9">
            <w:pPr>
              <w:spacing w:line="400" w:lineRule="exact"/>
              <w:jc w:val="left"/>
              <w:rPr>
                <w:rFonts w:hint="eastAsia" w:ascii="宋体" w:hAnsi="宋体" w:eastAsia="宋体" w:cs="宋体"/>
                <w:szCs w:val="21"/>
              </w:rPr>
            </w:pPr>
            <w:r>
              <w:rPr>
                <w:rFonts w:hint="eastAsia" w:ascii="宋体" w:hAnsi="宋体" w:eastAsia="宋体" w:cs="宋体"/>
                <w:szCs w:val="21"/>
              </w:rPr>
              <w:t>参与本项目政府采购活动时，与其他投标供应商存在单位负责人为</w:t>
            </w:r>
            <w:r>
              <w:rPr>
                <w:rFonts w:hint="eastAsia" w:ascii="宋体" w:hAnsi="宋体" w:eastAsia="宋体" w:cs="宋体"/>
                <w:b/>
                <w:bCs/>
                <w:szCs w:val="21"/>
              </w:rPr>
              <w:t>同一人或直接控股、管理关系</w:t>
            </w:r>
            <w:r>
              <w:rPr>
                <w:rFonts w:hint="eastAsia" w:ascii="宋体" w:hAnsi="宋体" w:eastAsia="宋体" w:cs="宋体"/>
                <w:szCs w:val="21"/>
              </w:rPr>
              <w:t>。</w:t>
            </w:r>
          </w:p>
        </w:tc>
      </w:tr>
      <w:tr w14:paraId="34E5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5CE605F4">
            <w:pPr>
              <w:spacing w:line="400" w:lineRule="exact"/>
              <w:jc w:val="center"/>
              <w:rPr>
                <w:rFonts w:hint="eastAsia" w:ascii="宋体" w:hAnsi="宋体" w:eastAsia="宋体" w:cs="宋体"/>
                <w:szCs w:val="21"/>
              </w:rPr>
            </w:pPr>
            <w:r>
              <w:rPr>
                <w:rFonts w:hint="eastAsia" w:ascii="宋体" w:hAnsi="宋体" w:eastAsia="宋体" w:cs="宋体"/>
                <w:szCs w:val="21"/>
              </w:rPr>
              <w:t>3</w:t>
            </w:r>
          </w:p>
        </w:tc>
        <w:tc>
          <w:tcPr>
            <w:tcW w:w="7811" w:type="dxa"/>
            <w:vAlign w:val="center"/>
          </w:tcPr>
          <w:p w14:paraId="3904F7CE">
            <w:pPr>
              <w:spacing w:line="400" w:lineRule="exact"/>
              <w:jc w:val="left"/>
              <w:rPr>
                <w:rFonts w:hint="eastAsia" w:ascii="宋体" w:hAnsi="宋体" w:eastAsia="宋体" w:cs="宋体"/>
                <w:szCs w:val="21"/>
              </w:rPr>
            </w:pPr>
            <w:r>
              <w:rPr>
                <w:rFonts w:hint="eastAsia" w:ascii="宋体" w:hAnsi="宋体" w:eastAsia="宋体" w:cs="宋体"/>
                <w:szCs w:val="21"/>
              </w:rPr>
              <w:t>与其他投标供应商的投标文件或部分投标文件</w:t>
            </w:r>
            <w:r>
              <w:rPr>
                <w:rFonts w:hint="eastAsia" w:ascii="宋体" w:hAnsi="宋体" w:eastAsia="宋体" w:cs="宋体"/>
                <w:b/>
                <w:bCs/>
                <w:szCs w:val="21"/>
              </w:rPr>
              <w:t>相互混装或存在非正常一致</w:t>
            </w:r>
            <w:r>
              <w:rPr>
                <w:rFonts w:hint="eastAsia" w:ascii="宋体" w:hAnsi="宋体" w:eastAsia="宋体" w:cs="宋体"/>
                <w:szCs w:val="21"/>
              </w:rPr>
              <w:t>。</w:t>
            </w:r>
          </w:p>
        </w:tc>
      </w:tr>
      <w:tr w14:paraId="7DB2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7966B70C">
            <w:pPr>
              <w:spacing w:line="400" w:lineRule="exact"/>
              <w:jc w:val="center"/>
              <w:rPr>
                <w:rFonts w:hint="eastAsia" w:ascii="宋体" w:hAnsi="宋体" w:eastAsia="宋体" w:cs="宋体"/>
                <w:szCs w:val="21"/>
              </w:rPr>
            </w:pPr>
            <w:r>
              <w:rPr>
                <w:rFonts w:hint="eastAsia" w:ascii="宋体" w:hAnsi="宋体" w:eastAsia="宋体" w:cs="宋体"/>
                <w:szCs w:val="21"/>
              </w:rPr>
              <w:t>4</w:t>
            </w:r>
          </w:p>
        </w:tc>
        <w:tc>
          <w:tcPr>
            <w:tcW w:w="7811" w:type="dxa"/>
            <w:vAlign w:val="center"/>
          </w:tcPr>
          <w:p w14:paraId="5BFFA2EC">
            <w:pPr>
              <w:spacing w:line="400" w:lineRule="exact"/>
              <w:jc w:val="left"/>
              <w:rPr>
                <w:rFonts w:hint="eastAsia" w:ascii="宋体" w:hAnsi="宋体" w:eastAsia="宋体" w:cs="宋体"/>
                <w:szCs w:val="21"/>
              </w:rPr>
            </w:pPr>
            <w:r>
              <w:rPr>
                <w:rFonts w:hint="eastAsia" w:ascii="宋体" w:hAnsi="宋体" w:eastAsia="宋体" w:cs="宋体"/>
                <w:szCs w:val="21"/>
              </w:rPr>
              <w:t>与其他投标供应商的投标文件由</w:t>
            </w:r>
            <w:r>
              <w:rPr>
                <w:rFonts w:hint="eastAsia" w:ascii="宋体" w:hAnsi="宋体" w:eastAsia="宋体" w:cs="宋体"/>
                <w:b/>
                <w:bCs/>
                <w:szCs w:val="21"/>
              </w:rPr>
              <w:t>同一单位或者同一人编制</w:t>
            </w:r>
            <w:r>
              <w:rPr>
                <w:rFonts w:hint="eastAsia" w:ascii="宋体" w:hAnsi="宋体" w:eastAsia="宋体" w:cs="宋体"/>
                <w:szCs w:val="21"/>
              </w:rPr>
              <w:t>，或者使用</w:t>
            </w:r>
            <w:r>
              <w:rPr>
                <w:rFonts w:hint="eastAsia" w:ascii="宋体" w:hAnsi="宋体" w:eastAsia="宋体" w:cs="宋体"/>
                <w:b/>
                <w:bCs/>
                <w:szCs w:val="21"/>
              </w:rPr>
              <w:t>同一设备编制</w:t>
            </w:r>
            <w:r>
              <w:rPr>
                <w:rFonts w:hint="eastAsia" w:ascii="宋体" w:hAnsi="宋体" w:eastAsia="宋体" w:cs="宋体"/>
                <w:szCs w:val="21"/>
              </w:rPr>
              <w:t>（“文件制作机器码”“文件创建标识码”一致）。</w:t>
            </w:r>
          </w:p>
        </w:tc>
      </w:tr>
      <w:tr w14:paraId="6847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63E9A195">
            <w:pPr>
              <w:spacing w:line="400" w:lineRule="exact"/>
              <w:jc w:val="center"/>
              <w:rPr>
                <w:rFonts w:hint="eastAsia" w:ascii="宋体" w:hAnsi="宋体" w:eastAsia="宋体" w:cs="宋体"/>
                <w:szCs w:val="21"/>
              </w:rPr>
            </w:pPr>
            <w:r>
              <w:rPr>
                <w:rFonts w:hint="eastAsia" w:ascii="宋体" w:hAnsi="宋体" w:eastAsia="宋体" w:cs="宋体"/>
                <w:szCs w:val="21"/>
              </w:rPr>
              <w:t>5</w:t>
            </w:r>
          </w:p>
        </w:tc>
        <w:tc>
          <w:tcPr>
            <w:tcW w:w="7811" w:type="dxa"/>
            <w:vAlign w:val="center"/>
          </w:tcPr>
          <w:p w14:paraId="165310E3">
            <w:pPr>
              <w:spacing w:line="400" w:lineRule="exact"/>
              <w:jc w:val="left"/>
              <w:rPr>
                <w:rFonts w:hint="eastAsia" w:ascii="宋体" w:hAnsi="宋体" w:eastAsia="宋体" w:cs="宋体"/>
                <w:szCs w:val="21"/>
              </w:rPr>
            </w:pPr>
            <w:r>
              <w:rPr>
                <w:rFonts w:hint="eastAsia" w:ascii="宋体" w:hAnsi="宋体" w:eastAsia="宋体" w:cs="宋体"/>
                <w:szCs w:val="21"/>
              </w:rPr>
              <w:t>提供</w:t>
            </w:r>
            <w:r>
              <w:rPr>
                <w:rFonts w:hint="eastAsia" w:ascii="宋体" w:hAnsi="宋体" w:eastAsia="宋体" w:cs="宋体"/>
                <w:b/>
                <w:bCs/>
                <w:szCs w:val="21"/>
              </w:rPr>
              <w:t>未经出具机构核实</w:t>
            </w:r>
            <w:r>
              <w:rPr>
                <w:rFonts w:hint="eastAsia" w:ascii="宋体" w:hAnsi="宋体" w:eastAsia="宋体" w:cs="宋体"/>
                <w:szCs w:val="21"/>
              </w:rPr>
              <w:t>的虚假的检验检测报告、业绩材料、社保缴纳证明、学历学位证书、职称认证证书等材料。</w:t>
            </w:r>
          </w:p>
        </w:tc>
      </w:tr>
      <w:tr w14:paraId="4E57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55115B85">
            <w:pPr>
              <w:spacing w:line="400" w:lineRule="exact"/>
              <w:jc w:val="center"/>
              <w:rPr>
                <w:rFonts w:hint="eastAsia" w:ascii="宋体" w:hAnsi="宋体" w:eastAsia="宋体" w:cs="宋体"/>
                <w:szCs w:val="21"/>
              </w:rPr>
            </w:pPr>
            <w:r>
              <w:rPr>
                <w:rFonts w:hint="eastAsia" w:ascii="宋体" w:hAnsi="宋体" w:eastAsia="宋体" w:cs="宋体"/>
                <w:szCs w:val="21"/>
              </w:rPr>
              <w:t>6</w:t>
            </w:r>
          </w:p>
        </w:tc>
        <w:tc>
          <w:tcPr>
            <w:tcW w:w="7811" w:type="dxa"/>
            <w:vAlign w:val="center"/>
          </w:tcPr>
          <w:p w14:paraId="43778F3C">
            <w:pPr>
              <w:spacing w:line="400" w:lineRule="exact"/>
              <w:jc w:val="left"/>
              <w:rPr>
                <w:rFonts w:hint="eastAsia" w:ascii="宋体" w:hAnsi="宋体" w:eastAsia="宋体" w:cs="宋体"/>
                <w:szCs w:val="21"/>
              </w:rPr>
            </w:pPr>
            <w:r>
              <w:rPr>
                <w:rFonts w:hint="eastAsia" w:ascii="宋体" w:hAnsi="宋体" w:eastAsia="宋体" w:cs="宋体"/>
                <w:szCs w:val="21"/>
              </w:rPr>
              <w:t>擅自将投标密钥或电子营业执照出借他人使用或未妥善保管。</w:t>
            </w:r>
          </w:p>
        </w:tc>
      </w:tr>
    </w:tbl>
    <w:p w14:paraId="09651BD3">
      <w:pPr>
        <w:spacing w:before="120" w:beforeLines="50" w:line="380" w:lineRule="exact"/>
        <w:ind w:firstLine="422" w:firstLineChars="200"/>
        <w:rPr>
          <w:rFonts w:hint="eastAsia" w:ascii="宋体" w:hAnsi="宋体" w:eastAsia="宋体" w:cs="宋体"/>
          <w:b/>
          <w:szCs w:val="21"/>
        </w:rPr>
      </w:pPr>
      <w:r>
        <w:rPr>
          <w:rFonts w:hint="eastAsia" w:ascii="宋体" w:hAnsi="宋体" w:eastAsia="宋体" w:cs="宋体"/>
          <w:b/>
          <w:szCs w:val="21"/>
        </w:rPr>
        <w:t>一、我单位已充分知悉“隐瞒真实情况，提供虚假资料”的法定情形，包括但不限于：</w:t>
      </w:r>
    </w:p>
    <w:p w14:paraId="33FEF417">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（一）通过转让或者租借等方式从其他单位获取资格或者资质证书投标的。</w:t>
      </w:r>
    </w:p>
    <w:p w14:paraId="5DD6E8A7">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（二）由其他单位或者其他单位负责人在投标供应商编制的投标文件上加盖印章或者签字的。</w:t>
      </w:r>
    </w:p>
    <w:p w14:paraId="198BC8CB">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（三）项目负责人或者主要技术人员不是本单位人员的。</w:t>
      </w:r>
    </w:p>
    <w:p w14:paraId="455B455A">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（四）投标保证金不是从投标供应商基本账户转出的。</w:t>
      </w:r>
    </w:p>
    <w:p w14:paraId="1AA952F0">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（五）其他隐瞒真实情况、提供虚假资料的行为。</w:t>
      </w:r>
    </w:p>
    <w:p w14:paraId="4105C418">
      <w:pPr>
        <w:spacing w:line="380" w:lineRule="exact"/>
        <w:ind w:firstLine="422" w:firstLineChars="200"/>
        <w:rPr>
          <w:rFonts w:hint="eastAsia" w:ascii="宋体" w:hAnsi="宋体" w:eastAsia="宋体" w:cs="宋体"/>
          <w:b/>
          <w:szCs w:val="21"/>
        </w:rPr>
      </w:pPr>
      <w:r>
        <w:rPr>
          <w:rFonts w:hint="eastAsia" w:ascii="宋体" w:hAnsi="宋体" w:eastAsia="宋体" w:cs="宋体"/>
          <w:b/>
          <w:szCs w:val="21"/>
        </w:rPr>
        <w:t>二、我单位已充分知悉“与其他采购参加人串通投标”的法定情形，包括但不限于：</w:t>
      </w:r>
    </w:p>
    <w:p w14:paraId="0731CDA8">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（一）投标供应商之间相互约定给予未中标的供应商利益补偿。</w:t>
      </w:r>
    </w:p>
    <w:p w14:paraId="3A8863DF">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（二）不同投标供应商的法定代表人、主要经营负责人、项目投标授权代表人、项目负责人、主要技术人员为同一人、属同一单位或者在同一单位缴纳社会保险。</w:t>
      </w:r>
    </w:p>
    <w:p w14:paraId="75FDF646">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（三）不同投标供应商的投标文件由同一单位或者同一人编制，或者由同一人分阶段参与编制的。</w:t>
      </w:r>
    </w:p>
    <w:p w14:paraId="01A3BAF8">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（四）不同投标供应商的投标文件或部分投标文件相互混装。</w:t>
      </w:r>
    </w:p>
    <w:p w14:paraId="0C84842B">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（五）不同投标供应商的投标文件内容存在非正常一致。</w:t>
      </w:r>
    </w:p>
    <w:p w14:paraId="7CCA94E1">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（六）由同一单位工作人员为两家以上（含两家）供应商进行同一项投标活动的。</w:t>
      </w:r>
    </w:p>
    <w:p w14:paraId="4EA19FF3">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（七）不同投标人的投标报价呈规律性差异。</w:t>
      </w:r>
    </w:p>
    <w:p w14:paraId="7C16578F">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（八）不同投标人的投标保证金从同一单位或者个人的账户转出。</w:t>
      </w:r>
    </w:p>
    <w:p w14:paraId="42089C6E">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（九）主管部门依照法律、法规认定的其他情形。</w:t>
      </w:r>
    </w:p>
    <w:p w14:paraId="500ECAA0">
      <w:pPr>
        <w:spacing w:line="340" w:lineRule="exact"/>
        <w:ind w:firstLine="422" w:firstLineChars="200"/>
        <w:rPr>
          <w:rFonts w:hint="eastAsia" w:ascii="宋体" w:hAnsi="宋体" w:eastAsia="宋体" w:cs="宋体"/>
          <w:b/>
          <w:szCs w:val="21"/>
        </w:rPr>
      </w:pPr>
      <w:r>
        <w:rPr>
          <w:rFonts w:hint="eastAsia" w:ascii="宋体" w:hAnsi="宋体" w:eastAsia="宋体" w:cs="宋体"/>
          <w:b/>
          <w:szCs w:val="21"/>
        </w:rPr>
        <w:t>三、我单位已充分知悉下列情形存在法律风险，在投标前已对相关风险事项进行排查。</w:t>
      </w:r>
    </w:p>
    <w:p w14:paraId="326B51EF">
      <w:pPr>
        <w:spacing w:line="340" w:lineRule="exact"/>
        <w:ind w:firstLine="420" w:firstLineChars="200"/>
        <w:rPr>
          <w:rFonts w:hint="eastAsia" w:ascii="宋体" w:hAnsi="宋体" w:eastAsia="宋体" w:cs="宋体"/>
          <w:b/>
          <w:szCs w:val="21"/>
        </w:rPr>
      </w:pPr>
      <w:r>
        <w:rPr>
          <w:rFonts w:hint="eastAsia" w:ascii="宋体" w:hAnsi="宋体" w:eastAsia="宋体" w:cs="宋体"/>
          <w:szCs w:val="21"/>
        </w:rPr>
        <w:t>（一）对于从其他主体获取的投标资料，我单位应审慎核查，确保其真实性。</w:t>
      </w:r>
      <w:r>
        <w:rPr>
          <w:rFonts w:hint="eastAsia" w:ascii="宋体" w:hAnsi="宋体" w:eastAsia="宋体" w:cs="宋体"/>
          <w:b/>
          <w:szCs w:val="21"/>
        </w:rPr>
        <w:t>如主管部门查实投标文件中存在虚假资料的，无论相关资料是否由第三方或本公司员工提供，均不影响主管部门对供应商存在“隐瞒真实情况，提供虚假资料”违法行为的认定。</w:t>
      </w:r>
    </w:p>
    <w:p w14:paraId="5AE987D0">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（二）对于涉及国家机关出具的公文、证件、证明材料等文件，一旦涉嫌虚假，经查实，主管部门将依法从严处理，并移送有关部门追究法律责任；涉嫌犯罪的，移送司法机关处理。</w:t>
      </w:r>
    </w:p>
    <w:p w14:paraId="39FEE909">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eastAsia="宋体" w:cs="宋体"/>
          <w:b/>
          <w:bCs/>
          <w:szCs w:val="21"/>
        </w:rPr>
        <w:t>擅自将投标密钥或电子营业执照出借他人使用所造成的法律后果，由我单位自行承担</w:t>
      </w:r>
      <w:r>
        <w:rPr>
          <w:rFonts w:hint="eastAsia" w:ascii="宋体" w:hAnsi="宋体" w:eastAsia="宋体" w:cs="宋体"/>
          <w:szCs w:val="21"/>
        </w:rPr>
        <w:t>。</w:t>
      </w:r>
    </w:p>
    <w:p w14:paraId="6008F3D5">
      <w:pPr>
        <w:spacing w:line="340" w:lineRule="exact"/>
        <w:ind w:firstLine="422" w:firstLineChars="200"/>
        <w:rPr>
          <w:rFonts w:hint="eastAsia" w:ascii="宋体" w:hAnsi="宋体" w:eastAsia="宋体" w:cs="宋体"/>
          <w:b/>
          <w:szCs w:val="21"/>
        </w:rPr>
      </w:pPr>
      <w:r>
        <w:rPr>
          <w:rFonts w:hint="eastAsia" w:ascii="宋体" w:hAnsi="宋体" w:eastAsia="宋体" w:cs="宋体"/>
          <w:b/>
          <w:szCs w:val="21"/>
        </w:rPr>
        <w:t>四、我单位已充分知悉政府采购违法、违规行为的法律后果。</w:t>
      </w:r>
    </w:p>
    <w:p w14:paraId="15267A7F">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3EBDCB31">
      <w:pPr>
        <w:widowControl/>
        <w:autoSpaceDE w:val="0"/>
        <w:autoSpaceDN w:val="0"/>
        <w:adjustRightInd w:val="0"/>
        <w:spacing w:line="360" w:lineRule="exact"/>
        <w:ind w:firstLine="422" w:firstLineChars="200"/>
        <w:jc w:val="left"/>
        <w:rPr>
          <w:rFonts w:ascii="宋体" w:hAnsi="宋体" w:cs="宋体"/>
          <w:kern w:val="0"/>
          <w:sz w:val="22"/>
          <w:highlight w:val="yellow"/>
        </w:rPr>
      </w:pPr>
      <w:r>
        <w:rPr>
          <w:rFonts w:hint="eastAsia" w:ascii="宋体" w:hAnsi="宋体" w:eastAsia="宋体" w:cs="宋体"/>
          <w:b/>
          <w:bCs/>
          <w:color w:val="FF0000"/>
          <w:szCs w:val="21"/>
          <w:highlight w:val="yellow"/>
        </w:rPr>
        <w:t>以下文字请投标供应商抄写并确认：“我单位已仔细阅读《政府采购违法行为风险知悉确认书》，充分知悉违法行为的法律后果，并承诺将严谨、诚信、依法依规参与政府采购活动”。</w:t>
      </w:r>
    </w:p>
    <w:p w14:paraId="4BC853FB">
      <w:pPr>
        <w:widowControl/>
        <w:autoSpaceDE w:val="0"/>
        <w:autoSpaceDN w:val="0"/>
        <w:adjustRightInd w:val="0"/>
        <w:spacing w:line="360" w:lineRule="exact"/>
        <w:jc w:val="left"/>
        <w:rPr>
          <w:rFonts w:ascii="宋体" w:hAnsi="宋体" w:cs="宋体"/>
          <w:kern w:val="0"/>
          <w:sz w:val="22"/>
          <w:u w:val="single"/>
        </w:rPr>
      </w:pPr>
      <w:r>
        <w:rPr>
          <w:rFonts w:hint="eastAsia" w:ascii="宋体" w:hAnsi="宋体" w:cs="宋体"/>
          <w:kern w:val="0"/>
          <w:sz w:val="22"/>
          <w:u w:val="single"/>
        </w:rPr>
        <w:t xml:space="preserve">                                                                               </w:t>
      </w:r>
    </w:p>
    <w:p w14:paraId="141344F4">
      <w:pPr>
        <w:widowControl/>
        <w:autoSpaceDE w:val="0"/>
        <w:autoSpaceDN w:val="0"/>
        <w:adjustRightInd w:val="0"/>
        <w:spacing w:line="360" w:lineRule="exact"/>
        <w:jc w:val="left"/>
        <w:rPr>
          <w:rFonts w:ascii="宋体" w:hAnsi="宋体" w:cs="宋体"/>
          <w:kern w:val="0"/>
          <w:sz w:val="22"/>
          <w:u w:val="single"/>
        </w:rPr>
      </w:pPr>
      <w:r>
        <w:rPr>
          <w:rFonts w:hint="eastAsia" w:ascii="宋体" w:hAnsi="宋体" w:cs="宋体"/>
          <w:kern w:val="0"/>
          <w:sz w:val="22"/>
          <w:u w:val="single"/>
        </w:rPr>
        <w:t xml:space="preserve">                                                                               </w:t>
      </w:r>
    </w:p>
    <w:p w14:paraId="30D17E21">
      <w:pPr>
        <w:widowControl/>
        <w:autoSpaceDE w:val="0"/>
        <w:autoSpaceDN w:val="0"/>
        <w:adjustRightInd w:val="0"/>
        <w:spacing w:line="360" w:lineRule="exact"/>
        <w:jc w:val="left"/>
        <w:rPr>
          <w:rFonts w:ascii="宋体" w:hAnsi="宋体" w:cs="宋体"/>
          <w:kern w:val="0"/>
          <w:sz w:val="22"/>
          <w:u w:val="single"/>
        </w:rPr>
      </w:pPr>
      <w:r>
        <w:rPr>
          <w:rFonts w:hint="eastAsia" w:ascii="宋体" w:hAnsi="宋体" w:cs="宋体"/>
          <w:kern w:val="0"/>
          <w:sz w:val="22"/>
          <w:u w:val="single"/>
        </w:rPr>
        <w:t xml:space="preserve">                                                                               </w:t>
      </w:r>
    </w:p>
    <w:p w14:paraId="611CA61E">
      <w:pPr>
        <w:widowControl/>
        <w:autoSpaceDE w:val="0"/>
        <w:autoSpaceDN w:val="0"/>
        <w:adjustRightInd w:val="0"/>
        <w:spacing w:line="360" w:lineRule="exact"/>
        <w:jc w:val="left"/>
        <w:rPr>
          <w:rFonts w:ascii="宋体" w:hAnsi="宋体" w:cs="宋体"/>
          <w:kern w:val="0"/>
          <w:sz w:val="22"/>
          <w:u w:val="single"/>
        </w:rPr>
      </w:pPr>
      <w:r>
        <w:rPr>
          <w:rFonts w:hint="eastAsia" w:ascii="宋体" w:hAnsi="宋体" w:cs="宋体"/>
          <w:kern w:val="0"/>
          <w:sz w:val="22"/>
          <w:u w:val="single"/>
        </w:rPr>
        <w:t xml:space="preserve">                                                                               </w:t>
      </w:r>
    </w:p>
    <w:p w14:paraId="4F50E61B">
      <w:pPr>
        <w:widowControl/>
        <w:autoSpaceDE w:val="0"/>
        <w:autoSpaceDN w:val="0"/>
        <w:adjustRightInd w:val="0"/>
        <w:spacing w:line="360" w:lineRule="exact"/>
        <w:jc w:val="left"/>
        <w:rPr>
          <w:rFonts w:hint="eastAsia" w:ascii="宋体" w:hAnsi="宋体" w:cs="宋体"/>
          <w:b/>
          <w:bCs/>
          <w:kern w:val="0"/>
          <w:sz w:val="22"/>
        </w:rPr>
      </w:pPr>
      <w:r>
        <w:rPr>
          <w:rFonts w:hint="eastAsia" w:ascii="宋体" w:hAnsi="宋体" w:cs="宋体"/>
          <w:b/>
          <w:bCs/>
          <w:kern w:val="0"/>
          <w:sz w:val="22"/>
        </w:rPr>
        <w:t>注：</w:t>
      </w:r>
      <w:r>
        <w:rPr>
          <w:rFonts w:hint="eastAsia" w:ascii="宋体" w:hAnsi="宋体" w:cs="宋体"/>
          <w:b/>
          <w:bCs/>
          <w:kern w:val="0"/>
          <w:sz w:val="22"/>
          <w:lang w:val="en-US" w:eastAsia="zh-CN"/>
        </w:rPr>
        <w:t>1.</w:t>
      </w:r>
      <w:r>
        <w:rPr>
          <w:rFonts w:hint="eastAsia" w:ascii="宋体" w:hAnsi="宋体" w:cs="宋体"/>
          <w:b/>
          <w:bCs/>
          <w:kern w:val="0"/>
          <w:sz w:val="22"/>
        </w:rPr>
        <w:t>《政府采购违法行为风险知悉确认书》需由投标供应商负责人签字并加盖单位公章后，</w:t>
      </w:r>
      <w:r>
        <w:rPr>
          <w:rFonts w:hint="eastAsia" w:ascii="宋体" w:hAnsi="宋体" w:cs="宋体"/>
          <w:b/>
          <w:bCs/>
          <w:kern w:val="0"/>
          <w:sz w:val="22"/>
          <w:lang w:val="en-US" w:eastAsia="zh-CN"/>
        </w:rPr>
        <w:t>与</w:t>
      </w:r>
      <w:r>
        <w:rPr>
          <w:rFonts w:hint="eastAsia" w:ascii="宋体" w:hAnsi="宋体" w:cs="宋体"/>
          <w:b/>
          <w:bCs/>
          <w:kern w:val="0"/>
          <w:sz w:val="22"/>
        </w:rPr>
        <w:t>投标文件一并提交。</w:t>
      </w:r>
    </w:p>
    <w:p w14:paraId="556EDD44">
      <w:pPr>
        <w:widowControl/>
        <w:autoSpaceDE w:val="0"/>
        <w:autoSpaceDN w:val="0"/>
        <w:adjustRightInd w:val="0"/>
        <w:spacing w:line="360" w:lineRule="exact"/>
        <w:jc w:val="left"/>
        <w:rPr>
          <w:rFonts w:ascii="宋体" w:hAnsi="宋体" w:cs="宋体"/>
          <w:kern w:val="0"/>
          <w:sz w:val="22"/>
        </w:rPr>
      </w:pPr>
      <w:r>
        <w:rPr>
          <w:rFonts w:hint="eastAsia" w:ascii="宋体" w:hAnsi="宋体" w:cs="宋体"/>
          <w:b/>
          <w:bCs/>
          <w:kern w:val="0"/>
          <w:sz w:val="22"/>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14:paraId="221E4A6F">
      <w:pPr>
        <w:widowControl/>
        <w:autoSpaceDE w:val="0"/>
        <w:autoSpaceDN w:val="0"/>
        <w:adjustRightInd w:val="0"/>
        <w:spacing w:line="360" w:lineRule="exact"/>
        <w:ind w:firstLine="440" w:firstLineChars="200"/>
        <w:jc w:val="left"/>
        <w:rPr>
          <w:rFonts w:ascii="宋体" w:hAnsi="宋体" w:cs="宋体"/>
          <w:kern w:val="0"/>
          <w:sz w:val="22"/>
        </w:rPr>
      </w:pPr>
    </w:p>
    <w:p w14:paraId="53D44442">
      <w:pPr>
        <w:widowControl/>
        <w:autoSpaceDE w:val="0"/>
        <w:autoSpaceDN w:val="0"/>
        <w:adjustRightInd w:val="0"/>
        <w:spacing w:line="360" w:lineRule="exact"/>
        <w:ind w:firstLine="440" w:firstLineChars="200"/>
        <w:jc w:val="left"/>
        <w:rPr>
          <w:rFonts w:ascii="宋体" w:hAnsi="宋体" w:cs="宋体"/>
          <w:kern w:val="0"/>
          <w:sz w:val="22"/>
        </w:rPr>
      </w:pPr>
    </w:p>
    <w:p w14:paraId="3CA0FF6D">
      <w:pPr>
        <w:pStyle w:val="20"/>
        <w:spacing w:line="360" w:lineRule="exact"/>
        <w:rPr>
          <w:rFonts w:ascii="宋体" w:hAnsi="宋体" w:cs="宋体"/>
          <w:sz w:val="22"/>
          <w:szCs w:val="22"/>
        </w:rPr>
      </w:pPr>
    </w:p>
    <w:p w14:paraId="791CE790">
      <w:pPr>
        <w:widowControl/>
        <w:autoSpaceDE w:val="0"/>
        <w:autoSpaceDN w:val="0"/>
        <w:adjustRightInd w:val="0"/>
        <w:spacing w:line="360" w:lineRule="exact"/>
        <w:ind w:firstLine="3520" w:firstLineChars="1600"/>
        <w:jc w:val="left"/>
        <w:rPr>
          <w:rFonts w:ascii="宋体" w:hAnsi="宋体" w:cs="宋体"/>
          <w:kern w:val="0"/>
          <w:sz w:val="22"/>
          <w:u w:val="single"/>
        </w:rPr>
      </w:pPr>
      <w:r>
        <w:rPr>
          <w:rFonts w:hint="eastAsia" w:ascii="宋体" w:hAnsi="宋体" w:cs="宋体"/>
          <w:kern w:val="0"/>
          <w:sz w:val="22"/>
        </w:rPr>
        <w:t>负责人/投标授权代表签名：</w:t>
      </w:r>
      <w:r>
        <w:rPr>
          <w:rFonts w:hint="eastAsia" w:ascii="宋体" w:hAnsi="宋体" w:cs="宋体"/>
          <w:kern w:val="0"/>
          <w:sz w:val="22"/>
          <w:u w:val="single"/>
        </w:rPr>
        <w:t xml:space="preserve">                </w:t>
      </w:r>
    </w:p>
    <w:p w14:paraId="5E43EDC8">
      <w:pPr>
        <w:widowControl/>
        <w:autoSpaceDE w:val="0"/>
        <w:autoSpaceDN w:val="0"/>
        <w:adjustRightInd w:val="0"/>
        <w:spacing w:line="360" w:lineRule="exact"/>
        <w:ind w:firstLine="3520" w:firstLineChars="1600"/>
        <w:jc w:val="left"/>
        <w:rPr>
          <w:rFonts w:ascii="宋体" w:hAnsi="宋体" w:cs="宋体"/>
          <w:kern w:val="0"/>
          <w:sz w:val="22"/>
        </w:rPr>
      </w:pPr>
      <w:r>
        <w:rPr>
          <w:rFonts w:hint="eastAsia" w:ascii="宋体" w:hAnsi="宋体" w:cs="宋体"/>
          <w:kern w:val="0"/>
          <w:sz w:val="22"/>
        </w:rPr>
        <w:t>知悉人（公章）：</w:t>
      </w:r>
    </w:p>
    <w:p w14:paraId="58D3C917">
      <w:pPr>
        <w:rPr>
          <w:rFonts w:ascii="宋体" w:hAnsi="宋体" w:cs="宋体"/>
          <w:b/>
          <w:bCs/>
          <w:sz w:val="32"/>
        </w:rPr>
      </w:pPr>
      <w:r>
        <w:rPr>
          <w:rFonts w:hint="eastAsia" w:ascii="宋体" w:hAnsi="宋体" w:cs="宋体"/>
          <w:kern w:val="0"/>
          <w:sz w:val="22"/>
          <w:lang w:val="en-US" w:eastAsia="zh-CN"/>
        </w:rPr>
        <w:t xml:space="preserve">                                </w:t>
      </w:r>
      <w:r>
        <w:rPr>
          <w:rFonts w:hint="eastAsia" w:ascii="宋体" w:hAnsi="宋体" w:cs="宋体"/>
          <w:kern w:val="0"/>
          <w:sz w:val="22"/>
        </w:rPr>
        <w:t>日期： 202  年   月   日</w:t>
      </w:r>
    </w:p>
    <w:p w14:paraId="50C9B513">
      <w:pPr>
        <w:rPr>
          <w:rFonts w:ascii="宋体" w:hAnsi="宋体" w:cs="宋体"/>
          <w:b/>
          <w:bCs/>
          <w:sz w:val="32"/>
        </w:rPr>
      </w:pPr>
      <w:r>
        <w:rPr>
          <w:rFonts w:hint="eastAsia" w:ascii="宋体" w:hAnsi="宋体" w:cs="宋体"/>
          <w:b/>
          <w:bCs/>
          <w:sz w:val="32"/>
          <w:lang w:val="en-US" w:eastAsia="zh-CN"/>
        </w:rPr>
        <w:t xml:space="preserve"> </w:t>
      </w:r>
      <w:r>
        <w:rPr>
          <w:rFonts w:hint="eastAsia" w:ascii="宋体" w:hAnsi="宋体" w:cs="宋体"/>
          <w:b/>
          <w:bCs/>
          <w:sz w:val="32"/>
        </w:rPr>
        <w:br w:type="page"/>
      </w:r>
    </w:p>
    <w:p w14:paraId="7E2D7F0C">
      <w:pPr>
        <w:numPr>
          <w:ilvl w:val="0"/>
          <w:numId w:val="8"/>
        </w:numPr>
        <w:ind w:left="420" w:firstLine="0"/>
        <w:jc w:val="center"/>
        <w:outlineLvl w:val="2"/>
        <w:rPr>
          <w:rFonts w:ascii="宋体" w:hAnsi="宋体" w:cs="宋体"/>
          <w:b/>
          <w:bCs/>
          <w:sz w:val="32"/>
        </w:rPr>
      </w:pPr>
      <w:r>
        <w:rPr>
          <w:rFonts w:hint="eastAsia" w:ascii="宋体" w:hAnsi="宋体" w:cs="宋体"/>
          <w:b/>
          <w:bCs/>
          <w:sz w:val="32"/>
        </w:rPr>
        <w:t>法定代表人（负责人）证明书</w:t>
      </w:r>
    </w:p>
    <w:p w14:paraId="751FCD85">
      <w:pPr>
        <w:rPr>
          <w:rFonts w:ascii="宋体" w:hAnsi="宋体" w:cs="宋体"/>
        </w:rPr>
      </w:pPr>
    </w:p>
    <w:p w14:paraId="6E9E5A2E">
      <w:pPr>
        <w:spacing w:line="300" w:lineRule="auto"/>
        <w:ind w:left="140"/>
        <w:rPr>
          <w:rFonts w:ascii="Times New Roman" w:hAnsi="Times New Roman"/>
          <w:sz w:val="22"/>
          <w:szCs w:val="22"/>
        </w:rPr>
      </w:pPr>
      <w:r>
        <w:rPr>
          <w:rFonts w:ascii="Times New Roman" w:hAnsi="Times New Roman"/>
          <w:sz w:val="22"/>
          <w:szCs w:val="22"/>
          <w:u w:val="single"/>
        </w:rPr>
        <w:t xml:space="preserve">  （姓名）  </w:t>
      </w:r>
      <w:r>
        <w:rPr>
          <w:rFonts w:ascii="Times New Roman" w:hAnsi="Times New Roman"/>
          <w:sz w:val="22"/>
          <w:szCs w:val="22"/>
        </w:rPr>
        <w:t>同志，现任我单位</w:t>
      </w:r>
      <w:r>
        <w:rPr>
          <w:rFonts w:ascii="Times New Roman" w:hAnsi="Times New Roman"/>
          <w:sz w:val="22"/>
          <w:szCs w:val="22"/>
          <w:u w:val="single"/>
        </w:rPr>
        <w:t xml:space="preserve">       </w:t>
      </w:r>
      <w:r>
        <w:rPr>
          <w:rFonts w:ascii="Times New Roman" w:hAnsi="Times New Roman"/>
          <w:sz w:val="22"/>
          <w:szCs w:val="22"/>
        </w:rPr>
        <w:t>职务，为我单位法定代表人（负责人）。</w:t>
      </w:r>
    </w:p>
    <w:p w14:paraId="5D7472E7">
      <w:pPr>
        <w:spacing w:line="300" w:lineRule="auto"/>
        <w:ind w:left="140"/>
        <w:rPr>
          <w:rFonts w:ascii="Times New Roman" w:hAnsi="Times New Roman"/>
          <w:sz w:val="22"/>
          <w:szCs w:val="22"/>
          <w:u w:val="single"/>
        </w:rPr>
      </w:pPr>
      <w:r>
        <w:rPr>
          <w:rFonts w:ascii="Times New Roman" w:hAnsi="Times New Roman"/>
          <w:sz w:val="22"/>
          <w:szCs w:val="22"/>
        </w:rPr>
        <w:t xml:space="preserve">身份证号： </w:t>
      </w:r>
      <w:r>
        <w:rPr>
          <w:rFonts w:ascii="Times New Roman" w:hAnsi="Times New Roman"/>
          <w:sz w:val="22"/>
          <w:szCs w:val="22"/>
          <w:u w:val="single"/>
        </w:rPr>
        <w:t xml:space="preserve">              </w:t>
      </w:r>
    </w:p>
    <w:p w14:paraId="6AA55732">
      <w:pPr>
        <w:spacing w:line="300" w:lineRule="auto"/>
        <w:ind w:left="140"/>
        <w:rPr>
          <w:rFonts w:ascii="Times New Roman" w:hAnsi="Times New Roman"/>
          <w:sz w:val="22"/>
          <w:szCs w:val="22"/>
          <w:u w:val="single"/>
        </w:rPr>
      </w:pPr>
      <w:r>
        <w:rPr>
          <w:rFonts w:ascii="Times New Roman" w:hAnsi="Times New Roman"/>
          <w:sz w:val="22"/>
          <w:szCs w:val="22"/>
        </w:rPr>
        <w:t xml:space="preserve">联系电话：  </w:t>
      </w:r>
      <w:r>
        <w:rPr>
          <w:rFonts w:ascii="Times New Roman" w:hAnsi="Times New Roman"/>
          <w:sz w:val="22"/>
          <w:szCs w:val="22"/>
          <w:u w:val="single"/>
        </w:rPr>
        <w:t xml:space="preserve">             </w:t>
      </w:r>
    </w:p>
    <w:p w14:paraId="7F828C6B">
      <w:pPr>
        <w:spacing w:line="300" w:lineRule="auto"/>
        <w:ind w:left="140"/>
        <w:rPr>
          <w:rFonts w:ascii="Times New Roman" w:hAnsi="Times New Roman"/>
          <w:b/>
          <w:sz w:val="22"/>
          <w:szCs w:val="22"/>
        </w:rPr>
      </w:pPr>
      <w:r>
        <w:rPr>
          <w:rFonts w:ascii="Times New Roman" w:hAnsi="Times New Roman"/>
          <w:sz w:val="22"/>
          <w:szCs w:val="22"/>
        </w:rPr>
        <w:t>特此证明。</w:t>
      </w:r>
    </w:p>
    <w:p w14:paraId="6AEDFB80">
      <w:pPr>
        <w:spacing w:line="300" w:lineRule="auto"/>
        <w:rPr>
          <w:rFonts w:ascii="Times New Roman" w:hAnsi="Times New Roman"/>
          <w:sz w:val="22"/>
          <w:szCs w:val="22"/>
        </w:rPr>
      </w:pPr>
    </w:p>
    <w:p w14:paraId="6A289A14">
      <w:pPr>
        <w:spacing w:line="300" w:lineRule="auto"/>
        <w:rPr>
          <w:rFonts w:ascii="Times New Roman" w:hAnsi="Times New Roman"/>
          <w:sz w:val="22"/>
          <w:szCs w:val="22"/>
        </w:rPr>
      </w:pPr>
      <w:r>
        <w:rPr>
          <w:rFonts w:ascii="Times New Roman" w:hAnsi="Times New Roman"/>
          <w:sz w:val="22"/>
          <w:szCs w:val="22"/>
        </w:rPr>
        <w:t>投标人（投标单位）：</w:t>
      </w:r>
      <w:r>
        <w:rPr>
          <w:rFonts w:ascii="Times New Roman" w:hAnsi="Times New Roman"/>
          <w:sz w:val="22"/>
          <w:szCs w:val="22"/>
          <w:u w:val="single"/>
        </w:rPr>
        <w:t xml:space="preserve">           </w:t>
      </w:r>
    </w:p>
    <w:p w14:paraId="7E2BDCBF">
      <w:pPr>
        <w:spacing w:line="300" w:lineRule="auto"/>
        <w:rPr>
          <w:rFonts w:ascii="Times New Roman" w:hAnsi="Times New Roman"/>
          <w:sz w:val="22"/>
          <w:szCs w:val="22"/>
        </w:rPr>
      </w:pPr>
      <w:r>
        <w:rPr>
          <w:rFonts w:ascii="Times New Roman" w:hAnsi="Times New Roman"/>
          <w:sz w:val="22"/>
          <w:szCs w:val="22"/>
        </w:rPr>
        <w:t>日  期：</w:t>
      </w:r>
      <w:r>
        <w:rPr>
          <w:rFonts w:ascii="Times New Roman" w:hAnsi="Times New Roman"/>
          <w:sz w:val="22"/>
          <w:szCs w:val="22"/>
          <w:u w:val="single"/>
        </w:rPr>
        <w:t xml:space="preserve">     </w:t>
      </w:r>
      <w:r>
        <w:rPr>
          <w:rFonts w:ascii="Times New Roman" w:hAnsi="Times New Roman"/>
          <w:sz w:val="22"/>
          <w:szCs w:val="22"/>
        </w:rPr>
        <w:t>年</w:t>
      </w:r>
      <w:r>
        <w:rPr>
          <w:rFonts w:ascii="Times New Roman" w:hAnsi="Times New Roman"/>
          <w:sz w:val="22"/>
          <w:szCs w:val="22"/>
          <w:u w:val="single"/>
        </w:rPr>
        <w:t xml:space="preserve">     </w:t>
      </w:r>
      <w:r>
        <w:rPr>
          <w:rFonts w:ascii="Times New Roman" w:hAnsi="Times New Roman"/>
          <w:sz w:val="22"/>
          <w:szCs w:val="22"/>
        </w:rPr>
        <w:t>月</w:t>
      </w:r>
      <w:r>
        <w:rPr>
          <w:rFonts w:ascii="Times New Roman" w:hAnsi="Times New Roman"/>
          <w:sz w:val="22"/>
          <w:szCs w:val="22"/>
          <w:u w:val="single"/>
        </w:rPr>
        <w:t xml:space="preserve">     </w:t>
      </w:r>
      <w:r>
        <w:rPr>
          <w:rFonts w:ascii="Times New Roman" w:hAnsi="Times New Roman"/>
          <w:sz w:val="22"/>
          <w:szCs w:val="22"/>
        </w:rPr>
        <w:t>日</w:t>
      </w:r>
    </w:p>
    <w:p w14:paraId="64783D0E">
      <w:pPr>
        <w:spacing w:line="500" w:lineRule="exact"/>
        <w:rPr>
          <w:rFonts w:ascii="Times New Roman" w:hAnsi="Times New Roman"/>
          <w:sz w:val="22"/>
          <w:szCs w:val="22"/>
        </w:rPr>
      </w:pPr>
    </w:p>
    <w:p w14:paraId="103A477F">
      <w:pPr>
        <w:spacing w:line="360" w:lineRule="exact"/>
        <w:rPr>
          <w:rFonts w:ascii="Times New Roman" w:hAnsi="Times New Roman"/>
          <w:b/>
          <w:sz w:val="22"/>
          <w:szCs w:val="22"/>
        </w:rPr>
      </w:pPr>
      <w:r>
        <w:rPr>
          <w:rFonts w:ascii="Times New Roman" w:hAnsi="Times New Roman"/>
          <w:b/>
          <w:sz w:val="22"/>
          <w:szCs w:val="22"/>
        </w:rPr>
        <w:t>★必须提供法定代表人（负责人）有效期内身份证的正反面扫描件（港澳台居民可提供往来通行证），非中国国籍管辖范围的，可提供公安部门认可的身份证明材料，否则将导致投标无效。</w:t>
      </w:r>
    </w:p>
    <w:p w14:paraId="18CCA93C">
      <w:pPr>
        <w:spacing w:line="360" w:lineRule="exact"/>
        <w:rPr>
          <w:rFonts w:ascii="Times New Roman" w:hAnsi="Times New Roman"/>
          <w:bCs/>
          <w:sz w:val="22"/>
          <w:szCs w:val="22"/>
        </w:rPr>
      </w:pPr>
    </w:p>
    <w:p w14:paraId="2BA1E4BD">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ascii="Times New Roman" w:hAnsi="Times New Roman"/>
          <w:bCs/>
          <w:sz w:val="22"/>
          <w:szCs w:val="22"/>
        </w:rPr>
      </w:pPr>
      <w:r>
        <w:rPr>
          <w:rFonts w:ascii="Times New Roman" w:hAnsi="Times New Roman"/>
          <w:bCs/>
          <w:sz w:val="22"/>
          <w:szCs w:val="22"/>
        </w:rPr>
        <w:t>备注：</w:t>
      </w:r>
    </w:p>
    <w:p w14:paraId="6EA3263C">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ascii="Times New Roman" w:hAnsi="Times New Roman"/>
          <w:bCs/>
          <w:sz w:val="22"/>
          <w:szCs w:val="22"/>
        </w:rPr>
      </w:pPr>
      <w:r>
        <w:rPr>
          <w:rFonts w:ascii="Times New Roman" w:hAnsi="Times New Roman"/>
          <w:bCs/>
          <w:sz w:val="22"/>
          <w:szCs w:val="22"/>
        </w:rPr>
        <w:t>1、如发现上述人员非投标人法定代表人（负责人），视同提供虚假资料，按投标无效处理，并将依法承担相应法律责任。</w:t>
      </w:r>
    </w:p>
    <w:p w14:paraId="6971AFD1">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ascii="Times New Roman" w:hAnsi="Times New Roman"/>
          <w:bCs/>
          <w:sz w:val="22"/>
          <w:szCs w:val="22"/>
        </w:rPr>
      </w:pPr>
      <w:r>
        <w:rPr>
          <w:rFonts w:ascii="Times New Roman" w:hAnsi="Times New Roman"/>
          <w:bCs/>
          <w:sz w:val="22"/>
          <w:szCs w:val="22"/>
        </w:rPr>
        <w:t>2、法定代表人为投标人（企业事业单位、国家机关、社会团体）的主要行政负责人。</w:t>
      </w:r>
    </w:p>
    <w:p w14:paraId="2AA365FF">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ascii="Times New Roman" w:hAnsi="Times New Roman"/>
          <w:bCs/>
          <w:sz w:val="22"/>
          <w:szCs w:val="22"/>
        </w:rPr>
      </w:pPr>
      <w:r>
        <w:rPr>
          <w:rFonts w:ascii="Times New Roman" w:hAnsi="Times New Roman"/>
          <w:bCs/>
          <w:sz w:val="22"/>
          <w:szCs w:val="22"/>
        </w:rPr>
        <w:t>3、本证明书要求投标供应商同时提供法定代表人（负责人）的身份证扫描件（正反两面）作为附件方为有效。</w:t>
      </w:r>
    </w:p>
    <w:p w14:paraId="71D3EB92">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ascii="Times New Roman" w:hAnsi="Times New Roman"/>
          <w:bCs/>
          <w:sz w:val="22"/>
          <w:szCs w:val="22"/>
        </w:rPr>
      </w:pPr>
      <w:r>
        <w:rPr>
          <w:rFonts w:ascii="Times New Roman" w:hAnsi="Times New Roman"/>
          <w:bCs/>
          <w:sz w:val="22"/>
          <w:szCs w:val="22"/>
        </w:rPr>
        <w:t>4、本项目投标授权代表为法定代表人（负责人）的，无需提供《法定代表人（负责人）授权书》。</w:t>
      </w:r>
    </w:p>
    <w:p w14:paraId="3C529AC4">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ascii="Times New Roman" w:hAnsi="Times New Roman"/>
          <w:bCs/>
          <w:sz w:val="22"/>
          <w:szCs w:val="22"/>
        </w:rPr>
      </w:pPr>
      <w:r>
        <w:rPr>
          <w:rFonts w:ascii="Times New Roman" w:hAnsi="Times New Roman"/>
          <w:bCs/>
          <w:sz w:val="22"/>
          <w:szCs w:val="22"/>
        </w:rPr>
        <w:t>5、内容必须填写真实、清楚，涂改无效，不得转让、买卖。</w:t>
      </w:r>
    </w:p>
    <w:p w14:paraId="7B1767EE">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ascii="Times New Roman" w:hAnsi="Times New Roman"/>
          <w:b/>
          <w:bCs w:val="0"/>
          <w:sz w:val="22"/>
          <w:szCs w:val="22"/>
        </w:rPr>
      </w:pPr>
      <w:r>
        <w:rPr>
          <w:rFonts w:hint="eastAsia" w:ascii="Times New Roman" w:hAnsi="Times New Roman"/>
          <w:b/>
          <w:bCs w:val="0"/>
          <w:sz w:val="22"/>
          <w:szCs w:val="22"/>
        </w:rPr>
        <w:t>温馨提示：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515A30C5">
      <w:pPr>
        <w:rPr>
          <w:rFonts w:ascii="宋体" w:hAnsi="宋体" w:cs="宋体"/>
          <w:b/>
          <w:bCs/>
          <w:sz w:val="32"/>
        </w:rPr>
      </w:pPr>
      <w:r>
        <w:rPr>
          <w:rFonts w:hint="eastAsia" w:ascii="宋体" w:hAnsi="宋体" w:cs="宋体"/>
          <w:b/>
          <w:bCs/>
          <w:sz w:val="32"/>
        </w:rPr>
        <w:br w:type="page"/>
      </w:r>
    </w:p>
    <w:p w14:paraId="30C52EC6">
      <w:pPr>
        <w:numPr>
          <w:ilvl w:val="0"/>
          <w:numId w:val="8"/>
        </w:numPr>
        <w:ind w:left="420" w:firstLine="0"/>
        <w:jc w:val="center"/>
        <w:outlineLvl w:val="2"/>
        <w:rPr>
          <w:rFonts w:ascii="宋体" w:hAnsi="宋体" w:cs="宋体"/>
          <w:b/>
          <w:bCs/>
          <w:sz w:val="32"/>
        </w:rPr>
      </w:pPr>
      <w:r>
        <w:rPr>
          <w:rFonts w:hint="eastAsia" w:ascii="宋体" w:hAnsi="宋体" w:cs="宋体"/>
          <w:b/>
          <w:bCs/>
          <w:sz w:val="32"/>
        </w:rPr>
        <w:t>法定代表人（负责人）授权书</w:t>
      </w:r>
    </w:p>
    <w:p w14:paraId="508E7F8C">
      <w:pPr>
        <w:rPr>
          <w:rFonts w:ascii="宋体" w:hAnsi="宋体" w:cs="宋体"/>
          <w:bCs/>
          <w:sz w:val="24"/>
        </w:rPr>
      </w:pPr>
    </w:p>
    <w:p w14:paraId="37FDCFEB">
      <w:pPr>
        <w:spacing w:line="360" w:lineRule="auto"/>
        <w:ind w:firstLine="440" w:firstLineChars="200"/>
        <w:rPr>
          <w:rFonts w:ascii="Times New Roman" w:hAnsi="Times New Roman"/>
          <w:sz w:val="22"/>
          <w:szCs w:val="22"/>
        </w:rPr>
      </w:pPr>
      <w:r>
        <w:rPr>
          <w:rFonts w:ascii="Times New Roman" w:hAnsi="Times New Roman"/>
          <w:sz w:val="22"/>
          <w:szCs w:val="22"/>
        </w:rPr>
        <w:t>本授权委托书声明：我</w:t>
      </w:r>
      <w:r>
        <w:rPr>
          <w:rFonts w:ascii="Times New Roman" w:hAnsi="Times New Roman"/>
          <w:sz w:val="22"/>
          <w:szCs w:val="22"/>
          <w:u w:val="single"/>
        </w:rPr>
        <w:t xml:space="preserve">  （姓名）  </w:t>
      </w:r>
      <w:r>
        <w:rPr>
          <w:rFonts w:ascii="Times New Roman" w:hAnsi="Times New Roman"/>
          <w:sz w:val="22"/>
          <w:szCs w:val="22"/>
        </w:rPr>
        <w:t>系</w:t>
      </w:r>
      <w:r>
        <w:rPr>
          <w:rFonts w:ascii="Times New Roman" w:hAnsi="Times New Roman"/>
          <w:sz w:val="22"/>
          <w:szCs w:val="22"/>
          <w:u w:val="single"/>
        </w:rPr>
        <w:t xml:space="preserve">  （投标人名称）   </w:t>
      </w:r>
      <w:r>
        <w:rPr>
          <w:rFonts w:ascii="Times New Roman" w:hAnsi="Times New Roman"/>
          <w:sz w:val="22"/>
          <w:szCs w:val="22"/>
        </w:rPr>
        <w:t>的法定代表人（负责人），现授权委托</w:t>
      </w:r>
      <w:r>
        <w:rPr>
          <w:rFonts w:ascii="Times New Roman" w:hAnsi="Times New Roman"/>
          <w:sz w:val="22"/>
          <w:szCs w:val="22"/>
          <w:u w:val="single"/>
        </w:rPr>
        <w:t xml:space="preserve">  （姓名）  </w:t>
      </w:r>
      <w:r>
        <w:rPr>
          <w:rFonts w:ascii="Times New Roman" w:hAnsi="Times New Roman"/>
          <w:sz w:val="22"/>
          <w:szCs w:val="22"/>
        </w:rPr>
        <w:t>为我单位签署本项目已递交的投标文件的法定代表人（负责人）的授权委托代理人，代表我单位签署本项目的投标文件、参与项目投标、澄清投标文件、签署合同和处理与该项目有关的一切事务。在此过程中代理人所签署的一切文件及处理与该项目有关的一切事务，我均予以承认。</w:t>
      </w:r>
    </w:p>
    <w:p w14:paraId="7E3F9262">
      <w:pPr>
        <w:spacing w:line="360" w:lineRule="auto"/>
        <w:ind w:firstLine="440" w:firstLineChars="200"/>
        <w:rPr>
          <w:rFonts w:ascii="Times New Roman" w:hAnsi="Times New Roman"/>
          <w:sz w:val="22"/>
          <w:szCs w:val="22"/>
        </w:rPr>
      </w:pPr>
      <w:r>
        <w:rPr>
          <w:rFonts w:ascii="Times New Roman" w:hAnsi="Times New Roman"/>
          <w:sz w:val="22"/>
          <w:szCs w:val="22"/>
        </w:rPr>
        <w:t>授权书有效期内被授权人签署的所有文件不因授权的撤销而失效。被授权人无转委托权。</w:t>
      </w:r>
    </w:p>
    <w:p w14:paraId="24FEE008">
      <w:pPr>
        <w:spacing w:line="300" w:lineRule="auto"/>
        <w:rPr>
          <w:rFonts w:ascii="Times New Roman" w:hAnsi="Times New Roman"/>
          <w:sz w:val="22"/>
          <w:szCs w:val="22"/>
        </w:rPr>
      </w:pPr>
    </w:p>
    <w:p w14:paraId="03DD3DC6">
      <w:pPr>
        <w:spacing w:line="360" w:lineRule="auto"/>
        <w:ind w:left="3360" w:leftChars="1600"/>
        <w:rPr>
          <w:rFonts w:ascii="Times New Roman" w:hAnsi="Times New Roman"/>
          <w:sz w:val="22"/>
          <w:szCs w:val="22"/>
          <w:u w:val="single"/>
        </w:rPr>
      </w:pPr>
      <w:r>
        <w:rPr>
          <w:rFonts w:ascii="Times New Roman" w:hAnsi="Times New Roman"/>
          <w:sz w:val="22"/>
          <w:szCs w:val="22"/>
        </w:rPr>
        <w:t>代理人：</w:t>
      </w:r>
      <w:r>
        <w:rPr>
          <w:rFonts w:ascii="Times New Roman" w:hAnsi="Times New Roman"/>
          <w:sz w:val="22"/>
          <w:szCs w:val="22"/>
          <w:u w:val="single"/>
        </w:rPr>
        <w:t xml:space="preserve">                  </w:t>
      </w:r>
      <w:r>
        <w:rPr>
          <w:rFonts w:ascii="Times New Roman" w:hAnsi="Times New Roman"/>
          <w:sz w:val="22"/>
          <w:szCs w:val="22"/>
        </w:rPr>
        <w:t>性别：</w:t>
      </w:r>
      <w:r>
        <w:rPr>
          <w:rFonts w:ascii="Times New Roman" w:hAnsi="Times New Roman"/>
          <w:sz w:val="22"/>
          <w:szCs w:val="22"/>
          <w:u w:val="single"/>
        </w:rPr>
        <w:t xml:space="preserve">           </w:t>
      </w:r>
    </w:p>
    <w:p w14:paraId="76DBD71A">
      <w:pPr>
        <w:spacing w:line="360" w:lineRule="auto"/>
        <w:ind w:left="3360" w:leftChars="1600"/>
        <w:rPr>
          <w:rFonts w:ascii="Times New Roman" w:hAnsi="Times New Roman"/>
          <w:sz w:val="22"/>
          <w:szCs w:val="22"/>
        </w:rPr>
      </w:pPr>
      <w:r>
        <w:rPr>
          <w:rFonts w:ascii="Times New Roman" w:hAnsi="Times New Roman"/>
          <w:sz w:val="22"/>
          <w:szCs w:val="22"/>
        </w:rPr>
        <w:t>联系电话：</w:t>
      </w:r>
      <w:r>
        <w:rPr>
          <w:rFonts w:ascii="Times New Roman" w:hAnsi="Times New Roman"/>
          <w:sz w:val="22"/>
          <w:szCs w:val="22"/>
          <w:u w:val="single"/>
        </w:rPr>
        <w:t xml:space="preserve">              </w:t>
      </w:r>
      <w:r>
        <w:rPr>
          <w:rFonts w:ascii="Times New Roman" w:hAnsi="Times New Roman"/>
          <w:sz w:val="22"/>
          <w:szCs w:val="22"/>
        </w:rPr>
        <w:t>手机：</w:t>
      </w:r>
      <w:r>
        <w:rPr>
          <w:rFonts w:ascii="Times New Roman" w:hAnsi="Times New Roman"/>
          <w:sz w:val="22"/>
          <w:szCs w:val="22"/>
          <w:u w:val="single"/>
        </w:rPr>
        <w:t xml:space="preserve">                 </w:t>
      </w:r>
    </w:p>
    <w:p w14:paraId="7ECC873B">
      <w:pPr>
        <w:spacing w:line="360" w:lineRule="auto"/>
        <w:ind w:left="3360" w:leftChars="1600"/>
        <w:rPr>
          <w:rFonts w:ascii="Times New Roman" w:hAnsi="Times New Roman"/>
          <w:sz w:val="22"/>
          <w:szCs w:val="22"/>
          <w:u w:val="single"/>
        </w:rPr>
      </w:pPr>
      <w:r>
        <w:rPr>
          <w:rFonts w:ascii="Times New Roman" w:hAnsi="Times New Roman"/>
          <w:sz w:val="22"/>
          <w:szCs w:val="22"/>
        </w:rPr>
        <w:t>身份证号码：</w:t>
      </w:r>
      <w:r>
        <w:rPr>
          <w:rFonts w:ascii="Times New Roman" w:hAnsi="Times New Roman"/>
          <w:sz w:val="22"/>
          <w:szCs w:val="22"/>
          <w:u w:val="single"/>
        </w:rPr>
        <w:t xml:space="preserve">                       </w:t>
      </w:r>
      <w:r>
        <w:rPr>
          <w:rFonts w:ascii="Times New Roman" w:hAnsi="Times New Roman"/>
          <w:sz w:val="22"/>
          <w:szCs w:val="22"/>
        </w:rPr>
        <w:t>职务：</w:t>
      </w:r>
      <w:r>
        <w:rPr>
          <w:rFonts w:ascii="Times New Roman" w:hAnsi="Times New Roman"/>
          <w:sz w:val="22"/>
          <w:szCs w:val="22"/>
          <w:u w:val="single"/>
        </w:rPr>
        <w:t xml:space="preserve">      </w:t>
      </w:r>
    </w:p>
    <w:p w14:paraId="016BEB59">
      <w:pPr>
        <w:spacing w:line="360" w:lineRule="auto"/>
        <w:ind w:left="3360" w:leftChars="1600"/>
        <w:rPr>
          <w:rFonts w:ascii="Times New Roman" w:hAnsi="Times New Roman"/>
          <w:sz w:val="22"/>
          <w:szCs w:val="22"/>
        </w:rPr>
      </w:pPr>
      <w:r>
        <w:rPr>
          <w:rFonts w:ascii="Times New Roman" w:hAnsi="Times New Roman"/>
          <w:sz w:val="22"/>
          <w:szCs w:val="22"/>
        </w:rPr>
        <w:t>投标人（投标单位）：</w:t>
      </w:r>
      <w:r>
        <w:rPr>
          <w:rFonts w:ascii="Times New Roman" w:hAnsi="Times New Roman"/>
          <w:sz w:val="22"/>
          <w:szCs w:val="22"/>
          <w:u w:val="single"/>
        </w:rPr>
        <w:t xml:space="preserve">                            </w:t>
      </w:r>
    </w:p>
    <w:p w14:paraId="13DB8D2A">
      <w:pPr>
        <w:spacing w:line="360" w:lineRule="auto"/>
        <w:ind w:left="3360" w:leftChars="1600"/>
        <w:rPr>
          <w:rFonts w:ascii="Times New Roman" w:hAnsi="Times New Roman"/>
          <w:sz w:val="22"/>
          <w:szCs w:val="22"/>
        </w:rPr>
      </w:pPr>
      <w:r>
        <w:rPr>
          <w:rFonts w:ascii="Times New Roman" w:hAnsi="Times New Roman"/>
          <w:sz w:val="22"/>
          <w:szCs w:val="22"/>
        </w:rPr>
        <w:t>授权委托日期：</w:t>
      </w:r>
      <w:r>
        <w:rPr>
          <w:rFonts w:ascii="Times New Roman" w:hAnsi="Times New Roman"/>
          <w:sz w:val="22"/>
          <w:szCs w:val="22"/>
          <w:u w:val="single"/>
        </w:rPr>
        <w:t xml:space="preserve">         </w:t>
      </w:r>
      <w:r>
        <w:rPr>
          <w:rFonts w:ascii="Times New Roman" w:hAnsi="Times New Roman"/>
          <w:sz w:val="22"/>
          <w:szCs w:val="22"/>
        </w:rPr>
        <w:t>年</w:t>
      </w:r>
      <w:r>
        <w:rPr>
          <w:rFonts w:ascii="Times New Roman" w:hAnsi="Times New Roman"/>
          <w:sz w:val="22"/>
          <w:szCs w:val="22"/>
          <w:u w:val="single"/>
        </w:rPr>
        <w:t xml:space="preserve">      </w:t>
      </w:r>
      <w:r>
        <w:rPr>
          <w:rFonts w:ascii="Times New Roman" w:hAnsi="Times New Roman"/>
          <w:sz w:val="22"/>
          <w:szCs w:val="22"/>
        </w:rPr>
        <w:t xml:space="preserve">月 </w:t>
      </w:r>
      <w:r>
        <w:rPr>
          <w:rFonts w:ascii="Times New Roman" w:hAnsi="Times New Roman"/>
          <w:sz w:val="22"/>
          <w:szCs w:val="22"/>
          <w:u w:val="single"/>
        </w:rPr>
        <w:t xml:space="preserve">      </w:t>
      </w:r>
      <w:r>
        <w:rPr>
          <w:rFonts w:ascii="Times New Roman" w:hAnsi="Times New Roman"/>
          <w:sz w:val="22"/>
          <w:szCs w:val="22"/>
        </w:rPr>
        <w:t>日</w:t>
      </w:r>
    </w:p>
    <w:p w14:paraId="5D301AE2">
      <w:pPr>
        <w:spacing w:line="500" w:lineRule="exact"/>
        <w:ind w:firstLine="440" w:firstLineChars="200"/>
        <w:rPr>
          <w:rFonts w:ascii="Times New Roman" w:hAnsi="Times New Roman"/>
          <w:sz w:val="22"/>
          <w:szCs w:val="22"/>
        </w:rPr>
      </w:pPr>
    </w:p>
    <w:p w14:paraId="5344D8E8">
      <w:pPr>
        <w:spacing w:line="360" w:lineRule="exact"/>
        <w:rPr>
          <w:rFonts w:ascii="Times New Roman" w:hAnsi="Times New Roman"/>
          <w:b/>
          <w:sz w:val="22"/>
          <w:szCs w:val="22"/>
        </w:rPr>
      </w:pPr>
      <w:r>
        <w:rPr>
          <w:rFonts w:ascii="Times New Roman" w:hAnsi="Times New Roman"/>
          <w:b/>
          <w:sz w:val="22"/>
          <w:szCs w:val="22"/>
        </w:rPr>
        <w:t>★必须提供代理人有效期内身份证的正反面扫描件（港澳台居民可提供往来通行证），非中国国籍管辖范围的，可提供公安部门认可的身份证明材料，否则将导致投标无效。</w:t>
      </w:r>
    </w:p>
    <w:p w14:paraId="156A48D8">
      <w:pPr>
        <w:spacing w:line="360" w:lineRule="exact"/>
        <w:rPr>
          <w:rFonts w:ascii="Times New Roman" w:hAnsi="Times New Roman"/>
          <w:b/>
          <w:sz w:val="22"/>
          <w:szCs w:val="22"/>
        </w:rPr>
      </w:pPr>
    </w:p>
    <w:p w14:paraId="3BAA9017">
      <w:pPr>
        <w:keepNext w:val="0"/>
        <w:keepLines w:val="0"/>
        <w:pageBreakBefore w:val="0"/>
        <w:widowControl w:val="0"/>
        <w:tabs>
          <w:tab w:val="left" w:pos="651"/>
        </w:tabs>
        <w:kinsoku/>
        <w:wordWrap/>
        <w:overflowPunct/>
        <w:topLinePunct w:val="0"/>
        <w:autoSpaceDE/>
        <w:autoSpaceDN/>
        <w:bidi w:val="0"/>
        <w:adjustRightInd/>
        <w:snapToGrid w:val="0"/>
        <w:spacing w:line="360" w:lineRule="exact"/>
        <w:jc w:val="left"/>
        <w:textAlignment w:val="auto"/>
        <w:rPr>
          <w:rFonts w:ascii="Times New Roman" w:hAnsi="Times New Roman"/>
          <w:sz w:val="22"/>
          <w:szCs w:val="22"/>
        </w:rPr>
      </w:pPr>
      <w:r>
        <w:rPr>
          <w:rFonts w:ascii="Times New Roman" w:hAnsi="Times New Roman"/>
          <w:sz w:val="22"/>
          <w:szCs w:val="22"/>
        </w:rPr>
        <w:t>备注：</w:t>
      </w:r>
    </w:p>
    <w:p w14:paraId="527C074F">
      <w:pPr>
        <w:keepNext w:val="0"/>
        <w:keepLines w:val="0"/>
        <w:pageBreakBefore w:val="0"/>
        <w:widowControl w:val="0"/>
        <w:tabs>
          <w:tab w:val="left" w:pos="651"/>
        </w:tabs>
        <w:kinsoku/>
        <w:wordWrap/>
        <w:overflowPunct/>
        <w:topLinePunct w:val="0"/>
        <w:autoSpaceDE/>
        <w:autoSpaceDN/>
        <w:bidi w:val="0"/>
        <w:adjustRightInd/>
        <w:snapToGrid w:val="0"/>
        <w:spacing w:line="360" w:lineRule="exact"/>
        <w:jc w:val="left"/>
        <w:textAlignment w:val="auto"/>
        <w:rPr>
          <w:rFonts w:ascii="Times New Roman" w:hAnsi="Times New Roman"/>
          <w:sz w:val="22"/>
          <w:szCs w:val="22"/>
        </w:rPr>
      </w:pPr>
      <w:r>
        <w:rPr>
          <w:rFonts w:ascii="Times New Roman" w:hAnsi="Times New Roman"/>
          <w:sz w:val="22"/>
          <w:szCs w:val="22"/>
        </w:rPr>
        <w:t>1、本项目投标授权代表为法定代表人（负责人）的，无需提供《法定代表人（负责人）授权书》。</w:t>
      </w:r>
    </w:p>
    <w:p w14:paraId="4C22A4F1">
      <w:pPr>
        <w:keepNext w:val="0"/>
        <w:keepLines w:val="0"/>
        <w:pageBreakBefore w:val="0"/>
        <w:widowControl w:val="0"/>
        <w:tabs>
          <w:tab w:val="left" w:pos="651"/>
        </w:tabs>
        <w:kinsoku/>
        <w:wordWrap/>
        <w:overflowPunct/>
        <w:topLinePunct w:val="0"/>
        <w:autoSpaceDE/>
        <w:autoSpaceDN/>
        <w:bidi w:val="0"/>
        <w:adjustRightInd/>
        <w:snapToGrid w:val="0"/>
        <w:spacing w:line="360" w:lineRule="exact"/>
        <w:jc w:val="left"/>
        <w:textAlignment w:val="auto"/>
        <w:rPr>
          <w:rFonts w:ascii="Times New Roman" w:hAnsi="Times New Roman"/>
          <w:sz w:val="22"/>
          <w:szCs w:val="22"/>
        </w:rPr>
      </w:pPr>
      <w:r>
        <w:rPr>
          <w:rFonts w:ascii="Times New Roman" w:hAnsi="Times New Roman"/>
          <w:sz w:val="22"/>
          <w:szCs w:val="22"/>
        </w:rPr>
        <w:t>2、投标授权代表须为投标供应商在职人员（在职期限应包括开标当日），且仅代表本投标供应商进行投标。投标文件中无需提供证明材料，采购人和招标机构保留对投标授权代表社保情况、劳动合同等进行调查核实的权利。如发现投标授权代表非投标人在职人员，视同提供虚假资料，按投标无效处理，并将依法承担相应法律责任。</w:t>
      </w:r>
    </w:p>
    <w:p w14:paraId="203A8A67">
      <w:pPr>
        <w:keepNext w:val="0"/>
        <w:keepLines w:val="0"/>
        <w:pageBreakBefore w:val="0"/>
        <w:widowControl w:val="0"/>
        <w:tabs>
          <w:tab w:val="left" w:pos="651"/>
        </w:tabs>
        <w:kinsoku/>
        <w:wordWrap/>
        <w:overflowPunct/>
        <w:topLinePunct w:val="0"/>
        <w:autoSpaceDE/>
        <w:autoSpaceDN/>
        <w:bidi w:val="0"/>
        <w:adjustRightInd/>
        <w:snapToGrid w:val="0"/>
        <w:spacing w:line="360" w:lineRule="exact"/>
        <w:jc w:val="left"/>
        <w:textAlignment w:val="auto"/>
        <w:rPr>
          <w:rFonts w:ascii="Times New Roman" w:hAnsi="Times New Roman"/>
          <w:b/>
          <w:bCs/>
          <w:sz w:val="22"/>
          <w:szCs w:val="22"/>
        </w:rPr>
      </w:pPr>
      <w:r>
        <w:rPr>
          <w:rFonts w:hint="eastAsia" w:ascii="Times New Roman" w:hAnsi="Times New Roman"/>
          <w:b/>
          <w:bCs/>
          <w:sz w:val="22"/>
          <w:szCs w:val="22"/>
        </w:rPr>
        <w:t>温馨提示：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70DDFFBE">
      <w:pPr>
        <w:spacing w:line="360" w:lineRule="exact"/>
        <w:ind w:firstLine="660" w:firstLineChars="300"/>
        <w:rPr>
          <w:rFonts w:ascii="宋体" w:hAnsi="宋体" w:cs="宋体"/>
          <w:bCs/>
          <w:sz w:val="22"/>
          <w:szCs w:val="22"/>
        </w:rPr>
      </w:pPr>
    </w:p>
    <w:p w14:paraId="5B1137C7">
      <w:pPr>
        <w:jc w:val="center"/>
        <w:rPr>
          <w:b/>
          <w:bCs/>
          <w:sz w:val="32"/>
          <w:szCs w:val="40"/>
        </w:rPr>
      </w:pPr>
      <w:r>
        <w:rPr>
          <w:rFonts w:hint="eastAsia" w:ascii="宋体" w:hAnsi="宋体" w:cs="宋体"/>
        </w:rPr>
        <w:br w:type="page"/>
      </w:r>
    </w:p>
    <w:p w14:paraId="3DEF7CA6">
      <w:pPr>
        <w:numPr>
          <w:ilvl w:val="0"/>
          <w:numId w:val="8"/>
        </w:numPr>
        <w:ind w:left="420" w:firstLine="0"/>
        <w:jc w:val="center"/>
        <w:outlineLvl w:val="2"/>
        <w:rPr>
          <w:rFonts w:ascii="宋体" w:hAnsi="宋体" w:cs="宋体"/>
          <w:b/>
          <w:bCs/>
          <w:sz w:val="32"/>
          <w:szCs w:val="32"/>
        </w:rPr>
      </w:pPr>
      <w:r>
        <w:rPr>
          <w:rFonts w:hint="eastAsia" w:ascii="宋体" w:hAnsi="宋体" w:cs="宋体"/>
          <w:b/>
          <w:bCs/>
          <w:sz w:val="32"/>
          <w:szCs w:val="32"/>
        </w:rPr>
        <w:t>招标代理服务费承诺函</w:t>
      </w:r>
    </w:p>
    <w:p w14:paraId="7718A343">
      <w:pPr>
        <w:spacing w:line="360" w:lineRule="auto"/>
        <w:rPr>
          <w:rFonts w:ascii="宋体" w:hAnsi="宋体" w:cs="宋体"/>
          <w:sz w:val="24"/>
        </w:rPr>
      </w:pPr>
    </w:p>
    <w:p w14:paraId="31B84B3F">
      <w:pPr>
        <w:spacing w:line="360" w:lineRule="auto"/>
        <w:rPr>
          <w:rFonts w:ascii="宋体" w:hAnsi="宋体" w:cs="宋体"/>
          <w:b/>
          <w:sz w:val="22"/>
          <w:szCs w:val="22"/>
        </w:rPr>
      </w:pPr>
      <w:r>
        <w:rPr>
          <w:rFonts w:hint="eastAsia" w:ascii="宋体" w:hAnsi="宋体" w:cs="宋体"/>
          <w:sz w:val="22"/>
          <w:szCs w:val="22"/>
        </w:rPr>
        <w:t>致：深圳市东海国际招标有限公司</w:t>
      </w:r>
    </w:p>
    <w:p w14:paraId="0CD435F9">
      <w:pPr>
        <w:widowControl/>
        <w:autoSpaceDE w:val="0"/>
        <w:autoSpaceDN w:val="0"/>
        <w:spacing w:line="360" w:lineRule="auto"/>
        <w:ind w:right="17" w:firstLine="440" w:firstLineChars="200"/>
        <w:textAlignment w:val="bottom"/>
        <w:rPr>
          <w:rFonts w:ascii="宋体" w:hAnsi="宋体" w:cs="宋体"/>
          <w:sz w:val="22"/>
          <w:szCs w:val="22"/>
        </w:rPr>
      </w:pPr>
    </w:p>
    <w:p w14:paraId="51A68D80">
      <w:pPr>
        <w:pStyle w:val="24"/>
        <w:spacing w:line="360" w:lineRule="auto"/>
        <w:ind w:left="0" w:leftChars="0" w:firstLine="415" w:firstLineChars="189"/>
        <w:rPr>
          <w:rFonts w:ascii="宋体" w:hAnsi="宋体" w:cs="宋体"/>
          <w:sz w:val="22"/>
          <w:szCs w:val="22"/>
        </w:rPr>
      </w:pPr>
      <w:r>
        <w:rPr>
          <w:rFonts w:ascii="Times New Roman" w:hAnsi="Times New Roman"/>
          <w:sz w:val="22"/>
          <w:szCs w:val="22"/>
        </w:rPr>
        <w:t>我们在贵司代理的</w:t>
      </w:r>
      <w:r>
        <w:rPr>
          <w:rFonts w:ascii="Times New Roman" w:hAnsi="Times New Roman"/>
          <w:sz w:val="22"/>
          <w:szCs w:val="22"/>
          <w:u w:val="single"/>
        </w:rPr>
        <w:t xml:space="preserve">         </w:t>
      </w:r>
      <w:r>
        <w:rPr>
          <w:rFonts w:ascii="Times New Roman" w:hAnsi="Times New Roman"/>
          <w:sz w:val="22"/>
          <w:szCs w:val="22"/>
        </w:rPr>
        <w:t>项目（设备）招标中若获中标（项目编号：</w:t>
      </w:r>
      <w:r>
        <w:rPr>
          <w:rFonts w:ascii="Times New Roman" w:hAnsi="Times New Roman"/>
          <w:sz w:val="22"/>
          <w:szCs w:val="22"/>
          <w:u w:val="single"/>
        </w:rPr>
        <w:t xml:space="preserve">         </w:t>
      </w:r>
      <w:r>
        <w:rPr>
          <w:rFonts w:ascii="Times New Roman" w:hAnsi="Times New Roman"/>
          <w:sz w:val="22"/>
          <w:szCs w:val="22"/>
        </w:rPr>
        <w:t>），我们保证在收到中标通知书原件的同时按招标文件的规定，以转账、支票、汇票、电汇、现金或经贵公司认可的一种方式，向贵公司即深圳市东海国际招标有限公司指定的银行账号，一次性支付招标代理服务费。</w:t>
      </w:r>
      <w:r>
        <w:rPr>
          <w:rFonts w:hint="eastAsia" w:ascii="Times New Roman" w:hAnsi="Times New Roman"/>
          <w:sz w:val="22"/>
          <w:szCs w:val="22"/>
        </w:rPr>
        <w:t>招标代理服务费依据深财购[2018]27号文及相关规定收费。招标代理服务费不足人民币</w:t>
      </w:r>
      <w:r>
        <w:rPr>
          <w:rFonts w:hint="eastAsia" w:ascii="Times New Roman" w:hAnsi="Times New Roman"/>
          <w:sz w:val="22"/>
          <w:szCs w:val="22"/>
          <w:lang w:eastAsia="zh-CN"/>
        </w:rPr>
        <w:t>4,500.00</w:t>
      </w:r>
      <w:r>
        <w:rPr>
          <w:rFonts w:hint="eastAsia" w:ascii="Times New Roman" w:hAnsi="Times New Roman"/>
          <w:sz w:val="22"/>
          <w:szCs w:val="22"/>
        </w:rPr>
        <w:t>元时，按人民币</w:t>
      </w:r>
      <w:r>
        <w:rPr>
          <w:rFonts w:hint="eastAsia" w:ascii="Times New Roman" w:hAnsi="Times New Roman"/>
          <w:sz w:val="22"/>
          <w:szCs w:val="22"/>
          <w:lang w:eastAsia="zh-CN"/>
        </w:rPr>
        <w:t>4,500.00</w:t>
      </w:r>
      <w:r>
        <w:rPr>
          <w:rFonts w:hint="eastAsia" w:ascii="Times New Roman" w:hAnsi="Times New Roman"/>
          <w:sz w:val="22"/>
          <w:szCs w:val="22"/>
        </w:rPr>
        <w:t>元收取。</w:t>
      </w:r>
    </w:p>
    <w:p w14:paraId="5F8EFED5">
      <w:pPr>
        <w:widowControl/>
        <w:autoSpaceDE w:val="0"/>
        <w:autoSpaceDN w:val="0"/>
        <w:spacing w:line="360" w:lineRule="auto"/>
        <w:ind w:right="893"/>
        <w:textAlignment w:val="bottom"/>
        <w:rPr>
          <w:rFonts w:ascii="宋体" w:hAnsi="宋体" w:cs="宋体"/>
          <w:sz w:val="22"/>
          <w:szCs w:val="22"/>
        </w:rPr>
      </w:pPr>
    </w:p>
    <w:p w14:paraId="6AAB61A9">
      <w:pPr>
        <w:widowControl/>
        <w:autoSpaceDE w:val="0"/>
        <w:autoSpaceDN w:val="0"/>
        <w:spacing w:line="360" w:lineRule="auto"/>
        <w:ind w:right="893"/>
        <w:textAlignment w:val="bottom"/>
        <w:rPr>
          <w:rFonts w:ascii="宋体" w:hAnsi="宋体" w:cs="宋体"/>
          <w:sz w:val="22"/>
          <w:szCs w:val="22"/>
        </w:rPr>
      </w:pPr>
    </w:p>
    <w:p w14:paraId="46B73D2B">
      <w:pPr>
        <w:widowControl/>
        <w:autoSpaceDE w:val="0"/>
        <w:autoSpaceDN w:val="0"/>
        <w:spacing w:line="360" w:lineRule="auto"/>
        <w:ind w:right="893" w:firstLine="440" w:firstLineChars="200"/>
        <w:textAlignment w:val="bottom"/>
        <w:rPr>
          <w:rFonts w:ascii="宋体" w:hAnsi="宋体" w:cs="宋体"/>
          <w:sz w:val="22"/>
          <w:szCs w:val="22"/>
        </w:rPr>
      </w:pPr>
      <w:r>
        <w:rPr>
          <w:rFonts w:hint="eastAsia" w:ascii="宋体" w:hAnsi="宋体" w:cs="宋体"/>
          <w:sz w:val="22"/>
          <w:szCs w:val="22"/>
        </w:rPr>
        <w:t>特此承诺。</w:t>
      </w:r>
    </w:p>
    <w:p w14:paraId="4868F2F9">
      <w:pPr>
        <w:widowControl/>
        <w:autoSpaceDE w:val="0"/>
        <w:autoSpaceDN w:val="0"/>
        <w:spacing w:line="360" w:lineRule="auto"/>
        <w:ind w:right="893"/>
        <w:textAlignment w:val="bottom"/>
        <w:rPr>
          <w:rFonts w:ascii="宋体" w:hAnsi="宋体" w:cs="宋体"/>
          <w:sz w:val="22"/>
          <w:szCs w:val="22"/>
        </w:rPr>
      </w:pPr>
    </w:p>
    <w:p w14:paraId="70F27A4B">
      <w:pPr>
        <w:widowControl/>
        <w:autoSpaceDE w:val="0"/>
        <w:autoSpaceDN w:val="0"/>
        <w:spacing w:line="360" w:lineRule="auto"/>
        <w:ind w:right="893"/>
        <w:textAlignment w:val="bottom"/>
        <w:rPr>
          <w:rFonts w:ascii="宋体" w:hAnsi="宋体" w:cs="宋体"/>
          <w:sz w:val="22"/>
          <w:szCs w:val="22"/>
        </w:rPr>
      </w:pPr>
    </w:p>
    <w:p w14:paraId="5656145D">
      <w:pPr>
        <w:spacing w:line="360" w:lineRule="auto"/>
        <w:rPr>
          <w:rFonts w:ascii="宋体" w:hAnsi="宋体" w:cs="宋体"/>
          <w:sz w:val="22"/>
          <w:szCs w:val="22"/>
        </w:rPr>
      </w:pPr>
    </w:p>
    <w:p w14:paraId="3BE35ACC">
      <w:pPr>
        <w:spacing w:line="360" w:lineRule="auto"/>
        <w:ind w:right="440"/>
        <w:jc w:val="right"/>
        <w:rPr>
          <w:rFonts w:ascii="宋体" w:hAnsi="宋体" w:cs="宋体"/>
          <w:bCs/>
          <w:sz w:val="22"/>
          <w:szCs w:val="22"/>
        </w:rPr>
      </w:pPr>
      <w:r>
        <w:rPr>
          <w:rFonts w:hint="eastAsia" w:ascii="宋体" w:hAnsi="宋体" w:cs="宋体"/>
          <w:bCs/>
          <w:sz w:val="22"/>
          <w:szCs w:val="22"/>
        </w:rPr>
        <w:t>投标人（公章）：</w:t>
      </w:r>
    </w:p>
    <w:p w14:paraId="1B8C3395">
      <w:pPr>
        <w:spacing w:line="360" w:lineRule="auto"/>
        <w:jc w:val="center"/>
        <w:rPr>
          <w:rFonts w:ascii="宋体" w:hAnsi="宋体" w:cs="宋体"/>
          <w:bCs/>
          <w:sz w:val="22"/>
          <w:szCs w:val="22"/>
        </w:rPr>
      </w:pPr>
      <w:r>
        <w:rPr>
          <w:rFonts w:hint="eastAsia" w:ascii="宋体" w:hAnsi="宋体" w:cs="宋体"/>
          <w:bCs/>
          <w:sz w:val="22"/>
          <w:szCs w:val="22"/>
        </w:rPr>
        <w:t xml:space="preserve">                                                      日期：   年  月  日</w:t>
      </w:r>
    </w:p>
    <w:p w14:paraId="0563844D">
      <w:pPr>
        <w:spacing w:line="360" w:lineRule="auto"/>
        <w:rPr>
          <w:rFonts w:ascii="宋体" w:hAnsi="宋体" w:cs="宋体"/>
          <w:sz w:val="22"/>
          <w:szCs w:val="22"/>
        </w:rPr>
      </w:pPr>
    </w:p>
    <w:p w14:paraId="40C53952">
      <w:pPr>
        <w:widowControl/>
        <w:autoSpaceDE w:val="0"/>
        <w:autoSpaceDN w:val="0"/>
        <w:spacing w:line="360" w:lineRule="auto"/>
        <w:ind w:right="893" w:firstLine="440" w:firstLineChars="200"/>
        <w:textAlignment w:val="bottom"/>
        <w:rPr>
          <w:rFonts w:ascii="宋体" w:hAnsi="宋体" w:cs="宋体"/>
          <w:sz w:val="22"/>
        </w:rPr>
      </w:pPr>
      <w:r>
        <w:rPr>
          <w:rFonts w:hint="eastAsia" w:ascii="宋体" w:hAnsi="宋体" w:cs="宋体"/>
          <w:sz w:val="22"/>
          <w:szCs w:val="22"/>
        </w:rPr>
        <w:t>(注：按要求填写，不得更改承诺内容)</w:t>
      </w:r>
      <w:r>
        <w:rPr>
          <w:rFonts w:hint="eastAsia" w:ascii="宋体" w:hAnsi="宋体" w:cs="宋体"/>
          <w:sz w:val="22"/>
        </w:rPr>
        <w:br w:type="page"/>
      </w:r>
    </w:p>
    <w:p w14:paraId="4F8CD36A">
      <w:pPr>
        <w:numPr>
          <w:ilvl w:val="0"/>
          <w:numId w:val="8"/>
        </w:numPr>
        <w:ind w:left="420" w:firstLine="0"/>
        <w:jc w:val="center"/>
        <w:outlineLvl w:val="2"/>
        <w:rPr>
          <w:b/>
          <w:bCs/>
          <w:kern w:val="0"/>
          <w:sz w:val="28"/>
          <w:szCs w:val="32"/>
        </w:rPr>
      </w:pPr>
      <w:r>
        <w:rPr>
          <w:rFonts w:hint="eastAsia"/>
          <w:b/>
          <w:bCs/>
          <w:kern w:val="0"/>
          <w:sz w:val="32"/>
          <w:szCs w:val="32"/>
        </w:rPr>
        <w:t>报价清单表</w:t>
      </w:r>
    </w:p>
    <w:p w14:paraId="7CAFAF29">
      <w:pPr>
        <w:rPr>
          <w:rFonts w:ascii="宋体" w:hAnsi="宋体" w:cs="宋体"/>
        </w:rPr>
      </w:pPr>
    </w:p>
    <w:p w14:paraId="5A18BA10">
      <w:pPr>
        <w:rPr>
          <w:rFonts w:ascii="宋体" w:hAnsi="宋体" w:cs="宋体"/>
        </w:rPr>
      </w:pPr>
    </w:p>
    <w:p w14:paraId="7CC30308">
      <w:pPr>
        <w:pStyle w:val="3"/>
        <w:numPr>
          <w:ilvl w:val="0"/>
          <w:numId w:val="9"/>
        </w:numPr>
        <w:rPr>
          <w:rFonts w:ascii="宋体" w:hAnsi="宋体" w:cs="宋体"/>
        </w:rPr>
      </w:pPr>
      <w:r>
        <w:rPr>
          <w:rFonts w:hint="eastAsia" w:ascii="宋体" w:hAnsi="宋体" w:cs="宋体"/>
        </w:rPr>
        <w:t>开标一览表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3086"/>
        <w:gridCol w:w="3686"/>
      </w:tblGrid>
      <w:tr w14:paraId="118F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755" w:type="dxa"/>
            <w:vAlign w:val="center"/>
          </w:tcPr>
          <w:p w14:paraId="6C59BECA">
            <w:pPr>
              <w:spacing w:line="360" w:lineRule="exact"/>
              <w:jc w:val="center"/>
              <w:rPr>
                <w:rFonts w:ascii="宋体" w:hAnsi="宋体" w:cs="宋体"/>
                <w:snapToGrid w:val="0"/>
                <w:kern w:val="0"/>
                <w:sz w:val="22"/>
              </w:rPr>
            </w:pPr>
            <w:r>
              <w:rPr>
                <w:rFonts w:hint="eastAsia" w:ascii="宋体" w:hAnsi="宋体" w:cs="宋体"/>
                <w:bCs/>
                <w:snapToGrid w:val="0"/>
                <w:kern w:val="0"/>
                <w:sz w:val="22"/>
              </w:rPr>
              <w:t>项目编号</w:t>
            </w:r>
          </w:p>
        </w:tc>
        <w:tc>
          <w:tcPr>
            <w:tcW w:w="3086" w:type="dxa"/>
            <w:vAlign w:val="center"/>
          </w:tcPr>
          <w:p w14:paraId="03434EF5">
            <w:pPr>
              <w:spacing w:line="360" w:lineRule="exact"/>
              <w:jc w:val="center"/>
              <w:rPr>
                <w:rFonts w:ascii="宋体" w:hAnsi="宋体" w:cs="宋体"/>
                <w:snapToGrid w:val="0"/>
                <w:kern w:val="0"/>
                <w:sz w:val="22"/>
              </w:rPr>
            </w:pPr>
            <w:r>
              <w:rPr>
                <w:rFonts w:hint="eastAsia" w:ascii="宋体" w:hAnsi="宋体" w:cs="宋体"/>
                <w:snapToGrid w:val="0"/>
                <w:kern w:val="0"/>
                <w:sz w:val="22"/>
              </w:rPr>
              <w:t>项目名称</w:t>
            </w:r>
          </w:p>
        </w:tc>
        <w:tc>
          <w:tcPr>
            <w:tcW w:w="3686" w:type="dxa"/>
            <w:vAlign w:val="center"/>
          </w:tcPr>
          <w:p w14:paraId="62E5DF70">
            <w:pPr>
              <w:spacing w:line="360" w:lineRule="exact"/>
              <w:jc w:val="center"/>
              <w:rPr>
                <w:rFonts w:ascii="宋体" w:hAnsi="宋体" w:cs="宋体"/>
                <w:snapToGrid w:val="0"/>
                <w:kern w:val="0"/>
                <w:sz w:val="22"/>
              </w:rPr>
            </w:pPr>
            <w:r>
              <w:rPr>
                <w:snapToGrid w:val="0"/>
                <w:kern w:val="0"/>
                <w:sz w:val="22"/>
              </w:rPr>
              <w:t>投标</w:t>
            </w:r>
            <w:r>
              <w:rPr>
                <w:rFonts w:hint="eastAsia" w:ascii="宋体" w:hAnsi="宋体" w:cs="宋体"/>
                <w:sz w:val="22"/>
                <w:szCs w:val="22"/>
              </w:rPr>
              <w:t>总</w:t>
            </w:r>
            <w:r>
              <w:rPr>
                <w:snapToGrid w:val="0"/>
                <w:kern w:val="0"/>
                <w:sz w:val="22"/>
              </w:rPr>
              <w:t>价（元）</w:t>
            </w:r>
          </w:p>
        </w:tc>
      </w:tr>
      <w:tr w14:paraId="295D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755" w:type="dxa"/>
            <w:vAlign w:val="center"/>
          </w:tcPr>
          <w:p w14:paraId="3469C17D">
            <w:pPr>
              <w:spacing w:line="360" w:lineRule="exact"/>
              <w:jc w:val="center"/>
              <w:rPr>
                <w:rFonts w:ascii="宋体" w:hAnsi="宋体" w:cs="宋体"/>
                <w:snapToGrid w:val="0"/>
                <w:kern w:val="0"/>
                <w:sz w:val="22"/>
              </w:rPr>
            </w:pPr>
          </w:p>
        </w:tc>
        <w:tc>
          <w:tcPr>
            <w:tcW w:w="3086" w:type="dxa"/>
            <w:vAlign w:val="center"/>
          </w:tcPr>
          <w:p w14:paraId="418147A9">
            <w:pPr>
              <w:widowControl/>
              <w:spacing w:line="360" w:lineRule="exact"/>
              <w:jc w:val="center"/>
              <w:rPr>
                <w:rFonts w:ascii="宋体" w:hAnsi="宋体" w:cs="宋体"/>
                <w:kern w:val="0"/>
                <w:sz w:val="22"/>
              </w:rPr>
            </w:pPr>
          </w:p>
        </w:tc>
        <w:tc>
          <w:tcPr>
            <w:tcW w:w="3686" w:type="dxa"/>
            <w:vAlign w:val="center"/>
          </w:tcPr>
          <w:p w14:paraId="484FFCB5">
            <w:pPr>
              <w:spacing w:line="360" w:lineRule="exact"/>
              <w:rPr>
                <w:rFonts w:ascii="宋体" w:hAnsi="宋体" w:cs="宋体"/>
                <w:snapToGrid w:val="0"/>
                <w:kern w:val="0"/>
                <w:sz w:val="22"/>
              </w:rPr>
            </w:pPr>
            <w:r>
              <w:rPr>
                <w:rFonts w:hint="eastAsia" w:ascii="宋体" w:hAnsi="宋体" w:cs="宋体"/>
                <w:snapToGrid w:val="0"/>
                <w:kern w:val="0"/>
                <w:sz w:val="22"/>
              </w:rPr>
              <w:t>大写：</w:t>
            </w:r>
          </w:p>
          <w:p w14:paraId="403AAA0B">
            <w:pPr>
              <w:spacing w:line="360" w:lineRule="exact"/>
              <w:rPr>
                <w:rFonts w:ascii="宋体" w:hAnsi="宋体" w:cs="宋体"/>
                <w:snapToGrid w:val="0"/>
                <w:kern w:val="0"/>
                <w:sz w:val="22"/>
              </w:rPr>
            </w:pPr>
            <w:r>
              <w:rPr>
                <w:rFonts w:hint="eastAsia" w:ascii="宋体" w:hAnsi="宋体" w:cs="宋体"/>
                <w:snapToGrid w:val="0"/>
                <w:kern w:val="0"/>
                <w:sz w:val="22"/>
              </w:rPr>
              <w:t>小写：</w:t>
            </w:r>
          </w:p>
        </w:tc>
      </w:tr>
    </w:tbl>
    <w:p w14:paraId="2543FB0A">
      <w:pPr>
        <w:spacing w:line="360" w:lineRule="exact"/>
        <w:rPr>
          <w:rFonts w:ascii="宋体" w:hAnsi="宋体" w:cs="宋体"/>
          <w:snapToGrid w:val="0"/>
          <w:kern w:val="0"/>
          <w:sz w:val="22"/>
        </w:rPr>
      </w:pPr>
    </w:p>
    <w:p w14:paraId="3FE35B9F">
      <w:pPr>
        <w:spacing w:line="360" w:lineRule="exact"/>
        <w:ind w:right="2100" w:rightChars="1000"/>
        <w:jc w:val="right"/>
        <w:rPr>
          <w:rFonts w:ascii="宋体" w:hAnsi="宋体" w:cs="宋体"/>
          <w:snapToGrid w:val="0"/>
          <w:kern w:val="0"/>
          <w:sz w:val="22"/>
        </w:rPr>
      </w:pPr>
    </w:p>
    <w:p w14:paraId="66BE2078">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lang w:val="zh-CN"/>
        </w:rPr>
        <w:t>法定代表人（</w:t>
      </w:r>
      <w:r>
        <w:rPr>
          <w:rFonts w:hint="eastAsia" w:ascii="宋体" w:hAnsi="宋体" w:cs="宋体"/>
          <w:snapToGrid w:val="0"/>
          <w:kern w:val="0"/>
          <w:sz w:val="22"/>
        </w:rPr>
        <w:t>单位负责人</w:t>
      </w:r>
      <w:r>
        <w:rPr>
          <w:rFonts w:hint="eastAsia" w:ascii="宋体" w:hAnsi="宋体" w:cs="宋体"/>
          <w:snapToGrid w:val="0"/>
          <w:kern w:val="0"/>
          <w:sz w:val="22"/>
          <w:lang w:val="zh-CN"/>
        </w:rPr>
        <w:t>）或其授权代表（签字</w:t>
      </w:r>
      <w:r>
        <w:rPr>
          <w:rFonts w:hint="eastAsia" w:ascii="宋体" w:hAnsi="宋体" w:cs="宋体"/>
          <w:snapToGrid w:val="0"/>
          <w:kern w:val="0"/>
          <w:sz w:val="22"/>
        </w:rPr>
        <w:t>或盖章</w:t>
      </w:r>
      <w:r>
        <w:rPr>
          <w:rFonts w:hint="eastAsia" w:ascii="宋体" w:hAnsi="宋体" w:cs="宋体"/>
          <w:snapToGrid w:val="0"/>
          <w:kern w:val="0"/>
          <w:sz w:val="22"/>
          <w:lang w:val="zh-CN"/>
        </w:rPr>
        <w:t>）</w:t>
      </w:r>
      <w:r>
        <w:rPr>
          <w:rFonts w:hint="eastAsia" w:ascii="宋体" w:hAnsi="宋体" w:cs="宋体"/>
          <w:snapToGrid w:val="0"/>
          <w:kern w:val="0"/>
          <w:sz w:val="22"/>
        </w:rPr>
        <w:t xml:space="preserve">：                   </w:t>
      </w:r>
    </w:p>
    <w:p w14:paraId="1F630E6E">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 xml:space="preserve">投标人名称（盖章）：                        </w:t>
      </w:r>
    </w:p>
    <w:p w14:paraId="321138F8">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日期：   年   月   日</w:t>
      </w:r>
    </w:p>
    <w:p w14:paraId="1FB56267">
      <w:r>
        <w:br w:type="page"/>
      </w:r>
    </w:p>
    <w:p w14:paraId="39727FFD">
      <w:pPr>
        <w:pStyle w:val="3"/>
        <w:numPr>
          <w:ilvl w:val="0"/>
          <w:numId w:val="9"/>
        </w:numPr>
        <w:rPr>
          <w:rFonts w:ascii="宋体" w:hAnsi="宋体" w:cs="宋体"/>
          <w:bCs/>
          <w:sz w:val="32"/>
          <w:szCs w:val="32"/>
        </w:rPr>
      </w:pPr>
      <w:r>
        <w:rPr>
          <w:rFonts w:hint="eastAsia" w:ascii="宋体" w:hAnsi="宋体" w:cs="宋体"/>
          <w:bCs/>
          <w:sz w:val="32"/>
          <w:szCs w:val="32"/>
        </w:rPr>
        <w:t>分项报价清单表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
      <w:tblGrid>
        <w:gridCol w:w="670"/>
        <w:gridCol w:w="3190"/>
        <w:gridCol w:w="3145"/>
        <w:gridCol w:w="1389"/>
      </w:tblGrid>
      <w:tr w14:paraId="1600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69" w:hRule="atLeast"/>
          <w:jc w:val="center"/>
        </w:trPr>
        <w:tc>
          <w:tcPr>
            <w:tcW w:w="670" w:type="dxa"/>
            <w:vAlign w:val="center"/>
          </w:tcPr>
          <w:p w14:paraId="360FCEFC">
            <w:pPr>
              <w:jc w:val="center"/>
              <w:rPr>
                <w:rFonts w:ascii="宋体" w:hAnsi="宋体" w:eastAsia="宋体" w:cs="宋体"/>
                <w:sz w:val="22"/>
                <w:szCs w:val="22"/>
              </w:rPr>
            </w:pPr>
            <w:r>
              <w:rPr>
                <w:rFonts w:hint="eastAsia" w:ascii="宋体" w:hAnsi="宋体" w:eastAsia="宋体" w:cs="宋体"/>
                <w:sz w:val="22"/>
                <w:szCs w:val="22"/>
              </w:rPr>
              <w:t>序号</w:t>
            </w:r>
          </w:p>
        </w:tc>
        <w:tc>
          <w:tcPr>
            <w:tcW w:w="3190" w:type="dxa"/>
            <w:vAlign w:val="center"/>
          </w:tcPr>
          <w:p w14:paraId="01CE3DEB">
            <w:pPr>
              <w:jc w:val="center"/>
              <w:rPr>
                <w:rFonts w:ascii="宋体" w:hAnsi="宋体" w:eastAsia="宋体" w:cs="宋体"/>
                <w:sz w:val="22"/>
                <w:szCs w:val="22"/>
              </w:rPr>
            </w:pPr>
            <w:r>
              <w:rPr>
                <w:rFonts w:hint="eastAsia" w:ascii="宋体" w:hAnsi="宋体" w:cs="宋体"/>
                <w:sz w:val="22"/>
                <w:szCs w:val="22"/>
                <w:lang w:eastAsia="zh-CN"/>
              </w:rPr>
              <w:t>服务</w:t>
            </w:r>
            <w:r>
              <w:rPr>
                <w:rFonts w:hint="eastAsia" w:ascii="宋体" w:hAnsi="宋体" w:eastAsia="宋体" w:cs="宋体"/>
                <w:sz w:val="22"/>
                <w:szCs w:val="22"/>
              </w:rPr>
              <w:t>内容</w:t>
            </w:r>
          </w:p>
        </w:tc>
        <w:tc>
          <w:tcPr>
            <w:tcW w:w="3145" w:type="dxa"/>
            <w:vAlign w:val="center"/>
          </w:tcPr>
          <w:p w14:paraId="089949D3">
            <w:pPr>
              <w:jc w:val="center"/>
              <w:rPr>
                <w:rFonts w:ascii="宋体" w:hAnsi="宋体" w:eastAsia="宋体" w:cs="宋体"/>
                <w:sz w:val="22"/>
                <w:szCs w:val="22"/>
              </w:rPr>
            </w:pPr>
            <w:r>
              <w:rPr>
                <w:rFonts w:hint="eastAsia" w:ascii="宋体" w:hAnsi="宋体" w:eastAsia="宋体" w:cs="宋体"/>
                <w:sz w:val="22"/>
                <w:szCs w:val="22"/>
              </w:rPr>
              <w:t>合计（元）</w:t>
            </w:r>
          </w:p>
        </w:tc>
        <w:tc>
          <w:tcPr>
            <w:tcW w:w="1389" w:type="dxa"/>
            <w:vAlign w:val="center"/>
          </w:tcPr>
          <w:p w14:paraId="2A6F45FF">
            <w:pPr>
              <w:jc w:val="center"/>
              <w:rPr>
                <w:rFonts w:ascii="宋体" w:hAnsi="宋体" w:eastAsia="宋体" w:cs="宋体"/>
                <w:sz w:val="22"/>
                <w:szCs w:val="22"/>
              </w:rPr>
            </w:pPr>
            <w:r>
              <w:rPr>
                <w:rFonts w:hint="eastAsia" w:ascii="宋体" w:hAnsi="宋体" w:eastAsia="宋体" w:cs="宋体"/>
                <w:sz w:val="22"/>
                <w:szCs w:val="22"/>
              </w:rPr>
              <w:t>备注</w:t>
            </w:r>
          </w:p>
        </w:tc>
      </w:tr>
      <w:tr w14:paraId="6FCF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48" w:hRule="atLeast"/>
          <w:jc w:val="center"/>
        </w:trPr>
        <w:tc>
          <w:tcPr>
            <w:tcW w:w="670" w:type="dxa"/>
            <w:vAlign w:val="center"/>
          </w:tcPr>
          <w:p w14:paraId="794CE593">
            <w:pPr>
              <w:jc w:val="center"/>
              <w:rPr>
                <w:rFonts w:ascii="宋体" w:hAnsi="宋体" w:eastAsia="宋体" w:cs="宋体"/>
                <w:sz w:val="22"/>
                <w:szCs w:val="22"/>
              </w:rPr>
            </w:pPr>
            <w:r>
              <w:rPr>
                <w:rFonts w:hint="eastAsia" w:ascii="宋体" w:hAnsi="宋体" w:eastAsia="宋体" w:cs="宋体"/>
                <w:sz w:val="22"/>
                <w:szCs w:val="22"/>
              </w:rPr>
              <w:t>1</w:t>
            </w:r>
          </w:p>
        </w:tc>
        <w:tc>
          <w:tcPr>
            <w:tcW w:w="3190" w:type="dxa"/>
            <w:vAlign w:val="center"/>
          </w:tcPr>
          <w:p w14:paraId="74F2FF1F">
            <w:pPr>
              <w:jc w:val="center"/>
              <w:rPr>
                <w:rFonts w:ascii="宋体" w:hAnsi="宋体" w:eastAsia="宋体" w:cs="宋体"/>
                <w:sz w:val="22"/>
                <w:szCs w:val="22"/>
              </w:rPr>
            </w:pPr>
          </w:p>
        </w:tc>
        <w:tc>
          <w:tcPr>
            <w:tcW w:w="3145" w:type="dxa"/>
            <w:vAlign w:val="center"/>
          </w:tcPr>
          <w:p w14:paraId="6C54D952">
            <w:pPr>
              <w:rPr>
                <w:rFonts w:ascii="宋体" w:hAnsi="宋体" w:eastAsia="宋体" w:cs="宋体"/>
                <w:sz w:val="22"/>
                <w:szCs w:val="22"/>
              </w:rPr>
            </w:pPr>
          </w:p>
        </w:tc>
        <w:tc>
          <w:tcPr>
            <w:tcW w:w="1389" w:type="dxa"/>
            <w:vAlign w:val="center"/>
          </w:tcPr>
          <w:p w14:paraId="45974AEB">
            <w:pPr>
              <w:rPr>
                <w:rFonts w:ascii="宋体" w:hAnsi="宋体" w:eastAsia="宋体" w:cs="宋体"/>
                <w:sz w:val="22"/>
                <w:szCs w:val="22"/>
              </w:rPr>
            </w:pPr>
          </w:p>
        </w:tc>
      </w:tr>
      <w:tr w14:paraId="09F6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98" w:hRule="atLeast"/>
          <w:jc w:val="center"/>
        </w:trPr>
        <w:tc>
          <w:tcPr>
            <w:tcW w:w="670" w:type="dxa"/>
            <w:vAlign w:val="center"/>
          </w:tcPr>
          <w:p w14:paraId="5D566BEF">
            <w:pPr>
              <w:jc w:val="center"/>
              <w:rPr>
                <w:rFonts w:ascii="宋体" w:hAnsi="宋体" w:eastAsia="宋体" w:cs="宋体"/>
                <w:sz w:val="22"/>
                <w:szCs w:val="22"/>
              </w:rPr>
            </w:pPr>
            <w:r>
              <w:rPr>
                <w:rFonts w:hint="eastAsia" w:ascii="宋体" w:hAnsi="宋体" w:eastAsia="宋体" w:cs="宋体"/>
                <w:sz w:val="22"/>
                <w:szCs w:val="22"/>
              </w:rPr>
              <w:t>2</w:t>
            </w:r>
          </w:p>
        </w:tc>
        <w:tc>
          <w:tcPr>
            <w:tcW w:w="3190" w:type="dxa"/>
            <w:vAlign w:val="center"/>
          </w:tcPr>
          <w:p w14:paraId="642A29F0">
            <w:pPr>
              <w:jc w:val="center"/>
              <w:rPr>
                <w:rFonts w:hint="default" w:ascii="宋体" w:hAnsi="宋体" w:eastAsia="宋体" w:cs="宋体"/>
                <w:sz w:val="22"/>
                <w:szCs w:val="22"/>
                <w:lang w:val="en"/>
              </w:rPr>
            </w:pPr>
          </w:p>
        </w:tc>
        <w:tc>
          <w:tcPr>
            <w:tcW w:w="3145" w:type="dxa"/>
            <w:vAlign w:val="center"/>
          </w:tcPr>
          <w:p w14:paraId="7E1A191A">
            <w:pPr>
              <w:rPr>
                <w:rFonts w:ascii="宋体" w:hAnsi="宋体" w:eastAsia="宋体" w:cs="宋体"/>
                <w:sz w:val="22"/>
                <w:szCs w:val="22"/>
              </w:rPr>
            </w:pPr>
          </w:p>
        </w:tc>
        <w:tc>
          <w:tcPr>
            <w:tcW w:w="1389" w:type="dxa"/>
            <w:vAlign w:val="center"/>
          </w:tcPr>
          <w:p w14:paraId="28E1A6F7">
            <w:pPr>
              <w:rPr>
                <w:rFonts w:ascii="宋体" w:hAnsi="宋体" w:eastAsia="宋体" w:cs="宋体"/>
                <w:sz w:val="22"/>
                <w:szCs w:val="22"/>
              </w:rPr>
            </w:pPr>
          </w:p>
        </w:tc>
      </w:tr>
      <w:tr w14:paraId="4BB35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98" w:hRule="atLeast"/>
          <w:jc w:val="center"/>
        </w:trPr>
        <w:tc>
          <w:tcPr>
            <w:tcW w:w="670" w:type="dxa"/>
            <w:vAlign w:val="center"/>
          </w:tcPr>
          <w:p w14:paraId="03F81BFF">
            <w:pPr>
              <w:jc w:val="center"/>
              <w:rPr>
                <w:rFonts w:ascii="宋体" w:hAnsi="宋体" w:eastAsia="宋体" w:cs="宋体"/>
                <w:sz w:val="22"/>
                <w:szCs w:val="22"/>
              </w:rPr>
            </w:pPr>
            <w:r>
              <w:rPr>
                <w:rFonts w:hint="eastAsia" w:ascii="宋体" w:hAnsi="宋体" w:eastAsia="宋体" w:cs="宋体"/>
                <w:sz w:val="22"/>
                <w:szCs w:val="22"/>
              </w:rPr>
              <w:t>3</w:t>
            </w:r>
          </w:p>
        </w:tc>
        <w:tc>
          <w:tcPr>
            <w:tcW w:w="3190" w:type="dxa"/>
            <w:vAlign w:val="center"/>
          </w:tcPr>
          <w:p w14:paraId="5C0EACEF">
            <w:pPr>
              <w:jc w:val="center"/>
              <w:rPr>
                <w:rFonts w:hint="eastAsia" w:ascii="宋体" w:hAnsi="宋体" w:eastAsia="宋体" w:cs="宋体"/>
                <w:sz w:val="22"/>
                <w:szCs w:val="22"/>
                <w:lang w:eastAsia="zh-CN"/>
              </w:rPr>
            </w:pPr>
          </w:p>
        </w:tc>
        <w:tc>
          <w:tcPr>
            <w:tcW w:w="3145" w:type="dxa"/>
            <w:vAlign w:val="center"/>
          </w:tcPr>
          <w:p w14:paraId="7DB2B8FA">
            <w:pPr>
              <w:rPr>
                <w:rFonts w:ascii="宋体" w:hAnsi="宋体" w:eastAsia="宋体" w:cs="宋体"/>
                <w:sz w:val="22"/>
                <w:szCs w:val="22"/>
              </w:rPr>
            </w:pPr>
          </w:p>
        </w:tc>
        <w:tc>
          <w:tcPr>
            <w:tcW w:w="1389" w:type="dxa"/>
            <w:vAlign w:val="center"/>
          </w:tcPr>
          <w:p w14:paraId="51731555">
            <w:pPr>
              <w:rPr>
                <w:rFonts w:ascii="宋体" w:hAnsi="宋体" w:eastAsia="宋体" w:cs="宋体"/>
                <w:sz w:val="22"/>
                <w:szCs w:val="22"/>
              </w:rPr>
            </w:pPr>
          </w:p>
        </w:tc>
      </w:tr>
      <w:tr w14:paraId="7443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62" w:hRule="atLeast"/>
          <w:jc w:val="center"/>
        </w:trPr>
        <w:tc>
          <w:tcPr>
            <w:tcW w:w="670" w:type="dxa"/>
            <w:vAlign w:val="center"/>
          </w:tcPr>
          <w:p w14:paraId="2AB8CBDB">
            <w:pPr>
              <w:jc w:val="center"/>
              <w:rPr>
                <w:rFonts w:ascii="宋体" w:hAnsi="宋体" w:eastAsia="宋体" w:cs="宋体"/>
                <w:sz w:val="22"/>
                <w:szCs w:val="22"/>
              </w:rPr>
            </w:pPr>
            <w:r>
              <w:rPr>
                <w:rFonts w:hint="eastAsia" w:ascii="宋体" w:hAnsi="宋体" w:eastAsia="宋体" w:cs="宋体"/>
                <w:sz w:val="22"/>
                <w:szCs w:val="22"/>
              </w:rPr>
              <w:t>5</w:t>
            </w:r>
          </w:p>
        </w:tc>
        <w:tc>
          <w:tcPr>
            <w:tcW w:w="3190" w:type="dxa"/>
            <w:vAlign w:val="center"/>
          </w:tcPr>
          <w:p w14:paraId="4A12E266">
            <w:pPr>
              <w:rPr>
                <w:rFonts w:ascii="宋体" w:hAnsi="宋体" w:eastAsia="宋体" w:cs="宋体"/>
                <w:sz w:val="22"/>
                <w:szCs w:val="22"/>
              </w:rPr>
            </w:pPr>
          </w:p>
        </w:tc>
        <w:tc>
          <w:tcPr>
            <w:tcW w:w="3145" w:type="dxa"/>
            <w:vAlign w:val="center"/>
          </w:tcPr>
          <w:p w14:paraId="39BBFB5C">
            <w:pPr>
              <w:rPr>
                <w:rFonts w:ascii="宋体" w:hAnsi="宋体" w:eastAsia="宋体" w:cs="宋体"/>
                <w:sz w:val="22"/>
                <w:szCs w:val="22"/>
              </w:rPr>
            </w:pPr>
          </w:p>
        </w:tc>
        <w:tc>
          <w:tcPr>
            <w:tcW w:w="1389" w:type="dxa"/>
            <w:vAlign w:val="center"/>
          </w:tcPr>
          <w:p w14:paraId="228B79E2">
            <w:pPr>
              <w:rPr>
                <w:rFonts w:ascii="宋体" w:hAnsi="宋体" w:eastAsia="宋体" w:cs="宋体"/>
                <w:sz w:val="22"/>
                <w:szCs w:val="22"/>
              </w:rPr>
            </w:pPr>
          </w:p>
        </w:tc>
      </w:tr>
      <w:tr w14:paraId="42BE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54" w:hRule="atLeast"/>
          <w:jc w:val="center"/>
        </w:trPr>
        <w:tc>
          <w:tcPr>
            <w:tcW w:w="670" w:type="dxa"/>
            <w:vAlign w:val="center"/>
          </w:tcPr>
          <w:p w14:paraId="7768AD1D">
            <w:pPr>
              <w:jc w:val="center"/>
              <w:rPr>
                <w:rFonts w:ascii="宋体" w:hAnsi="宋体" w:eastAsia="宋体" w:cs="宋体"/>
                <w:sz w:val="22"/>
                <w:szCs w:val="22"/>
              </w:rPr>
            </w:pPr>
            <w:r>
              <w:rPr>
                <w:rFonts w:hint="eastAsia" w:ascii="宋体" w:hAnsi="宋体" w:eastAsia="宋体" w:cs="宋体"/>
                <w:sz w:val="22"/>
                <w:szCs w:val="22"/>
              </w:rPr>
              <w:t>6</w:t>
            </w:r>
          </w:p>
        </w:tc>
        <w:tc>
          <w:tcPr>
            <w:tcW w:w="3190" w:type="dxa"/>
            <w:vAlign w:val="center"/>
          </w:tcPr>
          <w:p w14:paraId="1EB598BC">
            <w:pPr>
              <w:rPr>
                <w:rFonts w:ascii="宋体" w:hAnsi="宋体" w:eastAsia="宋体" w:cs="宋体"/>
                <w:sz w:val="22"/>
                <w:szCs w:val="22"/>
              </w:rPr>
            </w:pPr>
          </w:p>
        </w:tc>
        <w:tc>
          <w:tcPr>
            <w:tcW w:w="3145" w:type="dxa"/>
            <w:vAlign w:val="center"/>
          </w:tcPr>
          <w:p w14:paraId="2311AB2B">
            <w:pPr>
              <w:rPr>
                <w:rFonts w:ascii="宋体" w:hAnsi="宋体" w:eastAsia="宋体" w:cs="宋体"/>
                <w:sz w:val="22"/>
                <w:szCs w:val="22"/>
              </w:rPr>
            </w:pPr>
          </w:p>
        </w:tc>
        <w:tc>
          <w:tcPr>
            <w:tcW w:w="1389" w:type="dxa"/>
            <w:vAlign w:val="center"/>
          </w:tcPr>
          <w:p w14:paraId="2509CAB1">
            <w:pPr>
              <w:rPr>
                <w:rFonts w:ascii="宋体" w:hAnsi="宋体" w:eastAsia="宋体" w:cs="宋体"/>
                <w:sz w:val="22"/>
                <w:szCs w:val="22"/>
              </w:rPr>
            </w:pPr>
          </w:p>
        </w:tc>
      </w:tr>
      <w:tr w14:paraId="50ED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506" w:hRule="atLeast"/>
          <w:jc w:val="center"/>
        </w:trPr>
        <w:tc>
          <w:tcPr>
            <w:tcW w:w="670" w:type="dxa"/>
            <w:vAlign w:val="center"/>
          </w:tcPr>
          <w:p w14:paraId="348DE18E">
            <w:pPr>
              <w:jc w:val="center"/>
              <w:rPr>
                <w:rFonts w:ascii="宋体" w:hAnsi="宋体" w:eastAsia="宋体" w:cs="宋体"/>
                <w:sz w:val="22"/>
                <w:szCs w:val="22"/>
              </w:rPr>
            </w:pPr>
            <w:r>
              <w:rPr>
                <w:rFonts w:hint="eastAsia" w:ascii="宋体" w:hAnsi="宋体" w:eastAsia="宋体" w:cs="宋体"/>
                <w:sz w:val="22"/>
                <w:szCs w:val="22"/>
              </w:rPr>
              <w:t>…</w:t>
            </w:r>
          </w:p>
        </w:tc>
        <w:tc>
          <w:tcPr>
            <w:tcW w:w="3190" w:type="dxa"/>
            <w:vAlign w:val="center"/>
          </w:tcPr>
          <w:p w14:paraId="5CF7A978">
            <w:pPr>
              <w:rPr>
                <w:rFonts w:ascii="宋体" w:hAnsi="宋体" w:eastAsia="宋体" w:cs="宋体"/>
                <w:sz w:val="22"/>
                <w:szCs w:val="22"/>
              </w:rPr>
            </w:pPr>
          </w:p>
        </w:tc>
        <w:tc>
          <w:tcPr>
            <w:tcW w:w="3145" w:type="dxa"/>
            <w:vAlign w:val="center"/>
          </w:tcPr>
          <w:p w14:paraId="4DB4D23D">
            <w:pPr>
              <w:rPr>
                <w:rFonts w:ascii="宋体" w:hAnsi="宋体" w:eastAsia="宋体" w:cs="宋体"/>
                <w:sz w:val="22"/>
                <w:szCs w:val="22"/>
              </w:rPr>
            </w:pPr>
          </w:p>
        </w:tc>
        <w:tc>
          <w:tcPr>
            <w:tcW w:w="1389" w:type="dxa"/>
            <w:vAlign w:val="center"/>
          </w:tcPr>
          <w:p w14:paraId="036BEA18">
            <w:pPr>
              <w:rPr>
                <w:rFonts w:ascii="宋体" w:hAnsi="宋体" w:eastAsia="宋体" w:cs="宋体"/>
                <w:sz w:val="22"/>
                <w:szCs w:val="22"/>
              </w:rPr>
            </w:pPr>
          </w:p>
        </w:tc>
      </w:tr>
      <w:tr w14:paraId="41CD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78" w:hRule="atLeast"/>
          <w:jc w:val="center"/>
        </w:trPr>
        <w:tc>
          <w:tcPr>
            <w:tcW w:w="3860" w:type="dxa"/>
            <w:gridSpan w:val="2"/>
            <w:vAlign w:val="center"/>
          </w:tcPr>
          <w:p w14:paraId="2ECFD238">
            <w:pPr>
              <w:jc w:val="center"/>
              <w:rPr>
                <w:rFonts w:ascii="宋体" w:hAnsi="宋体" w:eastAsia="宋体" w:cs="宋体"/>
                <w:sz w:val="22"/>
                <w:szCs w:val="22"/>
              </w:rPr>
            </w:pPr>
            <w:r>
              <w:rPr>
                <w:rFonts w:hint="eastAsia" w:ascii="宋体" w:hAnsi="宋体" w:eastAsia="宋体" w:cs="宋体"/>
                <w:sz w:val="22"/>
                <w:szCs w:val="22"/>
              </w:rPr>
              <w:t>投标总价</w:t>
            </w:r>
          </w:p>
        </w:tc>
        <w:tc>
          <w:tcPr>
            <w:tcW w:w="3145" w:type="dxa"/>
            <w:vAlign w:val="center"/>
          </w:tcPr>
          <w:p w14:paraId="120769D8">
            <w:pPr>
              <w:rPr>
                <w:rFonts w:ascii="宋体" w:hAnsi="宋体" w:eastAsia="宋体" w:cs="宋体"/>
                <w:sz w:val="22"/>
                <w:szCs w:val="22"/>
              </w:rPr>
            </w:pPr>
          </w:p>
        </w:tc>
        <w:tc>
          <w:tcPr>
            <w:tcW w:w="1389" w:type="dxa"/>
            <w:vAlign w:val="center"/>
          </w:tcPr>
          <w:p w14:paraId="2C22CFB1">
            <w:pPr>
              <w:rPr>
                <w:rFonts w:ascii="宋体" w:hAnsi="宋体" w:eastAsia="宋体" w:cs="宋体"/>
                <w:sz w:val="22"/>
                <w:szCs w:val="22"/>
              </w:rPr>
            </w:pPr>
          </w:p>
        </w:tc>
      </w:tr>
    </w:tbl>
    <w:p w14:paraId="41D0215F">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ascii="宋体" w:hAnsi="宋体" w:eastAsia="宋体" w:cs="宋体"/>
          <w:sz w:val="22"/>
          <w:szCs w:val="22"/>
        </w:rPr>
      </w:pPr>
      <w:r>
        <w:rPr>
          <w:rFonts w:hint="eastAsia" w:ascii="宋体" w:hAnsi="宋体" w:eastAsia="宋体" w:cs="宋体"/>
          <w:sz w:val="22"/>
          <w:szCs w:val="22"/>
        </w:rPr>
        <w:t>注：1.所有价格应按“招标文件”中规定的货币单位填写；</w:t>
      </w:r>
    </w:p>
    <w:p w14:paraId="757E0575">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sz w:val="22"/>
          <w:szCs w:val="22"/>
        </w:rPr>
      </w:pPr>
      <w:r>
        <w:rPr>
          <w:rFonts w:hint="eastAsia" w:ascii="宋体" w:hAnsi="宋体" w:eastAsia="宋体" w:cs="宋体"/>
          <w:sz w:val="22"/>
          <w:szCs w:val="22"/>
        </w:rPr>
        <w:t xml:space="preserve">      2.投标总价应为以上各分项价格之和；</w:t>
      </w:r>
    </w:p>
    <w:p w14:paraId="7533D3F0">
      <w:pPr>
        <w:keepNext w:val="0"/>
        <w:keepLines w:val="0"/>
        <w:pageBreakBefore w:val="0"/>
        <w:widowControl w:val="0"/>
        <w:kinsoku/>
        <w:wordWrap/>
        <w:overflowPunct/>
        <w:topLinePunct w:val="0"/>
        <w:autoSpaceDE/>
        <w:autoSpaceDN/>
        <w:bidi w:val="0"/>
        <w:adjustRightInd/>
        <w:snapToGrid/>
        <w:spacing w:line="360" w:lineRule="exact"/>
        <w:ind w:firstLine="663" w:firstLineChars="300"/>
        <w:textAlignment w:val="auto"/>
        <w:rPr>
          <w:rFonts w:hint="eastAsia" w:ascii="宋体" w:hAnsi="宋体" w:eastAsia="宋体" w:cs="宋体"/>
          <w:b/>
          <w:bCs/>
          <w:sz w:val="22"/>
          <w:szCs w:val="22"/>
        </w:rPr>
      </w:pPr>
      <w:r>
        <w:rPr>
          <w:rFonts w:hint="eastAsia" w:ascii="宋体" w:hAnsi="宋体" w:eastAsia="宋体" w:cs="宋体"/>
          <w:b/>
          <w:bCs/>
          <w:sz w:val="22"/>
          <w:szCs w:val="22"/>
        </w:rPr>
        <w:t>3.本表格仅为指导性范本，供应商应根据项目具体情况对各分项内容进行调整提供详细分项报价。</w:t>
      </w:r>
    </w:p>
    <w:p w14:paraId="403D9670">
      <w:pPr>
        <w:pStyle w:val="20"/>
        <w:rPr>
          <w:rFonts w:hint="eastAsia" w:ascii="宋体" w:hAnsi="宋体" w:eastAsia="宋体" w:cs="宋体"/>
          <w:b w:val="0"/>
          <w:bCs w:val="0"/>
          <w:kern w:val="2"/>
          <w:sz w:val="22"/>
          <w:szCs w:val="22"/>
          <w:lang w:val="en-US" w:eastAsia="zh-CN" w:bidi="ar-SA"/>
        </w:rPr>
      </w:pPr>
    </w:p>
    <w:p w14:paraId="14AA619C">
      <w:pPr>
        <w:pStyle w:val="20"/>
        <w:rPr>
          <w:rFonts w:hint="default" w:ascii="宋体" w:hAnsi="宋体" w:eastAsia="宋体" w:cs="宋体"/>
          <w:b w:val="0"/>
          <w:bCs w:val="0"/>
          <w:kern w:val="2"/>
          <w:sz w:val="22"/>
          <w:szCs w:val="22"/>
          <w:lang w:val="en-US" w:eastAsia="zh-CN" w:bidi="ar-SA"/>
        </w:rPr>
      </w:pPr>
    </w:p>
    <w:p w14:paraId="6A92985C">
      <w:pPr>
        <w:spacing w:line="360" w:lineRule="exact"/>
        <w:ind w:right="2100" w:rightChars="1000"/>
        <w:jc w:val="left"/>
        <w:rPr>
          <w:rFonts w:ascii="宋体" w:hAnsi="宋体" w:eastAsia="宋体" w:cs="宋体"/>
          <w:snapToGrid w:val="0"/>
          <w:kern w:val="0"/>
          <w:sz w:val="22"/>
        </w:rPr>
      </w:pPr>
      <w:r>
        <w:rPr>
          <w:rFonts w:hint="eastAsia" w:ascii="宋体" w:hAnsi="宋体" w:eastAsia="宋体" w:cs="宋体"/>
          <w:snapToGrid w:val="0"/>
          <w:kern w:val="0"/>
          <w:sz w:val="22"/>
          <w:lang w:val="zh-CN"/>
        </w:rPr>
        <w:t>法定代表人（</w:t>
      </w:r>
      <w:r>
        <w:rPr>
          <w:rFonts w:hint="eastAsia" w:ascii="宋体" w:hAnsi="宋体" w:eastAsia="宋体" w:cs="宋体"/>
          <w:snapToGrid w:val="0"/>
          <w:kern w:val="0"/>
          <w:sz w:val="22"/>
        </w:rPr>
        <w:t>单位负责人</w:t>
      </w:r>
      <w:r>
        <w:rPr>
          <w:rFonts w:hint="eastAsia" w:ascii="宋体" w:hAnsi="宋体" w:eastAsia="宋体" w:cs="宋体"/>
          <w:snapToGrid w:val="0"/>
          <w:kern w:val="0"/>
          <w:sz w:val="22"/>
          <w:lang w:val="zh-CN"/>
        </w:rPr>
        <w:t>）或其授权代表（签字</w:t>
      </w:r>
      <w:r>
        <w:rPr>
          <w:rFonts w:hint="eastAsia" w:ascii="宋体" w:hAnsi="宋体" w:eastAsia="宋体" w:cs="宋体"/>
          <w:snapToGrid w:val="0"/>
          <w:kern w:val="0"/>
          <w:sz w:val="22"/>
        </w:rPr>
        <w:t>或盖章</w:t>
      </w:r>
      <w:r>
        <w:rPr>
          <w:rFonts w:hint="eastAsia" w:ascii="宋体" w:hAnsi="宋体" w:eastAsia="宋体" w:cs="宋体"/>
          <w:snapToGrid w:val="0"/>
          <w:kern w:val="0"/>
          <w:sz w:val="22"/>
          <w:lang w:val="zh-CN"/>
        </w:rPr>
        <w:t>）</w:t>
      </w:r>
      <w:r>
        <w:rPr>
          <w:rFonts w:hint="eastAsia" w:ascii="宋体" w:hAnsi="宋体" w:eastAsia="宋体" w:cs="宋体"/>
          <w:snapToGrid w:val="0"/>
          <w:kern w:val="0"/>
          <w:sz w:val="22"/>
        </w:rPr>
        <w:t xml:space="preserve">：                   </w:t>
      </w:r>
    </w:p>
    <w:p w14:paraId="335AF373">
      <w:pPr>
        <w:spacing w:line="360" w:lineRule="exact"/>
        <w:ind w:right="2100" w:rightChars="1000"/>
        <w:jc w:val="left"/>
        <w:rPr>
          <w:rFonts w:ascii="宋体" w:hAnsi="宋体" w:eastAsia="宋体" w:cs="宋体"/>
          <w:snapToGrid w:val="0"/>
          <w:kern w:val="0"/>
          <w:sz w:val="22"/>
        </w:rPr>
      </w:pPr>
      <w:r>
        <w:rPr>
          <w:rFonts w:hint="eastAsia" w:ascii="宋体" w:hAnsi="宋体" w:eastAsia="宋体" w:cs="宋体"/>
          <w:snapToGrid w:val="0"/>
          <w:kern w:val="0"/>
          <w:sz w:val="22"/>
        </w:rPr>
        <w:t xml:space="preserve">投标人名称（盖章）：                        </w:t>
      </w:r>
    </w:p>
    <w:p w14:paraId="6D0B41CD">
      <w:pPr>
        <w:adjustRightInd w:val="0"/>
        <w:snapToGrid w:val="0"/>
        <w:spacing w:line="360" w:lineRule="exact"/>
        <w:rPr>
          <w:rFonts w:ascii="宋体" w:hAnsi="宋体" w:cs="宋体"/>
          <w:bCs/>
          <w:sz w:val="22"/>
        </w:rPr>
      </w:pPr>
      <w:r>
        <w:rPr>
          <w:rFonts w:hint="eastAsia" w:ascii="宋体" w:hAnsi="宋体" w:eastAsia="宋体" w:cs="宋体"/>
          <w:snapToGrid w:val="0"/>
          <w:kern w:val="0"/>
          <w:sz w:val="22"/>
        </w:rPr>
        <w:t>日期：   年   月   日</w:t>
      </w:r>
      <w:r>
        <w:rPr>
          <w:rFonts w:hint="eastAsia" w:ascii="宋体" w:hAnsi="宋体" w:cs="宋体"/>
        </w:rPr>
        <w:br w:type="page"/>
      </w:r>
    </w:p>
    <w:p w14:paraId="4553A1DD">
      <w:pPr>
        <w:numPr>
          <w:ilvl w:val="0"/>
          <w:numId w:val="8"/>
        </w:numPr>
        <w:ind w:left="420" w:firstLine="0"/>
        <w:jc w:val="center"/>
        <w:outlineLvl w:val="2"/>
        <w:rPr>
          <w:rFonts w:ascii="宋体" w:hAnsi="宋体" w:cs="宋体"/>
          <w:b/>
          <w:bCs/>
          <w:sz w:val="22"/>
          <w:szCs w:val="22"/>
        </w:rPr>
      </w:pPr>
      <w:r>
        <w:rPr>
          <w:rFonts w:hint="eastAsia" w:ascii="宋体" w:hAnsi="宋体" w:cs="宋体"/>
          <w:b/>
          <w:bCs/>
          <w:sz w:val="32"/>
        </w:rPr>
        <w:t>供应商情况介绍</w:t>
      </w:r>
    </w:p>
    <w:p w14:paraId="47626893">
      <w:pPr>
        <w:jc w:val="left"/>
        <w:rPr>
          <w:rFonts w:ascii="宋体" w:hAnsi="宋体" w:cs="宋体"/>
          <w:b/>
          <w:bCs/>
          <w:sz w:val="22"/>
          <w:szCs w:val="22"/>
        </w:rPr>
      </w:pPr>
      <w:r>
        <w:rPr>
          <w:rFonts w:hint="eastAsia" w:ascii="宋体" w:hAnsi="宋体" w:cs="宋体"/>
          <w:b/>
          <w:bCs/>
          <w:sz w:val="22"/>
          <w:szCs w:val="22"/>
        </w:rPr>
        <w:t>（一）供应商情况一览表</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3173"/>
        <w:gridCol w:w="3253"/>
        <w:gridCol w:w="1291"/>
      </w:tblGrid>
      <w:tr w14:paraId="152A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tcPr>
          <w:p w14:paraId="6153CB41">
            <w:pPr>
              <w:adjustRightInd w:val="0"/>
              <w:snapToGrid w:val="0"/>
              <w:spacing w:line="360" w:lineRule="exact"/>
              <w:rPr>
                <w:rFonts w:ascii="宋体" w:hAnsi="宋体" w:cs="宋体"/>
                <w:bCs/>
                <w:sz w:val="22"/>
                <w:szCs w:val="22"/>
              </w:rPr>
            </w:pPr>
            <w:r>
              <w:rPr>
                <w:rFonts w:hint="eastAsia" w:ascii="宋体" w:hAnsi="宋体" w:cs="宋体"/>
                <w:bCs/>
                <w:sz w:val="22"/>
                <w:szCs w:val="22"/>
              </w:rPr>
              <w:t>序号</w:t>
            </w:r>
          </w:p>
        </w:tc>
        <w:tc>
          <w:tcPr>
            <w:tcW w:w="1860" w:type="pct"/>
          </w:tcPr>
          <w:p w14:paraId="3C235358">
            <w:pPr>
              <w:adjustRightInd w:val="0"/>
              <w:snapToGrid w:val="0"/>
              <w:spacing w:line="360" w:lineRule="exact"/>
              <w:rPr>
                <w:rFonts w:ascii="宋体" w:hAnsi="宋体" w:cs="宋体"/>
                <w:bCs/>
                <w:sz w:val="22"/>
                <w:szCs w:val="22"/>
              </w:rPr>
            </w:pPr>
            <w:r>
              <w:rPr>
                <w:rFonts w:hint="eastAsia" w:ascii="宋体" w:hAnsi="宋体" w:cs="宋体"/>
                <w:bCs/>
                <w:sz w:val="22"/>
                <w:szCs w:val="22"/>
              </w:rPr>
              <w:t>项  目</w:t>
            </w:r>
          </w:p>
        </w:tc>
        <w:tc>
          <w:tcPr>
            <w:tcW w:w="1907" w:type="pct"/>
          </w:tcPr>
          <w:p w14:paraId="1538CCF8">
            <w:pPr>
              <w:adjustRightInd w:val="0"/>
              <w:snapToGrid w:val="0"/>
              <w:spacing w:line="360" w:lineRule="exact"/>
              <w:rPr>
                <w:rFonts w:ascii="宋体" w:hAnsi="宋体" w:cs="宋体"/>
                <w:bCs/>
                <w:sz w:val="22"/>
                <w:szCs w:val="22"/>
              </w:rPr>
            </w:pPr>
            <w:r>
              <w:rPr>
                <w:rFonts w:hint="eastAsia" w:ascii="宋体" w:hAnsi="宋体" w:cs="宋体"/>
                <w:bCs/>
                <w:sz w:val="22"/>
                <w:szCs w:val="22"/>
              </w:rPr>
              <w:t>内容及说明</w:t>
            </w:r>
          </w:p>
        </w:tc>
        <w:tc>
          <w:tcPr>
            <w:tcW w:w="756" w:type="pct"/>
          </w:tcPr>
          <w:p w14:paraId="1B85F261">
            <w:pPr>
              <w:adjustRightInd w:val="0"/>
              <w:snapToGrid w:val="0"/>
              <w:spacing w:line="360" w:lineRule="exact"/>
              <w:rPr>
                <w:rFonts w:ascii="宋体" w:hAnsi="宋体" w:cs="宋体"/>
                <w:bCs/>
                <w:sz w:val="22"/>
                <w:szCs w:val="22"/>
              </w:rPr>
            </w:pPr>
            <w:r>
              <w:rPr>
                <w:rFonts w:hint="eastAsia" w:ascii="宋体" w:hAnsi="宋体" w:cs="宋体"/>
                <w:bCs/>
                <w:sz w:val="22"/>
                <w:szCs w:val="22"/>
              </w:rPr>
              <w:t>备注</w:t>
            </w:r>
          </w:p>
        </w:tc>
      </w:tr>
      <w:tr w14:paraId="2CBC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475" w:type="pct"/>
            <w:vMerge w:val="restart"/>
          </w:tcPr>
          <w:p w14:paraId="6D16E0E0">
            <w:pPr>
              <w:adjustRightInd w:val="0"/>
              <w:snapToGrid w:val="0"/>
              <w:spacing w:line="360" w:lineRule="exact"/>
              <w:rPr>
                <w:rFonts w:ascii="宋体" w:hAnsi="宋体" w:cs="宋体"/>
                <w:bCs/>
                <w:sz w:val="22"/>
                <w:szCs w:val="22"/>
              </w:rPr>
            </w:pPr>
            <w:r>
              <w:rPr>
                <w:rFonts w:hint="eastAsia" w:ascii="宋体" w:hAnsi="宋体" w:cs="宋体"/>
                <w:bCs/>
                <w:sz w:val="22"/>
                <w:szCs w:val="22"/>
              </w:rPr>
              <w:t>一</w:t>
            </w:r>
          </w:p>
        </w:tc>
        <w:tc>
          <w:tcPr>
            <w:tcW w:w="1860" w:type="pct"/>
          </w:tcPr>
          <w:p w14:paraId="65AD7A36">
            <w:pPr>
              <w:adjustRightInd w:val="0"/>
              <w:snapToGrid w:val="0"/>
              <w:spacing w:line="360" w:lineRule="exact"/>
              <w:rPr>
                <w:rFonts w:ascii="宋体" w:hAnsi="宋体" w:cs="宋体"/>
                <w:bCs/>
                <w:sz w:val="22"/>
                <w:szCs w:val="22"/>
              </w:rPr>
            </w:pPr>
            <w:r>
              <w:rPr>
                <w:rFonts w:hint="eastAsia" w:ascii="宋体" w:hAnsi="宋体" w:cs="宋体"/>
                <w:bCs/>
                <w:sz w:val="22"/>
                <w:szCs w:val="22"/>
              </w:rPr>
              <w:t>营业执照</w:t>
            </w:r>
          </w:p>
        </w:tc>
        <w:tc>
          <w:tcPr>
            <w:tcW w:w="1907" w:type="pct"/>
          </w:tcPr>
          <w:p w14:paraId="0729F95F">
            <w:pPr>
              <w:adjustRightInd w:val="0"/>
              <w:snapToGrid w:val="0"/>
              <w:spacing w:line="360" w:lineRule="exact"/>
              <w:rPr>
                <w:rFonts w:ascii="宋体" w:hAnsi="宋体" w:cs="宋体"/>
                <w:bCs/>
                <w:sz w:val="22"/>
                <w:szCs w:val="22"/>
              </w:rPr>
            </w:pPr>
          </w:p>
        </w:tc>
        <w:tc>
          <w:tcPr>
            <w:tcW w:w="756" w:type="pct"/>
            <w:vMerge w:val="restart"/>
          </w:tcPr>
          <w:p w14:paraId="185CA146">
            <w:pPr>
              <w:adjustRightInd w:val="0"/>
              <w:snapToGrid w:val="0"/>
              <w:spacing w:line="360" w:lineRule="exact"/>
              <w:rPr>
                <w:rFonts w:ascii="宋体" w:hAnsi="宋体" w:cs="宋体"/>
                <w:bCs/>
                <w:sz w:val="22"/>
                <w:szCs w:val="22"/>
              </w:rPr>
            </w:pPr>
            <w:r>
              <w:rPr>
                <w:rFonts w:hint="eastAsia" w:ascii="宋体" w:hAnsi="宋体" w:cs="宋体"/>
                <w:bCs/>
                <w:sz w:val="22"/>
                <w:szCs w:val="22"/>
              </w:rPr>
              <w:t>提供复印件</w:t>
            </w:r>
          </w:p>
        </w:tc>
      </w:tr>
      <w:tr w14:paraId="28D7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75" w:type="pct"/>
            <w:vMerge w:val="continue"/>
          </w:tcPr>
          <w:p w14:paraId="6AE8E5BD">
            <w:pPr>
              <w:adjustRightInd w:val="0"/>
              <w:snapToGrid w:val="0"/>
              <w:spacing w:line="360" w:lineRule="exact"/>
              <w:rPr>
                <w:rFonts w:ascii="宋体" w:hAnsi="宋体" w:cs="宋体"/>
                <w:bCs/>
                <w:sz w:val="22"/>
                <w:szCs w:val="22"/>
              </w:rPr>
            </w:pPr>
          </w:p>
        </w:tc>
        <w:tc>
          <w:tcPr>
            <w:tcW w:w="1860" w:type="pct"/>
          </w:tcPr>
          <w:p w14:paraId="2C4B3C70">
            <w:pPr>
              <w:adjustRightInd w:val="0"/>
              <w:snapToGrid w:val="0"/>
              <w:spacing w:line="360" w:lineRule="exact"/>
              <w:rPr>
                <w:rFonts w:ascii="宋体" w:hAnsi="宋体" w:cs="宋体"/>
                <w:bCs/>
                <w:sz w:val="22"/>
                <w:szCs w:val="22"/>
              </w:rPr>
            </w:pPr>
            <w:r>
              <w:rPr>
                <w:rFonts w:hint="eastAsia" w:ascii="宋体" w:hAnsi="宋体" w:cs="宋体"/>
                <w:bCs/>
                <w:sz w:val="22"/>
                <w:szCs w:val="22"/>
              </w:rPr>
              <w:t>1.注册年度及注册编号</w:t>
            </w:r>
          </w:p>
        </w:tc>
        <w:tc>
          <w:tcPr>
            <w:tcW w:w="1907" w:type="pct"/>
          </w:tcPr>
          <w:p w14:paraId="5859B103">
            <w:pPr>
              <w:adjustRightInd w:val="0"/>
              <w:snapToGrid w:val="0"/>
              <w:spacing w:line="360" w:lineRule="exact"/>
              <w:rPr>
                <w:rFonts w:ascii="宋体" w:hAnsi="宋体" w:cs="宋体"/>
                <w:bCs/>
                <w:sz w:val="22"/>
                <w:szCs w:val="22"/>
              </w:rPr>
            </w:pPr>
          </w:p>
        </w:tc>
        <w:tc>
          <w:tcPr>
            <w:tcW w:w="756" w:type="pct"/>
            <w:vMerge w:val="continue"/>
          </w:tcPr>
          <w:p w14:paraId="2265E241">
            <w:pPr>
              <w:adjustRightInd w:val="0"/>
              <w:snapToGrid w:val="0"/>
              <w:spacing w:line="360" w:lineRule="exact"/>
              <w:rPr>
                <w:rFonts w:ascii="宋体" w:hAnsi="宋体" w:cs="宋体"/>
                <w:bCs/>
                <w:sz w:val="22"/>
                <w:szCs w:val="22"/>
              </w:rPr>
            </w:pPr>
          </w:p>
        </w:tc>
      </w:tr>
      <w:tr w14:paraId="1F11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75" w:type="pct"/>
            <w:vMerge w:val="continue"/>
          </w:tcPr>
          <w:p w14:paraId="68DB12F7">
            <w:pPr>
              <w:adjustRightInd w:val="0"/>
              <w:snapToGrid w:val="0"/>
              <w:spacing w:line="360" w:lineRule="exact"/>
              <w:rPr>
                <w:rFonts w:ascii="宋体" w:hAnsi="宋体" w:cs="宋体"/>
                <w:bCs/>
                <w:sz w:val="22"/>
                <w:szCs w:val="22"/>
              </w:rPr>
            </w:pPr>
          </w:p>
        </w:tc>
        <w:tc>
          <w:tcPr>
            <w:tcW w:w="1860" w:type="pct"/>
          </w:tcPr>
          <w:p w14:paraId="4BC9041F">
            <w:pPr>
              <w:adjustRightInd w:val="0"/>
              <w:snapToGrid w:val="0"/>
              <w:spacing w:line="360" w:lineRule="exact"/>
              <w:rPr>
                <w:rFonts w:ascii="宋体" w:hAnsi="宋体" w:cs="宋体"/>
                <w:bCs/>
                <w:sz w:val="22"/>
                <w:szCs w:val="22"/>
              </w:rPr>
            </w:pPr>
            <w:r>
              <w:rPr>
                <w:rFonts w:hint="eastAsia" w:ascii="宋体" w:hAnsi="宋体" w:cs="宋体"/>
                <w:bCs/>
                <w:sz w:val="22"/>
                <w:szCs w:val="22"/>
              </w:rPr>
              <w:t>2.注册资金（万元）：</w:t>
            </w:r>
          </w:p>
        </w:tc>
        <w:tc>
          <w:tcPr>
            <w:tcW w:w="1907" w:type="pct"/>
          </w:tcPr>
          <w:p w14:paraId="776C3B4C">
            <w:pPr>
              <w:adjustRightInd w:val="0"/>
              <w:snapToGrid w:val="0"/>
              <w:spacing w:line="360" w:lineRule="exact"/>
              <w:rPr>
                <w:rFonts w:ascii="宋体" w:hAnsi="宋体" w:cs="宋体"/>
                <w:bCs/>
                <w:sz w:val="22"/>
                <w:szCs w:val="22"/>
              </w:rPr>
            </w:pPr>
          </w:p>
        </w:tc>
        <w:tc>
          <w:tcPr>
            <w:tcW w:w="756" w:type="pct"/>
            <w:vMerge w:val="continue"/>
          </w:tcPr>
          <w:p w14:paraId="742A3087">
            <w:pPr>
              <w:adjustRightInd w:val="0"/>
              <w:snapToGrid w:val="0"/>
              <w:spacing w:line="360" w:lineRule="exact"/>
              <w:rPr>
                <w:rFonts w:ascii="宋体" w:hAnsi="宋体" w:cs="宋体"/>
                <w:bCs/>
                <w:sz w:val="22"/>
                <w:szCs w:val="22"/>
              </w:rPr>
            </w:pPr>
          </w:p>
        </w:tc>
      </w:tr>
      <w:tr w14:paraId="17A7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75" w:type="pct"/>
            <w:vMerge w:val="continue"/>
          </w:tcPr>
          <w:p w14:paraId="0DEA8E10">
            <w:pPr>
              <w:adjustRightInd w:val="0"/>
              <w:snapToGrid w:val="0"/>
              <w:spacing w:line="360" w:lineRule="exact"/>
              <w:rPr>
                <w:rFonts w:ascii="宋体" w:hAnsi="宋体" w:cs="宋体"/>
                <w:bCs/>
                <w:sz w:val="22"/>
                <w:szCs w:val="22"/>
              </w:rPr>
            </w:pPr>
          </w:p>
        </w:tc>
        <w:tc>
          <w:tcPr>
            <w:tcW w:w="1860" w:type="pct"/>
          </w:tcPr>
          <w:p w14:paraId="424E79F0">
            <w:pPr>
              <w:adjustRightInd w:val="0"/>
              <w:snapToGrid w:val="0"/>
              <w:spacing w:line="360" w:lineRule="exact"/>
              <w:rPr>
                <w:rFonts w:ascii="宋体" w:hAnsi="宋体" w:cs="宋体"/>
                <w:bCs/>
                <w:sz w:val="22"/>
                <w:szCs w:val="22"/>
              </w:rPr>
            </w:pPr>
            <w:r>
              <w:rPr>
                <w:rFonts w:hint="eastAsia" w:ascii="宋体" w:hAnsi="宋体" w:cs="宋体"/>
                <w:bCs/>
                <w:sz w:val="22"/>
                <w:szCs w:val="22"/>
              </w:rPr>
              <w:t>3.经营场所：</w:t>
            </w:r>
          </w:p>
        </w:tc>
        <w:tc>
          <w:tcPr>
            <w:tcW w:w="1907" w:type="pct"/>
          </w:tcPr>
          <w:p w14:paraId="25FD09AF">
            <w:pPr>
              <w:adjustRightInd w:val="0"/>
              <w:snapToGrid w:val="0"/>
              <w:spacing w:line="360" w:lineRule="exact"/>
              <w:rPr>
                <w:rFonts w:ascii="宋体" w:hAnsi="宋体" w:cs="宋体"/>
                <w:bCs/>
                <w:sz w:val="22"/>
                <w:szCs w:val="22"/>
              </w:rPr>
            </w:pPr>
          </w:p>
        </w:tc>
        <w:tc>
          <w:tcPr>
            <w:tcW w:w="756" w:type="pct"/>
            <w:vMerge w:val="continue"/>
          </w:tcPr>
          <w:p w14:paraId="13AC769C">
            <w:pPr>
              <w:adjustRightInd w:val="0"/>
              <w:snapToGrid w:val="0"/>
              <w:spacing w:line="360" w:lineRule="exact"/>
              <w:rPr>
                <w:rFonts w:ascii="宋体" w:hAnsi="宋体" w:cs="宋体"/>
                <w:bCs/>
                <w:sz w:val="22"/>
                <w:szCs w:val="22"/>
              </w:rPr>
            </w:pPr>
          </w:p>
        </w:tc>
      </w:tr>
      <w:tr w14:paraId="524B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75" w:type="pct"/>
            <w:vMerge w:val="continue"/>
          </w:tcPr>
          <w:p w14:paraId="2B54B13A">
            <w:pPr>
              <w:adjustRightInd w:val="0"/>
              <w:snapToGrid w:val="0"/>
              <w:spacing w:line="360" w:lineRule="exact"/>
              <w:rPr>
                <w:rFonts w:ascii="宋体" w:hAnsi="宋体" w:cs="宋体"/>
                <w:bCs/>
                <w:sz w:val="22"/>
                <w:szCs w:val="22"/>
              </w:rPr>
            </w:pPr>
          </w:p>
        </w:tc>
        <w:tc>
          <w:tcPr>
            <w:tcW w:w="1860" w:type="pct"/>
          </w:tcPr>
          <w:p w14:paraId="331FE581">
            <w:pPr>
              <w:adjustRightInd w:val="0"/>
              <w:snapToGrid w:val="0"/>
              <w:spacing w:line="360" w:lineRule="exact"/>
              <w:rPr>
                <w:rFonts w:ascii="宋体" w:hAnsi="宋体" w:cs="宋体"/>
                <w:bCs/>
                <w:sz w:val="22"/>
                <w:szCs w:val="22"/>
              </w:rPr>
            </w:pPr>
            <w:r>
              <w:rPr>
                <w:rFonts w:hint="eastAsia" w:ascii="宋体" w:hAnsi="宋体" w:cs="宋体"/>
                <w:bCs/>
                <w:sz w:val="22"/>
                <w:szCs w:val="22"/>
              </w:rPr>
              <w:t>4.有效期：</w:t>
            </w:r>
          </w:p>
        </w:tc>
        <w:tc>
          <w:tcPr>
            <w:tcW w:w="1907" w:type="pct"/>
          </w:tcPr>
          <w:p w14:paraId="7994845E">
            <w:pPr>
              <w:adjustRightInd w:val="0"/>
              <w:snapToGrid w:val="0"/>
              <w:spacing w:line="360" w:lineRule="exact"/>
              <w:rPr>
                <w:rFonts w:ascii="宋体" w:hAnsi="宋体" w:cs="宋体"/>
                <w:bCs/>
                <w:sz w:val="22"/>
                <w:szCs w:val="22"/>
              </w:rPr>
            </w:pPr>
          </w:p>
        </w:tc>
        <w:tc>
          <w:tcPr>
            <w:tcW w:w="756" w:type="pct"/>
            <w:vMerge w:val="continue"/>
          </w:tcPr>
          <w:p w14:paraId="12240CB4">
            <w:pPr>
              <w:adjustRightInd w:val="0"/>
              <w:snapToGrid w:val="0"/>
              <w:spacing w:line="360" w:lineRule="exact"/>
              <w:rPr>
                <w:rFonts w:ascii="宋体" w:hAnsi="宋体" w:cs="宋体"/>
                <w:bCs/>
                <w:sz w:val="22"/>
                <w:szCs w:val="22"/>
              </w:rPr>
            </w:pPr>
          </w:p>
        </w:tc>
      </w:tr>
      <w:tr w14:paraId="7F27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Merge w:val="restart"/>
          </w:tcPr>
          <w:p w14:paraId="323FE149">
            <w:pPr>
              <w:adjustRightInd w:val="0"/>
              <w:snapToGrid w:val="0"/>
              <w:spacing w:line="360" w:lineRule="exact"/>
              <w:rPr>
                <w:rFonts w:ascii="宋体" w:hAnsi="宋体" w:cs="宋体"/>
                <w:bCs/>
                <w:sz w:val="22"/>
                <w:szCs w:val="22"/>
              </w:rPr>
            </w:pPr>
            <w:r>
              <w:rPr>
                <w:rFonts w:hint="eastAsia" w:ascii="宋体" w:hAnsi="宋体" w:cs="宋体"/>
                <w:bCs/>
                <w:sz w:val="22"/>
                <w:szCs w:val="22"/>
              </w:rPr>
              <w:t>二</w:t>
            </w:r>
          </w:p>
        </w:tc>
        <w:tc>
          <w:tcPr>
            <w:tcW w:w="1860" w:type="pct"/>
          </w:tcPr>
          <w:p w14:paraId="1430C0AA">
            <w:pPr>
              <w:adjustRightInd w:val="0"/>
              <w:snapToGrid w:val="0"/>
              <w:spacing w:line="360" w:lineRule="exact"/>
              <w:rPr>
                <w:rFonts w:ascii="宋体" w:hAnsi="宋体" w:cs="宋体"/>
                <w:bCs/>
                <w:sz w:val="22"/>
                <w:szCs w:val="22"/>
              </w:rPr>
            </w:pPr>
            <w:r>
              <w:rPr>
                <w:rFonts w:hint="eastAsia" w:ascii="宋体" w:hAnsi="宋体" w:cs="宋体"/>
                <w:bCs/>
                <w:sz w:val="22"/>
                <w:szCs w:val="22"/>
              </w:rPr>
              <w:t>税务登记证</w:t>
            </w:r>
          </w:p>
        </w:tc>
        <w:tc>
          <w:tcPr>
            <w:tcW w:w="1907" w:type="pct"/>
          </w:tcPr>
          <w:p w14:paraId="71E41027">
            <w:pPr>
              <w:adjustRightInd w:val="0"/>
              <w:snapToGrid w:val="0"/>
              <w:spacing w:line="360" w:lineRule="exact"/>
              <w:rPr>
                <w:rFonts w:ascii="宋体" w:hAnsi="宋体" w:cs="宋体"/>
                <w:bCs/>
                <w:sz w:val="22"/>
                <w:szCs w:val="22"/>
              </w:rPr>
            </w:pPr>
          </w:p>
        </w:tc>
        <w:tc>
          <w:tcPr>
            <w:tcW w:w="756" w:type="pct"/>
            <w:vMerge w:val="restart"/>
          </w:tcPr>
          <w:p w14:paraId="430558E5">
            <w:pPr>
              <w:adjustRightInd w:val="0"/>
              <w:snapToGrid w:val="0"/>
              <w:spacing w:line="360" w:lineRule="exact"/>
              <w:rPr>
                <w:rFonts w:ascii="宋体" w:hAnsi="宋体" w:cs="宋体"/>
                <w:bCs/>
                <w:sz w:val="22"/>
                <w:szCs w:val="22"/>
              </w:rPr>
            </w:pPr>
            <w:r>
              <w:rPr>
                <w:rFonts w:hint="eastAsia" w:ascii="宋体" w:hAnsi="宋体" w:cs="宋体"/>
                <w:bCs/>
                <w:sz w:val="22"/>
                <w:szCs w:val="22"/>
              </w:rPr>
              <w:t>提供复印件</w:t>
            </w:r>
          </w:p>
        </w:tc>
      </w:tr>
      <w:tr w14:paraId="1881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Merge w:val="continue"/>
          </w:tcPr>
          <w:p w14:paraId="61559EE2">
            <w:pPr>
              <w:adjustRightInd w:val="0"/>
              <w:snapToGrid w:val="0"/>
              <w:spacing w:line="360" w:lineRule="exact"/>
              <w:rPr>
                <w:rFonts w:ascii="宋体" w:hAnsi="宋体" w:cs="宋体"/>
                <w:bCs/>
                <w:sz w:val="22"/>
                <w:szCs w:val="22"/>
              </w:rPr>
            </w:pPr>
          </w:p>
        </w:tc>
        <w:tc>
          <w:tcPr>
            <w:tcW w:w="1860" w:type="pct"/>
          </w:tcPr>
          <w:p w14:paraId="5FBE906F">
            <w:pPr>
              <w:adjustRightInd w:val="0"/>
              <w:snapToGrid w:val="0"/>
              <w:spacing w:line="360" w:lineRule="exact"/>
              <w:rPr>
                <w:rFonts w:ascii="宋体" w:hAnsi="宋体" w:cs="宋体"/>
                <w:bCs/>
                <w:sz w:val="22"/>
                <w:szCs w:val="22"/>
              </w:rPr>
            </w:pPr>
            <w:r>
              <w:rPr>
                <w:rFonts w:hint="eastAsia" w:ascii="宋体" w:hAnsi="宋体" w:cs="宋体"/>
                <w:bCs/>
                <w:sz w:val="22"/>
                <w:szCs w:val="22"/>
              </w:rPr>
              <w:t>1.税务登记证编号：</w:t>
            </w:r>
          </w:p>
        </w:tc>
        <w:tc>
          <w:tcPr>
            <w:tcW w:w="1907" w:type="pct"/>
          </w:tcPr>
          <w:p w14:paraId="3296D0B1">
            <w:pPr>
              <w:adjustRightInd w:val="0"/>
              <w:snapToGrid w:val="0"/>
              <w:spacing w:line="360" w:lineRule="exact"/>
              <w:rPr>
                <w:rFonts w:ascii="宋体" w:hAnsi="宋体" w:cs="宋体"/>
                <w:bCs/>
                <w:sz w:val="22"/>
                <w:szCs w:val="22"/>
              </w:rPr>
            </w:pPr>
          </w:p>
        </w:tc>
        <w:tc>
          <w:tcPr>
            <w:tcW w:w="756" w:type="pct"/>
            <w:vMerge w:val="continue"/>
          </w:tcPr>
          <w:p w14:paraId="00E6FF34">
            <w:pPr>
              <w:adjustRightInd w:val="0"/>
              <w:snapToGrid w:val="0"/>
              <w:spacing w:line="360" w:lineRule="exact"/>
              <w:rPr>
                <w:rFonts w:ascii="宋体" w:hAnsi="宋体" w:cs="宋体"/>
                <w:bCs/>
                <w:sz w:val="22"/>
                <w:szCs w:val="22"/>
              </w:rPr>
            </w:pPr>
          </w:p>
        </w:tc>
      </w:tr>
      <w:tr w14:paraId="3F1C8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tcPr>
          <w:p w14:paraId="30805FCF">
            <w:pPr>
              <w:adjustRightInd w:val="0"/>
              <w:snapToGrid w:val="0"/>
              <w:spacing w:line="360" w:lineRule="exact"/>
              <w:rPr>
                <w:rFonts w:ascii="宋体" w:hAnsi="宋体" w:cs="宋体"/>
                <w:bCs/>
                <w:sz w:val="22"/>
                <w:szCs w:val="22"/>
              </w:rPr>
            </w:pPr>
            <w:r>
              <w:rPr>
                <w:rFonts w:hint="eastAsia" w:ascii="宋体" w:hAnsi="宋体" w:cs="宋体"/>
                <w:bCs/>
                <w:sz w:val="22"/>
                <w:szCs w:val="22"/>
              </w:rPr>
              <w:t>三</w:t>
            </w:r>
            <w:r>
              <w:rPr>
                <w:rFonts w:hint="eastAsia" w:ascii="宋体" w:hAnsi="宋体" w:cs="宋体"/>
                <w:bCs/>
                <w:sz w:val="22"/>
                <w:szCs w:val="22"/>
              </w:rPr>
              <w:tab/>
            </w:r>
          </w:p>
        </w:tc>
        <w:tc>
          <w:tcPr>
            <w:tcW w:w="1860" w:type="pct"/>
          </w:tcPr>
          <w:p w14:paraId="36AE40D1">
            <w:pPr>
              <w:adjustRightInd w:val="0"/>
              <w:snapToGrid w:val="0"/>
              <w:spacing w:line="360" w:lineRule="exact"/>
              <w:rPr>
                <w:rFonts w:ascii="宋体" w:hAnsi="宋体" w:cs="宋体"/>
                <w:bCs/>
                <w:sz w:val="22"/>
                <w:szCs w:val="22"/>
              </w:rPr>
            </w:pPr>
            <w:r>
              <w:rPr>
                <w:rFonts w:hint="eastAsia" w:ascii="宋体" w:hAnsi="宋体" w:cs="宋体"/>
                <w:bCs/>
                <w:sz w:val="22"/>
                <w:szCs w:val="22"/>
              </w:rPr>
              <w:t>其他资格（质）证书</w:t>
            </w:r>
          </w:p>
        </w:tc>
        <w:tc>
          <w:tcPr>
            <w:tcW w:w="1907" w:type="pct"/>
          </w:tcPr>
          <w:p w14:paraId="5E09FE78">
            <w:pPr>
              <w:adjustRightInd w:val="0"/>
              <w:snapToGrid w:val="0"/>
              <w:spacing w:line="360" w:lineRule="exact"/>
              <w:rPr>
                <w:rFonts w:ascii="宋体" w:hAnsi="宋体" w:cs="宋体"/>
                <w:bCs/>
                <w:sz w:val="22"/>
                <w:szCs w:val="22"/>
              </w:rPr>
            </w:pPr>
            <w:r>
              <w:rPr>
                <w:rFonts w:hint="eastAsia" w:ascii="宋体" w:hAnsi="宋体" w:cs="宋体"/>
                <w:bCs/>
                <w:sz w:val="22"/>
                <w:szCs w:val="22"/>
              </w:rPr>
              <w:t>（若有其他资质证书，可按表格格式扩展</w:t>
            </w:r>
          </w:p>
        </w:tc>
        <w:tc>
          <w:tcPr>
            <w:tcW w:w="756" w:type="pct"/>
            <w:vMerge w:val="restart"/>
          </w:tcPr>
          <w:p w14:paraId="634A22DF">
            <w:pPr>
              <w:adjustRightInd w:val="0"/>
              <w:snapToGrid w:val="0"/>
              <w:spacing w:line="360" w:lineRule="exact"/>
              <w:rPr>
                <w:rFonts w:ascii="宋体" w:hAnsi="宋体" w:cs="宋体"/>
                <w:bCs/>
                <w:sz w:val="22"/>
                <w:szCs w:val="22"/>
              </w:rPr>
            </w:pPr>
            <w:r>
              <w:rPr>
                <w:rFonts w:hint="eastAsia" w:ascii="宋体" w:hAnsi="宋体" w:cs="宋体"/>
                <w:bCs/>
                <w:sz w:val="22"/>
                <w:szCs w:val="22"/>
              </w:rPr>
              <w:t>提供复印件</w:t>
            </w:r>
          </w:p>
          <w:p w14:paraId="475087C5">
            <w:pPr>
              <w:adjustRightInd w:val="0"/>
              <w:snapToGrid w:val="0"/>
              <w:spacing w:line="360" w:lineRule="exact"/>
              <w:rPr>
                <w:rFonts w:ascii="宋体" w:hAnsi="宋体" w:cs="宋体"/>
                <w:bCs/>
                <w:sz w:val="22"/>
                <w:szCs w:val="22"/>
              </w:rPr>
            </w:pPr>
          </w:p>
        </w:tc>
      </w:tr>
      <w:tr w14:paraId="73C0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Merge w:val="restart"/>
          </w:tcPr>
          <w:p w14:paraId="39D8321D">
            <w:pPr>
              <w:adjustRightInd w:val="0"/>
              <w:snapToGrid w:val="0"/>
              <w:spacing w:line="360" w:lineRule="exact"/>
              <w:rPr>
                <w:rFonts w:ascii="宋体" w:hAnsi="宋体" w:cs="宋体"/>
                <w:bCs/>
                <w:sz w:val="22"/>
                <w:szCs w:val="22"/>
              </w:rPr>
            </w:pPr>
          </w:p>
        </w:tc>
        <w:tc>
          <w:tcPr>
            <w:tcW w:w="1860" w:type="pct"/>
          </w:tcPr>
          <w:p w14:paraId="068574FB">
            <w:pPr>
              <w:adjustRightInd w:val="0"/>
              <w:snapToGrid w:val="0"/>
              <w:spacing w:line="360" w:lineRule="exact"/>
              <w:rPr>
                <w:rFonts w:ascii="宋体" w:hAnsi="宋体" w:cs="宋体"/>
                <w:bCs/>
                <w:sz w:val="22"/>
                <w:szCs w:val="22"/>
              </w:rPr>
            </w:pPr>
            <w:r>
              <w:rPr>
                <w:rFonts w:hint="eastAsia" w:ascii="宋体" w:hAnsi="宋体" w:cs="宋体"/>
                <w:bCs/>
                <w:sz w:val="22"/>
                <w:szCs w:val="22"/>
              </w:rPr>
              <w:t>1.证书名称</w:t>
            </w:r>
            <w:r>
              <w:rPr>
                <w:rFonts w:hint="eastAsia" w:ascii="宋体" w:hAnsi="宋体" w:cs="宋体"/>
                <w:bCs/>
                <w:sz w:val="22"/>
                <w:szCs w:val="22"/>
              </w:rPr>
              <w:tab/>
            </w:r>
          </w:p>
        </w:tc>
        <w:tc>
          <w:tcPr>
            <w:tcW w:w="1907" w:type="pct"/>
          </w:tcPr>
          <w:p w14:paraId="73021C4A">
            <w:pPr>
              <w:adjustRightInd w:val="0"/>
              <w:snapToGrid w:val="0"/>
              <w:spacing w:line="360" w:lineRule="exact"/>
              <w:rPr>
                <w:rFonts w:ascii="宋体" w:hAnsi="宋体" w:cs="宋体"/>
                <w:bCs/>
                <w:sz w:val="22"/>
                <w:szCs w:val="22"/>
              </w:rPr>
            </w:pPr>
          </w:p>
        </w:tc>
        <w:tc>
          <w:tcPr>
            <w:tcW w:w="756" w:type="pct"/>
            <w:vMerge w:val="continue"/>
          </w:tcPr>
          <w:p w14:paraId="5DF5FDD5">
            <w:pPr>
              <w:adjustRightInd w:val="0"/>
              <w:snapToGrid w:val="0"/>
              <w:spacing w:line="360" w:lineRule="exact"/>
              <w:rPr>
                <w:rFonts w:ascii="宋体" w:hAnsi="宋体" w:cs="宋体"/>
                <w:bCs/>
                <w:sz w:val="22"/>
                <w:szCs w:val="22"/>
              </w:rPr>
            </w:pPr>
          </w:p>
        </w:tc>
      </w:tr>
      <w:tr w14:paraId="03BE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Merge w:val="continue"/>
          </w:tcPr>
          <w:p w14:paraId="38A43EFE">
            <w:pPr>
              <w:adjustRightInd w:val="0"/>
              <w:snapToGrid w:val="0"/>
              <w:spacing w:line="360" w:lineRule="exact"/>
              <w:rPr>
                <w:rFonts w:ascii="宋体" w:hAnsi="宋体" w:cs="宋体"/>
                <w:bCs/>
                <w:sz w:val="22"/>
                <w:szCs w:val="22"/>
              </w:rPr>
            </w:pPr>
          </w:p>
        </w:tc>
        <w:tc>
          <w:tcPr>
            <w:tcW w:w="1860" w:type="pct"/>
          </w:tcPr>
          <w:p w14:paraId="23CA5FBA">
            <w:pPr>
              <w:adjustRightInd w:val="0"/>
              <w:snapToGrid w:val="0"/>
              <w:spacing w:line="360" w:lineRule="exact"/>
              <w:rPr>
                <w:rFonts w:ascii="宋体" w:hAnsi="宋体" w:cs="宋体"/>
                <w:bCs/>
                <w:sz w:val="22"/>
                <w:szCs w:val="22"/>
              </w:rPr>
            </w:pPr>
            <w:r>
              <w:rPr>
                <w:rFonts w:hint="eastAsia" w:ascii="宋体" w:hAnsi="宋体" w:cs="宋体"/>
                <w:bCs/>
                <w:sz w:val="22"/>
                <w:szCs w:val="22"/>
              </w:rPr>
              <w:t>2.批准单位</w:t>
            </w:r>
          </w:p>
        </w:tc>
        <w:tc>
          <w:tcPr>
            <w:tcW w:w="1907" w:type="pct"/>
          </w:tcPr>
          <w:p w14:paraId="541B44BE">
            <w:pPr>
              <w:adjustRightInd w:val="0"/>
              <w:snapToGrid w:val="0"/>
              <w:spacing w:line="360" w:lineRule="exact"/>
              <w:rPr>
                <w:rFonts w:ascii="宋体" w:hAnsi="宋体" w:cs="宋体"/>
                <w:bCs/>
                <w:sz w:val="22"/>
                <w:szCs w:val="22"/>
              </w:rPr>
            </w:pPr>
          </w:p>
        </w:tc>
        <w:tc>
          <w:tcPr>
            <w:tcW w:w="756" w:type="pct"/>
            <w:vMerge w:val="continue"/>
          </w:tcPr>
          <w:p w14:paraId="33B01AD0">
            <w:pPr>
              <w:adjustRightInd w:val="0"/>
              <w:snapToGrid w:val="0"/>
              <w:spacing w:line="360" w:lineRule="exact"/>
              <w:rPr>
                <w:rFonts w:ascii="宋体" w:hAnsi="宋体" w:cs="宋体"/>
                <w:bCs/>
                <w:sz w:val="22"/>
                <w:szCs w:val="22"/>
              </w:rPr>
            </w:pPr>
          </w:p>
        </w:tc>
      </w:tr>
      <w:tr w14:paraId="133C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Merge w:val="continue"/>
          </w:tcPr>
          <w:p w14:paraId="50AB197A">
            <w:pPr>
              <w:adjustRightInd w:val="0"/>
              <w:snapToGrid w:val="0"/>
              <w:spacing w:line="360" w:lineRule="exact"/>
              <w:rPr>
                <w:rFonts w:ascii="宋体" w:hAnsi="宋体" w:cs="宋体"/>
                <w:bCs/>
                <w:sz w:val="22"/>
                <w:szCs w:val="22"/>
              </w:rPr>
            </w:pPr>
          </w:p>
        </w:tc>
        <w:tc>
          <w:tcPr>
            <w:tcW w:w="1860" w:type="pct"/>
          </w:tcPr>
          <w:p w14:paraId="7750CBC8">
            <w:pPr>
              <w:adjustRightInd w:val="0"/>
              <w:snapToGrid w:val="0"/>
              <w:spacing w:line="360" w:lineRule="exact"/>
              <w:rPr>
                <w:rFonts w:ascii="宋体" w:hAnsi="宋体" w:cs="宋体"/>
                <w:bCs/>
                <w:sz w:val="22"/>
                <w:szCs w:val="22"/>
              </w:rPr>
            </w:pPr>
            <w:r>
              <w:rPr>
                <w:rFonts w:hint="eastAsia" w:ascii="宋体" w:hAnsi="宋体" w:cs="宋体"/>
                <w:bCs/>
                <w:sz w:val="22"/>
                <w:szCs w:val="22"/>
              </w:rPr>
              <w:t>3.等级</w:t>
            </w:r>
          </w:p>
        </w:tc>
        <w:tc>
          <w:tcPr>
            <w:tcW w:w="1907" w:type="pct"/>
          </w:tcPr>
          <w:p w14:paraId="33CC867E">
            <w:pPr>
              <w:adjustRightInd w:val="0"/>
              <w:snapToGrid w:val="0"/>
              <w:spacing w:line="360" w:lineRule="exact"/>
              <w:rPr>
                <w:rFonts w:ascii="宋体" w:hAnsi="宋体" w:cs="宋体"/>
                <w:bCs/>
                <w:sz w:val="22"/>
                <w:szCs w:val="22"/>
              </w:rPr>
            </w:pPr>
          </w:p>
        </w:tc>
        <w:tc>
          <w:tcPr>
            <w:tcW w:w="756" w:type="pct"/>
            <w:vMerge w:val="continue"/>
          </w:tcPr>
          <w:p w14:paraId="02A8D7A3">
            <w:pPr>
              <w:adjustRightInd w:val="0"/>
              <w:snapToGrid w:val="0"/>
              <w:spacing w:line="360" w:lineRule="exact"/>
              <w:rPr>
                <w:rFonts w:ascii="宋体" w:hAnsi="宋体" w:cs="宋体"/>
                <w:bCs/>
                <w:sz w:val="22"/>
                <w:szCs w:val="22"/>
              </w:rPr>
            </w:pPr>
          </w:p>
        </w:tc>
      </w:tr>
      <w:tr w14:paraId="49A9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Merge w:val="continue"/>
          </w:tcPr>
          <w:p w14:paraId="0B943888">
            <w:pPr>
              <w:adjustRightInd w:val="0"/>
              <w:snapToGrid w:val="0"/>
              <w:spacing w:line="360" w:lineRule="exact"/>
              <w:rPr>
                <w:rFonts w:ascii="宋体" w:hAnsi="宋体" w:cs="宋体"/>
                <w:bCs/>
                <w:sz w:val="22"/>
                <w:szCs w:val="22"/>
              </w:rPr>
            </w:pPr>
          </w:p>
        </w:tc>
        <w:tc>
          <w:tcPr>
            <w:tcW w:w="1860" w:type="pct"/>
          </w:tcPr>
          <w:p w14:paraId="1D644ADB">
            <w:pPr>
              <w:adjustRightInd w:val="0"/>
              <w:snapToGrid w:val="0"/>
              <w:spacing w:line="360" w:lineRule="exact"/>
              <w:rPr>
                <w:rFonts w:ascii="宋体" w:hAnsi="宋体" w:cs="宋体"/>
                <w:bCs/>
                <w:sz w:val="22"/>
                <w:szCs w:val="22"/>
              </w:rPr>
            </w:pPr>
            <w:r>
              <w:rPr>
                <w:rFonts w:hint="eastAsia" w:ascii="宋体" w:hAnsi="宋体" w:cs="宋体"/>
                <w:bCs/>
                <w:sz w:val="22"/>
                <w:szCs w:val="22"/>
              </w:rPr>
              <w:t>4.批准时间及编号</w:t>
            </w:r>
          </w:p>
        </w:tc>
        <w:tc>
          <w:tcPr>
            <w:tcW w:w="1907" w:type="pct"/>
          </w:tcPr>
          <w:p w14:paraId="2362D5BF">
            <w:pPr>
              <w:adjustRightInd w:val="0"/>
              <w:snapToGrid w:val="0"/>
              <w:spacing w:line="360" w:lineRule="exact"/>
              <w:rPr>
                <w:rFonts w:ascii="宋体" w:hAnsi="宋体" w:cs="宋体"/>
                <w:bCs/>
                <w:sz w:val="22"/>
                <w:szCs w:val="22"/>
              </w:rPr>
            </w:pPr>
          </w:p>
        </w:tc>
        <w:tc>
          <w:tcPr>
            <w:tcW w:w="756" w:type="pct"/>
            <w:vMerge w:val="continue"/>
          </w:tcPr>
          <w:p w14:paraId="7E4F8DA9">
            <w:pPr>
              <w:adjustRightInd w:val="0"/>
              <w:snapToGrid w:val="0"/>
              <w:spacing w:line="360" w:lineRule="exact"/>
              <w:rPr>
                <w:rFonts w:ascii="宋体" w:hAnsi="宋体" w:cs="宋体"/>
                <w:bCs/>
                <w:sz w:val="22"/>
                <w:szCs w:val="22"/>
              </w:rPr>
            </w:pPr>
          </w:p>
        </w:tc>
      </w:tr>
      <w:tr w14:paraId="5299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Merge w:val="continue"/>
          </w:tcPr>
          <w:p w14:paraId="01631648">
            <w:pPr>
              <w:adjustRightInd w:val="0"/>
              <w:snapToGrid w:val="0"/>
              <w:spacing w:line="360" w:lineRule="exact"/>
              <w:rPr>
                <w:rFonts w:ascii="宋体" w:hAnsi="宋体" w:cs="宋体"/>
                <w:bCs/>
                <w:sz w:val="22"/>
                <w:szCs w:val="22"/>
              </w:rPr>
            </w:pPr>
          </w:p>
        </w:tc>
        <w:tc>
          <w:tcPr>
            <w:tcW w:w="1860" w:type="pct"/>
          </w:tcPr>
          <w:p w14:paraId="77B9A28E">
            <w:pPr>
              <w:adjustRightInd w:val="0"/>
              <w:snapToGrid w:val="0"/>
              <w:spacing w:line="360" w:lineRule="exact"/>
              <w:rPr>
                <w:rFonts w:ascii="宋体" w:hAnsi="宋体" w:cs="宋体"/>
                <w:bCs/>
                <w:sz w:val="22"/>
                <w:szCs w:val="22"/>
              </w:rPr>
            </w:pPr>
            <w:r>
              <w:rPr>
                <w:rFonts w:hint="eastAsia" w:ascii="宋体" w:hAnsi="宋体" w:cs="宋体"/>
                <w:bCs/>
                <w:sz w:val="22"/>
                <w:szCs w:val="22"/>
              </w:rPr>
              <w:t>5.有效期</w:t>
            </w:r>
            <w:r>
              <w:rPr>
                <w:rFonts w:hint="eastAsia" w:ascii="宋体" w:hAnsi="宋体" w:cs="宋体"/>
                <w:bCs/>
                <w:sz w:val="22"/>
                <w:szCs w:val="22"/>
              </w:rPr>
              <w:tab/>
            </w:r>
          </w:p>
        </w:tc>
        <w:tc>
          <w:tcPr>
            <w:tcW w:w="1907" w:type="pct"/>
          </w:tcPr>
          <w:p w14:paraId="0ED88AAC">
            <w:pPr>
              <w:adjustRightInd w:val="0"/>
              <w:snapToGrid w:val="0"/>
              <w:spacing w:line="360" w:lineRule="exact"/>
              <w:rPr>
                <w:rFonts w:ascii="宋体" w:hAnsi="宋体" w:cs="宋体"/>
                <w:bCs/>
                <w:sz w:val="22"/>
                <w:szCs w:val="22"/>
              </w:rPr>
            </w:pPr>
          </w:p>
        </w:tc>
        <w:tc>
          <w:tcPr>
            <w:tcW w:w="756" w:type="pct"/>
            <w:vMerge w:val="continue"/>
          </w:tcPr>
          <w:p w14:paraId="0665C7D5">
            <w:pPr>
              <w:adjustRightInd w:val="0"/>
              <w:snapToGrid w:val="0"/>
              <w:spacing w:line="360" w:lineRule="exact"/>
              <w:rPr>
                <w:rFonts w:ascii="宋体" w:hAnsi="宋体" w:cs="宋体"/>
                <w:bCs/>
                <w:sz w:val="22"/>
                <w:szCs w:val="22"/>
              </w:rPr>
            </w:pPr>
          </w:p>
        </w:tc>
      </w:tr>
      <w:tr w14:paraId="2954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tcPr>
          <w:p w14:paraId="27E05A25">
            <w:pPr>
              <w:adjustRightInd w:val="0"/>
              <w:snapToGrid w:val="0"/>
              <w:spacing w:line="360" w:lineRule="exact"/>
              <w:rPr>
                <w:rFonts w:ascii="宋体" w:hAnsi="宋体" w:cs="宋体"/>
                <w:bCs/>
                <w:sz w:val="22"/>
                <w:szCs w:val="22"/>
              </w:rPr>
            </w:pPr>
            <w:r>
              <w:rPr>
                <w:rFonts w:hint="eastAsia" w:ascii="宋体" w:hAnsi="宋体" w:cs="宋体"/>
                <w:bCs/>
                <w:sz w:val="22"/>
                <w:szCs w:val="22"/>
              </w:rPr>
              <w:t>四</w:t>
            </w:r>
          </w:p>
        </w:tc>
        <w:tc>
          <w:tcPr>
            <w:tcW w:w="1860" w:type="pct"/>
          </w:tcPr>
          <w:p w14:paraId="65441904">
            <w:pPr>
              <w:adjustRightInd w:val="0"/>
              <w:snapToGrid w:val="0"/>
              <w:spacing w:line="360" w:lineRule="exact"/>
              <w:rPr>
                <w:rFonts w:ascii="宋体" w:hAnsi="宋体" w:cs="宋体"/>
                <w:bCs/>
                <w:sz w:val="22"/>
                <w:szCs w:val="22"/>
              </w:rPr>
            </w:pPr>
            <w:r>
              <w:rPr>
                <w:rFonts w:hint="eastAsia" w:ascii="宋体" w:hAnsi="宋体" w:cs="宋体"/>
                <w:bCs/>
                <w:sz w:val="22"/>
                <w:szCs w:val="22"/>
              </w:rPr>
              <w:t>其他</w:t>
            </w:r>
          </w:p>
        </w:tc>
        <w:tc>
          <w:tcPr>
            <w:tcW w:w="1907" w:type="pct"/>
          </w:tcPr>
          <w:p w14:paraId="73C944B6">
            <w:pPr>
              <w:adjustRightInd w:val="0"/>
              <w:snapToGrid w:val="0"/>
              <w:spacing w:line="360" w:lineRule="exact"/>
              <w:rPr>
                <w:rFonts w:ascii="宋体" w:hAnsi="宋体" w:cs="宋体"/>
                <w:bCs/>
                <w:sz w:val="22"/>
                <w:szCs w:val="22"/>
              </w:rPr>
            </w:pPr>
            <w:r>
              <w:rPr>
                <w:rFonts w:hint="eastAsia" w:ascii="宋体" w:hAnsi="宋体" w:cs="宋体"/>
                <w:bCs/>
                <w:sz w:val="22"/>
                <w:szCs w:val="22"/>
              </w:rPr>
              <w:t>投标人认为需补充的其他说明</w:t>
            </w:r>
          </w:p>
        </w:tc>
        <w:tc>
          <w:tcPr>
            <w:tcW w:w="756" w:type="pct"/>
          </w:tcPr>
          <w:p w14:paraId="0156044E">
            <w:pPr>
              <w:adjustRightInd w:val="0"/>
              <w:snapToGrid w:val="0"/>
              <w:spacing w:line="360" w:lineRule="exact"/>
              <w:rPr>
                <w:rFonts w:ascii="宋体" w:hAnsi="宋体" w:cs="宋体"/>
                <w:bCs/>
                <w:sz w:val="22"/>
                <w:szCs w:val="22"/>
              </w:rPr>
            </w:pPr>
          </w:p>
        </w:tc>
      </w:tr>
      <w:tr w14:paraId="58E5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tcPr>
          <w:p w14:paraId="1A6A8F52">
            <w:pPr>
              <w:adjustRightInd w:val="0"/>
              <w:snapToGrid w:val="0"/>
              <w:spacing w:line="360" w:lineRule="exact"/>
              <w:rPr>
                <w:rFonts w:ascii="宋体" w:hAnsi="宋体" w:cs="宋体"/>
                <w:bCs/>
                <w:sz w:val="22"/>
                <w:szCs w:val="22"/>
              </w:rPr>
            </w:pPr>
          </w:p>
        </w:tc>
        <w:tc>
          <w:tcPr>
            <w:tcW w:w="1860" w:type="pct"/>
          </w:tcPr>
          <w:p w14:paraId="310E2EA6">
            <w:pPr>
              <w:adjustRightInd w:val="0"/>
              <w:snapToGrid w:val="0"/>
              <w:spacing w:line="360" w:lineRule="exact"/>
              <w:rPr>
                <w:rFonts w:ascii="宋体" w:hAnsi="宋体" w:cs="宋体"/>
                <w:bCs/>
                <w:sz w:val="22"/>
                <w:szCs w:val="22"/>
              </w:rPr>
            </w:pPr>
            <w:r>
              <w:rPr>
                <w:rFonts w:hint="eastAsia" w:ascii="宋体" w:hAnsi="宋体" w:cs="宋体"/>
                <w:bCs/>
                <w:sz w:val="22"/>
                <w:szCs w:val="22"/>
              </w:rPr>
              <w:t>1.……………………</w:t>
            </w:r>
          </w:p>
        </w:tc>
        <w:tc>
          <w:tcPr>
            <w:tcW w:w="1907" w:type="pct"/>
          </w:tcPr>
          <w:p w14:paraId="23149D6F">
            <w:pPr>
              <w:adjustRightInd w:val="0"/>
              <w:snapToGrid w:val="0"/>
              <w:spacing w:line="360" w:lineRule="exact"/>
              <w:rPr>
                <w:rFonts w:ascii="宋体" w:hAnsi="宋体" w:cs="宋体"/>
                <w:bCs/>
                <w:sz w:val="22"/>
                <w:szCs w:val="22"/>
              </w:rPr>
            </w:pPr>
          </w:p>
        </w:tc>
        <w:tc>
          <w:tcPr>
            <w:tcW w:w="756" w:type="pct"/>
          </w:tcPr>
          <w:p w14:paraId="51B138C5">
            <w:pPr>
              <w:adjustRightInd w:val="0"/>
              <w:snapToGrid w:val="0"/>
              <w:spacing w:line="360" w:lineRule="exact"/>
              <w:rPr>
                <w:rFonts w:ascii="宋体" w:hAnsi="宋体" w:cs="宋体"/>
                <w:bCs/>
                <w:sz w:val="22"/>
                <w:szCs w:val="22"/>
              </w:rPr>
            </w:pPr>
          </w:p>
        </w:tc>
      </w:tr>
    </w:tbl>
    <w:p w14:paraId="732AA6D1">
      <w:pPr>
        <w:adjustRightInd w:val="0"/>
        <w:snapToGrid w:val="0"/>
        <w:spacing w:line="360" w:lineRule="exact"/>
        <w:rPr>
          <w:rFonts w:hint="eastAsia" w:ascii="宋体" w:hAnsi="宋体" w:cs="宋体"/>
          <w:bCs/>
          <w:sz w:val="22"/>
          <w:szCs w:val="22"/>
        </w:rPr>
      </w:pPr>
      <w:r>
        <w:rPr>
          <w:rFonts w:hint="eastAsia" w:ascii="宋体" w:hAnsi="宋体" w:cs="宋体"/>
          <w:bCs/>
          <w:sz w:val="22"/>
          <w:szCs w:val="22"/>
        </w:rPr>
        <w:t>注：在按要求填写好此表格后，各投标单位可以用其它的方式，就公司整体情况作出详细的介绍（可以提供相应文字、照片等）。</w:t>
      </w:r>
    </w:p>
    <w:p w14:paraId="04645DDB">
      <w:pPr>
        <w:pStyle w:val="10"/>
      </w:pPr>
    </w:p>
    <w:p w14:paraId="0F8FD976">
      <w:pPr>
        <w:numPr>
          <w:ilvl w:val="0"/>
          <w:numId w:val="0"/>
        </w:numPr>
        <w:adjustRightInd w:val="0"/>
        <w:snapToGrid w:val="0"/>
        <w:spacing w:line="360" w:lineRule="exact"/>
        <w:rPr>
          <w:rFonts w:ascii="宋体" w:hAnsi="宋体" w:cs="宋体"/>
          <w:b/>
          <w:sz w:val="22"/>
          <w:szCs w:val="22"/>
        </w:rPr>
      </w:pPr>
      <w:r>
        <w:rPr>
          <w:rFonts w:hint="eastAsia" w:ascii="宋体" w:hAnsi="宋体" w:eastAsia="宋体" w:cs="宋体"/>
          <w:b/>
          <w:kern w:val="2"/>
          <w:sz w:val="22"/>
          <w:szCs w:val="22"/>
          <w:lang w:val="en-US" w:eastAsia="zh-CN" w:bidi="ar-SA"/>
        </w:rPr>
        <w:t>（二）</w:t>
      </w:r>
      <w:r>
        <w:rPr>
          <w:rFonts w:hint="eastAsia" w:ascii="宋体" w:hAnsi="宋体" w:cs="宋体"/>
          <w:b/>
          <w:sz w:val="22"/>
          <w:szCs w:val="22"/>
        </w:rPr>
        <w:t>供应商资格证明文件</w:t>
      </w:r>
    </w:p>
    <w:p w14:paraId="64CBC836">
      <w:pPr>
        <w:pStyle w:val="24"/>
        <w:spacing w:after="0" w:line="360" w:lineRule="exact"/>
        <w:ind w:left="0" w:leftChars="0" w:firstLine="0" w:firstLineChars="0"/>
        <w:rPr>
          <w:rFonts w:ascii="宋体" w:hAnsi="宋体" w:cs="宋体"/>
          <w:bCs/>
          <w:sz w:val="22"/>
          <w:szCs w:val="22"/>
        </w:rPr>
      </w:pPr>
      <w:r>
        <w:rPr>
          <w:rFonts w:hint="eastAsia" w:ascii="宋体" w:hAnsi="宋体" w:cs="宋体"/>
          <w:bCs/>
          <w:sz w:val="22"/>
          <w:szCs w:val="22"/>
        </w:rPr>
        <w:t>1.投标人资格要求的证明文件</w:t>
      </w:r>
    </w:p>
    <w:p w14:paraId="3FD1C06D">
      <w:pPr>
        <w:pStyle w:val="24"/>
        <w:spacing w:after="0" w:line="360" w:lineRule="exact"/>
        <w:ind w:left="0" w:leftChars="0" w:firstLine="0" w:firstLineChars="0"/>
        <w:rPr>
          <w:rFonts w:hint="eastAsia" w:ascii="宋体" w:hAnsi="宋体" w:cs="宋体"/>
          <w:bCs/>
          <w:sz w:val="22"/>
          <w:szCs w:val="22"/>
        </w:rPr>
      </w:pPr>
      <w:r>
        <w:rPr>
          <w:rFonts w:hint="eastAsia" w:ascii="宋体" w:hAnsi="宋体" w:cs="宋体"/>
          <w:sz w:val="22"/>
          <w:szCs w:val="22"/>
        </w:rPr>
        <w:t>（</w:t>
      </w:r>
      <w:r>
        <w:rPr>
          <w:rFonts w:hint="eastAsia" w:ascii="宋体" w:hAnsi="宋体" w:cs="宋体"/>
          <w:bCs/>
          <w:sz w:val="22"/>
          <w:szCs w:val="22"/>
        </w:rPr>
        <w:t>1）营业执照（或单位法人登记证等）复印件；</w:t>
      </w:r>
    </w:p>
    <w:p w14:paraId="7073A330">
      <w:pPr>
        <w:pStyle w:val="24"/>
        <w:spacing w:after="0" w:line="360" w:lineRule="exact"/>
        <w:ind w:left="0" w:leftChars="0" w:firstLine="0" w:firstLineChars="0"/>
        <w:rPr>
          <w:rFonts w:hint="eastAsia" w:ascii="宋体" w:hAnsi="宋体" w:cs="宋体"/>
          <w:bCs/>
          <w:sz w:val="22"/>
          <w:szCs w:val="22"/>
        </w:rPr>
      </w:pPr>
    </w:p>
    <w:p w14:paraId="6C0CCD21">
      <w:pPr>
        <w:pStyle w:val="24"/>
        <w:spacing w:after="0" w:line="360" w:lineRule="exact"/>
        <w:ind w:left="0" w:leftChars="0" w:firstLine="0" w:firstLineChars="0"/>
        <w:rPr>
          <w:rFonts w:hint="eastAsia" w:ascii="Times New Roman" w:hAnsi="Times New Roman"/>
          <w:b/>
          <w:bCs w:val="0"/>
          <w:color w:val="0000FF"/>
          <w:sz w:val="22"/>
          <w:szCs w:val="22"/>
          <w:lang w:eastAsia="zh-CN"/>
        </w:rPr>
      </w:pPr>
      <w:r>
        <w:rPr>
          <w:rFonts w:ascii="Times New Roman" w:hAnsi="Times New Roman"/>
          <w:b/>
          <w:bCs w:val="0"/>
          <w:color w:val="0000FF"/>
          <w:sz w:val="22"/>
          <w:szCs w:val="22"/>
        </w:rPr>
        <w:t>（2）</w:t>
      </w:r>
      <w:r>
        <w:rPr>
          <w:rFonts w:hint="eastAsia" w:ascii="Times New Roman" w:hAnsi="Times New Roman"/>
          <w:b/>
          <w:bCs w:val="0"/>
          <w:color w:val="0000FF"/>
          <w:sz w:val="22"/>
          <w:szCs w:val="22"/>
          <w:lang w:eastAsia="zh-CN"/>
        </w:rPr>
        <w:t>投标人需提供加盖公章的《</w:t>
      </w:r>
      <w:r>
        <w:rPr>
          <w:rFonts w:hint="eastAsia" w:ascii="Times New Roman" w:hAnsi="Times New Roman"/>
          <w:b/>
          <w:bCs w:val="0"/>
          <w:color w:val="0000FF"/>
          <w:sz w:val="22"/>
          <w:szCs w:val="22"/>
        </w:rPr>
        <w:t>供应商基本情况表</w:t>
      </w:r>
      <w:r>
        <w:rPr>
          <w:rFonts w:hint="eastAsia" w:ascii="Times New Roman" w:hAnsi="Times New Roman"/>
          <w:b/>
          <w:bCs w:val="0"/>
          <w:color w:val="0000FF"/>
          <w:sz w:val="22"/>
          <w:szCs w:val="22"/>
          <w:lang w:eastAsia="zh-CN"/>
        </w:rPr>
        <w:t>》；</w:t>
      </w:r>
    </w:p>
    <w:p w14:paraId="7E2BC60B">
      <w:pPr>
        <w:pStyle w:val="24"/>
        <w:spacing w:after="0" w:line="360" w:lineRule="exact"/>
        <w:ind w:left="0" w:leftChars="0" w:firstLine="0" w:firstLineChars="0"/>
        <w:rPr>
          <w:rFonts w:hint="eastAsia" w:ascii="Times New Roman" w:hAnsi="Times New Roman"/>
          <w:b/>
          <w:bCs w:val="0"/>
          <w:color w:val="0000FF"/>
          <w:sz w:val="22"/>
          <w:szCs w:val="22"/>
          <w:lang w:eastAsia="zh-CN"/>
        </w:rPr>
      </w:pPr>
    </w:p>
    <w:p w14:paraId="0E87631E">
      <w:pPr>
        <w:pStyle w:val="24"/>
        <w:spacing w:after="0" w:line="360" w:lineRule="exact"/>
        <w:ind w:left="0" w:leftChars="0" w:firstLine="0" w:firstLineChars="0"/>
        <w:jc w:val="center"/>
        <w:rPr>
          <w:rFonts w:hint="eastAsia" w:ascii="Times New Roman" w:hAnsi="Times New Roman"/>
          <w:b/>
          <w:bCs w:val="0"/>
          <w:color w:val="0000FF"/>
          <w:sz w:val="30"/>
          <w:szCs w:val="30"/>
          <w:lang w:eastAsia="zh-CN"/>
        </w:rPr>
      </w:pPr>
    </w:p>
    <w:p w14:paraId="1A6DCE8F">
      <w:pPr>
        <w:pStyle w:val="24"/>
        <w:spacing w:after="0" w:line="360" w:lineRule="exact"/>
        <w:ind w:left="0" w:leftChars="0" w:firstLine="0" w:firstLineChars="0"/>
        <w:jc w:val="center"/>
        <w:rPr>
          <w:rFonts w:hint="eastAsia" w:ascii="Times New Roman" w:hAnsi="Times New Roman"/>
          <w:b/>
          <w:bCs w:val="0"/>
          <w:color w:val="0000FF"/>
          <w:sz w:val="30"/>
          <w:szCs w:val="30"/>
          <w:lang w:eastAsia="zh-CN"/>
        </w:rPr>
      </w:pPr>
      <w:r>
        <w:rPr>
          <w:rFonts w:hint="eastAsia" w:ascii="Times New Roman" w:hAnsi="Times New Roman"/>
          <w:b/>
          <w:bCs w:val="0"/>
          <w:color w:val="0000FF"/>
          <w:sz w:val="30"/>
          <w:szCs w:val="30"/>
          <w:lang w:eastAsia="zh-CN"/>
        </w:rPr>
        <w:t>供应商基本情况表</w:t>
      </w:r>
    </w:p>
    <w:p w14:paraId="0EF6B8C6">
      <w:pPr>
        <w:pStyle w:val="10"/>
        <w:tabs>
          <w:tab w:val="left" w:pos="5806"/>
          <w:tab w:val="left" w:pos="7766"/>
          <w:tab w:val="left" w:pos="8467"/>
          <w:tab w:val="left" w:pos="9166"/>
        </w:tabs>
        <w:spacing w:before="36"/>
        <w:rPr>
          <w:rFonts w:hint="default" w:ascii="Times New Roman" w:hAnsi="Times New Roman" w:eastAsia="宋体" w:cs="Times New Roman"/>
          <w:color w:val="0000FF"/>
          <w:spacing w:val="-10"/>
          <w:sz w:val="22"/>
          <w:szCs w:val="22"/>
        </w:rPr>
      </w:pPr>
      <w:r>
        <w:rPr>
          <w:rFonts w:hint="default" w:ascii="Times New Roman" w:hAnsi="Times New Roman" w:eastAsia="宋体" w:cs="Times New Roman"/>
          <w:color w:val="0000FF"/>
          <w:spacing w:val="-2"/>
          <w:sz w:val="22"/>
          <w:szCs w:val="22"/>
        </w:rPr>
        <w:t>填表单位</w:t>
      </w:r>
      <w:r>
        <w:rPr>
          <w:rFonts w:hint="default" w:ascii="Times New Roman" w:hAnsi="Times New Roman" w:eastAsia="宋体" w:cs="Times New Roman"/>
          <w:color w:val="0000FF"/>
          <w:spacing w:val="-142"/>
          <w:sz w:val="22"/>
          <w:szCs w:val="22"/>
        </w:rPr>
        <w:t>：</w:t>
      </w:r>
      <w:r>
        <w:rPr>
          <w:rFonts w:hint="default" w:ascii="Times New Roman" w:hAnsi="Times New Roman" w:eastAsia="宋体" w:cs="Times New Roman"/>
          <w:color w:val="0000FF"/>
          <w:sz w:val="22"/>
          <w:szCs w:val="22"/>
        </w:rPr>
        <w:t>（</w:t>
      </w:r>
      <w:r>
        <w:rPr>
          <w:rFonts w:hint="default" w:ascii="Times New Roman" w:hAnsi="Times New Roman" w:eastAsia="宋体" w:cs="Times New Roman"/>
          <w:color w:val="0000FF"/>
          <w:spacing w:val="-2"/>
          <w:sz w:val="22"/>
          <w:szCs w:val="22"/>
        </w:rPr>
        <w:t>加盖单位公章</w:t>
      </w:r>
      <w:r>
        <w:rPr>
          <w:rFonts w:hint="default" w:ascii="Times New Roman" w:hAnsi="Times New Roman" w:eastAsia="宋体" w:cs="Times New Roman"/>
          <w:color w:val="0000FF"/>
          <w:spacing w:val="-10"/>
          <w:sz w:val="22"/>
          <w:szCs w:val="22"/>
        </w:rPr>
        <w:t>）</w:t>
      </w:r>
      <w:r>
        <w:rPr>
          <w:rFonts w:hint="eastAsia" w:ascii="Times New Roman" w:hAnsi="Times New Roman" w:eastAsia="宋体" w:cs="Times New Roman"/>
          <w:color w:val="0000FF"/>
          <w:spacing w:val="-10"/>
          <w:sz w:val="22"/>
          <w:szCs w:val="22"/>
          <w:lang w:val="en-US" w:eastAsia="zh-CN"/>
        </w:rPr>
        <w:t xml:space="preserve">                  </w:t>
      </w:r>
      <w:r>
        <w:rPr>
          <w:rFonts w:hint="default" w:ascii="Times New Roman" w:hAnsi="Times New Roman" w:eastAsia="宋体" w:cs="Times New Roman"/>
          <w:color w:val="0000FF"/>
          <w:spacing w:val="-2"/>
          <w:sz w:val="22"/>
          <w:szCs w:val="22"/>
        </w:rPr>
        <w:t>填表日期</w:t>
      </w:r>
      <w:r>
        <w:rPr>
          <w:rFonts w:hint="default" w:ascii="Times New Roman" w:hAnsi="Times New Roman" w:eastAsia="宋体" w:cs="Times New Roman"/>
          <w:color w:val="0000FF"/>
          <w:spacing w:val="-10"/>
          <w:sz w:val="22"/>
          <w:szCs w:val="22"/>
        </w:rPr>
        <w:t>：</w:t>
      </w:r>
      <w:r>
        <w:rPr>
          <w:rFonts w:hint="default" w:ascii="Times New Roman" w:hAnsi="Times New Roman" w:eastAsia="宋体" w:cs="Times New Roman"/>
          <w:color w:val="0000FF"/>
          <w:sz w:val="22"/>
          <w:szCs w:val="22"/>
        </w:rPr>
        <w:tab/>
      </w:r>
      <w:r>
        <w:rPr>
          <w:rFonts w:hint="eastAsia" w:ascii="Times New Roman" w:hAnsi="Times New Roman" w:eastAsia="宋体" w:cs="Times New Roman"/>
          <w:color w:val="0000FF"/>
          <w:sz w:val="22"/>
          <w:szCs w:val="22"/>
          <w:lang w:eastAsia="zh-CN"/>
        </w:rPr>
        <w:t>年</w:t>
      </w:r>
      <w:r>
        <w:rPr>
          <w:rFonts w:hint="eastAsia" w:ascii="Times New Roman" w:hAnsi="Times New Roman" w:eastAsia="宋体" w:cs="Times New Roman"/>
          <w:color w:val="0000FF"/>
          <w:sz w:val="22"/>
          <w:szCs w:val="22"/>
          <w:lang w:val="en-US" w:eastAsia="zh-CN"/>
        </w:rPr>
        <w:t xml:space="preserve">    </w:t>
      </w:r>
      <w:r>
        <w:rPr>
          <w:rFonts w:hint="default" w:ascii="Times New Roman" w:hAnsi="Times New Roman" w:eastAsia="宋体" w:cs="Times New Roman"/>
          <w:color w:val="0000FF"/>
          <w:spacing w:val="-10"/>
          <w:sz w:val="22"/>
          <w:szCs w:val="22"/>
        </w:rPr>
        <w:t>月</w:t>
      </w:r>
      <w:r>
        <w:rPr>
          <w:rFonts w:hint="eastAsia" w:ascii="Times New Roman" w:hAnsi="Times New Roman" w:eastAsia="宋体" w:cs="Times New Roman"/>
          <w:color w:val="0000FF"/>
          <w:spacing w:val="-10"/>
          <w:sz w:val="22"/>
          <w:szCs w:val="22"/>
          <w:lang w:val="en-US" w:eastAsia="zh-CN"/>
        </w:rPr>
        <w:t xml:space="preserve">     </w:t>
      </w:r>
      <w:r>
        <w:rPr>
          <w:rFonts w:hint="default" w:ascii="Times New Roman" w:hAnsi="Times New Roman" w:eastAsia="宋体" w:cs="Times New Roman"/>
          <w:color w:val="0000FF"/>
          <w:spacing w:val="-10"/>
          <w:sz w:val="22"/>
          <w:szCs w:val="22"/>
        </w:rPr>
        <w:t>日</w:t>
      </w:r>
    </w:p>
    <w:tbl>
      <w:tblPr>
        <w:tblStyle w:val="25"/>
        <w:tblW w:w="89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887"/>
        <w:gridCol w:w="2130"/>
        <w:gridCol w:w="680"/>
        <w:gridCol w:w="534"/>
        <w:gridCol w:w="1200"/>
        <w:gridCol w:w="1500"/>
        <w:gridCol w:w="1485"/>
      </w:tblGrid>
      <w:tr w14:paraId="5EB71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1412" w:type="dxa"/>
            <w:gridSpan w:val="2"/>
            <w:noWrap w:val="0"/>
            <w:vAlign w:val="top"/>
          </w:tcPr>
          <w:p w14:paraId="12DDBA76">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pacing w:val="-4"/>
                <w:kern w:val="2"/>
                <w:sz w:val="22"/>
                <w:szCs w:val="22"/>
                <w:lang w:val="en-US" w:eastAsia="zh-CN" w:bidi="ar-SA"/>
              </w:rPr>
              <w:t>采购人</w:t>
            </w:r>
          </w:p>
        </w:tc>
        <w:tc>
          <w:tcPr>
            <w:tcW w:w="7529" w:type="dxa"/>
            <w:gridSpan w:val="6"/>
            <w:noWrap w:val="0"/>
            <w:vAlign w:val="top"/>
          </w:tcPr>
          <w:p w14:paraId="7F4A3283">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p>
        </w:tc>
      </w:tr>
      <w:tr w14:paraId="231D3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1412" w:type="dxa"/>
            <w:gridSpan w:val="2"/>
            <w:noWrap w:val="0"/>
            <w:vAlign w:val="top"/>
          </w:tcPr>
          <w:p w14:paraId="7E129029">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kern w:val="2"/>
                <w:sz w:val="22"/>
                <w:szCs w:val="22"/>
                <w:lang w:val="en-US" w:eastAsia="zh-CN" w:bidi="ar-SA"/>
              </w:rPr>
              <w:t>项目名称</w:t>
            </w:r>
          </w:p>
        </w:tc>
        <w:tc>
          <w:tcPr>
            <w:tcW w:w="2810" w:type="dxa"/>
            <w:gridSpan w:val="2"/>
            <w:noWrap w:val="0"/>
            <w:vAlign w:val="top"/>
          </w:tcPr>
          <w:p w14:paraId="37C4E8B7">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p>
        </w:tc>
        <w:tc>
          <w:tcPr>
            <w:tcW w:w="1734" w:type="dxa"/>
            <w:gridSpan w:val="2"/>
            <w:noWrap w:val="0"/>
            <w:vAlign w:val="top"/>
          </w:tcPr>
          <w:p w14:paraId="16AC172D">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spacing w:val="-2"/>
                <w:kern w:val="2"/>
                <w:sz w:val="22"/>
                <w:szCs w:val="22"/>
                <w:lang w:val="en-US" w:eastAsia="zh-CN" w:bidi="ar-SA"/>
              </w:rPr>
            </w:pPr>
            <w:r>
              <w:rPr>
                <w:rFonts w:hint="eastAsia" w:ascii="Times New Roman" w:hAnsi="Times New Roman" w:eastAsia="宋体" w:cs="Times New Roman"/>
                <w:spacing w:val="-2"/>
                <w:kern w:val="2"/>
                <w:sz w:val="22"/>
                <w:szCs w:val="22"/>
                <w:lang w:val="en-US" w:eastAsia="zh-CN" w:bidi="ar-SA"/>
              </w:rPr>
              <w:t>项目编号</w:t>
            </w:r>
          </w:p>
        </w:tc>
        <w:tc>
          <w:tcPr>
            <w:tcW w:w="2985" w:type="dxa"/>
            <w:gridSpan w:val="2"/>
            <w:noWrap w:val="0"/>
            <w:vAlign w:val="top"/>
          </w:tcPr>
          <w:p w14:paraId="17133A94">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p>
        </w:tc>
      </w:tr>
      <w:tr w14:paraId="77A9D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1412" w:type="dxa"/>
            <w:gridSpan w:val="2"/>
            <w:noWrap w:val="0"/>
            <w:vAlign w:val="top"/>
          </w:tcPr>
          <w:p w14:paraId="46097E0D">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kern w:val="2"/>
                <w:sz w:val="22"/>
                <w:szCs w:val="22"/>
                <w:lang w:val="en-US" w:eastAsia="zh-CN" w:bidi="ar-SA"/>
              </w:rPr>
              <w:t>投标（</w:t>
            </w:r>
            <w:r>
              <w:rPr>
                <w:rFonts w:hint="default" w:ascii="Times New Roman" w:hAnsi="Times New Roman" w:eastAsia="宋体" w:cs="Times New Roman"/>
                <w:spacing w:val="-10"/>
                <w:kern w:val="2"/>
                <w:sz w:val="22"/>
                <w:szCs w:val="22"/>
                <w:lang w:val="en-US" w:eastAsia="zh-CN" w:bidi="ar-SA"/>
              </w:rPr>
              <w:t>响</w:t>
            </w:r>
            <w:r>
              <w:rPr>
                <w:rFonts w:hint="default" w:ascii="Times New Roman" w:hAnsi="Times New Roman" w:eastAsia="宋体" w:cs="Times New Roman"/>
                <w:spacing w:val="-2"/>
                <w:kern w:val="2"/>
                <w:sz w:val="22"/>
                <w:szCs w:val="22"/>
                <w:lang w:val="en-US" w:eastAsia="zh-CN" w:bidi="ar-SA"/>
              </w:rPr>
              <w:t>应）</w:t>
            </w:r>
            <w:r>
              <w:rPr>
                <w:rFonts w:hint="default" w:ascii="Times New Roman" w:hAnsi="Times New Roman" w:eastAsia="宋体" w:cs="Times New Roman"/>
                <w:spacing w:val="-5"/>
                <w:kern w:val="2"/>
                <w:sz w:val="22"/>
                <w:szCs w:val="22"/>
                <w:lang w:val="en-US" w:eastAsia="zh-CN" w:bidi="ar-SA"/>
              </w:rPr>
              <w:t>供应商</w:t>
            </w:r>
          </w:p>
        </w:tc>
        <w:tc>
          <w:tcPr>
            <w:tcW w:w="2810" w:type="dxa"/>
            <w:gridSpan w:val="2"/>
            <w:noWrap w:val="0"/>
            <w:vAlign w:val="top"/>
          </w:tcPr>
          <w:p w14:paraId="1E7B1DB1">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p>
        </w:tc>
        <w:tc>
          <w:tcPr>
            <w:tcW w:w="1734" w:type="dxa"/>
            <w:gridSpan w:val="2"/>
            <w:noWrap w:val="0"/>
            <w:vAlign w:val="top"/>
          </w:tcPr>
          <w:p w14:paraId="391CC269">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pacing w:val="-2"/>
                <w:kern w:val="2"/>
                <w:sz w:val="22"/>
                <w:szCs w:val="22"/>
                <w:lang w:val="en-US" w:eastAsia="zh-CN" w:bidi="ar-SA"/>
              </w:rPr>
              <w:t>供应商统一社会</w:t>
            </w:r>
            <w:r>
              <w:rPr>
                <w:rFonts w:hint="default" w:ascii="Times New Roman" w:hAnsi="Times New Roman" w:eastAsia="宋体" w:cs="Times New Roman"/>
                <w:spacing w:val="-3"/>
                <w:kern w:val="2"/>
                <w:sz w:val="22"/>
                <w:szCs w:val="22"/>
                <w:lang w:val="en-US" w:eastAsia="zh-CN" w:bidi="ar-SA"/>
              </w:rPr>
              <w:t>信用代码</w:t>
            </w:r>
          </w:p>
        </w:tc>
        <w:tc>
          <w:tcPr>
            <w:tcW w:w="2985" w:type="dxa"/>
            <w:gridSpan w:val="2"/>
            <w:noWrap w:val="0"/>
            <w:vAlign w:val="top"/>
          </w:tcPr>
          <w:p w14:paraId="39312141">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p>
        </w:tc>
      </w:tr>
      <w:tr w14:paraId="29634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8941" w:type="dxa"/>
            <w:gridSpan w:val="8"/>
            <w:noWrap w:val="0"/>
            <w:vAlign w:val="top"/>
          </w:tcPr>
          <w:p w14:paraId="7CCD2D81">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kern w:val="2"/>
                <w:sz w:val="22"/>
                <w:szCs w:val="22"/>
                <w:lang w:val="en-US" w:eastAsia="zh-CN" w:bidi="ar-SA"/>
              </w:rPr>
              <w:t>投标（响应）</w:t>
            </w:r>
            <w:r>
              <w:rPr>
                <w:rFonts w:hint="default" w:ascii="Times New Roman" w:hAnsi="Times New Roman" w:eastAsia="宋体" w:cs="Times New Roman"/>
                <w:spacing w:val="-2"/>
                <w:kern w:val="2"/>
                <w:sz w:val="22"/>
                <w:szCs w:val="22"/>
                <w:lang w:val="en-US" w:eastAsia="zh-CN" w:bidi="ar-SA"/>
              </w:rPr>
              <w:t>供应商相关人员情况</w:t>
            </w:r>
          </w:p>
        </w:tc>
      </w:tr>
      <w:tr w14:paraId="321DC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525" w:type="dxa"/>
            <w:noWrap w:val="0"/>
            <w:vAlign w:val="top"/>
          </w:tcPr>
          <w:p w14:paraId="2833E6B9">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pacing w:val="-5"/>
                <w:kern w:val="2"/>
                <w:sz w:val="22"/>
                <w:szCs w:val="22"/>
                <w:lang w:val="en-US" w:eastAsia="zh-CN" w:bidi="ar-SA"/>
              </w:rPr>
              <w:t>序号</w:t>
            </w:r>
          </w:p>
        </w:tc>
        <w:tc>
          <w:tcPr>
            <w:tcW w:w="3017" w:type="dxa"/>
            <w:gridSpan w:val="2"/>
            <w:noWrap w:val="0"/>
            <w:vAlign w:val="top"/>
          </w:tcPr>
          <w:p w14:paraId="5EF1C4C9">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pacing w:val="-5"/>
                <w:kern w:val="2"/>
                <w:sz w:val="22"/>
                <w:szCs w:val="22"/>
                <w:lang w:val="en-US" w:eastAsia="zh-CN" w:bidi="ar-SA"/>
              </w:rPr>
              <w:t>职务</w:t>
            </w:r>
          </w:p>
        </w:tc>
        <w:tc>
          <w:tcPr>
            <w:tcW w:w="680" w:type="dxa"/>
            <w:noWrap w:val="0"/>
            <w:vAlign w:val="top"/>
          </w:tcPr>
          <w:p w14:paraId="2A38183C">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pacing w:val="-5"/>
                <w:kern w:val="2"/>
                <w:sz w:val="22"/>
                <w:szCs w:val="22"/>
                <w:lang w:val="en-US" w:eastAsia="zh-CN" w:bidi="ar-SA"/>
              </w:rPr>
              <w:t>姓名</w:t>
            </w:r>
          </w:p>
        </w:tc>
        <w:tc>
          <w:tcPr>
            <w:tcW w:w="1734" w:type="dxa"/>
            <w:gridSpan w:val="2"/>
            <w:noWrap w:val="0"/>
            <w:vAlign w:val="top"/>
          </w:tcPr>
          <w:p w14:paraId="224E9559">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pacing w:val="-2"/>
                <w:kern w:val="2"/>
                <w:sz w:val="22"/>
                <w:szCs w:val="22"/>
                <w:lang w:val="en-US" w:eastAsia="zh-CN" w:bidi="ar-SA"/>
              </w:rPr>
              <w:t>身份证号码</w:t>
            </w:r>
          </w:p>
        </w:tc>
        <w:tc>
          <w:tcPr>
            <w:tcW w:w="1500" w:type="dxa"/>
            <w:noWrap w:val="0"/>
            <w:vAlign w:val="top"/>
          </w:tcPr>
          <w:p w14:paraId="6164BC99">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pacing w:val="-3"/>
                <w:kern w:val="2"/>
                <w:sz w:val="22"/>
                <w:szCs w:val="22"/>
                <w:lang w:val="en-US" w:eastAsia="zh-CN" w:bidi="ar-SA"/>
              </w:rPr>
              <w:t>劳动合同关系单位</w:t>
            </w:r>
          </w:p>
        </w:tc>
        <w:tc>
          <w:tcPr>
            <w:tcW w:w="1485" w:type="dxa"/>
            <w:noWrap w:val="0"/>
            <w:vAlign w:val="top"/>
          </w:tcPr>
          <w:p w14:paraId="2FB9BD8C">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pacing w:val="-3"/>
                <w:kern w:val="2"/>
                <w:sz w:val="22"/>
                <w:szCs w:val="22"/>
                <w:lang w:val="en-US" w:eastAsia="zh-CN" w:bidi="ar-SA"/>
              </w:rPr>
              <w:t>缴纳社会保险单位</w:t>
            </w:r>
          </w:p>
        </w:tc>
      </w:tr>
      <w:tr w14:paraId="182E1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5" w:type="dxa"/>
            <w:noWrap w:val="0"/>
            <w:vAlign w:val="top"/>
          </w:tcPr>
          <w:p w14:paraId="41CEF3BE">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p>
          <w:p w14:paraId="16CFA110">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w w:val="74"/>
                <w:kern w:val="2"/>
                <w:sz w:val="22"/>
                <w:szCs w:val="22"/>
                <w:lang w:val="en-US" w:eastAsia="zh-CN" w:bidi="ar-SA"/>
              </w:rPr>
              <w:t>1</w:t>
            </w:r>
          </w:p>
        </w:tc>
        <w:tc>
          <w:tcPr>
            <w:tcW w:w="3017" w:type="dxa"/>
            <w:gridSpan w:val="2"/>
            <w:noWrap w:val="0"/>
            <w:vAlign w:val="top"/>
          </w:tcPr>
          <w:p w14:paraId="507D7577">
            <w:pPr>
              <w:keepNext w:val="0"/>
              <w:keepLines w:val="0"/>
              <w:pageBreakBefore w:val="0"/>
              <w:widowControl w:val="0"/>
              <w:kinsoku/>
              <w:wordWrap/>
              <w:overflowPunct/>
              <w:topLinePunct w:val="0"/>
              <w:autoSpaceDE/>
              <w:autoSpaceDN/>
              <w:bidi w:val="0"/>
              <w:adjustRightInd/>
              <w:snapToGrid/>
              <w:spacing w:line="360" w:lineRule="exact"/>
              <w:ind w:left="0" w:right="0" w:firstLine="0"/>
              <w:jc w:val="left"/>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pacing w:val="-2"/>
                <w:kern w:val="2"/>
                <w:sz w:val="22"/>
                <w:szCs w:val="22"/>
                <w:lang w:val="en-US" w:eastAsia="zh-CN" w:bidi="ar-SA"/>
              </w:rPr>
              <w:t>法定代表人/单位负责人/主要经营负责人</w:t>
            </w:r>
          </w:p>
        </w:tc>
        <w:tc>
          <w:tcPr>
            <w:tcW w:w="680" w:type="dxa"/>
            <w:noWrap w:val="0"/>
            <w:vAlign w:val="top"/>
          </w:tcPr>
          <w:p w14:paraId="7B63D958">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p>
        </w:tc>
        <w:tc>
          <w:tcPr>
            <w:tcW w:w="1734" w:type="dxa"/>
            <w:gridSpan w:val="2"/>
            <w:noWrap w:val="0"/>
            <w:vAlign w:val="top"/>
          </w:tcPr>
          <w:p w14:paraId="355992D2">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p>
        </w:tc>
        <w:tc>
          <w:tcPr>
            <w:tcW w:w="1500" w:type="dxa"/>
            <w:noWrap w:val="0"/>
            <w:vAlign w:val="top"/>
          </w:tcPr>
          <w:p w14:paraId="247BCEFE">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p>
        </w:tc>
        <w:tc>
          <w:tcPr>
            <w:tcW w:w="1485" w:type="dxa"/>
            <w:noWrap w:val="0"/>
            <w:vAlign w:val="top"/>
          </w:tcPr>
          <w:p w14:paraId="10880EA4">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p>
        </w:tc>
      </w:tr>
      <w:tr w14:paraId="50229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jc w:val="center"/>
        </w:trPr>
        <w:tc>
          <w:tcPr>
            <w:tcW w:w="525" w:type="dxa"/>
            <w:noWrap w:val="0"/>
            <w:vAlign w:val="top"/>
          </w:tcPr>
          <w:p w14:paraId="783937F7">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w w:val="100"/>
                <w:kern w:val="2"/>
                <w:sz w:val="22"/>
                <w:szCs w:val="22"/>
                <w:lang w:val="en-US" w:eastAsia="zh-CN" w:bidi="ar-SA"/>
              </w:rPr>
              <w:t>2</w:t>
            </w:r>
          </w:p>
        </w:tc>
        <w:tc>
          <w:tcPr>
            <w:tcW w:w="3017" w:type="dxa"/>
            <w:gridSpan w:val="2"/>
            <w:noWrap w:val="0"/>
            <w:vAlign w:val="top"/>
          </w:tcPr>
          <w:p w14:paraId="4B2F1CD7">
            <w:pPr>
              <w:keepNext w:val="0"/>
              <w:keepLines w:val="0"/>
              <w:pageBreakBefore w:val="0"/>
              <w:widowControl w:val="0"/>
              <w:kinsoku/>
              <w:wordWrap/>
              <w:overflowPunct/>
              <w:topLinePunct w:val="0"/>
              <w:autoSpaceDE/>
              <w:autoSpaceDN/>
              <w:bidi w:val="0"/>
              <w:adjustRightInd/>
              <w:snapToGrid/>
              <w:spacing w:line="360" w:lineRule="exact"/>
              <w:ind w:left="0" w:right="0" w:firstLine="0"/>
              <w:jc w:val="left"/>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pacing w:val="-3"/>
                <w:kern w:val="2"/>
                <w:sz w:val="22"/>
                <w:szCs w:val="22"/>
                <w:lang w:val="en-US" w:eastAsia="zh-CN" w:bidi="ar-SA"/>
              </w:rPr>
              <w:t>项目投标授权代表人</w:t>
            </w:r>
          </w:p>
        </w:tc>
        <w:tc>
          <w:tcPr>
            <w:tcW w:w="680" w:type="dxa"/>
            <w:noWrap w:val="0"/>
            <w:vAlign w:val="top"/>
          </w:tcPr>
          <w:p w14:paraId="42B9A1E1">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p>
        </w:tc>
        <w:tc>
          <w:tcPr>
            <w:tcW w:w="1734" w:type="dxa"/>
            <w:gridSpan w:val="2"/>
            <w:noWrap w:val="0"/>
            <w:vAlign w:val="top"/>
          </w:tcPr>
          <w:p w14:paraId="0D103953">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p>
        </w:tc>
        <w:tc>
          <w:tcPr>
            <w:tcW w:w="1500" w:type="dxa"/>
            <w:noWrap w:val="0"/>
            <w:vAlign w:val="top"/>
          </w:tcPr>
          <w:p w14:paraId="34EEC6CF">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p>
        </w:tc>
        <w:tc>
          <w:tcPr>
            <w:tcW w:w="1485" w:type="dxa"/>
            <w:noWrap w:val="0"/>
            <w:vAlign w:val="top"/>
          </w:tcPr>
          <w:p w14:paraId="7DB2EDC1">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p>
        </w:tc>
      </w:tr>
      <w:tr w14:paraId="0CDF3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525" w:type="dxa"/>
            <w:noWrap w:val="0"/>
            <w:vAlign w:val="top"/>
          </w:tcPr>
          <w:p w14:paraId="0C8CC30F">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kern w:val="2"/>
                <w:sz w:val="22"/>
                <w:szCs w:val="22"/>
                <w:lang w:val="en-US" w:eastAsia="zh-CN" w:bidi="ar-SA"/>
              </w:rPr>
              <w:t>3</w:t>
            </w:r>
          </w:p>
        </w:tc>
        <w:tc>
          <w:tcPr>
            <w:tcW w:w="3017" w:type="dxa"/>
            <w:gridSpan w:val="2"/>
            <w:noWrap w:val="0"/>
            <w:vAlign w:val="top"/>
          </w:tcPr>
          <w:p w14:paraId="5CF3E024">
            <w:pPr>
              <w:keepNext w:val="0"/>
              <w:keepLines w:val="0"/>
              <w:pageBreakBefore w:val="0"/>
              <w:widowControl w:val="0"/>
              <w:kinsoku/>
              <w:wordWrap/>
              <w:overflowPunct/>
              <w:topLinePunct w:val="0"/>
              <w:autoSpaceDE/>
              <w:autoSpaceDN/>
              <w:bidi w:val="0"/>
              <w:adjustRightInd/>
              <w:snapToGrid/>
              <w:spacing w:line="360" w:lineRule="exact"/>
              <w:ind w:left="0" w:right="0" w:firstLine="0"/>
              <w:jc w:val="left"/>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pacing w:val="-2"/>
                <w:kern w:val="2"/>
                <w:sz w:val="22"/>
                <w:szCs w:val="22"/>
                <w:lang w:val="en-US" w:eastAsia="zh-CN" w:bidi="ar-SA"/>
              </w:rPr>
              <w:t>项目负责人</w:t>
            </w:r>
          </w:p>
        </w:tc>
        <w:tc>
          <w:tcPr>
            <w:tcW w:w="680" w:type="dxa"/>
            <w:noWrap w:val="0"/>
            <w:vAlign w:val="top"/>
          </w:tcPr>
          <w:p w14:paraId="6EF23074">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p>
        </w:tc>
        <w:tc>
          <w:tcPr>
            <w:tcW w:w="1734" w:type="dxa"/>
            <w:gridSpan w:val="2"/>
            <w:noWrap w:val="0"/>
            <w:vAlign w:val="top"/>
          </w:tcPr>
          <w:p w14:paraId="680AB066">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p>
        </w:tc>
        <w:tc>
          <w:tcPr>
            <w:tcW w:w="1500" w:type="dxa"/>
            <w:noWrap w:val="0"/>
            <w:vAlign w:val="top"/>
          </w:tcPr>
          <w:p w14:paraId="050D1D96">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p>
        </w:tc>
        <w:tc>
          <w:tcPr>
            <w:tcW w:w="1485" w:type="dxa"/>
            <w:noWrap w:val="0"/>
            <w:vAlign w:val="top"/>
          </w:tcPr>
          <w:p w14:paraId="55B53BFB">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p>
        </w:tc>
      </w:tr>
      <w:tr w14:paraId="75C97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525" w:type="dxa"/>
            <w:noWrap w:val="0"/>
            <w:vAlign w:val="top"/>
          </w:tcPr>
          <w:p w14:paraId="20B2991A">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kern w:val="2"/>
                <w:sz w:val="22"/>
                <w:szCs w:val="22"/>
                <w:lang w:val="en-US" w:eastAsia="zh-CN" w:bidi="ar-SA"/>
              </w:rPr>
              <w:t>4</w:t>
            </w:r>
          </w:p>
        </w:tc>
        <w:tc>
          <w:tcPr>
            <w:tcW w:w="3017" w:type="dxa"/>
            <w:gridSpan w:val="2"/>
            <w:noWrap w:val="0"/>
            <w:vAlign w:val="top"/>
          </w:tcPr>
          <w:p w14:paraId="4E469420">
            <w:pPr>
              <w:keepNext w:val="0"/>
              <w:keepLines w:val="0"/>
              <w:pageBreakBefore w:val="0"/>
              <w:widowControl w:val="0"/>
              <w:kinsoku/>
              <w:wordWrap/>
              <w:overflowPunct/>
              <w:topLinePunct w:val="0"/>
              <w:autoSpaceDE/>
              <w:autoSpaceDN/>
              <w:bidi w:val="0"/>
              <w:adjustRightInd/>
              <w:snapToGrid/>
              <w:spacing w:line="360" w:lineRule="exact"/>
              <w:ind w:left="0" w:right="0" w:firstLine="0"/>
              <w:jc w:val="left"/>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pacing w:val="-2"/>
                <w:kern w:val="2"/>
                <w:sz w:val="22"/>
                <w:szCs w:val="22"/>
                <w:lang w:val="en-US" w:eastAsia="zh-CN" w:bidi="ar-SA"/>
              </w:rPr>
              <w:t>主要技术人员</w:t>
            </w:r>
          </w:p>
        </w:tc>
        <w:tc>
          <w:tcPr>
            <w:tcW w:w="680" w:type="dxa"/>
            <w:noWrap w:val="0"/>
            <w:vAlign w:val="top"/>
          </w:tcPr>
          <w:p w14:paraId="16A368D6">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p>
        </w:tc>
        <w:tc>
          <w:tcPr>
            <w:tcW w:w="1734" w:type="dxa"/>
            <w:gridSpan w:val="2"/>
            <w:noWrap w:val="0"/>
            <w:vAlign w:val="top"/>
          </w:tcPr>
          <w:p w14:paraId="7A145D6B">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p>
        </w:tc>
        <w:tc>
          <w:tcPr>
            <w:tcW w:w="1500" w:type="dxa"/>
            <w:noWrap w:val="0"/>
            <w:vAlign w:val="top"/>
          </w:tcPr>
          <w:p w14:paraId="048F95BF">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p>
        </w:tc>
        <w:tc>
          <w:tcPr>
            <w:tcW w:w="1485" w:type="dxa"/>
            <w:noWrap w:val="0"/>
            <w:vAlign w:val="top"/>
          </w:tcPr>
          <w:p w14:paraId="38153195">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p>
        </w:tc>
      </w:tr>
      <w:tr w14:paraId="648FF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525" w:type="dxa"/>
            <w:noWrap w:val="0"/>
            <w:vAlign w:val="top"/>
          </w:tcPr>
          <w:p w14:paraId="5CECB966">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kern w:val="2"/>
                <w:sz w:val="22"/>
                <w:szCs w:val="22"/>
                <w:lang w:val="en-US" w:eastAsia="zh-CN" w:bidi="ar-SA"/>
              </w:rPr>
              <w:t>5</w:t>
            </w:r>
          </w:p>
        </w:tc>
        <w:tc>
          <w:tcPr>
            <w:tcW w:w="3017" w:type="dxa"/>
            <w:gridSpan w:val="2"/>
            <w:noWrap w:val="0"/>
            <w:vAlign w:val="top"/>
          </w:tcPr>
          <w:p w14:paraId="12AC4C4B">
            <w:pPr>
              <w:keepNext w:val="0"/>
              <w:keepLines w:val="0"/>
              <w:pageBreakBefore w:val="0"/>
              <w:widowControl w:val="0"/>
              <w:kinsoku/>
              <w:wordWrap/>
              <w:overflowPunct/>
              <w:topLinePunct w:val="0"/>
              <w:autoSpaceDE/>
              <w:autoSpaceDN/>
              <w:bidi w:val="0"/>
              <w:adjustRightInd/>
              <w:snapToGrid/>
              <w:spacing w:line="360" w:lineRule="exact"/>
              <w:ind w:left="0" w:right="0" w:firstLine="0"/>
              <w:jc w:val="left"/>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pacing w:val="-2"/>
                <w:kern w:val="2"/>
                <w:sz w:val="22"/>
                <w:szCs w:val="22"/>
                <w:lang w:val="en-US" w:eastAsia="zh-CN" w:bidi="ar-SA"/>
              </w:rPr>
              <w:t>投标文件编制人员</w:t>
            </w:r>
          </w:p>
        </w:tc>
        <w:tc>
          <w:tcPr>
            <w:tcW w:w="680" w:type="dxa"/>
            <w:noWrap w:val="0"/>
            <w:vAlign w:val="top"/>
          </w:tcPr>
          <w:p w14:paraId="46ECDA35">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p>
        </w:tc>
        <w:tc>
          <w:tcPr>
            <w:tcW w:w="1734" w:type="dxa"/>
            <w:gridSpan w:val="2"/>
            <w:noWrap w:val="0"/>
            <w:vAlign w:val="top"/>
          </w:tcPr>
          <w:p w14:paraId="409A3A63">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p>
        </w:tc>
        <w:tc>
          <w:tcPr>
            <w:tcW w:w="1500" w:type="dxa"/>
            <w:noWrap w:val="0"/>
            <w:vAlign w:val="top"/>
          </w:tcPr>
          <w:p w14:paraId="7C651ECD">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p>
        </w:tc>
        <w:tc>
          <w:tcPr>
            <w:tcW w:w="1485" w:type="dxa"/>
            <w:noWrap w:val="0"/>
            <w:vAlign w:val="top"/>
          </w:tcPr>
          <w:p w14:paraId="32FD614B">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p>
        </w:tc>
      </w:tr>
      <w:tr w14:paraId="04FDD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8941" w:type="dxa"/>
            <w:gridSpan w:val="8"/>
            <w:noWrap w:val="0"/>
            <w:vAlign w:val="top"/>
          </w:tcPr>
          <w:p w14:paraId="6E510D31">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kern w:val="2"/>
                <w:sz w:val="22"/>
                <w:szCs w:val="22"/>
                <w:lang w:val="en-US" w:eastAsia="zh-CN" w:bidi="ar-SA"/>
              </w:rPr>
              <w:t>说明：同一职务有多人担任（如主要技术人员</w:t>
            </w:r>
            <w:r>
              <w:rPr>
                <w:rFonts w:hint="default" w:ascii="Times New Roman" w:hAnsi="Times New Roman" w:eastAsia="宋体" w:cs="Times New Roman"/>
                <w:spacing w:val="-120"/>
                <w:kern w:val="2"/>
                <w:sz w:val="22"/>
                <w:szCs w:val="22"/>
                <w:lang w:val="en-US" w:eastAsia="zh-CN" w:bidi="ar-SA"/>
              </w:rPr>
              <w:t>）</w:t>
            </w:r>
            <w:r>
              <w:rPr>
                <w:rFonts w:hint="default" w:ascii="Times New Roman" w:hAnsi="Times New Roman" w:eastAsia="宋体" w:cs="Times New Roman"/>
                <w:spacing w:val="-2"/>
                <w:kern w:val="2"/>
                <w:sz w:val="22"/>
                <w:szCs w:val="22"/>
                <w:lang w:val="en-US" w:eastAsia="zh-CN" w:bidi="ar-SA"/>
              </w:rPr>
              <w:t>，应分行填写。</w:t>
            </w:r>
          </w:p>
        </w:tc>
      </w:tr>
      <w:tr w14:paraId="757FC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jc w:val="center"/>
        </w:trPr>
        <w:tc>
          <w:tcPr>
            <w:tcW w:w="8941" w:type="dxa"/>
            <w:gridSpan w:val="8"/>
            <w:noWrap w:val="0"/>
            <w:vAlign w:val="top"/>
          </w:tcPr>
          <w:p w14:paraId="6A4E48AE">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kern w:val="2"/>
                <w:sz w:val="22"/>
                <w:szCs w:val="22"/>
                <w:lang w:val="en-US" w:eastAsia="zh-CN" w:bidi="ar-SA"/>
              </w:rPr>
              <w:t>投标（响应）</w:t>
            </w:r>
            <w:r>
              <w:rPr>
                <w:rFonts w:hint="default" w:ascii="Times New Roman" w:hAnsi="Times New Roman" w:eastAsia="宋体" w:cs="Times New Roman"/>
                <w:spacing w:val="-2"/>
                <w:kern w:val="2"/>
                <w:sz w:val="22"/>
                <w:szCs w:val="22"/>
                <w:lang w:val="en-US" w:eastAsia="zh-CN" w:bidi="ar-SA"/>
              </w:rPr>
              <w:t>供应商关联关系情况</w:t>
            </w:r>
          </w:p>
        </w:tc>
      </w:tr>
      <w:tr w14:paraId="5B4E2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525" w:type="dxa"/>
            <w:noWrap w:val="0"/>
            <w:vAlign w:val="top"/>
          </w:tcPr>
          <w:p w14:paraId="0BD0C20F">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pacing w:val="-5"/>
                <w:kern w:val="2"/>
                <w:sz w:val="22"/>
                <w:szCs w:val="22"/>
                <w:lang w:val="en-US" w:eastAsia="zh-CN" w:bidi="ar-SA"/>
              </w:rPr>
              <w:t>序号</w:t>
            </w:r>
          </w:p>
        </w:tc>
        <w:tc>
          <w:tcPr>
            <w:tcW w:w="3017" w:type="dxa"/>
            <w:gridSpan w:val="2"/>
            <w:noWrap w:val="0"/>
            <w:vAlign w:val="top"/>
          </w:tcPr>
          <w:p w14:paraId="600D02EF">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pacing w:val="-2"/>
                <w:kern w:val="2"/>
                <w:sz w:val="22"/>
                <w:szCs w:val="22"/>
                <w:lang w:val="en-US" w:eastAsia="zh-CN" w:bidi="ar-SA"/>
              </w:rPr>
              <w:t>关联关系类型</w:t>
            </w:r>
          </w:p>
        </w:tc>
        <w:tc>
          <w:tcPr>
            <w:tcW w:w="1214" w:type="dxa"/>
            <w:gridSpan w:val="2"/>
            <w:noWrap w:val="0"/>
            <w:vAlign w:val="top"/>
          </w:tcPr>
          <w:p w14:paraId="31798748">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pacing w:val="-2"/>
                <w:kern w:val="2"/>
                <w:sz w:val="22"/>
                <w:szCs w:val="22"/>
                <w:lang w:val="en-US" w:eastAsia="zh-CN" w:bidi="ar-SA"/>
              </w:rPr>
              <w:t>关联主体名称</w:t>
            </w:r>
          </w:p>
        </w:tc>
        <w:tc>
          <w:tcPr>
            <w:tcW w:w="4185" w:type="dxa"/>
            <w:gridSpan w:val="3"/>
            <w:noWrap w:val="0"/>
            <w:vAlign w:val="top"/>
          </w:tcPr>
          <w:p w14:paraId="208C8497">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pacing w:val="-5"/>
                <w:kern w:val="2"/>
                <w:sz w:val="22"/>
                <w:szCs w:val="22"/>
                <w:lang w:val="en-US" w:eastAsia="zh-CN" w:bidi="ar-SA"/>
              </w:rPr>
              <w:t>备注</w:t>
            </w:r>
          </w:p>
        </w:tc>
      </w:tr>
      <w:tr w14:paraId="4A566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3" w:hRule="atLeast"/>
          <w:jc w:val="center"/>
        </w:trPr>
        <w:tc>
          <w:tcPr>
            <w:tcW w:w="525" w:type="dxa"/>
            <w:noWrap w:val="0"/>
            <w:vAlign w:val="top"/>
          </w:tcPr>
          <w:p w14:paraId="55C63384">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p>
          <w:p w14:paraId="17A5F3B7">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kern w:val="2"/>
                <w:sz w:val="22"/>
                <w:szCs w:val="22"/>
                <w:lang w:val="en-US" w:eastAsia="zh-CN" w:bidi="ar-SA"/>
              </w:rPr>
            </w:pPr>
            <w:r>
              <w:rPr>
                <w:rFonts w:hint="eastAsia" w:ascii="Times New Roman" w:hAnsi="Times New Roman" w:eastAsia="宋体" w:cs="Times New Roman"/>
                <w:w w:val="74"/>
                <w:kern w:val="2"/>
                <w:sz w:val="22"/>
                <w:szCs w:val="22"/>
                <w:lang w:val="en-US" w:eastAsia="zh-CN" w:bidi="ar-SA"/>
              </w:rPr>
              <w:t>1</w:t>
            </w:r>
          </w:p>
        </w:tc>
        <w:tc>
          <w:tcPr>
            <w:tcW w:w="3017" w:type="dxa"/>
            <w:gridSpan w:val="2"/>
            <w:noWrap w:val="0"/>
            <w:vAlign w:val="top"/>
          </w:tcPr>
          <w:p w14:paraId="25FA5B78">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p>
          <w:p w14:paraId="40BD94F8">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pacing w:val="-3"/>
                <w:kern w:val="2"/>
                <w:sz w:val="22"/>
                <w:szCs w:val="22"/>
                <w:lang w:val="en-US" w:eastAsia="zh-CN" w:bidi="ar-SA"/>
              </w:rPr>
              <w:t>控股股东</w:t>
            </w:r>
          </w:p>
        </w:tc>
        <w:tc>
          <w:tcPr>
            <w:tcW w:w="1214" w:type="dxa"/>
            <w:gridSpan w:val="2"/>
            <w:noWrap w:val="0"/>
            <w:vAlign w:val="top"/>
          </w:tcPr>
          <w:p w14:paraId="1D49F3C6">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p>
        </w:tc>
        <w:tc>
          <w:tcPr>
            <w:tcW w:w="4185" w:type="dxa"/>
            <w:gridSpan w:val="3"/>
            <w:noWrap w:val="0"/>
            <w:vAlign w:val="top"/>
          </w:tcPr>
          <w:p w14:paraId="784D9F4C">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pacing w:val="-2"/>
                <w:kern w:val="2"/>
                <w:sz w:val="22"/>
                <w:szCs w:val="22"/>
                <w:lang w:val="en-US" w:eastAsia="zh-CN" w:bidi="ar-SA"/>
              </w:rPr>
              <w:t>指出资额（或持有股份）占投标（响应）供应商资</w:t>
            </w:r>
            <w:r>
              <w:rPr>
                <w:rFonts w:hint="default" w:ascii="Times New Roman" w:hAnsi="Times New Roman" w:eastAsia="宋体" w:cs="Times New Roman"/>
                <w:spacing w:val="-4"/>
                <w:kern w:val="2"/>
                <w:sz w:val="22"/>
                <w:szCs w:val="22"/>
                <w:lang w:val="en-US" w:eastAsia="zh-CN" w:bidi="ar-SA"/>
              </w:rPr>
              <w:t>本总额（或股本总额）50</w:t>
            </w:r>
            <w:r>
              <w:rPr>
                <w:rFonts w:hint="default" w:ascii="Times New Roman" w:hAnsi="Times New Roman" w:eastAsia="宋体" w:cs="Times New Roman"/>
                <w:spacing w:val="-5"/>
                <w:kern w:val="2"/>
                <w:sz w:val="22"/>
                <w:szCs w:val="22"/>
                <w:lang w:val="en-US" w:eastAsia="zh-CN" w:bidi="ar-SA"/>
              </w:rPr>
              <w:t>%以上的股东，以及出资额</w:t>
            </w:r>
            <w:r>
              <w:rPr>
                <w:rFonts w:hint="default" w:ascii="Times New Roman" w:hAnsi="Times New Roman" w:eastAsia="宋体" w:cs="Times New Roman"/>
                <w:kern w:val="2"/>
                <w:sz w:val="22"/>
                <w:szCs w:val="22"/>
                <w:lang w:val="en-US" w:eastAsia="zh-CN" w:bidi="ar-SA"/>
              </w:rPr>
              <w:t>（或持有股份）</w:t>
            </w:r>
            <w:r>
              <w:rPr>
                <w:rFonts w:hint="default" w:ascii="Times New Roman" w:hAnsi="Times New Roman" w:eastAsia="宋体" w:cs="Times New Roman"/>
                <w:spacing w:val="-3"/>
                <w:kern w:val="2"/>
                <w:sz w:val="22"/>
                <w:szCs w:val="22"/>
                <w:lang w:val="en-US" w:eastAsia="zh-CN" w:bidi="ar-SA"/>
              </w:rPr>
              <w:t xml:space="preserve">的比例虽然不足 </w:t>
            </w:r>
            <w:r>
              <w:rPr>
                <w:rFonts w:hint="default" w:ascii="Times New Roman" w:hAnsi="Times New Roman" w:eastAsia="宋体" w:cs="Times New Roman"/>
                <w:kern w:val="2"/>
                <w:sz w:val="22"/>
                <w:szCs w:val="22"/>
                <w:lang w:val="en-US" w:eastAsia="zh-CN" w:bidi="ar-SA"/>
              </w:rPr>
              <w:t>50%，但依其出资</w:t>
            </w:r>
            <w:r>
              <w:rPr>
                <w:rFonts w:hint="default" w:ascii="Times New Roman" w:hAnsi="Times New Roman" w:eastAsia="宋体" w:cs="Times New Roman"/>
                <w:spacing w:val="-58"/>
                <w:kern w:val="2"/>
                <w:sz w:val="22"/>
                <w:szCs w:val="22"/>
                <w:lang w:val="en-US" w:eastAsia="zh-CN" w:bidi="ar-SA"/>
              </w:rPr>
              <w:t>额</w:t>
            </w:r>
            <w:r>
              <w:rPr>
                <w:rFonts w:hint="default" w:ascii="Times New Roman" w:hAnsi="Times New Roman" w:eastAsia="宋体" w:cs="Times New Roman"/>
                <w:spacing w:val="-2"/>
                <w:kern w:val="2"/>
                <w:sz w:val="22"/>
                <w:szCs w:val="22"/>
                <w:lang w:val="en-US" w:eastAsia="zh-CN" w:bidi="ar-SA"/>
              </w:rPr>
              <w:t>（或持有股份</w:t>
            </w:r>
            <w:r>
              <w:rPr>
                <w:rFonts w:hint="default" w:ascii="Times New Roman" w:hAnsi="Times New Roman" w:eastAsia="宋体" w:cs="Times New Roman"/>
                <w:spacing w:val="-58"/>
                <w:kern w:val="2"/>
                <w:sz w:val="22"/>
                <w:szCs w:val="22"/>
                <w:lang w:val="en-US" w:eastAsia="zh-CN" w:bidi="ar-SA"/>
              </w:rPr>
              <w:t>）</w:t>
            </w:r>
            <w:r>
              <w:rPr>
                <w:rFonts w:hint="default" w:ascii="Times New Roman" w:hAnsi="Times New Roman" w:eastAsia="宋体" w:cs="Times New Roman"/>
                <w:spacing w:val="-7"/>
                <w:kern w:val="2"/>
                <w:sz w:val="22"/>
                <w:szCs w:val="22"/>
                <w:lang w:val="en-US" w:eastAsia="zh-CN" w:bidi="ar-SA"/>
              </w:rPr>
              <w:t>所享有的表决权已足以对投标</w:t>
            </w:r>
            <w:r>
              <w:rPr>
                <w:rFonts w:hint="default" w:ascii="Times New Roman" w:hAnsi="Times New Roman" w:eastAsia="宋体" w:cs="Times New Roman"/>
                <w:spacing w:val="-2"/>
                <w:kern w:val="2"/>
                <w:sz w:val="22"/>
                <w:szCs w:val="22"/>
                <w:lang w:val="en-US" w:eastAsia="zh-CN" w:bidi="ar-SA"/>
              </w:rPr>
              <w:t>（响</w:t>
            </w:r>
            <w:r>
              <w:rPr>
                <w:rFonts w:hint="default" w:ascii="Times New Roman" w:hAnsi="Times New Roman" w:eastAsia="宋体" w:cs="Times New Roman"/>
                <w:kern w:val="2"/>
                <w:sz w:val="22"/>
                <w:szCs w:val="22"/>
                <w:lang w:val="en-US" w:eastAsia="zh-CN" w:bidi="ar-SA"/>
              </w:rPr>
              <w:t>应）供应商股东会（或股东大会）</w:t>
            </w:r>
            <w:r>
              <w:rPr>
                <w:rFonts w:hint="default" w:ascii="Times New Roman" w:hAnsi="Times New Roman" w:eastAsia="宋体" w:cs="Times New Roman"/>
                <w:spacing w:val="-2"/>
                <w:kern w:val="2"/>
                <w:sz w:val="22"/>
                <w:szCs w:val="22"/>
                <w:lang w:val="en-US" w:eastAsia="zh-CN" w:bidi="ar-SA"/>
              </w:rPr>
              <w:t>的决议产生重要影响的股东。</w:t>
            </w:r>
          </w:p>
        </w:tc>
      </w:tr>
      <w:tr w14:paraId="084F7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525" w:type="dxa"/>
            <w:noWrap w:val="0"/>
            <w:vAlign w:val="top"/>
          </w:tcPr>
          <w:p w14:paraId="5FBF441F">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w w:val="100"/>
                <w:kern w:val="2"/>
                <w:sz w:val="22"/>
                <w:szCs w:val="22"/>
                <w:lang w:val="en-US" w:eastAsia="zh-CN" w:bidi="ar-SA"/>
              </w:rPr>
              <w:t>2</w:t>
            </w:r>
          </w:p>
        </w:tc>
        <w:tc>
          <w:tcPr>
            <w:tcW w:w="3017" w:type="dxa"/>
            <w:gridSpan w:val="2"/>
            <w:noWrap w:val="0"/>
            <w:vAlign w:val="top"/>
          </w:tcPr>
          <w:p w14:paraId="649D05A2">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pacing w:val="-3"/>
                <w:kern w:val="2"/>
                <w:sz w:val="22"/>
                <w:szCs w:val="22"/>
                <w:lang w:val="en-US" w:eastAsia="zh-CN" w:bidi="ar-SA"/>
              </w:rPr>
              <w:t>管理关系</w:t>
            </w:r>
          </w:p>
        </w:tc>
        <w:tc>
          <w:tcPr>
            <w:tcW w:w="1214" w:type="dxa"/>
            <w:gridSpan w:val="2"/>
            <w:noWrap w:val="0"/>
            <w:vAlign w:val="top"/>
          </w:tcPr>
          <w:p w14:paraId="3D016F90">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p>
        </w:tc>
        <w:tc>
          <w:tcPr>
            <w:tcW w:w="4185" w:type="dxa"/>
            <w:gridSpan w:val="3"/>
            <w:noWrap w:val="0"/>
            <w:vAlign w:val="top"/>
          </w:tcPr>
          <w:p w14:paraId="418D86A5">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pacing w:val="-14"/>
                <w:kern w:val="2"/>
                <w:sz w:val="22"/>
                <w:szCs w:val="22"/>
                <w:lang w:val="en-US" w:eastAsia="zh-CN" w:bidi="ar-SA"/>
              </w:rPr>
              <w:t>指对投标</w:t>
            </w:r>
            <w:r>
              <w:rPr>
                <w:rFonts w:hint="default" w:ascii="Times New Roman" w:hAnsi="Times New Roman" w:eastAsia="宋体" w:cs="Times New Roman"/>
                <w:kern w:val="2"/>
                <w:sz w:val="22"/>
                <w:szCs w:val="22"/>
                <w:lang w:val="en-US" w:eastAsia="zh-CN" w:bidi="ar-SA"/>
              </w:rPr>
              <w:t>（响应</w:t>
            </w:r>
            <w:r>
              <w:rPr>
                <w:rFonts w:hint="default" w:ascii="Times New Roman" w:hAnsi="Times New Roman" w:eastAsia="宋体" w:cs="Times New Roman"/>
                <w:spacing w:val="-56"/>
                <w:kern w:val="2"/>
                <w:sz w:val="22"/>
                <w:szCs w:val="22"/>
                <w:lang w:val="en-US" w:eastAsia="zh-CN" w:bidi="ar-SA"/>
              </w:rPr>
              <w:t>）</w:t>
            </w:r>
            <w:r>
              <w:rPr>
                <w:rFonts w:hint="default" w:ascii="Times New Roman" w:hAnsi="Times New Roman" w:eastAsia="宋体" w:cs="Times New Roman"/>
                <w:spacing w:val="-2"/>
                <w:kern w:val="2"/>
                <w:sz w:val="22"/>
                <w:szCs w:val="22"/>
                <w:lang w:val="en-US" w:eastAsia="zh-CN" w:bidi="ar-SA"/>
              </w:rPr>
              <w:t>供应商不具有出资持</w:t>
            </w:r>
            <w:r>
              <w:rPr>
                <w:rFonts w:hint="default" w:ascii="Times New Roman" w:hAnsi="Times New Roman" w:eastAsia="宋体" w:cs="Times New Roman"/>
                <w:spacing w:val="-1"/>
                <w:kern w:val="2"/>
                <w:sz w:val="22"/>
                <w:szCs w:val="22"/>
                <w:lang w:val="en-US" w:eastAsia="zh-CN" w:bidi="ar-SA"/>
              </w:rPr>
              <w:t>股关系，但对其存在管理关系的主体。</w:t>
            </w:r>
          </w:p>
        </w:tc>
      </w:tr>
      <w:tr w14:paraId="13D93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8941" w:type="dxa"/>
            <w:gridSpan w:val="8"/>
            <w:noWrap w:val="0"/>
            <w:vAlign w:val="top"/>
          </w:tcPr>
          <w:p w14:paraId="0DDBE7DB">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pacing w:val="-1"/>
                <w:kern w:val="2"/>
                <w:sz w:val="22"/>
                <w:szCs w:val="22"/>
                <w:lang w:val="en-US" w:eastAsia="zh-CN" w:bidi="ar-SA"/>
              </w:rPr>
              <w:t>说明：同一关联关系类型有多个主体的，应分行填写。</w:t>
            </w:r>
          </w:p>
        </w:tc>
      </w:tr>
    </w:tbl>
    <w:p w14:paraId="7B890E3A">
      <w:pPr>
        <w:pStyle w:val="20"/>
        <w:rPr>
          <w:rFonts w:hint="eastAsia" w:ascii="仿宋" w:hAnsi="仿宋" w:eastAsia="仿宋" w:cs="仿宋"/>
          <w:b/>
          <w:bCs/>
          <w:color w:val="FF0000"/>
          <w:sz w:val="24"/>
          <w:szCs w:val="32"/>
          <w:lang w:val="en-US" w:eastAsia="zh-CN"/>
        </w:rPr>
      </w:pPr>
      <w:r>
        <w:rPr>
          <w:rFonts w:hint="eastAsia" w:ascii="仿宋" w:hAnsi="仿宋" w:eastAsia="仿宋" w:cs="仿宋"/>
          <w:b/>
          <w:bCs/>
          <w:color w:val="FF0000"/>
          <w:sz w:val="24"/>
          <w:szCs w:val="32"/>
          <w:lang w:val="en-US" w:eastAsia="zh-CN"/>
        </w:rPr>
        <w:t>注：《供应商基本情况表》为资格性审查条款，未提供按无效投标处理。</w:t>
      </w:r>
    </w:p>
    <w:p w14:paraId="202EE2F2">
      <w:pPr>
        <w:pStyle w:val="20"/>
        <w:rPr>
          <w:rFonts w:hint="default" w:ascii="仿宋" w:hAnsi="仿宋" w:eastAsia="仿宋" w:cs="仿宋"/>
          <w:b/>
          <w:bCs/>
          <w:color w:val="FF0000"/>
          <w:sz w:val="24"/>
          <w:szCs w:val="32"/>
          <w:lang w:val="en-US" w:eastAsia="zh-CN"/>
        </w:rPr>
      </w:pPr>
    </w:p>
    <w:p w14:paraId="0FAEA0C5">
      <w:pPr>
        <w:pStyle w:val="24"/>
        <w:numPr>
          <w:ilvl w:val="0"/>
          <w:numId w:val="0"/>
        </w:numPr>
        <w:spacing w:after="0" w:line="360" w:lineRule="exact"/>
        <w:ind w:left="0" w:leftChars="0" w:firstLine="0" w:firstLineChars="0"/>
        <w:rPr>
          <w:rFonts w:ascii="Times New Roman" w:hAnsi="Times New Roman"/>
          <w:b/>
          <w:bCs w:val="0"/>
          <w:sz w:val="22"/>
          <w:szCs w:val="22"/>
        </w:rPr>
      </w:pPr>
      <w:r>
        <w:rPr>
          <w:rFonts w:ascii="Times New Roman" w:hAnsi="Times New Roman" w:eastAsia="宋体" w:cs="Times New Roman"/>
          <w:b/>
          <w:bCs w:val="0"/>
          <w:kern w:val="2"/>
          <w:sz w:val="22"/>
          <w:szCs w:val="22"/>
          <w:lang w:val="en-US" w:eastAsia="zh-CN" w:bidi="ar-SA"/>
        </w:rPr>
        <w:t>（3）</w:t>
      </w:r>
      <w:r>
        <w:rPr>
          <w:rFonts w:hint="eastAsia" w:ascii="Times New Roman" w:hAnsi="Times New Roman"/>
          <w:b/>
          <w:bCs w:val="0"/>
          <w:sz w:val="22"/>
          <w:szCs w:val="22"/>
        </w:rPr>
        <w:t>提供招标公告中关于投标人资格要求的相关资格证明文件复印件</w:t>
      </w:r>
      <w:r>
        <w:rPr>
          <w:rFonts w:ascii="Times New Roman" w:hAnsi="Times New Roman"/>
          <w:b/>
          <w:bCs w:val="0"/>
          <w:sz w:val="22"/>
          <w:szCs w:val="22"/>
        </w:rPr>
        <w:t>。</w:t>
      </w:r>
    </w:p>
    <w:p w14:paraId="4A105AAA">
      <w:pPr>
        <w:pStyle w:val="24"/>
        <w:numPr>
          <w:ilvl w:val="0"/>
          <w:numId w:val="0"/>
        </w:numPr>
        <w:spacing w:after="0" w:line="360" w:lineRule="exact"/>
        <w:ind w:left="0" w:leftChars="0" w:firstLine="0" w:firstLineChars="0"/>
        <w:rPr>
          <w:rFonts w:ascii="Times New Roman" w:hAnsi="Times New Roman"/>
          <w:b/>
          <w:bCs w:val="0"/>
          <w:sz w:val="22"/>
          <w:szCs w:val="22"/>
        </w:rPr>
      </w:pPr>
    </w:p>
    <w:p w14:paraId="3AED8DBB">
      <w:pPr>
        <w:pStyle w:val="24"/>
        <w:numPr>
          <w:ilvl w:val="0"/>
          <w:numId w:val="0"/>
        </w:numPr>
        <w:spacing w:after="0" w:line="360" w:lineRule="exact"/>
        <w:ind w:leftChars="0"/>
        <w:rPr>
          <w:rFonts w:hint="eastAsia" w:ascii="Times New Roman" w:hAnsi="Times New Roman" w:eastAsia="宋体"/>
          <w:b/>
          <w:bCs w:val="0"/>
          <w:sz w:val="22"/>
          <w:szCs w:val="22"/>
          <w:lang w:eastAsia="zh-CN"/>
        </w:rPr>
      </w:pPr>
      <w:r>
        <w:rPr>
          <w:rFonts w:hint="eastAsia" w:ascii="Times New Roman" w:hAnsi="Times New Roman"/>
          <w:b/>
          <w:bCs w:val="0"/>
          <w:sz w:val="22"/>
          <w:szCs w:val="22"/>
          <w:lang w:eastAsia="zh-CN"/>
        </w:rPr>
        <w:t>……</w:t>
      </w:r>
    </w:p>
    <w:p w14:paraId="3BF4C34C">
      <w:pPr>
        <w:adjustRightInd w:val="0"/>
        <w:snapToGrid w:val="0"/>
        <w:spacing w:line="360" w:lineRule="exact"/>
        <w:rPr>
          <w:rFonts w:ascii="宋体" w:hAnsi="宋体" w:cs="宋体"/>
          <w:b/>
          <w:sz w:val="22"/>
          <w:szCs w:val="22"/>
        </w:rPr>
      </w:pPr>
      <w:r>
        <w:rPr>
          <w:rFonts w:hint="eastAsia" w:ascii="宋体" w:hAnsi="宋体" w:cs="宋体"/>
          <w:b/>
          <w:sz w:val="22"/>
          <w:szCs w:val="22"/>
        </w:rPr>
        <w:t>（三）“关键信息-评标信息”规定的公司业绩、已做项目简介</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919"/>
        <w:gridCol w:w="1233"/>
        <w:gridCol w:w="1107"/>
        <w:gridCol w:w="1107"/>
        <w:gridCol w:w="1269"/>
        <w:gridCol w:w="906"/>
        <w:gridCol w:w="1197"/>
      </w:tblGrid>
      <w:tr w14:paraId="7B6F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5424B4CF">
            <w:pPr>
              <w:adjustRightInd w:val="0"/>
              <w:snapToGrid w:val="0"/>
              <w:spacing w:line="360" w:lineRule="exact"/>
              <w:jc w:val="center"/>
              <w:rPr>
                <w:rFonts w:ascii="宋体" w:hAnsi="宋体" w:cs="宋体"/>
                <w:bCs/>
                <w:sz w:val="22"/>
                <w:szCs w:val="22"/>
              </w:rPr>
            </w:pPr>
            <w:r>
              <w:rPr>
                <w:rFonts w:hint="eastAsia" w:ascii="宋体" w:hAnsi="宋体" w:cs="宋体"/>
                <w:bCs/>
                <w:sz w:val="22"/>
                <w:szCs w:val="22"/>
              </w:rPr>
              <w:t>序号</w:t>
            </w:r>
          </w:p>
        </w:tc>
        <w:tc>
          <w:tcPr>
            <w:tcW w:w="539" w:type="pct"/>
            <w:vAlign w:val="center"/>
          </w:tcPr>
          <w:p w14:paraId="499EC0D1">
            <w:pPr>
              <w:adjustRightInd w:val="0"/>
              <w:snapToGrid w:val="0"/>
              <w:spacing w:line="360" w:lineRule="exact"/>
              <w:jc w:val="center"/>
              <w:rPr>
                <w:rFonts w:ascii="宋体" w:hAnsi="宋体" w:cs="宋体"/>
                <w:bCs/>
                <w:sz w:val="22"/>
                <w:szCs w:val="22"/>
              </w:rPr>
            </w:pPr>
            <w:r>
              <w:rPr>
                <w:rFonts w:hint="eastAsia" w:ascii="宋体" w:hAnsi="宋体" w:cs="宋体"/>
                <w:bCs/>
                <w:sz w:val="22"/>
                <w:szCs w:val="22"/>
              </w:rPr>
              <w:t>采购人</w:t>
            </w:r>
          </w:p>
        </w:tc>
        <w:tc>
          <w:tcPr>
            <w:tcW w:w="723" w:type="pct"/>
            <w:vAlign w:val="center"/>
          </w:tcPr>
          <w:p w14:paraId="478A2AF3">
            <w:pPr>
              <w:adjustRightInd w:val="0"/>
              <w:snapToGrid w:val="0"/>
              <w:spacing w:line="360" w:lineRule="exact"/>
              <w:jc w:val="center"/>
              <w:rPr>
                <w:rFonts w:ascii="宋体" w:hAnsi="宋体" w:cs="宋体"/>
                <w:bCs/>
                <w:sz w:val="22"/>
                <w:szCs w:val="22"/>
              </w:rPr>
            </w:pPr>
            <w:r>
              <w:rPr>
                <w:rFonts w:hint="eastAsia" w:ascii="宋体" w:hAnsi="宋体" w:cs="宋体"/>
                <w:bCs/>
                <w:sz w:val="22"/>
                <w:szCs w:val="22"/>
              </w:rPr>
              <w:t>项目名称</w:t>
            </w:r>
          </w:p>
        </w:tc>
        <w:tc>
          <w:tcPr>
            <w:tcW w:w="649" w:type="pct"/>
            <w:vAlign w:val="center"/>
          </w:tcPr>
          <w:p w14:paraId="02117A4E">
            <w:pPr>
              <w:adjustRightInd w:val="0"/>
              <w:snapToGrid w:val="0"/>
              <w:spacing w:line="360" w:lineRule="exact"/>
              <w:jc w:val="center"/>
              <w:rPr>
                <w:rFonts w:ascii="宋体" w:hAnsi="宋体" w:cs="宋体"/>
                <w:bCs/>
                <w:sz w:val="22"/>
                <w:szCs w:val="22"/>
              </w:rPr>
            </w:pPr>
            <w:r>
              <w:rPr>
                <w:rFonts w:hint="eastAsia" w:ascii="宋体" w:hAnsi="宋体" w:cs="宋体"/>
                <w:bCs/>
                <w:sz w:val="22"/>
                <w:szCs w:val="22"/>
              </w:rPr>
              <w:t>规模（金额/元）</w:t>
            </w:r>
          </w:p>
        </w:tc>
        <w:tc>
          <w:tcPr>
            <w:tcW w:w="649" w:type="pct"/>
            <w:vAlign w:val="center"/>
          </w:tcPr>
          <w:p w14:paraId="398689E6">
            <w:pPr>
              <w:adjustRightInd w:val="0"/>
              <w:snapToGrid w:val="0"/>
              <w:spacing w:line="360" w:lineRule="exact"/>
              <w:jc w:val="center"/>
              <w:rPr>
                <w:rFonts w:ascii="宋体" w:hAnsi="宋体" w:cs="宋体"/>
                <w:bCs/>
                <w:sz w:val="22"/>
                <w:szCs w:val="22"/>
              </w:rPr>
            </w:pPr>
            <w:r>
              <w:rPr>
                <w:rFonts w:hint="eastAsia" w:ascii="宋体" w:hAnsi="宋体" w:cs="宋体"/>
                <w:bCs/>
                <w:sz w:val="22"/>
                <w:szCs w:val="22"/>
              </w:rPr>
              <w:t>完成时间</w:t>
            </w:r>
          </w:p>
        </w:tc>
        <w:tc>
          <w:tcPr>
            <w:tcW w:w="744" w:type="pct"/>
            <w:vAlign w:val="center"/>
          </w:tcPr>
          <w:p w14:paraId="0CC6F898">
            <w:pPr>
              <w:adjustRightInd w:val="0"/>
              <w:snapToGrid w:val="0"/>
              <w:spacing w:line="360" w:lineRule="exact"/>
              <w:jc w:val="center"/>
              <w:rPr>
                <w:rFonts w:ascii="宋体" w:hAnsi="宋体" w:cs="宋体"/>
                <w:bCs/>
                <w:sz w:val="22"/>
                <w:szCs w:val="22"/>
              </w:rPr>
            </w:pPr>
            <w:r>
              <w:rPr>
                <w:rFonts w:hint="eastAsia" w:ascii="宋体" w:hAnsi="宋体" w:cs="宋体"/>
                <w:bCs/>
                <w:sz w:val="22"/>
                <w:szCs w:val="22"/>
              </w:rPr>
              <w:t>运行情况</w:t>
            </w:r>
          </w:p>
        </w:tc>
        <w:tc>
          <w:tcPr>
            <w:tcW w:w="531" w:type="pct"/>
            <w:vAlign w:val="center"/>
          </w:tcPr>
          <w:p w14:paraId="0376DC39">
            <w:pPr>
              <w:adjustRightInd w:val="0"/>
              <w:snapToGrid w:val="0"/>
              <w:spacing w:line="360" w:lineRule="exact"/>
              <w:jc w:val="center"/>
              <w:rPr>
                <w:rFonts w:ascii="宋体" w:hAnsi="宋体" w:cs="宋体"/>
                <w:bCs/>
                <w:sz w:val="22"/>
                <w:szCs w:val="22"/>
              </w:rPr>
            </w:pPr>
            <w:r>
              <w:rPr>
                <w:rFonts w:hint="eastAsia" w:ascii="宋体" w:hAnsi="宋体" w:cs="宋体"/>
                <w:bCs/>
                <w:sz w:val="22"/>
                <w:szCs w:val="22"/>
              </w:rPr>
              <w:t>联系人</w:t>
            </w:r>
          </w:p>
        </w:tc>
        <w:tc>
          <w:tcPr>
            <w:tcW w:w="701" w:type="pct"/>
            <w:vAlign w:val="center"/>
          </w:tcPr>
          <w:p w14:paraId="7721D409">
            <w:pPr>
              <w:adjustRightInd w:val="0"/>
              <w:snapToGrid w:val="0"/>
              <w:spacing w:line="360" w:lineRule="exact"/>
              <w:jc w:val="center"/>
              <w:rPr>
                <w:rFonts w:ascii="宋体" w:hAnsi="宋体" w:cs="宋体"/>
                <w:bCs/>
                <w:sz w:val="22"/>
                <w:szCs w:val="22"/>
              </w:rPr>
            </w:pPr>
            <w:r>
              <w:rPr>
                <w:rFonts w:hint="eastAsia" w:ascii="宋体" w:hAnsi="宋体" w:cs="宋体"/>
                <w:bCs/>
                <w:sz w:val="22"/>
                <w:szCs w:val="22"/>
              </w:rPr>
              <w:t>联系方式</w:t>
            </w:r>
          </w:p>
        </w:tc>
      </w:tr>
      <w:tr w14:paraId="5DAFA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tcPr>
          <w:p w14:paraId="3009E138">
            <w:pPr>
              <w:adjustRightInd w:val="0"/>
              <w:snapToGrid w:val="0"/>
              <w:spacing w:line="360" w:lineRule="exact"/>
              <w:rPr>
                <w:rFonts w:ascii="宋体" w:hAnsi="宋体" w:cs="宋体"/>
                <w:bCs/>
                <w:sz w:val="22"/>
                <w:szCs w:val="22"/>
              </w:rPr>
            </w:pPr>
          </w:p>
        </w:tc>
        <w:tc>
          <w:tcPr>
            <w:tcW w:w="539" w:type="pct"/>
          </w:tcPr>
          <w:p w14:paraId="7ABE94EF">
            <w:pPr>
              <w:adjustRightInd w:val="0"/>
              <w:snapToGrid w:val="0"/>
              <w:spacing w:line="360" w:lineRule="exact"/>
              <w:rPr>
                <w:rFonts w:ascii="宋体" w:hAnsi="宋体" w:cs="宋体"/>
                <w:bCs/>
                <w:sz w:val="22"/>
                <w:szCs w:val="22"/>
              </w:rPr>
            </w:pPr>
          </w:p>
        </w:tc>
        <w:tc>
          <w:tcPr>
            <w:tcW w:w="723" w:type="pct"/>
          </w:tcPr>
          <w:p w14:paraId="3FD09E6E">
            <w:pPr>
              <w:adjustRightInd w:val="0"/>
              <w:snapToGrid w:val="0"/>
              <w:spacing w:line="360" w:lineRule="exact"/>
              <w:rPr>
                <w:rFonts w:ascii="宋体" w:hAnsi="宋体" w:cs="宋体"/>
                <w:bCs/>
                <w:sz w:val="22"/>
                <w:szCs w:val="22"/>
              </w:rPr>
            </w:pPr>
          </w:p>
        </w:tc>
        <w:tc>
          <w:tcPr>
            <w:tcW w:w="649" w:type="pct"/>
          </w:tcPr>
          <w:p w14:paraId="25975D3C">
            <w:pPr>
              <w:adjustRightInd w:val="0"/>
              <w:snapToGrid w:val="0"/>
              <w:spacing w:line="360" w:lineRule="exact"/>
              <w:rPr>
                <w:rFonts w:ascii="宋体" w:hAnsi="宋体" w:cs="宋体"/>
                <w:bCs/>
                <w:sz w:val="22"/>
                <w:szCs w:val="22"/>
              </w:rPr>
            </w:pPr>
          </w:p>
        </w:tc>
        <w:tc>
          <w:tcPr>
            <w:tcW w:w="649" w:type="pct"/>
          </w:tcPr>
          <w:p w14:paraId="64EB2A71">
            <w:pPr>
              <w:adjustRightInd w:val="0"/>
              <w:snapToGrid w:val="0"/>
              <w:spacing w:line="360" w:lineRule="exact"/>
              <w:rPr>
                <w:rFonts w:ascii="宋体" w:hAnsi="宋体" w:cs="宋体"/>
                <w:bCs/>
                <w:sz w:val="22"/>
                <w:szCs w:val="22"/>
              </w:rPr>
            </w:pPr>
          </w:p>
        </w:tc>
        <w:tc>
          <w:tcPr>
            <w:tcW w:w="744" w:type="pct"/>
          </w:tcPr>
          <w:p w14:paraId="364F1F23">
            <w:pPr>
              <w:adjustRightInd w:val="0"/>
              <w:snapToGrid w:val="0"/>
              <w:spacing w:line="360" w:lineRule="exact"/>
              <w:rPr>
                <w:rFonts w:ascii="宋体" w:hAnsi="宋体" w:cs="宋体"/>
                <w:bCs/>
                <w:sz w:val="22"/>
                <w:szCs w:val="22"/>
              </w:rPr>
            </w:pPr>
          </w:p>
        </w:tc>
        <w:tc>
          <w:tcPr>
            <w:tcW w:w="531" w:type="pct"/>
          </w:tcPr>
          <w:p w14:paraId="2686D30C">
            <w:pPr>
              <w:adjustRightInd w:val="0"/>
              <w:snapToGrid w:val="0"/>
              <w:spacing w:line="360" w:lineRule="exact"/>
              <w:rPr>
                <w:rFonts w:ascii="宋体" w:hAnsi="宋体" w:cs="宋体"/>
                <w:bCs/>
                <w:sz w:val="22"/>
                <w:szCs w:val="22"/>
              </w:rPr>
            </w:pPr>
          </w:p>
        </w:tc>
        <w:tc>
          <w:tcPr>
            <w:tcW w:w="701" w:type="pct"/>
          </w:tcPr>
          <w:p w14:paraId="192DC721">
            <w:pPr>
              <w:adjustRightInd w:val="0"/>
              <w:snapToGrid w:val="0"/>
              <w:spacing w:line="360" w:lineRule="exact"/>
              <w:rPr>
                <w:rFonts w:ascii="宋体" w:hAnsi="宋体" w:cs="宋体"/>
                <w:bCs/>
                <w:sz w:val="22"/>
                <w:szCs w:val="22"/>
              </w:rPr>
            </w:pPr>
          </w:p>
        </w:tc>
      </w:tr>
    </w:tbl>
    <w:p w14:paraId="03ECF73F">
      <w:pPr>
        <w:adjustRightInd w:val="0"/>
        <w:snapToGrid w:val="0"/>
        <w:spacing w:line="360" w:lineRule="exact"/>
        <w:rPr>
          <w:rFonts w:hint="eastAsia" w:ascii="宋体" w:hAnsi="宋体" w:cs="宋体"/>
          <w:sz w:val="22"/>
          <w:szCs w:val="22"/>
        </w:rPr>
      </w:pPr>
    </w:p>
    <w:p w14:paraId="503DAA7E">
      <w:pPr>
        <w:adjustRightInd w:val="0"/>
        <w:snapToGrid w:val="0"/>
        <w:spacing w:line="360" w:lineRule="exact"/>
        <w:rPr>
          <w:rFonts w:ascii="宋体" w:hAnsi="宋体" w:cs="宋体"/>
          <w:sz w:val="22"/>
          <w:szCs w:val="22"/>
        </w:rPr>
      </w:pPr>
      <w:r>
        <w:rPr>
          <w:rFonts w:hint="eastAsia" w:ascii="宋体" w:hAnsi="宋体" w:cs="宋体"/>
          <w:sz w:val="22"/>
          <w:szCs w:val="22"/>
        </w:rPr>
        <w:t>投标单位公章：</w:t>
      </w:r>
    </w:p>
    <w:p w14:paraId="585B2F02">
      <w:pPr>
        <w:tabs>
          <w:tab w:val="left" w:pos="414"/>
          <w:tab w:val="left" w:pos="1974"/>
          <w:tab w:val="left" w:pos="3414"/>
          <w:tab w:val="left" w:pos="4854"/>
          <w:tab w:val="left" w:pos="6174"/>
          <w:tab w:val="left" w:pos="7614"/>
          <w:tab w:val="left" w:pos="9414"/>
        </w:tabs>
        <w:adjustRightInd w:val="0"/>
        <w:snapToGrid w:val="0"/>
        <w:spacing w:line="360" w:lineRule="exact"/>
        <w:rPr>
          <w:rFonts w:ascii="宋体" w:hAnsi="宋体" w:cs="宋体"/>
          <w:sz w:val="22"/>
          <w:szCs w:val="22"/>
        </w:rPr>
      </w:pPr>
      <w:r>
        <w:rPr>
          <w:rFonts w:hint="eastAsia" w:ascii="宋体" w:hAnsi="宋体" w:cs="宋体"/>
          <w:sz w:val="22"/>
          <w:szCs w:val="22"/>
        </w:rPr>
        <w:t>法人代表或被授权人签字：</w:t>
      </w:r>
    </w:p>
    <w:p w14:paraId="38CCEE48">
      <w:pPr>
        <w:tabs>
          <w:tab w:val="left" w:pos="414"/>
          <w:tab w:val="left" w:pos="1974"/>
          <w:tab w:val="left" w:pos="3414"/>
          <w:tab w:val="left" w:pos="4854"/>
          <w:tab w:val="left" w:pos="6174"/>
          <w:tab w:val="left" w:pos="7614"/>
          <w:tab w:val="left" w:pos="9414"/>
        </w:tabs>
        <w:adjustRightInd w:val="0"/>
        <w:snapToGrid w:val="0"/>
        <w:spacing w:line="360" w:lineRule="exact"/>
        <w:rPr>
          <w:rFonts w:ascii="宋体" w:hAnsi="宋体" w:cs="宋体"/>
          <w:sz w:val="22"/>
          <w:szCs w:val="22"/>
        </w:rPr>
      </w:pPr>
      <w:r>
        <w:rPr>
          <w:rFonts w:hint="eastAsia" w:ascii="宋体" w:hAnsi="宋体" w:cs="宋体"/>
          <w:sz w:val="22"/>
          <w:szCs w:val="22"/>
        </w:rPr>
        <w:t>注：1、在备注中填写项目单位名称、联系人、联系方式等内容。</w:t>
      </w:r>
    </w:p>
    <w:p w14:paraId="2413D044">
      <w:pPr>
        <w:tabs>
          <w:tab w:val="left" w:pos="414"/>
          <w:tab w:val="left" w:pos="1974"/>
          <w:tab w:val="left" w:pos="3414"/>
          <w:tab w:val="left" w:pos="4854"/>
          <w:tab w:val="left" w:pos="6174"/>
          <w:tab w:val="left" w:pos="7614"/>
          <w:tab w:val="left" w:pos="9414"/>
        </w:tabs>
        <w:adjustRightInd w:val="0"/>
        <w:snapToGrid w:val="0"/>
        <w:spacing w:line="360" w:lineRule="exact"/>
        <w:ind w:firstLine="440" w:firstLineChars="200"/>
        <w:rPr>
          <w:rFonts w:ascii="宋体" w:hAnsi="宋体" w:cs="宋体"/>
          <w:sz w:val="22"/>
          <w:szCs w:val="22"/>
        </w:rPr>
      </w:pPr>
      <w:r>
        <w:rPr>
          <w:rFonts w:hint="eastAsia" w:ascii="宋体" w:hAnsi="宋体" w:cs="宋体"/>
          <w:sz w:val="22"/>
          <w:szCs w:val="22"/>
        </w:rPr>
        <w:t>2、需递交上述项目的证明材料（中标通知书或合同关键页）扫描件（加盖公章），原件备查。</w:t>
      </w:r>
    </w:p>
    <w:p w14:paraId="0D24007C">
      <w:pPr>
        <w:tabs>
          <w:tab w:val="left" w:pos="414"/>
          <w:tab w:val="left" w:pos="1974"/>
          <w:tab w:val="left" w:pos="3414"/>
          <w:tab w:val="left" w:pos="4854"/>
          <w:tab w:val="left" w:pos="6174"/>
          <w:tab w:val="left" w:pos="7614"/>
          <w:tab w:val="left" w:pos="9414"/>
        </w:tabs>
        <w:adjustRightInd w:val="0"/>
        <w:snapToGrid w:val="0"/>
        <w:spacing w:line="360" w:lineRule="exact"/>
        <w:ind w:firstLine="440" w:firstLineChars="200"/>
        <w:rPr>
          <w:rFonts w:ascii="宋体" w:hAnsi="宋体" w:cs="宋体"/>
          <w:sz w:val="22"/>
          <w:szCs w:val="22"/>
        </w:rPr>
      </w:pPr>
      <w:r>
        <w:rPr>
          <w:rFonts w:hint="eastAsia" w:ascii="宋体" w:hAnsi="宋体" w:cs="宋体"/>
          <w:sz w:val="22"/>
          <w:szCs w:val="22"/>
        </w:rPr>
        <w:t>3、提供的资料须齐全。</w:t>
      </w:r>
    </w:p>
    <w:p w14:paraId="3B2C2305">
      <w:pPr>
        <w:adjustRightInd w:val="0"/>
        <w:snapToGrid w:val="0"/>
        <w:spacing w:line="360" w:lineRule="exact"/>
        <w:rPr>
          <w:rFonts w:hint="eastAsia" w:ascii="宋体" w:hAnsi="宋体" w:eastAsia="宋体" w:cs="宋体"/>
          <w:b/>
          <w:sz w:val="22"/>
          <w:szCs w:val="22"/>
        </w:rPr>
      </w:pPr>
      <w:bookmarkStart w:id="18" w:name="_Toc19163"/>
      <w:bookmarkStart w:id="19" w:name="_Toc13820"/>
      <w:bookmarkStart w:id="20" w:name="_Toc518137920"/>
    </w:p>
    <w:p w14:paraId="6B03EE56">
      <w:pPr>
        <w:adjustRightInd w:val="0"/>
        <w:snapToGrid w:val="0"/>
        <w:spacing w:line="360" w:lineRule="exact"/>
        <w:rPr>
          <w:rFonts w:hint="eastAsia" w:ascii="宋体" w:hAnsi="宋体" w:eastAsia="宋体" w:cs="宋体"/>
          <w:b/>
          <w:sz w:val="22"/>
          <w:szCs w:val="22"/>
        </w:rPr>
      </w:pPr>
    </w:p>
    <w:p w14:paraId="42EFE61C">
      <w:pPr>
        <w:adjustRightInd w:val="0"/>
        <w:snapToGrid w:val="0"/>
        <w:spacing w:line="360" w:lineRule="exact"/>
        <w:rPr>
          <w:rFonts w:hint="eastAsia" w:ascii="宋体" w:hAnsi="宋体" w:eastAsia="宋体" w:cs="宋体"/>
          <w:b/>
          <w:sz w:val="22"/>
          <w:szCs w:val="22"/>
        </w:rPr>
      </w:pPr>
      <w:r>
        <w:rPr>
          <w:rFonts w:hint="eastAsia" w:ascii="宋体" w:hAnsi="宋体" w:eastAsia="宋体" w:cs="宋体"/>
          <w:b/>
          <w:sz w:val="22"/>
          <w:szCs w:val="22"/>
        </w:rPr>
        <w:t>（四）其它重要事项说明及承诺</w:t>
      </w:r>
      <w:bookmarkEnd w:id="18"/>
      <w:bookmarkEnd w:id="19"/>
      <w:bookmarkEnd w:id="20"/>
    </w:p>
    <w:p w14:paraId="6E2139FB">
      <w:pPr>
        <w:rPr>
          <w:rFonts w:ascii="Times New Roman" w:hAnsi="Times New Roman"/>
          <w:sz w:val="22"/>
          <w:szCs w:val="22"/>
        </w:rPr>
      </w:pPr>
      <w:r>
        <w:rPr>
          <w:rFonts w:hint="eastAsia" w:ascii="宋体" w:hAnsi="宋体"/>
          <w:szCs w:val="22"/>
        </w:rPr>
        <w:t xml:space="preserve"> </w:t>
      </w:r>
    </w:p>
    <w:p w14:paraId="3812F7E0">
      <w:pPr>
        <w:tabs>
          <w:tab w:val="left" w:pos="414"/>
          <w:tab w:val="left" w:pos="1974"/>
          <w:tab w:val="left" w:pos="3414"/>
          <w:tab w:val="left" w:pos="4854"/>
          <w:tab w:val="left" w:pos="6174"/>
          <w:tab w:val="left" w:pos="7614"/>
          <w:tab w:val="left" w:pos="9414"/>
        </w:tabs>
        <w:adjustRightInd w:val="0"/>
        <w:snapToGrid w:val="0"/>
        <w:spacing w:line="360" w:lineRule="exact"/>
        <w:rPr>
          <w:rFonts w:ascii="Times New Roman" w:hAnsi="Times New Roman"/>
          <w:sz w:val="22"/>
          <w:szCs w:val="22"/>
        </w:rPr>
      </w:pPr>
      <w:r>
        <w:rPr>
          <w:rFonts w:hint="eastAsia" w:ascii="Times New Roman" w:hAnsi="Times New Roman"/>
          <w:sz w:val="22"/>
          <w:szCs w:val="22"/>
        </w:rPr>
        <w:t>(请扼要叙述)</w:t>
      </w:r>
    </w:p>
    <w:p w14:paraId="28F30018">
      <w:pPr>
        <w:tabs>
          <w:tab w:val="left" w:pos="414"/>
          <w:tab w:val="left" w:pos="1974"/>
          <w:tab w:val="left" w:pos="3414"/>
          <w:tab w:val="left" w:pos="4854"/>
          <w:tab w:val="left" w:pos="6174"/>
          <w:tab w:val="left" w:pos="7614"/>
          <w:tab w:val="left" w:pos="9414"/>
        </w:tabs>
        <w:adjustRightInd w:val="0"/>
        <w:snapToGrid w:val="0"/>
        <w:spacing w:line="360" w:lineRule="exact"/>
        <w:rPr>
          <w:rFonts w:ascii="Times New Roman" w:hAnsi="Times New Roman"/>
          <w:sz w:val="22"/>
          <w:szCs w:val="22"/>
        </w:rPr>
      </w:pPr>
    </w:p>
    <w:p w14:paraId="5B82DDEA">
      <w:pPr>
        <w:tabs>
          <w:tab w:val="left" w:pos="414"/>
          <w:tab w:val="left" w:pos="1974"/>
          <w:tab w:val="left" w:pos="3414"/>
          <w:tab w:val="left" w:pos="4854"/>
          <w:tab w:val="left" w:pos="6174"/>
          <w:tab w:val="left" w:pos="7614"/>
          <w:tab w:val="left" w:pos="9414"/>
        </w:tabs>
        <w:adjustRightInd w:val="0"/>
        <w:snapToGrid w:val="0"/>
        <w:spacing w:line="360" w:lineRule="exact"/>
        <w:rPr>
          <w:rFonts w:ascii="Times New Roman" w:hAnsi="Times New Roman"/>
          <w:sz w:val="22"/>
          <w:szCs w:val="22"/>
        </w:rPr>
      </w:pPr>
      <w:r>
        <w:rPr>
          <w:rFonts w:hint="eastAsia" w:ascii="Times New Roman" w:hAnsi="Times New Roman"/>
          <w:sz w:val="22"/>
          <w:szCs w:val="22"/>
          <w:lang w:val="zh-CN"/>
        </w:rPr>
        <w:t>法定代表人（</w:t>
      </w:r>
      <w:r>
        <w:rPr>
          <w:rFonts w:hint="eastAsia" w:ascii="Times New Roman" w:hAnsi="Times New Roman"/>
          <w:sz w:val="22"/>
          <w:szCs w:val="22"/>
        </w:rPr>
        <w:t>单位负责人</w:t>
      </w:r>
      <w:r>
        <w:rPr>
          <w:rFonts w:hint="eastAsia" w:ascii="Times New Roman" w:hAnsi="Times New Roman"/>
          <w:sz w:val="22"/>
          <w:szCs w:val="22"/>
          <w:lang w:val="zh-CN"/>
        </w:rPr>
        <w:t>）或其授权代表（签字</w:t>
      </w:r>
      <w:r>
        <w:rPr>
          <w:rFonts w:hint="eastAsia" w:ascii="Times New Roman" w:hAnsi="Times New Roman"/>
          <w:sz w:val="22"/>
          <w:szCs w:val="22"/>
        </w:rPr>
        <w:t>或盖章</w:t>
      </w:r>
      <w:r>
        <w:rPr>
          <w:rFonts w:hint="eastAsia" w:ascii="Times New Roman" w:hAnsi="Times New Roman"/>
          <w:sz w:val="22"/>
          <w:szCs w:val="22"/>
          <w:lang w:val="zh-CN"/>
        </w:rPr>
        <w:t>）</w:t>
      </w:r>
      <w:r>
        <w:rPr>
          <w:rFonts w:hint="eastAsia" w:ascii="Times New Roman" w:hAnsi="Times New Roman"/>
          <w:sz w:val="22"/>
          <w:szCs w:val="22"/>
        </w:rPr>
        <w:t>：</w:t>
      </w:r>
      <w:r>
        <w:rPr>
          <w:rFonts w:ascii="Times New Roman" w:hAnsi="Times New Roman"/>
          <w:sz w:val="22"/>
          <w:szCs w:val="22"/>
        </w:rPr>
        <w:t xml:space="preserve">                   </w:t>
      </w:r>
    </w:p>
    <w:p w14:paraId="67660625">
      <w:pPr>
        <w:tabs>
          <w:tab w:val="left" w:pos="414"/>
          <w:tab w:val="left" w:pos="1974"/>
          <w:tab w:val="left" w:pos="3414"/>
          <w:tab w:val="left" w:pos="4854"/>
          <w:tab w:val="left" w:pos="6174"/>
          <w:tab w:val="left" w:pos="7614"/>
          <w:tab w:val="left" w:pos="9414"/>
        </w:tabs>
        <w:adjustRightInd w:val="0"/>
        <w:snapToGrid w:val="0"/>
        <w:spacing w:line="360" w:lineRule="exact"/>
        <w:rPr>
          <w:rFonts w:ascii="Times New Roman" w:hAnsi="Times New Roman"/>
          <w:sz w:val="22"/>
          <w:szCs w:val="22"/>
        </w:rPr>
      </w:pPr>
      <w:r>
        <w:rPr>
          <w:rFonts w:hint="eastAsia" w:ascii="Times New Roman" w:hAnsi="Times New Roman"/>
          <w:sz w:val="22"/>
          <w:szCs w:val="22"/>
        </w:rPr>
        <w:t>投标人名称（盖章）：</w:t>
      </w:r>
      <w:r>
        <w:rPr>
          <w:rFonts w:ascii="Times New Roman" w:hAnsi="Times New Roman"/>
          <w:sz w:val="22"/>
          <w:szCs w:val="22"/>
        </w:rPr>
        <w:t xml:space="preserve">                        </w:t>
      </w:r>
    </w:p>
    <w:p w14:paraId="24B952C1">
      <w:pPr>
        <w:tabs>
          <w:tab w:val="left" w:pos="414"/>
          <w:tab w:val="left" w:pos="1974"/>
          <w:tab w:val="left" w:pos="3414"/>
          <w:tab w:val="left" w:pos="4854"/>
          <w:tab w:val="left" w:pos="6174"/>
          <w:tab w:val="left" w:pos="7614"/>
          <w:tab w:val="left" w:pos="9414"/>
        </w:tabs>
        <w:adjustRightInd w:val="0"/>
        <w:snapToGrid w:val="0"/>
        <w:spacing w:line="360" w:lineRule="exact"/>
        <w:rPr>
          <w:rFonts w:hint="eastAsia" w:ascii="Times New Roman" w:hAnsi="Times New Roman" w:eastAsia="宋体"/>
          <w:sz w:val="22"/>
          <w:szCs w:val="22"/>
          <w:lang w:eastAsia="zh-CN"/>
        </w:rPr>
      </w:pPr>
      <w:r>
        <w:rPr>
          <w:rFonts w:hint="eastAsia" w:ascii="Times New Roman" w:hAnsi="Times New Roman"/>
          <w:sz w:val="22"/>
          <w:szCs w:val="22"/>
        </w:rPr>
        <w:t>日期：</w:t>
      </w:r>
      <w:r>
        <w:rPr>
          <w:rFonts w:ascii="Times New Roman" w:hAnsi="Times New Roman"/>
          <w:sz w:val="22"/>
          <w:szCs w:val="22"/>
        </w:rPr>
        <w:t xml:space="preserve">   </w:t>
      </w:r>
      <w:r>
        <w:rPr>
          <w:rFonts w:hint="eastAsia" w:ascii="Times New Roman" w:hAnsi="Times New Roman"/>
          <w:sz w:val="22"/>
          <w:szCs w:val="22"/>
        </w:rPr>
        <w:t>年</w:t>
      </w:r>
      <w:r>
        <w:rPr>
          <w:rFonts w:ascii="Times New Roman" w:hAnsi="Times New Roman"/>
          <w:sz w:val="22"/>
          <w:szCs w:val="22"/>
        </w:rPr>
        <w:t xml:space="preserve">   </w:t>
      </w:r>
      <w:r>
        <w:rPr>
          <w:rFonts w:hint="eastAsia" w:ascii="Times New Roman" w:hAnsi="Times New Roman"/>
          <w:sz w:val="22"/>
          <w:szCs w:val="22"/>
        </w:rPr>
        <w:t>月</w:t>
      </w:r>
      <w:r>
        <w:rPr>
          <w:rFonts w:ascii="Times New Roman" w:hAnsi="Times New Roman"/>
          <w:sz w:val="22"/>
          <w:szCs w:val="22"/>
        </w:rPr>
        <w:t xml:space="preserve">   </w:t>
      </w:r>
      <w:r>
        <w:rPr>
          <w:rFonts w:hint="eastAsia" w:ascii="Times New Roman" w:hAnsi="Times New Roman"/>
          <w:sz w:val="22"/>
          <w:szCs w:val="22"/>
        </w:rPr>
        <w:t>日</w:t>
      </w:r>
    </w:p>
    <w:p w14:paraId="0CD8B7C5">
      <w:pPr>
        <w:rPr>
          <w:rFonts w:ascii="宋体" w:hAnsi="宋体" w:cs="宋体"/>
        </w:rPr>
      </w:pPr>
      <w:r>
        <w:rPr>
          <w:rFonts w:ascii="宋体" w:hAnsi="宋体" w:cs="宋体"/>
        </w:rPr>
        <w:br w:type="page"/>
      </w:r>
    </w:p>
    <w:p w14:paraId="20163A18">
      <w:pPr>
        <w:pStyle w:val="24"/>
        <w:ind w:left="0" w:leftChars="0" w:firstLine="0" w:firstLineChars="0"/>
        <w:rPr>
          <w:rFonts w:ascii="宋体" w:hAnsi="宋体" w:cs="宋体"/>
        </w:rPr>
      </w:pPr>
    </w:p>
    <w:p w14:paraId="3FECA9AB">
      <w:pPr>
        <w:numPr>
          <w:ilvl w:val="0"/>
          <w:numId w:val="8"/>
        </w:numPr>
        <w:ind w:left="420" w:firstLine="0"/>
        <w:jc w:val="center"/>
        <w:outlineLvl w:val="2"/>
        <w:rPr>
          <w:rFonts w:ascii="宋体" w:hAnsi="宋体" w:cs="宋体"/>
          <w:b/>
          <w:bCs/>
          <w:sz w:val="32"/>
          <w:szCs w:val="32"/>
        </w:rPr>
      </w:pPr>
      <w:r>
        <w:rPr>
          <w:rFonts w:hint="eastAsia" w:ascii="宋体" w:hAnsi="宋体" w:cs="宋体"/>
          <w:b/>
          <w:bCs/>
          <w:sz w:val="32"/>
          <w:szCs w:val="32"/>
        </w:rPr>
        <w:t>项目主要管理及技术人员情况</w:t>
      </w:r>
    </w:p>
    <w:p w14:paraId="5F00A6C1">
      <w:pPr>
        <w:spacing w:line="360" w:lineRule="auto"/>
        <w:ind w:right="105" w:rightChars="50"/>
        <w:rPr>
          <w:rFonts w:ascii="宋体" w:hAnsi="宋体" w:cs="宋体"/>
          <w:kern w:val="0"/>
          <w:sz w:val="22"/>
          <w:szCs w:val="22"/>
        </w:rPr>
      </w:pP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780"/>
        <w:gridCol w:w="840"/>
        <w:gridCol w:w="855"/>
        <w:gridCol w:w="838"/>
        <w:gridCol w:w="1350"/>
        <w:gridCol w:w="959"/>
        <w:gridCol w:w="913"/>
        <w:gridCol w:w="877"/>
      </w:tblGrid>
      <w:tr w14:paraId="5802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restart"/>
            <w:shd w:val="clear" w:color="auto" w:fill="B8CCE4"/>
            <w:vAlign w:val="center"/>
          </w:tcPr>
          <w:p w14:paraId="2AE795B9">
            <w:pPr>
              <w:spacing w:line="360" w:lineRule="exact"/>
              <w:jc w:val="center"/>
              <w:rPr>
                <w:rFonts w:ascii="宋体" w:hAnsi="宋体" w:cs="宋体"/>
                <w:b/>
                <w:sz w:val="22"/>
              </w:rPr>
            </w:pPr>
            <w:r>
              <w:rPr>
                <w:rFonts w:hint="eastAsia" w:ascii="宋体" w:hAnsi="宋体" w:cs="宋体"/>
                <w:b/>
                <w:sz w:val="22"/>
              </w:rPr>
              <w:t>类别</w:t>
            </w:r>
          </w:p>
        </w:tc>
        <w:tc>
          <w:tcPr>
            <w:tcW w:w="457" w:type="pct"/>
            <w:vMerge w:val="restart"/>
            <w:shd w:val="clear" w:color="auto" w:fill="B8CCE4"/>
            <w:vAlign w:val="center"/>
          </w:tcPr>
          <w:p w14:paraId="08545AE0">
            <w:pPr>
              <w:spacing w:line="360" w:lineRule="exact"/>
              <w:jc w:val="center"/>
              <w:rPr>
                <w:rFonts w:ascii="宋体" w:hAnsi="宋体" w:cs="宋体"/>
                <w:b/>
                <w:sz w:val="22"/>
              </w:rPr>
            </w:pPr>
            <w:r>
              <w:rPr>
                <w:rFonts w:hint="eastAsia" w:ascii="宋体" w:hAnsi="宋体" w:cs="宋体"/>
                <w:b/>
                <w:sz w:val="22"/>
              </w:rPr>
              <w:t>姓名</w:t>
            </w:r>
          </w:p>
        </w:tc>
        <w:tc>
          <w:tcPr>
            <w:tcW w:w="492" w:type="pct"/>
            <w:vMerge w:val="restart"/>
            <w:shd w:val="clear" w:color="auto" w:fill="B8CCE4"/>
            <w:vAlign w:val="center"/>
          </w:tcPr>
          <w:p w14:paraId="06DCBF38">
            <w:pPr>
              <w:spacing w:line="360" w:lineRule="exact"/>
              <w:jc w:val="center"/>
              <w:rPr>
                <w:rFonts w:ascii="宋体" w:hAnsi="宋体" w:cs="宋体"/>
                <w:b/>
                <w:sz w:val="22"/>
              </w:rPr>
            </w:pPr>
            <w:r>
              <w:rPr>
                <w:rFonts w:hint="eastAsia" w:ascii="宋体" w:hAnsi="宋体" w:cs="宋体"/>
                <w:b/>
                <w:sz w:val="22"/>
              </w:rPr>
              <w:t>职务</w:t>
            </w:r>
          </w:p>
        </w:tc>
        <w:tc>
          <w:tcPr>
            <w:tcW w:w="501" w:type="pct"/>
            <w:vMerge w:val="restart"/>
            <w:shd w:val="clear" w:color="auto" w:fill="B8CCE4"/>
            <w:vAlign w:val="center"/>
          </w:tcPr>
          <w:p w14:paraId="662C9950">
            <w:pPr>
              <w:spacing w:line="360" w:lineRule="exact"/>
              <w:jc w:val="center"/>
              <w:rPr>
                <w:rFonts w:ascii="宋体" w:hAnsi="宋体" w:cs="宋体"/>
                <w:b/>
                <w:sz w:val="22"/>
              </w:rPr>
            </w:pPr>
            <w:r>
              <w:rPr>
                <w:rFonts w:hint="eastAsia" w:ascii="宋体" w:hAnsi="宋体" w:cs="宋体"/>
                <w:b/>
                <w:sz w:val="22"/>
              </w:rPr>
              <w:t>职称</w:t>
            </w:r>
          </w:p>
        </w:tc>
        <w:tc>
          <w:tcPr>
            <w:tcW w:w="491" w:type="pct"/>
            <w:vMerge w:val="restart"/>
            <w:shd w:val="clear" w:color="auto" w:fill="B8CCE4"/>
            <w:vAlign w:val="center"/>
          </w:tcPr>
          <w:p w14:paraId="1541D0B8">
            <w:pPr>
              <w:spacing w:line="360" w:lineRule="exact"/>
              <w:jc w:val="center"/>
              <w:rPr>
                <w:rFonts w:ascii="宋体" w:hAnsi="宋体" w:cs="宋体"/>
                <w:b/>
                <w:sz w:val="22"/>
              </w:rPr>
            </w:pPr>
            <w:r>
              <w:rPr>
                <w:rFonts w:hint="eastAsia" w:ascii="宋体" w:hAnsi="宋体" w:cs="宋体"/>
                <w:b/>
                <w:sz w:val="22"/>
              </w:rPr>
              <w:t>学历</w:t>
            </w:r>
          </w:p>
        </w:tc>
        <w:tc>
          <w:tcPr>
            <w:tcW w:w="2402" w:type="pct"/>
            <w:gridSpan w:val="4"/>
            <w:shd w:val="clear" w:color="auto" w:fill="B8CCE4"/>
          </w:tcPr>
          <w:p w14:paraId="169B2179">
            <w:pPr>
              <w:spacing w:line="360" w:lineRule="exact"/>
              <w:jc w:val="center"/>
              <w:rPr>
                <w:rFonts w:ascii="宋体" w:hAnsi="宋体" w:cs="宋体"/>
                <w:b/>
                <w:sz w:val="22"/>
              </w:rPr>
            </w:pPr>
            <w:r>
              <w:rPr>
                <w:rFonts w:hint="eastAsia" w:ascii="宋体" w:hAnsi="宋体" w:cs="宋体"/>
                <w:b/>
                <w:sz w:val="22"/>
              </w:rPr>
              <w:t>上岗资格证明（执业资格或专业等级）</w:t>
            </w:r>
          </w:p>
        </w:tc>
      </w:tr>
      <w:tr w14:paraId="6423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continue"/>
            <w:shd w:val="clear" w:color="auto" w:fill="B8CCE4"/>
          </w:tcPr>
          <w:p w14:paraId="4B67AB23">
            <w:pPr>
              <w:spacing w:line="360" w:lineRule="exact"/>
              <w:rPr>
                <w:rFonts w:ascii="宋体" w:hAnsi="宋体" w:cs="宋体"/>
                <w:b/>
                <w:sz w:val="22"/>
              </w:rPr>
            </w:pPr>
          </w:p>
        </w:tc>
        <w:tc>
          <w:tcPr>
            <w:tcW w:w="457" w:type="pct"/>
            <w:vMerge w:val="continue"/>
            <w:shd w:val="clear" w:color="auto" w:fill="B8CCE4"/>
          </w:tcPr>
          <w:p w14:paraId="1DF85C9F">
            <w:pPr>
              <w:spacing w:line="360" w:lineRule="exact"/>
              <w:rPr>
                <w:rFonts w:ascii="宋体" w:hAnsi="宋体" w:cs="宋体"/>
                <w:b/>
                <w:sz w:val="22"/>
              </w:rPr>
            </w:pPr>
          </w:p>
        </w:tc>
        <w:tc>
          <w:tcPr>
            <w:tcW w:w="492" w:type="pct"/>
            <w:vMerge w:val="continue"/>
            <w:shd w:val="clear" w:color="auto" w:fill="B8CCE4"/>
          </w:tcPr>
          <w:p w14:paraId="6CC6BB50">
            <w:pPr>
              <w:spacing w:line="360" w:lineRule="exact"/>
              <w:rPr>
                <w:rFonts w:ascii="宋体" w:hAnsi="宋体" w:cs="宋体"/>
                <w:b/>
                <w:sz w:val="22"/>
              </w:rPr>
            </w:pPr>
          </w:p>
        </w:tc>
        <w:tc>
          <w:tcPr>
            <w:tcW w:w="501" w:type="pct"/>
            <w:vMerge w:val="continue"/>
            <w:shd w:val="clear" w:color="auto" w:fill="B8CCE4"/>
          </w:tcPr>
          <w:p w14:paraId="64EED516">
            <w:pPr>
              <w:spacing w:line="360" w:lineRule="exact"/>
              <w:rPr>
                <w:rFonts w:ascii="宋体" w:hAnsi="宋体" w:cs="宋体"/>
                <w:b/>
                <w:sz w:val="22"/>
              </w:rPr>
            </w:pPr>
          </w:p>
        </w:tc>
        <w:tc>
          <w:tcPr>
            <w:tcW w:w="491" w:type="pct"/>
            <w:vMerge w:val="continue"/>
            <w:shd w:val="clear" w:color="auto" w:fill="B8CCE4"/>
          </w:tcPr>
          <w:p w14:paraId="3335CEEA">
            <w:pPr>
              <w:spacing w:line="360" w:lineRule="exact"/>
              <w:rPr>
                <w:rFonts w:ascii="宋体" w:hAnsi="宋体" w:cs="宋体"/>
                <w:b/>
                <w:sz w:val="22"/>
              </w:rPr>
            </w:pPr>
          </w:p>
        </w:tc>
        <w:tc>
          <w:tcPr>
            <w:tcW w:w="791" w:type="pct"/>
            <w:shd w:val="clear" w:color="auto" w:fill="B8CCE4"/>
          </w:tcPr>
          <w:p w14:paraId="70B4FDB4">
            <w:pPr>
              <w:spacing w:line="360" w:lineRule="exact"/>
              <w:jc w:val="center"/>
              <w:rPr>
                <w:rFonts w:ascii="宋体" w:hAnsi="宋体" w:cs="宋体"/>
                <w:b/>
                <w:sz w:val="22"/>
              </w:rPr>
            </w:pPr>
            <w:r>
              <w:rPr>
                <w:rFonts w:hint="eastAsia" w:ascii="宋体" w:hAnsi="宋体" w:cs="宋体"/>
                <w:b/>
                <w:sz w:val="22"/>
              </w:rPr>
              <w:t>证书名称</w:t>
            </w:r>
          </w:p>
        </w:tc>
        <w:tc>
          <w:tcPr>
            <w:tcW w:w="562" w:type="pct"/>
            <w:shd w:val="clear" w:color="auto" w:fill="B8CCE4"/>
          </w:tcPr>
          <w:p w14:paraId="1693531B">
            <w:pPr>
              <w:spacing w:line="360" w:lineRule="exact"/>
              <w:jc w:val="center"/>
              <w:rPr>
                <w:rFonts w:ascii="宋体" w:hAnsi="宋体" w:cs="宋体"/>
                <w:b/>
                <w:sz w:val="22"/>
              </w:rPr>
            </w:pPr>
            <w:r>
              <w:rPr>
                <w:rFonts w:hint="eastAsia" w:ascii="宋体" w:hAnsi="宋体" w:cs="宋体"/>
                <w:b/>
                <w:sz w:val="22"/>
              </w:rPr>
              <w:t>级别</w:t>
            </w:r>
          </w:p>
        </w:tc>
        <w:tc>
          <w:tcPr>
            <w:tcW w:w="535" w:type="pct"/>
            <w:shd w:val="clear" w:color="auto" w:fill="B8CCE4"/>
          </w:tcPr>
          <w:p w14:paraId="0BE08C37">
            <w:pPr>
              <w:spacing w:line="360" w:lineRule="exact"/>
              <w:jc w:val="center"/>
              <w:rPr>
                <w:rFonts w:ascii="宋体" w:hAnsi="宋体" w:cs="宋体"/>
                <w:b/>
                <w:sz w:val="22"/>
              </w:rPr>
            </w:pPr>
            <w:r>
              <w:rPr>
                <w:rFonts w:hint="eastAsia" w:ascii="宋体" w:hAnsi="宋体" w:cs="宋体"/>
                <w:b/>
                <w:sz w:val="22"/>
              </w:rPr>
              <w:t>证号</w:t>
            </w:r>
          </w:p>
        </w:tc>
        <w:tc>
          <w:tcPr>
            <w:tcW w:w="513" w:type="pct"/>
            <w:shd w:val="clear" w:color="auto" w:fill="B8CCE4"/>
          </w:tcPr>
          <w:p w14:paraId="741388A0">
            <w:pPr>
              <w:spacing w:line="360" w:lineRule="exact"/>
              <w:jc w:val="center"/>
              <w:rPr>
                <w:rFonts w:ascii="宋体" w:hAnsi="宋体" w:cs="宋体"/>
                <w:b/>
                <w:sz w:val="22"/>
              </w:rPr>
            </w:pPr>
            <w:r>
              <w:rPr>
                <w:rFonts w:hint="eastAsia" w:ascii="宋体" w:hAnsi="宋体" w:cs="宋体"/>
                <w:b/>
                <w:sz w:val="22"/>
              </w:rPr>
              <w:t>专业</w:t>
            </w:r>
          </w:p>
        </w:tc>
      </w:tr>
      <w:tr w14:paraId="425B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653" w:type="pct"/>
            <w:vAlign w:val="center"/>
          </w:tcPr>
          <w:p w14:paraId="13677011">
            <w:pPr>
              <w:spacing w:line="360" w:lineRule="exact"/>
              <w:jc w:val="center"/>
              <w:rPr>
                <w:rFonts w:ascii="宋体" w:hAnsi="宋体" w:cs="宋体"/>
                <w:kern w:val="0"/>
                <w:sz w:val="22"/>
              </w:rPr>
            </w:pPr>
            <w:r>
              <w:rPr>
                <w:rFonts w:hint="eastAsia" w:ascii="宋体" w:hAnsi="宋体" w:cs="宋体"/>
                <w:kern w:val="0"/>
                <w:sz w:val="22"/>
              </w:rPr>
              <w:t>项目</w:t>
            </w:r>
          </w:p>
          <w:p w14:paraId="41CC0B44">
            <w:pPr>
              <w:spacing w:line="360" w:lineRule="exact"/>
              <w:jc w:val="center"/>
              <w:rPr>
                <w:rFonts w:ascii="宋体" w:hAnsi="宋体" w:cs="宋体"/>
                <w:bCs/>
                <w:sz w:val="22"/>
              </w:rPr>
            </w:pPr>
            <w:r>
              <w:rPr>
                <w:rFonts w:hint="eastAsia" w:ascii="宋体" w:hAnsi="宋体" w:cs="宋体"/>
                <w:kern w:val="0"/>
                <w:sz w:val="22"/>
              </w:rPr>
              <w:t>负责人</w:t>
            </w:r>
          </w:p>
        </w:tc>
        <w:tc>
          <w:tcPr>
            <w:tcW w:w="457" w:type="pct"/>
          </w:tcPr>
          <w:p w14:paraId="5397124D">
            <w:pPr>
              <w:spacing w:line="360" w:lineRule="exact"/>
              <w:rPr>
                <w:rFonts w:ascii="宋体" w:hAnsi="宋体" w:cs="宋体"/>
                <w:bCs/>
                <w:sz w:val="22"/>
              </w:rPr>
            </w:pPr>
          </w:p>
        </w:tc>
        <w:tc>
          <w:tcPr>
            <w:tcW w:w="492" w:type="pct"/>
          </w:tcPr>
          <w:p w14:paraId="64BD36EB">
            <w:pPr>
              <w:spacing w:line="360" w:lineRule="exact"/>
              <w:rPr>
                <w:rFonts w:ascii="宋体" w:hAnsi="宋体" w:cs="宋体"/>
                <w:bCs/>
                <w:sz w:val="22"/>
              </w:rPr>
            </w:pPr>
          </w:p>
        </w:tc>
        <w:tc>
          <w:tcPr>
            <w:tcW w:w="501" w:type="pct"/>
          </w:tcPr>
          <w:p w14:paraId="3D3A06FA">
            <w:pPr>
              <w:spacing w:line="360" w:lineRule="exact"/>
              <w:rPr>
                <w:rFonts w:ascii="宋体" w:hAnsi="宋体" w:cs="宋体"/>
                <w:bCs/>
                <w:sz w:val="22"/>
              </w:rPr>
            </w:pPr>
          </w:p>
        </w:tc>
        <w:tc>
          <w:tcPr>
            <w:tcW w:w="491" w:type="pct"/>
          </w:tcPr>
          <w:p w14:paraId="27056524">
            <w:pPr>
              <w:spacing w:line="360" w:lineRule="exact"/>
              <w:rPr>
                <w:rFonts w:ascii="宋体" w:hAnsi="宋体" w:cs="宋体"/>
                <w:bCs/>
                <w:sz w:val="22"/>
              </w:rPr>
            </w:pPr>
          </w:p>
        </w:tc>
        <w:tc>
          <w:tcPr>
            <w:tcW w:w="791" w:type="pct"/>
          </w:tcPr>
          <w:p w14:paraId="7B2BD61B">
            <w:pPr>
              <w:spacing w:line="360" w:lineRule="exact"/>
              <w:rPr>
                <w:rFonts w:ascii="宋体" w:hAnsi="宋体" w:cs="宋体"/>
                <w:bCs/>
                <w:sz w:val="22"/>
              </w:rPr>
            </w:pPr>
          </w:p>
        </w:tc>
        <w:tc>
          <w:tcPr>
            <w:tcW w:w="562" w:type="pct"/>
          </w:tcPr>
          <w:p w14:paraId="0AD61B75">
            <w:pPr>
              <w:spacing w:line="360" w:lineRule="exact"/>
              <w:rPr>
                <w:rFonts w:ascii="宋体" w:hAnsi="宋体" w:cs="宋体"/>
                <w:bCs/>
                <w:sz w:val="22"/>
              </w:rPr>
            </w:pPr>
          </w:p>
        </w:tc>
        <w:tc>
          <w:tcPr>
            <w:tcW w:w="535" w:type="pct"/>
          </w:tcPr>
          <w:p w14:paraId="4F4D90D6">
            <w:pPr>
              <w:spacing w:line="360" w:lineRule="exact"/>
              <w:rPr>
                <w:rFonts w:ascii="宋体" w:hAnsi="宋体" w:cs="宋体"/>
                <w:bCs/>
                <w:sz w:val="22"/>
              </w:rPr>
            </w:pPr>
          </w:p>
        </w:tc>
        <w:tc>
          <w:tcPr>
            <w:tcW w:w="513" w:type="pct"/>
          </w:tcPr>
          <w:p w14:paraId="05F80F21">
            <w:pPr>
              <w:spacing w:line="360" w:lineRule="exact"/>
              <w:rPr>
                <w:rFonts w:ascii="宋体" w:hAnsi="宋体" w:cs="宋体"/>
                <w:bCs/>
                <w:sz w:val="22"/>
              </w:rPr>
            </w:pPr>
          </w:p>
        </w:tc>
      </w:tr>
      <w:tr w14:paraId="3623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restart"/>
            <w:vAlign w:val="center"/>
          </w:tcPr>
          <w:p w14:paraId="7B922EBC">
            <w:pPr>
              <w:spacing w:line="360" w:lineRule="exact"/>
              <w:jc w:val="center"/>
              <w:rPr>
                <w:rFonts w:ascii="宋体" w:hAnsi="宋体" w:cs="宋体"/>
                <w:bCs/>
                <w:sz w:val="22"/>
              </w:rPr>
            </w:pPr>
            <w:r>
              <w:rPr>
                <w:rFonts w:hint="eastAsia" w:ascii="宋体" w:hAnsi="宋体" w:cs="宋体"/>
                <w:kern w:val="0"/>
                <w:sz w:val="22"/>
              </w:rPr>
              <w:t>其他项目组成员</w:t>
            </w:r>
          </w:p>
        </w:tc>
        <w:tc>
          <w:tcPr>
            <w:tcW w:w="457" w:type="pct"/>
          </w:tcPr>
          <w:p w14:paraId="51D3A656">
            <w:pPr>
              <w:spacing w:line="360" w:lineRule="exact"/>
              <w:rPr>
                <w:rFonts w:ascii="宋体" w:hAnsi="宋体" w:cs="宋体"/>
                <w:bCs/>
                <w:sz w:val="22"/>
              </w:rPr>
            </w:pPr>
          </w:p>
        </w:tc>
        <w:tc>
          <w:tcPr>
            <w:tcW w:w="492" w:type="pct"/>
          </w:tcPr>
          <w:p w14:paraId="32F0331A">
            <w:pPr>
              <w:spacing w:line="360" w:lineRule="exact"/>
              <w:rPr>
                <w:rFonts w:ascii="宋体" w:hAnsi="宋体" w:cs="宋体"/>
                <w:bCs/>
                <w:sz w:val="22"/>
              </w:rPr>
            </w:pPr>
          </w:p>
        </w:tc>
        <w:tc>
          <w:tcPr>
            <w:tcW w:w="501" w:type="pct"/>
          </w:tcPr>
          <w:p w14:paraId="5AF56D19">
            <w:pPr>
              <w:spacing w:line="360" w:lineRule="exact"/>
              <w:rPr>
                <w:rFonts w:ascii="宋体" w:hAnsi="宋体" w:cs="宋体"/>
                <w:bCs/>
                <w:sz w:val="22"/>
              </w:rPr>
            </w:pPr>
          </w:p>
        </w:tc>
        <w:tc>
          <w:tcPr>
            <w:tcW w:w="491" w:type="pct"/>
          </w:tcPr>
          <w:p w14:paraId="1F4952C6">
            <w:pPr>
              <w:spacing w:line="360" w:lineRule="exact"/>
              <w:rPr>
                <w:rFonts w:ascii="宋体" w:hAnsi="宋体" w:cs="宋体"/>
                <w:bCs/>
                <w:sz w:val="22"/>
              </w:rPr>
            </w:pPr>
          </w:p>
        </w:tc>
        <w:tc>
          <w:tcPr>
            <w:tcW w:w="791" w:type="pct"/>
          </w:tcPr>
          <w:p w14:paraId="2243C284">
            <w:pPr>
              <w:spacing w:line="360" w:lineRule="exact"/>
              <w:rPr>
                <w:rFonts w:ascii="宋体" w:hAnsi="宋体" w:cs="宋体"/>
                <w:bCs/>
                <w:sz w:val="22"/>
              </w:rPr>
            </w:pPr>
          </w:p>
        </w:tc>
        <w:tc>
          <w:tcPr>
            <w:tcW w:w="562" w:type="pct"/>
          </w:tcPr>
          <w:p w14:paraId="3326F7FA">
            <w:pPr>
              <w:spacing w:line="360" w:lineRule="exact"/>
              <w:rPr>
                <w:rFonts w:ascii="宋体" w:hAnsi="宋体" w:cs="宋体"/>
                <w:bCs/>
                <w:sz w:val="22"/>
              </w:rPr>
            </w:pPr>
          </w:p>
        </w:tc>
        <w:tc>
          <w:tcPr>
            <w:tcW w:w="535" w:type="pct"/>
          </w:tcPr>
          <w:p w14:paraId="47099B56">
            <w:pPr>
              <w:spacing w:line="360" w:lineRule="exact"/>
              <w:rPr>
                <w:rFonts w:ascii="宋体" w:hAnsi="宋体" w:cs="宋体"/>
                <w:bCs/>
                <w:sz w:val="22"/>
              </w:rPr>
            </w:pPr>
          </w:p>
        </w:tc>
        <w:tc>
          <w:tcPr>
            <w:tcW w:w="513" w:type="pct"/>
          </w:tcPr>
          <w:p w14:paraId="4B226AE6">
            <w:pPr>
              <w:spacing w:line="360" w:lineRule="exact"/>
              <w:rPr>
                <w:rFonts w:ascii="宋体" w:hAnsi="宋体" w:cs="宋体"/>
                <w:bCs/>
                <w:sz w:val="22"/>
              </w:rPr>
            </w:pPr>
          </w:p>
        </w:tc>
      </w:tr>
      <w:tr w14:paraId="0637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14:paraId="5C5000A8">
            <w:pPr>
              <w:spacing w:line="360" w:lineRule="exact"/>
              <w:rPr>
                <w:rFonts w:ascii="宋体" w:hAnsi="宋体" w:cs="宋体"/>
                <w:bCs/>
                <w:sz w:val="22"/>
              </w:rPr>
            </w:pPr>
          </w:p>
        </w:tc>
        <w:tc>
          <w:tcPr>
            <w:tcW w:w="457" w:type="pct"/>
          </w:tcPr>
          <w:p w14:paraId="51A31CFC">
            <w:pPr>
              <w:spacing w:line="360" w:lineRule="exact"/>
              <w:rPr>
                <w:rFonts w:ascii="宋体" w:hAnsi="宋体" w:cs="宋体"/>
                <w:bCs/>
                <w:sz w:val="22"/>
              </w:rPr>
            </w:pPr>
          </w:p>
        </w:tc>
        <w:tc>
          <w:tcPr>
            <w:tcW w:w="492" w:type="pct"/>
          </w:tcPr>
          <w:p w14:paraId="1F4AC6CF">
            <w:pPr>
              <w:spacing w:line="360" w:lineRule="exact"/>
              <w:rPr>
                <w:rFonts w:ascii="宋体" w:hAnsi="宋体" w:cs="宋体"/>
                <w:bCs/>
                <w:sz w:val="22"/>
              </w:rPr>
            </w:pPr>
          </w:p>
        </w:tc>
        <w:tc>
          <w:tcPr>
            <w:tcW w:w="501" w:type="pct"/>
          </w:tcPr>
          <w:p w14:paraId="202C0C23">
            <w:pPr>
              <w:spacing w:line="360" w:lineRule="exact"/>
              <w:rPr>
                <w:rFonts w:ascii="宋体" w:hAnsi="宋体" w:cs="宋体"/>
                <w:bCs/>
                <w:sz w:val="22"/>
              </w:rPr>
            </w:pPr>
          </w:p>
        </w:tc>
        <w:tc>
          <w:tcPr>
            <w:tcW w:w="491" w:type="pct"/>
          </w:tcPr>
          <w:p w14:paraId="350D5CA8">
            <w:pPr>
              <w:spacing w:line="360" w:lineRule="exact"/>
              <w:rPr>
                <w:rFonts w:ascii="宋体" w:hAnsi="宋体" w:cs="宋体"/>
                <w:bCs/>
                <w:sz w:val="22"/>
              </w:rPr>
            </w:pPr>
          </w:p>
        </w:tc>
        <w:tc>
          <w:tcPr>
            <w:tcW w:w="791" w:type="pct"/>
          </w:tcPr>
          <w:p w14:paraId="7183B98A">
            <w:pPr>
              <w:spacing w:line="360" w:lineRule="exact"/>
              <w:rPr>
                <w:rFonts w:ascii="宋体" w:hAnsi="宋体" w:cs="宋体"/>
                <w:bCs/>
                <w:sz w:val="22"/>
              </w:rPr>
            </w:pPr>
          </w:p>
        </w:tc>
        <w:tc>
          <w:tcPr>
            <w:tcW w:w="562" w:type="pct"/>
          </w:tcPr>
          <w:p w14:paraId="2F1EE52B">
            <w:pPr>
              <w:spacing w:line="360" w:lineRule="exact"/>
              <w:rPr>
                <w:rFonts w:ascii="宋体" w:hAnsi="宋体" w:cs="宋体"/>
                <w:bCs/>
                <w:sz w:val="22"/>
              </w:rPr>
            </w:pPr>
          </w:p>
        </w:tc>
        <w:tc>
          <w:tcPr>
            <w:tcW w:w="535" w:type="pct"/>
          </w:tcPr>
          <w:p w14:paraId="602ABE9D">
            <w:pPr>
              <w:spacing w:line="360" w:lineRule="exact"/>
              <w:rPr>
                <w:rFonts w:ascii="宋体" w:hAnsi="宋体" w:cs="宋体"/>
                <w:bCs/>
                <w:sz w:val="22"/>
              </w:rPr>
            </w:pPr>
          </w:p>
        </w:tc>
        <w:tc>
          <w:tcPr>
            <w:tcW w:w="513" w:type="pct"/>
          </w:tcPr>
          <w:p w14:paraId="1C9070AA">
            <w:pPr>
              <w:spacing w:line="360" w:lineRule="exact"/>
              <w:rPr>
                <w:rFonts w:ascii="宋体" w:hAnsi="宋体" w:cs="宋体"/>
                <w:bCs/>
                <w:sz w:val="22"/>
              </w:rPr>
            </w:pPr>
          </w:p>
        </w:tc>
      </w:tr>
      <w:tr w14:paraId="55D5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14:paraId="6FE745F2">
            <w:pPr>
              <w:spacing w:line="360" w:lineRule="exact"/>
              <w:rPr>
                <w:rFonts w:ascii="宋体" w:hAnsi="宋体" w:cs="宋体"/>
                <w:bCs/>
                <w:sz w:val="22"/>
              </w:rPr>
            </w:pPr>
          </w:p>
        </w:tc>
        <w:tc>
          <w:tcPr>
            <w:tcW w:w="457" w:type="pct"/>
          </w:tcPr>
          <w:p w14:paraId="4C6AC5A7">
            <w:pPr>
              <w:spacing w:line="360" w:lineRule="exact"/>
              <w:rPr>
                <w:rFonts w:ascii="宋体" w:hAnsi="宋体" w:cs="宋体"/>
                <w:bCs/>
                <w:sz w:val="22"/>
              </w:rPr>
            </w:pPr>
          </w:p>
        </w:tc>
        <w:tc>
          <w:tcPr>
            <w:tcW w:w="492" w:type="pct"/>
          </w:tcPr>
          <w:p w14:paraId="150026B8">
            <w:pPr>
              <w:spacing w:line="360" w:lineRule="exact"/>
              <w:rPr>
                <w:rFonts w:ascii="宋体" w:hAnsi="宋体" w:cs="宋体"/>
                <w:bCs/>
                <w:sz w:val="22"/>
              </w:rPr>
            </w:pPr>
          </w:p>
        </w:tc>
        <w:tc>
          <w:tcPr>
            <w:tcW w:w="501" w:type="pct"/>
          </w:tcPr>
          <w:p w14:paraId="69FBC677">
            <w:pPr>
              <w:spacing w:line="360" w:lineRule="exact"/>
              <w:rPr>
                <w:rFonts w:ascii="宋体" w:hAnsi="宋体" w:cs="宋体"/>
                <w:bCs/>
                <w:sz w:val="22"/>
              </w:rPr>
            </w:pPr>
          </w:p>
        </w:tc>
        <w:tc>
          <w:tcPr>
            <w:tcW w:w="491" w:type="pct"/>
          </w:tcPr>
          <w:p w14:paraId="2A565F81">
            <w:pPr>
              <w:spacing w:line="360" w:lineRule="exact"/>
              <w:rPr>
                <w:rFonts w:ascii="宋体" w:hAnsi="宋体" w:cs="宋体"/>
                <w:bCs/>
                <w:sz w:val="22"/>
              </w:rPr>
            </w:pPr>
          </w:p>
        </w:tc>
        <w:tc>
          <w:tcPr>
            <w:tcW w:w="791" w:type="pct"/>
          </w:tcPr>
          <w:p w14:paraId="5A34F116">
            <w:pPr>
              <w:spacing w:line="360" w:lineRule="exact"/>
              <w:rPr>
                <w:rFonts w:ascii="宋体" w:hAnsi="宋体" w:cs="宋体"/>
                <w:bCs/>
                <w:sz w:val="22"/>
              </w:rPr>
            </w:pPr>
          </w:p>
        </w:tc>
        <w:tc>
          <w:tcPr>
            <w:tcW w:w="562" w:type="pct"/>
          </w:tcPr>
          <w:p w14:paraId="40507D78">
            <w:pPr>
              <w:spacing w:line="360" w:lineRule="exact"/>
              <w:rPr>
                <w:rFonts w:ascii="宋体" w:hAnsi="宋体" w:cs="宋体"/>
                <w:bCs/>
                <w:sz w:val="22"/>
              </w:rPr>
            </w:pPr>
          </w:p>
        </w:tc>
        <w:tc>
          <w:tcPr>
            <w:tcW w:w="535" w:type="pct"/>
          </w:tcPr>
          <w:p w14:paraId="6DA822EB">
            <w:pPr>
              <w:spacing w:line="360" w:lineRule="exact"/>
              <w:rPr>
                <w:rFonts w:ascii="宋体" w:hAnsi="宋体" w:cs="宋体"/>
                <w:bCs/>
                <w:sz w:val="22"/>
              </w:rPr>
            </w:pPr>
          </w:p>
        </w:tc>
        <w:tc>
          <w:tcPr>
            <w:tcW w:w="513" w:type="pct"/>
          </w:tcPr>
          <w:p w14:paraId="06F82B9A">
            <w:pPr>
              <w:spacing w:line="360" w:lineRule="exact"/>
              <w:rPr>
                <w:rFonts w:ascii="宋体" w:hAnsi="宋体" w:cs="宋体"/>
                <w:bCs/>
                <w:sz w:val="22"/>
              </w:rPr>
            </w:pPr>
          </w:p>
        </w:tc>
      </w:tr>
      <w:tr w14:paraId="464E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14:paraId="183CEBE3">
            <w:pPr>
              <w:spacing w:line="360" w:lineRule="exact"/>
              <w:rPr>
                <w:rFonts w:ascii="宋体" w:hAnsi="宋体" w:cs="宋体"/>
                <w:bCs/>
                <w:sz w:val="22"/>
              </w:rPr>
            </w:pPr>
          </w:p>
        </w:tc>
        <w:tc>
          <w:tcPr>
            <w:tcW w:w="457" w:type="pct"/>
          </w:tcPr>
          <w:p w14:paraId="159EDCF1">
            <w:pPr>
              <w:spacing w:line="360" w:lineRule="exact"/>
              <w:rPr>
                <w:rFonts w:ascii="宋体" w:hAnsi="宋体" w:cs="宋体"/>
                <w:bCs/>
                <w:sz w:val="22"/>
              </w:rPr>
            </w:pPr>
          </w:p>
        </w:tc>
        <w:tc>
          <w:tcPr>
            <w:tcW w:w="492" w:type="pct"/>
          </w:tcPr>
          <w:p w14:paraId="324C9A07">
            <w:pPr>
              <w:spacing w:line="360" w:lineRule="exact"/>
              <w:rPr>
                <w:rFonts w:ascii="宋体" w:hAnsi="宋体" w:cs="宋体"/>
                <w:bCs/>
                <w:sz w:val="22"/>
              </w:rPr>
            </w:pPr>
          </w:p>
        </w:tc>
        <w:tc>
          <w:tcPr>
            <w:tcW w:w="501" w:type="pct"/>
          </w:tcPr>
          <w:p w14:paraId="3011EEFC">
            <w:pPr>
              <w:spacing w:line="360" w:lineRule="exact"/>
              <w:rPr>
                <w:rFonts w:ascii="宋体" w:hAnsi="宋体" w:cs="宋体"/>
                <w:bCs/>
                <w:sz w:val="22"/>
              </w:rPr>
            </w:pPr>
          </w:p>
        </w:tc>
        <w:tc>
          <w:tcPr>
            <w:tcW w:w="491" w:type="pct"/>
          </w:tcPr>
          <w:p w14:paraId="08A1F7BE">
            <w:pPr>
              <w:spacing w:line="360" w:lineRule="exact"/>
              <w:rPr>
                <w:rFonts w:ascii="宋体" w:hAnsi="宋体" w:cs="宋体"/>
                <w:bCs/>
                <w:sz w:val="22"/>
              </w:rPr>
            </w:pPr>
          </w:p>
        </w:tc>
        <w:tc>
          <w:tcPr>
            <w:tcW w:w="791" w:type="pct"/>
          </w:tcPr>
          <w:p w14:paraId="415CE959">
            <w:pPr>
              <w:spacing w:line="360" w:lineRule="exact"/>
              <w:rPr>
                <w:rFonts w:ascii="宋体" w:hAnsi="宋体" w:cs="宋体"/>
                <w:bCs/>
                <w:sz w:val="22"/>
              </w:rPr>
            </w:pPr>
          </w:p>
        </w:tc>
        <w:tc>
          <w:tcPr>
            <w:tcW w:w="562" w:type="pct"/>
          </w:tcPr>
          <w:p w14:paraId="0408EAB2">
            <w:pPr>
              <w:spacing w:line="360" w:lineRule="exact"/>
              <w:rPr>
                <w:rFonts w:ascii="宋体" w:hAnsi="宋体" w:cs="宋体"/>
                <w:bCs/>
                <w:sz w:val="22"/>
              </w:rPr>
            </w:pPr>
          </w:p>
        </w:tc>
        <w:tc>
          <w:tcPr>
            <w:tcW w:w="535" w:type="pct"/>
          </w:tcPr>
          <w:p w14:paraId="50381F29">
            <w:pPr>
              <w:spacing w:line="360" w:lineRule="exact"/>
              <w:rPr>
                <w:rFonts w:ascii="宋体" w:hAnsi="宋体" w:cs="宋体"/>
                <w:bCs/>
                <w:sz w:val="22"/>
              </w:rPr>
            </w:pPr>
          </w:p>
        </w:tc>
        <w:tc>
          <w:tcPr>
            <w:tcW w:w="513" w:type="pct"/>
          </w:tcPr>
          <w:p w14:paraId="733CF25E">
            <w:pPr>
              <w:spacing w:line="360" w:lineRule="exact"/>
              <w:rPr>
                <w:rFonts w:ascii="宋体" w:hAnsi="宋体" w:cs="宋体"/>
                <w:bCs/>
                <w:sz w:val="22"/>
              </w:rPr>
            </w:pPr>
          </w:p>
        </w:tc>
      </w:tr>
      <w:tr w14:paraId="7039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14:paraId="1E340E4D">
            <w:pPr>
              <w:spacing w:line="360" w:lineRule="exact"/>
              <w:rPr>
                <w:rFonts w:ascii="宋体" w:hAnsi="宋体" w:cs="宋体"/>
                <w:bCs/>
                <w:sz w:val="22"/>
              </w:rPr>
            </w:pPr>
          </w:p>
        </w:tc>
        <w:tc>
          <w:tcPr>
            <w:tcW w:w="457" w:type="pct"/>
          </w:tcPr>
          <w:p w14:paraId="1A22DB6E">
            <w:pPr>
              <w:spacing w:line="360" w:lineRule="exact"/>
              <w:rPr>
                <w:rFonts w:ascii="宋体" w:hAnsi="宋体" w:cs="宋体"/>
                <w:bCs/>
                <w:sz w:val="22"/>
              </w:rPr>
            </w:pPr>
          </w:p>
        </w:tc>
        <w:tc>
          <w:tcPr>
            <w:tcW w:w="492" w:type="pct"/>
          </w:tcPr>
          <w:p w14:paraId="0AA91DF5">
            <w:pPr>
              <w:spacing w:line="360" w:lineRule="exact"/>
              <w:rPr>
                <w:rFonts w:ascii="宋体" w:hAnsi="宋体" w:cs="宋体"/>
                <w:bCs/>
                <w:sz w:val="22"/>
              </w:rPr>
            </w:pPr>
          </w:p>
        </w:tc>
        <w:tc>
          <w:tcPr>
            <w:tcW w:w="501" w:type="pct"/>
          </w:tcPr>
          <w:p w14:paraId="59CB3019">
            <w:pPr>
              <w:spacing w:line="360" w:lineRule="exact"/>
              <w:rPr>
                <w:rFonts w:ascii="宋体" w:hAnsi="宋体" w:cs="宋体"/>
                <w:bCs/>
                <w:sz w:val="22"/>
              </w:rPr>
            </w:pPr>
          </w:p>
        </w:tc>
        <w:tc>
          <w:tcPr>
            <w:tcW w:w="491" w:type="pct"/>
          </w:tcPr>
          <w:p w14:paraId="2888487A">
            <w:pPr>
              <w:spacing w:line="360" w:lineRule="exact"/>
              <w:rPr>
                <w:rFonts w:ascii="宋体" w:hAnsi="宋体" w:cs="宋体"/>
                <w:bCs/>
                <w:sz w:val="22"/>
              </w:rPr>
            </w:pPr>
          </w:p>
        </w:tc>
        <w:tc>
          <w:tcPr>
            <w:tcW w:w="791" w:type="pct"/>
          </w:tcPr>
          <w:p w14:paraId="5A3F5DD3">
            <w:pPr>
              <w:spacing w:line="360" w:lineRule="exact"/>
              <w:rPr>
                <w:rFonts w:ascii="宋体" w:hAnsi="宋体" w:cs="宋体"/>
                <w:bCs/>
                <w:sz w:val="22"/>
              </w:rPr>
            </w:pPr>
          </w:p>
        </w:tc>
        <w:tc>
          <w:tcPr>
            <w:tcW w:w="562" w:type="pct"/>
          </w:tcPr>
          <w:p w14:paraId="334751A7">
            <w:pPr>
              <w:spacing w:line="360" w:lineRule="exact"/>
              <w:rPr>
                <w:rFonts w:ascii="宋体" w:hAnsi="宋体" w:cs="宋体"/>
                <w:bCs/>
                <w:sz w:val="22"/>
              </w:rPr>
            </w:pPr>
          </w:p>
        </w:tc>
        <w:tc>
          <w:tcPr>
            <w:tcW w:w="535" w:type="pct"/>
          </w:tcPr>
          <w:p w14:paraId="4E05CB2D">
            <w:pPr>
              <w:spacing w:line="360" w:lineRule="exact"/>
              <w:rPr>
                <w:rFonts w:ascii="宋体" w:hAnsi="宋体" w:cs="宋体"/>
                <w:bCs/>
                <w:sz w:val="22"/>
              </w:rPr>
            </w:pPr>
          </w:p>
        </w:tc>
        <w:tc>
          <w:tcPr>
            <w:tcW w:w="513" w:type="pct"/>
          </w:tcPr>
          <w:p w14:paraId="0EE3E91A">
            <w:pPr>
              <w:spacing w:line="360" w:lineRule="exact"/>
              <w:rPr>
                <w:rFonts w:ascii="宋体" w:hAnsi="宋体" w:cs="宋体"/>
                <w:bCs/>
                <w:sz w:val="22"/>
              </w:rPr>
            </w:pPr>
          </w:p>
        </w:tc>
      </w:tr>
      <w:tr w14:paraId="6DBA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14:paraId="2C011468">
            <w:pPr>
              <w:spacing w:line="360" w:lineRule="exact"/>
              <w:rPr>
                <w:rFonts w:ascii="宋体" w:hAnsi="宋体" w:cs="宋体"/>
                <w:bCs/>
                <w:sz w:val="22"/>
              </w:rPr>
            </w:pPr>
          </w:p>
        </w:tc>
        <w:tc>
          <w:tcPr>
            <w:tcW w:w="457" w:type="pct"/>
          </w:tcPr>
          <w:p w14:paraId="4147AE75">
            <w:pPr>
              <w:spacing w:line="360" w:lineRule="exact"/>
              <w:rPr>
                <w:rFonts w:ascii="宋体" w:hAnsi="宋体" w:cs="宋体"/>
                <w:bCs/>
                <w:sz w:val="22"/>
              </w:rPr>
            </w:pPr>
          </w:p>
        </w:tc>
        <w:tc>
          <w:tcPr>
            <w:tcW w:w="492" w:type="pct"/>
          </w:tcPr>
          <w:p w14:paraId="6909F484">
            <w:pPr>
              <w:spacing w:line="360" w:lineRule="exact"/>
              <w:rPr>
                <w:rFonts w:ascii="宋体" w:hAnsi="宋体" w:cs="宋体"/>
                <w:bCs/>
                <w:sz w:val="22"/>
              </w:rPr>
            </w:pPr>
          </w:p>
        </w:tc>
        <w:tc>
          <w:tcPr>
            <w:tcW w:w="501" w:type="pct"/>
          </w:tcPr>
          <w:p w14:paraId="2D5162D8">
            <w:pPr>
              <w:spacing w:line="360" w:lineRule="exact"/>
              <w:rPr>
                <w:rFonts w:ascii="宋体" w:hAnsi="宋体" w:cs="宋体"/>
                <w:bCs/>
                <w:sz w:val="22"/>
              </w:rPr>
            </w:pPr>
          </w:p>
        </w:tc>
        <w:tc>
          <w:tcPr>
            <w:tcW w:w="491" w:type="pct"/>
          </w:tcPr>
          <w:p w14:paraId="2A655FB0">
            <w:pPr>
              <w:spacing w:line="360" w:lineRule="exact"/>
              <w:rPr>
                <w:rFonts w:ascii="宋体" w:hAnsi="宋体" w:cs="宋体"/>
                <w:bCs/>
                <w:sz w:val="22"/>
              </w:rPr>
            </w:pPr>
          </w:p>
        </w:tc>
        <w:tc>
          <w:tcPr>
            <w:tcW w:w="791" w:type="pct"/>
          </w:tcPr>
          <w:p w14:paraId="0C63A5FF">
            <w:pPr>
              <w:spacing w:line="360" w:lineRule="exact"/>
              <w:rPr>
                <w:rFonts w:ascii="宋体" w:hAnsi="宋体" w:cs="宋体"/>
                <w:bCs/>
                <w:sz w:val="22"/>
              </w:rPr>
            </w:pPr>
          </w:p>
        </w:tc>
        <w:tc>
          <w:tcPr>
            <w:tcW w:w="562" w:type="pct"/>
          </w:tcPr>
          <w:p w14:paraId="3A400212">
            <w:pPr>
              <w:spacing w:line="360" w:lineRule="exact"/>
              <w:rPr>
                <w:rFonts w:ascii="宋体" w:hAnsi="宋体" w:cs="宋体"/>
                <w:bCs/>
                <w:sz w:val="22"/>
              </w:rPr>
            </w:pPr>
          </w:p>
        </w:tc>
        <w:tc>
          <w:tcPr>
            <w:tcW w:w="535" w:type="pct"/>
          </w:tcPr>
          <w:p w14:paraId="6C186BB8">
            <w:pPr>
              <w:spacing w:line="360" w:lineRule="exact"/>
              <w:rPr>
                <w:rFonts w:ascii="宋体" w:hAnsi="宋体" w:cs="宋体"/>
                <w:bCs/>
                <w:sz w:val="22"/>
              </w:rPr>
            </w:pPr>
          </w:p>
        </w:tc>
        <w:tc>
          <w:tcPr>
            <w:tcW w:w="513" w:type="pct"/>
          </w:tcPr>
          <w:p w14:paraId="199E592E">
            <w:pPr>
              <w:spacing w:line="360" w:lineRule="exact"/>
              <w:rPr>
                <w:rFonts w:ascii="宋体" w:hAnsi="宋体" w:cs="宋体"/>
                <w:bCs/>
                <w:sz w:val="22"/>
              </w:rPr>
            </w:pPr>
          </w:p>
        </w:tc>
      </w:tr>
    </w:tbl>
    <w:p w14:paraId="209C691A">
      <w:pPr>
        <w:spacing w:line="360" w:lineRule="auto"/>
        <w:ind w:right="105" w:rightChars="50"/>
        <w:rPr>
          <w:rFonts w:ascii="宋体" w:hAnsi="宋体" w:cs="宋体"/>
          <w:kern w:val="0"/>
          <w:sz w:val="22"/>
          <w:szCs w:val="22"/>
        </w:rPr>
      </w:pPr>
      <w:r>
        <w:rPr>
          <w:rFonts w:hint="eastAsia" w:ascii="宋体" w:hAnsi="宋体" w:cs="宋体"/>
          <w:kern w:val="0"/>
          <w:sz w:val="22"/>
          <w:szCs w:val="22"/>
        </w:rPr>
        <w:t xml:space="preserve"> </w:t>
      </w:r>
    </w:p>
    <w:p w14:paraId="0870784B">
      <w:pPr>
        <w:spacing w:line="360" w:lineRule="auto"/>
        <w:ind w:right="105" w:rightChars="50" w:firstLine="327" w:firstLineChars="149"/>
        <w:rPr>
          <w:rFonts w:ascii="宋体" w:hAnsi="宋体" w:cs="宋体"/>
          <w:sz w:val="22"/>
          <w:szCs w:val="22"/>
        </w:rPr>
      </w:pPr>
      <w:r>
        <w:rPr>
          <w:rFonts w:hint="eastAsia" w:ascii="宋体" w:hAnsi="宋体" w:cs="宋体"/>
          <w:sz w:val="22"/>
          <w:szCs w:val="22"/>
        </w:rPr>
        <w:t>注：本表可根据实际情况自行调整。</w:t>
      </w:r>
    </w:p>
    <w:p w14:paraId="4889995A">
      <w:pPr>
        <w:spacing w:line="360" w:lineRule="auto"/>
        <w:ind w:left="420" w:leftChars="200"/>
        <w:rPr>
          <w:rFonts w:ascii="宋体" w:hAnsi="宋体" w:cs="宋体"/>
          <w:sz w:val="22"/>
          <w:szCs w:val="22"/>
        </w:rPr>
      </w:pPr>
      <w:r>
        <w:rPr>
          <w:rFonts w:hint="eastAsia" w:ascii="宋体" w:hAnsi="宋体" w:cs="宋体"/>
          <w:sz w:val="22"/>
          <w:szCs w:val="22"/>
        </w:rPr>
        <w:t xml:space="preserve">             </w:t>
      </w:r>
    </w:p>
    <w:p w14:paraId="79C8A2F2">
      <w:pPr>
        <w:spacing w:line="360" w:lineRule="auto"/>
        <w:ind w:left="420" w:leftChars="200"/>
        <w:rPr>
          <w:rFonts w:ascii="宋体" w:hAnsi="宋体" w:cs="宋体"/>
          <w:sz w:val="22"/>
          <w:szCs w:val="22"/>
        </w:rPr>
      </w:pPr>
      <w:r>
        <w:rPr>
          <w:rFonts w:hint="eastAsia" w:ascii="宋体" w:hAnsi="宋体" w:cs="宋体"/>
          <w:sz w:val="22"/>
          <w:szCs w:val="22"/>
        </w:rPr>
        <w:t xml:space="preserve">投标人名称（盖章）：                        </w:t>
      </w:r>
    </w:p>
    <w:p w14:paraId="084B6A3D">
      <w:pPr>
        <w:spacing w:line="360" w:lineRule="auto"/>
        <w:ind w:left="420" w:leftChars="200"/>
        <w:rPr>
          <w:rFonts w:ascii="宋体" w:hAnsi="宋体" w:cs="宋体"/>
          <w:sz w:val="22"/>
          <w:szCs w:val="22"/>
        </w:rPr>
      </w:pPr>
      <w:r>
        <w:rPr>
          <w:rFonts w:hint="eastAsia" w:ascii="宋体" w:hAnsi="宋体" w:cs="宋体"/>
          <w:sz w:val="22"/>
          <w:szCs w:val="22"/>
        </w:rPr>
        <w:t>日期：   年   月   日</w:t>
      </w:r>
    </w:p>
    <w:p w14:paraId="159D8C79">
      <w:pPr>
        <w:adjustRightInd w:val="0"/>
        <w:snapToGrid w:val="0"/>
        <w:spacing w:line="360" w:lineRule="exact"/>
        <w:jc w:val="center"/>
        <w:rPr>
          <w:rFonts w:ascii="宋体" w:hAnsi="宋体" w:cs="宋体"/>
          <w:b/>
          <w:bCs/>
          <w:sz w:val="32"/>
          <w:szCs w:val="32"/>
        </w:rPr>
      </w:pPr>
      <w:r>
        <w:rPr>
          <w:rFonts w:hint="eastAsia" w:ascii="宋体" w:hAnsi="宋体" w:cs="宋体"/>
          <w:b/>
          <w:bCs/>
          <w:sz w:val="32"/>
          <w:szCs w:val="32"/>
        </w:rPr>
        <w:br w:type="page"/>
      </w:r>
    </w:p>
    <w:p w14:paraId="10E07EE1">
      <w:pPr>
        <w:numPr>
          <w:ilvl w:val="0"/>
          <w:numId w:val="8"/>
        </w:numPr>
        <w:ind w:left="420" w:firstLine="0"/>
        <w:jc w:val="center"/>
        <w:outlineLvl w:val="2"/>
        <w:rPr>
          <w:rFonts w:ascii="宋体" w:hAnsi="宋体" w:cs="宋体"/>
          <w:b/>
          <w:bCs/>
          <w:sz w:val="32"/>
        </w:rPr>
      </w:pPr>
      <w:r>
        <w:rPr>
          <w:rFonts w:hint="eastAsia" w:ascii="宋体" w:hAnsi="宋体" w:cs="宋体"/>
          <w:b/>
          <w:bCs/>
          <w:sz w:val="32"/>
        </w:rPr>
        <w:t>项目具体方案（格式自拟）</w:t>
      </w:r>
    </w:p>
    <w:p w14:paraId="7F87A429">
      <w:pPr>
        <w:numPr>
          <w:ilvl w:val="0"/>
          <w:numId w:val="8"/>
        </w:numPr>
        <w:ind w:left="420" w:firstLine="0"/>
        <w:jc w:val="center"/>
        <w:outlineLvl w:val="2"/>
        <w:rPr>
          <w:rFonts w:ascii="宋体" w:hAnsi="宋体" w:cs="宋体"/>
          <w:b/>
          <w:bCs/>
          <w:sz w:val="32"/>
        </w:rPr>
      </w:pPr>
      <w:r>
        <w:rPr>
          <w:rFonts w:hint="eastAsia" w:ascii="宋体" w:hAnsi="宋体" w:cs="宋体"/>
          <w:bCs/>
          <w:sz w:val="22"/>
        </w:rPr>
        <w:br w:type="page"/>
      </w:r>
      <w:r>
        <w:rPr>
          <w:rFonts w:hint="eastAsia" w:ascii="宋体" w:hAnsi="宋体" w:cs="宋体"/>
          <w:b/>
          <w:bCs/>
          <w:sz w:val="32"/>
        </w:rPr>
        <w:t>商务条款偏离表</w:t>
      </w:r>
    </w:p>
    <w:p w14:paraId="32FEA2B5">
      <w:pPr>
        <w:spacing w:line="360" w:lineRule="exact"/>
        <w:rPr>
          <w:rFonts w:ascii="宋体" w:hAnsi="宋体" w:cs="宋体"/>
          <w:bCs/>
          <w:sz w:val="22"/>
          <w:szCs w:val="22"/>
        </w:rPr>
      </w:pPr>
      <w:r>
        <w:rPr>
          <w:rFonts w:hint="eastAsia" w:ascii="宋体" w:hAnsi="宋体" w:cs="宋体"/>
          <w:bCs/>
          <w:sz w:val="22"/>
          <w:szCs w:val="22"/>
        </w:rPr>
        <w:t xml:space="preserve">    </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400"/>
        <w:gridCol w:w="2125"/>
        <w:gridCol w:w="1580"/>
        <w:gridCol w:w="1418"/>
      </w:tblGrid>
      <w:tr w14:paraId="5D67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88" w:type="pct"/>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14:paraId="2E4B9E70">
            <w:pPr>
              <w:spacing w:line="360" w:lineRule="auto"/>
              <w:jc w:val="center"/>
              <w:rPr>
                <w:rFonts w:ascii="宋体" w:hAnsi="宋体"/>
                <w:b/>
                <w:bCs/>
                <w:sz w:val="22"/>
                <w:szCs w:val="22"/>
              </w:rPr>
            </w:pPr>
            <w:r>
              <w:rPr>
                <w:rFonts w:hint="eastAsia" w:ascii="宋体" w:hAnsi="宋体"/>
                <w:b/>
                <w:bCs/>
                <w:sz w:val="22"/>
                <w:szCs w:val="22"/>
              </w:rPr>
              <w:t>序号</w:t>
            </w:r>
          </w:p>
        </w:tc>
        <w:tc>
          <w:tcPr>
            <w:tcW w:w="1407" w:type="pct"/>
            <w:tcBorders>
              <w:top w:val="single" w:color="auto" w:sz="4" w:space="0"/>
              <w:left w:val="nil"/>
              <w:bottom w:val="single" w:color="auto" w:sz="4" w:space="0"/>
              <w:right w:val="single" w:color="auto" w:sz="4" w:space="0"/>
            </w:tcBorders>
            <w:shd w:val="clear" w:color="auto" w:fill="BDD6EE" w:themeFill="accent1" w:themeFillTint="66"/>
            <w:vAlign w:val="center"/>
          </w:tcPr>
          <w:p w14:paraId="772E6294">
            <w:pPr>
              <w:spacing w:line="360" w:lineRule="auto"/>
              <w:jc w:val="center"/>
              <w:rPr>
                <w:rFonts w:ascii="宋体" w:hAnsi="宋体"/>
                <w:b/>
                <w:bCs/>
                <w:sz w:val="22"/>
                <w:szCs w:val="22"/>
              </w:rPr>
            </w:pPr>
            <w:r>
              <w:rPr>
                <w:rFonts w:hint="eastAsia" w:ascii="宋体" w:hAnsi="宋体"/>
                <w:b/>
                <w:bCs/>
                <w:sz w:val="22"/>
                <w:szCs w:val="22"/>
              </w:rPr>
              <w:t>招标文件商务要求</w:t>
            </w:r>
          </w:p>
        </w:tc>
        <w:tc>
          <w:tcPr>
            <w:tcW w:w="1246" w:type="pct"/>
            <w:tcBorders>
              <w:top w:val="single" w:color="auto" w:sz="4" w:space="0"/>
              <w:left w:val="nil"/>
              <w:bottom w:val="single" w:color="auto" w:sz="4" w:space="0"/>
              <w:right w:val="single" w:color="auto" w:sz="4" w:space="0"/>
            </w:tcBorders>
            <w:shd w:val="clear" w:color="auto" w:fill="BDD6EE" w:themeFill="accent1" w:themeFillTint="66"/>
            <w:vAlign w:val="center"/>
          </w:tcPr>
          <w:p w14:paraId="5E2AC76C">
            <w:pPr>
              <w:spacing w:line="360" w:lineRule="auto"/>
              <w:jc w:val="center"/>
              <w:rPr>
                <w:rFonts w:ascii="宋体" w:hAnsi="宋体"/>
                <w:b/>
                <w:bCs/>
                <w:sz w:val="22"/>
                <w:szCs w:val="22"/>
              </w:rPr>
            </w:pPr>
            <w:r>
              <w:rPr>
                <w:rFonts w:hint="eastAsia" w:ascii="宋体" w:hAnsi="宋体"/>
                <w:b/>
                <w:bCs/>
                <w:sz w:val="22"/>
                <w:szCs w:val="22"/>
              </w:rPr>
              <w:t>投标文件商务响应</w:t>
            </w:r>
          </w:p>
        </w:tc>
        <w:tc>
          <w:tcPr>
            <w:tcW w:w="926" w:type="pct"/>
            <w:tcBorders>
              <w:top w:val="single" w:color="auto" w:sz="4" w:space="0"/>
              <w:left w:val="nil"/>
              <w:bottom w:val="single" w:color="auto" w:sz="4" w:space="0"/>
              <w:right w:val="single" w:color="auto" w:sz="4" w:space="0"/>
            </w:tcBorders>
            <w:shd w:val="clear" w:color="auto" w:fill="BDD6EE" w:themeFill="accent1" w:themeFillTint="66"/>
            <w:vAlign w:val="center"/>
          </w:tcPr>
          <w:p w14:paraId="04DA0162">
            <w:pPr>
              <w:spacing w:line="360" w:lineRule="auto"/>
              <w:jc w:val="center"/>
              <w:rPr>
                <w:rFonts w:ascii="宋体" w:hAnsi="宋体"/>
                <w:b/>
                <w:bCs/>
                <w:sz w:val="22"/>
                <w:szCs w:val="22"/>
              </w:rPr>
            </w:pPr>
            <w:r>
              <w:rPr>
                <w:rFonts w:hint="eastAsia" w:ascii="宋体" w:hAnsi="宋体"/>
                <w:b/>
                <w:bCs/>
                <w:sz w:val="22"/>
                <w:szCs w:val="22"/>
              </w:rPr>
              <w:t>偏离情况</w:t>
            </w:r>
          </w:p>
        </w:tc>
        <w:tc>
          <w:tcPr>
            <w:tcW w:w="831" w:type="pct"/>
            <w:tcBorders>
              <w:top w:val="single" w:color="auto" w:sz="4" w:space="0"/>
              <w:left w:val="nil"/>
              <w:bottom w:val="single" w:color="auto" w:sz="4" w:space="0"/>
              <w:right w:val="single" w:color="auto" w:sz="4" w:space="0"/>
            </w:tcBorders>
            <w:shd w:val="clear" w:color="auto" w:fill="BDD6EE" w:themeFill="accent1" w:themeFillTint="66"/>
            <w:vAlign w:val="center"/>
          </w:tcPr>
          <w:p w14:paraId="57F2AAE8">
            <w:pPr>
              <w:spacing w:line="360" w:lineRule="auto"/>
              <w:jc w:val="center"/>
              <w:rPr>
                <w:rFonts w:ascii="宋体" w:hAnsi="宋体"/>
                <w:b/>
                <w:bCs/>
                <w:sz w:val="22"/>
                <w:szCs w:val="22"/>
              </w:rPr>
            </w:pPr>
            <w:r>
              <w:rPr>
                <w:rFonts w:hint="eastAsia" w:ascii="宋体" w:hAnsi="宋体"/>
                <w:b/>
                <w:bCs/>
                <w:sz w:val="22"/>
                <w:szCs w:val="22"/>
              </w:rPr>
              <w:t>说明</w:t>
            </w:r>
          </w:p>
        </w:tc>
      </w:tr>
      <w:tr w14:paraId="4A6C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88" w:type="pct"/>
            <w:tcBorders>
              <w:top w:val="single" w:color="auto" w:sz="4" w:space="0"/>
              <w:left w:val="single" w:color="auto" w:sz="4" w:space="0"/>
              <w:bottom w:val="single" w:color="auto" w:sz="4" w:space="0"/>
              <w:right w:val="single" w:color="auto" w:sz="4" w:space="0"/>
            </w:tcBorders>
          </w:tcPr>
          <w:p w14:paraId="39EEAB75">
            <w:pPr>
              <w:spacing w:line="360" w:lineRule="auto"/>
              <w:jc w:val="center"/>
              <w:rPr>
                <w:rFonts w:ascii="宋体" w:hAnsi="宋体"/>
                <w:sz w:val="22"/>
                <w:szCs w:val="22"/>
              </w:rPr>
            </w:pPr>
            <w:r>
              <w:rPr>
                <w:rFonts w:hint="eastAsia" w:ascii="宋体" w:hAnsi="宋体"/>
                <w:sz w:val="22"/>
                <w:szCs w:val="22"/>
              </w:rPr>
              <w:t>1</w:t>
            </w:r>
          </w:p>
        </w:tc>
        <w:tc>
          <w:tcPr>
            <w:tcW w:w="1407" w:type="pct"/>
            <w:tcBorders>
              <w:top w:val="single" w:color="auto" w:sz="4" w:space="0"/>
              <w:left w:val="nil"/>
              <w:bottom w:val="single" w:color="auto" w:sz="4" w:space="0"/>
              <w:right w:val="single" w:color="auto" w:sz="4" w:space="0"/>
            </w:tcBorders>
          </w:tcPr>
          <w:p w14:paraId="4E852F92">
            <w:pPr>
              <w:spacing w:line="360" w:lineRule="auto"/>
              <w:rPr>
                <w:rFonts w:ascii="宋体" w:hAnsi="宋体"/>
                <w:sz w:val="22"/>
                <w:szCs w:val="22"/>
              </w:rPr>
            </w:pPr>
          </w:p>
        </w:tc>
        <w:tc>
          <w:tcPr>
            <w:tcW w:w="1246" w:type="pct"/>
            <w:tcBorders>
              <w:top w:val="single" w:color="auto" w:sz="4" w:space="0"/>
              <w:left w:val="nil"/>
              <w:bottom w:val="single" w:color="auto" w:sz="4" w:space="0"/>
              <w:right w:val="single" w:color="auto" w:sz="4" w:space="0"/>
            </w:tcBorders>
          </w:tcPr>
          <w:p w14:paraId="5016D38F">
            <w:pPr>
              <w:spacing w:line="360" w:lineRule="auto"/>
              <w:rPr>
                <w:rFonts w:ascii="宋体" w:hAnsi="宋体"/>
                <w:sz w:val="22"/>
                <w:szCs w:val="22"/>
              </w:rPr>
            </w:pPr>
          </w:p>
        </w:tc>
        <w:tc>
          <w:tcPr>
            <w:tcW w:w="926" w:type="pct"/>
            <w:tcBorders>
              <w:top w:val="single" w:color="auto" w:sz="4" w:space="0"/>
              <w:left w:val="nil"/>
              <w:bottom w:val="single" w:color="auto" w:sz="4" w:space="0"/>
              <w:right w:val="single" w:color="auto" w:sz="4" w:space="0"/>
            </w:tcBorders>
          </w:tcPr>
          <w:p w14:paraId="54E79004">
            <w:pPr>
              <w:spacing w:line="360" w:lineRule="auto"/>
              <w:rPr>
                <w:rFonts w:ascii="宋体" w:hAnsi="宋体"/>
                <w:sz w:val="22"/>
                <w:szCs w:val="22"/>
              </w:rPr>
            </w:pPr>
          </w:p>
        </w:tc>
        <w:tc>
          <w:tcPr>
            <w:tcW w:w="831" w:type="pct"/>
            <w:tcBorders>
              <w:top w:val="single" w:color="auto" w:sz="4" w:space="0"/>
              <w:left w:val="nil"/>
              <w:bottom w:val="single" w:color="auto" w:sz="4" w:space="0"/>
              <w:right w:val="single" w:color="auto" w:sz="4" w:space="0"/>
            </w:tcBorders>
          </w:tcPr>
          <w:p w14:paraId="51565FBC">
            <w:pPr>
              <w:spacing w:line="360" w:lineRule="auto"/>
              <w:rPr>
                <w:rFonts w:ascii="宋体" w:hAnsi="宋体"/>
                <w:sz w:val="22"/>
                <w:szCs w:val="22"/>
              </w:rPr>
            </w:pPr>
          </w:p>
        </w:tc>
      </w:tr>
      <w:tr w14:paraId="0102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88" w:type="pct"/>
            <w:tcBorders>
              <w:top w:val="single" w:color="auto" w:sz="4" w:space="0"/>
              <w:left w:val="single" w:color="auto" w:sz="4" w:space="0"/>
              <w:bottom w:val="single" w:color="auto" w:sz="4" w:space="0"/>
              <w:right w:val="single" w:color="auto" w:sz="4" w:space="0"/>
            </w:tcBorders>
          </w:tcPr>
          <w:p w14:paraId="0FD01501">
            <w:pPr>
              <w:spacing w:line="360" w:lineRule="auto"/>
              <w:jc w:val="center"/>
              <w:rPr>
                <w:rFonts w:ascii="宋体" w:hAnsi="宋体"/>
                <w:sz w:val="22"/>
                <w:szCs w:val="22"/>
              </w:rPr>
            </w:pPr>
            <w:r>
              <w:rPr>
                <w:rFonts w:hint="eastAsia" w:ascii="宋体" w:hAnsi="宋体"/>
                <w:sz w:val="22"/>
                <w:szCs w:val="22"/>
              </w:rPr>
              <w:t>2</w:t>
            </w:r>
          </w:p>
        </w:tc>
        <w:tc>
          <w:tcPr>
            <w:tcW w:w="1407" w:type="pct"/>
            <w:tcBorders>
              <w:top w:val="single" w:color="auto" w:sz="4" w:space="0"/>
              <w:left w:val="nil"/>
              <w:bottom w:val="single" w:color="auto" w:sz="4" w:space="0"/>
              <w:right w:val="single" w:color="auto" w:sz="4" w:space="0"/>
            </w:tcBorders>
          </w:tcPr>
          <w:p w14:paraId="51446906">
            <w:pPr>
              <w:spacing w:line="360" w:lineRule="auto"/>
              <w:rPr>
                <w:rFonts w:ascii="宋体" w:hAnsi="宋体"/>
                <w:sz w:val="22"/>
                <w:szCs w:val="22"/>
              </w:rPr>
            </w:pPr>
          </w:p>
        </w:tc>
        <w:tc>
          <w:tcPr>
            <w:tcW w:w="1246" w:type="pct"/>
            <w:tcBorders>
              <w:top w:val="single" w:color="auto" w:sz="4" w:space="0"/>
              <w:left w:val="nil"/>
              <w:bottom w:val="single" w:color="auto" w:sz="4" w:space="0"/>
              <w:right w:val="single" w:color="auto" w:sz="4" w:space="0"/>
            </w:tcBorders>
          </w:tcPr>
          <w:p w14:paraId="4AB796C4">
            <w:pPr>
              <w:spacing w:line="360" w:lineRule="auto"/>
              <w:rPr>
                <w:rFonts w:ascii="宋体" w:hAnsi="宋体"/>
                <w:sz w:val="22"/>
                <w:szCs w:val="22"/>
              </w:rPr>
            </w:pPr>
          </w:p>
        </w:tc>
        <w:tc>
          <w:tcPr>
            <w:tcW w:w="926" w:type="pct"/>
            <w:tcBorders>
              <w:top w:val="single" w:color="auto" w:sz="4" w:space="0"/>
              <w:left w:val="nil"/>
              <w:bottom w:val="single" w:color="auto" w:sz="4" w:space="0"/>
              <w:right w:val="single" w:color="auto" w:sz="4" w:space="0"/>
            </w:tcBorders>
          </w:tcPr>
          <w:p w14:paraId="5227CF13">
            <w:pPr>
              <w:spacing w:line="360" w:lineRule="auto"/>
              <w:rPr>
                <w:rFonts w:ascii="宋体" w:hAnsi="宋体"/>
                <w:sz w:val="22"/>
                <w:szCs w:val="22"/>
              </w:rPr>
            </w:pPr>
          </w:p>
        </w:tc>
        <w:tc>
          <w:tcPr>
            <w:tcW w:w="831" w:type="pct"/>
            <w:tcBorders>
              <w:top w:val="single" w:color="auto" w:sz="4" w:space="0"/>
              <w:left w:val="nil"/>
              <w:bottom w:val="single" w:color="auto" w:sz="4" w:space="0"/>
              <w:right w:val="single" w:color="auto" w:sz="4" w:space="0"/>
            </w:tcBorders>
          </w:tcPr>
          <w:p w14:paraId="1FFD85C3">
            <w:pPr>
              <w:spacing w:line="360" w:lineRule="auto"/>
              <w:rPr>
                <w:rFonts w:ascii="宋体" w:hAnsi="宋体"/>
                <w:sz w:val="22"/>
                <w:szCs w:val="22"/>
              </w:rPr>
            </w:pPr>
          </w:p>
        </w:tc>
      </w:tr>
      <w:tr w14:paraId="3368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88" w:type="pct"/>
            <w:tcBorders>
              <w:top w:val="single" w:color="auto" w:sz="4" w:space="0"/>
              <w:left w:val="single" w:color="auto" w:sz="4" w:space="0"/>
              <w:bottom w:val="single" w:color="auto" w:sz="4" w:space="0"/>
              <w:right w:val="single" w:color="auto" w:sz="4" w:space="0"/>
            </w:tcBorders>
          </w:tcPr>
          <w:p w14:paraId="2CA44B27">
            <w:pPr>
              <w:spacing w:line="360" w:lineRule="auto"/>
              <w:jc w:val="center"/>
              <w:rPr>
                <w:rFonts w:ascii="宋体" w:hAnsi="宋体"/>
                <w:sz w:val="22"/>
                <w:szCs w:val="22"/>
              </w:rPr>
            </w:pPr>
            <w:r>
              <w:rPr>
                <w:rFonts w:hint="eastAsia" w:ascii="宋体" w:hAnsi="宋体"/>
                <w:sz w:val="22"/>
                <w:szCs w:val="22"/>
              </w:rPr>
              <w:t>3</w:t>
            </w:r>
          </w:p>
        </w:tc>
        <w:tc>
          <w:tcPr>
            <w:tcW w:w="1407" w:type="pct"/>
            <w:tcBorders>
              <w:top w:val="single" w:color="auto" w:sz="4" w:space="0"/>
              <w:left w:val="nil"/>
              <w:bottom w:val="single" w:color="auto" w:sz="4" w:space="0"/>
              <w:right w:val="single" w:color="auto" w:sz="4" w:space="0"/>
            </w:tcBorders>
          </w:tcPr>
          <w:p w14:paraId="11A03F91">
            <w:pPr>
              <w:spacing w:line="360" w:lineRule="auto"/>
              <w:rPr>
                <w:rFonts w:ascii="宋体" w:hAnsi="宋体"/>
                <w:sz w:val="22"/>
                <w:szCs w:val="22"/>
              </w:rPr>
            </w:pPr>
          </w:p>
        </w:tc>
        <w:tc>
          <w:tcPr>
            <w:tcW w:w="1246" w:type="pct"/>
            <w:tcBorders>
              <w:top w:val="single" w:color="auto" w:sz="4" w:space="0"/>
              <w:left w:val="nil"/>
              <w:bottom w:val="single" w:color="auto" w:sz="4" w:space="0"/>
              <w:right w:val="single" w:color="auto" w:sz="4" w:space="0"/>
            </w:tcBorders>
          </w:tcPr>
          <w:p w14:paraId="54541FB6">
            <w:pPr>
              <w:spacing w:line="360" w:lineRule="auto"/>
              <w:rPr>
                <w:rFonts w:ascii="宋体" w:hAnsi="宋体"/>
                <w:sz w:val="22"/>
                <w:szCs w:val="22"/>
              </w:rPr>
            </w:pPr>
          </w:p>
        </w:tc>
        <w:tc>
          <w:tcPr>
            <w:tcW w:w="926" w:type="pct"/>
            <w:tcBorders>
              <w:top w:val="single" w:color="auto" w:sz="4" w:space="0"/>
              <w:left w:val="nil"/>
              <w:bottom w:val="single" w:color="auto" w:sz="4" w:space="0"/>
              <w:right w:val="single" w:color="auto" w:sz="4" w:space="0"/>
            </w:tcBorders>
          </w:tcPr>
          <w:p w14:paraId="1FFC2015">
            <w:pPr>
              <w:spacing w:line="360" w:lineRule="auto"/>
              <w:rPr>
                <w:rFonts w:ascii="宋体" w:hAnsi="宋体"/>
                <w:sz w:val="22"/>
                <w:szCs w:val="22"/>
              </w:rPr>
            </w:pPr>
          </w:p>
        </w:tc>
        <w:tc>
          <w:tcPr>
            <w:tcW w:w="831" w:type="pct"/>
            <w:tcBorders>
              <w:top w:val="single" w:color="auto" w:sz="4" w:space="0"/>
              <w:left w:val="nil"/>
              <w:bottom w:val="single" w:color="auto" w:sz="4" w:space="0"/>
              <w:right w:val="single" w:color="auto" w:sz="4" w:space="0"/>
            </w:tcBorders>
          </w:tcPr>
          <w:p w14:paraId="09AB958A">
            <w:pPr>
              <w:spacing w:line="360" w:lineRule="auto"/>
              <w:rPr>
                <w:rFonts w:ascii="宋体" w:hAnsi="宋体"/>
                <w:sz w:val="22"/>
                <w:szCs w:val="22"/>
              </w:rPr>
            </w:pPr>
          </w:p>
        </w:tc>
      </w:tr>
      <w:tr w14:paraId="4D6F9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88" w:type="pct"/>
            <w:tcBorders>
              <w:top w:val="single" w:color="auto" w:sz="4" w:space="0"/>
              <w:left w:val="single" w:color="auto" w:sz="4" w:space="0"/>
              <w:bottom w:val="single" w:color="auto" w:sz="4" w:space="0"/>
              <w:right w:val="single" w:color="auto" w:sz="4" w:space="0"/>
            </w:tcBorders>
          </w:tcPr>
          <w:p w14:paraId="7C168618">
            <w:pPr>
              <w:spacing w:line="360" w:lineRule="auto"/>
              <w:jc w:val="center"/>
              <w:rPr>
                <w:rFonts w:ascii="宋体" w:hAnsi="宋体"/>
                <w:sz w:val="22"/>
                <w:szCs w:val="22"/>
              </w:rPr>
            </w:pPr>
            <w:r>
              <w:rPr>
                <w:rFonts w:hint="eastAsia" w:ascii="宋体" w:hAnsi="宋体"/>
                <w:sz w:val="22"/>
                <w:szCs w:val="22"/>
              </w:rPr>
              <w:t>……</w:t>
            </w:r>
          </w:p>
        </w:tc>
        <w:tc>
          <w:tcPr>
            <w:tcW w:w="1407" w:type="pct"/>
            <w:tcBorders>
              <w:top w:val="single" w:color="auto" w:sz="4" w:space="0"/>
              <w:left w:val="nil"/>
              <w:bottom w:val="single" w:color="auto" w:sz="4" w:space="0"/>
              <w:right w:val="single" w:color="auto" w:sz="4" w:space="0"/>
            </w:tcBorders>
          </w:tcPr>
          <w:p w14:paraId="5CD71DAA">
            <w:pPr>
              <w:spacing w:line="360" w:lineRule="auto"/>
              <w:rPr>
                <w:rFonts w:ascii="宋体" w:hAnsi="宋体"/>
                <w:sz w:val="22"/>
                <w:szCs w:val="22"/>
              </w:rPr>
            </w:pPr>
          </w:p>
        </w:tc>
        <w:tc>
          <w:tcPr>
            <w:tcW w:w="1246" w:type="pct"/>
            <w:tcBorders>
              <w:top w:val="single" w:color="auto" w:sz="4" w:space="0"/>
              <w:left w:val="nil"/>
              <w:bottom w:val="single" w:color="auto" w:sz="4" w:space="0"/>
              <w:right w:val="single" w:color="auto" w:sz="4" w:space="0"/>
            </w:tcBorders>
          </w:tcPr>
          <w:p w14:paraId="47FF8B9E">
            <w:pPr>
              <w:spacing w:line="360" w:lineRule="auto"/>
              <w:rPr>
                <w:rFonts w:ascii="宋体" w:hAnsi="宋体"/>
                <w:sz w:val="22"/>
                <w:szCs w:val="22"/>
              </w:rPr>
            </w:pPr>
          </w:p>
        </w:tc>
        <w:tc>
          <w:tcPr>
            <w:tcW w:w="926" w:type="pct"/>
            <w:tcBorders>
              <w:top w:val="single" w:color="auto" w:sz="4" w:space="0"/>
              <w:left w:val="nil"/>
              <w:bottom w:val="single" w:color="auto" w:sz="4" w:space="0"/>
              <w:right w:val="single" w:color="auto" w:sz="4" w:space="0"/>
            </w:tcBorders>
          </w:tcPr>
          <w:p w14:paraId="3240D976">
            <w:pPr>
              <w:spacing w:line="360" w:lineRule="auto"/>
              <w:rPr>
                <w:rFonts w:ascii="宋体" w:hAnsi="宋体"/>
                <w:sz w:val="22"/>
                <w:szCs w:val="22"/>
              </w:rPr>
            </w:pPr>
          </w:p>
        </w:tc>
        <w:tc>
          <w:tcPr>
            <w:tcW w:w="831" w:type="pct"/>
            <w:tcBorders>
              <w:top w:val="single" w:color="auto" w:sz="4" w:space="0"/>
              <w:left w:val="nil"/>
              <w:bottom w:val="single" w:color="auto" w:sz="4" w:space="0"/>
              <w:right w:val="single" w:color="auto" w:sz="4" w:space="0"/>
            </w:tcBorders>
          </w:tcPr>
          <w:p w14:paraId="13CA4491">
            <w:pPr>
              <w:spacing w:line="360" w:lineRule="auto"/>
              <w:rPr>
                <w:rFonts w:ascii="宋体" w:hAnsi="宋体"/>
                <w:sz w:val="22"/>
                <w:szCs w:val="22"/>
              </w:rPr>
            </w:pPr>
          </w:p>
        </w:tc>
      </w:tr>
    </w:tbl>
    <w:p w14:paraId="41B8F36B">
      <w:pPr>
        <w:spacing w:line="360" w:lineRule="auto"/>
        <w:rPr>
          <w:rFonts w:ascii="宋体" w:hAnsi="宋体"/>
          <w:sz w:val="22"/>
          <w:szCs w:val="22"/>
        </w:rPr>
      </w:pPr>
    </w:p>
    <w:p w14:paraId="1E83A5F4">
      <w:pPr>
        <w:spacing w:line="360" w:lineRule="auto"/>
        <w:rPr>
          <w:rFonts w:ascii="宋体" w:hAnsi="宋体"/>
          <w:sz w:val="22"/>
          <w:szCs w:val="22"/>
        </w:rPr>
      </w:pPr>
      <w:r>
        <w:rPr>
          <w:rFonts w:hint="eastAsia" w:ascii="宋体" w:hAnsi="宋体"/>
          <w:sz w:val="22"/>
          <w:szCs w:val="22"/>
        </w:rPr>
        <w:t>注：</w:t>
      </w:r>
    </w:p>
    <w:p w14:paraId="539AF61A">
      <w:pPr>
        <w:numPr>
          <w:ilvl w:val="0"/>
          <w:numId w:val="10"/>
        </w:numPr>
        <w:spacing w:line="360" w:lineRule="auto"/>
        <w:rPr>
          <w:rFonts w:ascii="宋体" w:hAnsi="宋体"/>
          <w:b/>
          <w:bCs/>
          <w:color w:val="FF0000"/>
          <w:sz w:val="22"/>
          <w:szCs w:val="22"/>
          <w:highlight w:val="yellow"/>
        </w:rPr>
      </w:pPr>
      <w:r>
        <w:rPr>
          <w:rFonts w:hint="eastAsia" w:ascii="宋体" w:hAnsi="宋体"/>
          <w:b/>
          <w:bCs/>
          <w:color w:val="FF0000"/>
          <w:sz w:val="22"/>
          <w:szCs w:val="22"/>
          <w:highlight w:val="yellow"/>
        </w:rPr>
        <w:t>投标人必须对应招标文件“第二章招标项目需求”中“商务需求”逐条响应。</w:t>
      </w:r>
    </w:p>
    <w:p w14:paraId="510D38D4">
      <w:pPr>
        <w:numPr>
          <w:ilvl w:val="0"/>
          <w:numId w:val="10"/>
        </w:numPr>
        <w:spacing w:line="360" w:lineRule="auto"/>
        <w:rPr>
          <w:rFonts w:ascii="宋体" w:hAnsi="宋体" w:cs="宋体"/>
          <w:bCs/>
          <w:sz w:val="22"/>
        </w:rPr>
      </w:pPr>
      <w:r>
        <w:rPr>
          <w:rFonts w:hint="eastAsia" w:ascii="宋体" w:hAnsi="宋体"/>
          <w:sz w:val="22"/>
          <w:szCs w:val="22"/>
        </w:rPr>
        <w:t>“偏离情况”一栏应如实填写“正偏离”、“负偏离”或“无偏离”。</w:t>
      </w:r>
    </w:p>
    <w:p w14:paraId="1423E84A">
      <w:pPr>
        <w:spacing w:line="360" w:lineRule="auto"/>
        <w:rPr>
          <w:rFonts w:ascii="Times New Roman" w:hAnsi="Times New Roman"/>
          <w:sz w:val="22"/>
          <w:szCs w:val="22"/>
        </w:rPr>
      </w:pPr>
    </w:p>
    <w:p w14:paraId="5E256E55">
      <w:pPr>
        <w:spacing w:line="360" w:lineRule="auto"/>
        <w:rPr>
          <w:rFonts w:ascii="Times New Roman" w:hAnsi="Times New Roman"/>
          <w:sz w:val="22"/>
          <w:szCs w:val="22"/>
        </w:rPr>
      </w:pPr>
    </w:p>
    <w:p w14:paraId="1DF1EFB7">
      <w:pPr>
        <w:spacing w:line="360" w:lineRule="auto"/>
        <w:rPr>
          <w:rFonts w:ascii="Times New Roman" w:hAnsi="Times New Roman"/>
          <w:sz w:val="22"/>
          <w:szCs w:val="22"/>
        </w:rPr>
      </w:pPr>
      <w:r>
        <w:rPr>
          <w:rFonts w:hint="eastAsia" w:ascii="Times New Roman" w:hAnsi="Times New Roman"/>
          <w:sz w:val="22"/>
          <w:szCs w:val="22"/>
        </w:rPr>
        <w:t xml:space="preserve">投标人名称（盖章）：                        </w:t>
      </w:r>
    </w:p>
    <w:p w14:paraId="637EDA31">
      <w:pPr>
        <w:spacing w:line="360" w:lineRule="auto"/>
        <w:rPr>
          <w:rFonts w:ascii="Times New Roman" w:hAnsi="Times New Roman"/>
          <w:sz w:val="22"/>
          <w:szCs w:val="22"/>
        </w:rPr>
      </w:pPr>
      <w:r>
        <w:rPr>
          <w:rFonts w:hint="eastAsia" w:ascii="Times New Roman" w:hAnsi="Times New Roman"/>
          <w:sz w:val="22"/>
          <w:szCs w:val="22"/>
        </w:rPr>
        <w:t>日期：   年   月   日</w:t>
      </w:r>
    </w:p>
    <w:p w14:paraId="51E5B866">
      <w:pPr>
        <w:numPr>
          <w:ilvl w:val="0"/>
          <w:numId w:val="8"/>
        </w:numPr>
        <w:ind w:left="420" w:firstLine="0"/>
        <w:jc w:val="center"/>
        <w:outlineLvl w:val="2"/>
        <w:rPr>
          <w:rFonts w:ascii="宋体" w:hAnsi="宋体" w:cs="宋体"/>
          <w:b/>
          <w:bCs/>
          <w:sz w:val="32"/>
          <w:szCs w:val="32"/>
        </w:rPr>
      </w:pPr>
      <w:r>
        <w:rPr>
          <w:rFonts w:hint="eastAsia" w:ascii="宋体" w:hAnsi="宋体" w:cs="宋体"/>
          <w:bCs/>
          <w:sz w:val="22"/>
        </w:rPr>
        <w:br w:type="page"/>
      </w:r>
      <w:r>
        <w:rPr>
          <w:rFonts w:hint="eastAsia" w:ascii="宋体" w:hAnsi="宋体" w:cs="宋体"/>
          <w:b/>
          <w:bCs/>
          <w:sz w:val="32"/>
          <w:szCs w:val="32"/>
        </w:rPr>
        <w:t>服务条款偏离表</w:t>
      </w:r>
    </w:p>
    <w:p w14:paraId="43181B5E">
      <w:pPr>
        <w:spacing w:line="360" w:lineRule="exact"/>
        <w:rPr>
          <w:rFonts w:ascii="宋体" w:hAnsi="宋体" w:cs="宋体"/>
          <w:bCs/>
          <w:sz w:val="22"/>
          <w:szCs w:val="22"/>
        </w:rPr>
      </w:pPr>
      <w:r>
        <w:rPr>
          <w:rFonts w:hint="eastAsia" w:ascii="宋体" w:hAnsi="宋体" w:cs="宋体"/>
          <w:bCs/>
          <w:sz w:val="22"/>
          <w:szCs w:val="22"/>
        </w:rPr>
        <w:t xml:space="preserve"> </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400"/>
        <w:gridCol w:w="2125"/>
        <w:gridCol w:w="1578"/>
        <w:gridCol w:w="1420"/>
      </w:tblGrid>
      <w:tr w14:paraId="289B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88" w:type="pct"/>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14:paraId="5FCA77F5">
            <w:pPr>
              <w:spacing w:line="360" w:lineRule="auto"/>
              <w:jc w:val="center"/>
              <w:rPr>
                <w:rFonts w:ascii="宋体" w:hAnsi="宋体"/>
                <w:b/>
                <w:bCs/>
                <w:sz w:val="22"/>
                <w:szCs w:val="22"/>
              </w:rPr>
            </w:pPr>
            <w:r>
              <w:rPr>
                <w:rFonts w:hint="eastAsia" w:ascii="宋体" w:hAnsi="宋体"/>
                <w:b/>
                <w:bCs/>
                <w:sz w:val="22"/>
                <w:szCs w:val="22"/>
              </w:rPr>
              <w:t>序号</w:t>
            </w:r>
          </w:p>
        </w:tc>
        <w:tc>
          <w:tcPr>
            <w:tcW w:w="1407" w:type="pct"/>
            <w:tcBorders>
              <w:top w:val="single" w:color="auto" w:sz="4" w:space="0"/>
              <w:left w:val="nil"/>
              <w:bottom w:val="single" w:color="auto" w:sz="4" w:space="0"/>
              <w:right w:val="single" w:color="auto" w:sz="4" w:space="0"/>
            </w:tcBorders>
            <w:shd w:val="clear" w:color="auto" w:fill="BDD6EE" w:themeFill="accent1" w:themeFillTint="66"/>
            <w:vAlign w:val="center"/>
          </w:tcPr>
          <w:p w14:paraId="322591F0">
            <w:pPr>
              <w:spacing w:line="360" w:lineRule="auto"/>
              <w:jc w:val="center"/>
              <w:rPr>
                <w:rFonts w:ascii="宋体" w:hAnsi="宋体"/>
                <w:b/>
                <w:bCs/>
                <w:sz w:val="22"/>
                <w:szCs w:val="22"/>
              </w:rPr>
            </w:pPr>
            <w:r>
              <w:rPr>
                <w:rFonts w:hint="eastAsia" w:ascii="宋体" w:hAnsi="宋体"/>
                <w:b/>
                <w:bCs/>
                <w:sz w:val="22"/>
                <w:szCs w:val="22"/>
              </w:rPr>
              <w:t>招标文件服务要求</w:t>
            </w:r>
          </w:p>
        </w:tc>
        <w:tc>
          <w:tcPr>
            <w:tcW w:w="1246" w:type="pct"/>
            <w:tcBorders>
              <w:top w:val="single" w:color="auto" w:sz="4" w:space="0"/>
              <w:left w:val="nil"/>
              <w:bottom w:val="single" w:color="auto" w:sz="4" w:space="0"/>
              <w:right w:val="single" w:color="auto" w:sz="4" w:space="0"/>
            </w:tcBorders>
            <w:shd w:val="clear" w:color="auto" w:fill="BDD6EE" w:themeFill="accent1" w:themeFillTint="66"/>
            <w:vAlign w:val="center"/>
          </w:tcPr>
          <w:p w14:paraId="26F915EC">
            <w:pPr>
              <w:spacing w:line="360" w:lineRule="auto"/>
              <w:jc w:val="center"/>
              <w:rPr>
                <w:rFonts w:ascii="宋体" w:hAnsi="宋体"/>
                <w:b/>
                <w:bCs/>
                <w:sz w:val="22"/>
                <w:szCs w:val="22"/>
              </w:rPr>
            </w:pPr>
            <w:r>
              <w:rPr>
                <w:rFonts w:hint="eastAsia" w:ascii="宋体" w:hAnsi="宋体"/>
                <w:b/>
                <w:bCs/>
                <w:sz w:val="22"/>
                <w:szCs w:val="22"/>
              </w:rPr>
              <w:t>投标文件服务响应</w:t>
            </w:r>
          </w:p>
        </w:tc>
        <w:tc>
          <w:tcPr>
            <w:tcW w:w="925" w:type="pct"/>
            <w:tcBorders>
              <w:top w:val="single" w:color="auto" w:sz="4" w:space="0"/>
              <w:left w:val="nil"/>
              <w:bottom w:val="single" w:color="auto" w:sz="4" w:space="0"/>
              <w:right w:val="single" w:color="auto" w:sz="4" w:space="0"/>
            </w:tcBorders>
            <w:shd w:val="clear" w:color="auto" w:fill="BDD6EE" w:themeFill="accent1" w:themeFillTint="66"/>
            <w:vAlign w:val="center"/>
          </w:tcPr>
          <w:p w14:paraId="569CA294">
            <w:pPr>
              <w:spacing w:line="360" w:lineRule="auto"/>
              <w:jc w:val="center"/>
              <w:rPr>
                <w:rFonts w:ascii="宋体" w:hAnsi="宋体"/>
                <w:b/>
                <w:bCs/>
                <w:sz w:val="22"/>
                <w:szCs w:val="22"/>
              </w:rPr>
            </w:pPr>
            <w:r>
              <w:rPr>
                <w:rFonts w:hint="eastAsia" w:ascii="宋体" w:hAnsi="宋体"/>
                <w:b/>
                <w:bCs/>
                <w:sz w:val="22"/>
                <w:szCs w:val="22"/>
              </w:rPr>
              <w:t>偏离情况</w:t>
            </w:r>
          </w:p>
        </w:tc>
        <w:tc>
          <w:tcPr>
            <w:tcW w:w="832" w:type="pct"/>
            <w:tcBorders>
              <w:top w:val="single" w:color="auto" w:sz="4" w:space="0"/>
              <w:left w:val="nil"/>
              <w:bottom w:val="single" w:color="auto" w:sz="4" w:space="0"/>
              <w:right w:val="single" w:color="auto" w:sz="4" w:space="0"/>
            </w:tcBorders>
            <w:shd w:val="clear" w:color="auto" w:fill="BDD6EE" w:themeFill="accent1" w:themeFillTint="66"/>
            <w:vAlign w:val="center"/>
          </w:tcPr>
          <w:p w14:paraId="004141FC">
            <w:pPr>
              <w:spacing w:line="360" w:lineRule="auto"/>
              <w:jc w:val="center"/>
              <w:rPr>
                <w:rFonts w:ascii="宋体" w:hAnsi="宋体"/>
                <w:b/>
                <w:bCs/>
                <w:sz w:val="22"/>
                <w:szCs w:val="22"/>
              </w:rPr>
            </w:pPr>
            <w:r>
              <w:rPr>
                <w:rFonts w:hint="eastAsia" w:ascii="宋体" w:hAnsi="宋体"/>
                <w:b/>
                <w:bCs/>
                <w:sz w:val="22"/>
                <w:szCs w:val="22"/>
              </w:rPr>
              <w:t>说明</w:t>
            </w:r>
          </w:p>
        </w:tc>
      </w:tr>
      <w:tr w14:paraId="17C7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88" w:type="pct"/>
            <w:tcBorders>
              <w:top w:val="single" w:color="auto" w:sz="4" w:space="0"/>
              <w:left w:val="single" w:color="auto" w:sz="4" w:space="0"/>
              <w:bottom w:val="single" w:color="auto" w:sz="4" w:space="0"/>
              <w:right w:val="single" w:color="auto" w:sz="4" w:space="0"/>
            </w:tcBorders>
          </w:tcPr>
          <w:p w14:paraId="2EA3120D">
            <w:pPr>
              <w:spacing w:line="360" w:lineRule="auto"/>
              <w:jc w:val="center"/>
              <w:rPr>
                <w:rFonts w:ascii="宋体" w:hAnsi="宋体"/>
                <w:sz w:val="22"/>
                <w:szCs w:val="22"/>
              </w:rPr>
            </w:pPr>
            <w:r>
              <w:rPr>
                <w:rFonts w:hint="eastAsia" w:ascii="宋体" w:hAnsi="宋体"/>
                <w:sz w:val="22"/>
                <w:szCs w:val="22"/>
              </w:rPr>
              <w:t>1</w:t>
            </w:r>
          </w:p>
        </w:tc>
        <w:tc>
          <w:tcPr>
            <w:tcW w:w="1407" w:type="pct"/>
            <w:tcBorders>
              <w:top w:val="single" w:color="auto" w:sz="4" w:space="0"/>
              <w:left w:val="nil"/>
              <w:bottom w:val="single" w:color="auto" w:sz="4" w:space="0"/>
              <w:right w:val="single" w:color="auto" w:sz="4" w:space="0"/>
            </w:tcBorders>
          </w:tcPr>
          <w:p w14:paraId="5A9C7A16">
            <w:pPr>
              <w:spacing w:line="360" w:lineRule="auto"/>
              <w:rPr>
                <w:rFonts w:ascii="宋体" w:hAnsi="宋体"/>
                <w:sz w:val="22"/>
                <w:szCs w:val="22"/>
              </w:rPr>
            </w:pPr>
          </w:p>
        </w:tc>
        <w:tc>
          <w:tcPr>
            <w:tcW w:w="1246" w:type="pct"/>
            <w:tcBorders>
              <w:top w:val="single" w:color="auto" w:sz="4" w:space="0"/>
              <w:left w:val="nil"/>
              <w:bottom w:val="single" w:color="auto" w:sz="4" w:space="0"/>
              <w:right w:val="single" w:color="auto" w:sz="4" w:space="0"/>
            </w:tcBorders>
          </w:tcPr>
          <w:p w14:paraId="05368D94">
            <w:pPr>
              <w:spacing w:line="360" w:lineRule="auto"/>
              <w:rPr>
                <w:rFonts w:ascii="宋体" w:hAnsi="宋体"/>
                <w:sz w:val="22"/>
                <w:szCs w:val="22"/>
              </w:rPr>
            </w:pPr>
          </w:p>
        </w:tc>
        <w:tc>
          <w:tcPr>
            <w:tcW w:w="925" w:type="pct"/>
            <w:tcBorders>
              <w:top w:val="single" w:color="auto" w:sz="4" w:space="0"/>
              <w:left w:val="nil"/>
              <w:bottom w:val="single" w:color="auto" w:sz="4" w:space="0"/>
              <w:right w:val="single" w:color="auto" w:sz="4" w:space="0"/>
            </w:tcBorders>
          </w:tcPr>
          <w:p w14:paraId="05405BAB">
            <w:pPr>
              <w:spacing w:line="360" w:lineRule="auto"/>
              <w:rPr>
                <w:rFonts w:ascii="宋体" w:hAnsi="宋体"/>
                <w:sz w:val="22"/>
                <w:szCs w:val="22"/>
              </w:rPr>
            </w:pPr>
          </w:p>
        </w:tc>
        <w:tc>
          <w:tcPr>
            <w:tcW w:w="832" w:type="pct"/>
            <w:tcBorders>
              <w:top w:val="single" w:color="auto" w:sz="4" w:space="0"/>
              <w:left w:val="nil"/>
              <w:bottom w:val="single" w:color="auto" w:sz="4" w:space="0"/>
              <w:right w:val="single" w:color="auto" w:sz="4" w:space="0"/>
            </w:tcBorders>
          </w:tcPr>
          <w:p w14:paraId="5A0CB50E">
            <w:pPr>
              <w:spacing w:line="360" w:lineRule="auto"/>
              <w:rPr>
                <w:rFonts w:ascii="宋体" w:hAnsi="宋体"/>
                <w:sz w:val="22"/>
                <w:szCs w:val="22"/>
              </w:rPr>
            </w:pPr>
          </w:p>
        </w:tc>
      </w:tr>
      <w:tr w14:paraId="2D70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88" w:type="pct"/>
            <w:tcBorders>
              <w:top w:val="single" w:color="auto" w:sz="4" w:space="0"/>
              <w:left w:val="single" w:color="auto" w:sz="4" w:space="0"/>
              <w:bottom w:val="single" w:color="auto" w:sz="4" w:space="0"/>
              <w:right w:val="single" w:color="auto" w:sz="4" w:space="0"/>
            </w:tcBorders>
          </w:tcPr>
          <w:p w14:paraId="253F8F7C">
            <w:pPr>
              <w:spacing w:line="360" w:lineRule="auto"/>
              <w:jc w:val="center"/>
              <w:rPr>
                <w:rFonts w:ascii="宋体" w:hAnsi="宋体"/>
                <w:sz w:val="22"/>
                <w:szCs w:val="22"/>
              </w:rPr>
            </w:pPr>
            <w:r>
              <w:rPr>
                <w:rFonts w:hint="eastAsia" w:ascii="宋体" w:hAnsi="宋体"/>
                <w:sz w:val="22"/>
                <w:szCs w:val="22"/>
              </w:rPr>
              <w:t>2</w:t>
            </w:r>
          </w:p>
        </w:tc>
        <w:tc>
          <w:tcPr>
            <w:tcW w:w="1407" w:type="pct"/>
            <w:tcBorders>
              <w:top w:val="single" w:color="auto" w:sz="4" w:space="0"/>
              <w:left w:val="nil"/>
              <w:bottom w:val="single" w:color="auto" w:sz="4" w:space="0"/>
              <w:right w:val="single" w:color="auto" w:sz="4" w:space="0"/>
            </w:tcBorders>
          </w:tcPr>
          <w:p w14:paraId="313A6D6D">
            <w:pPr>
              <w:spacing w:line="360" w:lineRule="auto"/>
              <w:rPr>
                <w:rFonts w:ascii="宋体" w:hAnsi="宋体"/>
                <w:sz w:val="22"/>
                <w:szCs w:val="22"/>
              </w:rPr>
            </w:pPr>
          </w:p>
        </w:tc>
        <w:tc>
          <w:tcPr>
            <w:tcW w:w="1246" w:type="pct"/>
            <w:tcBorders>
              <w:top w:val="single" w:color="auto" w:sz="4" w:space="0"/>
              <w:left w:val="nil"/>
              <w:bottom w:val="single" w:color="auto" w:sz="4" w:space="0"/>
              <w:right w:val="single" w:color="auto" w:sz="4" w:space="0"/>
            </w:tcBorders>
          </w:tcPr>
          <w:p w14:paraId="122929BC">
            <w:pPr>
              <w:spacing w:line="360" w:lineRule="auto"/>
              <w:rPr>
                <w:rFonts w:ascii="宋体" w:hAnsi="宋体"/>
                <w:sz w:val="22"/>
                <w:szCs w:val="22"/>
              </w:rPr>
            </w:pPr>
          </w:p>
        </w:tc>
        <w:tc>
          <w:tcPr>
            <w:tcW w:w="925" w:type="pct"/>
            <w:tcBorders>
              <w:top w:val="single" w:color="auto" w:sz="4" w:space="0"/>
              <w:left w:val="nil"/>
              <w:bottom w:val="single" w:color="auto" w:sz="4" w:space="0"/>
              <w:right w:val="single" w:color="auto" w:sz="4" w:space="0"/>
            </w:tcBorders>
          </w:tcPr>
          <w:p w14:paraId="128B015E">
            <w:pPr>
              <w:spacing w:line="360" w:lineRule="auto"/>
              <w:rPr>
                <w:rFonts w:ascii="宋体" w:hAnsi="宋体"/>
                <w:sz w:val="22"/>
                <w:szCs w:val="22"/>
              </w:rPr>
            </w:pPr>
          </w:p>
        </w:tc>
        <w:tc>
          <w:tcPr>
            <w:tcW w:w="832" w:type="pct"/>
            <w:tcBorders>
              <w:top w:val="single" w:color="auto" w:sz="4" w:space="0"/>
              <w:left w:val="nil"/>
              <w:bottom w:val="single" w:color="auto" w:sz="4" w:space="0"/>
              <w:right w:val="single" w:color="auto" w:sz="4" w:space="0"/>
            </w:tcBorders>
          </w:tcPr>
          <w:p w14:paraId="0CEEA447">
            <w:pPr>
              <w:spacing w:line="360" w:lineRule="auto"/>
              <w:rPr>
                <w:rFonts w:ascii="宋体" w:hAnsi="宋体"/>
                <w:sz w:val="22"/>
                <w:szCs w:val="22"/>
              </w:rPr>
            </w:pPr>
          </w:p>
        </w:tc>
      </w:tr>
      <w:tr w14:paraId="4639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88" w:type="pct"/>
            <w:tcBorders>
              <w:top w:val="single" w:color="auto" w:sz="4" w:space="0"/>
              <w:left w:val="single" w:color="auto" w:sz="4" w:space="0"/>
              <w:bottom w:val="single" w:color="auto" w:sz="4" w:space="0"/>
              <w:right w:val="single" w:color="auto" w:sz="4" w:space="0"/>
            </w:tcBorders>
          </w:tcPr>
          <w:p w14:paraId="3E31432C">
            <w:pPr>
              <w:spacing w:line="360" w:lineRule="auto"/>
              <w:jc w:val="center"/>
              <w:rPr>
                <w:rFonts w:ascii="宋体" w:hAnsi="宋体"/>
                <w:sz w:val="22"/>
                <w:szCs w:val="22"/>
              </w:rPr>
            </w:pPr>
            <w:r>
              <w:rPr>
                <w:rFonts w:hint="eastAsia" w:ascii="宋体" w:hAnsi="宋体"/>
                <w:sz w:val="22"/>
                <w:szCs w:val="22"/>
              </w:rPr>
              <w:t>3</w:t>
            </w:r>
          </w:p>
        </w:tc>
        <w:tc>
          <w:tcPr>
            <w:tcW w:w="1407" w:type="pct"/>
            <w:tcBorders>
              <w:top w:val="single" w:color="auto" w:sz="4" w:space="0"/>
              <w:left w:val="nil"/>
              <w:bottom w:val="single" w:color="auto" w:sz="4" w:space="0"/>
              <w:right w:val="single" w:color="auto" w:sz="4" w:space="0"/>
            </w:tcBorders>
          </w:tcPr>
          <w:p w14:paraId="7C01F010">
            <w:pPr>
              <w:spacing w:line="360" w:lineRule="auto"/>
              <w:rPr>
                <w:rFonts w:ascii="宋体" w:hAnsi="宋体"/>
                <w:sz w:val="22"/>
                <w:szCs w:val="22"/>
              </w:rPr>
            </w:pPr>
          </w:p>
        </w:tc>
        <w:tc>
          <w:tcPr>
            <w:tcW w:w="1246" w:type="pct"/>
            <w:tcBorders>
              <w:top w:val="single" w:color="auto" w:sz="4" w:space="0"/>
              <w:left w:val="nil"/>
              <w:bottom w:val="single" w:color="auto" w:sz="4" w:space="0"/>
              <w:right w:val="single" w:color="auto" w:sz="4" w:space="0"/>
            </w:tcBorders>
          </w:tcPr>
          <w:p w14:paraId="71CA21AE">
            <w:pPr>
              <w:spacing w:line="360" w:lineRule="auto"/>
              <w:rPr>
                <w:rFonts w:ascii="宋体" w:hAnsi="宋体"/>
                <w:sz w:val="22"/>
                <w:szCs w:val="22"/>
              </w:rPr>
            </w:pPr>
          </w:p>
        </w:tc>
        <w:tc>
          <w:tcPr>
            <w:tcW w:w="925" w:type="pct"/>
            <w:tcBorders>
              <w:top w:val="single" w:color="auto" w:sz="4" w:space="0"/>
              <w:left w:val="nil"/>
              <w:bottom w:val="single" w:color="auto" w:sz="4" w:space="0"/>
              <w:right w:val="single" w:color="auto" w:sz="4" w:space="0"/>
            </w:tcBorders>
          </w:tcPr>
          <w:p w14:paraId="5AC1F5A2">
            <w:pPr>
              <w:spacing w:line="360" w:lineRule="auto"/>
              <w:rPr>
                <w:rFonts w:ascii="宋体" w:hAnsi="宋体"/>
                <w:sz w:val="22"/>
                <w:szCs w:val="22"/>
              </w:rPr>
            </w:pPr>
          </w:p>
        </w:tc>
        <w:tc>
          <w:tcPr>
            <w:tcW w:w="832" w:type="pct"/>
            <w:tcBorders>
              <w:top w:val="single" w:color="auto" w:sz="4" w:space="0"/>
              <w:left w:val="nil"/>
              <w:bottom w:val="single" w:color="auto" w:sz="4" w:space="0"/>
              <w:right w:val="single" w:color="auto" w:sz="4" w:space="0"/>
            </w:tcBorders>
          </w:tcPr>
          <w:p w14:paraId="36C6E72A">
            <w:pPr>
              <w:spacing w:line="360" w:lineRule="auto"/>
              <w:rPr>
                <w:rFonts w:ascii="宋体" w:hAnsi="宋体"/>
                <w:sz w:val="22"/>
                <w:szCs w:val="22"/>
              </w:rPr>
            </w:pPr>
          </w:p>
        </w:tc>
      </w:tr>
      <w:tr w14:paraId="3722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88" w:type="pct"/>
            <w:tcBorders>
              <w:top w:val="single" w:color="auto" w:sz="4" w:space="0"/>
              <w:left w:val="single" w:color="auto" w:sz="4" w:space="0"/>
              <w:bottom w:val="single" w:color="auto" w:sz="4" w:space="0"/>
              <w:right w:val="single" w:color="auto" w:sz="4" w:space="0"/>
            </w:tcBorders>
          </w:tcPr>
          <w:p w14:paraId="3C00DB4D">
            <w:pPr>
              <w:spacing w:line="360" w:lineRule="auto"/>
              <w:jc w:val="center"/>
              <w:rPr>
                <w:rFonts w:ascii="宋体" w:hAnsi="宋体"/>
                <w:sz w:val="22"/>
                <w:szCs w:val="22"/>
              </w:rPr>
            </w:pPr>
            <w:r>
              <w:rPr>
                <w:rFonts w:hint="eastAsia" w:ascii="宋体" w:hAnsi="宋体"/>
                <w:sz w:val="22"/>
                <w:szCs w:val="22"/>
              </w:rPr>
              <w:t>……</w:t>
            </w:r>
          </w:p>
        </w:tc>
        <w:tc>
          <w:tcPr>
            <w:tcW w:w="1407" w:type="pct"/>
            <w:tcBorders>
              <w:top w:val="single" w:color="auto" w:sz="4" w:space="0"/>
              <w:left w:val="nil"/>
              <w:bottom w:val="single" w:color="auto" w:sz="4" w:space="0"/>
              <w:right w:val="single" w:color="auto" w:sz="4" w:space="0"/>
            </w:tcBorders>
          </w:tcPr>
          <w:p w14:paraId="7A50B382">
            <w:pPr>
              <w:spacing w:line="360" w:lineRule="auto"/>
              <w:rPr>
                <w:rFonts w:ascii="宋体" w:hAnsi="宋体"/>
                <w:sz w:val="22"/>
                <w:szCs w:val="22"/>
              </w:rPr>
            </w:pPr>
          </w:p>
        </w:tc>
        <w:tc>
          <w:tcPr>
            <w:tcW w:w="1246" w:type="pct"/>
            <w:tcBorders>
              <w:top w:val="single" w:color="auto" w:sz="4" w:space="0"/>
              <w:left w:val="nil"/>
              <w:bottom w:val="single" w:color="auto" w:sz="4" w:space="0"/>
              <w:right w:val="single" w:color="auto" w:sz="4" w:space="0"/>
            </w:tcBorders>
          </w:tcPr>
          <w:p w14:paraId="05EC10F7">
            <w:pPr>
              <w:spacing w:line="360" w:lineRule="auto"/>
              <w:rPr>
                <w:rFonts w:ascii="宋体" w:hAnsi="宋体"/>
                <w:sz w:val="22"/>
                <w:szCs w:val="22"/>
              </w:rPr>
            </w:pPr>
          </w:p>
        </w:tc>
        <w:tc>
          <w:tcPr>
            <w:tcW w:w="925" w:type="pct"/>
            <w:tcBorders>
              <w:top w:val="single" w:color="auto" w:sz="4" w:space="0"/>
              <w:left w:val="nil"/>
              <w:bottom w:val="single" w:color="auto" w:sz="4" w:space="0"/>
              <w:right w:val="single" w:color="auto" w:sz="4" w:space="0"/>
            </w:tcBorders>
          </w:tcPr>
          <w:p w14:paraId="77CA2D81">
            <w:pPr>
              <w:spacing w:line="360" w:lineRule="auto"/>
              <w:rPr>
                <w:rFonts w:ascii="宋体" w:hAnsi="宋体"/>
                <w:sz w:val="22"/>
                <w:szCs w:val="22"/>
              </w:rPr>
            </w:pPr>
          </w:p>
        </w:tc>
        <w:tc>
          <w:tcPr>
            <w:tcW w:w="832" w:type="pct"/>
            <w:tcBorders>
              <w:top w:val="single" w:color="auto" w:sz="4" w:space="0"/>
              <w:left w:val="nil"/>
              <w:bottom w:val="single" w:color="auto" w:sz="4" w:space="0"/>
              <w:right w:val="single" w:color="auto" w:sz="4" w:space="0"/>
            </w:tcBorders>
          </w:tcPr>
          <w:p w14:paraId="57DBDE16">
            <w:pPr>
              <w:spacing w:line="360" w:lineRule="auto"/>
              <w:rPr>
                <w:rFonts w:ascii="宋体" w:hAnsi="宋体"/>
                <w:sz w:val="22"/>
                <w:szCs w:val="22"/>
              </w:rPr>
            </w:pPr>
          </w:p>
        </w:tc>
      </w:tr>
    </w:tbl>
    <w:p w14:paraId="5F3BAC84">
      <w:pPr>
        <w:spacing w:line="360" w:lineRule="auto"/>
        <w:rPr>
          <w:rFonts w:ascii="宋体" w:hAnsi="宋体"/>
          <w:sz w:val="22"/>
          <w:szCs w:val="22"/>
        </w:rPr>
      </w:pPr>
    </w:p>
    <w:p w14:paraId="66F33C72">
      <w:pPr>
        <w:spacing w:line="360" w:lineRule="auto"/>
        <w:rPr>
          <w:rFonts w:ascii="宋体" w:hAnsi="宋体"/>
          <w:sz w:val="22"/>
          <w:szCs w:val="22"/>
        </w:rPr>
      </w:pPr>
      <w:r>
        <w:rPr>
          <w:rFonts w:hint="eastAsia" w:ascii="宋体" w:hAnsi="宋体"/>
          <w:sz w:val="22"/>
          <w:szCs w:val="22"/>
        </w:rPr>
        <w:t>注：</w:t>
      </w:r>
    </w:p>
    <w:p w14:paraId="16D4832F">
      <w:pPr>
        <w:spacing w:line="360" w:lineRule="auto"/>
        <w:ind w:left="425" w:hanging="425"/>
        <w:rPr>
          <w:rFonts w:ascii="宋体" w:hAnsi="宋体"/>
          <w:b/>
          <w:bCs/>
          <w:color w:val="FF0000"/>
          <w:sz w:val="22"/>
          <w:szCs w:val="22"/>
          <w:highlight w:val="yellow"/>
        </w:rPr>
      </w:pPr>
      <w:r>
        <w:rPr>
          <w:rFonts w:ascii="宋体" w:hAnsi="宋体"/>
          <w:b/>
          <w:bCs/>
          <w:color w:val="FF0000"/>
          <w:sz w:val="22"/>
          <w:szCs w:val="22"/>
          <w:highlight w:val="yellow"/>
        </w:rPr>
        <w:t>1.</w:t>
      </w:r>
      <w:r>
        <w:rPr>
          <w:rFonts w:hint="eastAsia" w:ascii="宋体" w:hAnsi="宋体"/>
          <w:b/>
          <w:bCs/>
          <w:color w:val="FF0000"/>
          <w:sz w:val="22"/>
          <w:szCs w:val="22"/>
          <w:highlight w:val="yellow"/>
        </w:rPr>
        <w:t>投标人必须对应招标文件“第二章招标项目需求”中“具体服务要求”逐条响应。</w:t>
      </w:r>
    </w:p>
    <w:p w14:paraId="04457038">
      <w:pPr>
        <w:spacing w:line="360" w:lineRule="auto"/>
        <w:ind w:left="425" w:hanging="425"/>
        <w:rPr>
          <w:rFonts w:ascii="宋体" w:hAnsi="宋体"/>
          <w:sz w:val="22"/>
          <w:szCs w:val="22"/>
        </w:rPr>
      </w:pPr>
      <w:r>
        <w:rPr>
          <w:rFonts w:ascii="宋体" w:hAnsi="宋体"/>
          <w:sz w:val="22"/>
          <w:szCs w:val="22"/>
        </w:rPr>
        <w:t>2.</w:t>
      </w:r>
      <w:r>
        <w:rPr>
          <w:rFonts w:hint="eastAsia" w:ascii="宋体" w:hAnsi="宋体"/>
          <w:sz w:val="22"/>
          <w:szCs w:val="22"/>
        </w:rPr>
        <w:t>“偏离情况”一栏应如实填写“正偏离”、“负偏离”或“无偏离”。</w:t>
      </w:r>
    </w:p>
    <w:p w14:paraId="1AE449DE">
      <w:pPr>
        <w:spacing w:line="360" w:lineRule="exact"/>
        <w:rPr>
          <w:rFonts w:ascii="宋体" w:hAnsi="宋体" w:cs="宋体"/>
          <w:bCs/>
          <w:sz w:val="22"/>
          <w:szCs w:val="22"/>
        </w:rPr>
      </w:pPr>
    </w:p>
    <w:p w14:paraId="1A7119E4">
      <w:pPr>
        <w:spacing w:line="360" w:lineRule="auto"/>
        <w:rPr>
          <w:rFonts w:ascii="Times New Roman" w:hAnsi="Times New Roman"/>
          <w:sz w:val="22"/>
          <w:szCs w:val="22"/>
        </w:rPr>
      </w:pPr>
      <w:r>
        <w:rPr>
          <w:rFonts w:hint="eastAsia" w:ascii="Times New Roman" w:hAnsi="Times New Roman"/>
          <w:sz w:val="22"/>
          <w:szCs w:val="22"/>
        </w:rPr>
        <w:t xml:space="preserve">投标人名称（盖章）：                        </w:t>
      </w:r>
    </w:p>
    <w:p w14:paraId="36C21358">
      <w:pPr>
        <w:spacing w:line="360" w:lineRule="auto"/>
        <w:rPr>
          <w:rFonts w:ascii="Times New Roman" w:hAnsi="Times New Roman"/>
          <w:sz w:val="22"/>
          <w:szCs w:val="22"/>
        </w:rPr>
      </w:pPr>
      <w:r>
        <w:rPr>
          <w:rFonts w:hint="eastAsia" w:ascii="Times New Roman" w:hAnsi="Times New Roman"/>
          <w:sz w:val="22"/>
          <w:szCs w:val="22"/>
        </w:rPr>
        <w:t>日期：   年   月   日</w:t>
      </w:r>
    </w:p>
    <w:p w14:paraId="16C8A5C5">
      <w:pPr>
        <w:adjustRightInd w:val="0"/>
        <w:snapToGrid w:val="0"/>
        <w:spacing w:line="360" w:lineRule="exact"/>
        <w:rPr>
          <w:rFonts w:ascii="宋体" w:hAnsi="宋体" w:cs="宋体"/>
          <w:bCs/>
          <w:sz w:val="22"/>
        </w:rPr>
      </w:pPr>
    </w:p>
    <w:p w14:paraId="58B0C2CF">
      <w:pPr>
        <w:adjustRightInd w:val="0"/>
        <w:snapToGrid w:val="0"/>
        <w:spacing w:line="360" w:lineRule="exact"/>
        <w:rPr>
          <w:rFonts w:ascii="宋体" w:hAnsi="宋体" w:cs="宋体"/>
          <w:bCs/>
          <w:sz w:val="22"/>
        </w:rPr>
      </w:pPr>
    </w:p>
    <w:p w14:paraId="2D4F80B4">
      <w:pPr>
        <w:rPr>
          <w:rFonts w:ascii="宋体" w:hAnsi="宋体" w:cs="宋体"/>
          <w:bCs/>
          <w:sz w:val="22"/>
        </w:rPr>
      </w:pPr>
      <w:r>
        <w:rPr>
          <w:rFonts w:hint="eastAsia" w:ascii="宋体" w:hAnsi="宋体" w:cs="宋体"/>
          <w:bCs/>
          <w:sz w:val="22"/>
        </w:rPr>
        <w:br w:type="page"/>
      </w:r>
    </w:p>
    <w:p w14:paraId="2422DA13">
      <w:pPr>
        <w:numPr>
          <w:ilvl w:val="0"/>
          <w:numId w:val="8"/>
        </w:numPr>
        <w:ind w:firstLine="0"/>
        <w:jc w:val="center"/>
        <w:outlineLvl w:val="2"/>
        <w:rPr>
          <w:b/>
          <w:bCs/>
          <w:sz w:val="32"/>
          <w:szCs w:val="32"/>
        </w:rPr>
      </w:pPr>
      <w:r>
        <w:rPr>
          <w:rFonts w:hint="eastAsia"/>
          <w:b/>
          <w:bCs/>
          <w:sz w:val="32"/>
          <w:szCs w:val="32"/>
        </w:rPr>
        <w:t>实质性条款响应情况表</w:t>
      </w:r>
    </w:p>
    <w:p w14:paraId="3A880ABF">
      <w:pPr>
        <w:pStyle w:val="10"/>
      </w:pP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5610"/>
        <w:gridCol w:w="2114"/>
      </w:tblGrid>
      <w:tr w14:paraId="5EB9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shd w:val="clear" w:color="auto" w:fill="DCE6F2"/>
            <w:vAlign w:val="center"/>
          </w:tcPr>
          <w:p w14:paraId="788A3D22">
            <w:pPr>
              <w:adjustRightInd w:val="0"/>
              <w:snapToGrid w:val="0"/>
              <w:spacing w:line="360" w:lineRule="auto"/>
              <w:jc w:val="center"/>
              <w:rPr>
                <w:rFonts w:ascii="宋体" w:hAnsi="宋体" w:cs="宋体"/>
                <w:kern w:val="0"/>
                <w:sz w:val="22"/>
                <w:szCs w:val="22"/>
              </w:rPr>
            </w:pPr>
            <w:r>
              <w:rPr>
                <w:rFonts w:hint="eastAsia" w:ascii="宋体" w:hAnsi="宋体" w:cs="宋体"/>
                <w:kern w:val="0"/>
                <w:sz w:val="22"/>
                <w:szCs w:val="22"/>
              </w:rPr>
              <w:t>序号</w:t>
            </w:r>
          </w:p>
        </w:tc>
        <w:tc>
          <w:tcPr>
            <w:tcW w:w="3289" w:type="pct"/>
            <w:shd w:val="clear" w:color="auto" w:fill="DCE6F2"/>
            <w:vAlign w:val="center"/>
          </w:tcPr>
          <w:p w14:paraId="09DCD9F7">
            <w:pPr>
              <w:adjustRightInd w:val="0"/>
              <w:snapToGrid w:val="0"/>
              <w:spacing w:line="360" w:lineRule="auto"/>
              <w:jc w:val="center"/>
              <w:rPr>
                <w:rFonts w:ascii="宋体" w:hAnsi="宋体" w:cs="宋体"/>
                <w:kern w:val="0"/>
                <w:sz w:val="22"/>
                <w:szCs w:val="22"/>
              </w:rPr>
            </w:pPr>
            <w:r>
              <w:rPr>
                <w:rFonts w:hint="eastAsia" w:ascii="宋体" w:hAnsi="宋体" w:cs="宋体"/>
                <w:kern w:val="0"/>
                <w:sz w:val="22"/>
                <w:szCs w:val="22"/>
              </w:rPr>
              <w:t>具体内容</w:t>
            </w:r>
          </w:p>
        </w:tc>
        <w:tc>
          <w:tcPr>
            <w:tcW w:w="1239" w:type="pct"/>
            <w:shd w:val="clear" w:color="auto" w:fill="DCE6F2"/>
            <w:vAlign w:val="center"/>
          </w:tcPr>
          <w:p w14:paraId="5935B5D6">
            <w:pPr>
              <w:adjustRightInd w:val="0"/>
              <w:snapToGrid w:val="0"/>
              <w:spacing w:line="360" w:lineRule="auto"/>
              <w:jc w:val="center"/>
              <w:rPr>
                <w:rFonts w:ascii="宋体" w:hAnsi="宋体" w:cs="宋体"/>
                <w:kern w:val="0"/>
                <w:sz w:val="22"/>
                <w:szCs w:val="22"/>
              </w:rPr>
            </w:pPr>
            <w:r>
              <w:rPr>
                <w:rFonts w:hint="eastAsia" w:ascii="宋体" w:hAnsi="宋体" w:cs="宋体"/>
                <w:kern w:val="0"/>
                <w:sz w:val="22"/>
                <w:szCs w:val="22"/>
              </w:rPr>
              <w:t>投标人响应情况</w:t>
            </w:r>
          </w:p>
        </w:tc>
      </w:tr>
      <w:tr w14:paraId="0225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14:paraId="52E71BCA">
            <w:pPr>
              <w:adjustRightInd w:val="0"/>
              <w:snapToGrid w:val="0"/>
              <w:spacing w:line="360" w:lineRule="auto"/>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3289" w:type="pct"/>
            <w:vAlign w:val="center"/>
          </w:tcPr>
          <w:p w14:paraId="4C4B9651">
            <w:pPr>
              <w:adjustRightInd w:val="0"/>
              <w:snapToGrid w:val="0"/>
              <w:spacing w:line="360" w:lineRule="auto"/>
              <w:jc w:val="center"/>
              <w:rPr>
                <w:rFonts w:hint="eastAsia" w:ascii="宋体" w:hAnsi="宋体" w:eastAsia="宋体" w:cs="宋体"/>
                <w:kern w:val="0"/>
                <w:sz w:val="22"/>
                <w:szCs w:val="22"/>
              </w:rPr>
            </w:pPr>
            <w:r>
              <w:rPr>
                <w:rFonts w:hint="eastAsia" w:ascii="宋体" w:hAnsi="宋体" w:eastAsia="宋体" w:cs="宋体"/>
                <w:kern w:val="0"/>
                <w:sz w:val="22"/>
                <w:szCs w:val="22"/>
              </w:rPr>
              <w:t>满足本项目标★的条款要求。</w:t>
            </w:r>
          </w:p>
        </w:tc>
        <w:tc>
          <w:tcPr>
            <w:tcW w:w="1239" w:type="pct"/>
            <w:vAlign w:val="center"/>
          </w:tcPr>
          <w:p w14:paraId="248578F3">
            <w:pPr>
              <w:adjustRightInd w:val="0"/>
              <w:snapToGrid w:val="0"/>
              <w:spacing w:line="360" w:lineRule="auto"/>
              <w:jc w:val="left"/>
              <w:rPr>
                <w:rFonts w:ascii="宋体" w:hAnsi="宋体" w:cs="宋体"/>
                <w:kern w:val="0"/>
                <w:szCs w:val="21"/>
              </w:rPr>
            </w:pPr>
          </w:p>
        </w:tc>
      </w:tr>
    </w:tbl>
    <w:p w14:paraId="671C5657">
      <w:pPr>
        <w:spacing w:line="360" w:lineRule="auto"/>
        <w:ind w:left="425" w:hanging="425"/>
        <w:rPr>
          <w:rFonts w:ascii="宋体" w:hAnsi="宋体"/>
          <w:sz w:val="22"/>
          <w:szCs w:val="22"/>
        </w:rPr>
      </w:pPr>
    </w:p>
    <w:p w14:paraId="4D5CA41C">
      <w:pPr>
        <w:keepNext w:val="0"/>
        <w:keepLines w:val="0"/>
        <w:pageBreakBefore w:val="0"/>
        <w:widowControl w:val="0"/>
        <w:kinsoku/>
        <w:wordWrap/>
        <w:overflowPunct/>
        <w:topLinePunct w:val="0"/>
        <w:autoSpaceDE/>
        <w:autoSpaceDN/>
        <w:bidi w:val="0"/>
        <w:adjustRightInd w:val="0"/>
        <w:snapToGrid w:val="0"/>
        <w:spacing w:line="360" w:lineRule="exact"/>
        <w:ind w:left="0" w:firstLine="0"/>
        <w:textAlignment w:val="auto"/>
        <w:rPr>
          <w:rFonts w:ascii="宋体" w:hAnsi="宋体"/>
          <w:sz w:val="22"/>
          <w:szCs w:val="22"/>
        </w:rPr>
      </w:pPr>
      <w:r>
        <w:rPr>
          <w:rFonts w:hint="eastAsia" w:ascii="宋体" w:hAnsi="宋体"/>
          <w:sz w:val="22"/>
          <w:szCs w:val="22"/>
        </w:rPr>
        <w:t>注：</w:t>
      </w:r>
    </w:p>
    <w:p w14:paraId="3968A703">
      <w:pPr>
        <w:keepNext w:val="0"/>
        <w:keepLines w:val="0"/>
        <w:pageBreakBefore w:val="0"/>
        <w:widowControl w:val="0"/>
        <w:kinsoku/>
        <w:wordWrap/>
        <w:overflowPunct/>
        <w:topLinePunct w:val="0"/>
        <w:autoSpaceDE/>
        <w:autoSpaceDN/>
        <w:bidi w:val="0"/>
        <w:adjustRightInd w:val="0"/>
        <w:snapToGrid w:val="0"/>
        <w:spacing w:line="360" w:lineRule="exact"/>
        <w:ind w:left="0" w:firstLine="0"/>
        <w:textAlignment w:val="auto"/>
        <w:rPr>
          <w:rFonts w:ascii="宋体" w:hAnsi="宋体"/>
          <w:sz w:val="22"/>
          <w:szCs w:val="22"/>
        </w:rPr>
      </w:pPr>
      <w:r>
        <w:rPr>
          <w:rFonts w:hint="eastAsia" w:ascii="宋体" w:hAnsi="宋体"/>
          <w:sz w:val="22"/>
          <w:szCs w:val="22"/>
        </w:rPr>
        <w:t>1. 上表所列内容为不可负偏离条款。</w:t>
      </w:r>
    </w:p>
    <w:p w14:paraId="6A4B75D3">
      <w:pPr>
        <w:keepNext w:val="0"/>
        <w:keepLines w:val="0"/>
        <w:pageBreakBefore w:val="0"/>
        <w:widowControl w:val="0"/>
        <w:kinsoku/>
        <w:wordWrap/>
        <w:overflowPunct/>
        <w:topLinePunct w:val="0"/>
        <w:autoSpaceDE/>
        <w:autoSpaceDN/>
        <w:bidi w:val="0"/>
        <w:adjustRightInd w:val="0"/>
        <w:snapToGrid w:val="0"/>
        <w:spacing w:line="360" w:lineRule="exact"/>
        <w:ind w:left="0" w:firstLine="0"/>
        <w:textAlignment w:val="auto"/>
        <w:rPr>
          <w:rFonts w:ascii="宋体" w:hAnsi="宋体"/>
          <w:sz w:val="22"/>
          <w:szCs w:val="22"/>
          <w:highlight w:val="yellow"/>
        </w:rPr>
      </w:pPr>
      <w:r>
        <w:rPr>
          <w:rFonts w:hint="eastAsia" w:ascii="宋体" w:hAnsi="宋体"/>
          <w:sz w:val="22"/>
          <w:szCs w:val="22"/>
          <w:highlight w:val="yellow"/>
        </w:rPr>
        <w:t>2.</w:t>
      </w:r>
      <w:r>
        <w:rPr>
          <w:rFonts w:hint="eastAsia" w:ascii="宋体" w:hAnsi="宋体"/>
          <w:b/>
          <w:bCs/>
          <w:sz w:val="22"/>
          <w:szCs w:val="22"/>
          <w:highlight w:val="yellow"/>
        </w:rPr>
        <w:t>“投标人响应情况”一栏应如实填写“响应”或“不响应”</w:t>
      </w:r>
      <w:r>
        <w:rPr>
          <w:rFonts w:hint="eastAsia" w:ascii="宋体" w:hAnsi="宋体"/>
          <w:sz w:val="22"/>
          <w:szCs w:val="22"/>
          <w:highlight w:val="yellow"/>
        </w:rPr>
        <w:t>。</w:t>
      </w:r>
    </w:p>
    <w:p w14:paraId="1121771C">
      <w:pPr>
        <w:keepNext w:val="0"/>
        <w:keepLines w:val="0"/>
        <w:pageBreakBefore w:val="0"/>
        <w:widowControl w:val="0"/>
        <w:kinsoku/>
        <w:wordWrap/>
        <w:overflowPunct/>
        <w:topLinePunct w:val="0"/>
        <w:autoSpaceDE/>
        <w:autoSpaceDN/>
        <w:bidi w:val="0"/>
        <w:adjustRightInd w:val="0"/>
        <w:snapToGrid w:val="0"/>
        <w:spacing w:line="360" w:lineRule="exact"/>
        <w:ind w:left="0" w:firstLine="0"/>
        <w:textAlignment w:val="auto"/>
        <w:rPr>
          <w:rFonts w:hint="eastAsia" w:ascii="宋体" w:hAnsi="宋体" w:eastAsia="宋体" w:cs="Times New Roman"/>
          <w:sz w:val="22"/>
          <w:szCs w:val="22"/>
        </w:rPr>
      </w:pPr>
      <w:r>
        <w:rPr>
          <w:rFonts w:hint="eastAsia" w:ascii="宋体" w:hAnsi="宋体"/>
          <w:sz w:val="22"/>
          <w:szCs w:val="22"/>
        </w:rPr>
        <w:t>3. “实质性</w:t>
      </w:r>
      <w:r>
        <w:rPr>
          <w:rFonts w:hint="eastAsia" w:ascii="宋体" w:hAnsi="宋体" w:eastAsia="宋体" w:cs="Times New Roman"/>
          <w:sz w:val="22"/>
          <w:szCs w:val="22"/>
        </w:rPr>
        <w:t>响应条款响应情况”与投标文件其它内容冲突的，以“实质性响应条款响应情况”为准。</w:t>
      </w:r>
    </w:p>
    <w:p w14:paraId="3E634592">
      <w:pPr>
        <w:keepNext w:val="0"/>
        <w:keepLines w:val="0"/>
        <w:pageBreakBefore w:val="0"/>
        <w:widowControl w:val="0"/>
        <w:kinsoku/>
        <w:wordWrap/>
        <w:overflowPunct/>
        <w:topLinePunct w:val="0"/>
        <w:autoSpaceDE/>
        <w:autoSpaceDN/>
        <w:bidi w:val="0"/>
        <w:adjustRightInd w:val="0"/>
        <w:snapToGrid w:val="0"/>
        <w:spacing w:line="360" w:lineRule="exact"/>
        <w:ind w:left="0" w:firstLine="0"/>
        <w:textAlignment w:val="auto"/>
        <w:rPr>
          <w:rFonts w:hint="default" w:ascii="宋体" w:hAnsi="宋体" w:eastAsia="宋体" w:cs="Times New Roman"/>
          <w:sz w:val="22"/>
          <w:szCs w:val="22"/>
          <w:lang w:val="en-US" w:eastAsia="zh-CN"/>
        </w:rPr>
      </w:pPr>
      <w:r>
        <w:rPr>
          <w:rFonts w:hint="eastAsia" w:ascii="宋体" w:hAnsi="宋体" w:eastAsia="宋体" w:cs="Times New Roman"/>
          <w:sz w:val="22"/>
          <w:szCs w:val="22"/>
          <w:lang w:val="en-US" w:eastAsia="zh-CN"/>
        </w:rPr>
        <w:t>4.</w:t>
      </w:r>
      <w:r>
        <w:rPr>
          <w:rFonts w:hint="eastAsia" w:ascii="宋体" w:hAnsi="宋体" w:eastAsia="宋体" w:cs="Times New Roman"/>
          <w:sz w:val="22"/>
          <w:szCs w:val="22"/>
        </w:rPr>
        <w:t>如实质性条款要求提供证明材料的，需按招标文件求提供。</w:t>
      </w:r>
    </w:p>
    <w:p w14:paraId="19F6CE52">
      <w:pPr>
        <w:pStyle w:val="20"/>
        <w:rPr>
          <w:b/>
        </w:rPr>
      </w:pPr>
    </w:p>
    <w:p w14:paraId="57B37B81">
      <w:pPr>
        <w:pStyle w:val="20"/>
        <w:rPr>
          <w:b/>
        </w:rPr>
      </w:pPr>
    </w:p>
    <w:p w14:paraId="58A46926">
      <w:pPr>
        <w:pStyle w:val="20"/>
        <w:rPr>
          <w:b/>
        </w:rPr>
      </w:pPr>
    </w:p>
    <w:p w14:paraId="4FD78EDA">
      <w:pPr>
        <w:pStyle w:val="20"/>
        <w:rPr>
          <w:b/>
        </w:rPr>
      </w:pPr>
    </w:p>
    <w:p w14:paraId="166B1AA6">
      <w:pPr>
        <w:rPr>
          <w:rFonts w:ascii="宋体" w:hAnsi="宋体" w:cs="宋体"/>
          <w:b/>
          <w:bCs/>
          <w:sz w:val="32"/>
        </w:rPr>
      </w:pPr>
      <w:r>
        <w:rPr>
          <w:rFonts w:hint="eastAsia" w:ascii="宋体" w:hAnsi="宋体" w:cs="宋体"/>
          <w:b/>
          <w:bCs/>
          <w:sz w:val="32"/>
        </w:rPr>
        <w:br w:type="page"/>
      </w:r>
    </w:p>
    <w:p w14:paraId="78574459">
      <w:pPr>
        <w:numPr>
          <w:ilvl w:val="0"/>
          <w:numId w:val="8"/>
        </w:numPr>
        <w:ind w:firstLine="0"/>
        <w:jc w:val="center"/>
        <w:outlineLvl w:val="2"/>
        <w:rPr>
          <w:rFonts w:ascii="宋体" w:hAnsi="宋体" w:cs="宋体"/>
          <w:b/>
          <w:bCs/>
          <w:sz w:val="32"/>
        </w:rPr>
      </w:pPr>
      <w:r>
        <w:rPr>
          <w:rFonts w:hint="eastAsia" w:ascii="宋体" w:hAnsi="宋体" w:cs="宋体"/>
          <w:b/>
          <w:bCs/>
          <w:sz w:val="32"/>
        </w:rPr>
        <w:t>中小企业、残疾人福利性单位和监狱企业政策导向</w:t>
      </w:r>
    </w:p>
    <w:p w14:paraId="0C782987">
      <w:pPr>
        <w:adjustRightInd w:val="0"/>
        <w:snapToGrid w:val="0"/>
        <w:spacing w:line="360" w:lineRule="exact"/>
        <w:ind w:firstLine="440" w:firstLineChars="200"/>
        <w:jc w:val="center"/>
        <w:rPr>
          <w:rFonts w:ascii="宋体" w:hAnsi="宋体" w:cs="宋体"/>
          <w:sz w:val="22"/>
        </w:rPr>
      </w:pPr>
      <w:r>
        <w:rPr>
          <w:rFonts w:hint="eastAsia" w:ascii="宋体" w:hAnsi="宋体" w:cs="宋体"/>
          <w:sz w:val="22"/>
        </w:rPr>
        <w:t>（如符合则提供）</w:t>
      </w:r>
    </w:p>
    <w:p w14:paraId="43ADD765">
      <w:pPr>
        <w:spacing w:line="360" w:lineRule="auto"/>
        <w:ind w:firstLine="440" w:firstLineChars="200"/>
        <w:rPr>
          <w:rFonts w:ascii="宋体" w:hAnsi="宋体" w:cs="宋体"/>
          <w:bCs/>
          <w:sz w:val="22"/>
          <w:szCs w:val="22"/>
        </w:rPr>
      </w:pPr>
      <w:r>
        <w:rPr>
          <w:rFonts w:hint="eastAsia" w:ascii="宋体" w:hAnsi="宋体" w:cs="宋体"/>
          <w:bCs/>
          <w:sz w:val="22"/>
          <w:szCs w:val="22"/>
        </w:rPr>
        <w:t>填写指引：</w:t>
      </w:r>
    </w:p>
    <w:p w14:paraId="3FCCD52D">
      <w:pPr>
        <w:spacing w:line="360" w:lineRule="auto"/>
        <w:ind w:firstLine="440" w:firstLineChars="200"/>
        <w:rPr>
          <w:rFonts w:ascii="宋体" w:hAnsi="宋体" w:cs="宋体"/>
          <w:bCs/>
          <w:sz w:val="22"/>
          <w:szCs w:val="22"/>
        </w:rPr>
      </w:pPr>
      <w:r>
        <w:rPr>
          <w:rFonts w:hint="eastAsia" w:ascii="宋体" w:hAnsi="宋体" w:cs="宋体"/>
          <w:bCs/>
          <w:sz w:val="22"/>
          <w:szCs w:val="22"/>
        </w:rPr>
        <w:t>1、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2011】300号）或向深圳市中小企业服务局咨询。</w:t>
      </w:r>
    </w:p>
    <w:p w14:paraId="094D3E02">
      <w:pPr>
        <w:spacing w:line="360" w:lineRule="auto"/>
        <w:ind w:firstLine="440" w:firstLineChars="200"/>
        <w:rPr>
          <w:rFonts w:ascii="宋体" w:hAnsi="宋体" w:cs="宋体"/>
          <w:bCs/>
          <w:sz w:val="22"/>
          <w:szCs w:val="22"/>
        </w:rPr>
      </w:pPr>
      <w:r>
        <w:rPr>
          <w:rFonts w:hint="eastAsia" w:ascii="宋体" w:hAnsi="宋体" w:cs="宋体"/>
          <w:bCs/>
          <w:sz w:val="22"/>
          <w:szCs w:val="22"/>
        </w:rPr>
        <w:t>2、该部分内容填写需要参考的相关文件：（1）《深圳市财政局关于落实有关政府采购优惠政策的意见》（深财购函【2019】868号）；(2)财政部《政府采购促进中小企业发展管理办法》；(3) 《工业和信息化部、国家统计局、国家发展和改革委员会、财政部关于印发中小企业划型标准规定的通知》（工信部联企业〔2011〕300 号）。</w:t>
      </w:r>
    </w:p>
    <w:p w14:paraId="2CF7506A">
      <w:pPr>
        <w:spacing w:line="360" w:lineRule="auto"/>
        <w:ind w:firstLine="440" w:firstLineChars="200"/>
        <w:rPr>
          <w:rFonts w:ascii="宋体" w:hAnsi="宋体" w:cs="宋体"/>
          <w:bCs/>
          <w:sz w:val="22"/>
          <w:szCs w:val="22"/>
        </w:rPr>
      </w:pPr>
      <w:r>
        <w:rPr>
          <w:rFonts w:hint="eastAsia" w:ascii="宋体" w:hAnsi="宋体" w:cs="宋体"/>
          <w:bCs/>
          <w:sz w:val="22"/>
          <w:szCs w:val="22"/>
        </w:rPr>
        <w:t>3、请依照提供的格式和内容填写声明函，不要随意变更格式或增删内容；满足多项优惠政策的企业，不重复享受多项价格扣除政策。</w:t>
      </w:r>
    </w:p>
    <w:p w14:paraId="3BD0B5FA">
      <w:pPr>
        <w:spacing w:line="360" w:lineRule="auto"/>
        <w:ind w:firstLine="440" w:firstLineChars="200"/>
        <w:rPr>
          <w:rFonts w:ascii="宋体" w:hAnsi="宋体" w:cs="宋体"/>
          <w:bCs/>
          <w:sz w:val="22"/>
          <w:szCs w:val="22"/>
        </w:rPr>
      </w:pPr>
      <w:r>
        <w:rPr>
          <w:rFonts w:hint="eastAsia" w:ascii="宋体" w:hAnsi="宋体" w:cs="宋体"/>
          <w:bCs/>
          <w:sz w:val="22"/>
          <w:szCs w:val="22"/>
        </w:rPr>
        <w:t>4、声明函具体填写要求：</w:t>
      </w:r>
    </w:p>
    <w:p w14:paraId="204D86F4">
      <w:pPr>
        <w:spacing w:line="360" w:lineRule="auto"/>
        <w:ind w:firstLine="442" w:firstLineChars="200"/>
        <w:rPr>
          <w:rFonts w:ascii="宋体" w:hAnsi="宋体" w:cs="宋体"/>
          <w:b/>
          <w:sz w:val="22"/>
          <w:szCs w:val="22"/>
        </w:rPr>
      </w:pPr>
      <w:r>
        <w:rPr>
          <w:rFonts w:hint="eastAsia" w:ascii="宋体" w:hAnsi="宋体" w:cs="宋体"/>
          <w:b/>
          <w:sz w:val="22"/>
          <w:szCs w:val="22"/>
        </w:rPr>
        <w:t>（1）声明是中小企业须填写《中小企业声明函》的以下内容：</w:t>
      </w:r>
    </w:p>
    <w:p w14:paraId="18DC4B46">
      <w:pPr>
        <w:spacing w:line="360" w:lineRule="auto"/>
        <w:ind w:firstLine="442" w:firstLineChars="200"/>
        <w:rPr>
          <w:rFonts w:ascii="宋体" w:hAnsi="宋体" w:cs="宋体"/>
          <w:b/>
          <w:sz w:val="22"/>
          <w:szCs w:val="22"/>
        </w:rPr>
      </w:pPr>
      <w:r>
        <w:rPr>
          <w:rFonts w:hint="eastAsia" w:ascii="宋体" w:hAnsi="宋体" w:cs="宋体"/>
          <w:b/>
          <w:sz w:val="22"/>
          <w:szCs w:val="22"/>
        </w:rPr>
        <w:t>在“采购单位名称”下划线处填写本项目的实际采购单位名称（深圳东海国际招标有限公司不是本项目的采购单位，而是本项目的组织实施机构）；</w:t>
      </w:r>
    </w:p>
    <w:p w14:paraId="0B00E5D8">
      <w:pPr>
        <w:spacing w:line="360" w:lineRule="auto"/>
        <w:ind w:firstLine="442" w:firstLineChars="200"/>
        <w:rPr>
          <w:rFonts w:ascii="宋体" w:hAnsi="宋体" w:cs="宋体"/>
          <w:b/>
          <w:sz w:val="22"/>
          <w:szCs w:val="22"/>
        </w:rPr>
      </w:pPr>
      <w:r>
        <w:rPr>
          <w:rFonts w:hint="eastAsia" w:ascii="宋体" w:hAnsi="宋体" w:cs="宋体"/>
          <w:b/>
          <w:sz w:val="22"/>
          <w:szCs w:val="22"/>
        </w:rPr>
        <w:t>在“采购项目名称”下划线处填写本项目的实际项目名称（项目名称可在招标公告处查看）；</w:t>
      </w:r>
    </w:p>
    <w:p w14:paraId="57624BB8">
      <w:pPr>
        <w:spacing w:line="360" w:lineRule="auto"/>
        <w:ind w:firstLine="442" w:firstLineChars="200"/>
        <w:rPr>
          <w:b/>
          <w:sz w:val="22"/>
          <w:szCs w:val="22"/>
        </w:rPr>
      </w:pPr>
      <w:r>
        <w:rPr>
          <w:rFonts w:hint="eastAsia" w:ascii="宋体" w:hAnsi="宋体"/>
          <w:b/>
          <w:sz w:val="22"/>
          <w:szCs w:val="22"/>
        </w:rPr>
        <w:t>在“标的名称”下划线处填写招标文件中采购需求中相对应的名称；</w:t>
      </w:r>
    </w:p>
    <w:p w14:paraId="00CDA3BF">
      <w:pPr>
        <w:spacing w:line="360" w:lineRule="auto"/>
        <w:ind w:firstLine="442" w:firstLineChars="200"/>
        <w:rPr>
          <w:rFonts w:hint="eastAsia" w:ascii="宋体" w:hAnsi="宋体"/>
          <w:b/>
          <w:sz w:val="22"/>
          <w:szCs w:val="22"/>
        </w:rPr>
      </w:pPr>
      <w:r>
        <w:rPr>
          <w:rFonts w:hint="eastAsia" w:ascii="宋体" w:hAnsi="宋体"/>
          <w:b/>
          <w:sz w:val="22"/>
          <w:szCs w:val="22"/>
        </w:rPr>
        <w:t>在“采购文件中明确的所属行业”中填写对应的行业类别；</w:t>
      </w:r>
    </w:p>
    <w:p w14:paraId="141EC15F">
      <w:pPr>
        <w:spacing w:line="360" w:lineRule="auto"/>
        <w:ind w:firstLine="442" w:firstLineChars="200"/>
        <w:rPr>
          <w:rFonts w:hint="eastAsia" w:ascii="宋体" w:hAnsi="宋体"/>
          <w:b/>
          <w:sz w:val="22"/>
          <w:szCs w:val="22"/>
        </w:rPr>
      </w:pPr>
      <w:r>
        <w:rPr>
          <w:rFonts w:hint="eastAsia" w:ascii="宋体" w:hAnsi="宋体"/>
          <w:b/>
          <w:sz w:val="22"/>
          <w:szCs w:val="22"/>
        </w:rPr>
        <w:t>在“企业名称”中填写所承接的企业名称，并如实填写该企业需要填报的其他情况；</w:t>
      </w:r>
    </w:p>
    <w:p w14:paraId="206CB8C5">
      <w:pPr>
        <w:spacing w:line="360" w:lineRule="auto"/>
        <w:ind w:firstLine="442" w:firstLineChars="200"/>
        <w:rPr>
          <w:rFonts w:ascii="宋体" w:hAnsi="宋体" w:cs="宋体"/>
          <w:b/>
          <w:sz w:val="22"/>
          <w:szCs w:val="22"/>
        </w:rPr>
      </w:pPr>
      <w:r>
        <w:rPr>
          <w:rFonts w:hint="eastAsia" w:ascii="宋体" w:hAnsi="宋体"/>
          <w:b/>
          <w:sz w:val="22"/>
          <w:szCs w:val="22"/>
        </w:rPr>
        <w:t>在“中型企业、小型企业、微型企业”下划线处根据自身实际情况在三个选项</w:t>
      </w:r>
      <w:r>
        <w:rPr>
          <w:rFonts w:hint="eastAsia" w:ascii="宋体" w:hAnsi="宋体" w:cs="宋体"/>
          <w:b/>
          <w:sz w:val="22"/>
          <w:szCs w:val="22"/>
        </w:rPr>
        <w:t>中填写符合相关政策要求的一个。</w:t>
      </w:r>
    </w:p>
    <w:p w14:paraId="7BAF8672">
      <w:pPr>
        <w:spacing w:line="360" w:lineRule="auto"/>
        <w:ind w:firstLine="440" w:firstLineChars="200"/>
        <w:rPr>
          <w:rFonts w:ascii="宋体" w:hAnsi="宋体" w:cs="宋体"/>
          <w:bCs/>
          <w:sz w:val="22"/>
          <w:szCs w:val="22"/>
        </w:rPr>
      </w:pPr>
      <w:r>
        <w:rPr>
          <w:rFonts w:hint="eastAsia" w:ascii="宋体" w:hAnsi="宋体" w:cs="宋体"/>
          <w:bCs/>
          <w:sz w:val="22"/>
          <w:szCs w:val="22"/>
        </w:rPr>
        <w:t>（2）声明是残疾人福利性单位须填写《残疾人福利性单位声明函》的三项内容（填写位置的字体已加粗），具体参照以上《中小企业声明函》填写要求执行。</w:t>
      </w:r>
    </w:p>
    <w:p w14:paraId="0255EFAE">
      <w:pPr>
        <w:ind w:firstLine="440" w:firstLineChars="200"/>
        <w:rPr>
          <w:rFonts w:ascii="宋体" w:hAnsi="宋体" w:cs="宋体"/>
          <w:b/>
          <w:szCs w:val="21"/>
        </w:rPr>
      </w:pPr>
      <w:r>
        <w:rPr>
          <w:rFonts w:hint="eastAsia" w:ascii="宋体" w:hAnsi="宋体" w:cs="宋体"/>
          <w:bCs/>
          <w:sz w:val="22"/>
          <w:szCs w:val="22"/>
        </w:rPr>
        <w:t>5、声明函的有效性最终由评审委员会判定。</w:t>
      </w:r>
    </w:p>
    <w:p w14:paraId="34AB1B86"/>
    <w:p w14:paraId="4FB1CD35">
      <w:pPr>
        <w:adjustRightInd w:val="0"/>
        <w:snapToGrid w:val="0"/>
        <w:spacing w:line="360" w:lineRule="auto"/>
        <w:jc w:val="center"/>
        <w:rPr>
          <w:rFonts w:ascii="宋体" w:hAnsi="宋体" w:cs="宋体"/>
          <w:b/>
          <w:sz w:val="22"/>
          <w:szCs w:val="22"/>
        </w:rPr>
      </w:pPr>
      <w:r>
        <w:rPr>
          <w:rFonts w:hint="eastAsia" w:ascii="宋体" w:hAnsi="宋体" w:cs="宋体"/>
          <w:b/>
          <w:sz w:val="22"/>
          <w:szCs w:val="22"/>
        </w:rPr>
        <w:t>（一）中小企</w:t>
      </w:r>
      <w:r>
        <w:rPr>
          <w:rFonts w:hint="eastAsia" w:ascii="宋体" w:hAnsi="宋体" w:cs="宋体"/>
          <w:b/>
          <w:bCs/>
          <w:sz w:val="22"/>
          <w:szCs w:val="22"/>
        </w:rPr>
        <w:t>业声明函</w:t>
      </w:r>
    </w:p>
    <w:p w14:paraId="1BC794B5">
      <w:pPr>
        <w:ind w:firstLine="440" w:firstLineChars="200"/>
        <w:rPr>
          <w:rFonts w:ascii="宋体" w:hAnsi="宋体" w:cs="宋体"/>
          <w:sz w:val="22"/>
          <w:szCs w:val="22"/>
        </w:rPr>
      </w:pPr>
      <w:r>
        <w:rPr>
          <w:rFonts w:hint="eastAsia" w:ascii="宋体" w:hAnsi="宋体" w:cs="宋体"/>
          <w:sz w:val="22"/>
          <w:szCs w:val="22"/>
        </w:rPr>
        <w:t>本公司（联合体）郑重声明，根据《政府采购促进中小企业发展管理办法》（财库﹝2020﹞46 号）的规定，本公司</w:t>
      </w:r>
    </w:p>
    <w:p w14:paraId="56BF0862">
      <w:pPr>
        <w:ind w:firstLine="440" w:firstLineChars="200"/>
        <w:rPr>
          <w:rFonts w:ascii="宋体" w:hAnsi="宋体" w:cs="宋体"/>
          <w:sz w:val="22"/>
          <w:szCs w:val="22"/>
        </w:rPr>
      </w:pPr>
      <w:r>
        <w:rPr>
          <w:rFonts w:hint="eastAsia" w:ascii="宋体" w:hAnsi="宋体" w:cs="宋体"/>
          <w:sz w:val="22"/>
          <w:szCs w:val="22"/>
        </w:rPr>
        <w:t>（联合体）参加</w:t>
      </w:r>
      <w:r>
        <w:rPr>
          <w:rFonts w:hint="eastAsia" w:ascii="宋体" w:hAnsi="宋体" w:cs="宋体"/>
          <w:b/>
          <w:bCs/>
          <w:sz w:val="22"/>
          <w:szCs w:val="22"/>
          <w:u w:val="single"/>
        </w:rPr>
        <w:t>（</w:t>
      </w:r>
      <w:r>
        <w:rPr>
          <w:rFonts w:hint="eastAsia" w:ascii="宋体" w:hAnsi="宋体" w:cs="宋体"/>
          <w:b/>
          <w:sz w:val="22"/>
          <w:szCs w:val="22"/>
          <w:u w:val="single"/>
        </w:rPr>
        <w:t>采购</w:t>
      </w:r>
      <w:r>
        <w:rPr>
          <w:rFonts w:hint="eastAsia" w:ascii="宋体" w:hAnsi="宋体" w:cs="宋体"/>
          <w:b/>
          <w:bCs/>
          <w:sz w:val="22"/>
          <w:szCs w:val="22"/>
          <w:u w:val="single"/>
        </w:rPr>
        <w:t>单位名称）</w:t>
      </w:r>
      <w:r>
        <w:rPr>
          <w:rFonts w:hint="eastAsia" w:ascii="宋体" w:hAnsi="宋体" w:cs="宋体"/>
          <w:sz w:val="22"/>
          <w:szCs w:val="22"/>
        </w:rPr>
        <w:t>的</w:t>
      </w:r>
      <w:r>
        <w:rPr>
          <w:rFonts w:hint="eastAsia" w:ascii="宋体" w:hAnsi="宋体" w:cs="宋体"/>
          <w:b/>
          <w:bCs/>
          <w:sz w:val="22"/>
          <w:szCs w:val="22"/>
          <w:u w:val="single"/>
        </w:rPr>
        <w:t>（</w:t>
      </w:r>
      <w:r>
        <w:rPr>
          <w:rFonts w:hint="eastAsia" w:ascii="宋体" w:hAnsi="宋体" w:cs="宋体"/>
          <w:b/>
          <w:sz w:val="22"/>
          <w:szCs w:val="22"/>
        </w:rPr>
        <w:t>采购</w:t>
      </w:r>
      <w:r>
        <w:rPr>
          <w:rFonts w:hint="eastAsia" w:ascii="宋体" w:hAnsi="宋体" w:cs="宋体"/>
          <w:b/>
          <w:bCs/>
          <w:sz w:val="22"/>
          <w:szCs w:val="22"/>
          <w:u w:val="single"/>
        </w:rPr>
        <w:t>项目名称）</w:t>
      </w:r>
      <w:r>
        <w:rPr>
          <w:rFonts w:hint="eastAsia" w:ascii="宋体" w:hAnsi="宋体" w:cs="宋体"/>
          <w:sz w:val="22"/>
          <w:szCs w:val="22"/>
        </w:rPr>
        <w:t>采购活动，服务全部由符合政策要求的中小企业承接。相关企业（含联合体中的中小企业、签订分包意向协议的中小企业）的具体情况如下：</w:t>
      </w:r>
    </w:p>
    <w:p w14:paraId="68EE9941">
      <w:pPr>
        <w:ind w:firstLine="442" w:firstLineChars="200"/>
        <w:rPr>
          <w:rFonts w:ascii="宋体" w:hAnsi="宋体" w:cs="宋体"/>
          <w:sz w:val="22"/>
          <w:szCs w:val="22"/>
        </w:rPr>
      </w:pPr>
      <w:r>
        <w:rPr>
          <w:rFonts w:hint="eastAsia" w:ascii="宋体" w:hAnsi="宋体" w:cs="宋体"/>
          <w:b/>
          <w:bCs/>
          <w:sz w:val="22"/>
          <w:szCs w:val="22"/>
          <w:u w:val="single"/>
        </w:rPr>
        <w:t>（标的名称）</w:t>
      </w:r>
      <w:r>
        <w:rPr>
          <w:rFonts w:hint="eastAsia" w:ascii="宋体" w:hAnsi="宋体" w:cs="宋体"/>
          <w:sz w:val="22"/>
          <w:szCs w:val="22"/>
        </w:rPr>
        <w:t>，属于</w:t>
      </w:r>
      <w:r>
        <w:rPr>
          <w:rFonts w:hint="eastAsia" w:ascii="宋体" w:hAnsi="宋体" w:cs="宋体"/>
          <w:b/>
          <w:bCs/>
          <w:sz w:val="22"/>
          <w:szCs w:val="22"/>
          <w:u w:val="single"/>
        </w:rPr>
        <w:t>（采购文件中明确的所属行业）</w:t>
      </w:r>
      <w:r>
        <w:rPr>
          <w:rFonts w:hint="eastAsia" w:ascii="宋体" w:hAnsi="宋体" w:cs="宋体"/>
          <w:sz w:val="22"/>
          <w:szCs w:val="22"/>
        </w:rPr>
        <w:t>；承接企业为</w:t>
      </w:r>
      <w:r>
        <w:rPr>
          <w:rFonts w:hint="eastAsia" w:ascii="宋体" w:hAnsi="宋体" w:cs="宋体"/>
          <w:b/>
          <w:bCs/>
          <w:sz w:val="22"/>
          <w:szCs w:val="22"/>
          <w:u w:val="single"/>
        </w:rPr>
        <w:t>（企业名称）</w:t>
      </w:r>
      <w:r>
        <w:rPr>
          <w:rFonts w:hint="eastAsia" w:ascii="宋体" w:hAnsi="宋体" w:cs="宋体"/>
          <w:b/>
          <w:bCs/>
          <w:sz w:val="22"/>
          <w:szCs w:val="22"/>
        </w:rPr>
        <w:t>，从业人员</w:t>
      </w:r>
      <w:r>
        <w:rPr>
          <w:rFonts w:hint="eastAsia" w:ascii="宋体" w:hAnsi="宋体" w:cs="宋体"/>
          <w:b/>
          <w:bCs/>
          <w:sz w:val="22"/>
          <w:szCs w:val="22"/>
          <w:u w:val="single"/>
        </w:rPr>
        <w:tab/>
      </w:r>
      <w:r>
        <w:rPr>
          <w:rFonts w:hint="eastAsia" w:ascii="宋体" w:hAnsi="宋体" w:cs="宋体"/>
          <w:b/>
          <w:bCs/>
          <w:sz w:val="22"/>
          <w:szCs w:val="22"/>
          <w:u w:val="single"/>
        </w:rPr>
        <w:t xml:space="preserve">  </w:t>
      </w:r>
      <w:r>
        <w:rPr>
          <w:rFonts w:hint="eastAsia" w:ascii="宋体" w:hAnsi="宋体" w:cs="宋体"/>
          <w:b/>
          <w:bCs/>
          <w:sz w:val="22"/>
          <w:szCs w:val="22"/>
        </w:rPr>
        <w:t>人，营业收入为</w:t>
      </w:r>
      <w:r>
        <w:rPr>
          <w:rFonts w:hint="eastAsia" w:ascii="宋体" w:hAnsi="宋体" w:cs="宋体"/>
          <w:b/>
          <w:bCs/>
          <w:sz w:val="22"/>
          <w:szCs w:val="22"/>
          <w:u w:val="single"/>
        </w:rPr>
        <w:tab/>
      </w:r>
      <w:r>
        <w:rPr>
          <w:rFonts w:hint="eastAsia" w:ascii="宋体" w:hAnsi="宋体" w:cs="宋体"/>
          <w:b/>
          <w:bCs/>
          <w:sz w:val="22"/>
          <w:szCs w:val="22"/>
        </w:rPr>
        <w:t>万元，资产总额为</w:t>
      </w:r>
      <w:r>
        <w:rPr>
          <w:rFonts w:hint="eastAsia" w:ascii="宋体" w:hAnsi="宋体" w:cs="宋体"/>
          <w:b/>
          <w:bCs/>
          <w:sz w:val="22"/>
          <w:szCs w:val="22"/>
          <w:u w:val="single"/>
        </w:rPr>
        <w:tab/>
      </w:r>
      <w:r>
        <w:rPr>
          <w:rFonts w:hint="eastAsia" w:ascii="宋体" w:hAnsi="宋体" w:cs="宋体"/>
          <w:b/>
          <w:bCs/>
          <w:sz w:val="22"/>
          <w:szCs w:val="22"/>
        </w:rPr>
        <w:t>万元，属于</w:t>
      </w:r>
      <w:r>
        <w:rPr>
          <w:rFonts w:hint="eastAsia" w:ascii="宋体" w:hAnsi="宋体" w:cs="宋体"/>
          <w:b/>
          <w:bCs/>
          <w:sz w:val="22"/>
          <w:szCs w:val="22"/>
          <w:u w:val="single"/>
        </w:rPr>
        <w:t>（中型企业、小型企业、微型企业）</w:t>
      </w:r>
    </w:p>
    <w:p w14:paraId="399D3BF1">
      <w:pPr>
        <w:ind w:firstLine="442" w:firstLineChars="200"/>
        <w:rPr>
          <w:rFonts w:ascii="宋体" w:hAnsi="宋体" w:cs="宋体"/>
          <w:sz w:val="22"/>
          <w:szCs w:val="22"/>
        </w:rPr>
      </w:pPr>
      <w:r>
        <w:rPr>
          <w:rFonts w:hint="eastAsia" w:ascii="宋体" w:hAnsi="宋体" w:cs="宋体"/>
          <w:b/>
          <w:bCs/>
          <w:sz w:val="22"/>
          <w:szCs w:val="22"/>
          <w:u w:val="single"/>
        </w:rPr>
        <w:t>（标的名称）</w:t>
      </w:r>
      <w:r>
        <w:rPr>
          <w:rFonts w:hint="eastAsia" w:ascii="宋体" w:hAnsi="宋体" w:cs="宋体"/>
          <w:sz w:val="22"/>
          <w:szCs w:val="22"/>
        </w:rPr>
        <w:t>，属于</w:t>
      </w:r>
      <w:r>
        <w:rPr>
          <w:rFonts w:hint="eastAsia" w:ascii="宋体" w:hAnsi="宋体" w:cs="宋体"/>
          <w:b/>
          <w:bCs/>
          <w:sz w:val="22"/>
          <w:szCs w:val="22"/>
          <w:u w:val="single"/>
        </w:rPr>
        <w:t>（采购文件中明确的所属行业）</w:t>
      </w:r>
      <w:r>
        <w:rPr>
          <w:rFonts w:hint="eastAsia" w:ascii="宋体" w:hAnsi="宋体" w:cs="宋体"/>
          <w:sz w:val="22"/>
          <w:szCs w:val="22"/>
        </w:rPr>
        <w:t>；承接企业为</w:t>
      </w:r>
      <w:r>
        <w:rPr>
          <w:rFonts w:hint="eastAsia" w:ascii="宋体" w:hAnsi="宋体" w:cs="宋体"/>
          <w:b/>
          <w:bCs/>
          <w:sz w:val="22"/>
          <w:szCs w:val="22"/>
          <w:u w:val="single"/>
        </w:rPr>
        <w:t>（企业名称）</w:t>
      </w:r>
      <w:r>
        <w:rPr>
          <w:rFonts w:hint="eastAsia" w:ascii="宋体" w:hAnsi="宋体" w:cs="宋体"/>
          <w:b/>
          <w:bCs/>
          <w:sz w:val="22"/>
          <w:szCs w:val="22"/>
        </w:rPr>
        <w:t>，从业人员</w:t>
      </w:r>
      <w:r>
        <w:rPr>
          <w:rFonts w:hint="eastAsia" w:ascii="宋体" w:hAnsi="宋体" w:cs="宋体"/>
          <w:b/>
          <w:bCs/>
          <w:sz w:val="22"/>
          <w:szCs w:val="22"/>
          <w:u w:val="single"/>
        </w:rPr>
        <w:tab/>
      </w:r>
      <w:r>
        <w:rPr>
          <w:rFonts w:hint="eastAsia" w:ascii="宋体" w:hAnsi="宋体" w:cs="宋体"/>
          <w:b/>
          <w:bCs/>
          <w:sz w:val="22"/>
          <w:szCs w:val="22"/>
          <w:u w:val="single"/>
        </w:rPr>
        <w:t xml:space="preserve">  </w:t>
      </w:r>
      <w:r>
        <w:rPr>
          <w:rFonts w:hint="eastAsia" w:ascii="宋体" w:hAnsi="宋体" w:cs="宋体"/>
          <w:b/>
          <w:bCs/>
          <w:sz w:val="22"/>
          <w:szCs w:val="22"/>
        </w:rPr>
        <w:t>人，营业收入为</w:t>
      </w:r>
      <w:r>
        <w:rPr>
          <w:rFonts w:hint="eastAsia" w:ascii="宋体" w:hAnsi="宋体" w:cs="宋体"/>
          <w:b/>
          <w:bCs/>
          <w:sz w:val="22"/>
          <w:szCs w:val="22"/>
          <w:u w:val="single"/>
        </w:rPr>
        <w:tab/>
      </w:r>
      <w:r>
        <w:rPr>
          <w:rFonts w:hint="eastAsia" w:ascii="宋体" w:hAnsi="宋体" w:cs="宋体"/>
          <w:b/>
          <w:bCs/>
          <w:sz w:val="22"/>
          <w:szCs w:val="22"/>
        </w:rPr>
        <w:t>万元，资产总额为</w:t>
      </w:r>
      <w:r>
        <w:rPr>
          <w:rFonts w:hint="eastAsia" w:ascii="宋体" w:hAnsi="宋体" w:cs="宋体"/>
          <w:b/>
          <w:bCs/>
          <w:sz w:val="22"/>
          <w:szCs w:val="22"/>
          <w:u w:val="single"/>
        </w:rPr>
        <w:tab/>
      </w:r>
      <w:r>
        <w:rPr>
          <w:rFonts w:hint="eastAsia" w:ascii="宋体" w:hAnsi="宋体" w:cs="宋体"/>
          <w:b/>
          <w:bCs/>
          <w:sz w:val="22"/>
          <w:szCs w:val="22"/>
        </w:rPr>
        <w:t>万元，属于</w:t>
      </w:r>
      <w:r>
        <w:rPr>
          <w:rFonts w:hint="eastAsia" w:ascii="宋体" w:hAnsi="宋体" w:cs="宋体"/>
          <w:b/>
          <w:bCs/>
          <w:sz w:val="22"/>
          <w:szCs w:val="22"/>
          <w:u w:val="single"/>
        </w:rPr>
        <w:t>（中型企业、小型企业、微型企业）</w:t>
      </w:r>
    </w:p>
    <w:p w14:paraId="152CE934">
      <w:pPr>
        <w:ind w:firstLine="440" w:firstLineChars="200"/>
        <w:rPr>
          <w:rFonts w:ascii="宋体" w:hAnsi="宋体" w:cs="宋体"/>
          <w:sz w:val="22"/>
          <w:szCs w:val="22"/>
        </w:rPr>
      </w:pPr>
      <w:r>
        <w:rPr>
          <w:rFonts w:hint="eastAsia" w:ascii="宋体" w:hAnsi="宋体" w:cs="宋体"/>
          <w:sz w:val="22"/>
          <w:szCs w:val="22"/>
        </w:rPr>
        <w:t>……</w:t>
      </w:r>
    </w:p>
    <w:p w14:paraId="242F0AB9">
      <w:pPr>
        <w:ind w:firstLine="440" w:firstLineChars="200"/>
        <w:rPr>
          <w:rFonts w:ascii="宋体" w:hAnsi="宋体" w:cs="宋体"/>
          <w:sz w:val="22"/>
          <w:szCs w:val="22"/>
        </w:rPr>
      </w:pPr>
      <w:r>
        <w:rPr>
          <w:rFonts w:hint="eastAsia" w:ascii="宋体" w:hAnsi="宋体" w:cs="宋体"/>
          <w:sz w:val="22"/>
          <w:szCs w:val="22"/>
        </w:rPr>
        <w:t>以上企业，不属于大企业的分支机构，不存在控股股东为大企业的情形，也不存在与大企业的负责人为同一人的情形。</w:t>
      </w:r>
    </w:p>
    <w:p w14:paraId="377E5255">
      <w:pPr>
        <w:ind w:firstLine="440" w:firstLineChars="200"/>
        <w:rPr>
          <w:rFonts w:ascii="宋体" w:hAnsi="宋体" w:cs="宋体"/>
          <w:sz w:val="22"/>
          <w:szCs w:val="22"/>
        </w:rPr>
      </w:pPr>
      <w:r>
        <w:rPr>
          <w:rFonts w:hint="eastAsia" w:ascii="宋体" w:hAnsi="宋体" w:cs="宋体"/>
          <w:sz w:val="22"/>
          <w:szCs w:val="22"/>
        </w:rPr>
        <w:t>本企业对上述声明内容的真实性负责。如有虚假，将依法承担相应责任。</w:t>
      </w:r>
    </w:p>
    <w:p w14:paraId="77439B68">
      <w:pPr>
        <w:spacing w:line="360" w:lineRule="exact"/>
        <w:ind w:firstLine="440" w:firstLineChars="200"/>
        <w:rPr>
          <w:rFonts w:ascii="宋体" w:hAnsi="宋体" w:cs="宋体"/>
          <w:sz w:val="22"/>
          <w:szCs w:val="22"/>
        </w:rPr>
      </w:pPr>
      <w:r>
        <w:rPr>
          <w:rFonts w:hint="eastAsia" w:ascii="宋体" w:hAnsi="宋体" w:cs="宋体"/>
          <w:sz w:val="22"/>
          <w:szCs w:val="22"/>
        </w:rPr>
        <w:t>本公司知悉《政府采购促进中小企业发展管理办法》（财库〔2020〕 46 号）、《中小企业划型标准规定》（工信部联企〔2011〕 300 号）、《统计上大中小微型企业划分办法（2017）》等 规定，承诺提供的声明函内容是真实的，并知悉根据《政府 采购促进中小企业发展管理办法》（财库〔2020〕46 号）第二十条规定，本公司按照本办法规定提供声明函内容不实的，属于提供虚假材料谋取中标、成交，依照《政府采购法》等政府采购有关法律法规规定追究相应责任。</w:t>
      </w:r>
    </w:p>
    <w:p w14:paraId="18277494">
      <w:pPr>
        <w:ind w:firstLine="440" w:firstLineChars="200"/>
        <w:jc w:val="center"/>
        <w:rPr>
          <w:rFonts w:ascii="宋体" w:hAnsi="宋体" w:cs="宋体"/>
          <w:sz w:val="22"/>
          <w:szCs w:val="22"/>
          <w:u w:val="single"/>
        </w:rPr>
      </w:pPr>
      <w:r>
        <w:rPr>
          <w:rFonts w:hint="eastAsia" w:ascii="宋体" w:hAnsi="宋体" w:cs="宋体"/>
          <w:sz w:val="22"/>
          <w:szCs w:val="22"/>
        </w:rPr>
        <w:t xml:space="preserve">                                   企业名称（盖章）：</w:t>
      </w:r>
      <w:r>
        <w:rPr>
          <w:rFonts w:hint="eastAsia" w:ascii="宋体" w:hAnsi="宋体" w:cs="宋体"/>
          <w:sz w:val="22"/>
          <w:szCs w:val="22"/>
          <w:u w:val="single"/>
        </w:rPr>
        <w:t xml:space="preserve">          </w:t>
      </w:r>
    </w:p>
    <w:p w14:paraId="457E2CCC">
      <w:pPr>
        <w:ind w:firstLine="420" w:firstLineChars="200"/>
        <w:jc w:val="center"/>
      </w:pPr>
      <w:r>
        <w:rPr>
          <w:rFonts w:hint="eastAsia" w:ascii="宋体" w:hAnsi="宋体"/>
        </w:rPr>
        <w:t xml:space="preserve">                                 日期：</w:t>
      </w:r>
      <w:r>
        <w:rPr>
          <w:rFonts w:hint="eastAsia"/>
          <w:u w:val="single"/>
        </w:rPr>
        <w:t xml:space="preserve">               </w:t>
      </w:r>
    </w:p>
    <w:p w14:paraId="42FAE984">
      <w:r>
        <w:rPr>
          <w:rFonts w:hint="eastAsia" w:ascii="宋体" w:hAnsi="宋体"/>
        </w:rPr>
        <w:t>（从业人员、营业收入、资产总额上一年度数据，无上一年度数据的新成立企业可不填报）</w:t>
      </w:r>
    </w:p>
    <w:p w14:paraId="5E3F675F">
      <w:pPr>
        <w:spacing w:line="360" w:lineRule="exact"/>
        <w:ind w:firstLine="4840" w:firstLineChars="2200"/>
        <w:rPr>
          <w:rFonts w:ascii="宋体" w:hAnsi="宋体" w:cs="宋体"/>
          <w:sz w:val="22"/>
          <w:u w:val="single"/>
        </w:rPr>
      </w:pPr>
    </w:p>
    <w:p w14:paraId="0CA9AB2C">
      <w:pPr>
        <w:spacing w:line="360" w:lineRule="exact"/>
        <w:jc w:val="center"/>
        <w:rPr>
          <w:rFonts w:ascii="宋体" w:hAnsi="宋体" w:cs="宋体"/>
          <w:b/>
          <w:spacing w:val="6"/>
          <w:sz w:val="22"/>
        </w:rPr>
      </w:pPr>
      <w:r>
        <w:rPr>
          <w:rFonts w:hint="eastAsia" w:ascii="宋体" w:hAnsi="宋体" w:cs="宋体"/>
          <w:b/>
          <w:spacing w:val="6"/>
          <w:sz w:val="22"/>
        </w:rPr>
        <w:t>（二）残疾人福利性单位声明函</w:t>
      </w:r>
    </w:p>
    <w:p w14:paraId="182A8F15">
      <w:pPr>
        <w:spacing w:line="360" w:lineRule="exact"/>
        <w:jc w:val="left"/>
        <w:rPr>
          <w:spacing w:val="6"/>
          <w:sz w:val="22"/>
        </w:rPr>
      </w:pPr>
      <w:r>
        <w:rPr>
          <w:rFonts w:hint="eastAsia" w:ascii="宋体" w:hAnsi="宋体" w:cs="宋体"/>
          <w:b/>
          <w:spacing w:val="6"/>
          <w:sz w:val="22"/>
        </w:rPr>
        <w:t xml:space="preserve">    </w:t>
      </w:r>
      <w:r>
        <w:rPr>
          <w:b/>
          <w:spacing w:val="6"/>
          <w:sz w:val="22"/>
        </w:rPr>
        <w:t xml:space="preserve"> </w:t>
      </w:r>
      <w:r>
        <w:rPr>
          <w:spacing w:val="6"/>
          <w:sz w:val="22"/>
        </w:rPr>
        <w:t>本单位郑重声明，根据《财政部 民政部 中国残疾人联合会关于促进残疾人就业政府采购政策的通知》（财库</w:t>
      </w:r>
      <w:r>
        <w:rPr>
          <w:sz w:val="22"/>
        </w:rPr>
        <w:t>〔2017〕 141</w:t>
      </w:r>
      <w:r>
        <w:rPr>
          <w:spacing w:val="6"/>
          <w:sz w:val="22"/>
        </w:rPr>
        <w:t>号）的规定，本单位为符合条件的残疾人福利性单位，</w:t>
      </w:r>
      <w:r>
        <w:rPr>
          <w:rFonts w:hint="eastAsia" w:ascii="宋体" w:hAnsi="宋体"/>
          <w:szCs w:val="21"/>
        </w:rPr>
        <w:t>且本单位参加</w:t>
      </w:r>
      <w:r>
        <w:rPr>
          <w:rFonts w:hint="eastAsia" w:ascii="宋体" w:hAnsi="宋体"/>
          <w:b/>
          <w:szCs w:val="21"/>
          <w:u w:val="single"/>
        </w:rPr>
        <w:t xml:space="preserve">   （采购单位名称）</w:t>
      </w:r>
      <w:r>
        <w:rPr>
          <w:rFonts w:ascii="宋体" w:hAnsi="宋体"/>
          <w:b/>
          <w:szCs w:val="21"/>
          <w:u w:val="single"/>
        </w:rPr>
        <w:t>_</w:t>
      </w:r>
      <w:r>
        <w:rPr>
          <w:rFonts w:hint="eastAsia" w:ascii="宋体" w:hAnsi="宋体"/>
          <w:szCs w:val="21"/>
        </w:rPr>
        <w:t>单位的</w:t>
      </w:r>
      <w:r>
        <w:rPr>
          <w:rFonts w:hint="eastAsia" w:ascii="宋体" w:hAnsi="宋体"/>
          <w:b/>
          <w:szCs w:val="21"/>
          <w:u w:val="single"/>
        </w:rPr>
        <w:t>（采购项目名称）</w:t>
      </w:r>
      <w:r>
        <w:rPr>
          <w:rFonts w:hint="eastAsia" w:ascii="宋体" w:hAnsi="宋体"/>
          <w:szCs w:val="21"/>
        </w:rPr>
        <w:t>项目采购活动，并由本单位提供服务</w:t>
      </w:r>
      <w:r>
        <w:rPr>
          <w:spacing w:val="6"/>
          <w:sz w:val="22"/>
        </w:rPr>
        <w:t>。</w:t>
      </w:r>
    </w:p>
    <w:p w14:paraId="0F18EBC6">
      <w:pPr>
        <w:spacing w:line="360" w:lineRule="exact"/>
        <w:ind w:firstLine="464" w:firstLineChars="200"/>
        <w:jc w:val="left"/>
        <w:rPr>
          <w:spacing w:val="6"/>
          <w:sz w:val="22"/>
        </w:rPr>
      </w:pPr>
      <w:r>
        <w:rPr>
          <w:rFonts w:hint="eastAsia"/>
          <w:spacing w:val="6"/>
          <w:sz w:val="22"/>
        </w:rPr>
        <w:t>本单位对上述声明的真实性负责。如有虚假，将依法承担相应责任。</w:t>
      </w:r>
    </w:p>
    <w:p w14:paraId="78A7E3BF">
      <w:pPr>
        <w:spacing w:line="360" w:lineRule="exact"/>
        <w:ind w:firstLine="464" w:firstLineChars="200"/>
        <w:jc w:val="left"/>
        <w:rPr>
          <w:rFonts w:ascii="宋体" w:hAnsi="宋体" w:cs="宋体"/>
          <w:sz w:val="22"/>
        </w:rPr>
      </w:pPr>
      <w:r>
        <w:rPr>
          <w:rFonts w:hint="eastAsia"/>
          <w:spacing w:val="6"/>
          <w:sz w:val="22"/>
        </w:rPr>
        <w:t>本单位知悉《关于促进残疾人就业政府采购政策的通知》(财库(2017141号)的规定,承诺提供的声明函内容是真实的,如提供声明函内容不实,则依法追究相关法律责任。</w:t>
      </w:r>
    </w:p>
    <w:p w14:paraId="704AF882">
      <w:pPr>
        <w:ind w:firstLine="5880" w:firstLineChars="2800"/>
        <w:jc w:val="left"/>
      </w:pPr>
      <w:r>
        <w:rPr>
          <w:rFonts w:hint="eastAsia" w:ascii="宋体" w:hAnsi="宋体"/>
        </w:rPr>
        <w:t>单位名称</w:t>
      </w:r>
      <w:r>
        <w:rPr>
          <w:rFonts w:hint="eastAsia" w:ascii="宋体" w:hAnsi="宋体" w:cs="宋体"/>
          <w:sz w:val="22"/>
          <w:szCs w:val="22"/>
        </w:rPr>
        <w:t>（盖章）</w:t>
      </w:r>
      <w:r>
        <w:rPr>
          <w:rFonts w:hint="eastAsia" w:ascii="宋体" w:hAnsi="宋体"/>
        </w:rPr>
        <w:t>：</w:t>
      </w:r>
      <w:r>
        <w:rPr>
          <w:rFonts w:hint="eastAsia"/>
          <w:u w:val="single"/>
        </w:rPr>
        <w:t xml:space="preserve">           </w:t>
      </w:r>
    </w:p>
    <w:p w14:paraId="6C895BAF">
      <w:pPr>
        <w:ind w:firstLine="420" w:firstLineChars="200"/>
        <w:jc w:val="center"/>
      </w:pPr>
      <w:r>
        <w:rPr>
          <w:rFonts w:hint="eastAsia" w:ascii="宋体" w:hAnsi="宋体"/>
        </w:rPr>
        <w:t xml:space="preserve">                                  日期：</w:t>
      </w:r>
      <w:r>
        <w:rPr>
          <w:rFonts w:hint="eastAsia"/>
          <w:u w:val="single"/>
        </w:rPr>
        <w:t xml:space="preserve">               </w:t>
      </w:r>
    </w:p>
    <w:p w14:paraId="33022345">
      <w:pPr>
        <w:spacing w:line="360" w:lineRule="exact"/>
        <w:rPr>
          <w:rFonts w:ascii="宋体" w:hAnsi="宋体" w:cs="宋体"/>
          <w:b/>
          <w:spacing w:val="6"/>
          <w:sz w:val="22"/>
        </w:rPr>
      </w:pPr>
    </w:p>
    <w:p w14:paraId="4DA3EAE6">
      <w:pPr>
        <w:spacing w:line="360" w:lineRule="exact"/>
        <w:jc w:val="center"/>
        <w:rPr>
          <w:rFonts w:ascii="宋体" w:hAnsi="宋体" w:cs="宋体"/>
          <w:b/>
          <w:bCs/>
          <w:sz w:val="22"/>
        </w:rPr>
      </w:pPr>
      <w:r>
        <w:rPr>
          <w:rFonts w:hint="eastAsia" w:ascii="宋体" w:hAnsi="宋体" w:cs="宋体"/>
          <w:b/>
          <w:spacing w:val="6"/>
          <w:sz w:val="22"/>
        </w:rPr>
        <w:t>（三）</w:t>
      </w:r>
      <w:r>
        <w:rPr>
          <w:rFonts w:hint="eastAsia"/>
          <w:b/>
          <w:sz w:val="24"/>
        </w:rPr>
        <w:t>监狱企业声明函（</w:t>
      </w:r>
      <w:r>
        <w:rPr>
          <w:b/>
          <w:spacing w:val="6"/>
          <w:sz w:val="22"/>
        </w:rPr>
        <w:t>省级以上监狱管理局、戒毒管理局(含新疆生产建设兵团)出具的属于监狱企业的证明文件原件的扫描件</w:t>
      </w:r>
      <w:r>
        <w:rPr>
          <w:rFonts w:hint="eastAsia"/>
          <w:b/>
          <w:sz w:val="24"/>
        </w:rPr>
        <w:t>）</w:t>
      </w:r>
    </w:p>
    <w:p w14:paraId="20C6719A">
      <w:pPr>
        <w:spacing w:line="360" w:lineRule="auto"/>
        <w:ind w:firstLine="466" w:firstLineChars="200"/>
        <w:rPr>
          <w:rFonts w:ascii="宋体"/>
          <w:szCs w:val="21"/>
        </w:rPr>
      </w:pPr>
      <w:r>
        <w:rPr>
          <w:b/>
          <w:spacing w:val="6"/>
          <w:sz w:val="22"/>
        </w:rPr>
        <w:t xml:space="preserve"> </w:t>
      </w:r>
      <w:r>
        <w:rPr>
          <w:rFonts w:hint="eastAsia" w:ascii="宋体" w:hAnsi="宋体"/>
          <w:szCs w:val="21"/>
        </w:rPr>
        <w:t>本单位郑重声明，根据《财政部 司法部 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号）的规定，本单位为符合条件的监狱企业，且本单位参加</w:t>
      </w:r>
      <w:r>
        <w:rPr>
          <w:rFonts w:ascii="宋体" w:hAnsi="宋体"/>
          <w:b/>
          <w:szCs w:val="21"/>
        </w:rPr>
        <w:t>_</w:t>
      </w:r>
      <w:r>
        <w:rPr>
          <w:rFonts w:hint="eastAsia" w:ascii="宋体" w:hAnsi="宋体"/>
          <w:b/>
          <w:szCs w:val="21"/>
        </w:rPr>
        <w:t>（采购单位名称）</w:t>
      </w:r>
      <w:r>
        <w:rPr>
          <w:rFonts w:ascii="宋体" w:hAnsi="宋体"/>
          <w:b/>
          <w:szCs w:val="21"/>
        </w:rPr>
        <w:t>_</w:t>
      </w:r>
      <w:r>
        <w:rPr>
          <w:rFonts w:hint="eastAsia" w:ascii="宋体" w:hAnsi="宋体"/>
          <w:szCs w:val="21"/>
        </w:rPr>
        <w:t>单位的</w:t>
      </w:r>
      <w:r>
        <w:rPr>
          <w:rFonts w:ascii="宋体" w:hAnsi="宋体"/>
          <w:b/>
          <w:szCs w:val="21"/>
        </w:rPr>
        <w:t>_</w:t>
      </w:r>
      <w:r>
        <w:rPr>
          <w:rFonts w:hint="eastAsia" w:ascii="宋体" w:hAnsi="宋体"/>
          <w:b/>
          <w:szCs w:val="21"/>
        </w:rPr>
        <w:t>（采购项目名称）</w:t>
      </w:r>
      <w:r>
        <w:rPr>
          <w:rFonts w:ascii="宋体" w:hAnsi="宋体"/>
          <w:b/>
          <w:szCs w:val="21"/>
        </w:rPr>
        <w:t>_</w:t>
      </w:r>
      <w:r>
        <w:rPr>
          <w:rFonts w:hint="eastAsia" w:ascii="宋体" w:hAnsi="宋体"/>
          <w:szCs w:val="21"/>
        </w:rPr>
        <w:t>项目采购活动，并由本单位提供服务。</w:t>
      </w:r>
    </w:p>
    <w:p w14:paraId="38EF15CA">
      <w:pPr>
        <w:spacing w:line="360" w:lineRule="auto"/>
        <w:ind w:firstLine="420" w:firstLineChars="200"/>
        <w:rPr>
          <w:rFonts w:ascii="宋体"/>
          <w:szCs w:val="21"/>
        </w:rPr>
      </w:pPr>
      <w:r>
        <w:rPr>
          <w:rFonts w:hint="eastAsia" w:ascii="宋体" w:hAnsi="宋体"/>
          <w:szCs w:val="21"/>
        </w:rPr>
        <w:t>本单位对上述声明的真实性负责。如有虚假，将依法承担相应责任。</w:t>
      </w:r>
    </w:p>
    <w:p w14:paraId="27B8CA92">
      <w:pPr>
        <w:spacing w:line="360" w:lineRule="auto"/>
        <w:rPr>
          <w:rFonts w:ascii="宋体"/>
          <w:szCs w:val="21"/>
        </w:rPr>
      </w:pPr>
      <w:r>
        <w:rPr>
          <w:rFonts w:hint="eastAsia" w:ascii="宋体" w:hAnsi="宋体"/>
          <w:szCs w:val="21"/>
        </w:rPr>
        <w:t>附：省级以上监狱管理局、戒毒管理局（含新疆生产建设兵团）出具的监狱企业证明文件。</w:t>
      </w:r>
    </w:p>
    <w:p w14:paraId="4A9B91E8">
      <w:pPr>
        <w:spacing w:line="360" w:lineRule="auto"/>
        <w:ind w:firstLine="5460" w:firstLineChars="2600"/>
        <w:jc w:val="left"/>
      </w:pPr>
      <w:r>
        <w:rPr>
          <w:rFonts w:hint="eastAsia" w:ascii="宋体" w:hAnsi="宋体"/>
        </w:rPr>
        <w:t>单位名称</w:t>
      </w:r>
      <w:r>
        <w:rPr>
          <w:rFonts w:hint="eastAsia" w:ascii="宋体" w:hAnsi="宋体" w:cs="宋体"/>
          <w:sz w:val="22"/>
          <w:szCs w:val="22"/>
        </w:rPr>
        <w:t>（盖章）</w:t>
      </w:r>
      <w:r>
        <w:rPr>
          <w:rFonts w:hint="eastAsia" w:ascii="宋体" w:hAnsi="宋体"/>
        </w:rPr>
        <w:t>：</w:t>
      </w:r>
      <w:r>
        <w:rPr>
          <w:rFonts w:hint="eastAsia"/>
          <w:u w:val="single"/>
        </w:rPr>
        <w:t xml:space="preserve">           </w:t>
      </w:r>
    </w:p>
    <w:p w14:paraId="7CB3AF9F">
      <w:pPr>
        <w:spacing w:line="360" w:lineRule="auto"/>
        <w:ind w:firstLine="420" w:firstLineChars="200"/>
        <w:jc w:val="center"/>
      </w:pPr>
      <w:r>
        <w:rPr>
          <w:rFonts w:hint="eastAsia" w:ascii="宋体" w:hAnsi="宋体"/>
        </w:rPr>
        <w:t xml:space="preserve">                                  日期：</w:t>
      </w:r>
      <w:r>
        <w:rPr>
          <w:rFonts w:hint="eastAsia"/>
          <w:u w:val="single"/>
        </w:rPr>
        <w:t xml:space="preserve">               </w:t>
      </w:r>
    </w:p>
    <w:p w14:paraId="71B2E917">
      <w:pPr>
        <w:rPr>
          <w:rFonts w:ascii="宋体" w:hAnsi="宋体" w:cs="宋体"/>
          <w:b/>
          <w:bCs/>
          <w:sz w:val="32"/>
          <w:szCs w:val="32"/>
        </w:rPr>
      </w:pPr>
      <w:r>
        <w:rPr>
          <w:rFonts w:hint="eastAsia" w:ascii="宋体" w:hAnsi="宋体" w:cs="宋体"/>
          <w:b/>
          <w:bCs/>
          <w:sz w:val="32"/>
          <w:szCs w:val="32"/>
        </w:rPr>
        <w:br w:type="page"/>
      </w:r>
    </w:p>
    <w:p w14:paraId="42276C39">
      <w:pPr>
        <w:numPr>
          <w:ilvl w:val="0"/>
          <w:numId w:val="8"/>
        </w:numPr>
        <w:ind w:firstLine="0"/>
        <w:jc w:val="center"/>
        <w:outlineLvl w:val="2"/>
        <w:rPr>
          <w:rFonts w:ascii="宋体" w:hAnsi="宋体" w:cs="宋体"/>
          <w:b/>
          <w:bCs/>
          <w:sz w:val="32"/>
          <w:szCs w:val="32"/>
        </w:rPr>
      </w:pPr>
      <w:r>
        <w:rPr>
          <w:rFonts w:hint="eastAsia" w:ascii="宋体" w:hAnsi="宋体" w:cs="宋体"/>
          <w:b/>
          <w:bCs/>
          <w:sz w:val="32"/>
          <w:szCs w:val="32"/>
        </w:rPr>
        <w:t>招标文件要求的其他内容及投标人认为需要加以说明的其他内容</w:t>
      </w:r>
    </w:p>
    <w:p w14:paraId="3950A033">
      <w:pPr>
        <w:pStyle w:val="6"/>
        <w:rPr>
          <w:rFonts w:ascii="宋体" w:hAnsi="宋体" w:cs="宋体"/>
          <w:szCs w:val="22"/>
        </w:rPr>
      </w:pPr>
      <w:r>
        <w:rPr>
          <w:rFonts w:hint="eastAsia" w:ascii="宋体" w:hAnsi="宋体" w:cs="宋体"/>
        </w:rPr>
        <w:br w:type="page"/>
      </w:r>
    </w:p>
    <w:p w14:paraId="2D186562">
      <w:pPr>
        <w:rPr>
          <w:rFonts w:ascii="宋体" w:hAnsi="宋体" w:cs="宋体"/>
          <w:szCs w:val="22"/>
        </w:rPr>
      </w:pPr>
    </w:p>
    <w:p w14:paraId="487ED809">
      <w:pPr>
        <w:rPr>
          <w:rFonts w:ascii="宋体" w:hAnsi="宋体" w:cs="宋体"/>
          <w:szCs w:val="22"/>
        </w:rPr>
      </w:pPr>
    </w:p>
    <w:p w14:paraId="4BD195BE">
      <w:pPr>
        <w:rPr>
          <w:rFonts w:ascii="宋体" w:hAnsi="宋体" w:cs="宋体"/>
          <w:szCs w:val="22"/>
        </w:rPr>
      </w:pPr>
    </w:p>
    <w:p w14:paraId="27EA1DD2">
      <w:pPr>
        <w:rPr>
          <w:rFonts w:ascii="宋体" w:hAnsi="宋体" w:cs="宋体"/>
          <w:szCs w:val="22"/>
        </w:rPr>
      </w:pPr>
    </w:p>
    <w:p w14:paraId="42EE2368">
      <w:pPr>
        <w:rPr>
          <w:rFonts w:ascii="宋体" w:hAnsi="宋体" w:cs="宋体"/>
          <w:szCs w:val="22"/>
        </w:rPr>
      </w:pPr>
    </w:p>
    <w:p w14:paraId="1F7435BA">
      <w:pPr>
        <w:rPr>
          <w:rFonts w:ascii="宋体" w:hAnsi="宋体" w:cs="宋体"/>
          <w:szCs w:val="22"/>
        </w:rPr>
      </w:pPr>
    </w:p>
    <w:p w14:paraId="45995923">
      <w:pPr>
        <w:rPr>
          <w:rFonts w:ascii="宋体" w:hAnsi="宋体" w:cs="宋体"/>
          <w:szCs w:val="22"/>
        </w:rPr>
      </w:pPr>
    </w:p>
    <w:p w14:paraId="051D154C">
      <w:pPr>
        <w:rPr>
          <w:rFonts w:ascii="宋体" w:hAnsi="宋体" w:cs="宋体"/>
          <w:szCs w:val="22"/>
        </w:rPr>
      </w:pPr>
    </w:p>
    <w:p w14:paraId="10CCC619">
      <w:pPr>
        <w:rPr>
          <w:rFonts w:ascii="宋体" w:hAnsi="宋体" w:cs="宋体"/>
          <w:szCs w:val="22"/>
        </w:rPr>
      </w:pPr>
    </w:p>
    <w:p w14:paraId="042F1CD2">
      <w:pPr>
        <w:rPr>
          <w:rFonts w:ascii="宋体" w:hAnsi="宋体" w:cs="宋体"/>
          <w:szCs w:val="22"/>
        </w:rPr>
      </w:pPr>
    </w:p>
    <w:p w14:paraId="6546DE1A">
      <w:pPr>
        <w:rPr>
          <w:rFonts w:ascii="宋体" w:hAnsi="宋体" w:cs="宋体"/>
          <w:b/>
          <w:kern w:val="0"/>
          <w:sz w:val="36"/>
          <w:szCs w:val="36"/>
        </w:rPr>
      </w:pPr>
    </w:p>
    <w:p w14:paraId="77D6C882">
      <w:pPr>
        <w:pStyle w:val="3"/>
        <w:rPr>
          <w:rFonts w:ascii="宋体" w:hAnsi="宋体" w:cs="宋体"/>
          <w:sz w:val="36"/>
          <w:szCs w:val="36"/>
        </w:rPr>
      </w:pPr>
      <w:r>
        <w:rPr>
          <w:rFonts w:hint="eastAsia" w:ascii="宋体" w:hAnsi="宋体" w:cs="宋体"/>
          <w:sz w:val="36"/>
          <w:szCs w:val="36"/>
        </w:rPr>
        <w:t>第四章  政府采购合同的签订、履约及验收</w:t>
      </w:r>
    </w:p>
    <w:p w14:paraId="424106C4">
      <w:pPr>
        <w:jc w:val="center"/>
        <w:rPr>
          <w:rFonts w:ascii="宋体" w:hAnsi="宋体" w:cs="宋体"/>
          <w:b/>
          <w:sz w:val="36"/>
          <w:szCs w:val="36"/>
        </w:rPr>
      </w:pPr>
      <w:r>
        <w:rPr>
          <w:rFonts w:hint="eastAsia" w:ascii="宋体" w:hAnsi="宋体" w:cs="宋体"/>
          <w:b/>
          <w:sz w:val="36"/>
          <w:szCs w:val="36"/>
        </w:rPr>
        <w:br w:type="page"/>
      </w:r>
    </w:p>
    <w:p w14:paraId="38B97B2C">
      <w:pPr>
        <w:jc w:val="center"/>
        <w:rPr>
          <w:rFonts w:ascii="宋体" w:hAnsi="宋体" w:cs="宋体"/>
          <w:b/>
          <w:sz w:val="36"/>
          <w:szCs w:val="36"/>
        </w:rPr>
      </w:pPr>
    </w:p>
    <w:p w14:paraId="159C271F">
      <w:pPr>
        <w:jc w:val="center"/>
        <w:rPr>
          <w:rFonts w:ascii="宋体" w:hAnsi="宋体" w:cs="宋体"/>
          <w:b/>
          <w:sz w:val="36"/>
          <w:szCs w:val="36"/>
        </w:rPr>
      </w:pPr>
    </w:p>
    <w:p w14:paraId="568CBD2C">
      <w:pPr>
        <w:pStyle w:val="2"/>
        <w:numPr>
          <w:ilvl w:val="0"/>
          <w:numId w:val="11"/>
        </w:numPr>
        <w:rPr>
          <w:rFonts w:ascii="宋体" w:hAnsi="宋体" w:cs="宋体"/>
        </w:rPr>
      </w:pPr>
      <w:r>
        <w:rPr>
          <w:rFonts w:hint="eastAsia" w:ascii="宋体" w:hAnsi="宋体" w:cs="宋体"/>
          <w:b/>
          <w:kern w:val="0"/>
          <w:sz w:val="24"/>
        </w:rPr>
        <w:t>重要提示</w:t>
      </w:r>
    </w:p>
    <w:p w14:paraId="614E2B46">
      <w:pPr>
        <w:ind w:firstLine="420" w:firstLineChars="200"/>
        <w:rPr>
          <w:rFonts w:ascii="宋体" w:hAnsi="宋体" w:cs="宋体"/>
        </w:rPr>
      </w:pPr>
      <w:r>
        <w:rPr>
          <w:rFonts w:hint="eastAsia" w:ascii="宋体" w:hAnsi="宋体" w:cs="宋体"/>
        </w:rPr>
        <w:t>（一）参照《深圳经济特区政府采购条例》规定：供应商在政府采购中，未按本条例规定签订、履行采购合同，造成严重后果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10778829">
      <w:pPr>
        <w:ind w:firstLine="420" w:firstLineChars="200"/>
        <w:rPr>
          <w:rFonts w:ascii="宋体" w:hAnsi="宋体" w:cs="宋体"/>
        </w:rPr>
      </w:pPr>
      <w:r>
        <w:rPr>
          <w:rFonts w:hint="eastAsia" w:ascii="宋体" w:hAnsi="宋体" w:cs="宋体"/>
        </w:rPr>
        <w:t>（二）供应商必须诚信投标，对项目需求进行实质性响应。采购单位（或深圳市东海国际招标有限公司）将组织聘请第三方专业机构（必要时，邀请参加本项目投标的供应商）实施项目履约验收，如未按合同履约，将按上述第（一）条规定进行处理。</w:t>
      </w:r>
    </w:p>
    <w:p w14:paraId="3BAB706D">
      <w:pPr>
        <w:pStyle w:val="2"/>
        <w:numPr>
          <w:ilvl w:val="0"/>
          <w:numId w:val="11"/>
        </w:numPr>
        <w:rPr>
          <w:rFonts w:ascii="宋体" w:hAnsi="宋体" w:cs="宋体"/>
          <w:b/>
          <w:kern w:val="0"/>
          <w:sz w:val="24"/>
        </w:rPr>
      </w:pPr>
      <w:r>
        <w:rPr>
          <w:rFonts w:hint="eastAsia" w:ascii="宋体" w:hAnsi="宋体" w:cs="宋体"/>
        </w:rPr>
        <w:br w:type="page"/>
      </w:r>
      <w:r>
        <w:rPr>
          <w:rFonts w:hint="eastAsia" w:ascii="宋体" w:hAnsi="宋体" w:cs="宋体"/>
          <w:b/>
          <w:kern w:val="0"/>
          <w:sz w:val="24"/>
        </w:rPr>
        <w:t>合同条款及格式（仅供参考）</w:t>
      </w:r>
    </w:p>
    <w:p w14:paraId="3E5F8587">
      <w:pPr>
        <w:ind w:firstLine="413" w:firstLineChars="196"/>
        <w:jc w:val="center"/>
        <w:rPr>
          <w:rFonts w:ascii="宋体" w:hAnsi="宋体"/>
          <w:b/>
          <w:szCs w:val="21"/>
        </w:rPr>
      </w:pPr>
      <w:bookmarkStart w:id="21" w:name="_Toc84303603"/>
      <w:bookmarkEnd w:id="21"/>
      <w:bookmarkStart w:id="22" w:name="_Toc73518163"/>
      <w:bookmarkEnd w:id="22"/>
      <w:bookmarkStart w:id="23" w:name="_Toc73521592"/>
      <w:bookmarkEnd w:id="23"/>
      <w:bookmarkStart w:id="24" w:name="_Toc101074886"/>
      <w:bookmarkEnd w:id="24"/>
      <w:bookmarkStart w:id="25" w:name="_Toc73517685"/>
      <w:bookmarkEnd w:id="25"/>
      <w:bookmarkStart w:id="26" w:name="_Toc100052414"/>
      <w:bookmarkEnd w:id="26"/>
      <w:bookmarkStart w:id="27" w:name="_Toc73521680"/>
      <w:bookmarkEnd w:id="27"/>
    </w:p>
    <w:p w14:paraId="57C238F0">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696E9680">
      <w:pPr>
        <w:pStyle w:val="13"/>
        <w:spacing w:line="360" w:lineRule="auto"/>
        <w:ind w:firstLine="482" w:firstLineChars="200"/>
        <w:rPr>
          <w:rFonts w:ascii="Times New Roman" w:hAnsi="Times New Roman"/>
          <w:b/>
          <w:color w:val="0000FF"/>
          <w:sz w:val="24"/>
        </w:rPr>
      </w:pPr>
      <w:r>
        <w:rPr>
          <w:rFonts w:hint="eastAsia" w:ascii="Times New Roman" w:hAnsi="Times New Roman"/>
          <w:b/>
          <w:color w:val="0000FF"/>
          <w:sz w:val="24"/>
        </w:rPr>
        <w:t>重要说明：采购人在签订合同前有权依据招标文件要求和项目实际情况对以下合同内容进行删改或补充。</w:t>
      </w:r>
    </w:p>
    <w:p w14:paraId="7A2FB946">
      <w:pPr>
        <w:pStyle w:val="13"/>
        <w:spacing w:line="360" w:lineRule="auto"/>
        <w:ind w:firstLine="482" w:firstLineChars="200"/>
        <w:rPr>
          <w:rFonts w:ascii="Times New Roman" w:hAnsi="Times New Roman"/>
          <w:b/>
          <w:sz w:val="24"/>
        </w:rPr>
      </w:pPr>
    </w:p>
    <w:p w14:paraId="5C73A88A">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7143F66A">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1DC48600">
      <w:pPr>
        <w:adjustRightInd w:val="0"/>
        <w:snapToGrid w:val="0"/>
        <w:spacing w:line="360" w:lineRule="auto"/>
        <w:rPr>
          <w:rFonts w:ascii="宋体" w:hAnsi="宋体"/>
          <w:szCs w:val="21"/>
        </w:rPr>
      </w:pPr>
    </w:p>
    <w:p w14:paraId="504EA4C9">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lang w:eastAsia="zh-CN"/>
        </w:rPr>
        <w:t>深圳市文化广电旅游体育2024年度局属各单位运营情况、年度经营情况及合法合规性审计工作服务项目</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w:t>
      </w:r>
      <w:r>
        <w:rPr>
          <w:rFonts w:hint="eastAsia" w:ascii="宋体" w:hAnsi="宋体"/>
          <w:szCs w:val="21"/>
          <w:u w:val="single"/>
          <w:lang w:eastAsia="zh-CN"/>
        </w:rPr>
        <w:t>深圳市文化广电旅游体育2024年度局属各单位运营情况、年度经营情况及合法合规性审计工作服务项目</w:t>
      </w:r>
      <w:r>
        <w:rPr>
          <w:rFonts w:hint="eastAsia" w:ascii="宋体" w:hAnsi="宋体"/>
          <w:szCs w:val="21"/>
        </w:rPr>
        <w:t>，达成以下合同条款：</w:t>
      </w:r>
    </w:p>
    <w:p w14:paraId="7BD14A77">
      <w:pPr>
        <w:pStyle w:val="13"/>
        <w:snapToGrid w:val="0"/>
        <w:spacing w:line="360" w:lineRule="auto"/>
        <w:ind w:firstLine="422" w:firstLineChars="200"/>
        <w:rPr>
          <w:rFonts w:hAnsi="宋体"/>
          <w:b/>
          <w:szCs w:val="21"/>
        </w:rPr>
      </w:pPr>
      <w:r>
        <w:rPr>
          <w:rFonts w:hint="eastAsia" w:hAnsi="宋体"/>
          <w:b/>
          <w:szCs w:val="21"/>
        </w:rPr>
        <w:t>一、服务内容</w:t>
      </w:r>
    </w:p>
    <w:p w14:paraId="2D1FD662">
      <w:pPr>
        <w:spacing w:line="360" w:lineRule="auto"/>
        <w:ind w:firstLine="422" w:firstLineChars="201"/>
        <w:rPr>
          <w:rFonts w:ascii="宋体" w:hAnsi="宋体"/>
          <w:szCs w:val="21"/>
        </w:rPr>
      </w:pPr>
      <w:r>
        <w:rPr>
          <w:rFonts w:hint="eastAsia" w:ascii="宋体" w:hAnsi="宋体"/>
          <w:szCs w:val="21"/>
        </w:rPr>
        <w:t>______________________</w:t>
      </w:r>
    </w:p>
    <w:p w14:paraId="15BC3971">
      <w:pPr>
        <w:pStyle w:val="13"/>
        <w:snapToGrid w:val="0"/>
        <w:spacing w:line="360" w:lineRule="auto"/>
        <w:ind w:firstLine="422" w:firstLineChars="200"/>
        <w:rPr>
          <w:rFonts w:hAnsi="宋体"/>
          <w:b/>
          <w:szCs w:val="21"/>
        </w:rPr>
      </w:pPr>
      <w:r>
        <w:rPr>
          <w:rFonts w:hint="eastAsia" w:hAnsi="宋体"/>
          <w:b/>
          <w:szCs w:val="21"/>
        </w:rPr>
        <w:t>二、合同金额</w:t>
      </w:r>
    </w:p>
    <w:p w14:paraId="725183EE">
      <w:pPr>
        <w:pStyle w:val="13"/>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3E989EA8">
      <w:pPr>
        <w:pStyle w:val="13"/>
        <w:snapToGrid w:val="0"/>
        <w:spacing w:line="360" w:lineRule="auto"/>
        <w:ind w:firstLine="422" w:firstLineChars="200"/>
        <w:rPr>
          <w:rFonts w:hAnsi="宋体"/>
          <w:b/>
          <w:szCs w:val="21"/>
        </w:rPr>
      </w:pPr>
      <w:r>
        <w:rPr>
          <w:rFonts w:hint="eastAsia" w:hAnsi="宋体"/>
          <w:b/>
          <w:szCs w:val="21"/>
        </w:rPr>
        <w:t>三、技术资料</w:t>
      </w:r>
    </w:p>
    <w:p w14:paraId="2C594275">
      <w:pPr>
        <w:pStyle w:val="13"/>
        <w:snapToGrid w:val="0"/>
        <w:spacing w:line="360" w:lineRule="auto"/>
        <w:ind w:firstLine="420" w:firstLineChars="200"/>
        <w:rPr>
          <w:rFonts w:hAnsi="宋体"/>
          <w:szCs w:val="21"/>
        </w:rPr>
      </w:pPr>
    </w:p>
    <w:p w14:paraId="6B6CB441">
      <w:pPr>
        <w:pStyle w:val="13"/>
        <w:snapToGrid w:val="0"/>
        <w:spacing w:line="360" w:lineRule="auto"/>
        <w:ind w:firstLine="422" w:firstLineChars="200"/>
        <w:rPr>
          <w:rFonts w:hAnsi="宋体"/>
          <w:b/>
          <w:szCs w:val="21"/>
        </w:rPr>
      </w:pPr>
      <w:r>
        <w:rPr>
          <w:rFonts w:hint="eastAsia" w:hAnsi="宋体"/>
          <w:b/>
          <w:szCs w:val="21"/>
        </w:rPr>
        <w:t>四、知识产权</w:t>
      </w:r>
    </w:p>
    <w:p w14:paraId="2C0EADDE">
      <w:pPr>
        <w:pStyle w:val="13"/>
        <w:snapToGrid w:val="0"/>
        <w:spacing w:line="360" w:lineRule="auto"/>
        <w:rPr>
          <w:rFonts w:hAnsi="宋体"/>
          <w:bCs/>
          <w:szCs w:val="21"/>
        </w:rPr>
      </w:pPr>
    </w:p>
    <w:p w14:paraId="4FBBD56F">
      <w:pPr>
        <w:pStyle w:val="13"/>
        <w:numPr>
          <w:ilvl w:val="0"/>
          <w:numId w:val="12"/>
        </w:numPr>
        <w:snapToGrid w:val="0"/>
        <w:spacing w:line="360" w:lineRule="auto"/>
        <w:ind w:firstLine="422" w:firstLineChars="200"/>
        <w:rPr>
          <w:rFonts w:hint="eastAsia" w:hAnsi="宋体"/>
          <w:b/>
          <w:szCs w:val="21"/>
        </w:rPr>
      </w:pPr>
      <w:r>
        <w:rPr>
          <w:rFonts w:hint="eastAsia" w:hAnsi="宋体"/>
          <w:b/>
          <w:szCs w:val="21"/>
        </w:rPr>
        <w:t>履约保证金</w:t>
      </w:r>
      <w:r>
        <w:rPr>
          <w:rFonts w:hint="eastAsia" w:hAnsi="宋体"/>
          <w:b/>
          <w:szCs w:val="21"/>
          <w:lang w:eastAsia="zh-CN"/>
        </w:rPr>
        <w:t>（如有）</w:t>
      </w:r>
    </w:p>
    <w:p w14:paraId="32276029">
      <w:pPr>
        <w:pStyle w:val="13"/>
        <w:numPr>
          <w:ilvl w:val="0"/>
          <w:numId w:val="0"/>
        </w:numPr>
        <w:snapToGrid w:val="0"/>
        <w:spacing w:line="360" w:lineRule="auto"/>
        <w:rPr>
          <w:rFonts w:hint="eastAsia" w:hAnsi="宋体"/>
          <w:b/>
          <w:szCs w:val="21"/>
        </w:rPr>
      </w:pPr>
    </w:p>
    <w:p w14:paraId="7286EAAA">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3F0D29AA">
      <w:pPr>
        <w:snapToGrid w:val="0"/>
        <w:spacing w:line="360" w:lineRule="auto"/>
        <w:ind w:firstLine="420" w:firstLineChars="200"/>
        <w:rPr>
          <w:rFonts w:ascii="宋体" w:hAnsi="宋体"/>
          <w:szCs w:val="21"/>
        </w:rPr>
      </w:pPr>
      <w:r>
        <w:rPr>
          <w:rFonts w:hint="eastAsia" w:ascii="宋体" w:hAnsi="宋体"/>
          <w:szCs w:val="21"/>
        </w:rPr>
        <w:t>1、_______________________</w:t>
      </w:r>
    </w:p>
    <w:p w14:paraId="5C563BF4">
      <w:pPr>
        <w:snapToGrid w:val="0"/>
        <w:spacing w:line="360" w:lineRule="auto"/>
        <w:ind w:firstLine="420" w:firstLineChars="200"/>
        <w:rPr>
          <w:rFonts w:ascii="宋体" w:hAnsi="宋体"/>
          <w:szCs w:val="21"/>
        </w:rPr>
      </w:pPr>
      <w:r>
        <w:rPr>
          <w:rFonts w:hint="eastAsia" w:ascii="宋体" w:hAnsi="宋体"/>
          <w:szCs w:val="21"/>
        </w:rPr>
        <w:t>2、_______________________</w:t>
      </w:r>
    </w:p>
    <w:p w14:paraId="57AFF9AF">
      <w:pPr>
        <w:snapToGrid w:val="0"/>
        <w:spacing w:line="360" w:lineRule="auto"/>
        <w:ind w:firstLine="420" w:firstLineChars="200"/>
        <w:rPr>
          <w:rFonts w:ascii="宋体" w:hAnsi="宋体"/>
          <w:szCs w:val="21"/>
        </w:rPr>
      </w:pPr>
      <w:r>
        <w:rPr>
          <w:rFonts w:hint="eastAsia" w:ascii="宋体" w:hAnsi="宋体"/>
          <w:szCs w:val="21"/>
        </w:rPr>
        <w:t>3、_______________________</w:t>
      </w:r>
    </w:p>
    <w:p w14:paraId="07974D44">
      <w:pPr>
        <w:snapToGrid w:val="0"/>
        <w:spacing w:line="360" w:lineRule="auto"/>
        <w:ind w:firstLine="420" w:firstLineChars="200"/>
        <w:rPr>
          <w:rFonts w:ascii="宋体" w:hAnsi="宋体"/>
          <w:szCs w:val="21"/>
        </w:rPr>
      </w:pPr>
      <w:r>
        <w:rPr>
          <w:rFonts w:hint="eastAsia" w:ascii="宋体" w:hAnsi="宋体"/>
          <w:szCs w:val="21"/>
        </w:rPr>
        <w:t>4、_______________________</w:t>
      </w:r>
    </w:p>
    <w:p w14:paraId="4A7CBBDB">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4376B53D">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343F01B2">
      <w:pPr>
        <w:snapToGrid w:val="0"/>
        <w:spacing w:line="360" w:lineRule="auto"/>
        <w:ind w:firstLine="420" w:firstLineChars="200"/>
        <w:rPr>
          <w:rFonts w:ascii="宋体" w:hAnsi="宋体"/>
          <w:szCs w:val="21"/>
        </w:rPr>
      </w:pPr>
      <w:r>
        <w:rPr>
          <w:rFonts w:hint="eastAsia" w:ascii="宋体" w:hAnsi="宋体"/>
          <w:szCs w:val="21"/>
        </w:rPr>
        <w:t>1、_______________________</w:t>
      </w:r>
    </w:p>
    <w:p w14:paraId="68C6AB6B">
      <w:pPr>
        <w:snapToGrid w:val="0"/>
        <w:spacing w:line="360" w:lineRule="auto"/>
        <w:ind w:firstLine="420" w:firstLineChars="200"/>
        <w:rPr>
          <w:rFonts w:ascii="宋体" w:hAnsi="宋体"/>
          <w:szCs w:val="21"/>
        </w:rPr>
      </w:pPr>
      <w:r>
        <w:rPr>
          <w:rFonts w:hint="eastAsia" w:ascii="宋体" w:hAnsi="宋体"/>
          <w:szCs w:val="21"/>
        </w:rPr>
        <w:t>2、_______________________</w:t>
      </w:r>
    </w:p>
    <w:p w14:paraId="3CA8357A">
      <w:pPr>
        <w:snapToGrid w:val="0"/>
        <w:spacing w:line="360" w:lineRule="auto"/>
        <w:ind w:firstLine="420" w:firstLineChars="200"/>
        <w:rPr>
          <w:rFonts w:ascii="宋体" w:hAnsi="宋体"/>
          <w:szCs w:val="21"/>
        </w:rPr>
      </w:pPr>
      <w:r>
        <w:rPr>
          <w:rFonts w:hint="eastAsia" w:ascii="宋体" w:hAnsi="宋体"/>
          <w:szCs w:val="21"/>
        </w:rPr>
        <w:t>3、_______________________</w:t>
      </w:r>
    </w:p>
    <w:p w14:paraId="60E97C3E">
      <w:pPr>
        <w:snapToGrid w:val="0"/>
        <w:spacing w:line="360" w:lineRule="auto"/>
        <w:ind w:firstLine="420" w:firstLineChars="200"/>
        <w:rPr>
          <w:rFonts w:ascii="宋体" w:hAnsi="宋体"/>
          <w:szCs w:val="21"/>
        </w:rPr>
      </w:pPr>
      <w:r>
        <w:rPr>
          <w:rFonts w:hint="eastAsia" w:ascii="宋体" w:hAnsi="宋体"/>
          <w:szCs w:val="21"/>
        </w:rPr>
        <w:t>4、_______________________</w:t>
      </w:r>
    </w:p>
    <w:p w14:paraId="1FA60726">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67D8D8AF">
      <w:pPr>
        <w:pStyle w:val="13"/>
        <w:snapToGrid w:val="0"/>
        <w:spacing w:line="360" w:lineRule="auto"/>
        <w:ind w:firstLine="422" w:firstLineChars="200"/>
        <w:rPr>
          <w:rFonts w:hAnsi="宋体"/>
          <w:b/>
          <w:szCs w:val="21"/>
        </w:rPr>
      </w:pPr>
      <w:r>
        <w:rPr>
          <w:rFonts w:hint="eastAsia" w:hAnsi="宋体"/>
          <w:b/>
          <w:szCs w:val="21"/>
        </w:rPr>
        <w:t>八、合同履行时间、履行方式及履行地点</w:t>
      </w:r>
    </w:p>
    <w:p w14:paraId="6D307A3D">
      <w:pPr>
        <w:pStyle w:val="13"/>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1343C175">
      <w:pPr>
        <w:pStyle w:val="13"/>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38BBD2FE">
      <w:pPr>
        <w:pStyle w:val="13"/>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22AC9AF0">
      <w:pPr>
        <w:snapToGrid w:val="0"/>
        <w:spacing w:line="360" w:lineRule="auto"/>
        <w:ind w:firstLine="422" w:firstLineChars="200"/>
        <w:rPr>
          <w:rFonts w:ascii="宋体" w:hAnsi="宋体"/>
          <w:b/>
          <w:szCs w:val="21"/>
        </w:rPr>
      </w:pPr>
      <w:r>
        <w:rPr>
          <w:rFonts w:hint="eastAsia" w:ascii="宋体" w:hAnsi="宋体"/>
          <w:b/>
          <w:szCs w:val="21"/>
        </w:rPr>
        <w:t>九、验收</w:t>
      </w:r>
    </w:p>
    <w:p w14:paraId="0493B770">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3E964780">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76CFFB53">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00AB5E66">
      <w:pPr>
        <w:pStyle w:val="13"/>
        <w:snapToGrid w:val="0"/>
        <w:spacing w:line="360" w:lineRule="auto"/>
        <w:ind w:firstLine="422" w:firstLineChars="200"/>
        <w:rPr>
          <w:rFonts w:hAnsi="宋体"/>
          <w:b/>
          <w:szCs w:val="21"/>
        </w:rPr>
      </w:pPr>
      <w:r>
        <w:rPr>
          <w:rFonts w:hint="eastAsia" w:hAnsi="宋体"/>
          <w:b/>
          <w:szCs w:val="21"/>
        </w:rPr>
        <w:t>十、付款方式和税费</w:t>
      </w:r>
    </w:p>
    <w:p w14:paraId="1CC495AE">
      <w:pPr>
        <w:snapToGrid w:val="0"/>
        <w:spacing w:line="360" w:lineRule="auto"/>
        <w:ind w:firstLine="420" w:firstLineChars="200"/>
        <w:rPr>
          <w:rFonts w:ascii="宋体" w:hAnsi="宋体"/>
          <w:szCs w:val="21"/>
        </w:rPr>
      </w:pPr>
    </w:p>
    <w:p w14:paraId="7CEC541C">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37FADC7B">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7BB82CE7">
      <w:pPr>
        <w:pStyle w:val="13"/>
        <w:snapToGrid w:val="0"/>
        <w:spacing w:line="360" w:lineRule="auto"/>
        <w:ind w:firstLine="422" w:firstLineChars="200"/>
        <w:rPr>
          <w:rFonts w:hAnsi="宋体"/>
          <w:b/>
          <w:szCs w:val="21"/>
        </w:rPr>
      </w:pPr>
      <w:r>
        <w:rPr>
          <w:rFonts w:hint="eastAsia" w:hAnsi="宋体"/>
          <w:b/>
          <w:szCs w:val="21"/>
        </w:rPr>
        <w:t>十二、违约责任</w:t>
      </w:r>
    </w:p>
    <w:p w14:paraId="05535443">
      <w:pPr>
        <w:pStyle w:val="13"/>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2D713234">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04CD1526">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52DD3945">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05B93B77">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379E1B7E">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2505817C">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3B60D404">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44B33946">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14CEE266">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2F344E8C">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7EA8C673">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28CD952B">
      <w:pPr>
        <w:pStyle w:val="13"/>
        <w:snapToGrid w:val="0"/>
        <w:spacing w:line="360" w:lineRule="auto"/>
        <w:ind w:firstLine="420" w:firstLineChars="200"/>
        <w:rPr>
          <w:rFonts w:hAnsi="宋体"/>
          <w:szCs w:val="21"/>
        </w:rPr>
      </w:pPr>
      <w:r>
        <w:rPr>
          <w:rFonts w:hint="eastAsia" w:hAnsi="宋体"/>
          <w:szCs w:val="21"/>
        </w:rPr>
        <w:t>附件：</w:t>
      </w:r>
    </w:p>
    <w:p w14:paraId="7363CD07">
      <w:pPr>
        <w:snapToGrid w:val="0"/>
        <w:spacing w:line="360" w:lineRule="auto"/>
        <w:ind w:firstLine="420" w:firstLineChars="200"/>
        <w:rPr>
          <w:rFonts w:ascii="宋体" w:hAnsi="宋体"/>
          <w:szCs w:val="21"/>
        </w:rPr>
      </w:pPr>
      <w:r>
        <w:rPr>
          <w:rFonts w:hint="eastAsia" w:ascii="宋体" w:hAnsi="宋体"/>
          <w:szCs w:val="21"/>
        </w:rPr>
        <w:t>1、《中标通知书》</w:t>
      </w:r>
    </w:p>
    <w:p w14:paraId="3AA01329">
      <w:pPr>
        <w:snapToGrid w:val="0"/>
        <w:spacing w:line="360" w:lineRule="auto"/>
        <w:ind w:firstLine="420" w:firstLineChars="200"/>
        <w:rPr>
          <w:rFonts w:ascii="宋体" w:hAnsi="宋体"/>
          <w:szCs w:val="21"/>
        </w:rPr>
      </w:pPr>
      <w:r>
        <w:rPr>
          <w:rFonts w:hint="eastAsia" w:ascii="宋体" w:hAnsi="宋体"/>
          <w:szCs w:val="21"/>
        </w:rPr>
        <w:t>2、《投标文件》</w:t>
      </w:r>
    </w:p>
    <w:p w14:paraId="761971F9">
      <w:pPr>
        <w:snapToGrid w:val="0"/>
        <w:spacing w:line="360" w:lineRule="auto"/>
        <w:ind w:firstLine="420" w:firstLineChars="200"/>
        <w:rPr>
          <w:rFonts w:ascii="宋体" w:hAnsi="宋体"/>
          <w:szCs w:val="21"/>
        </w:rPr>
      </w:pPr>
      <w:r>
        <w:rPr>
          <w:rFonts w:hint="eastAsia" w:ascii="宋体" w:hAnsi="宋体"/>
          <w:szCs w:val="21"/>
        </w:rPr>
        <w:t>3、《招标文件》</w:t>
      </w:r>
    </w:p>
    <w:p w14:paraId="53DCE0AE">
      <w:pPr>
        <w:snapToGrid w:val="0"/>
        <w:spacing w:line="360" w:lineRule="auto"/>
        <w:rPr>
          <w:rFonts w:ascii="宋体" w:hAnsi="宋体"/>
          <w:szCs w:val="21"/>
        </w:rPr>
      </w:pPr>
    </w:p>
    <w:p w14:paraId="274C178D">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604E99E1">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w:t>
      </w:r>
      <w:r>
        <w:rPr>
          <w:rFonts w:hint="eastAsia" w:asciiTheme="minorEastAsia" w:hAnsiTheme="minorEastAsia"/>
          <w:szCs w:val="21"/>
          <w:lang w:val="en-US" w:eastAsia="zh-CN"/>
        </w:rPr>
        <w:t xml:space="preserve"> </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4285CC1D">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lang w:val="en-US" w:eastAsia="zh-CN"/>
        </w:rPr>
        <w:t xml:space="preserve">  </w:t>
      </w:r>
      <w:r>
        <w:rPr>
          <w:rFonts w:asciiTheme="minorEastAsia" w:hAnsiTheme="minorEastAsia"/>
          <w:szCs w:val="21"/>
        </w:rPr>
        <w:t xml:space="preserve"> 委托代理人：</w:t>
      </w:r>
    </w:p>
    <w:p w14:paraId="40C9A402">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lang w:val="en-US" w:eastAsia="zh-CN"/>
        </w:rPr>
        <w:t xml:space="preserve">  </w:t>
      </w:r>
      <w:r>
        <w:rPr>
          <w:rFonts w:asciiTheme="minorEastAsia" w:hAnsiTheme="minorEastAsia"/>
          <w:szCs w:val="21"/>
        </w:rPr>
        <w:t>日期：   年     月    日</w:t>
      </w:r>
    </w:p>
    <w:p w14:paraId="34A36CED">
      <w:pPr>
        <w:jc w:val="center"/>
        <w:rPr>
          <w:b/>
          <w:sz w:val="52"/>
          <w:szCs w:val="52"/>
        </w:rPr>
      </w:pPr>
    </w:p>
    <w:p w14:paraId="7D14704B">
      <w:pPr>
        <w:pStyle w:val="12"/>
        <w:spacing w:line="360" w:lineRule="exact"/>
        <w:rPr>
          <w:rFonts w:ascii="宋体" w:hAnsi="宋体" w:cs="宋体"/>
          <w:sz w:val="22"/>
          <w:szCs w:val="22"/>
        </w:rPr>
      </w:pPr>
    </w:p>
    <w:p w14:paraId="3A25AEB5">
      <w:pPr>
        <w:rPr>
          <w:rFonts w:ascii="宋体" w:hAnsi="宋体" w:cs="宋体"/>
          <w:sz w:val="22"/>
          <w:szCs w:val="22"/>
        </w:rPr>
      </w:pPr>
    </w:p>
    <w:p w14:paraId="5EAFA586">
      <w:pPr>
        <w:rPr>
          <w:rFonts w:ascii="宋体" w:hAnsi="宋体" w:cs="宋体"/>
          <w:sz w:val="22"/>
          <w:szCs w:val="22"/>
        </w:rPr>
      </w:pPr>
    </w:p>
    <w:p w14:paraId="551F15CF">
      <w:pPr>
        <w:rPr>
          <w:rFonts w:ascii="宋体" w:hAnsi="宋体" w:cs="宋体"/>
          <w:sz w:val="22"/>
          <w:szCs w:val="22"/>
        </w:rPr>
      </w:pPr>
    </w:p>
    <w:p w14:paraId="0F1AE893">
      <w:pPr>
        <w:rPr>
          <w:rFonts w:ascii="宋体" w:hAnsi="宋体" w:cs="宋体"/>
          <w:sz w:val="22"/>
          <w:szCs w:val="22"/>
        </w:rPr>
      </w:pPr>
    </w:p>
    <w:p w14:paraId="25A7226C">
      <w:pPr>
        <w:rPr>
          <w:rFonts w:ascii="宋体" w:hAnsi="宋体" w:cs="宋体"/>
          <w:sz w:val="22"/>
          <w:szCs w:val="22"/>
        </w:rPr>
      </w:pPr>
    </w:p>
    <w:p w14:paraId="4A4E2EDC">
      <w:pPr>
        <w:rPr>
          <w:rFonts w:ascii="宋体" w:hAnsi="宋体" w:cs="宋体"/>
          <w:sz w:val="22"/>
          <w:szCs w:val="22"/>
        </w:rPr>
      </w:pPr>
    </w:p>
    <w:p w14:paraId="61B0B943">
      <w:pPr>
        <w:rPr>
          <w:rFonts w:ascii="宋体" w:hAnsi="宋体" w:cs="宋体"/>
          <w:sz w:val="22"/>
          <w:szCs w:val="22"/>
        </w:rPr>
      </w:pPr>
    </w:p>
    <w:p w14:paraId="4BC8CE4E">
      <w:pPr>
        <w:rPr>
          <w:rFonts w:ascii="宋体" w:hAnsi="宋体" w:cs="宋体"/>
        </w:rPr>
      </w:pPr>
    </w:p>
    <w:p w14:paraId="1F659F91">
      <w:pPr>
        <w:rPr>
          <w:rFonts w:ascii="宋体" w:hAnsi="宋体" w:cs="宋体"/>
        </w:rPr>
      </w:pPr>
    </w:p>
    <w:p w14:paraId="6F15085A">
      <w:pPr>
        <w:rPr>
          <w:rFonts w:ascii="宋体" w:hAnsi="宋体" w:cs="宋体"/>
        </w:rPr>
      </w:pPr>
    </w:p>
    <w:p w14:paraId="5B12E101">
      <w:pPr>
        <w:rPr>
          <w:rFonts w:ascii="宋体" w:hAnsi="宋体" w:cs="宋体"/>
        </w:rPr>
      </w:pPr>
    </w:p>
    <w:p w14:paraId="2524B532">
      <w:pPr>
        <w:rPr>
          <w:rFonts w:ascii="宋体" w:hAnsi="宋体" w:cs="宋体"/>
          <w:b/>
          <w:sz w:val="52"/>
          <w:szCs w:val="52"/>
        </w:rPr>
      </w:pPr>
    </w:p>
    <w:p w14:paraId="4F2DAFB1">
      <w:pPr>
        <w:pStyle w:val="10"/>
        <w:rPr>
          <w:rFonts w:ascii="宋体" w:hAnsi="宋体" w:cs="宋体"/>
          <w:b/>
          <w:sz w:val="52"/>
          <w:szCs w:val="52"/>
        </w:rPr>
      </w:pPr>
    </w:p>
    <w:p w14:paraId="72C140C8">
      <w:pPr>
        <w:pStyle w:val="20"/>
      </w:pPr>
    </w:p>
    <w:p w14:paraId="52DB2DF4">
      <w:pPr>
        <w:rPr>
          <w:rFonts w:hint="eastAsia" w:ascii="宋体" w:hAnsi="宋体" w:cs="宋体"/>
          <w:b/>
          <w:sz w:val="52"/>
          <w:szCs w:val="52"/>
        </w:rPr>
      </w:pPr>
      <w:r>
        <w:rPr>
          <w:rFonts w:hint="eastAsia" w:ascii="宋体" w:hAnsi="宋体" w:cs="宋体"/>
          <w:b/>
          <w:sz w:val="52"/>
          <w:szCs w:val="52"/>
        </w:rPr>
        <w:br w:type="page"/>
      </w:r>
    </w:p>
    <w:p w14:paraId="427928B8">
      <w:pPr>
        <w:pStyle w:val="2"/>
        <w:rPr>
          <w:rFonts w:hint="eastAsia" w:ascii="宋体" w:hAnsi="宋体" w:cs="宋体"/>
          <w:b/>
          <w:sz w:val="52"/>
          <w:szCs w:val="52"/>
        </w:rPr>
      </w:pPr>
    </w:p>
    <w:p w14:paraId="058DB84B">
      <w:pPr>
        <w:pStyle w:val="2"/>
        <w:rPr>
          <w:rFonts w:hint="eastAsia" w:ascii="宋体" w:hAnsi="宋体" w:cs="宋体"/>
          <w:b/>
          <w:sz w:val="52"/>
          <w:szCs w:val="52"/>
        </w:rPr>
      </w:pPr>
    </w:p>
    <w:p w14:paraId="27E3ABAA">
      <w:pPr>
        <w:pStyle w:val="2"/>
        <w:rPr>
          <w:rFonts w:ascii="宋体" w:hAnsi="宋体" w:cs="宋体"/>
          <w:b/>
          <w:sz w:val="52"/>
          <w:szCs w:val="52"/>
        </w:rPr>
      </w:pPr>
      <w:r>
        <w:rPr>
          <w:rFonts w:hint="eastAsia" w:ascii="宋体" w:hAnsi="宋体" w:cs="宋体"/>
          <w:b/>
          <w:sz w:val="52"/>
          <w:szCs w:val="52"/>
        </w:rPr>
        <w:t>第二册  通用条款</w:t>
      </w:r>
    </w:p>
    <w:p w14:paraId="13FAEDC5">
      <w:pPr>
        <w:rPr>
          <w:rFonts w:ascii="宋体" w:hAnsi="宋体" w:cs="宋体"/>
        </w:rPr>
      </w:pPr>
      <w:r>
        <w:rPr>
          <w:rFonts w:hint="eastAsia" w:ascii="宋体" w:hAnsi="宋体" w:cs="宋体"/>
          <w:b/>
          <w:sz w:val="52"/>
          <w:szCs w:val="52"/>
        </w:rPr>
        <w:br w:type="page"/>
      </w:r>
    </w:p>
    <w:p w14:paraId="4AB61F9F">
      <w:pPr>
        <w:rPr>
          <w:rFonts w:ascii="宋体" w:hAnsi="宋体" w:cs="宋体"/>
        </w:rPr>
      </w:pPr>
    </w:p>
    <w:p w14:paraId="0273A7E8">
      <w:pPr>
        <w:rPr>
          <w:rFonts w:ascii="宋体" w:hAnsi="宋体" w:cs="宋体"/>
        </w:rPr>
      </w:pPr>
    </w:p>
    <w:p w14:paraId="4A8B637E">
      <w:pPr>
        <w:rPr>
          <w:rFonts w:ascii="宋体" w:hAnsi="宋体" w:cs="宋体"/>
        </w:rPr>
      </w:pPr>
    </w:p>
    <w:p w14:paraId="1ED0A892">
      <w:pPr>
        <w:rPr>
          <w:rFonts w:ascii="宋体" w:hAnsi="宋体" w:cs="宋体"/>
        </w:rPr>
      </w:pPr>
    </w:p>
    <w:p w14:paraId="51D1E21B">
      <w:pPr>
        <w:rPr>
          <w:rFonts w:ascii="宋体" w:hAnsi="宋体" w:cs="宋体"/>
        </w:rPr>
      </w:pPr>
    </w:p>
    <w:p w14:paraId="5E739657">
      <w:pPr>
        <w:rPr>
          <w:rFonts w:ascii="宋体" w:hAnsi="宋体" w:cs="宋体"/>
        </w:rPr>
      </w:pPr>
    </w:p>
    <w:p w14:paraId="30025181">
      <w:pPr>
        <w:rPr>
          <w:rFonts w:ascii="宋体" w:hAnsi="宋体" w:cs="宋体"/>
        </w:rPr>
      </w:pPr>
    </w:p>
    <w:p w14:paraId="43012E49">
      <w:pPr>
        <w:rPr>
          <w:rFonts w:ascii="宋体" w:hAnsi="宋体" w:cs="宋体"/>
        </w:rPr>
      </w:pPr>
    </w:p>
    <w:p w14:paraId="2751B9C5">
      <w:pPr>
        <w:rPr>
          <w:rFonts w:ascii="宋体" w:hAnsi="宋体" w:cs="宋体"/>
        </w:rPr>
      </w:pPr>
    </w:p>
    <w:p w14:paraId="0252486E">
      <w:pPr>
        <w:rPr>
          <w:rFonts w:ascii="宋体" w:hAnsi="宋体" w:cs="宋体"/>
        </w:rPr>
      </w:pPr>
    </w:p>
    <w:p w14:paraId="2885CEA1">
      <w:pPr>
        <w:rPr>
          <w:rFonts w:ascii="宋体" w:hAnsi="宋体" w:cs="宋体"/>
        </w:rPr>
      </w:pPr>
    </w:p>
    <w:p w14:paraId="20BCD7E5">
      <w:pPr>
        <w:rPr>
          <w:rFonts w:ascii="宋体" w:hAnsi="宋体" w:cs="宋体"/>
        </w:rPr>
      </w:pPr>
    </w:p>
    <w:p w14:paraId="1DCA9FFA">
      <w:pPr>
        <w:rPr>
          <w:rFonts w:ascii="宋体" w:hAnsi="宋体" w:cs="宋体"/>
        </w:rPr>
      </w:pPr>
    </w:p>
    <w:p w14:paraId="11044962">
      <w:pPr>
        <w:rPr>
          <w:rFonts w:ascii="宋体" w:hAnsi="宋体" w:cs="宋体"/>
        </w:rPr>
      </w:pPr>
    </w:p>
    <w:p w14:paraId="09BBF41D">
      <w:pPr>
        <w:pStyle w:val="3"/>
        <w:spacing w:line="240" w:lineRule="auto"/>
        <w:rPr>
          <w:rFonts w:ascii="宋体" w:hAnsi="宋体" w:cs="宋体"/>
          <w:sz w:val="22"/>
          <w:szCs w:val="22"/>
        </w:rPr>
      </w:pPr>
      <w:r>
        <w:rPr>
          <w:bCs/>
          <w:sz w:val="32"/>
          <w:szCs w:val="32"/>
        </w:rPr>
        <w:t>第一章  总则</w:t>
      </w:r>
      <w:r>
        <w:rPr>
          <w:bCs/>
          <w:sz w:val="32"/>
          <w:szCs w:val="32"/>
        </w:rPr>
        <w:br w:type="page"/>
      </w:r>
    </w:p>
    <w:p w14:paraId="685A9AE9">
      <w:pPr>
        <w:rPr>
          <w:rFonts w:ascii="宋体" w:hAnsi="宋体" w:cs="宋体"/>
          <w:sz w:val="22"/>
          <w:szCs w:val="22"/>
        </w:rPr>
      </w:pPr>
    </w:p>
    <w:p w14:paraId="633B4294">
      <w:pPr>
        <w:numPr>
          <w:ilvl w:val="0"/>
          <w:numId w:val="13"/>
        </w:numPr>
        <w:rPr>
          <w:rFonts w:ascii="宋体" w:hAnsi="宋体" w:cs="宋体"/>
          <w:sz w:val="22"/>
          <w:szCs w:val="22"/>
        </w:rPr>
      </w:pPr>
      <w:r>
        <w:rPr>
          <w:rFonts w:hint="eastAsia" w:ascii="宋体" w:hAnsi="宋体" w:cs="宋体"/>
          <w:sz w:val="22"/>
          <w:szCs w:val="22"/>
        </w:rPr>
        <w:t>通用条款说明</w:t>
      </w:r>
    </w:p>
    <w:p w14:paraId="6809F8AE">
      <w:pPr>
        <w:numPr>
          <w:ilvl w:val="1"/>
          <w:numId w:val="14"/>
        </w:numPr>
        <w:rPr>
          <w:rFonts w:ascii="宋体" w:hAnsi="宋体" w:cs="宋体"/>
          <w:sz w:val="22"/>
          <w:szCs w:val="22"/>
        </w:rPr>
      </w:pPr>
      <w:r>
        <w:rPr>
          <w:rFonts w:hint="eastAsia" w:ascii="宋体" w:hAnsi="宋体" w:cs="宋体"/>
          <w:sz w:val="22"/>
          <w:szCs w:val="22"/>
        </w:rPr>
        <w:t>政府采购代理机构发出采购文件通用条款版本，列出深圳市政府采购项目进行招标采购所适用的通用条款内容。如有需要，政府采购代理机构可以对这些条款增加附录或补充内容。</w:t>
      </w:r>
    </w:p>
    <w:p w14:paraId="16F3327C">
      <w:pPr>
        <w:ind w:left="907"/>
        <w:rPr>
          <w:rFonts w:ascii="宋体" w:hAnsi="宋体" w:cs="宋体"/>
          <w:sz w:val="22"/>
          <w:szCs w:val="22"/>
        </w:rPr>
      </w:pPr>
    </w:p>
    <w:p w14:paraId="507DA71D">
      <w:pPr>
        <w:numPr>
          <w:ilvl w:val="0"/>
          <w:numId w:val="13"/>
        </w:numPr>
        <w:rPr>
          <w:rFonts w:ascii="宋体" w:hAnsi="宋体" w:cs="宋体"/>
          <w:sz w:val="22"/>
          <w:szCs w:val="22"/>
        </w:rPr>
      </w:pPr>
      <w:bookmarkStart w:id="28" w:name="_Toc73517641"/>
      <w:bookmarkStart w:id="29" w:name="_Toc73518119"/>
      <w:bookmarkStart w:id="30" w:name="_Toc100052366"/>
      <w:bookmarkStart w:id="31" w:name="_Toc60560627"/>
      <w:bookmarkStart w:id="32" w:name="_Toc73521637"/>
      <w:bookmarkStart w:id="33" w:name="_Toc73521549"/>
      <w:bookmarkStart w:id="34" w:name="_Toc60631622"/>
      <w:bookmarkStart w:id="35" w:name="_Toc73521639"/>
      <w:bookmarkStart w:id="36" w:name="_Toc60560629"/>
      <w:bookmarkStart w:id="37" w:name="_Toc100052368"/>
      <w:bookmarkStart w:id="38" w:name="_Toc73521551"/>
      <w:bookmarkStart w:id="39" w:name="_Toc60631624"/>
      <w:bookmarkStart w:id="40" w:name="_Toc73518121"/>
      <w:bookmarkStart w:id="41" w:name="_Toc73517643"/>
      <w:r>
        <w:rPr>
          <w:rFonts w:hint="eastAsia" w:ascii="宋体" w:hAnsi="宋体" w:cs="宋体"/>
          <w:sz w:val="22"/>
          <w:szCs w:val="22"/>
        </w:rPr>
        <w:t>采购说明</w:t>
      </w:r>
      <w:bookmarkEnd w:id="28"/>
      <w:bookmarkEnd w:id="29"/>
      <w:bookmarkEnd w:id="30"/>
      <w:bookmarkEnd w:id="31"/>
      <w:bookmarkEnd w:id="32"/>
      <w:bookmarkEnd w:id="33"/>
      <w:bookmarkEnd w:id="34"/>
    </w:p>
    <w:p w14:paraId="01689501">
      <w:pPr>
        <w:numPr>
          <w:ilvl w:val="1"/>
          <w:numId w:val="14"/>
        </w:numPr>
        <w:rPr>
          <w:rFonts w:ascii="宋体" w:hAnsi="宋体" w:cs="宋体"/>
          <w:sz w:val="22"/>
          <w:szCs w:val="22"/>
        </w:rPr>
      </w:pPr>
      <w:r>
        <w:rPr>
          <w:rFonts w:hint="eastAsia" w:ascii="宋体" w:hAnsi="宋体" w:cs="宋体"/>
          <w:sz w:val="22"/>
          <w:szCs w:val="22"/>
        </w:rPr>
        <w:t>本项目参照《深圳经济特区政府采购条例》的规定，并参考有关法规、政策、规章、规定通过招标择优选定供应商。</w:t>
      </w:r>
    </w:p>
    <w:p w14:paraId="5E548778">
      <w:pPr>
        <w:ind w:left="907"/>
        <w:rPr>
          <w:rFonts w:ascii="宋体" w:hAnsi="宋体" w:cs="宋体"/>
          <w:sz w:val="22"/>
          <w:szCs w:val="22"/>
        </w:rPr>
      </w:pPr>
    </w:p>
    <w:p w14:paraId="0CF1481C">
      <w:pPr>
        <w:numPr>
          <w:ilvl w:val="0"/>
          <w:numId w:val="13"/>
        </w:numPr>
        <w:rPr>
          <w:rFonts w:ascii="宋体" w:hAnsi="宋体" w:cs="宋体"/>
          <w:sz w:val="22"/>
          <w:szCs w:val="22"/>
        </w:rPr>
      </w:pPr>
      <w:bookmarkStart w:id="42" w:name="_Toc60560628"/>
      <w:bookmarkStart w:id="43" w:name="_Toc73517642"/>
      <w:bookmarkStart w:id="44" w:name="_Toc60631623"/>
      <w:bookmarkStart w:id="45" w:name="_Toc73521550"/>
      <w:bookmarkStart w:id="46" w:name="_Toc100052367"/>
      <w:bookmarkStart w:id="47" w:name="_Toc73521638"/>
      <w:bookmarkStart w:id="48" w:name="_Toc73518120"/>
      <w:r>
        <w:rPr>
          <w:rFonts w:hint="eastAsia" w:ascii="宋体" w:hAnsi="宋体" w:cs="宋体"/>
          <w:sz w:val="22"/>
          <w:szCs w:val="22"/>
        </w:rPr>
        <w:t>定义</w:t>
      </w:r>
      <w:bookmarkEnd w:id="42"/>
      <w:bookmarkEnd w:id="43"/>
      <w:bookmarkEnd w:id="44"/>
      <w:bookmarkEnd w:id="45"/>
      <w:bookmarkEnd w:id="46"/>
      <w:bookmarkEnd w:id="47"/>
      <w:bookmarkEnd w:id="48"/>
    </w:p>
    <w:p w14:paraId="52FF087F">
      <w:pPr>
        <w:ind w:left="907"/>
        <w:rPr>
          <w:rFonts w:ascii="宋体" w:hAnsi="宋体" w:cs="宋体"/>
          <w:sz w:val="22"/>
          <w:szCs w:val="22"/>
        </w:rPr>
      </w:pPr>
      <w:r>
        <w:rPr>
          <w:rFonts w:hint="eastAsia" w:ascii="宋体" w:hAnsi="宋体" w:cs="宋体"/>
          <w:sz w:val="22"/>
          <w:szCs w:val="22"/>
        </w:rPr>
        <w:t>采购文件中下列术语应解释为：</w:t>
      </w:r>
    </w:p>
    <w:p w14:paraId="59D19410">
      <w:pPr>
        <w:numPr>
          <w:ilvl w:val="1"/>
          <w:numId w:val="14"/>
        </w:numPr>
        <w:rPr>
          <w:rFonts w:ascii="宋体" w:hAnsi="宋体" w:cs="宋体"/>
          <w:sz w:val="22"/>
          <w:szCs w:val="22"/>
        </w:rPr>
      </w:pPr>
      <w:r>
        <w:rPr>
          <w:rFonts w:hint="eastAsia" w:ascii="宋体" w:hAnsi="宋体" w:cs="宋体"/>
          <w:sz w:val="22"/>
          <w:szCs w:val="22"/>
        </w:rPr>
        <w:t>“政府采购代理机构”系指依法设立的负责采购组织工作的专门机构；本项目系指深圳市东海国际招标有限公司；</w:t>
      </w:r>
    </w:p>
    <w:p w14:paraId="4202247B">
      <w:pPr>
        <w:numPr>
          <w:ilvl w:val="1"/>
          <w:numId w:val="14"/>
        </w:numPr>
        <w:rPr>
          <w:rFonts w:ascii="宋体" w:hAnsi="宋体" w:cs="宋体"/>
          <w:sz w:val="22"/>
          <w:szCs w:val="22"/>
        </w:rPr>
      </w:pPr>
      <w:r>
        <w:rPr>
          <w:rFonts w:hint="eastAsia" w:ascii="宋体" w:hAnsi="宋体" w:cs="宋体"/>
          <w:sz w:val="22"/>
          <w:szCs w:val="22"/>
        </w:rPr>
        <w:t xml:space="preserve">“采购人”或“采购单位”：系指利用财政性资金依法进行政府采购的国家机关、事业单位、团体组织； </w:t>
      </w:r>
    </w:p>
    <w:p w14:paraId="386E31A5">
      <w:pPr>
        <w:numPr>
          <w:ilvl w:val="1"/>
          <w:numId w:val="14"/>
        </w:numPr>
        <w:rPr>
          <w:rFonts w:ascii="宋体" w:hAnsi="宋体" w:cs="宋体"/>
          <w:sz w:val="22"/>
          <w:szCs w:val="22"/>
        </w:rPr>
      </w:pPr>
      <w:r>
        <w:rPr>
          <w:rFonts w:hint="eastAsia" w:ascii="宋体" w:hAnsi="宋体" w:cs="宋体"/>
          <w:sz w:val="22"/>
          <w:szCs w:val="22"/>
        </w:rPr>
        <w:t>“投标人”或“投标方”，即供应商，是指参加投标竞争并愿意按照采购文件要求向采购人提供货物、工程或者服务的依法成立的法人、其他组织或者自然人；</w:t>
      </w:r>
    </w:p>
    <w:p w14:paraId="5352767F">
      <w:pPr>
        <w:numPr>
          <w:ilvl w:val="1"/>
          <w:numId w:val="14"/>
        </w:numPr>
        <w:rPr>
          <w:rFonts w:ascii="宋体" w:hAnsi="宋体" w:cs="宋体"/>
          <w:sz w:val="22"/>
          <w:szCs w:val="22"/>
        </w:rPr>
      </w:pPr>
      <w:r>
        <w:rPr>
          <w:rFonts w:hint="eastAsia" w:ascii="宋体" w:hAnsi="宋体" w:cs="宋体"/>
          <w:sz w:val="22"/>
          <w:szCs w:val="22"/>
        </w:rPr>
        <w:t>“评审委员会”和“谈判小组”是参照《深圳经济特区政府采购条例》有关规定组建的专门负责本次采购其评标（谈判）工作的临时性机构；</w:t>
      </w:r>
    </w:p>
    <w:p w14:paraId="6039133C">
      <w:pPr>
        <w:numPr>
          <w:ilvl w:val="1"/>
          <w:numId w:val="14"/>
        </w:numPr>
        <w:rPr>
          <w:rFonts w:ascii="宋体" w:hAnsi="宋体" w:cs="宋体"/>
          <w:sz w:val="22"/>
          <w:szCs w:val="22"/>
        </w:rPr>
      </w:pPr>
      <w:r>
        <w:rPr>
          <w:rFonts w:hint="eastAsia" w:ascii="宋体" w:hAnsi="宋体" w:cs="宋体"/>
          <w:sz w:val="22"/>
          <w:szCs w:val="22"/>
        </w:rPr>
        <w:t>“日期”指公历日；</w:t>
      </w:r>
    </w:p>
    <w:p w14:paraId="162F2358">
      <w:pPr>
        <w:numPr>
          <w:ilvl w:val="1"/>
          <w:numId w:val="14"/>
        </w:numPr>
        <w:rPr>
          <w:rFonts w:ascii="宋体" w:hAnsi="宋体" w:cs="宋体"/>
          <w:sz w:val="22"/>
          <w:szCs w:val="22"/>
        </w:rPr>
      </w:pPr>
      <w:r>
        <w:rPr>
          <w:rFonts w:hint="eastAsia" w:ascii="宋体" w:hAnsi="宋体" w:cs="宋体"/>
          <w:sz w:val="22"/>
          <w:szCs w:val="22"/>
        </w:rPr>
        <w:t>“合同”指由本次招标所产生的合同或合约文件。</w:t>
      </w:r>
    </w:p>
    <w:p w14:paraId="4BE8B458">
      <w:pPr>
        <w:ind w:left="907"/>
        <w:rPr>
          <w:rFonts w:ascii="宋体" w:hAnsi="宋体" w:cs="宋体"/>
          <w:sz w:val="22"/>
          <w:szCs w:val="22"/>
        </w:rPr>
      </w:pPr>
    </w:p>
    <w:p w14:paraId="3F298DC1">
      <w:pPr>
        <w:numPr>
          <w:ilvl w:val="0"/>
          <w:numId w:val="13"/>
        </w:numPr>
        <w:rPr>
          <w:rFonts w:ascii="宋体" w:hAnsi="宋体" w:cs="宋体"/>
          <w:sz w:val="22"/>
          <w:szCs w:val="22"/>
        </w:rPr>
      </w:pPr>
      <w:r>
        <w:rPr>
          <w:rFonts w:hint="eastAsia" w:ascii="宋体" w:hAnsi="宋体" w:cs="宋体"/>
          <w:sz w:val="22"/>
          <w:szCs w:val="22"/>
        </w:rPr>
        <w:t>政府采购供应商责任</w:t>
      </w:r>
    </w:p>
    <w:p w14:paraId="21DEF54F">
      <w:pPr>
        <w:numPr>
          <w:ilvl w:val="1"/>
          <w:numId w:val="14"/>
        </w:numPr>
        <w:rPr>
          <w:rFonts w:ascii="宋体" w:hAnsi="宋体" w:cs="宋体"/>
          <w:sz w:val="22"/>
          <w:szCs w:val="22"/>
        </w:rPr>
      </w:pPr>
      <w:r>
        <w:rPr>
          <w:rFonts w:hint="eastAsia" w:ascii="宋体" w:hAnsi="宋体" w:cs="宋体"/>
          <w:sz w:val="22"/>
          <w:szCs w:val="22"/>
        </w:rPr>
        <w:t>欢迎诚信、有实力和有社会责任心的供应商参与政府采购事业。</w:t>
      </w:r>
    </w:p>
    <w:p w14:paraId="177A2270">
      <w:pPr>
        <w:numPr>
          <w:ilvl w:val="1"/>
          <w:numId w:val="14"/>
        </w:numPr>
        <w:rPr>
          <w:rFonts w:ascii="宋体" w:hAnsi="宋体" w:cs="宋体"/>
          <w:sz w:val="22"/>
          <w:szCs w:val="22"/>
        </w:rPr>
      </w:pPr>
      <w:r>
        <w:rPr>
          <w:rFonts w:hint="eastAsia" w:ascii="宋体" w:hAnsi="宋体" w:cs="宋体"/>
          <w:sz w:val="22"/>
          <w:szCs w:val="22"/>
        </w:rPr>
        <w:t>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14:paraId="61215860">
      <w:pPr>
        <w:ind w:left="907"/>
        <w:rPr>
          <w:rFonts w:ascii="宋体" w:hAnsi="宋体" w:cs="宋体"/>
          <w:sz w:val="22"/>
          <w:szCs w:val="22"/>
        </w:rPr>
      </w:pPr>
    </w:p>
    <w:bookmarkEnd w:id="35"/>
    <w:bookmarkEnd w:id="36"/>
    <w:bookmarkEnd w:id="37"/>
    <w:bookmarkEnd w:id="38"/>
    <w:bookmarkEnd w:id="39"/>
    <w:bookmarkEnd w:id="40"/>
    <w:bookmarkEnd w:id="41"/>
    <w:p w14:paraId="6B731D66">
      <w:pPr>
        <w:numPr>
          <w:ilvl w:val="0"/>
          <w:numId w:val="13"/>
        </w:numPr>
        <w:rPr>
          <w:rFonts w:ascii="宋体" w:hAnsi="宋体" w:cs="宋体"/>
          <w:sz w:val="22"/>
          <w:szCs w:val="22"/>
        </w:rPr>
      </w:pPr>
      <w:r>
        <w:rPr>
          <w:rFonts w:hint="eastAsia" w:ascii="宋体" w:hAnsi="宋体" w:cs="宋体"/>
          <w:sz w:val="22"/>
          <w:szCs w:val="22"/>
        </w:rPr>
        <w:t>投标人参加政府采购的条件</w:t>
      </w:r>
    </w:p>
    <w:p w14:paraId="22B7FE3F">
      <w:pPr>
        <w:numPr>
          <w:ilvl w:val="1"/>
          <w:numId w:val="14"/>
        </w:numPr>
        <w:ind w:left="950" w:hanging="950" w:hangingChars="432"/>
        <w:rPr>
          <w:rFonts w:ascii="宋体" w:hAnsi="宋体" w:cs="宋体"/>
          <w:sz w:val="22"/>
          <w:szCs w:val="22"/>
        </w:rPr>
      </w:pPr>
      <w:r>
        <w:rPr>
          <w:rFonts w:hint="eastAsia" w:ascii="宋体" w:hAnsi="宋体" w:cs="宋体"/>
          <w:sz w:val="22"/>
          <w:szCs w:val="22"/>
        </w:rPr>
        <w:t>参加本项目的投标人应具备的资格条件详见本项目采购公告中 “对投标人资格要求”的内容。</w:t>
      </w:r>
    </w:p>
    <w:p w14:paraId="2DFD64CF">
      <w:pPr>
        <w:ind w:left="907"/>
        <w:rPr>
          <w:rFonts w:ascii="宋体" w:hAnsi="宋体" w:cs="宋体"/>
          <w:sz w:val="22"/>
          <w:szCs w:val="22"/>
        </w:rPr>
      </w:pPr>
    </w:p>
    <w:p w14:paraId="5E6962E6">
      <w:pPr>
        <w:numPr>
          <w:ilvl w:val="0"/>
          <w:numId w:val="13"/>
        </w:numPr>
        <w:rPr>
          <w:rFonts w:ascii="宋体" w:hAnsi="宋体" w:cs="宋体"/>
          <w:sz w:val="22"/>
          <w:szCs w:val="22"/>
        </w:rPr>
      </w:pPr>
      <w:bookmarkStart w:id="49" w:name="_Toc73521553"/>
      <w:bookmarkStart w:id="50" w:name="_Toc73518123"/>
      <w:bookmarkStart w:id="51" w:name="_Toc60631626"/>
      <w:bookmarkStart w:id="52" w:name="_Toc73521641"/>
      <w:bookmarkStart w:id="53" w:name="_Toc100052370"/>
      <w:bookmarkStart w:id="54" w:name="_Toc73517645"/>
      <w:bookmarkStart w:id="55" w:name="_Toc60560631"/>
      <w:r>
        <w:rPr>
          <w:rFonts w:hint="eastAsia" w:ascii="宋体" w:hAnsi="宋体" w:cs="宋体"/>
          <w:sz w:val="22"/>
          <w:szCs w:val="22"/>
        </w:rPr>
        <w:t>联合体投标</w:t>
      </w:r>
    </w:p>
    <w:p w14:paraId="0D18AFEC">
      <w:pPr>
        <w:numPr>
          <w:ilvl w:val="1"/>
          <w:numId w:val="14"/>
        </w:numPr>
        <w:rPr>
          <w:rFonts w:ascii="宋体" w:hAnsi="宋体" w:cs="宋体"/>
          <w:sz w:val="22"/>
          <w:szCs w:val="22"/>
        </w:rPr>
      </w:pPr>
      <w:r>
        <w:rPr>
          <w:rFonts w:hint="eastAsia" w:ascii="宋体" w:hAnsi="宋体" w:cs="宋体"/>
          <w:sz w:val="22"/>
          <w:szCs w:val="22"/>
        </w:rPr>
        <w:t>以下有关联合体投标的条款仅适用于允许投标人组成联合体投标的项目。</w:t>
      </w:r>
    </w:p>
    <w:p w14:paraId="5F207917">
      <w:pPr>
        <w:numPr>
          <w:ilvl w:val="1"/>
          <w:numId w:val="14"/>
        </w:numPr>
        <w:rPr>
          <w:rFonts w:ascii="宋体" w:hAnsi="宋体" w:cs="宋体"/>
          <w:sz w:val="22"/>
          <w:szCs w:val="22"/>
        </w:rPr>
      </w:pPr>
      <w:r>
        <w:rPr>
          <w:rFonts w:hint="eastAsia" w:ascii="宋体" w:hAnsi="宋体" w:cs="宋体"/>
          <w:sz w:val="22"/>
          <w:szCs w:val="22"/>
        </w:rPr>
        <w:t>由两个或两个以上的自然人、法人或者其他组织可以组成一个联合体，以一个供应商的身份共同投标时，应符合以下原则：</w:t>
      </w:r>
    </w:p>
    <w:p w14:paraId="05EB21B1">
      <w:pPr>
        <w:numPr>
          <w:ilvl w:val="2"/>
          <w:numId w:val="15"/>
        </w:numPr>
        <w:rPr>
          <w:rFonts w:ascii="宋体" w:hAnsi="宋体" w:cs="宋体"/>
          <w:sz w:val="22"/>
          <w:szCs w:val="22"/>
        </w:rPr>
      </w:pPr>
      <w:r>
        <w:rPr>
          <w:rFonts w:hint="eastAsia" w:ascii="宋体" w:hAnsi="宋体" w:cs="宋体"/>
          <w:sz w:val="22"/>
          <w:szCs w:val="22"/>
        </w:rPr>
        <w:t xml:space="preserve">投标联合体各方参加政府采购活动应当具备下列条件： </w:t>
      </w:r>
    </w:p>
    <w:p w14:paraId="6B65856C">
      <w:pPr>
        <w:numPr>
          <w:ilvl w:val="3"/>
          <w:numId w:val="16"/>
        </w:numPr>
        <w:rPr>
          <w:rFonts w:ascii="宋体" w:hAnsi="宋体" w:cs="宋体"/>
          <w:sz w:val="22"/>
          <w:szCs w:val="22"/>
        </w:rPr>
      </w:pPr>
      <w:r>
        <w:rPr>
          <w:rFonts w:hint="eastAsia" w:ascii="宋体" w:hAnsi="宋体" w:cs="宋体"/>
          <w:sz w:val="22"/>
          <w:szCs w:val="22"/>
        </w:rPr>
        <w:t xml:space="preserve">具有独立承担民事责任的能力； </w:t>
      </w:r>
    </w:p>
    <w:p w14:paraId="21A70693">
      <w:pPr>
        <w:numPr>
          <w:ilvl w:val="3"/>
          <w:numId w:val="16"/>
        </w:numPr>
        <w:rPr>
          <w:rFonts w:ascii="宋体" w:hAnsi="宋体" w:cs="宋体"/>
          <w:sz w:val="22"/>
          <w:szCs w:val="22"/>
        </w:rPr>
      </w:pPr>
      <w:r>
        <w:rPr>
          <w:rFonts w:hint="eastAsia" w:ascii="宋体" w:hAnsi="宋体" w:cs="宋体"/>
          <w:sz w:val="22"/>
          <w:szCs w:val="22"/>
        </w:rPr>
        <w:t xml:space="preserve">有良好的商业信誉和健全的财务会计制度； </w:t>
      </w:r>
    </w:p>
    <w:p w14:paraId="5FAD8EFA">
      <w:pPr>
        <w:numPr>
          <w:ilvl w:val="3"/>
          <w:numId w:val="16"/>
        </w:numPr>
        <w:rPr>
          <w:rFonts w:ascii="宋体" w:hAnsi="宋体" w:cs="宋体"/>
          <w:sz w:val="22"/>
          <w:szCs w:val="22"/>
        </w:rPr>
      </w:pPr>
      <w:r>
        <w:rPr>
          <w:rFonts w:hint="eastAsia" w:ascii="宋体" w:hAnsi="宋体" w:cs="宋体"/>
          <w:sz w:val="22"/>
          <w:szCs w:val="22"/>
        </w:rPr>
        <w:t xml:space="preserve">具有履行合同所必需的设备和专业技术能力； </w:t>
      </w:r>
    </w:p>
    <w:p w14:paraId="1B4B81EA">
      <w:pPr>
        <w:numPr>
          <w:ilvl w:val="3"/>
          <w:numId w:val="16"/>
        </w:numPr>
        <w:rPr>
          <w:rFonts w:ascii="宋体" w:hAnsi="宋体" w:cs="宋体"/>
          <w:sz w:val="22"/>
          <w:szCs w:val="22"/>
        </w:rPr>
      </w:pPr>
      <w:r>
        <w:rPr>
          <w:rFonts w:hint="eastAsia" w:ascii="宋体" w:hAnsi="宋体" w:cs="宋体"/>
          <w:sz w:val="22"/>
          <w:szCs w:val="22"/>
        </w:rPr>
        <w:t xml:space="preserve">有依法缴纳税收和社会保障资金的良好记录； </w:t>
      </w:r>
    </w:p>
    <w:p w14:paraId="16AD964D">
      <w:pPr>
        <w:numPr>
          <w:ilvl w:val="3"/>
          <w:numId w:val="16"/>
        </w:numPr>
        <w:rPr>
          <w:rFonts w:ascii="宋体" w:hAnsi="宋体" w:cs="宋体"/>
          <w:sz w:val="22"/>
          <w:szCs w:val="22"/>
        </w:rPr>
      </w:pPr>
      <w:r>
        <w:rPr>
          <w:rFonts w:hint="eastAsia" w:ascii="宋体" w:hAnsi="宋体" w:cs="宋体"/>
          <w:sz w:val="22"/>
          <w:szCs w:val="22"/>
        </w:rPr>
        <w:t xml:space="preserve">参加政府采购活动前三年内，在经营活动中没有重大违法记录； </w:t>
      </w:r>
    </w:p>
    <w:p w14:paraId="0AD9A396">
      <w:pPr>
        <w:numPr>
          <w:ilvl w:val="3"/>
          <w:numId w:val="16"/>
        </w:numPr>
        <w:rPr>
          <w:rFonts w:ascii="宋体" w:hAnsi="宋体" w:cs="宋体"/>
          <w:sz w:val="22"/>
          <w:szCs w:val="22"/>
        </w:rPr>
      </w:pPr>
      <w:r>
        <w:rPr>
          <w:rFonts w:hint="eastAsia" w:ascii="宋体" w:hAnsi="宋体" w:cs="宋体"/>
          <w:sz w:val="22"/>
          <w:szCs w:val="22"/>
        </w:rPr>
        <w:t xml:space="preserve">法律、行政法规规定的其他条件。 </w:t>
      </w:r>
    </w:p>
    <w:p w14:paraId="218FD7E6">
      <w:pPr>
        <w:numPr>
          <w:ilvl w:val="2"/>
          <w:numId w:val="15"/>
        </w:numPr>
        <w:rPr>
          <w:rFonts w:ascii="宋体" w:hAnsi="宋体" w:cs="宋体"/>
          <w:sz w:val="22"/>
          <w:szCs w:val="22"/>
        </w:rPr>
      </w:pPr>
      <w:r>
        <w:rPr>
          <w:rFonts w:hint="eastAsia" w:ascii="宋体" w:hAnsi="宋体" w:cs="宋体"/>
          <w:sz w:val="22"/>
          <w:szCs w:val="22"/>
        </w:rPr>
        <w:t>投标联合体各方必须有一方先行注册成深圳政府采购代理机构供应商；</w:t>
      </w:r>
    </w:p>
    <w:p w14:paraId="2EFA48E8">
      <w:pPr>
        <w:numPr>
          <w:ilvl w:val="2"/>
          <w:numId w:val="15"/>
        </w:numPr>
        <w:rPr>
          <w:rFonts w:ascii="宋体" w:hAnsi="宋体" w:cs="宋体"/>
          <w:sz w:val="22"/>
          <w:szCs w:val="22"/>
        </w:rPr>
      </w:pPr>
      <w:r>
        <w:rPr>
          <w:rFonts w:hint="eastAsia" w:ascii="宋体" w:hAnsi="宋体" w:cs="宋体"/>
          <w:sz w:val="22"/>
          <w:szCs w:val="22"/>
        </w:rPr>
        <w:t>采购人根据采购项目的特殊要求规定投标人特定条件的，联合体各方中至少应当有一方符合采购人规定的特定条件。对于采购公告对投标人某一资格有要求的，按照联合体各方中最低资质等级确定联合体的资质等级；联合体各方的不同资质可优势互补。</w:t>
      </w:r>
    </w:p>
    <w:p w14:paraId="0D404B9B">
      <w:pPr>
        <w:numPr>
          <w:ilvl w:val="2"/>
          <w:numId w:val="15"/>
        </w:numPr>
        <w:rPr>
          <w:rFonts w:ascii="宋体" w:hAnsi="宋体" w:cs="宋体"/>
          <w:sz w:val="22"/>
          <w:szCs w:val="22"/>
        </w:rPr>
      </w:pPr>
      <w:r>
        <w:rPr>
          <w:rFonts w:hint="eastAsia" w:ascii="宋体" w:hAnsi="宋体" w:cs="宋体"/>
          <w:sz w:val="22"/>
          <w:szCs w:val="22"/>
        </w:rPr>
        <w:t>投标人的投标文件及中标后签署的合同协议对联合体各方均具法律约束力；</w:t>
      </w:r>
    </w:p>
    <w:p w14:paraId="525EA9F0">
      <w:pPr>
        <w:numPr>
          <w:ilvl w:val="2"/>
          <w:numId w:val="15"/>
        </w:numPr>
        <w:rPr>
          <w:rFonts w:ascii="宋体" w:hAnsi="宋体" w:cs="宋体"/>
          <w:sz w:val="22"/>
          <w:szCs w:val="22"/>
        </w:rPr>
      </w:pPr>
      <w:r>
        <w:rPr>
          <w:rFonts w:hint="eastAsia" w:ascii="宋体" w:hAnsi="宋体" w:cs="宋体"/>
          <w:sz w:val="22"/>
          <w:szCs w:val="22"/>
        </w:rPr>
        <w:t>联合体各方应当签订共同投标协议，明确约定各方拟承担的工作和责任，并将该共同投标协议随投标文件一并递交给政府采购代理机构；</w:t>
      </w:r>
    </w:p>
    <w:p w14:paraId="0479C78D">
      <w:pPr>
        <w:numPr>
          <w:ilvl w:val="2"/>
          <w:numId w:val="15"/>
        </w:numPr>
        <w:rPr>
          <w:rFonts w:ascii="宋体" w:hAnsi="宋体" w:cs="宋体"/>
          <w:sz w:val="22"/>
          <w:szCs w:val="22"/>
        </w:rPr>
      </w:pPr>
      <w:r>
        <w:rPr>
          <w:rFonts w:hint="eastAsia" w:ascii="宋体" w:hAnsi="宋体" w:cs="宋体"/>
          <w:sz w:val="22"/>
          <w:szCs w:val="22"/>
        </w:rPr>
        <w:t>联合体中标后，联合体各方应当共同与采购单位签订合同，就中标项目向采购单位承担连带责任；</w:t>
      </w:r>
    </w:p>
    <w:p w14:paraId="60E1DD31">
      <w:pPr>
        <w:numPr>
          <w:ilvl w:val="2"/>
          <w:numId w:val="15"/>
        </w:numPr>
        <w:rPr>
          <w:rFonts w:ascii="宋体" w:hAnsi="宋体" w:cs="宋体"/>
          <w:sz w:val="22"/>
          <w:szCs w:val="22"/>
        </w:rPr>
      </w:pPr>
      <w:r>
        <w:rPr>
          <w:rFonts w:hint="eastAsia" w:ascii="宋体" w:hAnsi="宋体" w:cs="宋体"/>
          <w:sz w:val="22"/>
          <w:szCs w:val="22"/>
        </w:rPr>
        <w:t>联合体的各方应当共同推荐一联合体投标授权代表方，由联合体各方提交一份授权书，证明其有资格代表联合体各方签署投标文件，该授权书作为投标文件的组成部分一并提交给政府采购代理机构；</w:t>
      </w:r>
    </w:p>
    <w:p w14:paraId="11744116">
      <w:pPr>
        <w:numPr>
          <w:ilvl w:val="2"/>
          <w:numId w:val="15"/>
        </w:numPr>
        <w:rPr>
          <w:rFonts w:ascii="宋体" w:hAnsi="宋体" w:cs="宋体"/>
          <w:sz w:val="22"/>
          <w:szCs w:val="22"/>
        </w:rPr>
      </w:pPr>
      <w:r>
        <w:rPr>
          <w:rFonts w:hint="eastAsia" w:ascii="宋体" w:hAnsi="宋体" w:cs="宋体"/>
          <w:sz w:val="22"/>
          <w:szCs w:val="22"/>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13BD5648">
      <w:pPr>
        <w:numPr>
          <w:ilvl w:val="2"/>
          <w:numId w:val="15"/>
        </w:numPr>
        <w:rPr>
          <w:rFonts w:ascii="宋体" w:hAnsi="宋体" w:cs="宋体"/>
          <w:sz w:val="22"/>
          <w:szCs w:val="22"/>
        </w:rPr>
      </w:pPr>
      <w:r>
        <w:rPr>
          <w:rFonts w:hint="eastAsia" w:ascii="宋体" w:hAnsi="宋体" w:cs="宋体"/>
          <w:sz w:val="22"/>
          <w:szCs w:val="22"/>
        </w:rPr>
        <w:t>除非另有规定或说明，本通用条款中“投标人”一词亦指联合体各方。</w:t>
      </w:r>
    </w:p>
    <w:p w14:paraId="6F59C44A">
      <w:pPr>
        <w:ind w:left="907"/>
        <w:rPr>
          <w:rFonts w:ascii="宋体" w:hAnsi="宋体" w:cs="宋体"/>
          <w:sz w:val="22"/>
          <w:szCs w:val="22"/>
        </w:rPr>
      </w:pPr>
    </w:p>
    <w:p w14:paraId="680B8EBB">
      <w:pPr>
        <w:numPr>
          <w:ilvl w:val="0"/>
          <w:numId w:val="13"/>
        </w:numPr>
        <w:rPr>
          <w:rFonts w:ascii="宋体" w:hAnsi="宋体" w:cs="宋体"/>
          <w:sz w:val="22"/>
          <w:szCs w:val="22"/>
        </w:rPr>
      </w:pPr>
      <w:r>
        <w:rPr>
          <w:rFonts w:hint="eastAsia" w:ascii="宋体" w:hAnsi="宋体" w:cs="宋体"/>
          <w:sz w:val="22"/>
          <w:szCs w:val="22"/>
        </w:rPr>
        <w:t>本项目若涉及采购货物，则合格的货物及相应服务应满足以下要求：</w:t>
      </w:r>
    </w:p>
    <w:p w14:paraId="35CF23B8">
      <w:pPr>
        <w:numPr>
          <w:ilvl w:val="1"/>
          <w:numId w:val="14"/>
        </w:numPr>
        <w:rPr>
          <w:rFonts w:ascii="宋体" w:hAnsi="宋体" w:cs="宋体"/>
          <w:sz w:val="22"/>
          <w:szCs w:val="22"/>
        </w:rPr>
      </w:pPr>
      <w:r>
        <w:rPr>
          <w:rFonts w:hint="eastAsia" w:ascii="宋体" w:hAnsi="宋体" w:cs="宋体"/>
          <w:sz w:val="22"/>
          <w:szCs w:val="22"/>
        </w:rPr>
        <w:t>必须是全新、未使用过的原装合格正品（包括零部件），如安装或配置了软件的，须为正版软件。</w:t>
      </w:r>
    </w:p>
    <w:p w14:paraId="0063DA5C">
      <w:pPr>
        <w:numPr>
          <w:ilvl w:val="1"/>
          <w:numId w:val="14"/>
        </w:numPr>
        <w:rPr>
          <w:rFonts w:ascii="宋体" w:hAnsi="宋体" w:cs="宋体"/>
          <w:sz w:val="22"/>
          <w:szCs w:val="22"/>
        </w:rPr>
      </w:pPr>
      <w:r>
        <w:rPr>
          <w:rFonts w:hint="eastAsia" w:ascii="宋体" w:hAnsi="宋体" w:cs="宋体"/>
          <w:sz w:val="22"/>
          <w:szCs w:val="22"/>
        </w:rPr>
        <w:t>国产的货物及其有关服务必须符合中华人民共和国的设计和制造生产标准或行业标准。采购公告有其他要求的，亦应符合其要求。</w:t>
      </w:r>
    </w:p>
    <w:p w14:paraId="623657D8">
      <w:pPr>
        <w:numPr>
          <w:ilvl w:val="1"/>
          <w:numId w:val="14"/>
        </w:numPr>
        <w:rPr>
          <w:rFonts w:ascii="宋体" w:hAnsi="宋体" w:cs="宋体"/>
          <w:sz w:val="22"/>
          <w:szCs w:val="22"/>
        </w:rPr>
      </w:pPr>
      <w:r>
        <w:rPr>
          <w:rFonts w:hint="eastAsia" w:ascii="宋体" w:hAnsi="宋体" w:cs="宋体"/>
          <w:sz w:val="22"/>
          <w:szCs w:val="22"/>
        </w:rPr>
        <w:t>进口货物及其有关服务必须符合原产地和/或中华人民共和国的设计和制造生产标准或行业标准。进口的货物必须具有合法的进口手续和途径</w:t>
      </w:r>
      <w:r>
        <w:rPr>
          <w:rFonts w:hint="eastAsia" w:ascii="宋体" w:hAnsi="宋体" w:cs="宋体"/>
          <w:sz w:val="22"/>
          <w:szCs w:val="22"/>
          <w:lang w:eastAsia="zh-CN"/>
        </w:rPr>
        <w:t>，</w:t>
      </w:r>
      <w:r>
        <w:rPr>
          <w:rFonts w:hint="eastAsia" w:ascii="宋体" w:hAnsi="宋体" w:cs="宋体"/>
          <w:sz w:val="22"/>
          <w:szCs w:val="22"/>
        </w:rPr>
        <w:t>采购公告有其他要求的，亦应符合其要求。</w:t>
      </w:r>
    </w:p>
    <w:p w14:paraId="70C577A2">
      <w:pPr>
        <w:numPr>
          <w:ilvl w:val="1"/>
          <w:numId w:val="14"/>
        </w:numPr>
        <w:rPr>
          <w:rFonts w:ascii="宋体" w:hAnsi="宋体" w:cs="宋体"/>
          <w:sz w:val="22"/>
          <w:szCs w:val="22"/>
        </w:rPr>
      </w:pPr>
      <w:r>
        <w:rPr>
          <w:rFonts w:hint="eastAsia" w:ascii="宋体" w:hAnsi="宋体" w:cs="宋体"/>
          <w:sz w:val="22"/>
          <w:szCs w:val="22"/>
        </w:rPr>
        <w:t>投标人应保证，其所提供的货物在提供给采购单位前具有完全的所有权，采购单位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AAD8AAE">
      <w:pPr>
        <w:numPr>
          <w:ilvl w:val="1"/>
          <w:numId w:val="14"/>
        </w:numPr>
        <w:rPr>
          <w:rFonts w:ascii="宋体" w:hAnsi="宋体" w:cs="宋体"/>
          <w:sz w:val="22"/>
          <w:szCs w:val="22"/>
        </w:rPr>
      </w:pPr>
      <w:r>
        <w:rPr>
          <w:rFonts w:hint="eastAsia" w:ascii="宋体" w:hAnsi="宋体" w:cs="宋体"/>
          <w:sz w:val="22"/>
          <w:szCs w:val="22"/>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68F193F">
      <w:pPr>
        <w:numPr>
          <w:ilvl w:val="1"/>
          <w:numId w:val="14"/>
        </w:numPr>
        <w:rPr>
          <w:rFonts w:ascii="宋体" w:hAnsi="宋体" w:cs="宋体"/>
          <w:sz w:val="22"/>
          <w:szCs w:val="22"/>
        </w:rPr>
      </w:pPr>
      <w:r>
        <w:rPr>
          <w:rFonts w:hint="eastAsia" w:ascii="宋体" w:hAnsi="宋体" w:cs="宋体"/>
          <w:sz w:val="22"/>
          <w:szCs w:val="22"/>
        </w:rPr>
        <w:t>对工期的要求：投标人在投标时对其所投项目应提交详细的《交货进度表》，列明交货计划等，在合同规定的时间内完工验收。</w:t>
      </w:r>
    </w:p>
    <w:p w14:paraId="5908B37C">
      <w:pPr>
        <w:numPr>
          <w:ilvl w:val="1"/>
          <w:numId w:val="14"/>
        </w:numPr>
        <w:rPr>
          <w:rFonts w:ascii="宋体" w:hAnsi="宋体" w:cs="宋体"/>
          <w:sz w:val="22"/>
          <w:szCs w:val="22"/>
        </w:rPr>
      </w:pPr>
      <w:r>
        <w:rPr>
          <w:rFonts w:hint="eastAsia" w:ascii="宋体" w:hAnsi="宋体" w:cs="宋体"/>
          <w:sz w:val="22"/>
          <w:szCs w:val="22"/>
        </w:rPr>
        <w:t>除非下文另有规定，产品有效期为：密封存放在阴凉、干燥、通风、温度为-5°Ｃ～４０°Ｃ的环境中，有效期八年。特殊要求的另行规定。</w:t>
      </w:r>
    </w:p>
    <w:p w14:paraId="779F11C6">
      <w:pPr>
        <w:numPr>
          <w:ilvl w:val="1"/>
          <w:numId w:val="14"/>
        </w:numPr>
        <w:rPr>
          <w:rFonts w:ascii="宋体" w:hAnsi="宋体" w:cs="宋体"/>
          <w:sz w:val="22"/>
          <w:szCs w:val="22"/>
        </w:rPr>
      </w:pPr>
      <w:r>
        <w:rPr>
          <w:rFonts w:hint="eastAsia" w:ascii="宋体" w:hAnsi="宋体" w:cs="宋体"/>
          <w:sz w:val="22"/>
          <w:szCs w:val="22"/>
        </w:rPr>
        <w:t>服务响应期：4小时以内到达采购单位现场。特殊要求的另行规定。</w:t>
      </w:r>
    </w:p>
    <w:p w14:paraId="0BF4881F">
      <w:pPr>
        <w:numPr>
          <w:ilvl w:val="1"/>
          <w:numId w:val="14"/>
        </w:numPr>
        <w:rPr>
          <w:rFonts w:ascii="宋体" w:hAnsi="宋体" w:cs="宋体"/>
          <w:sz w:val="22"/>
          <w:szCs w:val="22"/>
        </w:rPr>
      </w:pPr>
      <w:r>
        <w:rPr>
          <w:rFonts w:hint="eastAsia" w:ascii="宋体" w:hAnsi="宋体" w:cs="宋体"/>
          <w:sz w:val="22"/>
          <w:szCs w:val="22"/>
        </w:rPr>
        <w:t>投标人必须承担的设备运输、安装调试、验收检测和提供设备操作说明书、图纸等其他相关及类似的义务。</w:t>
      </w:r>
    </w:p>
    <w:p w14:paraId="02D8F70D">
      <w:pPr>
        <w:ind w:left="907"/>
        <w:rPr>
          <w:rFonts w:ascii="宋体" w:hAnsi="宋体" w:cs="宋体"/>
          <w:sz w:val="22"/>
          <w:szCs w:val="22"/>
        </w:rPr>
      </w:pPr>
    </w:p>
    <w:p w14:paraId="330FDABF">
      <w:pPr>
        <w:numPr>
          <w:ilvl w:val="0"/>
          <w:numId w:val="13"/>
        </w:numPr>
        <w:rPr>
          <w:rFonts w:ascii="宋体" w:hAnsi="宋体" w:cs="宋体"/>
          <w:sz w:val="22"/>
          <w:szCs w:val="22"/>
        </w:rPr>
      </w:pPr>
      <w:r>
        <w:rPr>
          <w:rFonts w:hint="eastAsia" w:ascii="宋体" w:hAnsi="宋体" w:cs="宋体"/>
          <w:sz w:val="22"/>
          <w:szCs w:val="22"/>
        </w:rPr>
        <w:t>投标费用</w:t>
      </w:r>
      <w:bookmarkEnd w:id="49"/>
      <w:bookmarkEnd w:id="50"/>
      <w:bookmarkEnd w:id="51"/>
      <w:bookmarkEnd w:id="52"/>
      <w:bookmarkEnd w:id="53"/>
      <w:bookmarkEnd w:id="54"/>
      <w:bookmarkEnd w:id="55"/>
    </w:p>
    <w:p w14:paraId="543AF010">
      <w:pPr>
        <w:numPr>
          <w:ilvl w:val="1"/>
          <w:numId w:val="14"/>
        </w:numPr>
        <w:rPr>
          <w:rFonts w:ascii="宋体" w:hAnsi="宋体" w:cs="宋体"/>
          <w:sz w:val="22"/>
          <w:szCs w:val="22"/>
        </w:rPr>
      </w:pPr>
      <w:r>
        <w:rPr>
          <w:rFonts w:hint="eastAsia" w:ascii="宋体" w:hAnsi="宋体" w:cs="宋体"/>
          <w:sz w:val="22"/>
          <w:szCs w:val="22"/>
        </w:rPr>
        <w:t>不论投标结果如何，投标人应承担其编制投标文件与递交投标文件所涉及的一切费用。</w:t>
      </w:r>
    </w:p>
    <w:p w14:paraId="1224EF4D">
      <w:pPr>
        <w:ind w:left="907"/>
        <w:rPr>
          <w:rFonts w:ascii="宋体" w:hAnsi="宋体" w:cs="宋体"/>
          <w:sz w:val="22"/>
          <w:szCs w:val="22"/>
        </w:rPr>
      </w:pPr>
    </w:p>
    <w:p w14:paraId="39D79AE7">
      <w:pPr>
        <w:numPr>
          <w:ilvl w:val="0"/>
          <w:numId w:val="13"/>
        </w:numPr>
        <w:rPr>
          <w:rFonts w:ascii="宋体" w:hAnsi="宋体" w:cs="宋体"/>
          <w:sz w:val="22"/>
          <w:szCs w:val="22"/>
        </w:rPr>
      </w:pPr>
      <w:bookmarkStart w:id="56" w:name="_Toc60560632"/>
      <w:bookmarkStart w:id="57" w:name="_Toc60631627"/>
      <w:bookmarkStart w:id="58" w:name="_Toc100052371"/>
      <w:bookmarkStart w:id="59" w:name="_Toc73521554"/>
      <w:bookmarkStart w:id="60" w:name="_Toc73517646"/>
      <w:bookmarkStart w:id="61" w:name="_Toc73521642"/>
      <w:bookmarkStart w:id="62" w:name="_Toc73518124"/>
      <w:r>
        <w:rPr>
          <w:rFonts w:hint="eastAsia" w:ascii="宋体" w:hAnsi="宋体" w:cs="宋体"/>
          <w:sz w:val="22"/>
          <w:szCs w:val="22"/>
        </w:rPr>
        <w:t>踏勘现场</w:t>
      </w:r>
      <w:bookmarkEnd w:id="56"/>
      <w:bookmarkEnd w:id="57"/>
      <w:bookmarkEnd w:id="58"/>
      <w:bookmarkEnd w:id="59"/>
      <w:bookmarkEnd w:id="60"/>
      <w:bookmarkEnd w:id="61"/>
      <w:bookmarkEnd w:id="62"/>
    </w:p>
    <w:p w14:paraId="5BC2BD99">
      <w:pPr>
        <w:numPr>
          <w:ilvl w:val="1"/>
          <w:numId w:val="14"/>
        </w:numPr>
        <w:rPr>
          <w:rFonts w:ascii="宋体" w:hAnsi="宋体" w:cs="宋体"/>
          <w:sz w:val="22"/>
          <w:szCs w:val="22"/>
        </w:rPr>
      </w:pPr>
      <w:bookmarkStart w:id="63" w:name="_Toc78260681"/>
      <w:bookmarkStart w:id="64" w:name="_Toc100052372"/>
      <w:r>
        <w:rPr>
          <w:rFonts w:hint="eastAsia" w:ascii="宋体" w:hAnsi="宋体" w:cs="宋体"/>
          <w:sz w:val="22"/>
          <w:szCs w:val="22"/>
        </w:rPr>
        <w:t>如有需要，政府采购代理机构或采购单位将组织投标人对项目现场及周围环境进行踏勘，以便投标人获取有关编制投标文件和签署合同所需的所有资料。踏勘现场所发生的费用由投标人自己承担，投标人应按采购公告所约定的时间、地点统一踏勘现场。</w:t>
      </w:r>
    </w:p>
    <w:p w14:paraId="59F46FED">
      <w:pPr>
        <w:numPr>
          <w:ilvl w:val="1"/>
          <w:numId w:val="14"/>
        </w:numPr>
        <w:rPr>
          <w:rFonts w:ascii="宋体" w:hAnsi="宋体" w:cs="宋体"/>
          <w:sz w:val="22"/>
          <w:szCs w:val="22"/>
        </w:rPr>
      </w:pPr>
      <w:r>
        <w:rPr>
          <w:rFonts w:hint="eastAsia" w:ascii="宋体" w:hAnsi="宋体" w:cs="宋体"/>
          <w:sz w:val="22"/>
          <w:szCs w:val="22"/>
        </w:rPr>
        <w:t>投标人及其人员经过采购单位的允许，可以踏勘目的进入采购单位的项目现场。若本项目采购文件要求投标人于统一时间地点踏勘现场的，投标人应当按时前往。</w:t>
      </w:r>
    </w:p>
    <w:p w14:paraId="5C745C23">
      <w:pPr>
        <w:numPr>
          <w:ilvl w:val="1"/>
          <w:numId w:val="14"/>
        </w:numPr>
        <w:rPr>
          <w:rFonts w:ascii="宋体" w:hAnsi="宋体" w:cs="宋体"/>
          <w:sz w:val="22"/>
          <w:szCs w:val="22"/>
        </w:rPr>
      </w:pPr>
      <w:r>
        <w:rPr>
          <w:rFonts w:hint="eastAsia" w:ascii="宋体" w:hAnsi="宋体" w:cs="宋体"/>
          <w:sz w:val="22"/>
          <w:szCs w:val="22"/>
        </w:rPr>
        <w:t>采购单位必须通过政府采购代理机构向投标人提供有关现场的资料和数据。</w:t>
      </w:r>
    </w:p>
    <w:p w14:paraId="58AE3710">
      <w:pPr>
        <w:numPr>
          <w:ilvl w:val="1"/>
          <w:numId w:val="14"/>
        </w:numPr>
        <w:rPr>
          <w:rFonts w:ascii="宋体" w:hAnsi="宋体" w:cs="宋体"/>
          <w:sz w:val="22"/>
          <w:szCs w:val="22"/>
        </w:rPr>
      </w:pPr>
      <w:r>
        <w:rPr>
          <w:rFonts w:hint="eastAsia" w:ascii="宋体" w:hAnsi="宋体" w:cs="宋体"/>
          <w:sz w:val="22"/>
          <w:szCs w:val="22"/>
        </w:rPr>
        <w:t>任何人或任何组织在踏勘现场时向投标人提交的任何书面或口头上的资料，未经政府采购代理机构在网上发布或书面通知，均作无效处理。政府采购代理机构对投标人由此而做出的推论、理解和结论概不负责。</w:t>
      </w:r>
    </w:p>
    <w:p w14:paraId="4A8D16A9">
      <w:pPr>
        <w:numPr>
          <w:ilvl w:val="1"/>
          <w:numId w:val="14"/>
        </w:numPr>
        <w:rPr>
          <w:rFonts w:ascii="宋体" w:hAnsi="宋体" w:cs="宋体"/>
          <w:sz w:val="22"/>
          <w:szCs w:val="22"/>
        </w:rPr>
      </w:pPr>
      <w:r>
        <w:rPr>
          <w:rFonts w:hint="eastAsia" w:ascii="宋体" w:hAnsi="宋体" w:cs="宋体"/>
          <w:sz w:val="22"/>
          <w:szCs w:val="22"/>
        </w:rPr>
        <w:t>未参与现场踏勘不作为否定投标人资格的理由。</w:t>
      </w:r>
    </w:p>
    <w:p w14:paraId="58A56EB6">
      <w:pPr>
        <w:ind w:left="907"/>
        <w:rPr>
          <w:rFonts w:ascii="宋体" w:hAnsi="宋体" w:cs="宋体"/>
          <w:sz w:val="22"/>
          <w:szCs w:val="22"/>
        </w:rPr>
      </w:pPr>
    </w:p>
    <w:p w14:paraId="5E475615">
      <w:pPr>
        <w:numPr>
          <w:ilvl w:val="0"/>
          <w:numId w:val="13"/>
        </w:numPr>
        <w:rPr>
          <w:rFonts w:ascii="宋体" w:hAnsi="宋体" w:cs="宋体"/>
          <w:sz w:val="22"/>
          <w:szCs w:val="22"/>
        </w:rPr>
      </w:pPr>
      <w:r>
        <w:rPr>
          <w:rFonts w:hint="eastAsia" w:ascii="宋体" w:hAnsi="宋体" w:cs="宋体"/>
          <w:sz w:val="22"/>
          <w:szCs w:val="22"/>
        </w:rPr>
        <w:t>招标</w:t>
      </w:r>
      <w:bookmarkEnd w:id="63"/>
      <w:r>
        <w:rPr>
          <w:rFonts w:hint="eastAsia" w:ascii="宋体" w:hAnsi="宋体" w:cs="宋体"/>
          <w:sz w:val="22"/>
          <w:szCs w:val="22"/>
        </w:rPr>
        <w:t>答疑</w:t>
      </w:r>
      <w:bookmarkEnd w:id="64"/>
    </w:p>
    <w:p w14:paraId="3AFC8486">
      <w:pPr>
        <w:numPr>
          <w:ilvl w:val="1"/>
          <w:numId w:val="14"/>
        </w:numPr>
        <w:rPr>
          <w:rFonts w:ascii="宋体" w:hAnsi="宋体" w:cs="宋体"/>
          <w:sz w:val="22"/>
          <w:szCs w:val="22"/>
        </w:rPr>
      </w:pPr>
      <w:r>
        <w:rPr>
          <w:rFonts w:hint="eastAsia" w:ascii="宋体" w:hAnsi="宋体" w:cs="宋体"/>
          <w:sz w:val="22"/>
          <w:szCs w:val="22"/>
        </w:rPr>
        <w:t>招标答疑的目的是澄清、解答投标人在查阅采购文件后或现场踏勘中可能提出的与投标有关的疑问或询问。</w:t>
      </w:r>
    </w:p>
    <w:p w14:paraId="4AD866FD">
      <w:pPr>
        <w:numPr>
          <w:ilvl w:val="1"/>
          <w:numId w:val="14"/>
        </w:numPr>
        <w:rPr>
          <w:rFonts w:ascii="宋体" w:hAnsi="宋体" w:cs="宋体"/>
          <w:sz w:val="22"/>
          <w:szCs w:val="22"/>
        </w:rPr>
      </w:pPr>
      <w:r>
        <w:rPr>
          <w:rFonts w:hint="eastAsia" w:ascii="宋体" w:hAnsi="宋体" w:cs="宋体"/>
          <w:sz w:val="22"/>
          <w:szCs w:val="22"/>
        </w:rPr>
        <w:t>投标人提出的与投标有关的问题须在采购文件规定的答疑截止时间前以网上提问形式提交给政府采购代理机构。</w:t>
      </w:r>
    </w:p>
    <w:p w14:paraId="111A1972">
      <w:pPr>
        <w:numPr>
          <w:ilvl w:val="1"/>
          <w:numId w:val="14"/>
        </w:numPr>
        <w:rPr>
          <w:rFonts w:ascii="宋体" w:hAnsi="宋体" w:cs="宋体"/>
          <w:sz w:val="22"/>
          <w:szCs w:val="22"/>
        </w:rPr>
      </w:pPr>
      <w:r>
        <w:rPr>
          <w:rFonts w:hint="eastAsia" w:ascii="宋体" w:hAnsi="宋体" w:cs="宋体"/>
          <w:sz w:val="22"/>
          <w:szCs w:val="22"/>
        </w:rPr>
        <w:t>政府采购代理机构对疑问所做出的澄清和解答，以书面答复（包括网站发布信息）为准。答疑纪要的有效性规定按照本通用条款第13.3、13.4款规定执行。</w:t>
      </w:r>
    </w:p>
    <w:p w14:paraId="2D552681">
      <w:pPr>
        <w:numPr>
          <w:ilvl w:val="1"/>
          <w:numId w:val="14"/>
        </w:numPr>
        <w:rPr>
          <w:rFonts w:ascii="宋体" w:hAnsi="宋体" w:cs="宋体"/>
          <w:sz w:val="22"/>
          <w:szCs w:val="22"/>
        </w:rPr>
      </w:pPr>
      <w:r>
        <w:rPr>
          <w:rFonts w:hint="eastAsia" w:ascii="宋体" w:hAnsi="宋体" w:cs="宋体"/>
          <w:sz w:val="22"/>
          <w:szCs w:val="22"/>
        </w:rPr>
        <w:t>如政府采购代理机构认为有必要组织现场答疑会，投标人应按照采购文件规定的时间或政府采购代理机构另行书面通知（包括网站发布的通知）的时间和地点，参与现场答疑会。</w:t>
      </w:r>
    </w:p>
    <w:p w14:paraId="5247FAA0">
      <w:pPr>
        <w:numPr>
          <w:ilvl w:val="1"/>
          <w:numId w:val="14"/>
        </w:numPr>
        <w:rPr>
          <w:rFonts w:ascii="宋体" w:hAnsi="宋体" w:cs="宋体"/>
          <w:sz w:val="22"/>
          <w:szCs w:val="22"/>
        </w:rPr>
      </w:pPr>
      <w:r>
        <w:rPr>
          <w:rFonts w:hint="eastAsia" w:ascii="宋体" w:hAnsi="宋体" w:cs="宋体"/>
          <w:sz w:val="22"/>
          <w:szCs w:val="22"/>
        </w:rPr>
        <w:t>未参与招标答疑不作为否定投标人资格的理由。</w:t>
      </w:r>
    </w:p>
    <w:p w14:paraId="535FF3CB">
      <w:r>
        <w:br w:type="page"/>
      </w:r>
      <w:bookmarkStart w:id="65" w:name="bt招标文件"/>
      <w:bookmarkEnd w:id="65"/>
      <w:bookmarkStart w:id="66" w:name="_Toc73521556"/>
      <w:bookmarkStart w:id="67" w:name="_Toc101074878"/>
      <w:bookmarkStart w:id="68" w:name="_Toc100052373"/>
      <w:bookmarkStart w:id="69" w:name="_Toc73521644"/>
      <w:bookmarkStart w:id="70" w:name="_Toc73518126"/>
      <w:bookmarkStart w:id="71" w:name="_Toc73517648"/>
    </w:p>
    <w:p w14:paraId="6DC93B80"/>
    <w:p w14:paraId="2F0BF195"/>
    <w:p w14:paraId="7F33CD57"/>
    <w:p w14:paraId="1A1584EC"/>
    <w:p w14:paraId="7F072291"/>
    <w:p w14:paraId="1705221F"/>
    <w:p w14:paraId="1E9B2407"/>
    <w:p w14:paraId="28D04BCB"/>
    <w:p w14:paraId="688C17EB"/>
    <w:p w14:paraId="7A63CEA2"/>
    <w:p w14:paraId="7A082B87"/>
    <w:p w14:paraId="54E4E674"/>
    <w:p w14:paraId="7B2B9790"/>
    <w:p w14:paraId="2257764A"/>
    <w:p w14:paraId="2E54E275"/>
    <w:p w14:paraId="23920E73">
      <w:pPr>
        <w:jc w:val="center"/>
        <w:rPr>
          <w:szCs w:val="28"/>
        </w:rPr>
      </w:pPr>
      <w:r>
        <w:rPr>
          <w:b/>
          <w:bCs/>
          <w:kern w:val="28"/>
          <w:sz w:val="44"/>
          <w:szCs w:val="44"/>
        </w:rPr>
        <w:t>第二章  采购文件</w:t>
      </w:r>
      <w:r>
        <w:rPr>
          <w:b/>
          <w:bCs/>
          <w:kern w:val="28"/>
          <w:sz w:val="44"/>
          <w:szCs w:val="44"/>
        </w:rPr>
        <w:br w:type="page"/>
      </w:r>
      <w:bookmarkEnd w:id="66"/>
      <w:bookmarkEnd w:id="67"/>
      <w:bookmarkEnd w:id="68"/>
      <w:bookmarkEnd w:id="69"/>
      <w:bookmarkEnd w:id="70"/>
      <w:bookmarkEnd w:id="71"/>
    </w:p>
    <w:p w14:paraId="7045436C"/>
    <w:p w14:paraId="3A950841">
      <w:pPr>
        <w:numPr>
          <w:ilvl w:val="0"/>
          <w:numId w:val="13"/>
        </w:numPr>
        <w:rPr>
          <w:rFonts w:ascii="宋体" w:hAnsi="宋体" w:cs="宋体"/>
          <w:sz w:val="22"/>
          <w:szCs w:val="22"/>
        </w:rPr>
      </w:pPr>
      <w:bookmarkStart w:id="72" w:name="_Toc73521645"/>
      <w:bookmarkStart w:id="73" w:name="_Toc73517649"/>
      <w:bookmarkStart w:id="74" w:name="_Toc100052374"/>
      <w:bookmarkStart w:id="75" w:name="_Toc73521557"/>
      <w:bookmarkStart w:id="76" w:name="_Toc73518127"/>
      <w:r>
        <w:rPr>
          <w:rFonts w:hint="eastAsia" w:ascii="宋体" w:hAnsi="宋体" w:cs="宋体"/>
          <w:sz w:val="22"/>
          <w:szCs w:val="22"/>
        </w:rPr>
        <w:t>采购文件的编制与组成</w:t>
      </w:r>
      <w:bookmarkEnd w:id="72"/>
      <w:bookmarkEnd w:id="73"/>
      <w:bookmarkEnd w:id="74"/>
      <w:bookmarkEnd w:id="75"/>
      <w:bookmarkEnd w:id="76"/>
    </w:p>
    <w:p w14:paraId="7275295C">
      <w:pPr>
        <w:numPr>
          <w:ilvl w:val="1"/>
          <w:numId w:val="14"/>
        </w:numPr>
        <w:rPr>
          <w:rFonts w:ascii="宋体" w:hAnsi="宋体" w:cs="宋体"/>
          <w:sz w:val="22"/>
          <w:szCs w:val="22"/>
        </w:rPr>
      </w:pPr>
      <w:r>
        <w:rPr>
          <w:rFonts w:hint="eastAsia" w:ascii="宋体" w:hAnsi="宋体" w:cs="宋体"/>
          <w:sz w:val="22"/>
          <w:szCs w:val="22"/>
        </w:rPr>
        <w:t>采购文件除以下内容外，政府采购代理机构在招标（或谈判）期间发出的答疑纪要和其他补充修改函件，均是采购文件的组成部分，对投标人起约束作用；</w:t>
      </w:r>
    </w:p>
    <w:p w14:paraId="2A40D421">
      <w:pPr>
        <w:ind w:left="907"/>
        <w:rPr>
          <w:rFonts w:ascii="宋体" w:hAnsi="宋体" w:cs="宋体"/>
          <w:sz w:val="22"/>
          <w:szCs w:val="22"/>
        </w:rPr>
      </w:pPr>
      <w:r>
        <w:rPr>
          <w:rFonts w:hint="eastAsia" w:ascii="宋体" w:hAnsi="宋体" w:cs="宋体"/>
          <w:sz w:val="22"/>
          <w:szCs w:val="22"/>
        </w:rPr>
        <w:t>采购文件包括下列内容：</w:t>
      </w:r>
    </w:p>
    <w:p w14:paraId="5BF4B900">
      <w:pPr>
        <w:ind w:left="907"/>
        <w:rPr>
          <w:rFonts w:ascii="宋体" w:hAnsi="宋体" w:cs="宋体"/>
          <w:b/>
          <w:sz w:val="22"/>
        </w:rPr>
      </w:pPr>
      <w:bookmarkStart w:id="77" w:name="_Toc73521646"/>
      <w:bookmarkStart w:id="78" w:name="_Toc60631631"/>
      <w:bookmarkStart w:id="79" w:name="_Toc73517650"/>
      <w:bookmarkStart w:id="80" w:name="_Toc60560636"/>
      <w:bookmarkStart w:id="81" w:name="_Toc100052375"/>
      <w:bookmarkStart w:id="82" w:name="_Toc73518128"/>
      <w:bookmarkStart w:id="83" w:name="_Toc73521558"/>
      <w:bookmarkStart w:id="84" w:name="_Toc60631632"/>
      <w:bookmarkStart w:id="85" w:name="_Toc73518129"/>
      <w:bookmarkStart w:id="86" w:name="_Toc73517651"/>
      <w:bookmarkStart w:id="87" w:name="_Toc73521647"/>
      <w:bookmarkStart w:id="88" w:name="_Toc73521559"/>
      <w:bookmarkStart w:id="89" w:name="_Toc60560637"/>
      <w:bookmarkStart w:id="90" w:name="_Toc100052376"/>
      <w:r>
        <w:rPr>
          <w:rFonts w:hint="eastAsia" w:ascii="宋体" w:hAnsi="宋体" w:cs="宋体"/>
          <w:b/>
          <w:sz w:val="22"/>
        </w:rPr>
        <w:t>第一册  专用条款</w:t>
      </w:r>
    </w:p>
    <w:p w14:paraId="769B295A">
      <w:pPr>
        <w:ind w:left="907"/>
        <w:rPr>
          <w:rFonts w:ascii="宋体" w:hAnsi="宋体" w:cs="宋体"/>
          <w:b/>
          <w:sz w:val="22"/>
        </w:rPr>
      </w:pPr>
      <w:r>
        <w:rPr>
          <w:rFonts w:hint="eastAsia" w:ascii="宋体" w:hAnsi="宋体" w:cs="宋体"/>
          <w:b/>
          <w:sz w:val="22"/>
        </w:rPr>
        <w:t>关键信息</w:t>
      </w:r>
    </w:p>
    <w:p w14:paraId="4CBA5BFB">
      <w:pPr>
        <w:ind w:left="907"/>
        <w:rPr>
          <w:rFonts w:ascii="宋体" w:hAnsi="宋体" w:cs="宋体"/>
          <w:sz w:val="22"/>
        </w:rPr>
      </w:pPr>
      <w:r>
        <w:rPr>
          <w:rFonts w:hint="eastAsia" w:ascii="宋体" w:hAnsi="宋体" w:cs="宋体"/>
          <w:sz w:val="22"/>
        </w:rPr>
        <w:t>第一章  招标公告</w:t>
      </w:r>
    </w:p>
    <w:p w14:paraId="40DCB807">
      <w:pPr>
        <w:ind w:left="907"/>
        <w:rPr>
          <w:rFonts w:ascii="宋体" w:hAnsi="宋体" w:cs="宋体"/>
          <w:sz w:val="22"/>
        </w:rPr>
      </w:pPr>
      <w:r>
        <w:rPr>
          <w:rFonts w:hint="eastAsia" w:ascii="宋体" w:hAnsi="宋体" w:cs="宋体"/>
          <w:sz w:val="22"/>
        </w:rPr>
        <w:t>第二章  招标项目需求</w:t>
      </w:r>
    </w:p>
    <w:p w14:paraId="5EBD8D0E">
      <w:pPr>
        <w:ind w:left="907"/>
        <w:rPr>
          <w:rFonts w:ascii="宋体" w:hAnsi="宋体" w:cs="宋体"/>
          <w:sz w:val="22"/>
        </w:rPr>
      </w:pPr>
      <w:r>
        <w:rPr>
          <w:rFonts w:hint="eastAsia" w:ascii="宋体" w:hAnsi="宋体" w:cs="宋体"/>
          <w:sz w:val="22"/>
        </w:rPr>
        <w:t>第三章  合同条款及格式</w:t>
      </w:r>
    </w:p>
    <w:p w14:paraId="36A5E1E4">
      <w:pPr>
        <w:ind w:left="907"/>
        <w:rPr>
          <w:rFonts w:ascii="宋体" w:hAnsi="宋体" w:cs="宋体"/>
          <w:sz w:val="22"/>
        </w:rPr>
      </w:pPr>
      <w:r>
        <w:rPr>
          <w:rFonts w:hint="eastAsia" w:ascii="宋体" w:hAnsi="宋体" w:cs="宋体"/>
          <w:sz w:val="22"/>
        </w:rPr>
        <w:t>第四章  投标文件格式、附件</w:t>
      </w:r>
    </w:p>
    <w:p w14:paraId="15E36F18">
      <w:pPr>
        <w:ind w:left="907"/>
        <w:rPr>
          <w:rFonts w:ascii="宋体" w:hAnsi="宋体" w:cs="宋体"/>
          <w:sz w:val="22"/>
        </w:rPr>
      </w:pPr>
      <w:r>
        <w:rPr>
          <w:rFonts w:hint="eastAsia" w:ascii="宋体" w:hAnsi="宋体" w:cs="宋体"/>
          <w:sz w:val="22"/>
        </w:rPr>
        <w:t>第五章  政府采购履约情况反馈表</w:t>
      </w:r>
    </w:p>
    <w:p w14:paraId="2286560F">
      <w:pPr>
        <w:ind w:left="907"/>
        <w:rPr>
          <w:rFonts w:ascii="宋体" w:hAnsi="宋体" w:cs="宋体"/>
          <w:b/>
          <w:sz w:val="22"/>
        </w:rPr>
      </w:pPr>
      <w:r>
        <w:rPr>
          <w:rFonts w:hint="eastAsia" w:ascii="宋体" w:hAnsi="宋体" w:cs="宋体"/>
          <w:b/>
          <w:sz w:val="22"/>
        </w:rPr>
        <w:t>第二册  通用条款</w:t>
      </w:r>
    </w:p>
    <w:p w14:paraId="7E4CC63E">
      <w:pPr>
        <w:ind w:left="907"/>
        <w:rPr>
          <w:rFonts w:ascii="宋体" w:hAnsi="宋体" w:cs="宋体"/>
          <w:sz w:val="22"/>
        </w:rPr>
      </w:pPr>
      <w:r>
        <w:rPr>
          <w:rFonts w:hint="eastAsia" w:ascii="宋体" w:hAnsi="宋体" w:cs="宋体"/>
          <w:sz w:val="22"/>
        </w:rPr>
        <w:t>第一章  总则</w:t>
      </w:r>
    </w:p>
    <w:p w14:paraId="0111506E">
      <w:pPr>
        <w:ind w:left="907"/>
        <w:rPr>
          <w:rFonts w:ascii="宋体" w:hAnsi="宋体" w:cs="宋体"/>
          <w:sz w:val="22"/>
        </w:rPr>
      </w:pPr>
      <w:r>
        <w:rPr>
          <w:rFonts w:hint="eastAsia" w:ascii="宋体" w:hAnsi="宋体" w:cs="宋体"/>
          <w:sz w:val="22"/>
        </w:rPr>
        <w:t>第二章  采购文件</w:t>
      </w:r>
    </w:p>
    <w:p w14:paraId="0829A8F8">
      <w:pPr>
        <w:ind w:left="907"/>
        <w:rPr>
          <w:rFonts w:ascii="宋体" w:hAnsi="宋体" w:cs="宋体"/>
          <w:sz w:val="22"/>
        </w:rPr>
      </w:pPr>
      <w:r>
        <w:rPr>
          <w:rFonts w:hint="eastAsia" w:ascii="宋体" w:hAnsi="宋体" w:cs="宋体"/>
          <w:sz w:val="22"/>
        </w:rPr>
        <w:t>第三章  投标文件的编制</w:t>
      </w:r>
    </w:p>
    <w:p w14:paraId="03D1D758">
      <w:pPr>
        <w:ind w:left="907"/>
        <w:rPr>
          <w:rFonts w:ascii="宋体" w:hAnsi="宋体" w:cs="宋体"/>
          <w:sz w:val="22"/>
        </w:rPr>
      </w:pPr>
      <w:r>
        <w:rPr>
          <w:rFonts w:hint="eastAsia" w:ascii="宋体" w:hAnsi="宋体" w:cs="宋体"/>
          <w:sz w:val="22"/>
        </w:rPr>
        <w:t>第四章  投标文件的递交</w:t>
      </w:r>
    </w:p>
    <w:p w14:paraId="1AE3846E">
      <w:pPr>
        <w:ind w:left="907"/>
        <w:rPr>
          <w:rFonts w:ascii="宋体" w:hAnsi="宋体" w:cs="宋体"/>
          <w:sz w:val="22"/>
        </w:rPr>
      </w:pPr>
      <w:r>
        <w:rPr>
          <w:rFonts w:hint="eastAsia" w:ascii="宋体" w:hAnsi="宋体" w:cs="宋体"/>
          <w:sz w:val="22"/>
        </w:rPr>
        <w:t>第五章  开标</w:t>
      </w:r>
    </w:p>
    <w:p w14:paraId="7FB747E3">
      <w:pPr>
        <w:ind w:left="907"/>
        <w:rPr>
          <w:rFonts w:ascii="宋体" w:hAnsi="宋体" w:cs="宋体"/>
          <w:sz w:val="22"/>
        </w:rPr>
      </w:pPr>
      <w:r>
        <w:rPr>
          <w:rFonts w:hint="eastAsia" w:ascii="宋体" w:hAnsi="宋体" w:cs="宋体"/>
          <w:sz w:val="22"/>
        </w:rPr>
        <w:t>第六章  评标要求</w:t>
      </w:r>
    </w:p>
    <w:p w14:paraId="274C0C51">
      <w:pPr>
        <w:ind w:left="907"/>
        <w:rPr>
          <w:rFonts w:ascii="宋体" w:hAnsi="宋体" w:cs="宋体"/>
          <w:sz w:val="22"/>
        </w:rPr>
      </w:pPr>
      <w:r>
        <w:rPr>
          <w:rFonts w:hint="eastAsia" w:ascii="宋体" w:hAnsi="宋体" w:cs="宋体"/>
          <w:sz w:val="22"/>
        </w:rPr>
        <w:t>第七章  评标程序及评标方法</w:t>
      </w:r>
    </w:p>
    <w:p w14:paraId="57496E1D">
      <w:pPr>
        <w:ind w:left="907"/>
        <w:rPr>
          <w:rFonts w:ascii="宋体" w:hAnsi="宋体" w:cs="宋体"/>
          <w:sz w:val="22"/>
        </w:rPr>
      </w:pPr>
      <w:r>
        <w:rPr>
          <w:rFonts w:hint="eastAsia" w:ascii="宋体" w:hAnsi="宋体" w:cs="宋体"/>
          <w:sz w:val="22"/>
        </w:rPr>
        <w:t>第八章  定标及公示</w:t>
      </w:r>
    </w:p>
    <w:p w14:paraId="05D22CEA">
      <w:pPr>
        <w:ind w:left="907"/>
        <w:rPr>
          <w:rFonts w:ascii="宋体" w:hAnsi="宋体" w:cs="宋体"/>
          <w:sz w:val="22"/>
        </w:rPr>
      </w:pPr>
      <w:r>
        <w:rPr>
          <w:rFonts w:hint="eastAsia" w:ascii="宋体" w:hAnsi="宋体" w:cs="宋体"/>
          <w:sz w:val="22"/>
        </w:rPr>
        <w:t>第九章  公开招标失败的后续处理</w:t>
      </w:r>
    </w:p>
    <w:p w14:paraId="0D5178A5">
      <w:pPr>
        <w:ind w:left="907"/>
        <w:rPr>
          <w:rFonts w:ascii="宋体" w:hAnsi="宋体" w:cs="宋体"/>
          <w:sz w:val="22"/>
        </w:rPr>
      </w:pPr>
      <w:r>
        <w:rPr>
          <w:rFonts w:hint="eastAsia" w:ascii="宋体" w:hAnsi="宋体" w:cs="宋体"/>
          <w:sz w:val="22"/>
        </w:rPr>
        <w:t>第十章  合同的授予与备案</w:t>
      </w:r>
    </w:p>
    <w:p w14:paraId="621DB08C">
      <w:pPr>
        <w:ind w:left="907"/>
        <w:rPr>
          <w:rFonts w:ascii="宋体" w:hAnsi="宋体" w:cs="宋体"/>
          <w:sz w:val="22"/>
        </w:rPr>
      </w:pPr>
      <w:r>
        <w:rPr>
          <w:rFonts w:hint="eastAsia" w:ascii="宋体" w:hAnsi="宋体" w:cs="宋体"/>
          <w:sz w:val="22"/>
        </w:rPr>
        <w:t>第十一章  质疑处理</w:t>
      </w:r>
    </w:p>
    <w:p w14:paraId="512D9F0E">
      <w:pPr>
        <w:ind w:left="907"/>
        <w:rPr>
          <w:rFonts w:ascii="宋体" w:hAnsi="宋体" w:cs="宋体"/>
          <w:b/>
          <w:sz w:val="22"/>
        </w:rPr>
      </w:pPr>
      <w:r>
        <w:rPr>
          <w:rFonts w:hint="eastAsia" w:ascii="宋体" w:hAnsi="宋体" w:cs="宋体"/>
          <w:b/>
          <w:sz w:val="22"/>
        </w:rPr>
        <w:t>第三册 附件</w:t>
      </w:r>
    </w:p>
    <w:p w14:paraId="5602BAD4">
      <w:pPr>
        <w:ind w:left="907"/>
        <w:rPr>
          <w:rFonts w:ascii="宋体" w:hAnsi="宋体" w:cs="宋体"/>
          <w:sz w:val="22"/>
        </w:rPr>
      </w:pPr>
      <w:r>
        <w:rPr>
          <w:rFonts w:hint="eastAsia" w:ascii="宋体" w:hAnsi="宋体" w:cs="宋体"/>
          <w:sz w:val="22"/>
        </w:rPr>
        <w:t>一、 财政部 工业和信息化部关于印发《政府采购促进中小企业发展管理办法》的通知</w:t>
      </w:r>
    </w:p>
    <w:p w14:paraId="5AFEEE74">
      <w:pPr>
        <w:ind w:left="907"/>
        <w:rPr>
          <w:rFonts w:ascii="宋体" w:hAnsi="宋体" w:cs="宋体"/>
          <w:sz w:val="22"/>
        </w:rPr>
      </w:pPr>
      <w:r>
        <w:rPr>
          <w:rFonts w:hint="eastAsia" w:ascii="宋体" w:hAnsi="宋体" w:cs="宋体"/>
          <w:sz w:val="22"/>
        </w:rPr>
        <w:t>二、 关于印发中小企业划型标准规定的通知</w:t>
      </w:r>
    </w:p>
    <w:p w14:paraId="3BD8B123">
      <w:pPr>
        <w:ind w:left="907"/>
        <w:rPr>
          <w:rFonts w:ascii="宋体" w:hAnsi="宋体" w:cs="宋体"/>
          <w:sz w:val="22"/>
        </w:rPr>
      </w:pPr>
      <w:r>
        <w:rPr>
          <w:rFonts w:hint="eastAsia" w:ascii="宋体" w:hAnsi="宋体" w:cs="宋体"/>
          <w:sz w:val="22"/>
        </w:rPr>
        <w:t>三、 国家统计局关于印发《统计上大中小微型企业划分办法 （2017）》的通知</w:t>
      </w:r>
    </w:p>
    <w:p w14:paraId="4A2888F7">
      <w:pPr>
        <w:ind w:left="907"/>
      </w:pPr>
      <w:r>
        <w:rPr>
          <w:rFonts w:hint="eastAsia" w:ascii="宋体" w:hAnsi="宋体" w:cs="宋体"/>
          <w:sz w:val="22"/>
        </w:rPr>
        <w:t>四、 财政部 民政部 中国残疾人联合会关于促进残疾人就业 政府采购政策的通知</w:t>
      </w:r>
    </w:p>
    <w:p w14:paraId="012EF5BD">
      <w:pPr>
        <w:numPr>
          <w:ilvl w:val="1"/>
          <w:numId w:val="14"/>
        </w:numPr>
        <w:rPr>
          <w:rFonts w:ascii="宋体" w:hAnsi="宋体" w:cs="宋体"/>
          <w:sz w:val="22"/>
          <w:szCs w:val="22"/>
        </w:rPr>
      </w:pPr>
      <w:r>
        <w:rPr>
          <w:rFonts w:hint="eastAsia" w:ascii="宋体" w:hAnsi="宋体" w:cs="宋体"/>
          <w:sz w:val="22"/>
          <w:szCs w:val="22"/>
        </w:rPr>
        <w:t>投标人收到采购文件后，应仔细检查采购文件的所有内容，如有残缺应在答疑截止时间之前向政府采购代理机构提出，否则，由此引起的投标损失自负；投标人同时应认真审阅采购文件所有的事项、格式、条款和规范要求等，如果投标人的投标文件没有按采购文件要求提交全部资料或者投标文件没有对采购文件做出实质性响应，其风险应由投标人自行承担，并根据有关条款规定，其投标有可能被拒绝。</w:t>
      </w:r>
    </w:p>
    <w:p w14:paraId="621845D4">
      <w:pPr>
        <w:numPr>
          <w:ilvl w:val="1"/>
          <w:numId w:val="14"/>
        </w:numPr>
        <w:rPr>
          <w:rFonts w:ascii="宋体" w:hAnsi="宋体" w:cs="宋体"/>
          <w:sz w:val="22"/>
          <w:szCs w:val="22"/>
        </w:rPr>
      </w:pPr>
      <w:r>
        <w:rPr>
          <w:rFonts w:hint="eastAsia" w:ascii="宋体" w:hAnsi="宋体" w:cs="宋体"/>
          <w:sz w:val="22"/>
          <w:szCs w:val="22"/>
        </w:rPr>
        <w:t>任何人或任何组织向投标人提交的任何书面或口头资料，未经政府采购代理机构在网上发布或书面通知，均作无效处理，不得作为采购文件的组成部分。政府采购代理机构对投标人由此而做出的推论、理解和结论概不负责。</w:t>
      </w:r>
    </w:p>
    <w:p w14:paraId="61F248DA">
      <w:pPr>
        <w:ind w:left="907"/>
        <w:rPr>
          <w:rFonts w:ascii="宋体" w:hAnsi="宋体" w:cs="宋体"/>
          <w:sz w:val="22"/>
          <w:szCs w:val="22"/>
        </w:rPr>
      </w:pPr>
    </w:p>
    <w:p w14:paraId="076BFFFE">
      <w:pPr>
        <w:numPr>
          <w:ilvl w:val="0"/>
          <w:numId w:val="13"/>
        </w:numPr>
        <w:rPr>
          <w:rFonts w:ascii="宋体" w:hAnsi="宋体" w:cs="宋体"/>
          <w:sz w:val="22"/>
          <w:szCs w:val="22"/>
        </w:rPr>
      </w:pPr>
      <w:r>
        <w:rPr>
          <w:rFonts w:hint="eastAsia" w:ascii="宋体" w:hAnsi="宋体" w:cs="宋体"/>
          <w:sz w:val="22"/>
          <w:szCs w:val="22"/>
        </w:rPr>
        <w:t>采购文件的澄清</w:t>
      </w:r>
      <w:bookmarkEnd w:id="77"/>
      <w:bookmarkEnd w:id="78"/>
      <w:bookmarkEnd w:id="79"/>
      <w:bookmarkEnd w:id="80"/>
      <w:bookmarkEnd w:id="81"/>
      <w:bookmarkEnd w:id="82"/>
      <w:bookmarkEnd w:id="83"/>
    </w:p>
    <w:p w14:paraId="2DC1D776">
      <w:pPr>
        <w:numPr>
          <w:ilvl w:val="1"/>
          <w:numId w:val="14"/>
        </w:numPr>
        <w:rPr>
          <w:rFonts w:ascii="宋体" w:hAnsi="宋体" w:cs="宋体"/>
          <w:sz w:val="22"/>
          <w:szCs w:val="22"/>
        </w:rPr>
      </w:pPr>
      <w:r>
        <w:rPr>
          <w:rFonts w:hint="eastAsia" w:ascii="宋体" w:hAnsi="宋体" w:cs="宋体"/>
          <w:sz w:val="22"/>
          <w:szCs w:val="22"/>
        </w:rPr>
        <w:t>任何要求对采购文件进行澄清的潜在投标人，均应以书面形式通知采购代理机构和采购人。采购代理机构对其在投标截止期五日以前收到的对招标文件的澄清要求均以书面形式予以答复，同时将书面答复以13.2所述方式发给每个购买招标文件的潜在投标人(答复中不包括问题的来源)。</w:t>
      </w:r>
    </w:p>
    <w:p w14:paraId="340CB825">
      <w:pPr>
        <w:numPr>
          <w:ilvl w:val="1"/>
          <w:numId w:val="14"/>
        </w:numPr>
        <w:rPr>
          <w:rFonts w:ascii="宋体" w:hAnsi="宋体" w:cs="宋体"/>
          <w:sz w:val="22"/>
          <w:szCs w:val="22"/>
        </w:rPr>
      </w:pPr>
      <w:r>
        <w:rPr>
          <w:rFonts w:hint="eastAsia" w:ascii="宋体" w:hAnsi="宋体" w:cs="宋体"/>
          <w:sz w:val="22"/>
          <w:szCs w:val="22"/>
        </w:rPr>
        <w:t>对于没有提出澄清又参与了该项目投标的供应商将被视为完全认同该采购文件（含澄清纪要），投标截止期后不再受理针对采购文件的相关质疑或投诉。</w:t>
      </w:r>
    </w:p>
    <w:p w14:paraId="306BE10B">
      <w:pPr>
        <w:numPr>
          <w:ilvl w:val="1"/>
          <w:numId w:val="14"/>
        </w:numPr>
        <w:rPr>
          <w:rFonts w:ascii="宋体" w:hAnsi="宋体" w:cs="宋体"/>
          <w:sz w:val="22"/>
          <w:szCs w:val="22"/>
        </w:rPr>
      </w:pPr>
      <w:r>
        <w:rPr>
          <w:rFonts w:hint="eastAsia" w:ascii="宋体" w:hAnsi="宋体" w:cs="宋体"/>
          <w:sz w:val="22"/>
          <w:szCs w:val="22"/>
        </w:rPr>
        <w:t>对采购文件中描述有歧意或前后不一致的地方，评审委员会有权进行评判，但对同一条款的评判应适用于每个投标人。</w:t>
      </w:r>
    </w:p>
    <w:p w14:paraId="6AB0A7EF">
      <w:pPr>
        <w:ind w:left="907"/>
        <w:rPr>
          <w:rFonts w:ascii="宋体" w:hAnsi="宋体" w:cs="宋体"/>
          <w:sz w:val="22"/>
          <w:szCs w:val="22"/>
        </w:rPr>
      </w:pPr>
    </w:p>
    <w:p w14:paraId="215AC6FD">
      <w:pPr>
        <w:numPr>
          <w:ilvl w:val="0"/>
          <w:numId w:val="13"/>
        </w:numPr>
        <w:rPr>
          <w:rFonts w:ascii="宋体" w:hAnsi="宋体" w:cs="宋体"/>
          <w:sz w:val="22"/>
          <w:szCs w:val="22"/>
        </w:rPr>
      </w:pPr>
      <w:r>
        <w:rPr>
          <w:rFonts w:hint="eastAsia" w:ascii="宋体" w:hAnsi="宋体" w:cs="宋体"/>
          <w:sz w:val="22"/>
          <w:szCs w:val="22"/>
        </w:rPr>
        <w:t>采购文件的修改</w:t>
      </w:r>
      <w:bookmarkEnd w:id="84"/>
      <w:bookmarkEnd w:id="85"/>
      <w:bookmarkEnd w:id="86"/>
      <w:bookmarkEnd w:id="87"/>
      <w:bookmarkEnd w:id="88"/>
      <w:bookmarkEnd w:id="89"/>
      <w:bookmarkEnd w:id="90"/>
    </w:p>
    <w:p w14:paraId="4AB92972">
      <w:pPr>
        <w:numPr>
          <w:ilvl w:val="1"/>
          <w:numId w:val="14"/>
        </w:numPr>
        <w:rPr>
          <w:rFonts w:ascii="宋体" w:hAnsi="宋体" w:cs="宋体"/>
          <w:sz w:val="22"/>
          <w:szCs w:val="22"/>
        </w:rPr>
      </w:pPr>
      <w:bookmarkStart w:id="91" w:name="bt投标文件"/>
      <w:bookmarkEnd w:id="91"/>
      <w:bookmarkStart w:id="92" w:name="_Toc101074879"/>
      <w:bookmarkStart w:id="93" w:name="_Toc73521648"/>
      <w:bookmarkStart w:id="94" w:name="_Toc100052377"/>
      <w:bookmarkStart w:id="95" w:name="_Toc73521560"/>
      <w:bookmarkStart w:id="96" w:name="_Toc73518130"/>
      <w:bookmarkStart w:id="97" w:name="_Toc73517652"/>
      <w:r>
        <w:rPr>
          <w:rFonts w:hint="eastAsia" w:ascii="宋体" w:hAnsi="宋体" w:cs="宋体"/>
          <w:sz w:val="22"/>
          <w:szCs w:val="22"/>
        </w:rPr>
        <w:t>采购代理机构和采购人可主动地或在解答潜在投标人提出的澄清问题时对采购文件进行修改。</w:t>
      </w:r>
    </w:p>
    <w:p w14:paraId="2A49C74F">
      <w:pPr>
        <w:numPr>
          <w:ilvl w:val="1"/>
          <w:numId w:val="14"/>
        </w:numPr>
        <w:rPr>
          <w:rFonts w:ascii="宋体" w:hAnsi="宋体" w:cs="宋体"/>
          <w:sz w:val="22"/>
          <w:szCs w:val="22"/>
        </w:rPr>
      </w:pPr>
      <w:r>
        <w:rPr>
          <w:rFonts w:hint="eastAsia" w:ascii="宋体" w:hAnsi="宋体" w:cs="宋体"/>
          <w:sz w:val="22"/>
          <w:szCs w:val="22"/>
        </w:rPr>
        <w:t>采购文件的修改是采购文件的组成部分，采购文件的修改在深圳市东海国际招标有限公司官网(http：//www.szdhit.com)以网上公告形式发布，并对投标人具有约束力，招标期间，投标人有义务上网查看，公告一经上网发布，即视为送达。</w:t>
      </w:r>
    </w:p>
    <w:p w14:paraId="4D39BF53">
      <w:pPr>
        <w:numPr>
          <w:ilvl w:val="1"/>
          <w:numId w:val="14"/>
        </w:numPr>
        <w:rPr>
          <w:rFonts w:ascii="宋体" w:hAnsi="宋体" w:cs="宋体"/>
          <w:sz w:val="22"/>
          <w:szCs w:val="22"/>
        </w:rPr>
      </w:pPr>
      <w:r>
        <w:rPr>
          <w:rFonts w:hint="eastAsia" w:ascii="宋体" w:hAnsi="宋体" w:cs="宋体"/>
          <w:sz w:val="22"/>
          <w:szCs w:val="22"/>
        </w:rPr>
        <w:t>为使投标人准备投标时有充分时间对采购文件的修改部分进行研究，采购代理机构和采购人可适当推迟投标截止期。</w:t>
      </w:r>
    </w:p>
    <w:p w14:paraId="4D052DBA"/>
    <w:p w14:paraId="04433830">
      <w:r>
        <w:br w:type="page"/>
      </w:r>
    </w:p>
    <w:p w14:paraId="7E299ACF"/>
    <w:p w14:paraId="10BA7949"/>
    <w:p w14:paraId="18EA1044"/>
    <w:p w14:paraId="2D9196A2"/>
    <w:p w14:paraId="42E4AB85"/>
    <w:p w14:paraId="7CBA766A"/>
    <w:p w14:paraId="7547CEA0"/>
    <w:p w14:paraId="31819795"/>
    <w:p w14:paraId="43B61B61"/>
    <w:p w14:paraId="096C6EB3"/>
    <w:p w14:paraId="1EB3B53B"/>
    <w:p w14:paraId="795C0A9A"/>
    <w:p w14:paraId="6C36718C"/>
    <w:p w14:paraId="37C58F8E"/>
    <w:p w14:paraId="63EB3BEF"/>
    <w:p w14:paraId="1E43D221">
      <w:pPr>
        <w:pStyle w:val="3"/>
        <w:rPr>
          <w:szCs w:val="28"/>
        </w:rPr>
      </w:pPr>
      <w:r>
        <w:rPr>
          <w:b w:val="0"/>
          <w:bCs/>
          <w:kern w:val="28"/>
          <w:sz w:val="44"/>
          <w:szCs w:val="44"/>
        </w:rPr>
        <w:t>第三章  投标文件的编制</w:t>
      </w:r>
      <w:r>
        <w:rPr>
          <w:b w:val="0"/>
          <w:bCs/>
          <w:kern w:val="28"/>
          <w:sz w:val="44"/>
          <w:szCs w:val="44"/>
        </w:rPr>
        <w:br w:type="page"/>
      </w:r>
      <w:bookmarkEnd w:id="92"/>
      <w:bookmarkEnd w:id="93"/>
      <w:bookmarkEnd w:id="94"/>
      <w:bookmarkEnd w:id="95"/>
      <w:bookmarkEnd w:id="96"/>
      <w:bookmarkEnd w:id="97"/>
    </w:p>
    <w:p w14:paraId="114D890F"/>
    <w:p w14:paraId="4349E7BC">
      <w:pPr>
        <w:numPr>
          <w:ilvl w:val="0"/>
          <w:numId w:val="13"/>
        </w:numPr>
        <w:rPr>
          <w:rFonts w:ascii="宋体" w:hAnsi="宋体" w:cs="宋体"/>
          <w:sz w:val="22"/>
          <w:szCs w:val="22"/>
        </w:rPr>
      </w:pPr>
      <w:bookmarkStart w:id="98" w:name="_Toc100052378"/>
      <w:bookmarkStart w:id="99" w:name="_Toc60631634"/>
      <w:bookmarkStart w:id="100" w:name="_Toc73521649"/>
      <w:bookmarkStart w:id="101" w:name="_Toc73518131"/>
      <w:bookmarkStart w:id="102" w:name="_Toc60560639"/>
      <w:bookmarkStart w:id="103" w:name="_Toc73521561"/>
      <w:bookmarkStart w:id="104" w:name="_Toc73517653"/>
      <w:r>
        <w:rPr>
          <w:rFonts w:hint="eastAsia" w:ascii="宋体" w:hAnsi="宋体" w:cs="宋体"/>
          <w:sz w:val="22"/>
          <w:szCs w:val="22"/>
        </w:rPr>
        <w:t>投标文件的语言及度量单位</w:t>
      </w:r>
      <w:bookmarkEnd w:id="98"/>
      <w:bookmarkEnd w:id="99"/>
      <w:bookmarkEnd w:id="100"/>
      <w:bookmarkEnd w:id="101"/>
      <w:bookmarkEnd w:id="102"/>
      <w:bookmarkEnd w:id="103"/>
      <w:bookmarkEnd w:id="104"/>
    </w:p>
    <w:p w14:paraId="10931E1C">
      <w:pPr>
        <w:numPr>
          <w:ilvl w:val="1"/>
          <w:numId w:val="14"/>
        </w:numPr>
        <w:rPr>
          <w:rFonts w:ascii="宋体" w:hAnsi="宋体" w:cs="宋体"/>
          <w:sz w:val="22"/>
          <w:szCs w:val="22"/>
        </w:rPr>
      </w:pPr>
      <w:r>
        <w:rPr>
          <w:rFonts w:hint="eastAsia" w:ascii="宋体" w:hAnsi="宋体" w:cs="宋体"/>
          <w:sz w:val="22"/>
          <w:szCs w:val="22"/>
        </w:rPr>
        <w:t>投标人与政府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9DCDA06">
      <w:pPr>
        <w:numPr>
          <w:ilvl w:val="1"/>
          <w:numId w:val="14"/>
        </w:numPr>
        <w:rPr>
          <w:rFonts w:ascii="宋体" w:hAnsi="宋体" w:cs="宋体"/>
          <w:sz w:val="22"/>
          <w:szCs w:val="22"/>
        </w:rPr>
      </w:pPr>
      <w:r>
        <w:rPr>
          <w:rFonts w:hint="eastAsia" w:ascii="宋体" w:hAnsi="宋体" w:cs="宋体"/>
          <w:sz w:val="22"/>
          <w:szCs w:val="22"/>
        </w:rPr>
        <w:t>除技术规范另有规定外，投标文件使用的度量单位，均采用中华人民共和国法定计量单位。</w:t>
      </w:r>
    </w:p>
    <w:p w14:paraId="05A194C9">
      <w:pPr>
        <w:ind w:left="907"/>
        <w:rPr>
          <w:rFonts w:ascii="宋体" w:hAnsi="宋体" w:cs="宋体"/>
          <w:sz w:val="22"/>
          <w:szCs w:val="22"/>
        </w:rPr>
      </w:pPr>
    </w:p>
    <w:p w14:paraId="05802C3B">
      <w:pPr>
        <w:numPr>
          <w:ilvl w:val="0"/>
          <w:numId w:val="13"/>
        </w:numPr>
        <w:rPr>
          <w:rFonts w:ascii="宋体" w:hAnsi="宋体" w:cs="宋体"/>
          <w:sz w:val="22"/>
          <w:szCs w:val="22"/>
        </w:rPr>
      </w:pPr>
      <w:bookmarkStart w:id="105" w:name="_Toc60560640"/>
      <w:bookmarkStart w:id="106" w:name="_Toc73518132"/>
      <w:bookmarkStart w:id="107" w:name="_Toc73517654"/>
      <w:bookmarkStart w:id="108" w:name="_Toc60631635"/>
      <w:bookmarkStart w:id="109" w:name="_Toc73521562"/>
      <w:bookmarkStart w:id="110" w:name="_Toc100052379"/>
      <w:bookmarkStart w:id="111" w:name="_Toc73521650"/>
      <w:r>
        <w:rPr>
          <w:rFonts w:hint="eastAsia" w:ascii="宋体" w:hAnsi="宋体" w:cs="宋体"/>
          <w:sz w:val="22"/>
          <w:szCs w:val="22"/>
        </w:rPr>
        <w:t>投标文件的组成</w:t>
      </w:r>
      <w:bookmarkEnd w:id="105"/>
      <w:bookmarkEnd w:id="106"/>
      <w:bookmarkEnd w:id="107"/>
      <w:bookmarkEnd w:id="108"/>
      <w:bookmarkEnd w:id="109"/>
      <w:bookmarkEnd w:id="110"/>
      <w:bookmarkEnd w:id="111"/>
    </w:p>
    <w:p w14:paraId="16FEE39E">
      <w:pPr>
        <w:numPr>
          <w:ilvl w:val="0"/>
          <w:numId w:val="17"/>
        </w:numPr>
        <w:ind w:left="420"/>
        <w:rPr>
          <w:rFonts w:ascii="宋体" w:hAnsi="宋体" w:cs="宋体"/>
          <w:sz w:val="22"/>
          <w:szCs w:val="22"/>
        </w:rPr>
      </w:pPr>
      <w:bookmarkStart w:id="112" w:name="投标文件的组成"/>
      <w:bookmarkStart w:id="113" w:name="_Toc73521651"/>
      <w:bookmarkStart w:id="114" w:name="_Toc60560641"/>
      <w:bookmarkStart w:id="115" w:name="_Toc73521563"/>
      <w:bookmarkStart w:id="116" w:name="_Toc60631636"/>
      <w:bookmarkStart w:id="117" w:name="_Toc73517655"/>
      <w:bookmarkStart w:id="118" w:name="_Toc73518133"/>
      <w:r>
        <w:rPr>
          <w:rFonts w:hint="eastAsia" w:ascii="宋体" w:hAnsi="宋体" w:cs="宋体"/>
          <w:sz w:val="22"/>
          <w:szCs w:val="22"/>
        </w:rPr>
        <w:t>评标指引表</w:t>
      </w:r>
    </w:p>
    <w:p w14:paraId="2F0D9735">
      <w:pPr>
        <w:numPr>
          <w:ilvl w:val="0"/>
          <w:numId w:val="17"/>
        </w:numPr>
        <w:ind w:left="420"/>
        <w:rPr>
          <w:rFonts w:ascii="宋体" w:hAnsi="宋体" w:cs="宋体"/>
          <w:sz w:val="22"/>
          <w:szCs w:val="22"/>
        </w:rPr>
      </w:pPr>
      <w:r>
        <w:rPr>
          <w:rFonts w:hint="eastAsia" w:ascii="宋体" w:hAnsi="宋体" w:cs="宋体"/>
          <w:sz w:val="22"/>
          <w:szCs w:val="22"/>
        </w:rPr>
        <w:t>投标函及投标保证金交纳凭证</w:t>
      </w:r>
    </w:p>
    <w:p w14:paraId="2C289016">
      <w:pPr>
        <w:numPr>
          <w:ilvl w:val="0"/>
          <w:numId w:val="17"/>
        </w:numPr>
        <w:ind w:left="420"/>
        <w:rPr>
          <w:rFonts w:ascii="宋体" w:hAnsi="宋体" w:cs="宋体"/>
          <w:sz w:val="22"/>
          <w:szCs w:val="22"/>
        </w:rPr>
      </w:pPr>
      <w:r>
        <w:rPr>
          <w:rFonts w:hint="eastAsia" w:ascii="宋体" w:hAnsi="宋体" w:cs="宋体"/>
          <w:sz w:val="22"/>
          <w:szCs w:val="22"/>
        </w:rPr>
        <w:t>政府采购投标及履约承诺函</w:t>
      </w:r>
    </w:p>
    <w:p w14:paraId="708616DF">
      <w:pPr>
        <w:numPr>
          <w:ilvl w:val="0"/>
          <w:numId w:val="17"/>
        </w:numPr>
        <w:ind w:left="420"/>
        <w:rPr>
          <w:rFonts w:ascii="宋体" w:hAnsi="宋体" w:cs="宋体"/>
          <w:sz w:val="22"/>
          <w:szCs w:val="22"/>
        </w:rPr>
      </w:pPr>
      <w:r>
        <w:rPr>
          <w:rFonts w:hint="eastAsia" w:ascii="宋体" w:hAnsi="宋体" w:cs="宋体"/>
          <w:sz w:val="22"/>
          <w:szCs w:val="22"/>
        </w:rPr>
        <w:t>诚信承诺函</w:t>
      </w:r>
    </w:p>
    <w:p w14:paraId="3D4E1C0B">
      <w:pPr>
        <w:numPr>
          <w:ilvl w:val="0"/>
          <w:numId w:val="17"/>
        </w:numPr>
        <w:ind w:left="420"/>
        <w:rPr>
          <w:rFonts w:ascii="宋体" w:hAnsi="宋体" w:cs="宋体"/>
          <w:sz w:val="22"/>
          <w:szCs w:val="22"/>
        </w:rPr>
      </w:pPr>
      <w:r>
        <w:rPr>
          <w:rFonts w:hint="eastAsia" w:ascii="宋体" w:hAnsi="宋体" w:cs="宋体"/>
          <w:sz w:val="22"/>
          <w:szCs w:val="22"/>
        </w:rPr>
        <w:t>政府采购违法行为风险知悉确认书</w:t>
      </w:r>
    </w:p>
    <w:p w14:paraId="44827FA1">
      <w:pPr>
        <w:numPr>
          <w:ilvl w:val="0"/>
          <w:numId w:val="17"/>
        </w:numPr>
        <w:ind w:left="420"/>
        <w:rPr>
          <w:rFonts w:ascii="宋体" w:hAnsi="宋体" w:cs="宋体"/>
          <w:sz w:val="22"/>
          <w:szCs w:val="22"/>
        </w:rPr>
      </w:pPr>
      <w:r>
        <w:rPr>
          <w:rFonts w:hint="eastAsia" w:ascii="宋体" w:hAnsi="宋体" w:cs="宋体"/>
          <w:sz w:val="22"/>
          <w:szCs w:val="22"/>
        </w:rPr>
        <w:t>法定代表人（负责人）证明书</w:t>
      </w:r>
    </w:p>
    <w:p w14:paraId="08972B91">
      <w:pPr>
        <w:numPr>
          <w:ilvl w:val="0"/>
          <w:numId w:val="17"/>
        </w:numPr>
        <w:ind w:left="420"/>
        <w:rPr>
          <w:rFonts w:ascii="宋体" w:hAnsi="宋体" w:cs="宋体"/>
          <w:sz w:val="22"/>
          <w:szCs w:val="22"/>
        </w:rPr>
      </w:pPr>
      <w:r>
        <w:rPr>
          <w:rFonts w:hint="eastAsia" w:ascii="宋体" w:hAnsi="宋体" w:cs="宋体"/>
          <w:sz w:val="22"/>
          <w:szCs w:val="22"/>
        </w:rPr>
        <w:t>法定代表人（负责人）授权书</w:t>
      </w:r>
    </w:p>
    <w:p w14:paraId="348A2E87">
      <w:pPr>
        <w:numPr>
          <w:ilvl w:val="0"/>
          <w:numId w:val="17"/>
        </w:numPr>
        <w:ind w:left="420"/>
        <w:rPr>
          <w:rFonts w:ascii="宋体" w:hAnsi="宋体" w:cs="宋体"/>
          <w:sz w:val="22"/>
          <w:szCs w:val="22"/>
        </w:rPr>
      </w:pPr>
      <w:r>
        <w:rPr>
          <w:rFonts w:hint="eastAsia" w:ascii="宋体" w:hAnsi="宋体" w:cs="宋体"/>
          <w:sz w:val="22"/>
          <w:szCs w:val="22"/>
        </w:rPr>
        <w:t>招标代理服务费承诺函</w:t>
      </w:r>
    </w:p>
    <w:p w14:paraId="0FA905F0">
      <w:pPr>
        <w:numPr>
          <w:ilvl w:val="0"/>
          <w:numId w:val="17"/>
        </w:numPr>
        <w:ind w:left="420"/>
        <w:rPr>
          <w:rFonts w:ascii="宋体" w:hAnsi="宋体" w:cs="宋体"/>
          <w:sz w:val="22"/>
          <w:szCs w:val="22"/>
        </w:rPr>
      </w:pPr>
      <w:r>
        <w:rPr>
          <w:rFonts w:hint="eastAsia" w:ascii="宋体" w:hAnsi="宋体" w:cs="宋体"/>
          <w:sz w:val="22"/>
          <w:szCs w:val="22"/>
        </w:rPr>
        <w:t>报价清单表</w:t>
      </w:r>
    </w:p>
    <w:p w14:paraId="718DC00E">
      <w:pPr>
        <w:numPr>
          <w:ilvl w:val="0"/>
          <w:numId w:val="17"/>
        </w:numPr>
        <w:ind w:left="420"/>
        <w:rPr>
          <w:rFonts w:ascii="宋体" w:hAnsi="宋体" w:cs="宋体"/>
          <w:sz w:val="22"/>
          <w:szCs w:val="22"/>
        </w:rPr>
      </w:pPr>
      <w:r>
        <w:rPr>
          <w:rFonts w:hint="eastAsia" w:ascii="宋体" w:hAnsi="宋体" w:cs="宋体"/>
          <w:sz w:val="22"/>
          <w:szCs w:val="22"/>
        </w:rPr>
        <w:t>供应商情况介绍</w:t>
      </w:r>
    </w:p>
    <w:p w14:paraId="1DCA10E9">
      <w:pPr>
        <w:numPr>
          <w:ilvl w:val="0"/>
          <w:numId w:val="17"/>
        </w:numPr>
        <w:ind w:left="420"/>
        <w:rPr>
          <w:rFonts w:ascii="宋体" w:hAnsi="宋体" w:cs="宋体"/>
          <w:sz w:val="22"/>
          <w:szCs w:val="22"/>
        </w:rPr>
      </w:pPr>
      <w:r>
        <w:rPr>
          <w:rFonts w:hint="eastAsia" w:ascii="宋体" w:hAnsi="宋体" w:cs="宋体"/>
          <w:sz w:val="22"/>
          <w:szCs w:val="22"/>
        </w:rPr>
        <w:t>项目主要管理及技术人员情况</w:t>
      </w:r>
    </w:p>
    <w:p w14:paraId="689F26C1">
      <w:pPr>
        <w:numPr>
          <w:ilvl w:val="0"/>
          <w:numId w:val="17"/>
        </w:numPr>
        <w:ind w:left="420"/>
        <w:rPr>
          <w:rFonts w:ascii="宋体" w:hAnsi="宋体" w:cs="宋体"/>
          <w:sz w:val="22"/>
          <w:szCs w:val="22"/>
        </w:rPr>
      </w:pPr>
      <w:r>
        <w:rPr>
          <w:rFonts w:hint="eastAsia" w:ascii="宋体" w:hAnsi="宋体" w:cs="宋体"/>
          <w:sz w:val="22"/>
          <w:szCs w:val="22"/>
        </w:rPr>
        <w:t>项目具体方案</w:t>
      </w:r>
    </w:p>
    <w:p w14:paraId="11855C2B">
      <w:pPr>
        <w:numPr>
          <w:ilvl w:val="0"/>
          <w:numId w:val="17"/>
        </w:numPr>
        <w:ind w:left="420"/>
        <w:rPr>
          <w:rFonts w:ascii="宋体" w:hAnsi="宋体" w:cs="宋体"/>
          <w:sz w:val="22"/>
          <w:szCs w:val="22"/>
        </w:rPr>
      </w:pPr>
      <w:r>
        <w:rPr>
          <w:rFonts w:hint="eastAsia" w:ascii="宋体" w:hAnsi="宋体" w:cs="宋体"/>
          <w:sz w:val="22"/>
          <w:szCs w:val="22"/>
        </w:rPr>
        <w:t>商务条款偏离表</w:t>
      </w:r>
    </w:p>
    <w:p w14:paraId="5C47A098">
      <w:pPr>
        <w:numPr>
          <w:ilvl w:val="0"/>
          <w:numId w:val="17"/>
        </w:numPr>
        <w:ind w:left="420"/>
        <w:rPr>
          <w:rFonts w:ascii="宋体" w:hAnsi="宋体" w:cs="宋体"/>
          <w:sz w:val="22"/>
          <w:szCs w:val="22"/>
        </w:rPr>
      </w:pPr>
      <w:r>
        <w:rPr>
          <w:rFonts w:hint="eastAsia" w:ascii="宋体" w:hAnsi="宋体" w:cs="宋体"/>
          <w:sz w:val="22"/>
          <w:szCs w:val="22"/>
        </w:rPr>
        <w:t>服务条款偏离表</w:t>
      </w:r>
    </w:p>
    <w:p w14:paraId="66965C31">
      <w:pPr>
        <w:numPr>
          <w:ilvl w:val="0"/>
          <w:numId w:val="17"/>
        </w:numPr>
        <w:ind w:left="420"/>
        <w:rPr>
          <w:rFonts w:ascii="宋体" w:hAnsi="宋体" w:cs="宋体"/>
          <w:sz w:val="22"/>
          <w:szCs w:val="22"/>
        </w:rPr>
      </w:pPr>
      <w:r>
        <w:rPr>
          <w:rFonts w:hint="eastAsia" w:ascii="宋体" w:hAnsi="宋体" w:cs="宋体"/>
          <w:sz w:val="22"/>
          <w:szCs w:val="22"/>
        </w:rPr>
        <w:t>实质性条款响应情况表</w:t>
      </w:r>
    </w:p>
    <w:p w14:paraId="2958CD7F">
      <w:pPr>
        <w:numPr>
          <w:ilvl w:val="0"/>
          <w:numId w:val="17"/>
        </w:numPr>
        <w:ind w:left="420"/>
        <w:rPr>
          <w:rFonts w:ascii="宋体" w:hAnsi="宋体" w:cs="宋体"/>
          <w:sz w:val="22"/>
          <w:szCs w:val="22"/>
        </w:rPr>
      </w:pPr>
      <w:r>
        <w:rPr>
          <w:rFonts w:hint="eastAsia" w:ascii="宋体" w:hAnsi="宋体" w:cs="宋体"/>
          <w:sz w:val="22"/>
          <w:szCs w:val="22"/>
        </w:rPr>
        <w:t>中小企业、残疾人福利性单位和监狱企业政策导向</w:t>
      </w:r>
    </w:p>
    <w:p w14:paraId="4821AB8A">
      <w:pPr>
        <w:numPr>
          <w:ilvl w:val="0"/>
          <w:numId w:val="17"/>
        </w:numPr>
        <w:ind w:left="420"/>
        <w:rPr>
          <w:rFonts w:ascii="宋体" w:hAnsi="宋体" w:cs="宋体"/>
          <w:sz w:val="22"/>
          <w:szCs w:val="22"/>
        </w:rPr>
      </w:pPr>
      <w:r>
        <w:rPr>
          <w:rFonts w:hint="eastAsia" w:ascii="宋体" w:hAnsi="宋体" w:cs="宋体"/>
          <w:sz w:val="22"/>
          <w:szCs w:val="22"/>
        </w:rPr>
        <w:t>招标文件要求的其他内容及投标人认为需要加以说明的其他内容</w:t>
      </w:r>
    </w:p>
    <w:p w14:paraId="43BE5CFA">
      <w:pPr>
        <w:ind w:left="907"/>
        <w:rPr>
          <w:rFonts w:ascii="宋体" w:hAnsi="宋体" w:cs="宋体"/>
          <w:sz w:val="22"/>
          <w:szCs w:val="22"/>
        </w:rPr>
      </w:pPr>
      <w:r>
        <w:rPr>
          <w:rFonts w:hint="eastAsia" w:ascii="宋体" w:hAnsi="宋体" w:cs="宋体"/>
          <w:sz w:val="22"/>
          <w:szCs w:val="22"/>
        </w:rPr>
        <w:t>上述文件须按顺序装订成册，并编制投标文件目录。</w:t>
      </w:r>
    </w:p>
    <w:p w14:paraId="613022AF">
      <w:pPr>
        <w:ind w:left="907"/>
        <w:rPr>
          <w:rFonts w:ascii="宋体" w:hAnsi="宋体" w:cs="宋体"/>
          <w:sz w:val="22"/>
          <w:szCs w:val="22"/>
        </w:rPr>
      </w:pPr>
      <w:r>
        <w:rPr>
          <w:rFonts w:hint="eastAsia" w:ascii="宋体" w:hAnsi="宋体" w:cs="宋体"/>
          <w:sz w:val="22"/>
          <w:szCs w:val="22"/>
        </w:rPr>
        <w:t>除上述文件资料外还须按采购文件要求制作“开标文件”。“开标文件”作为投标文件的一部分，但须单独密封。</w:t>
      </w:r>
    </w:p>
    <w:p w14:paraId="635E8E8C">
      <w:pPr>
        <w:ind w:left="907"/>
        <w:rPr>
          <w:rFonts w:ascii="宋体" w:hAnsi="宋体" w:cs="宋体"/>
          <w:sz w:val="22"/>
          <w:szCs w:val="22"/>
        </w:rPr>
      </w:pPr>
    </w:p>
    <w:bookmarkEnd w:id="112"/>
    <w:p w14:paraId="2649F456">
      <w:pPr>
        <w:numPr>
          <w:ilvl w:val="0"/>
          <w:numId w:val="13"/>
        </w:numPr>
        <w:rPr>
          <w:rFonts w:ascii="宋体" w:hAnsi="宋体" w:cs="宋体"/>
          <w:sz w:val="22"/>
          <w:szCs w:val="22"/>
        </w:rPr>
      </w:pPr>
      <w:bookmarkStart w:id="119" w:name="_Toc100052380"/>
      <w:r>
        <w:rPr>
          <w:rFonts w:hint="eastAsia" w:ascii="宋体" w:hAnsi="宋体" w:cs="宋体"/>
          <w:sz w:val="22"/>
          <w:szCs w:val="22"/>
        </w:rPr>
        <w:t>投标文件格式</w:t>
      </w:r>
      <w:bookmarkEnd w:id="113"/>
      <w:bookmarkEnd w:id="114"/>
      <w:bookmarkEnd w:id="115"/>
      <w:bookmarkEnd w:id="116"/>
      <w:bookmarkEnd w:id="117"/>
      <w:bookmarkEnd w:id="118"/>
      <w:bookmarkEnd w:id="119"/>
    </w:p>
    <w:p w14:paraId="114F0C79">
      <w:pPr>
        <w:numPr>
          <w:ilvl w:val="1"/>
          <w:numId w:val="14"/>
        </w:numPr>
        <w:rPr>
          <w:rFonts w:ascii="宋体" w:hAnsi="宋体" w:cs="宋体"/>
          <w:sz w:val="22"/>
          <w:szCs w:val="22"/>
        </w:rPr>
      </w:pPr>
      <w:r>
        <w:rPr>
          <w:rFonts w:hint="eastAsia" w:ascii="宋体" w:hAnsi="宋体" w:cs="宋体"/>
          <w:sz w:val="22"/>
          <w:szCs w:val="22"/>
        </w:rPr>
        <w:t>投标文件包括本通用条款第15条中规定的内容。如采购文件提供了投标文件格式，则投标人提交的投标文件应毫无例外地使用采购文件所提供的相应格式（表格可以按同样格式扩展）。</w:t>
      </w:r>
      <w:bookmarkStart w:id="120" w:name="_Toc73518135"/>
      <w:bookmarkStart w:id="121" w:name="_Toc73521565"/>
      <w:bookmarkStart w:id="122" w:name="_Toc73517657"/>
      <w:bookmarkStart w:id="123" w:name="_Toc60560643"/>
      <w:bookmarkStart w:id="124" w:name="_Toc60631638"/>
      <w:bookmarkStart w:id="125" w:name="_Toc73521653"/>
    </w:p>
    <w:p w14:paraId="3F980C0A">
      <w:pPr>
        <w:ind w:left="907"/>
        <w:rPr>
          <w:rFonts w:ascii="宋体" w:hAnsi="宋体" w:cs="宋体"/>
          <w:sz w:val="22"/>
          <w:szCs w:val="22"/>
        </w:rPr>
      </w:pPr>
    </w:p>
    <w:p w14:paraId="0D351D63">
      <w:pPr>
        <w:numPr>
          <w:ilvl w:val="0"/>
          <w:numId w:val="13"/>
        </w:numPr>
        <w:rPr>
          <w:rFonts w:ascii="宋体" w:hAnsi="宋体" w:cs="宋体"/>
          <w:sz w:val="22"/>
          <w:szCs w:val="22"/>
        </w:rPr>
      </w:pPr>
      <w:bookmarkStart w:id="126" w:name="_Toc100052382"/>
      <w:r>
        <w:rPr>
          <w:rFonts w:hint="eastAsia" w:ascii="宋体" w:hAnsi="宋体" w:cs="宋体"/>
          <w:sz w:val="22"/>
          <w:szCs w:val="22"/>
        </w:rPr>
        <w:t>投标货币</w:t>
      </w:r>
      <w:bookmarkEnd w:id="120"/>
      <w:bookmarkEnd w:id="121"/>
      <w:bookmarkEnd w:id="122"/>
      <w:bookmarkEnd w:id="123"/>
      <w:bookmarkEnd w:id="124"/>
      <w:bookmarkEnd w:id="125"/>
      <w:bookmarkEnd w:id="126"/>
    </w:p>
    <w:p w14:paraId="06C204E4">
      <w:pPr>
        <w:numPr>
          <w:ilvl w:val="1"/>
          <w:numId w:val="14"/>
        </w:numPr>
        <w:rPr>
          <w:rFonts w:ascii="宋体" w:hAnsi="宋体" w:cs="宋体"/>
          <w:sz w:val="22"/>
          <w:szCs w:val="22"/>
        </w:rPr>
      </w:pPr>
      <w:r>
        <w:rPr>
          <w:rFonts w:hint="eastAsia" w:ascii="宋体" w:hAnsi="宋体" w:cs="宋体"/>
          <w:sz w:val="22"/>
          <w:szCs w:val="22"/>
        </w:rPr>
        <w:t>本项目的投标应以人民币计。</w:t>
      </w:r>
    </w:p>
    <w:p w14:paraId="306C12D1">
      <w:pPr>
        <w:ind w:left="907"/>
        <w:rPr>
          <w:rFonts w:ascii="宋体" w:hAnsi="宋体" w:cs="宋体"/>
          <w:sz w:val="22"/>
          <w:szCs w:val="22"/>
        </w:rPr>
      </w:pPr>
    </w:p>
    <w:p w14:paraId="2183823F">
      <w:pPr>
        <w:numPr>
          <w:ilvl w:val="0"/>
          <w:numId w:val="13"/>
        </w:numPr>
        <w:rPr>
          <w:rFonts w:ascii="宋体" w:hAnsi="宋体" w:cs="宋体"/>
          <w:sz w:val="22"/>
          <w:szCs w:val="22"/>
        </w:rPr>
      </w:pPr>
      <w:r>
        <w:rPr>
          <w:rFonts w:hint="eastAsia" w:ascii="宋体" w:hAnsi="宋体" w:cs="宋体"/>
          <w:sz w:val="22"/>
          <w:szCs w:val="22"/>
        </w:rPr>
        <w:t>证明投标文件投标技术方案的合格性和符合采购文件规定的文件要求</w:t>
      </w:r>
    </w:p>
    <w:p w14:paraId="76871EF8">
      <w:pPr>
        <w:numPr>
          <w:ilvl w:val="1"/>
          <w:numId w:val="14"/>
        </w:numPr>
        <w:rPr>
          <w:rFonts w:ascii="宋体" w:hAnsi="宋体" w:cs="宋体"/>
          <w:sz w:val="22"/>
          <w:szCs w:val="22"/>
        </w:rPr>
      </w:pPr>
      <w:r>
        <w:rPr>
          <w:rFonts w:hint="eastAsia" w:ascii="宋体" w:hAnsi="宋体" w:cs="宋体"/>
          <w:sz w:val="22"/>
          <w:szCs w:val="22"/>
        </w:rPr>
        <w:t>投标人应提交证明文件证明其投标技术方案项下的货物、工程和服务的合格性符合采购文件规定。该投标技术方案及其证明文件作为投标文件的一部分。</w:t>
      </w:r>
    </w:p>
    <w:p w14:paraId="0E1ADE44">
      <w:pPr>
        <w:numPr>
          <w:ilvl w:val="1"/>
          <w:numId w:val="14"/>
        </w:numPr>
        <w:rPr>
          <w:rFonts w:ascii="宋体" w:hAnsi="宋体" w:cs="宋体"/>
          <w:sz w:val="22"/>
          <w:szCs w:val="22"/>
        </w:rPr>
      </w:pPr>
      <w:r>
        <w:rPr>
          <w:rFonts w:hint="eastAsia" w:ascii="宋体" w:hAnsi="宋体" w:cs="宋体"/>
          <w:sz w:val="22"/>
          <w:szCs w:val="22"/>
        </w:rPr>
        <w:t>投标人提供证明投标技术方案与采购文件的要求相一致的文件，可以是文字资料、图纸、数据或数码照片、制造商公布的产品说明书、产品彩页和我国政府机构出具的产品检验和核准证件等，以证明投标人响应的真实性。它包括并应符合以下要求：</w:t>
      </w:r>
    </w:p>
    <w:p w14:paraId="36C69929">
      <w:pPr>
        <w:numPr>
          <w:ilvl w:val="2"/>
          <w:numId w:val="18"/>
        </w:numPr>
        <w:rPr>
          <w:rFonts w:ascii="宋体" w:hAnsi="宋体" w:cs="宋体"/>
          <w:sz w:val="22"/>
          <w:szCs w:val="22"/>
        </w:rPr>
      </w:pPr>
      <w:r>
        <w:rPr>
          <w:rFonts w:hint="eastAsia" w:ascii="宋体" w:hAnsi="宋体" w:cs="宋体"/>
          <w:sz w:val="22"/>
          <w:szCs w:val="22"/>
        </w:rPr>
        <w:t>主要技术指标和性能的详细说明。</w:t>
      </w:r>
    </w:p>
    <w:p w14:paraId="626284CE">
      <w:pPr>
        <w:numPr>
          <w:ilvl w:val="2"/>
          <w:numId w:val="18"/>
        </w:numPr>
        <w:rPr>
          <w:rFonts w:ascii="宋体" w:hAnsi="宋体" w:cs="宋体"/>
          <w:sz w:val="22"/>
          <w:szCs w:val="22"/>
        </w:rPr>
      </w:pPr>
      <w:r>
        <w:rPr>
          <w:rFonts w:hint="eastAsia" w:ascii="宋体" w:hAnsi="宋体" w:cs="宋体"/>
          <w:sz w:val="22"/>
          <w:szCs w:val="22"/>
        </w:rPr>
        <w:t>投标产品从采购单位开始使用至采购文件中规定的周期内正常、连续地使用所必须的备件和专用工具清单，包括备件和专用工具的货源及现行价格。</w:t>
      </w:r>
    </w:p>
    <w:p w14:paraId="36F508AE">
      <w:pPr>
        <w:numPr>
          <w:ilvl w:val="2"/>
          <w:numId w:val="18"/>
        </w:numPr>
        <w:rPr>
          <w:rFonts w:ascii="宋体" w:hAnsi="宋体" w:cs="宋体"/>
          <w:sz w:val="22"/>
          <w:szCs w:val="22"/>
        </w:rPr>
      </w:pPr>
      <w:r>
        <w:rPr>
          <w:rFonts w:hint="eastAsia" w:ascii="宋体" w:hAnsi="宋体" w:cs="宋体"/>
          <w:sz w:val="22"/>
          <w:szCs w:val="22"/>
        </w:rPr>
        <w:t>对照采购文件技术规格，逐条说明投标技术方案已对采购单位的技术规格做出了实质性的响应，或申明与技术规格条文的偏差和例外。投标人应详细说明投标技术方案中产品的具体参数，不得以谋取中标为目的的照搬照抄采购文件的技术要求。</w:t>
      </w:r>
    </w:p>
    <w:p w14:paraId="2E041572">
      <w:pPr>
        <w:numPr>
          <w:ilvl w:val="2"/>
          <w:numId w:val="18"/>
        </w:numPr>
        <w:rPr>
          <w:rFonts w:ascii="宋体" w:hAnsi="宋体" w:cs="宋体"/>
          <w:sz w:val="22"/>
          <w:szCs w:val="22"/>
        </w:rPr>
      </w:pPr>
      <w:r>
        <w:rPr>
          <w:rFonts w:hint="eastAsia" w:ascii="宋体" w:hAnsi="宋体" w:cs="宋体"/>
          <w:sz w:val="22"/>
          <w:szCs w:val="22"/>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提供原件扫描件；</w:t>
      </w:r>
    </w:p>
    <w:p w14:paraId="4F447B22">
      <w:pPr>
        <w:numPr>
          <w:ilvl w:val="2"/>
          <w:numId w:val="18"/>
        </w:numPr>
        <w:rPr>
          <w:rFonts w:ascii="宋体" w:hAnsi="宋体" w:cs="宋体"/>
          <w:sz w:val="22"/>
          <w:szCs w:val="22"/>
        </w:rPr>
      </w:pPr>
      <w:r>
        <w:rPr>
          <w:rFonts w:hint="eastAsia" w:ascii="宋体" w:hAnsi="宋体" w:cs="宋体"/>
          <w:sz w:val="22"/>
          <w:szCs w:val="22"/>
        </w:rPr>
        <w:t>我国政府机构出具的产品检验和核准证件应为证件正面、背面和附件标注的全部具体内容；产品检验和核准证件的尺寸和清晰度应该能够在电脑上被阅读、识别和判断，提供原件扫描件。</w:t>
      </w:r>
    </w:p>
    <w:p w14:paraId="54AC36F2">
      <w:pPr>
        <w:numPr>
          <w:ilvl w:val="1"/>
          <w:numId w:val="14"/>
        </w:numPr>
        <w:rPr>
          <w:rFonts w:ascii="宋体" w:hAnsi="宋体" w:cs="宋体"/>
          <w:sz w:val="22"/>
          <w:szCs w:val="22"/>
        </w:rPr>
      </w:pPr>
      <w:r>
        <w:rPr>
          <w:rFonts w:hint="eastAsia" w:ascii="宋体" w:hAnsi="宋体" w:cs="宋体"/>
          <w:sz w:val="22"/>
          <w:szCs w:val="22"/>
        </w:rPr>
        <w:t>相关资料不符合18.2款要求的，评审委员会有权认定为投标技术方案不合格响应，其相关分数予以扣减或作废标处理。</w:t>
      </w:r>
    </w:p>
    <w:p w14:paraId="296E52AA">
      <w:pPr>
        <w:numPr>
          <w:ilvl w:val="1"/>
          <w:numId w:val="14"/>
        </w:numPr>
        <w:rPr>
          <w:rFonts w:ascii="宋体" w:hAnsi="宋体" w:cs="宋体"/>
          <w:sz w:val="22"/>
          <w:szCs w:val="22"/>
        </w:rPr>
      </w:pPr>
      <w:r>
        <w:rPr>
          <w:rFonts w:hint="eastAsia" w:ascii="宋体" w:hAnsi="宋体" w:cs="宋体"/>
          <w:sz w:val="22"/>
          <w:szCs w:val="22"/>
        </w:rPr>
        <w:t>评审委员会有权对以谋取中标为目的的技术规格模糊响应（如有意照搬照抄采购文件的技术要求）或虚假响应予以认定。供应商上述行为一经发现或查实，除扣分或废标外，还可能被一并处以没收投标保证金的处罚，政府采购代理机构可视情况报政府采购监督管理部门做进一步处理。</w:t>
      </w:r>
    </w:p>
    <w:p w14:paraId="23219F51">
      <w:pPr>
        <w:numPr>
          <w:ilvl w:val="1"/>
          <w:numId w:val="14"/>
        </w:numPr>
        <w:rPr>
          <w:rFonts w:ascii="宋体" w:hAnsi="宋体" w:cs="宋体"/>
          <w:sz w:val="22"/>
          <w:szCs w:val="22"/>
        </w:rPr>
      </w:pPr>
      <w:r>
        <w:rPr>
          <w:rFonts w:hint="eastAsia" w:ascii="宋体" w:hAnsi="宋体" w:cs="宋体"/>
          <w:sz w:val="22"/>
          <w:szCs w:val="22"/>
        </w:rPr>
        <w:t>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采购文件中技术规格的要求，是否满足要求，由评审委员会来评判。</w:t>
      </w:r>
    </w:p>
    <w:p w14:paraId="02AD7324">
      <w:pPr>
        <w:numPr>
          <w:ilvl w:val="1"/>
          <w:numId w:val="14"/>
        </w:numPr>
        <w:rPr>
          <w:rFonts w:ascii="宋体" w:hAnsi="宋体" w:cs="宋体"/>
          <w:sz w:val="22"/>
          <w:szCs w:val="22"/>
        </w:rPr>
      </w:pPr>
      <w:r>
        <w:rPr>
          <w:rFonts w:hint="eastAsia" w:ascii="宋体" w:hAnsi="宋体" w:cs="宋体"/>
          <w:sz w:val="22"/>
          <w:szCs w:val="22"/>
        </w:rPr>
        <w:t>为保证公平公正，除非另有规定或说明，投标人对同一货物或服务投标时，不得同时提供两套或两套以上的投标方案。</w:t>
      </w:r>
    </w:p>
    <w:p w14:paraId="705CD71D">
      <w:pPr>
        <w:ind w:left="907"/>
        <w:rPr>
          <w:rFonts w:ascii="宋体" w:hAnsi="宋体" w:cs="宋体"/>
          <w:sz w:val="22"/>
          <w:szCs w:val="22"/>
        </w:rPr>
      </w:pPr>
    </w:p>
    <w:p w14:paraId="06A5BC39">
      <w:pPr>
        <w:numPr>
          <w:ilvl w:val="0"/>
          <w:numId w:val="13"/>
        </w:numPr>
        <w:rPr>
          <w:rFonts w:ascii="宋体" w:hAnsi="宋体" w:cs="宋体"/>
          <w:sz w:val="22"/>
          <w:szCs w:val="22"/>
        </w:rPr>
      </w:pPr>
      <w:r>
        <w:rPr>
          <w:rFonts w:hint="eastAsia" w:ascii="宋体" w:hAnsi="宋体" w:cs="宋体"/>
          <w:sz w:val="22"/>
          <w:szCs w:val="22"/>
        </w:rPr>
        <w:t>投标文件其他证明文件的要求</w:t>
      </w:r>
    </w:p>
    <w:p w14:paraId="4DB85248">
      <w:pPr>
        <w:numPr>
          <w:ilvl w:val="1"/>
          <w:numId w:val="14"/>
        </w:numPr>
        <w:rPr>
          <w:rFonts w:ascii="宋体" w:hAnsi="宋体" w:cs="宋体"/>
          <w:sz w:val="22"/>
          <w:szCs w:val="22"/>
        </w:rPr>
      </w:pPr>
      <w:bookmarkStart w:id="127" w:name="_Toc73518136"/>
      <w:bookmarkStart w:id="128" w:name="_Toc100052383"/>
      <w:bookmarkStart w:id="129" w:name="_Toc73521566"/>
      <w:bookmarkStart w:id="130" w:name="_Toc60560644"/>
      <w:bookmarkStart w:id="131" w:name="_Toc73521654"/>
      <w:bookmarkStart w:id="132" w:name="_Toc73517658"/>
      <w:bookmarkStart w:id="133" w:name="_Toc60631639"/>
      <w:r>
        <w:rPr>
          <w:rFonts w:hint="eastAsia" w:ascii="宋体" w:hAnsi="宋体" w:cs="宋体"/>
          <w:sz w:val="22"/>
          <w:szCs w:val="22"/>
        </w:rPr>
        <w:t>对项目采购文件《评标信息》评分项中涉及的相关业绩、社保情况、纳税情况、银行资信等级和资金流状况等内容以及《投标文件初审表》中涉及的资格证书，投标人应提供相关部门出具的证明材料扫描件或照片（原件或复印件均可），原件备查。有关扫描件（或照片）的尺寸和清晰度应该能够在电脑上被阅读、识别和判断。若投标人未按要求提供证明材料或提供的是部分证明材料或提供不清晰的扫描件（或照片）的，评审委员会有权认定其投标文件未对采购文件有关需求进行响应，涉及资格性检查或符合性检查的予以废标处理，涉及《评标信息》打分项的则该项评分予以0分处理。</w:t>
      </w:r>
    </w:p>
    <w:p w14:paraId="7E050259">
      <w:pPr>
        <w:numPr>
          <w:ilvl w:val="1"/>
          <w:numId w:val="14"/>
        </w:numPr>
        <w:rPr>
          <w:rFonts w:ascii="宋体" w:hAnsi="宋体" w:cs="宋体"/>
          <w:sz w:val="22"/>
          <w:szCs w:val="22"/>
        </w:rPr>
      </w:pPr>
      <w:r>
        <w:rPr>
          <w:rFonts w:hint="eastAsia" w:ascii="宋体" w:hAnsi="宋体" w:cs="宋体"/>
          <w:sz w:val="22"/>
          <w:szCs w:val="22"/>
        </w:rPr>
        <w:t>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3399787E">
      <w:pPr>
        <w:ind w:left="907"/>
        <w:rPr>
          <w:rFonts w:ascii="宋体" w:hAnsi="宋体" w:cs="宋体"/>
          <w:sz w:val="22"/>
          <w:szCs w:val="22"/>
        </w:rPr>
      </w:pPr>
    </w:p>
    <w:p w14:paraId="468E2ACE">
      <w:pPr>
        <w:numPr>
          <w:ilvl w:val="0"/>
          <w:numId w:val="13"/>
        </w:numPr>
        <w:rPr>
          <w:rFonts w:ascii="宋体" w:hAnsi="宋体" w:cs="宋体"/>
          <w:sz w:val="22"/>
          <w:szCs w:val="22"/>
        </w:rPr>
      </w:pPr>
      <w:r>
        <w:rPr>
          <w:rFonts w:hint="eastAsia" w:ascii="宋体" w:hAnsi="宋体" w:cs="宋体"/>
          <w:sz w:val="22"/>
          <w:szCs w:val="22"/>
        </w:rPr>
        <w:t>投标有效期</w:t>
      </w:r>
      <w:bookmarkEnd w:id="127"/>
      <w:bookmarkEnd w:id="128"/>
      <w:bookmarkEnd w:id="129"/>
      <w:bookmarkEnd w:id="130"/>
      <w:bookmarkEnd w:id="131"/>
      <w:bookmarkEnd w:id="132"/>
      <w:bookmarkEnd w:id="133"/>
    </w:p>
    <w:p w14:paraId="66627E3E">
      <w:pPr>
        <w:numPr>
          <w:ilvl w:val="1"/>
          <w:numId w:val="14"/>
        </w:numPr>
        <w:rPr>
          <w:rFonts w:ascii="宋体" w:hAnsi="宋体" w:cs="宋体"/>
          <w:sz w:val="22"/>
          <w:szCs w:val="22"/>
        </w:rPr>
      </w:pPr>
      <w:r>
        <w:rPr>
          <w:rFonts w:hint="eastAsia" w:ascii="宋体" w:hAnsi="宋体" w:cs="宋体"/>
          <w:sz w:val="22"/>
          <w:szCs w:val="22"/>
        </w:rPr>
        <w:t>投标有效期为从投标截止之日算起的日历天数，具体见专用条款中投标有效期的天数要求。在此期限内，所有投标文件均保持有效；</w:t>
      </w:r>
    </w:p>
    <w:p w14:paraId="26166B7B">
      <w:pPr>
        <w:numPr>
          <w:ilvl w:val="1"/>
          <w:numId w:val="14"/>
        </w:numPr>
        <w:rPr>
          <w:rFonts w:ascii="宋体" w:hAnsi="宋体" w:cs="宋体"/>
          <w:sz w:val="22"/>
          <w:szCs w:val="22"/>
        </w:rPr>
      </w:pPr>
      <w:r>
        <w:rPr>
          <w:rFonts w:hint="eastAsia" w:ascii="宋体" w:hAnsi="宋体" w:cs="宋体"/>
          <w:sz w:val="22"/>
          <w:szCs w:val="22"/>
        </w:rPr>
        <w:t>在特殊的情况下，政府采购代理机构在原定的投标有效期满之前，政府采购代理机构可以根据需要以书面形式（包括网站公开发布方式）向投标人提出延长投标有效期的要求，对此要求投标人须以书面形式予以答复，投标人可以拒绝政府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D6F6484">
      <w:pPr>
        <w:numPr>
          <w:ilvl w:val="1"/>
          <w:numId w:val="14"/>
        </w:numPr>
        <w:rPr>
          <w:rFonts w:ascii="宋体" w:hAnsi="宋体" w:cs="宋体"/>
          <w:sz w:val="22"/>
          <w:szCs w:val="22"/>
        </w:rPr>
      </w:pPr>
      <w:r>
        <w:rPr>
          <w:rFonts w:hint="eastAsia" w:ascii="宋体" w:hAnsi="宋体" w:cs="宋体"/>
          <w:sz w:val="22"/>
          <w:szCs w:val="22"/>
        </w:rPr>
        <w:t>中标单位的投标书有效期，截止于完成本采购文件规定的全部项目内容，并通过竣工验收及保修结束。</w:t>
      </w:r>
    </w:p>
    <w:p w14:paraId="55E97472">
      <w:pPr>
        <w:ind w:left="907"/>
        <w:rPr>
          <w:rFonts w:ascii="宋体" w:hAnsi="宋体" w:cs="宋体"/>
          <w:sz w:val="22"/>
          <w:szCs w:val="22"/>
        </w:rPr>
      </w:pPr>
    </w:p>
    <w:p w14:paraId="4C4BA307">
      <w:pPr>
        <w:numPr>
          <w:ilvl w:val="0"/>
          <w:numId w:val="13"/>
        </w:numPr>
        <w:rPr>
          <w:rFonts w:ascii="宋体" w:hAnsi="宋体" w:cs="宋体"/>
          <w:sz w:val="22"/>
          <w:szCs w:val="22"/>
        </w:rPr>
      </w:pPr>
      <w:bookmarkStart w:id="134" w:name="_Toc60560645"/>
      <w:bookmarkStart w:id="135" w:name="_Toc73517659"/>
      <w:bookmarkStart w:id="136" w:name="_Toc100052384"/>
      <w:bookmarkStart w:id="137" w:name="_Toc73518137"/>
      <w:bookmarkStart w:id="138" w:name="_Toc73521567"/>
      <w:bookmarkStart w:id="139" w:name="_Toc60631640"/>
      <w:bookmarkStart w:id="140" w:name="_Toc73521655"/>
      <w:r>
        <w:rPr>
          <w:rFonts w:hint="eastAsia" w:ascii="宋体" w:hAnsi="宋体" w:cs="宋体"/>
          <w:sz w:val="22"/>
          <w:szCs w:val="22"/>
        </w:rPr>
        <w:t>投标</w:t>
      </w:r>
      <w:bookmarkEnd w:id="134"/>
      <w:bookmarkEnd w:id="135"/>
      <w:bookmarkEnd w:id="136"/>
      <w:bookmarkEnd w:id="137"/>
      <w:bookmarkEnd w:id="138"/>
      <w:bookmarkEnd w:id="139"/>
      <w:bookmarkEnd w:id="140"/>
      <w:r>
        <w:rPr>
          <w:rFonts w:hint="eastAsia" w:ascii="宋体" w:hAnsi="宋体" w:cs="宋体"/>
          <w:sz w:val="22"/>
          <w:szCs w:val="22"/>
        </w:rPr>
        <w:t>保证金</w:t>
      </w:r>
    </w:p>
    <w:p w14:paraId="102CAA9C">
      <w:pPr>
        <w:numPr>
          <w:ilvl w:val="1"/>
          <w:numId w:val="14"/>
        </w:numPr>
        <w:rPr>
          <w:rFonts w:ascii="宋体" w:hAnsi="宋体" w:cs="宋体"/>
          <w:sz w:val="22"/>
          <w:szCs w:val="22"/>
        </w:rPr>
      </w:pPr>
      <w:bookmarkStart w:id="141" w:name="_Toc73517660"/>
      <w:bookmarkStart w:id="142" w:name="_Toc100052385"/>
      <w:bookmarkStart w:id="143" w:name="_Toc73521568"/>
      <w:bookmarkStart w:id="144" w:name="_Toc73518138"/>
      <w:bookmarkStart w:id="145" w:name="_Toc60631641"/>
      <w:bookmarkStart w:id="146" w:name="_Toc73521656"/>
      <w:bookmarkStart w:id="147" w:name="_Toc60560646"/>
      <w:r>
        <w:rPr>
          <w:rFonts w:hint="eastAsia" w:ascii="宋体" w:hAnsi="宋体" w:cs="宋体"/>
          <w:sz w:val="22"/>
          <w:szCs w:val="22"/>
        </w:rPr>
        <w:t>投标保证金的缴纳：</w:t>
      </w:r>
    </w:p>
    <w:p w14:paraId="6903AB33">
      <w:pPr>
        <w:numPr>
          <w:ilvl w:val="2"/>
          <w:numId w:val="18"/>
        </w:numPr>
        <w:rPr>
          <w:rFonts w:ascii="宋体" w:hAnsi="宋体" w:cs="宋体"/>
          <w:sz w:val="22"/>
          <w:szCs w:val="22"/>
        </w:rPr>
      </w:pPr>
      <w:r>
        <w:rPr>
          <w:rFonts w:hint="eastAsia" w:ascii="宋体" w:hAnsi="宋体" w:cs="宋体"/>
          <w:sz w:val="22"/>
          <w:szCs w:val="22"/>
        </w:rPr>
        <w:t>投标保证金应当采用非现金形式交纳。</w:t>
      </w:r>
    </w:p>
    <w:p w14:paraId="5236C7DB">
      <w:pPr>
        <w:numPr>
          <w:ilvl w:val="2"/>
          <w:numId w:val="18"/>
        </w:numPr>
        <w:rPr>
          <w:rFonts w:ascii="宋体" w:hAnsi="宋体" w:cs="宋体"/>
          <w:sz w:val="22"/>
          <w:szCs w:val="22"/>
        </w:rPr>
      </w:pPr>
      <w:r>
        <w:rPr>
          <w:rFonts w:hint="eastAsia" w:ascii="宋体" w:hAnsi="宋体" w:cs="宋体"/>
          <w:sz w:val="22"/>
          <w:szCs w:val="22"/>
        </w:rPr>
        <w:t>若为重大项目，政府采购代理机构可自行决定另外收取投标保证金，不受21.1.1款限制。是否另外收取投标保证金，请见本采购文件专用条款《对通用条款的补充内容》中的相关要求。</w:t>
      </w:r>
    </w:p>
    <w:p w14:paraId="5C41A989">
      <w:pPr>
        <w:numPr>
          <w:ilvl w:val="1"/>
          <w:numId w:val="14"/>
        </w:numPr>
        <w:rPr>
          <w:rFonts w:ascii="宋体" w:hAnsi="宋体" w:cs="宋体"/>
          <w:sz w:val="22"/>
          <w:szCs w:val="22"/>
        </w:rPr>
      </w:pPr>
      <w:r>
        <w:rPr>
          <w:rFonts w:hint="eastAsia" w:ascii="宋体" w:hAnsi="宋体" w:cs="宋体"/>
          <w:sz w:val="22"/>
          <w:szCs w:val="22"/>
        </w:rPr>
        <w:t>投标保证金是为了保护政府采购代理机构和采购单位免因投标人的行为而蒙受损失。政府采购代理机构和采购单位因投标人的行为受到损害时可根据本通用条款第21.5款的规定没收投标人的投标保证金。</w:t>
      </w:r>
    </w:p>
    <w:p w14:paraId="67DDDC71">
      <w:pPr>
        <w:numPr>
          <w:ilvl w:val="1"/>
          <w:numId w:val="14"/>
        </w:numPr>
        <w:rPr>
          <w:rFonts w:ascii="宋体" w:hAnsi="宋体" w:cs="宋体"/>
          <w:sz w:val="22"/>
          <w:szCs w:val="22"/>
        </w:rPr>
      </w:pPr>
      <w:r>
        <w:rPr>
          <w:rFonts w:hint="eastAsia" w:ascii="宋体" w:hAnsi="宋体" w:cs="宋体"/>
          <w:sz w:val="22"/>
          <w:szCs w:val="22"/>
        </w:rPr>
        <w:t>未中标的投标人的投标保证金，将于中标结果公告后五个工作日内无息退还投标人。</w:t>
      </w:r>
    </w:p>
    <w:p w14:paraId="3B9FBBDD">
      <w:pPr>
        <w:numPr>
          <w:ilvl w:val="1"/>
          <w:numId w:val="14"/>
        </w:numPr>
        <w:rPr>
          <w:rFonts w:ascii="宋体" w:hAnsi="宋体" w:cs="宋体"/>
          <w:sz w:val="22"/>
          <w:szCs w:val="22"/>
        </w:rPr>
      </w:pPr>
      <w:r>
        <w:rPr>
          <w:rFonts w:hint="eastAsia" w:ascii="宋体" w:hAnsi="宋体" w:cs="宋体"/>
          <w:sz w:val="22"/>
          <w:szCs w:val="22"/>
        </w:rPr>
        <w:t>中标人的投标保证金，在与采购人签订了合同，提交了履约保证金并交纳了招标代理服务费后予以无息退还。</w:t>
      </w:r>
    </w:p>
    <w:p w14:paraId="63394CEC">
      <w:pPr>
        <w:numPr>
          <w:ilvl w:val="1"/>
          <w:numId w:val="14"/>
        </w:numPr>
        <w:rPr>
          <w:rFonts w:ascii="宋体" w:hAnsi="宋体" w:cs="宋体"/>
          <w:sz w:val="22"/>
          <w:szCs w:val="22"/>
        </w:rPr>
      </w:pPr>
      <w:r>
        <w:rPr>
          <w:rFonts w:hint="eastAsia" w:ascii="宋体" w:hAnsi="宋体" w:cs="宋体"/>
          <w:sz w:val="22"/>
          <w:szCs w:val="22"/>
        </w:rPr>
        <w:t>如下列任何情况发生时，投标保证金将被没收。</w:t>
      </w:r>
    </w:p>
    <w:p w14:paraId="40AA631C">
      <w:pPr>
        <w:numPr>
          <w:ilvl w:val="2"/>
          <w:numId w:val="18"/>
        </w:numPr>
        <w:rPr>
          <w:rFonts w:ascii="宋体" w:hAnsi="宋体" w:cs="宋体"/>
          <w:sz w:val="22"/>
          <w:szCs w:val="22"/>
        </w:rPr>
      </w:pPr>
      <w:r>
        <w:rPr>
          <w:rFonts w:hint="eastAsia" w:ascii="宋体" w:hAnsi="宋体" w:cs="宋体"/>
          <w:sz w:val="22"/>
          <w:szCs w:val="22"/>
        </w:rPr>
        <w:t>投标人在采购文件中规定的投标有效期内撤回其投标；</w:t>
      </w:r>
    </w:p>
    <w:p w14:paraId="68E7FAED">
      <w:pPr>
        <w:numPr>
          <w:ilvl w:val="2"/>
          <w:numId w:val="18"/>
        </w:numPr>
        <w:rPr>
          <w:rFonts w:ascii="宋体" w:hAnsi="宋体" w:cs="宋体"/>
          <w:sz w:val="22"/>
          <w:szCs w:val="22"/>
        </w:rPr>
      </w:pPr>
      <w:r>
        <w:rPr>
          <w:rFonts w:hint="eastAsia" w:ascii="宋体" w:hAnsi="宋体" w:cs="宋体"/>
          <w:sz w:val="22"/>
          <w:szCs w:val="22"/>
        </w:rPr>
        <w:t>中标人在规定期限内未能根据本项通用条款第47条规定签订合同；</w:t>
      </w:r>
    </w:p>
    <w:p w14:paraId="5C69680B">
      <w:pPr>
        <w:numPr>
          <w:ilvl w:val="2"/>
          <w:numId w:val="18"/>
        </w:numPr>
        <w:rPr>
          <w:rFonts w:ascii="宋体" w:hAnsi="宋体" w:cs="宋体"/>
          <w:sz w:val="22"/>
          <w:szCs w:val="22"/>
        </w:rPr>
      </w:pPr>
      <w:r>
        <w:rPr>
          <w:rFonts w:hint="eastAsia" w:ascii="宋体" w:hAnsi="宋体" w:cs="宋体"/>
          <w:sz w:val="22"/>
          <w:szCs w:val="22"/>
        </w:rPr>
        <w:t>投标人提供虚假投标文件或虚假补充文件：</w:t>
      </w:r>
    </w:p>
    <w:p w14:paraId="06A18A5E">
      <w:pPr>
        <w:numPr>
          <w:ilvl w:val="2"/>
          <w:numId w:val="18"/>
        </w:numPr>
        <w:rPr>
          <w:rFonts w:ascii="宋体" w:hAnsi="宋体" w:cs="宋体"/>
          <w:sz w:val="22"/>
          <w:szCs w:val="22"/>
        </w:rPr>
      </w:pPr>
      <w:r>
        <w:rPr>
          <w:rFonts w:hint="eastAsia" w:ascii="宋体" w:hAnsi="宋体" w:cs="宋体"/>
          <w:sz w:val="22"/>
          <w:szCs w:val="22"/>
        </w:rPr>
        <w:t>投标人以谋取中标为目的的技术规格模糊响应（如有意照搬照抄采购文件的技术要求）或虚假响应的；</w:t>
      </w:r>
    </w:p>
    <w:p w14:paraId="2F6CB19E">
      <w:pPr>
        <w:numPr>
          <w:ilvl w:val="2"/>
          <w:numId w:val="18"/>
        </w:numPr>
        <w:rPr>
          <w:rFonts w:ascii="宋体" w:hAnsi="宋体" w:cs="宋体"/>
          <w:sz w:val="22"/>
          <w:szCs w:val="22"/>
        </w:rPr>
      </w:pPr>
      <w:r>
        <w:rPr>
          <w:rFonts w:hint="eastAsia" w:ascii="宋体" w:hAnsi="宋体" w:cs="宋体"/>
          <w:sz w:val="22"/>
          <w:szCs w:val="22"/>
        </w:rPr>
        <w:t>投标人质疑投诉提供虚假情况。</w:t>
      </w:r>
    </w:p>
    <w:p w14:paraId="0CA454A9">
      <w:pPr>
        <w:numPr>
          <w:ilvl w:val="1"/>
          <w:numId w:val="14"/>
        </w:numPr>
        <w:rPr>
          <w:rFonts w:ascii="宋体" w:hAnsi="宋体" w:cs="宋体"/>
          <w:sz w:val="22"/>
          <w:szCs w:val="22"/>
        </w:rPr>
      </w:pPr>
      <w:r>
        <w:rPr>
          <w:rFonts w:hint="eastAsia" w:ascii="宋体" w:hAnsi="宋体" w:cs="宋体"/>
          <w:sz w:val="22"/>
          <w:szCs w:val="22"/>
        </w:rPr>
        <w:t>投标保证金账户信息：</w:t>
      </w:r>
    </w:p>
    <w:p w14:paraId="173B1218">
      <w:pPr>
        <w:spacing w:line="360" w:lineRule="exact"/>
        <w:ind w:firstLine="883" w:firstLineChars="400"/>
        <w:jc w:val="left"/>
        <w:rPr>
          <w:rFonts w:ascii="宋体" w:hAnsi="宋体" w:cs="宋体"/>
          <w:b/>
          <w:bCs/>
          <w:sz w:val="22"/>
          <w:szCs w:val="22"/>
        </w:rPr>
      </w:pPr>
      <w:r>
        <w:rPr>
          <w:rFonts w:hint="eastAsia" w:ascii="宋体" w:hAnsi="宋体" w:cs="宋体"/>
          <w:b/>
          <w:bCs/>
          <w:sz w:val="22"/>
          <w:szCs w:val="22"/>
        </w:rPr>
        <w:t>开户行：中国建设银行深圳东乐支行</w:t>
      </w:r>
    </w:p>
    <w:p w14:paraId="1FEE3803">
      <w:pPr>
        <w:spacing w:line="360" w:lineRule="exact"/>
        <w:ind w:firstLine="883" w:firstLineChars="400"/>
        <w:jc w:val="left"/>
        <w:rPr>
          <w:rFonts w:ascii="宋体" w:hAnsi="宋体" w:cs="宋体"/>
          <w:b/>
          <w:bCs/>
          <w:sz w:val="22"/>
          <w:szCs w:val="22"/>
        </w:rPr>
      </w:pPr>
      <w:r>
        <w:rPr>
          <w:rFonts w:hint="eastAsia" w:ascii="宋体" w:hAnsi="宋体" w:cs="宋体"/>
          <w:b/>
          <w:bCs/>
          <w:sz w:val="22"/>
          <w:szCs w:val="22"/>
        </w:rPr>
        <w:t xml:space="preserve">户名：深圳市东海国际招标有限公司 </w:t>
      </w:r>
    </w:p>
    <w:p w14:paraId="7467BB17">
      <w:pPr>
        <w:spacing w:line="360" w:lineRule="exact"/>
        <w:ind w:firstLine="883" w:firstLineChars="400"/>
        <w:jc w:val="left"/>
        <w:rPr>
          <w:rFonts w:ascii="宋体" w:hAnsi="宋体" w:cs="宋体"/>
          <w:b/>
          <w:bCs/>
          <w:sz w:val="22"/>
          <w:szCs w:val="22"/>
        </w:rPr>
      </w:pPr>
      <w:r>
        <w:rPr>
          <w:rFonts w:hint="eastAsia" w:ascii="宋体" w:hAnsi="宋体" w:cs="宋体"/>
          <w:b/>
          <w:bCs/>
          <w:sz w:val="22"/>
          <w:szCs w:val="22"/>
        </w:rPr>
        <w:t xml:space="preserve">账号：4425 0100 0074 0000 0417 </w:t>
      </w:r>
    </w:p>
    <w:p w14:paraId="0FC119B7">
      <w:pPr>
        <w:ind w:left="907"/>
        <w:rPr>
          <w:rFonts w:ascii="宋体" w:hAnsi="宋体" w:cs="宋体"/>
          <w:b/>
          <w:sz w:val="22"/>
          <w:szCs w:val="22"/>
        </w:rPr>
      </w:pPr>
    </w:p>
    <w:p w14:paraId="488784BA">
      <w:pPr>
        <w:numPr>
          <w:ilvl w:val="0"/>
          <w:numId w:val="13"/>
        </w:numPr>
        <w:rPr>
          <w:rFonts w:ascii="宋体" w:hAnsi="宋体" w:cs="宋体"/>
          <w:sz w:val="22"/>
          <w:szCs w:val="22"/>
        </w:rPr>
      </w:pPr>
      <w:r>
        <w:rPr>
          <w:rFonts w:hint="eastAsia" w:ascii="宋体" w:hAnsi="宋体" w:cs="宋体"/>
          <w:sz w:val="22"/>
          <w:szCs w:val="22"/>
        </w:rPr>
        <w:t>投标人的替代方案</w:t>
      </w:r>
      <w:bookmarkEnd w:id="141"/>
      <w:bookmarkEnd w:id="142"/>
      <w:bookmarkEnd w:id="143"/>
      <w:bookmarkEnd w:id="144"/>
      <w:bookmarkEnd w:id="145"/>
      <w:bookmarkEnd w:id="146"/>
      <w:bookmarkEnd w:id="147"/>
    </w:p>
    <w:p w14:paraId="0E7C51C5">
      <w:pPr>
        <w:numPr>
          <w:ilvl w:val="1"/>
          <w:numId w:val="14"/>
        </w:numPr>
        <w:rPr>
          <w:rFonts w:ascii="宋体" w:hAnsi="宋体" w:cs="宋体"/>
          <w:sz w:val="22"/>
          <w:szCs w:val="22"/>
        </w:rPr>
      </w:pPr>
      <w:r>
        <w:rPr>
          <w:rFonts w:hint="eastAsia" w:ascii="宋体" w:hAnsi="宋体" w:cs="宋体"/>
          <w:sz w:val="22"/>
          <w:szCs w:val="22"/>
        </w:rPr>
        <w:t>投标人所提交的投标文件应完全满足采购文件（包括图纸和技术规范所示的基本技术设计）的要求。除非招标的项目明确允许投标人提交替代方案，否则投标人有关替代方案的条款将不予考虑。</w:t>
      </w:r>
    </w:p>
    <w:p w14:paraId="2159C1B6">
      <w:pPr>
        <w:numPr>
          <w:ilvl w:val="1"/>
          <w:numId w:val="14"/>
        </w:numPr>
        <w:rPr>
          <w:rFonts w:ascii="宋体" w:hAnsi="宋体" w:cs="宋体"/>
          <w:sz w:val="22"/>
          <w:szCs w:val="22"/>
        </w:rPr>
      </w:pPr>
      <w:r>
        <w:rPr>
          <w:rFonts w:hint="eastAsia" w:ascii="宋体" w:hAnsi="宋体" w:cs="宋体"/>
          <w:sz w:val="22"/>
          <w:szCs w:val="22"/>
        </w:rPr>
        <w:t>如果允许投标人提交替代方案，则准备提交替代方案的投标人除应提交一份满足采购文件（包括图纸和技术规范所示的基本技术设计）要求的投标文件外，还应提交需评审其替代方案所需的全部资料，包括项目方案书、技术规范、替代方案报价书、所建议的项目方案及有关的其它详细资料。</w:t>
      </w:r>
    </w:p>
    <w:p w14:paraId="5D7A3692">
      <w:pPr>
        <w:ind w:left="907"/>
        <w:rPr>
          <w:rFonts w:ascii="宋体" w:hAnsi="宋体" w:cs="宋体"/>
          <w:sz w:val="22"/>
          <w:szCs w:val="22"/>
        </w:rPr>
      </w:pPr>
    </w:p>
    <w:p w14:paraId="42EEF877">
      <w:pPr>
        <w:numPr>
          <w:ilvl w:val="0"/>
          <w:numId w:val="13"/>
        </w:numPr>
        <w:rPr>
          <w:rFonts w:ascii="宋体" w:hAnsi="宋体" w:cs="宋体"/>
          <w:sz w:val="22"/>
          <w:szCs w:val="22"/>
        </w:rPr>
      </w:pPr>
      <w:bookmarkStart w:id="148" w:name="_Toc73521657"/>
      <w:bookmarkStart w:id="149" w:name="_Toc73521569"/>
      <w:bookmarkStart w:id="150" w:name="_Toc73518139"/>
      <w:bookmarkStart w:id="151" w:name="_Toc73517661"/>
      <w:bookmarkStart w:id="152" w:name="_Toc100052386"/>
      <w:r>
        <w:rPr>
          <w:rFonts w:hint="eastAsia" w:ascii="宋体" w:hAnsi="宋体" w:cs="宋体"/>
          <w:sz w:val="22"/>
          <w:szCs w:val="22"/>
        </w:rPr>
        <w:t>投标文件的制作要求</w:t>
      </w:r>
      <w:bookmarkEnd w:id="148"/>
      <w:bookmarkEnd w:id="149"/>
      <w:bookmarkEnd w:id="150"/>
      <w:bookmarkEnd w:id="151"/>
      <w:bookmarkEnd w:id="152"/>
    </w:p>
    <w:p w14:paraId="494561B4">
      <w:pPr>
        <w:numPr>
          <w:ilvl w:val="1"/>
          <w:numId w:val="14"/>
        </w:numPr>
        <w:rPr>
          <w:rFonts w:ascii="宋体" w:hAnsi="宋体" w:cs="宋体"/>
          <w:sz w:val="22"/>
          <w:szCs w:val="22"/>
        </w:rPr>
      </w:pPr>
      <w:r>
        <w:rPr>
          <w:rFonts w:hint="eastAsia" w:ascii="宋体" w:hAnsi="宋体" w:cs="宋体"/>
          <w:sz w:val="22"/>
          <w:szCs w:val="22"/>
        </w:rPr>
        <w:t>投标人按照关键信息中要求的份数制作纸质投标文件及投标文件的电子文档。</w:t>
      </w:r>
    </w:p>
    <w:p w14:paraId="5D543396">
      <w:pPr>
        <w:numPr>
          <w:ilvl w:val="1"/>
          <w:numId w:val="14"/>
        </w:numPr>
        <w:rPr>
          <w:rFonts w:ascii="宋体" w:hAnsi="宋体" w:cs="宋体"/>
          <w:sz w:val="22"/>
          <w:szCs w:val="22"/>
        </w:rPr>
      </w:pPr>
      <w:r>
        <w:rPr>
          <w:rFonts w:hint="eastAsia" w:ascii="宋体" w:hAnsi="宋体" w:cs="宋体"/>
          <w:sz w:val="22"/>
          <w:szCs w:val="22"/>
        </w:rPr>
        <w:t>投标人按照采购文件提供的投标文件格式模板及要求编制投标文件。</w:t>
      </w:r>
    </w:p>
    <w:p w14:paraId="0655361A">
      <w:pPr>
        <w:numPr>
          <w:ilvl w:val="1"/>
          <w:numId w:val="14"/>
        </w:numPr>
        <w:rPr>
          <w:rFonts w:ascii="宋体" w:hAnsi="宋体" w:cs="宋体"/>
          <w:sz w:val="22"/>
          <w:szCs w:val="22"/>
        </w:rPr>
      </w:pPr>
      <w:r>
        <w:rPr>
          <w:rFonts w:hint="eastAsia" w:ascii="宋体" w:hAnsi="宋体" w:cs="宋体"/>
          <w:sz w:val="22"/>
          <w:szCs w:val="22"/>
        </w:rPr>
        <w:t>投标人在利用投标文件格式模板编制投标书时须注意：</w:t>
      </w:r>
    </w:p>
    <w:p w14:paraId="6DBFFEF3">
      <w:pPr>
        <w:numPr>
          <w:ilvl w:val="2"/>
          <w:numId w:val="18"/>
        </w:numPr>
        <w:rPr>
          <w:rFonts w:ascii="宋体" w:hAnsi="宋体" w:cs="宋体"/>
          <w:sz w:val="22"/>
          <w:szCs w:val="22"/>
        </w:rPr>
      </w:pPr>
      <w:r>
        <w:rPr>
          <w:rFonts w:hint="eastAsia" w:ascii="宋体" w:hAnsi="宋体" w:cs="宋体"/>
          <w:sz w:val="22"/>
          <w:szCs w:val="22"/>
        </w:rPr>
        <w:t>除模板要求填写或添加的内容外，不得对其他文字内容做任何改动。如果因操作失误而改动的，以模板中的文字叙述为准。</w:t>
      </w:r>
    </w:p>
    <w:p w14:paraId="117C2348">
      <w:pPr>
        <w:numPr>
          <w:ilvl w:val="2"/>
          <w:numId w:val="18"/>
        </w:numPr>
        <w:rPr>
          <w:rFonts w:ascii="宋体" w:hAnsi="宋体" w:cs="宋体"/>
          <w:sz w:val="22"/>
          <w:szCs w:val="22"/>
        </w:rPr>
      </w:pPr>
      <w:r>
        <w:rPr>
          <w:rFonts w:hint="eastAsia" w:ascii="宋体" w:hAnsi="宋体" w:cs="宋体"/>
          <w:sz w:val="22"/>
          <w:szCs w:val="22"/>
        </w:rPr>
        <w:t>采购文件的编号、包号应与根据此招标制作的投标文件项目编号、包号一致。</w:t>
      </w:r>
      <w:bookmarkStart w:id="153" w:name="_Toc100052387"/>
      <w:bookmarkStart w:id="154" w:name="_Toc101074880"/>
      <w:bookmarkStart w:id="155" w:name="_Toc73521658"/>
      <w:bookmarkStart w:id="156" w:name="_Toc73517662"/>
      <w:bookmarkStart w:id="157" w:name="_Toc73521570"/>
      <w:bookmarkStart w:id="158" w:name="_Toc73518140"/>
    </w:p>
    <w:p w14:paraId="10075E06"/>
    <w:p w14:paraId="64ECDB84">
      <w:r>
        <w:br w:type="page"/>
      </w:r>
    </w:p>
    <w:p w14:paraId="6F287196"/>
    <w:p w14:paraId="4DCD3668"/>
    <w:p w14:paraId="37E49FE6"/>
    <w:p w14:paraId="349D91F7"/>
    <w:p w14:paraId="6A1235EE"/>
    <w:p w14:paraId="7E225251"/>
    <w:p w14:paraId="2EF311A8"/>
    <w:p w14:paraId="74E6541D"/>
    <w:p w14:paraId="7F8A439E"/>
    <w:p w14:paraId="1333B862"/>
    <w:p w14:paraId="7616A22E"/>
    <w:p w14:paraId="51CCA52C"/>
    <w:p w14:paraId="0124CAD4"/>
    <w:p w14:paraId="48F9C197"/>
    <w:p w14:paraId="0D4E7D64"/>
    <w:p w14:paraId="2785B5CC">
      <w:pPr>
        <w:pStyle w:val="3"/>
        <w:rPr>
          <w:b w:val="0"/>
          <w:szCs w:val="28"/>
        </w:rPr>
      </w:pPr>
      <w:r>
        <w:rPr>
          <w:b w:val="0"/>
          <w:bCs/>
          <w:kern w:val="28"/>
          <w:sz w:val="44"/>
          <w:szCs w:val="44"/>
        </w:rPr>
        <w:t>第四章  投标文件的递交</w:t>
      </w:r>
      <w:r>
        <w:rPr>
          <w:b w:val="0"/>
          <w:bCs/>
          <w:kern w:val="28"/>
          <w:sz w:val="44"/>
          <w:szCs w:val="44"/>
        </w:rPr>
        <w:br w:type="page"/>
      </w:r>
      <w:bookmarkEnd w:id="153"/>
      <w:bookmarkEnd w:id="154"/>
      <w:bookmarkEnd w:id="155"/>
      <w:bookmarkEnd w:id="156"/>
      <w:bookmarkEnd w:id="157"/>
      <w:bookmarkEnd w:id="158"/>
    </w:p>
    <w:p w14:paraId="40465C89"/>
    <w:p w14:paraId="53DD0D5E">
      <w:pPr>
        <w:numPr>
          <w:ilvl w:val="0"/>
          <w:numId w:val="13"/>
        </w:numPr>
        <w:ind w:left="950" w:hanging="950" w:hangingChars="432"/>
        <w:rPr>
          <w:rFonts w:ascii="宋体" w:hAnsi="宋体" w:cs="宋体"/>
          <w:sz w:val="22"/>
          <w:szCs w:val="22"/>
        </w:rPr>
      </w:pPr>
      <w:bookmarkStart w:id="159" w:name="_Toc60560649"/>
      <w:bookmarkStart w:id="160" w:name="_Toc60631644"/>
      <w:bookmarkStart w:id="161" w:name="_Toc100052388"/>
      <w:bookmarkStart w:id="162" w:name="_Toc73521571"/>
      <w:bookmarkStart w:id="163" w:name="_Toc73517663"/>
      <w:bookmarkStart w:id="164" w:name="_Toc73518141"/>
      <w:bookmarkStart w:id="165" w:name="_Toc73521659"/>
      <w:r>
        <w:rPr>
          <w:rFonts w:hint="eastAsia" w:ascii="宋体" w:hAnsi="宋体" w:cs="宋体"/>
          <w:sz w:val="22"/>
          <w:szCs w:val="22"/>
        </w:rPr>
        <w:t>投标文件密封和标记</w:t>
      </w:r>
    </w:p>
    <w:p w14:paraId="4A5CC072">
      <w:pPr>
        <w:numPr>
          <w:ilvl w:val="1"/>
          <w:numId w:val="14"/>
        </w:numPr>
        <w:ind w:left="954" w:hanging="954" w:hangingChars="432"/>
        <w:rPr>
          <w:rFonts w:ascii="宋体" w:hAnsi="宋体" w:cs="宋体"/>
          <w:b/>
          <w:bCs/>
          <w:sz w:val="22"/>
          <w:szCs w:val="22"/>
        </w:rPr>
      </w:pPr>
      <w:r>
        <w:rPr>
          <w:rFonts w:hint="eastAsia" w:ascii="宋体" w:hAnsi="宋体" w:cs="宋体"/>
          <w:b/>
          <w:bCs/>
          <w:sz w:val="22"/>
          <w:szCs w:val="22"/>
        </w:rPr>
        <w:t>投标文件正本和副本、附有投标文件电子文档的光盘密封或U盘，并标明项目编号、包号（如分包的话）、项目名称及“正本”或“副本”，开标一览表和投标文件（含正本和副本）应分开独立密封包装。</w:t>
      </w:r>
    </w:p>
    <w:p w14:paraId="0AB5D272">
      <w:pPr>
        <w:numPr>
          <w:ilvl w:val="1"/>
          <w:numId w:val="14"/>
        </w:numPr>
        <w:ind w:left="954" w:hanging="954" w:hangingChars="432"/>
        <w:rPr>
          <w:rFonts w:ascii="宋体" w:hAnsi="宋体" w:cs="宋体"/>
          <w:b/>
          <w:bCs/>
          <w:sz w:val="22"/>
          <w:szCs w:val="22"/>
        </w:rPr>
      </w:pPr>
      <w:r>
        <w:rPr>
          <w:rFonts w:hint="eastAsia" w:ascii="宋体" w:hAnsi="宋体" w:cs="宋体"/>
          <w:b/>
          <w:bCs/>
          <w:sz w:val="22"/>
          <w:szCs w:val="22"/>
        </w:rPr>
        <w:t>投标人应将开标一览表和授权委托书单独密封提交，并在信封上标明“开标文件”字样。投标人的法定代表人参加投标时，须开具法定代表人证明书。</w:t>
      </w:r>
    </w:p>
    <w:p w14:paraId="503BA89B">
      <w:pPr>
        <w:numPr>
          <w:ilvl w:val="1"/>
          <w:numId w:val="14"/>
        </w:numPr>
        <w:ind w:left="954" w:hanging="954" w:hangingChars="432"/>
        <w:rPr>
          <w:rFonts w:ascii="宋体" w:hAnsi="宋体" w:cs="宋体"/>
          <w:b/>
          <w:bCs/>
          <w:sz w:val="22"/>
          <w:szCs w:val="22"/>
        </w:rPr>
      </w:pPr>
      <w:r>
        <w:rPr>
          <w:rFonts w:hint="eastAsia" w:ascii="宋体" w:hAnsi="宋体" w:cs="宋体"/>
          <w:b/>
          <w:bCs/>
          <w:sz w:val="22"/>
          <w:szCs w:val="22"/>
        </w:rPr>
        <w:t>密封包装上注明“在（开标日期、时间）前不得启封”的字样。</w:t>
      </w:r>
    </w:p>
    <w:p w14:paraId="004E8053">
      <w:pPr>
        <w:ind w:left="907"/>
        <w:rPr>
          <w:rFonts w:ascii="宋体" w:hAnsi="宋体" w:cs="宋体"/>
          <w:sz w:val="22"/>
          <w:szCs w:val="22"/>
        </w:rPr>
      </w:pPr>
    </w:p>
    <w:p w14:paraId="41195562">
      <w:pPr>
        <w:numPr>
          <w:ilvl w:val="0"/>
          <w:numId w:val="13"/>
        </w:numPr>
        <w:ind w:left="950" w:hanging="950" w:hangingChars="432"/>
        <w:rPr>
          <w:rFonts w:ascii="宋体" w:hAnsi="宋体" w:cs="宋体"/>
          <w:sz w:val="22"/>
          <w:szCs w:val="22"/>
        </w:rPr>
      </w:pPr>
      <w:r>
        <w:rPr>
          <w:rFonts w:hint="eastAsia" w:ascii="宋体" w:hAnsi="宋体" w:cs="宋体"/>
          <w:sz w:val="22"/>
          <w:szCs w:val="22"/>
        </w:rPr>
        <w:t>投标截止日期</w:t>
      </w:r>
    </w:p>
    <w:p w14:paraId="5E38EC1F">
      <w:pPr>
        <w:numPr>
          <w:ilvl w:val="1"/>
          <w:numId w:val="14"/>
        </w:numPr>
        <w:ind w:left="950" w:hanging="950" w:hangingChars="432"/>
        <w:rPr>
          <w:rFonts w:ascii="宋体" w:hAnsi="宋体" w:cs="宋体"/>
          <w:sz w:val="22"/>
          <w:szCs w:val="22"/>
        </w:rPr>
      </w:pPr>
      <w:r>
        <w:rPr>
          <w:rFonts w:hint="eastAsia" w:ascii="宋体" w:hAnsi="宋体" w:cs="宋体"/>
          <w:sz w:val="22"/>
          <w:szCs w:val="22"/>
        </w:rPr>
        <w:t>投标人应在不迟于采购公告规定的截止日期和时间将投标文件递交至采购代理机构。</w:t>
      </w:r>
    </w:p>
    <w:p w14:paraId="0F6B9296">
      <w:pPr>
        <w:numPr>
          <w:ilvl w:val="1"/>
          <w:numId w:val="14"/>
        </w:numPr>
        <w:ind w:left="950" w:hanging="950" w:hangingChars="432"/>
        <w:rPr>
          <w:rFonts w:ascii="宋体" w:hAnsi="宋体" w:cs="宋体"/>
          <w:sz w:val="22"/>
          <w:szCs w:val="22"/>
        </w:rPr>
      </w:pPr>
      <w:r>
        <w:rPr>
          <w:rFonts w:hint="eastAsia" w:ascii="宋体" w:hAnsi="宋体" w:cs="宋体"/>
          <w:sz w:val="22"/>
          <w:szCs w:val="22"/>
        </w:rPr>
        <w:t>采购代理机构可以通过修改采购文件自行决定酌情推迟投标截止期，在此情况下，采购代理机构、采购人和投标人受投标截止期制约的所有权利和义务均应延长至新的截止期。</w:t>
      </w:r>
    </w:p>
    <w:p w14:paraId="472BC0E8">
      <w:pPr>
        <w:ind w:left="907"/>
        <w:rPr>
          <w:rFonts w:ascii="宋体" w:hAnsi="宋体" w:cs="宋体"/>
          <w:sz w:val="22"/>
          <w:szCs w:val="22"/>
        </w:rPr>
      </w:pPr>
    </w:p>
    <w:p w14:paraId="60D6BFD7">
      <w:pPr>
        <w:numPr>
          <w:ilvl w:val="0"/>
          <w:numId w:val="13"/>
        </w:numPr>
        <w:ind w:left="950" w:hanging="950" w:hangingChars="432"/>
        <w:rPr>
          <w:rFonts w:ascii="宋体" w:hAnsi="宋体" w:cs="宋体"/>
          <w:sz w:val="22"/>
          <w:szCs w:val="22"/>
        </w:rPr>
      </w:pPr>
      <w:r>
        <w:rPr>
          <w:rFonts w:hint="eastAsia" w:ascii="宋体" w:hAnsi="宋体" w:cs="宋体"/>
          <w:sz w:val="22"/>
          <w:szCs w:val="22"/>
        </w:rPr>
        <w:t>样品的递交</w:t>
      </w:r>
    </w:p>
    <w:p w14:paraId="3EDC8B12">
      <w:pPr>
        <w:numPr>
          <w:ilvl w:val="1"/>
          <w:numId w:val="14"/>
        </w:numPr>
        <w:ind w:left="950" w:hanging="950" w:hangingChars="432"/>
        <w:rPr>
          <w:rFonts w:ascii="宋体" w:hAnsi="宋体" w:cs="宋体"/>
          <w:sz w:val="22"/>
          <w:szCs w:val="22"/>
        </w:rPr>
      </w:pPr>
      <w:r>
        <w:rPr>
          <w:rFonts w:hint="eastAsia" w:ascii="宋体" w:hAnsi="宋体" w:cs="宋体"/>
          <w:sz w:val="22"/>
          <w:szCs w:val="22"/>
        </w:rPr>
        <w:t>如有必要，采购单位可以要求投标人提供样品。</w:t>
      </w:r>
    </w:p>
    <w:p w14:paraId="5E4B3A68">
      <w:pPr>
        <w:numPr>
          <w:ilvl w:val="1"/>
          <w:numId w:val="14"/>
        </w:numPr>
        <w:ind w:left="950" w:hanging="950" w:hangingChars="432"/>
        <w:rPr>
          <w:rFonts w:ascii="宋体" w:hAnsi="宋体" w:cs="宋体"/>
          <w:sz w:val="22"/>
          <w:szCs w:val="22"/>
        </w:rPr>
      </w:pPr>
      <w:r>
        <w:rPr>
          <w:rFonts w:hint="eastAsia" w:ascii="宋体" w:hAnsi="宋体" w:cs="宋体"/>
          <w:sz w:val="22"/>
          <w:szCs w:val="22"/>
        </w:rPr>
        <w:t>未中标供应商的样品将于招标结束后退还。中标供应商的样品由采购单位保留，作为验收的依据。</w:t>
      </w:r>
    </w:p>
    <w:p w14:paraId="18E6CC30">
      <w:pPr>
        <w:ind w:left="907"/>
        <w:rPr>
          <w:rFonts w:ascii="宋体" w:hAnsi="宋体" w:cs="宋体"/>
          <w:sz w:val="22"/>
          <w:szCs w:val="22"/>
        </w:rPr>
      </w:pPr>
    </w:p>
    <w:p w14:paraId="4D875672">
      <w:pPr>
        <w:numPr>
          <w:ilvl w:val="0"/>
          <w:numId w:val="13"/>
        </w:numPr>
        <w:ind w:left="950" w:hanging="950" w:hangingChars="432"/>
        <w:rPr>
          <w:rFonts w:ascii="宋体" w:hAnsi="宋体" w:cs="宋体"/>
          <w:sz w:val="22"/>
          <w:szCs w:val="22"/>
        </w:rPr>
      </w:pPr>
      <w:r>
        <w:rPr>
          <w:rFonts w:hint="eastAsia" w:ascii="宋体" w:hAnsi="宋体" w:cs="宋体"/>
          <w:sz w:val="22"/>
          <w:szCs w:val="22"/>
        </w:rPr>
        <w:t>投标文件的修改和撤销</w:t>
      </w:r>
    </w:p>
    <w:p w14:paraId="435333E3">
      <w:pPr>
        <w:numPr>
          <w:ilvl w:val="1"/>
          <w:numId w:val="14"/>
        </w:numPr>
        <w:ind w:left="950" w:hanging="950" w:hangingChars="432"/>
        <w:rPr>
          <w:rFonts w:ascii="宋体" w:hAnsi="宋体" w:cs="宋体"/>
          <w:sz w:val="22"/>
          <w:szCs w:val="22"/>
        </w:rPr>
      </w:pPr>
      <w:r>
        <w:rPr>
          <w:rFonts w:hint="eastAsia" w:ascii="宋体" w:hAnsi="宋体" w:cs="宋体"/>
          <w:sz w:val="22"/>
          <w:szCs w:val="22"/>
        </w:rPr>
        <w:t>投标方在提交投标文件后可对其投标文件进行修改并重新提交投标文件或撤销投标。</w:t>
      </w:r>
    </w:p>
    <w:p w14:paraId="25A5B2BD">
      <w:pPr>
        <w:numPr>
          <w:ilvl w:val="1"/>
          <w:numId w:val="14"/>
        </w:numPr>
        <w:ind w:left="950" w:hanging="950" w:hangingChars="432"/>
        <w:rPr>
          <w:rFonts w:ascii="宋体" w:hAnsi="宋体" w:cs="宋体"/>
          <w:sz w:val="22"/>
          <w:szCs w:val="22"/>
        </w:rPr>
      </w:pPr>
      <w:r>
        <w:rPr>
          <w:rFonts w:hint="eastAsia" w:ascii="宋体" w:hAnsi="宋体" w:cs="宋体"/>
          <w:sz w:val="22"/>
          <w:szCs w:val="22"/>
        </w:rPr>
        <w:t>投标截止时间以后不得修改投标文件。</w:t>
      </w:r>
    </w:p>
    <w:p w14:paraId="4086D661">
      <w:pPr>
        <w:numPr>
          <w:ilvl w:val="1"/>
          <w:numId w:val="14"/>
        </w:numPr>
        <w:ind w:left="950" w:hanging="950" w:hangingChars="432"/>
        <w:rPr>
          <w:rFonts w:ascii="宋体" w:hAnsi="宋体" w:cs="宋体"/>
          <w:sz w:val="22"/>
          <w:szCs w:val="22"/>
        </w:rPr>
      </w:pPr>
      <w:r>
        <w:rPr>
          <w:rFonts w:hint="eastAsia" w:ascii="宋体" w:hAnsi="宋体" w:cs="宋体"/>
          <w:sz w:val="22"/>
          <w:szCs w:val="22"/>
        </w:rPr>
        <w:t>从投标截止期至投标人在投标书中确定的投标有效期之间的这段时间内，投标人不得撤回其投标，否则其投标保证金将按照本通用条款的规定被没收。</w:t>
      </w:r>
    </w:p>
    <w:bookmarkEnd w:id="159"/>
    <w:bookmarkEnd w:id="160"/>
    <w:bookmarkEnd w:id="161"/>
    <w:bookmarkEnd w:id="162"/>
    <w:bookmarkEnd w:id="163"/>
    <w:bookmarkEnd w:id="164"/>
    <w:bookmarkEnd w:id="165"/>
    <w:p w14:paraId="7A2C5A77">
      <w:pPr>
        <w:numPr>
          <w:ilvl w:val="1"/>
          <w:numId w:val="14"/>
        </w:numPr>
        <w:ind w:left="950" w:hanging="950" w:hangingChars="432"/>
        <w:rPr>
          <w:rFonts w:ascii="宋体" w:hAnsi="宋体" w:cs="宋体"/>
          <w:sz w:val="22"/>
          <w:szCs w:val="22"/>
        </w:rPr>
      </w:pPr>
      <w:r>
        <w:rPr>
          <w:rFonts w:hint="eastAsia" w:ascii="宋体" w:hAnsi="宋体" w:cs="宋体"/>
          <w:sz w:val="22"/>
          <w:szCs w:val="22"/>
        </w:rPr>
        <w:t>政府采购代理机构不退还投标文件，另有规定的除外。</w:t>
      </w:r>
      <w:bookmarkStart w:id="166" w:name="_Toc73521662"/>
      <w:bookmarkStart w:id="167" w:name="_Toc73517666"/>
      <w:bookmarkStart w:id="168" w:name="_Toc73521574"/>
      <w:bookmarkStart w:id="169" w:name="_Toc73518144"/>
      <w:bookmarkStart w:id="170" w:name="_Toc101074881"/>
      <w:bookmarkStart w:id="171" w:name="_Toc100052391"/>
    </w:p>
    <w:p w14:paraId="2E4E029D"/>
    <w:p w14:paraId="6055BCFD">
      <w:r>
        <w:br w:type="page"/>
      </w:r>
    </w:p>
    <w:p w14:paraId="3780C760"/>
    <w:p w14:paraId="7414305B"/>
    <w:p w14:paraId="5AE66AAC"/>
    <w:p w14:paraId="0672C8C8"/>
    <w:p w14:paraId="01D0AE2C"/>
    <w:p w14:paraId="52BA6081"/>
    <w:p w14:paraId="5902F7D0"/>
    <w:p w14:paraId="459DBFEB"/>
    <w:p w14:paraId="505F7FB1"/>
    <w:p w14:paraId="293D3AAE"/>
    <w:p w14:paraId="57EABC21"/>
    <w:p w14:paraId="069D0514"/>
    <w:p w14:paraId="1218EBC3"/>
    <w:p w14:paraId="3777B7CA"/>
    <w:p w14:paraId="44514061">
      <w:pPr>
        <w:pStyle w:val="3"/>
        <w:rPr>
          <w:szCs w:val="28"/>
        </w:rPr>
      </w:pPr>
      <w:r>
        <w:rPr>
          <w:b w:val="0"/>
          <w:bCs/>
          <w:kern w:val="28"/>
          <w:sz w:val="44"/>
          <w:szCs w:val="44"/>
        </w:rPr>
        <w:t>第五章  开标</w:t>
      </w:r>
      <w:r>
        <w:rPr>
          <w:b w:val="0"/>
          <w:bCs/>
          <w:kern w:val="28"/>
          <w:sz w:val="44"/>
          <w:szCs w:val="44"/>
        </w:rPr>
        <w:br w:type="page"/>
      </w:r>
      <w:bookmarkEnd w:id="166"/>
      <w:bookmarkEnd w:id="167"/>
      <w:bookmarkEnd w:id="168"/>
      <w:bookmarkEnd w:id="169"/>
      <w:bookmarkEnd w:id="170"/>
      <w:bookmarkEnd w:id="171"/>
    </w:p>
    <w:p w14:paraId="60E44345"/>
    <w:p w14:paraId="08B1479D">
      <w:pPr>
        <w:numPr>
          <w:ilvl w:val="0"/>
          <w:numId w:val="13"/>
        </w:numPr>
        <w:ind w:left="950" w:hanging="950" w:hangingChars="432"/>
        <w:rPr>
          <w:rFonts w:ascii="宋体" w:hAnsi="宋体" w:cs="宋体"/>
          <w:sz w:val="22"/>
          <w:szCs w:val="22"/>
        </w:rPr>
      </w:pPr>
      <w:bookmarkStart w:id="172" w:name="_Toc73521575"/>
      <w:bookmarkStart w:id="173" w:name="_Toc73517667"/>
      <w:bookmarkStart w:id="174" w:name="_Toc100052392"/>
      <w:bookmarkStart w:id="175" w:name="_Toc73518145"/>
      <w:bookmarkStart w:id="176" w:name="_Toc60631650"/>
      <w:bookmarkStart w:id="177" w:name="_Toc60560655"/>
      <w:bookmarkStart w:id="178" w:name="_Toc73521663"/>
      <w:r>
        <w:rPr>
          <w:rFonts w:hint="eastAsia" w:ascii="宋体" w:hAnsi="宋体" w:cs="宋体"/>
          <w:sz w:val="22"/>
          <w:szCs w:val="22"/>
        </w:rPr>
        <w:t>开标</w:t>
      </w:r>
      <w:bookmarkEnd w:id="172"/>
      <w:bookmarkEnd w:id="173"/>
      <w:bookmarkEnd w:id="174"/>
      <w:bookmarkEnd w:id="175"/>
      <w:bookmarkEnd w:id="176"/>
      <w:bookmarkEnd w:id="177"/>
      <w:bookmarkEnd w:id="178"/>
    </w:p>
    <w:p w14:paraId="1E15D351">
      <w:pPr>
        <w:numPr>
          <w:ilvl w:val="1"/>
          <w:numId w:val="14"/>
        </w:numPr>
        <w:ind w:left="950" w:hanging="950" w:hangingChars="432"/>
        <w:rPr>
          <w:rFonts w:ascii="宋体" w:hAnsi="宋体" w:cs="宋体"/>
          <w:sz w:val="22"/>
          <w:szCs w:val="22"/>
        </w:rPr>
      </w:pPr>
      <w:bookmarkStart w:id="179" w:name="bt评标"/>
      <w:bookmarkEnd w:id="179"/>
      <w:bookmarkStart w:id="180" w:name="_Toc73521664"/>
      <w:bookmarkStart w:id="181" w:name="_Toc73518146"/>
      <w:bookmarkStart w:id="182" w:name="_Toc100052393"/>
      <w:bookmarkStart w:id="183" w:name="_Toc73517668"/>
      <w:bookmarkStart w:id="184" w:name="_Toc73521576"/>
      <w:bookmarkStart w:id="185" w:name="_Toc101074882"/>
      <w:r>
        <w:rPr>
          <w:rFonts w:hint="eastAsia" w:ascii="宋体" w:hAnsi="宋体" w:cs="宋体"/>
          <w:sz w:val="22"/>
          <w:szCs w:val="22"/>
        </w:rPr>
        <w:t>政府采购代理机构按采购公告规定的日期、时间和地点组织公开开标。投标人应派代表参加，参加开标的投标人代表签名报到以证明其出席。若因疫情防控，不能到现场的，可以通过视频会议进行在线开标。</w:t>
      </w:r>
    </w:p>
    <w:p w14:paraId="0AF074EF">
      <w:pPr>
        <w:numPr>
          <w:ilvl w:val="1"/>
          <w:numId w:val="14"/>
        </w:numPr>
        <w:ind w:left="950" w:hanging="950" w:hangingChars="432"/>
        <w:rPr>
          <w:rFonts w:ascii="宋体" w:hAnsi="宋体" w:cs="宋体"/>
          <w:sz w:val="22"/>
          <w:szCs w:val="22"/>
        </w:rPr>
      </w:pPr>
      <w:r>
        <w:rPr>
          <w:rFonts w:hint="eastAsia" w:ascii="宋体" w:hAnsi="宋体" w:cs="宋体"/>
          <w:sz w:val="22"/>
          <w:szCs w:val="22"/>
        </w:rPr>
        <w:t>开标时，采购代理机构当众宣读投标人名称、修改和撤回的通知、开标一览表的内容。</w:t>
      </w:r>
    </w:p>
    <w:p w14:paraId="7B215BE2">
      <w:pPr>
        <w:numPr>
          <w:ilvl w:val="1"/>
          <w:numId w:val="14"/>
        </w:numPr>
        <w:ind w:left="950" w:hanging="950" w:hangingChars="432"/>
        <w:rPr>
          <w:rFonts w:ascii="宋体" w:hAnsi="宋体" w:cs="宋体"/>
          <w:sz w:val="22"/>
          <w:szCs w:val="22"/>
        </w:rPr>
      </w:pPr>
      <w:r>
        <w:rPr>
          <w:rFonts w:hint="eastAsia" w:ascii="宋体" w:hAnsi="宋体" w:cs="宋体"/>
          <w:sz w:val="22"/>
          <w:szCs w:val="22"/>
        </w:rPr>
        <w:t>除了按照规定原封退回迟到的投标之外，开标时不得拒绝任何已报名购买采购文件的投标人的投标。</w:t>
      </w:r>
    </w:p>
    <w:p w14:paraId="0BC581A0">
      <w:pPr>
        <w:numPr>
          <w:ilvl w:val="1"/>
          <w:numId w:val="14"/>
        </w:numPr>
        <w:ind w:left="950" w:hanging="950" w:hangingChars="432"/>
        <w:rPr>
          <w:rFonts w:ascii="宋体" w:hAnsi="宋体" w:cs="宋体"/>
          <w:sz w:val="22"/>
          <w:szCs w:val="22"/>
        </w:rPr>
      </w:pPr>
      <w:r>
        <w:rPr>
          <w:rFonts w:hint="eastAsia" w:ascii="宋体" w:hAnsi="宋体" w:cs="宋体"/>
          <w:sz w:val="22"/>
          <w:szCs w:val="22"/>
        </w:rPr>
        <w:t>开标时没有启封和读出的投标文件，在评标时将不予考虑。没有启封和读出的投标文件将原封退回给投标人。</w:t>
      </w:r>
    </w:p>
    <w:p w14:paraId="3BF2CB71">
      <w:pPr>
        <w:numPr>
          <w:ilvl w:val="1"/>
          <w:numId w:val="14"/>
        </w:numPr>
        <w:ind w:left="950" w:hanging="950" w:hangingChars="432"/>
        <w:rPr>
          <w:rFonts w:ascii="宋体" w:hAnsi="宋体" w:cs="宋体"/>
          <w:sz w:val="22"/>
          <w:szCs w:val="22"/>
        </w:rPr>
      </w:pPr>
      <w:r>
        <w:rPr>
          <w:rFonts w:hint="eastAsia" w:ascii="宋体" w:hAnsi="宋体" w:cs="宋体"/>
          <w:sz w:val="22"/>
          <w:szCs w:val="22"/>
        </w:rPr>
        <w:t>投标人对开标有异议的，应当在开标现场提出。采购代理机构将做开标记录，并要求出席有关人员签字确认。</w:t>
      </w:r>
    </w:p>
    <w:p w14:paraId="255FD176">
      <w:pPr>
        <w:numPr>
          <w:ilvl w:val="1"/>
          <w:numId w:val="14"/>
        </w:numPr>
        <w:rPr>
          <w:rFonts w:ascii="宋体" w:hAnsi="宋体" w:cs="宋体"/>
          <w:sz w:val="22"/>
          <w:szCs w:val="22"/>
        </w:rPr>
      </w:pPr>
      <w:r>
        <w:rPr>
          <w:rFonts w:hint="eastAsia" w:ascii="宋体" w:hAnsi="宋体" w:cs="宋体"/>
          <w:sz w:val="22"/>
          <w:szCs w:val="22"/>
        </w:rPr>
        <w:t>公开招标采购项目开标结束后，采购人或者采购代理机构应当依法对投标人的资格进行审查。资格性检查：依据法律法规和采购文件的规定，对投标文件中的资格证明、投标保证金等进行审查，以确定投标供应商是否具备投标资格。</w:t>
      </w:r>
    </w:p>
    <w:p w14:paraId="6EB179F5">
      <w:pPr>
        <w:numPr>
          <w:ilvl w:val="1"/>
          <w:numId w:val="14"/>
        </w:numPr>
        <w:rPr>
          <w:rFonts w:ascii="宋体" w:hAnsi="宋体" w:cs="宋体"/>
          <w:sz w:val="22"/>
          <w:szCs w:val="22"/>
        </w:rPr>
      </w:pPr>
      <w:r>
        <w:rPr>
          <w:rFonts w:hint="eastAsia" w:ascii="宋体" w:hAnsi="宋体" w:cs="宋体"/>
          <w:sz w:val="22"/>
          <w:szCs w:val="22"/>
        </w:rPr>
        <w:t>合格投标人不足3家的，不得评标。</w:t>
      </w:r>
    </w:p>
    <w:p w14:paraId="6751BB4D">
      <w:r>
        <w:br w:type="page"/>
      </w:r>
    </w:p>
    <w:p w14:paraId="520FD487"/>
    <w:p w14:paraId="12F425A9"/>
    <w:p w14:paraId="5BD72DB4"/>
    <w:p w14:paraId="26E9388B"/>
    <w:p w14:paraId="31387B26"/>
    <w:p w14:paraId="56394F60"/>
    <w:p w14:paraId="1A074E90"/>
    <w:p w14:paraId="461D5D63"/>
    <w:p w14:paraId="10C1956C"/>
    <w:p w14:paraId="474E7351"/>
    <w:p w14:paraId="0A7DD8EC"/>
    <w:p w14:paraId="223C3BFB"/>
    <w:p w14:paraId="3293367E"/>
    <w:p w14:paraId="15032B3C"/>
    <w:p w14:paraId="0355E77B"/>
    <w:p w14:paraId="7D821C48">
      <w:pPr>
        <w:pStyle w:val="3"/>
        <w:rPr>
          <w:szCs w:val="28"/>
        </w:rPr>
      </w:pPr>
      <w:r>
        <w:rPr>
          <w:b w:val="0"/>
          <w:bCs/>
          <w:kern w:val="28"/>
          <w:sz w:val="44"/>
          <w:szCs w:val="44"/>
        </w:rPr>
        <w:t>第六章  评标要求</w:t>
      </w:r>
      <w:r>
        <w:rPr>
          <w:b w:val="0"/>
          <w:bCs/>
          <w:kern w:val="28"/>
          <w:sz w:val="44"/>
          <w:szCs w:val="44"/>
        </w:rPr>
        <w:br w:type="page"/>
      </w:r>
      <w:bookmarkEnd w:id="180"/>
      <w:bookmarkEnd w:id="181"/>
      <w:bookmarkEnd w:id="182"/>
      <w:bookmarkEnd w:id="183"/>
      <w:bookmarkEnd w:id="184"/>
      <w:bookmarkEnd w:id="185"/>
    </w:p>
    <w:p w14:paraId="29E9DB18">
      <w:pPr>
        <w:rPr>
          <w:rFonts w:ascii="宋体" w:hAnsi="宋体" w:cs="宋体"/>
          <w:sz w:val="22"/>
          <w:szCs w:val="22"/>
        </w:rPr>
      </w:pPr>
    </w:p>
    <w:p w14:paraId="2E708808">
      <w:pPr>
        <w:numPr>
          <w:ilvl w:val="0"/>
          <w:numId w:val="13"/>
        </w:numPr>
        <w:ind w:left="950" w:hanging="950" w:hangingChars="432"/>
        <w:rPr>
          <w:rFonts w:ascii="宋体" w:hAnsi="宋体" w:cs="宋体"/>
          <w:sz w:val="22"/>
          <w:szCs w:val="22"/>
        </w:rPr>
      </w:pPr>
      <w:bookmarkStart w:id="186" w:name="bt评标会议"/>
      <w:bookmarkEnd w:id="186"/>
      <w:bookmarkStart w:id="187" w:name="_Toc73521577"/>
      <w:bookmarkStart w:id="188" w:name="_Toc73517669"/>
      <w:bookmarkStart w:id="189" w:name="_Toc73518147"/>
      <w:bookmarkStart w:id="190" w:name="_Toc73521665"/>
      <w:bookmarkStart w:id="191" w:name="_Toc100052394"/>
      <w:r>
        <w:rPr>
          <w:rFonts w:hint="eastAsia" w:ascii="宋体" w:hAnsi="宋体" w:cs="宋体"/>
          <w:sz w:val="22"/>
          <w:szCs w:val="22"/>
        </w:rPr>
        <w:t>评审委员会组成</w:t>
      </w:r>
    </w:p>
    <w:p w14:paraId="5AB001F5">
      <w:pPr>
        <w:numPr>
          <w:ilvl w:val="1"/>
          <w:numId w:val="14"/>
        </w:numPr>
        <w:ind w:left="950" w:hanging="950" w:hangingChars="432"/>
        <w:rPr>
          <w:rFonts w:ascii="宋体" w:hAnsi="宋体" w:cs="宋体"/>
          <w:sz w:val="22"/>
          <w:szCs w:val="22"/>
        </w:rPr>
      </w:pPr>
      <w:r>
        <w:rPr>
          <w:rFonts w:hint="eastAsia" w:ascii="宋体" w:hAnsi="宋体" w:cs="宋体"/>
          <w:sz w:val="22"/>
          <w:szCs w:val="22"/>
        </w:rPr>
        <w:t>开标结束后召开评标会议，评审委员会由政府采购代理机构依法组建，负责评标活动。</w:t>
      </w:r>
    </w:p>
    <w:p w14:paraId="76DAA6DF">
      <w:pPr>
        <w:numPr>
          <w:ilvl w:val="2"/>
          <w:numId w:val="18"/>
        </w:numPr>
        <w:ind w:left="950" w:hanging="950" w:hangingChars="432"/>
        <w:rPr>
          <w:rFonts w:ascii="宋体" w:hAnsi="宋体" w:cs="宋体"/>
          <w:sz w:val="22"/>
          <w:szCs w:val="22"/>
        </w:rPr>
      </w:pPr>
      <w:r>
        <w:rPr>
          <w:rFonts w:hint="eastAsia" w:ascii="宋体" w:hAnsi="宋体" w:cs="宋体"/>
          <w:sz w:val="22"/>
          <w:szCs w:val="22"/>
        </w:rPr>
        <w:t>评审委员会的组成及行为规范执行《政府采购货物和服务招标投标管理办法（财政部令第87号）》，评审委员会由采购单位代表和有关技术、经济等方面的专家组成，成员人数为5人以上（含5人）单数，其中技术、经济等方面的专家不少于成员总数的三分之二。</w:t>
      </w:r>
    </w:p>
    <w:p w14:paraId="11F3AED5">
      <w:pPr>
        <w:numPr>
          <w:ilvl w:val="2"/>
          <w:numId w:val="18"/>
        </w:numPr>
        <w:ind w:left="950" w:hanging="950" w:hangingChars="432"/>
        <w:rPr>
          <w:rFonts w:ascii="宋体" w:hAnsi="宋体" w:cs="宋体"/>
          <w:sz w:val="22"/>
          <w:szCs w:val="22"/>
        </w:rPr>
      </w:pPr>
      <w:r>
        <w:rPr>
          <w:rFonts w:hint="eastAsia" w:ascii="宋体" w:hAnsi="宋体" w:cs="宋体"/>
          <w:sz w:val="22"/>
          <w:szCs w:val="22"/>
        </w:rPr>
        <w:t>为保证评委人选的专业性，以及评标中的公平公正性，评审委员会成员从专家库中随机抽取。</w:t>
      </w:r>
    </w:p>
    <w:p w14:paraId="393E873B">
      <w:pPr>
        <w:numPr>
          <w:ilvl w:val="2"/>
          <w:numId w:val="18"/>
        </w:numPr>
        <w:ind w:left="950" w:hanging="950" w:hangingChars="432"/>
        <w:rPr>
          <w:rFonts w:ascii="宋体" w:hAnsi="宋体" w:cs="宋体"/>
          <w:sz w:val="22"/>
          <w:szCs w:val="22"/>
        </w:rPr>
      </w:pPr>
      <w:r>
        <w:rPr>
          <w:rFonts w:hint="eastAsia" w:ascii="宋体" w:hAnsi="宋体" w:cs="宋体"/>
          <w:sz w:val="22"/>
          <w:szCs w:val="22"/>
        </w:rPr>
        <w:t>采购单位代表须持本单位签发的《评标授权书》参加评标。</w:t>
      </w:r>
    </w:p>
    <w:p w14:paraId="3DE60335">
      <w:pPr>
        <w:numPr>
          <w:ilvl w:val="2"/>
          <w:numId w:val="18"/>
        </w:numPr>
        <w:ind w:left="950" w:hanging="950" w:hangingChars="432"/>
        <w:rPr>
          <w:rFonts w:ascii="宋体" w:hAnsi="宋体" w:cs="宋体"/>
          <w:sz w:val="22"/>
          <w:szCs w:val="22"/>
        </w:rPr>
      </w:pPr>
      <w:r>
        <w:rPr>
          <w:rFonts w:hint="eastAsia" w:ascii="宋体" w:hAnsi="宋体" w:cs="宋体"/>
          <w:sz w:val="22"/>
          <w:szCs w:val="22"/>
        </w:rPr>
        <w:t>采购单位无代表参与评标，应在开标前一天提交《采购单位不派评委参与项目评标承诺书》给政府采购代理机构。</w:t>
      </w:r>
    </w:p>
    <w:p w14:paraId="3380289A">
      <w:pPr>
        <w:numPr>
          <w:ilvl w:val="1"/>
          <w:numId w:val="14"/>
        </w:numPr>
        <w:ind w:left="950" w:hanging="950" w:hangingChars="432"/>
        <w:rPr>
          <w:rFonts w:ascii="宋体" w:hAnsi="宋体" w:cs="宋体"/>
          <w:sz w:val="22"/>
          <w:szCs w:val="22"/>
        </w:rPr>
      </w:pPr>
      <w:r>
        <w:rPr>
          <w:rFonts w:hint="eastAsia" w:ascii="宋体" w:hAnsi="宋体" w:cs="宋体"/>
          <w:sz w:val="22"/>
          <w:szCs w:val="22"/>
        </w:rPr>
        <w:t>评标定标应当遵循公平、公正、科学、择优的原则。</w:t>
      </w:r>
    </w:p>
    <w:p w14:paraId="1AD0AFA1">
      <w:pPr>
        <w:numPr>
          <w:ilvl w:val="1"/>
          <w:numId w:val="14"/>
        </w:numPr>
        <w:ind w:left="950" w:hanging="950" w:hangingChars="432"/>
        <w:rPr>
          <w:rFonts w:ascii="宋体" w:hAnsi="宋体" w:cs="宋体"/>
          <w:sz w:val="22"/>
          <w:szCs w:val="22"/>
        </w:rPr>
      </w:pPr>
      <w:r>
        <w:rPr>
          <w:rFonts w:hint="eastAsia" w:ascii="宋体" w:hAnsi="宋体" w:cs="宋体"/>
          <w:sz w:val="22"/>
          <w:szCs w:val="22"/>
        </w:rPr>
        <w:t>评标活动依法进行，任何单位和个人不得非法干预评标过程和结果。</w:t>
      </w:r>
    </w:p>
    <w:p w14:paraId="093AC5A3">
      <w:pPr>
        <w:numPr>
          <w:ilvl w:val="1"/>
          <w:numId w:val="14"/>
        </w:numPr>
        <w:ind w:left="950" w:hanging="950" w:hangingChars="432"/>
        <w:rPr>
          <w:rFonts w:ascii="宋体" w:hAnsi="宋体" w:cs="宋体"/>
          <w:sz w:val="22"/>
          <w:szCs w:val="22"/>
        </w:rPr>
      </w:pPr>
      <w:r>
        <w:rPr>
          <w:rFonts w:hint="eastAsia" w:ascii="宋体" w:hAnsi="宋体" w:cs="宋体"/>
          <w:sz w:val="22"/>
          <w:szCs w:val="22"/>
        </w:rPr>
        <w:t>评标过程中不允许违背评标程序或采用采购文件未载明的评标方法或评标因素进行评标。</w:t>
      </w:r>
    </w:p>
    <w:p w14:paraId="203B49F9">
      <w:pPr>
        <w:numPr>
          <w:ilvl w:val="1"/>
          <w:numId w:val="14"/>
        </w:numPr>
        <w:ind w:left="950" w:hanging="950" w:hangingChars="432"/>
        <w:rPr>
          <w:rFonts w:ascii="宋体" w:hAnsi="宋体" w:cs="宋体"/>
          <w:sz w:val="22"/>
          <w:szCs w:val="22"/>
        </w:rPr>
      </w:pPr>
      <w:r>
        <w:rPr>
          <w:rFonts w:hint="eastAsia" w:ascii="宋体" w:hAnsi="宋体" w:cs="宋体"/>
          <w:sz w:val="22"/>
          <w:szCs w:val="22"/>
        </w:rPr>
        <w:t>开标后，直到授予中标人合同为止，凡属于对投标文件的审查、澄清、评价和比较的有关资料以及中标候选人的推荐情况、与评标有关的其他任何情况均严格保密。</w:t>
      </w:r>
    </w:p>
    <w:p w14:paraId="3983C44E">
      <w:pPr>
        <w:ind w:left="907"/>
        <w:rPr>
          <w:rFonts w:ascii="宋体" w:hAnsi="宋体" w:cs="宋体"/>
          <w:sz w:val="22"/>
          <w:szCs w:val="22"/>
        </w:rPr>
      </w:pPr>
    </w:p>
    <w:p w14:paraId="672A8DE4">
      <w:pPr>
        <w:numPr>
          <w:ilvl w:val="0"/>
          <w:numId w:val="13"/>
        </w:numPr>
        <w:ind w:left="950" w:hanging="950" w:hangingChars="432"/>
        <w:rPr>
          <w:rFonts w:ascii="宋体" w:hAnsi="宋体" w:cs="宋体"/>
          <w:sz w:val="22"/>
          <w:szCs w:val="22"/>
        </w:rPr>
      </w:pPr>
      <w:r>
        <w:rPr>
          <w:rFonts w:hint="eastAsia" w:ascii="宋体" w:hAnsi="宋体" w:cs="宋体"/>
          <w:sz w:val="22"/>
          <w:szCs w:val="22"/>
        </w:rPr>
        <w:t>向评审委员会提供的资料</w:t>
      </w:r>
    </w:p>
    <w:p w14:paraId="7B7BBD5A">
      <w:pPr>
        <w:numPr>
          <w:ilvl w:val="1"/>
          <w:numId w:val="14"/>
        </w:numPr>
        <w:ind w:left="950" w:hanging="950" w:hangingChars="432"/>
        <w:rPr>
          <w:rFonts w:ascii="宋体" w:hAnsi="宋体" w:cs="宋体"/>
          <w:sz w:val="22"/>
          <w:szCs w:val="22"/>
        </w:rPr>
      </w:pPr>
      <w:r>
        <w:rPr>
          <w:rFonts w:hint="eastAsia" w:ascii="宋体" w:hAnsi="宋体" w:cs="宋体"/>
          <w:sz w:val="22"/>
          <w:szCs w:val="22"/>
        </w:rPr>
        <w:t>公开发布的采购文件，包括图纸、服务清单、答疑文件等；</w:t>
      </w:r>
    </w:p>
    <w:p w14:paraId="7C1C3FCD">
      <w:pPr>
        <w:numPr>
          <w:ilvl w:val="1"/>
          <w:numId w:val="14"/>
        </w:numPr>
        <w:ind w:left="950" w:hanging="950" w:hangingChars="432"/>
        <w:rPr>
          <w:rFonts w:ascii="宋体" w:hAnsi="宋体" w:cs="宋体"/>
          <w:sz w:val="22"/>
          <w:szCs w:val="22"/>
        </w:rPr>
      </w:pPr>
      <w:r>
        <w:rPr>
          <w:rFonts w:hint="eastAsia" w:ascii="宋体" w:hAnsi="宋体" w:cs="宋体"/>
          <w:sz w:val="22"/>
          <w:szCs w:val="22"/>
        </w:rPr>
        <w:t>其他评标必须的资料。</w:t>
      </w:r>
    </w:p>
    <w:p w14:paraId="138C0541">
      <w:pPr>
        <w:numPr>
          <w:ilvl w:val="1"/>
          <w:numId w:val="14"/>
        </w:numPr>
        <w:ind w:left="950" w:hanging="950" w:hangingChars="432"/>
        <w:rPr>
          <w:rFonts w:ascii="宋体" w:hAnsi="宋体" w:cs="宋体"/>
          <w:sz w:val="22"/>
          <w:szCs w:val="22"/>
        </w:rPr>
      </w:pPr>
      <w:r>
        <w:rPr>
          <w:rFonts w:hint="eastAsia" w:ascii="宋体" w:hAnsi="宋体" w:cs="宋体"/>
          <w:sz w:val="22"/>
          <w:szCs w:val="22"/>
        </w:rPr>
        <w:t>评审委员会应当认真研究采购文件，至少应了解熟悉以下内容：</w:t>
      </w:r>
    </w:p>
    <w:p w14:paraId="348F2DE5">
      <w:pPr>
        <w:numPr>
          <w:ilvl w:val="2"/>
          <w:numId w:val="18"/>
        </w:numPr>
        <w:ind w:left="950" w:hanging="950" w:hangingChars="432"/>
        <w:rPr>
          <w:rFonts w:ascii="宋体" w:hAnsi="宋体" w:cs="宋体"/>
          <w:sz w:val="22"/>
          <w:szCs w:val="22"/>
        </w:rPr>
      </w:pPr>
      <w:r>
        <w:rPr>
          <w:rFonts w:hint="eastAsia" w:ascii="宋体" w:hAnsi="宋体" w:cs="宋体"/>
          <w:sz w:val="22"/>
          <w:szCs w:val="22"/>
        </w:rPr>
        <w:t>招标的目的；</w:t>
      </w:r>
    </w:p>
    <w:p w14:paraId="5FF6F088">
      <w:pPr>
        <w:numPr>
          <w:ilvl w:val="2"/>
          <w:numId w:val="18"/>
        </w:numPr>
        <w:ind w:left="950" w:hanging="950" w:hangingChars="432"/>
        <w:rPr>
          <w:rFonts w:ascii="宋体" w:hAnsi="宋体" w:cs="宋体"/>
          <w:sz w:val="22"/>
          <w:szCs w:val="22"/>
        </w:rPr>
      </w:pPr>
      <w:r>
        <w:rPr>
          <w:rFonts w:hint="eastAsia" w:ascii="宋体" w:hAnsi="宋体" w:cs="宋体"/>
          <w:sz w:val="22"/>
          <w:szCs w:val="22"/>
        </w:rPr>
        <w:t>招标项目需求的范围和性质；</w:t>
      </w:r>
    </w:p>
    <w:p w14:paraId="3AC034D2">
      <w:pPr>
        <w:numPr>
          <w:ilvl w:val="2"/>
          <w:numId w:val="18"/>
        </w:numPr>
        <w:ind w:left="950" w:hanging="950" w:hangingChars="432"/>
        <w:rPr>
          <w:rFonts w:ascii="宋体" w:hAnsi="宋体" w:cs="宋体"/>
          <w:sz w:val="22"/>
          <w:szCs w:val="22"/>
        </w:rPr>
      </w:pPr>
      <w:r>
        <w:rPr>
          <w:rFonts w:hint="eastAsia" w:ascii="宋体" w:hAnsi="宋体" w:cs="宋体"/>
          <w:sz w:val="22"/>
          <w:szCs w:val="22"/>
        </w:rPr>
        <w:t>采购文件规定的投标人的资格、财政预算限额、商务条款；</w:t>
      </w:r>
    </w:p>
    <w:p w14:paraId="3C3933D8">
      <w:pPr>
        <w:numPr>
          <w:ilvl w:val="2"/>
          <w:numId w:val="18"/>
        </w:numPr>
        <w:ind w:left="950" w:hanging="950" w:hangingChars="432"/>
        <w:rPr>
          <w:rFonts w:ascii="宋体" w:hAnsi="宋体" w:cs="宋体"/>
          <w:sz w:val="22"/>
          <w:szCs w:val="22"/>
        </w:rPr>
      </w:pPr>
      <w:r>
        <w:rPr>
          <w:rFonts w:hint="eastAsia" w:ascii="宋体" w:hAnsi="宋体" w:cs="宋体"/>
          <w:sz w:val="22"/>
          <w:szCs w:val="22"/>
        </w:rPr>
        <w:t>采购文件规定的评标程序、评标方法和评标因素；</w:t>
      </w:r>
    </w:p>
    <w:p w14:paraId="66CDB321">
      <w:pPr>
        <w:numPr>
          <w:ilvl w:val="2"/>
          <w:numId w:val="18"/>
        </w:numPr>
        <w:ind w:left="950" w:hanging="950" w:hangingChars="432"/>
        <w:rPr>
          <w:rFonts w:ascii="宋体" w:hAnsi="宋体" w:cs="宋体"/>
          <w:sz w:val="22"/>
          <w:szCs w:val="22"/>
        </w:rPr>
      </w:pPr>
      <w:r>
        <w:rPr>
          <w:rFonts w:hint="eastAsia" w:ascii="宋体" w:hAnsi="宋体" w:cs="宋体"/>
          <w:sz w:val="22"/>
          <w:szCs w:val="22"/>
        </w:rPr>
        <w:t>采购文件所列示的废标条款；</w:t>
      </w:r>
    </w:p>
    <w:p w14:paraId="0A41FBAE">
      <w:pPr>
        <w:ind w:left="907"/>
        <w:rPr>
          <w:rFonts w:ascii="宋体" w:hAnsi="宋体" w:cs="宋体"/>
          <w:sz w:val="22"/>
          <w:szCs w:val="22"/>
        </w:rPr>
      </w:pPr>
    </w:p>
    <w:p w14:paraId="28D4D8F3">
      <w:pPr>
        <w:numPr>
          <w:ilvl w:val="0"/>
          <w:numId w:val="13"/>
        </w:numPr>
        <w:ind w:left="950" w:hanging="950" w:hangingChars="432"/>
        <w:rPr>
          <w:rFonts w:ascii="宋体" w:hAnsi="宋体" w:cs="宋体"/>
          <w:sz w:val="22"/>
          <w:szCs w:val="22"/>
        </w:rPr>
      </w:pPr>
      <w:r>
        <w:rPr>
          <w:rFonts w:hint="eastAsia" w:ascii="宋体" w:hAnsi="宋体" w:cs="宋体"/>
          <w:sz w:val="22"/>
          <w:szCs w:val="22"/>
        </w:rPr>
        <w:t>独立评标</w:t>
      </w:r>
    </w:p>
    <w:p w14:paraId="47CCA893">
      <w:pPr>
        <w:numPr>
          <w:ilvl w:val="1"/>
          <w:numId w:val="14"/>
        </w:numPr>
        <w:ind w:left="950" w:hanging="950" w:hangingChars="432"/>
        <w:rPr>
          <w:rFonts w:ascii="宋体" w:hAnsi="宋体" w:cs="宋体"/>
          <w:sz w:val="22"/>
          <w:szCs w:val="22"/>
        </w:rPr>
      </w:pPr>
      <w:r>
        <w:rPr>
          <w:rFonts w:hint="eastAsia" w:ascii="宋体" w:hAnsi="宋体" w:cs="宋体"/>
          <w:sz w:val="22"/>
          <w:szCs w:val="22"/>
        </w:rPr>
        <w:t>评审委员会成员的评标活动应当独立进行，并应遵循投标文件初审、澄清有关问题、比较与评价、确定中标供应商、编写评标报告的工作程序。</w:t>
      </w:r>
      <w:bookmarkEnd w:id="187"/>
      <w:bookmarkEnd w:id="188"/>
      <w:bookmarkEnd w:id="189"/>
      <w:bookmarkEnd w:id="190"/>
      <w:bookmarkEnd w:id="191"/>
      <w:bookmarkStart w:id="192" w:name="bt评标过程的保密"/>
      <w:bookmarkEnd w:id="192"/>
      <w:bookmarkStart w:id="193" w:name="bt错误的修正"/>
      <w:bookmarkEnd w:id="193"/>
    </w:p>
    <w:p w14:paraId="1F99110B">
      <w:bookmarkStart w:id="194" w:name="_Toc101074883"/>
      <w:bookmarkStart w:id="195" w:name="_Toc100052397"/>
    </w:p>
    <w:p w14:paraId="65240EF5">
      <w:r>
        <w:br w:type="page"/>
      </w:r>
    </w:p>
    <w:p w14:paraId="65A5D4D1"/>
    <w:p w14:paraId="45ADCF2A"/>
    <w:p w14:paraId="266A4CEE"/>
    <w:p w14:paraId="76DBB09F"/>
    <w:p w14:paraId="3E880891"/>
    <w:p w14:paraId="6317159E"/>
    <w:p w14:paraId="08EE1269"/>
    <w:p w14:paraId="10F69134"/>
    <w:p w14:paraId="3B9BAB8A"/>
    <w:p w14:paraId="72937D02"/>
    <w:p w14:paraId="408E9AD6"/>
    <w:p w14:paraId="0BDE7667"/>
    <w:p w14:paraId="25DB5EE1"/>
    <w:p w14:paraId="5503744F"/>
    <w:p w14:paraId="12A17CF7"/>
    <w:p w14:paraId="3FF6685A">
      <w:pPr>
        <w:pStyle w:val="3"/>
        <w:rPr>
          <w:b w:val="0"/>
          <w:bCs/>
          <w:kern w:val="28"/>
          <w:sz w:val="44"/>
          <w:szCs w:val="44"/>
        </w:rPr>
      </w:pPr>
      <w:r>
        <w:rPr>
          <w:b w:val="0"/>
          <w:bCs/>
          <w:kern w:val="28"/>
          <w:sz w:val="44"/>
          <w:szCs w:val="44"/>
        </w:rPr>
        <w:t>第七章  评标程序及评标方法</w:t>
      </w:r>
    </w:p>
    <w:p w14:paraId="2A9D6F2F">
      <w:pPr>
        <w:ind w:left="-907" w:leftChars="-432"/>
        <w:jc w:val="center"/>
        <w:rPr>
          <w:szCs w:val="28"/>
        </w:rPr>
      </w:pPr>
      <w:r>
        <w:rPr>
          <w:szCs w:val="28"/>
        </w:rPr>
        <w:br w:type="page"/>
      </w:r>
      <w:bookmarkEnd w:id="194"/>
      <w:bookmarkEnd w:id="195"/>
      <w:bookmarkStart w:id="196" w:name="_Toc73518149"/>
      <w:bookmarkStart w:id="197" w:name="_Toc73521579"/>
      <w:bookmarkStart w:id="198" w:name="_Toc73517671"/>
      <w:bookmarkStart w:id="199" w:name="_Toc73521667"/>
    </w:p>
    <w:p w14:paraId="51B7EB2F"/>
    <w:p w14:paraId="1EB6596A">
      <w:pPr>
        <w:numPr>
          <w:ilvl w:val="0"/>
          <w:numId w:val="13"/>
        </w:numPr>
        <w:ind w:left="950" w:hanging="950" w:hangingChars="432"/>
        <w:rPr>
          <w:rFonts w:ascii="宋体" w:hAnsi="宋体" w:cs="宋体"/>
          <w:sz w:val="22"/>
          <w:szCs w:val="22"/>
        </w:rPr>
      </w:pPr>
      <w:bookmarkStart w:id="200" w:name="_Toc100052398"/>
      <w:r>
        <w:rPr>
          <w:rFonts w:hint="eastAsia" w:ascii="宋体" w:hAnsi="宋体" w:cs="宋体"/>
          <w:sz w:val="22"/>
          <w:szCs w:val="22"/>
        </w:rPr>
        <w:t>投标文件初审</w:t>
      </w:r>
      <w:bookmarkEnd w:id="200"/>
    </w:p>
    <w:bookmarkEnd w:id="196"/>
    <w:bookmarkEnd w:id="197"/>
    <w:bookmarkEnd w:id="198"/>
    <w:bookmarkEnd w:id="199"/>
    <w:p w14:paraId="3BD60A0B">
      <w:pPr>
        <w:numPr>
          <w:ilvl w:val="1"/>
          <w:numId w:val="14"/>
        </w:numPr>
        <w:ind w:left="950" w:hanging="950" w:hangingChars="432"/>
        <w:rPr>
          <w:rFonts w:ascii="宋体" w:hAnsi="宋体" w:cs="宋体"/>
          <w:sz w:val="22"/>
          <w:szCs w:val="22"/>
        </w:rPr>
      </w:pPr>
      <w:r>
        <w:rPr>
          <w:rFonts w:hint="eastAsia" w:ascii="宋体" w:hAnsi="宋体" w:cs="宋体"/>
          <w:sz w:val="22"/>
          <w:szCs w:val="22"/>
        </w:rPr>
        <w:t>投标文件初审即符合性检查。符合性检查：依据采购文件的规定，从投标文件的有效性、完整性和对采购文件的响应程度进行审查，以确定是否对采购文件的实质性要求作出响应。</w:t>
      </w:r>
    </w:p>
    <w:p w14:paraId="2340139B">
      <w:pPr>
        <w:numPr>
          <w:ilvl w:val="1"/>
          <w:numId w:val="14"/>
        </w:numPr>
        <w:ind w:left="950" w:hanging="950" w:hangingChars="432"/>
        <w:rPr>
          <w:rFonts w:ascii="宋体" w:hAnsi="宋体" w:cs="宋体"/>
          <w:sz w:val="22"/>
          <w:szCs w:val="22"/>
        </w:rPr>
      </w:pPr>
      <w:r>
        <w:rPr>
          <w:rFonts w:hint="eastAsia" w:ascii="宋体" w:hAnsi="宋体" w:cs="宋体"/>
          <w:sz w:val="22"/>
          <w:szCs w:val="22"/>
        </w:rPr>
        <w:t>投标文件初审内容请详见“关键信息”中的《投标文件初审表》部分。投标人若有一条审查不通过则按废标处理。评审委员会对投标单位打√为通过审查，打×为未通过审查。</w:t>
      </w:r>
    </w:p>
    <w:p w14:paraId="1F374F9A">
      <w:pPr>
        <w:numPr>
          <w:ilvl w:val="1"/>
          <w:numId w:val="14"/>
        </w:numPr>
        <w:ind w:left="950" w:hanging="950" w:hangingChars="432"/>
        <w:rPr>
          <w:rFonts w:ascii="宋体" w:hAnsi="宋体" w:cs="宋体"/>
          <w:sz w:val="22"/>
          <w:szCs w:val="22"/>
        </w:rPr>
      </w:pPr>
      <w:r>
        <w:rPr>
          <w:rFonts w:hint="eastAsia" w:ascii="宋体" w:hAnsi="宋体" w:cs="宋体"/>
          <w:sz w:val="22"/>
          <w:szCs w:val="22"/>
        </w:rPr>
        <w:t>投标文件初审中关于供应商家数的计算。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公开招标以外采购方式以及政府采购服务和工程涉及采购货物的项目，也按此方法计算供应商家数。</w:t>
      </w:r>
    </w:p>
    <w:p w14:paraId="7B42AE62">
      <w:pPr>
        <w:numPr>
          <w:ilvl w:val="1"/>
          <w:numId w:val="14"/>
        </w:numPr>
        <w:ind w:left="950" w:hanging="950" w:hangingChars="432"/>
        <w:rPr>
          <w:rFonts w:ascii="宋体" w:hAnsi="宋体" w:cs="宋体"/>
          <w:sz w:val="22"/>
          <w:szCs w:val="22"/>
        </w:rPr>
      </w:pPr>
      <w:r>
        <w:rPr>
          <w:rFonts w:hint="eastAsia" w:ascii="宋体" w:hAnsi="宋体" w:cs="宋体"/>
          <w:sz w:val="22"/>
          <w:szCs w:val="22"/>
        </w:rPr>
        <w:t>对不属于投标文件初审表所列的其他情形，除法律法规另有规定外，不得作为废标的理由。</w:t>
      </w:r>
    </w:p>
    <w:p w14:paraId="2FBBA662">
      <w:pPr>
        <w:ind w:left="907"/>
        <w:rPr>
          <w:rFonts w:ascii="宋体" w:hAnsi="宋体" w:cs="宋体"/>
          <w:sz w:val="22"/>
          <w:szCs w:val="22"/>
        </w:rPr>
      </w:pPr>
    </w:p>
    <w:p w14:paraId="2A884DA7">
      <w:pPr>
        <w:numPr>
          <w:ilvl w:val="0"/>
          <w:numId w:val="13"/>
        </w:numPr>
        <w:ind w:left="950" w:hanging="950" w:hangingChars="432"/>
        <w:rPr>
          <w:rFonts w:ascii="宋体" w:hAnsi="宋体" w:cs="宋体"/>
          <w:sz w:val="22"/>
          <w:szCs w:val="22"/>
        </w:rPr>
      </w:pPr>
      <w:bookmarkStart w:id="201" w:name="_Toc100052399"/>
      <w:r>
        <w:rPr>
          <w:rFonts w:hint="eastAsia" w:ascii="宋体" w:hAnsi="宋体" w:cs="宋体"/>
          <w:sz w:val="22"/>
          <w:szCs w:val="22"/>
        </w:rPr>
        <w:t>澄清有关问题</w:t>
      </w:r>
      <w:bookmarkEnd w:id="201"/>
    </w:p>
    <w:p w14:paraId="6566F0E6">
      <w:pPr>
        <w:numPr>
          <w:ilvl w:val="1"/>
          <w:numId w:val="14"/>
        </w:numPr>
        <w:ind w:left="950" w:hanging="950" w:hangingChars="432"/>
        <w:rPr>
          <w:rFonts w:ascii="宋体" w:hAnsi="宋体" w:cs="宋体"/>
          <w:sz w:val="22"/>
          <w:szCs w:val="22"/>
        </w:rPr>
      </w:pPr>
      <w:bookmarkStart w:id="202" w:name="bt投标文件的澄清"/>
      <w:bookmarkEnd w:id="202"/>
      <w:bookmarkStart w:id="203" w:name="bt废标"/>
      <w:bookmarkEnd w:id="203"/>
      <w:bookmarkStart w:id="204" w:name="bt投标文件的评估和比较"/>
      <w:bookmarkEnd w:id="204"/>
      <w:bookmarkStart w:id="205" w:name="_Toc73518153"/>
      <w:bookmarkStart w:id="206" w:name="_Toc73521583"/>
      <w:bookmarkStart w:id="207" w:name="_Toc73517675"/>
      <w:bookmarkStart w:id="208" w:name="_Toc73521671"/>
      <w:r>
        <w:rPr>
          <w:rFonts w:hint="eastAsia" w:ascii="宋体" w:hAnsi="宋体" w:cs="宋体"/>
          <w:sz w:val="22"/>
          <w:szCs w:val="22"/>
        </w:rPr>
        <w:t>为了有助于投标文件的审查、评价和比较，对投标文件含义不明确、同类问题表述不一致或者有明显文字和计算错误的内容，评审委员会可以用书面形式(应当由评审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审委员会在评标中发现的算术错误进行核实的修改不在此列。</w:t>
      </w:r>
    </w:p>
    <w:p w14:paraId="1753BDFA">
      <w:pPr>
        <w:ind w:left="907"/>
        <w:rPr>
          <w:rFonts w:ascii="宋体" w:hAnsi="宋体" w:cs="宋体"/>
          <w:sz w:val="22"/>
          <w:szCs w:val="22"/>
        </w:rPr>
      </w:pPr>
    </w:p>
    <w:p w14:paraId="0B0C560F">
      <w:pPr>
        <w:numPr>
          <w:ilvl w:val="0"/>
          <w:numId w:val="13"/>
        </w:numPr>
        <w:ind w:left="950" w:hanging="950" w:hangingChars="432"/>
        <w:rPr>
          <w:rFonts w:ascii="宋体" w:hAnsi="宋体" w:cs="宋体"/>
          <w:sz w:val="22"/>
          <w:szCs w:val="22"/>
        </w:rPr>
      </w:pPr>
      <w:r>
        <w:rPr>
          <w:rFonts w:hint="eastAsia" w:ascii="宋体" w:hAnsi="宋体" w:cs="宋体"/>
          <w:sz w:val="22"/>
          <w:szCs w:val="22"/>
        </w:rPr>
        <w:t>错误的修正</w:t>
      </w:r>
    </w:p>
    <w:p w14:paraId="2B8ABE75">
      <w:pPr>
        <w:numPr>
          <w:ilvl w:val="1"/>
          <w:numId w:val="14"/>
        </w:numPr>
        <w:ind w:left="954" w:hanging="954" w:hangingChars="432"/>
        <w:rPr>
          <w:rFonts w:ascii="宋体" w:hAnsi="宋体" w:cs="宋体"/>
          <w:b/>
          <w:bCs/>
          <w:sz w:val="22"/>
          <w:szCs w:val="22"/>
        </w:rPr>
      </w:pPr>
      <w:r>
        <w:rPr>
          <w:rFonts w:hint="eastAsia" w:ascii="宋体" w:hAnsi="宋体" w:cs="宋体"/>
          <w:b/>
          <w:bCs/>
          <w:sz w:val="22"/>
          <w:szCs w:val="22"/>
        </w:rPr>
        <w:t xml:space="preserve">（一）投标文件中开标一览表（报价表）内容与投标文件中相应内容不一致的，以开标一览表（报价表）为准； </w:t>
      </w:r>
    </w:p>
    <w:p w14:paraId="7A5175B7">
      <w:pPr>
        <w:numPr>
          <w:ilvl w:val="1"/>
          <w:numId w:val="14"/>
        </w:numPr>
        <w:ind w:left="954" w:hanging="954" w:hangingChars="432"/>
        <w:rPr>
          <w:rFonts w:ascii="宋体" w:hAnsi="宋体" w:cs="宋体"/>
          <w:b/>
          <w:bCs/>
          <w:sz w:val="22"/>
          <w:szCs w:val="22"/>
        </w:rPr>
      </w:pPr>
      <w:r>
        <w:rPr>
          <w:rFonts w:hint="eastAsia" w:ascii="宋体" w:hAnsi="宋体" w:cs="宋体"/>
          <w:b/>
          <w:bCs/>
          <w:sz w:val="22"/>
          <w:szCs w:val="22"/>
        </w:rPr>
        <w:t xml:space="preserve">（二）大写金额和小写金额不一致的，以大写金额为准； </w:t>
      </w:r>
    </w:p>
    <w:p w14:paraId="4FB0CA2B">
      <w:pPr>
        <w:numPr>
          <w:ilvl w:val="1"/>
          <w:numId w:val="14"/>
        </w:numPr>
        <w:ind w:left="954" w:hanging="954" w:hangingChars="432"/>
        <w:rPr>
          <w:rFonts w:ascii="宋体" w:hAnsi="宋体" w:cs="宋体"/>
          <w:b/>
          <w:bCs/>
          <w:sz w:val="22"/>
          <w:szCs w:val="22"/>
        </w:rPr>
      </w:pPr>
      <w:r>
        <w:rPr>
          <w:rFonts w:hint="eastAsia" w:ascii="宋体" w:hAnsi="宋体" w:cs="宋体"/>
          <w:b/>
          <w:bCs/>
          <w:sz w:val="22"/>
          <w:szCs w:val="22"/>
        </w:rPr>
        <w:t xml:space="preserve">（三）单价金额小数点或者百分比有明显错位的，以开标一览表的总价为准，并修改单价； </w:t>
      </w:r>
    </w:p>
    <w:p w14:paraId="52A7BC3D">
      <w:pPr>
        <w:numPr>
          <w:ilvl w:val="1"/>
          <w:numId w:val="14"/>
        </w:numPr>
        <w:ind w:left="954" w:hanging="954" w:hangingChars="432"/>
        <w:rPr>
          <w:rFonts w:ascii="宋体" w:hAnsi="宋体" w:cs="宋体"/>
          <w:b/>
          <w:bCs/>
          <w:sz w:val="22"/>
          <w:szCs w:val="22"/>
        </w:rPr>
      </w:pPr>
      <w:r>
        <w:rPr>
          <w:rFonts w:hint="eastAsia" w:ascii="宋体" w:hAnsi="宋体" w:cs="宋体"/>
          <w:b/>
          <w:bCs/>
          <w:sz w:val="22"/>
          <w:szCs w:val="22"/>
        </w:rPr>
        <w:t xml:space="preserve">（四）总价金额与按单价汇总金额不一致的，以单价金额计算结果为准。 </w:t>
      </w:r>
    </w:p>
    <w:p w14:paraId="29D13C73">
      <w:pPr>
        <w:numPr>
          <w:ilvl w:val="1"/>
          <w:numId w:val="14"/>
        </w:numPr>
        <w:ind w:left="954" w:hanging="954" w:hangingChars="432"/>
        <w:rPr>
          <w:rFonts w:ascii="宋体" w:hAnsi="宋体" w:cs="宋体"/>
          <w:sz w:val="22"/>
          <w:szCs w:val="22"/>
        </w:rPr>
      </w:pPr>
      <w:r>
        <w:rPr>
          <w:rFonts w:hint="eastAsia" w:ascii="宋体" w:hAnsi="宋体" w:cs="宋体"/>
          <w:b/>
          <w:bCs/>
          <w:sz w:val="22"/>
          <w:szCs w:val="22"/>
        </w:rPr>
        <w:t>同时出现两种以上不一致的，按照前款规定的顺序修正。修正后的报价由评标委员会以澄清方式经投标人确认后产生约束力，投标人不确认的，其投标无效。</w:t>
      </w:r>
    </w:p>
    <w:p w14:paraId="4A01A338">
      <w:pPr>
        <w:numPr>
          <w:ilvl w:val="0"/>
          <w:numId w:val="13"/>
        </w:numPr>
        <w:ind w:left="950" w:hanging="950" w:hangingChars="432"/>
        <w:rPr>
          <w:rFonts w:ascii="宋体" w:hAnsi="宋体" w:cs="宋体"/>
          <w:sz w:val="22"/>
          <w:szCs w:val="22"/>
        </w:rPr>
      </w:pPr>
      <w:bookmarkStart w:id="209" w:name="_Toc100052401"/>
      <w:r>
        <w:rPr>
          <w:rFonts w:hint="eastAsia" w:ascii="宋体" w:hAnsi="宋体" w:cs="宋体"/>
          <w:sz w:val="22"/>
          <w:szCs w:val="22"/>
        </w:rPr>
        <w:t>投标文件的</w:t>
      </w:r>
      <w:bookmarkEnd w:id="205"/>
      <w:bookmarkEnd w:id="206"/>
      <w:bookmarkEnd w:id="207"/>
      <w:bookmarkEnd w:id="208"/>
      <w:r>
        <w:rPr>
          <w:rFonts w:hint="eastAsia" w:ascii="宋体" w:hAnsi="宋体" w:cs="宋体"/>
          <w:sz w:val="22"/>
          <w:szCs w:val="22"/>
        </w:rPr>
        <w:t>比较与评价</w:t>
      </w:r>
      <w:bookmarkEnd w:id="209"/>
    </w:p>
    <w:p w14:paraId="0787C8D8">
      <w:pPr>
        <w:numPr>
          <w:ilvl w:val="1"/>
          <w:numId w:val="14"/>
        </w:numPr>
        <w:ind w:left="950" w:hanging="950" w:hangingChars="432"/>
        <w:rPr>
          <w:rFonts w:ascii="宋体" w:hAnsi="宋体" w:cs="宋体"/>
          <w:sz w:val="22"/>
          <w:szCs w:val="22"/>
        </w:rPr>
      </w:pPr>
      <w:r>
        <w:rPr>
          <w:rFonts w:hint="eastAsia" w:ascii="宋体" w:hAnsi="宋体" w:cs="宋体"/>
          <w:sz w:val="22"/>
          <w:szCs w:val="22"/>
        </w:rPr>
        <w:t>评审委员会将参照《深圳经济特区政府采购条例》及《政府采购货物和服务招标投标管理办法（财政部令第87号）》，参照相关法律、法规、规定，仅对通过资格性审查和符合性审查的投标文件进行综合比较与评价。</w:t>
      </w:r>
    </w:p>
    <w:p w14:paraId="7B360E82">
      <w:pPr>
        <w:ind w:left="907"/>
        <w:rPr>
          <w:rFonts w:ascii="宋体" w:hAnsi="宋体" w:cs="宋体"/>
          <w:sz w:val="22"/>
          <w:szCs w:val="22"/>
        </w:rPr>
      </w:pPr>
    </w:p>
    <w:p w14:paraId="34660379">
      <w:pPr>
        <w:numPr>
          <w:ilvl w:val="0"/>
          <w:numId w:val="13"/>
        </w:numPr>
        <w:ind w:left="950" w:hanging="950" w:hangingChars="432"/>
        <w:rPr>
          <w:rFonts w:ascii="宋体" w:hAnsi="宋体" w:cs="宋体"/>
          <w:sz w:val="22"/>
          <w:szCs w:val="22"/>
        </w:rPr>
      </w:pPr>
      <w:r>
        <w:rPr>
          <w:rFonts w:hint="eastAsia" w:ascii="宋体" w:hAnsi="宋体" w:cs="宋体"/>
          <w:sz w:val="22"/>
          <w:szCs w:val="22"/>
        </w:rPr>
        <w:t>实地考察、演示或设备测试</w:t>
      </w:r>
    </w:p>
    <w:p w14:paraId="585BA8AA">
      <w:pPr>
        <w:numPr>
          <w:ilvl w:val="1"/>
          <w:numId w:val="14"/>
        </w:numPr>
        <w:ind w:left="950" w:hanging="950" w:hangingChars="432"/>
        <w:rPr>
          <w:rFonts w:ascii="宋体" w:hAnsi="宋体" w:cs="宋体"/>
          <w:sz w:val="22"/>
          <w:szCs w:val="22"/>
        </w:rPr>
      </w:pPr>
      <w:r>
        <w:rPr>
          <w:rFonts w:hint="eastAsia" w:ascii="宋体" w:hAnsi="宋体" w:cs="宋体"/>
          <w:sz w:val="22"/>
          <w:szCs w:val="22"/>
        </w:rPr>
        <w:t>在招标过程中，评审委员会有权决定是否对本项目投标人进行现场勘察或实地考察或检验有关证明材料的原件。投标人应随时做好接受检查的准备。</w:t>
      </w:r>
    </w:p>
    <w:p w14:paraId="05F95A93">
      <w:pPr>
        <w:numPr>
          <w:ilvl w:val="1"/>
          <w:numId w:val="14"/>
        </w:numPr>
        <w:ind w:left="950" w:hanging="950" w:hangingChars="432"/>
        <w:rPr>
          <w:rFonts w:ascii="宋体" w:hAnsi="宋体" w:cs="宋体"/>
          <w:sz w:val="22"/>
          <w:szCs w:val="22"/>
        </w:rPr>
      </w:pPr>
      <w:r>
        <w:rPr>
          <w:rFonts w:hint="eastAsia" w:ascii="宋体" w:hAnsi="宋体" w:cs="宋体"/>
          <w:sz w:val="22"/>
          <w:szCs w:val="22"/>
        </w:rPr>
        <w:t>若采购文件要求进行现场演示或设备测试的，投标人应做好相应准备。</w:t>
      </w:r>
    </w:p>
    <w:p w14:paraId="76474F68">
      <w:pPr>
        <w:ind w:left="907"/>
        <w:rPr>
          <w:rFonts w:ascii="宋体" w:hAnsi="宋体" w:cs="宋体"/>
          <w:sz w:val="22"/>
          <w:szCs w:val="22"/>
        </w:rPr>
      </w:pPr>
    </w:p>
    <w:p w14:paraId="4B14CAA5">
      <w:pPr>
        <w:numPr>
          <w:ilvl w:val="0"/>
          <w:numId w:val="13"/>
        </w:numPr>
        <w:ind w:left="950" w:hanging="950" w:hangingChars="432"/>
        <w:rPr>
          <w:rFonts w:ascii="宋体" w:hAnsi="宋体" w:cs="宋体"/>
          <w:sz w:val="22"/>
          <w:szCs w:val="22"/>
        </w:rPr>
      </w:pPr>
      <w:bookmarkStart w:id="210" w:name="_Toc100052402"/>
      <w:r>
        <w:rPr>
          <w:rFonts w:hint="eastAsia" w:ascii="宋体" w:hAnsi="宋体" w:cs="宋体"/>
          <w:sz w:val="22"/>
          <w:szCs w:val="22"/>
        </w:rPr>
        <w:t>评标方法</w:t>
      </w:r>
      <w:bookmarkEnd w:id="210"/>
    </w:p>
    <w:p w14:paraId="1C76BA29">
      <w:pPr>
        <w:numPr>
          <w:ilvl w:val="1"/>
          <w:numId w:val="14"/>
        </w:numPr>
        <w:ind w:left="950" w:hanging="950" w:hangingChars="432"/>
        <w:rPr>
          <w:rFonts w:ascii="宋体" w:hAnsi="宋体" w:cs="宋体"/>
          <w:sz w:val="22"/>
          <w:szCs w:val="22"/>
        </w:rPr>
      </w:pPr>
      <w:bookmarkStart w:id="211" w:name="评标方法2"/>
      <w:r>
        <w:rPr>
          <w:rFonts w:hint="eastAsia" w:ascii="宋体" w:hAnsi="宋体" w:cs="宋体"/>
          <w:sz w:val="22"/>
          <w:szCs w:val="22"/>
        </w:rPr>
        <w:t>最低价法</w:t>
      </w:r>
    </w:p>
    <w:p w14:paraId="29713A4F">
      <w:pPr>
        <w:numPr>
          <w:ilvl w:val="2"/>
          <w:numId w:val="18"/>
        </w:numPr>
        <w:ind w:left="950" w:hanging="950" w:hangingChars="432"/>
        <w:rPr>
          <w:rFonts w:ascii="宋体" w:hAnsi="宋体" w:cs="宋体"/>
          <w:sz w:val="22"/>
          <w:szCs w:val="22"/>
        </w:rPr>
      </w:pPr>
      <w:r>
        <w:rPr>
          <w:rFonts w:hint="eastAsia" w:ascii="宋体" w:hAnsi="宋体" w:cs="宋体"/>
          <w:sz w:val="22"/>
          <w:szCs w:val="22"/>
        </w:rPr>
        <w:t>最低价法是指以价格因素确定中标候选供应商的评标方法，即在满足采购文件实质性要求前提下，以报价最低的投标供应商作为中标候选供应商或中标供应商的评标方法；</w:t>
      </w:r>
    </w:p>
    <w:p w14:paraId="77363D69">
      <w:pPr>
        <w:numPr>
          <w:ilvl w:val="1"/>
          <w:numId w:val="14"/>
        </w:numPr>
        <w:ind w:left="950" w:hanging="950" w:hangingChars="432"/>
        <w:rPr>
          <w:rFonts w:ascii="宋体" w:hAnsi="宋体" w:cs="宋体"/>
          <w:sz w:val="22"/>
          <w:szCs w:val="22"/>
        </w:rPr>
      </w:pPr>
      <w:r>
        <w:rPr>
          <w:rFonts w:hint="eastAsia" w:ascii="宋体" w:hAnsi="宋体" w:cs="宋体"/>
          <w:sz w:val="22"/>
          <w:szCs w:val="22"/>
        </w:rPr>
        <w:t>定性评审法</w:t>
      </w:r>
    </w:p>
    <w:p w14:paraId="3F4474AC">
      <w:pPr>
        <w:numPr>
          <w:ilvl w:val="2"/>
          <w:numId w:val="18"/>
        </w:numPr>
        <w:rPr>
          <w:rFonts w:ascii="宋体" w:hAnsi="宋体" w:cs="宋体"/>
          <w:sz w:val="22"/>
          <w:szCs w:val="22"/>
        </w:rPr>
      </w:pPr>
      <w:r>
        <w:rPr>
          <w:rFonts w:hint="eastAsia" w:ascii="宋体" w:hAnsi="宋体" w:cs="宋体"/>
          <w:sz w:val="22"/>
          <w:szCs w:val="22"/>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14:paraId="73482310">
      <w:pPr>
        <w:numPr>
          <w:ilvl w:val="1"/>
          <w:numId w:val="14"/>
        </w:numPr>
        <w:ind w:left="950" w:hanging="950" w:hangingChars="432"/>
        <w:rPr>
          <w:rFonts w:ascii="宋体" w:hAnsi="宋体" w:cs="宋体"/>
          <w:sz w:val="22"/>
          <w:szCs w:val="22"/>
        </w:rPr>
      </w:pPr>
      <w:r>
        <w:rPr>
          <w:rFonts w:hint="eastAsia" w:ascii="宋体" w:hAnsi="宋体" w:cs="宋体"/>
          <w:sz w:val="22"/>
          <w:szCs w:val="22"/>
        </w:rPr>
        <w:t>综合评分法</w:t>
      </w:r>
      <w:bookmarkEnd w:id="211"/>
    </w:p>
    <w:p w14:paraId="586AAA13">
      <w:pPr>
        <w:numPr>
          <w:ilvl w:val="2"/>
          <w:numId w:val="18"/>
        </w:numPr>
        <w:ind w:left="950" w:hanging="950" w:hangingChars="432"/>
        <w:rPr>
          <w:rFonts w:ascii="宋体" w:hAnsi="宋体" w:cs="宋体"/>
          <w:sz w:val="22"/>
          <w:szCs w:val="22"/>
        </w:rPr>
      </w:pPr>
      <w:bookmarkStart w:id="212" w:name="评标方法3"/>
      <w:r>
        <w:rPr>
          <w:rFonts w:hint="eastAsia" w:ascii="宋体" w:hAnsi="宋体" w:cs="宋体"/>
          <w:sz w:val="22"/>
          <w:szCs w:val="22"/>
        </w:rPr>
        <w:t>综合评分法是指在最大限度地满足采购文件实质性要求前提下，按照采购文件中规定的各项因素进行量化打分，以评标总得分最高的投标供应商作为中标候选供应商或中标供应商的评标方法。</w:t>
      </w:r>
    </w:p>
    <w:p w14:paraId="606C825C">
      <w:pPr>
        <w:numPr>
          <w:ilvl w:val="1"/>
          <w:numId w:val="14"/>
        </w:numPr>
        <w:ind w:left="950" w:hanging="950" w:hangingChars="432"/>
        <w:rPr>
          <w:rFonts w:ascii="宋体" w:hAnsi="宋体" w:cs="宋体"/>
          <w:sz w:val="22"/>
          <w:szCs w:val="22"/>
        </w:rPr>
      </w:pPr>
      <w:r>
        <w:rPr>
          <w:rFonts w:hint="eastAsia" w:ascii="宋体" w:hAnsi="宋体" w:cs="宋体"/>
          <w:sz w:val="22"/>
          <w:szCs w:val="22"/>
        </w:rPr>
        <w:t>以评定分离的项目参照《深圳市政府采购评标定标分离管理暂行办法》设置评标方法。</w:t>
      </w:r>
    </w:p>
    <w:p w14:paraId="0A814DBF">
      <w:pPr>
        <w:numPr>
          <w:ilvl w:val="1"/>
          <w:numId w:val="14"/>
        </w:numPr>
        <w:ind w:left="950" w:hanging="950" w:hangingChars="432"/>
        <w:rPr>
          <w:rFonts w:ascii="宋体" w:hAnsi="宋体" w:cs="宋体"/>
          <w:sz w:val="22"/>
          <w:szCs w:val="22"/>
        </w:rPr>
      </w:pPr>
      <w:r>
        <w:rPr>
          <w:rFonts w:hint="eastAsia" w:ascii="宋体" w:hAnsi="宋体" w:cs="宋体"/>
          <w:sz w:val="22"/>
          <w:szCs w:val="22"/>
        </w:rPr>
        <w:t>其他评标方法根据主管部门相关规定执行。</w:t>
      </w:r>
    </w:p>
    <w:p w14:paraId="2FE2849A">
      <w:pPr>
        <w:numPr>
          <w:ilvl w:val="1"/>
          <w:numId w:val="14"/>
        </w:numPr>
        <w:ind w:left="950" w:hanging="950" w:hangingChars="432"/>
        <w:rPr>
          <w:rFonts w:ascii="宋体" w:hAnsi="宋体" w:cs="宋体"/>
          <w:sz w:val="22"/>
          <w:szCs w:val="22"/>
        </w:rPr>
      </w:pPr>
      <w:r>
        <w:rPr>
          <w:rFonts w:hint="eastAsia" w:ascii="宋体" w:hAnsi="宋体" w:cs="宋体"/>
          <w:sz w:val="22"/>
          <w:szCs w:val="22"/>
        </w:rPr>
        <w:t>本项目采用的评标方法</w:t>
      </w:r>
      <w:bookmarkEnd w:id="212"/>
      <w:r>
        <w:rPr>
          <w:rFonts w:hint="eastAsia" w:ascii="宋体" w:hAnsi="宋体" w:cs="宋体"/>
          <w:sz w:val="22"/>
          <w:szCs w:val="22"/>
        </w:rPr>
        <w:t>详见采购文件关键信息的相关内容。</w:t>
      </w:r>
    </w:p>
    <w:p w14:paraId="64296855">
      <w:r>
        <w:br w:type="page"/>
      </w:r>
    </w:p>
    <w:p w14:paraId="0C391C37"/>
    <w:p w14:paraId="5F5F20CC"/>
    <w:p w14:paraId="1FA2B474"/>
    <w:p w14:paraId="2FEA03D5"/>
    <w:p w14:paraId="0B0BD7F1"/>
    <w:p w14:paraId="1EFB73FF"/>
    <w:p w14:paraId="0F8E2C94"/>
    <w:p w14:paraId="500B0CED"/>
    <w:p w14:paraId="0A6A3136"/>
    <w:p w14:paraId="6A13D45E"/>
    <w:p w14:paraId="513A3BFC"/>
    <w:p w14:paraId="2A00A282"/>
    <w:p w14:paraId="60D07DA4"/>
    <w:p w14:paraId="07C6F4E9"/>
    <w:p w14:paraId="0DE01322"/>
    <w:p w14:paraId="161B42FE">
      <w:pPr>
        <w:pStyle w:val="3"/>
        <w:rPr>
          <w:szCs w:val="28"/>
        </w:rPr>
      </w:pPr>
      <w:r>
        <w:rPr>
          <w:b w:val="0"/>
          <w:bCs/>
          <w:kern w:val="28"/>
          <w:sz w:val="44"/>
          <w:szCs w:val="44"/>
        </w:rPr>
        <w:t>第八章  定标及公示</w:t>
      </w:r>
      <w:r>
        <w:rPr>
          <w:b w:val="0"/>
          <w:bCs/>
          <w:kern w:val="28"/>
          <w:sz w:val="44"/>
          <w:szCs w:val="44"/>
        </w:rPr>
        <w:br w:type="page"/>
      </w:r>
    </w:p>
    <w:p w14:paraId="65013C7C"/>
    <w:p w14:paraId="26FFD19C">
      <w:pPr>
        <w:numPr>
          <w:ilvl w:val="0"/>
          <w:numId w:val="13"/>
        </w:numPr>
        <w:ind w:left="950" w:hanging="950" w:hangingChars="432"/>
        <w:rPr>
          <w:rFonts w:ascii="宋体" w:hAnsi="宋体" w:cs="宋体"/>
          <w:sz w:val="22"/>
          <w:szCs w:val="22"/>
        </w:rPr>
      </w:pPr>
      <w:r>
        <w:rPr>
          <w:rFonts w:hint="eastAsia" w:ascii="宋体" w:hAnsi="宋体" w:cs="宋体"/>
          <w:sz w:val="22"/>
          <w:szCs w:val="22"/>
        </w:rPr>
        <w:t>定标方法</w:t>
      </w:r>
    </w:p>
    <w:p w14:paraId="7ED3C400">
      <w:pPr>
        <w:numPr>
          <w:ilvl w:val="1"/>
          <w:numId w:val="14"/>
        </w:numPr>
        <w:ind w:left="950" w:hanging="950" w:hangingChars="432"/>
        <w:rPr>
          <w:rFonts w:ascii="宋体" w:hAnsi="宋体" w:cs="宋体"/>
          <w:sz w:val="22"/>
          <w:szCs w:val="22"/>
        </w:rPr>
      </w:pPr>
      <w:r>
        <w:rPr>
          <w:rFonts w:hint="eastAsia" w:ascii="宋体" w:hAnsi="宋体" w:cs="宋体"/>
          <w:sz w:val="22"/>
          <w:szCs w:val="22"/>
        </w:rPr>
        <w:t>评审委员会依据本项目采购文件所约定的评标方法进行评审和比较，向政府采购代理机构提交书面评标报告，并根据评标方法比较评价结果从优到劣进行排序，并推荐中标候选人或确定中标供应商；</w:t>
      </w:r>
    </w:p>
    <w:p w14:paraId="05C3C41F">
      <w:pPr>
        <w:numPr>
          <w:ilvl w:val="1"/>
          <w:numId w:val="14"/>
        </w:numPr>
        <w:ind w:left="950" w:hanging="950" w:hangingChars="432"/>
        <w:rPr>
          <w:rFonts w:ascii="宋体" w:hAnsi="宋体" w:cs="宋体"/>
          <w:sz w:val="22"/>
          <w:szCs w:val="22"/>
        </w:rPr>
      </w:pPr>
      <w:r>
        <w:rPr>
          <w:rFonts w:hint="eastAsia" w:ascii="宋体" w:hAnsi="宋体" w:cs="宋体"/>
          <w:sz w:val="22"/>
          <w:szCs w:val="22"/>
        </w:rPr>
        <w:t>采用最低评标价法的，按投标报价由低到高顺序排列，投标报价相同的，按技术指标优劣顺序排列。评审委员会认为，排在前面的供应商的最低投标报价或者某些分项报价明显不合理或者低于成本，有可能影响商品质量和不能诚信履约的，应当要求其在规定的期限内提供书面文件予以解释说明，并提交相关证明材料；否则，评审委员会可以取消该投标供应商的中标资格，按顺序由排在后面的供应商递补，以此类推。对是否满足实质性要求或报价是否合理或是否低于成本，评委会意见不一致时，按少数服从多数原则作出决定。</w:t>
      </w:r>
    </w:p>
    <w:p w14:paraId="42A5F701">
      <w:pPr>
        <w:numPr>
          <w:ilvl w:val="1"/>
          <w:numId w:val="14"/>
        </w:numPr>
        <w:ind w:left="950" w:hanging="950" w:hangingChars="432"/>
        <w:rPr>
          <w:rFonts w:ascii="宋体" w:hAnsi="宋体" w:cs="宋体"/>
          <w:sz w:val="22"/>
          <w:szCs w:val="22"/>
        </w:rPr>
      </w:pPr>
      <w:r>
        <w:rPr>
          <w:rFonts w:hint="eastAsia" w:ascii="宋体" w:hAnsi="宋体" w:cs="宋体"/>
          <w:sz w:val="22"/>
          <w:szCs w:val="22"/>
        </w:rPr>
        <w:t>采用综合评分法的，按评审后得分由高到低顺序排列。得分相同的，按投标报价由低到高顺序排列。得分且投标报价相同的，按技术指标优劣顺序排列。</w:t>
      </w:r>
    </w:p>
    <w:p w14:paraId="735649B1">
      <w:pPr>
        <w:numPr>
          <w:ilvl w:val="1"/>
          <w:numId w:val="14"/>
        </w:numPr>
        <w:ind w:left="950" w:hanging="950" w:hangingChars="432"/>
        <w:rPr>
          <w:rFonts w:ascii="宋体" w:hAnsi="宋体" w:cs="宋体"/>
          <w:sz w:val="22"/>
          <w:szCs w:val="22"/>
        </w:rPr>
      </w:pPr>
      <w:r>
        <w:rPr>
          <w:rFonts w:hint="eastAsia" w:ascii="宋体" w:hAnsi="宋体" w:cs="宋体"/>
          <w:sz w:val="22"/>
          <w:szCs w:val="22"/>
        </w:rPr>
        <w:t>采用性价比法的，按商数得分由高到低顺序排列。商数得分相同的，按投标报价由低到高顺序排列。商数得分且投标报价相同的，按技术指标优劣顺序排列。</w:t>
      </w:r>
    </w:p>
    <w:p w14:paraId="22387AD3">
      <w:pPr>
        <w:numPr>
          <w:ilvl w:val="1"/>
          <w:numId w:val="14"/>
        </w:numPr>
        <w:ind w:left="950" w:hanging="950" w:hangingChars="432"/>
        <w:rPr>
          <w:rFonts w:ascii="宋体" w:hAnsi="宋体" w:cs="宋体"/>
          <w:sz w:val="22"/>
          <w:szCs w:val="22"/>
        </w:rPr>
      </w:pPr>
      <w:r>
        <w:rPr>
          <w:rFonts w:hint="eastAsia" w:ascii="宋体" w:hAnsi="宋体" w:cs="宋体"/>
          <w:sz w:val="22"/>
          <w:szCs w:val="22"/>
        </w:rPr>
        <w:t>本项目采用的定标方法详见采购文件关键信息的相关内容。</w:t>
      </w:r>
    </w:p>
    <w:p w14:paraId="51335BD6">
      <w:pPr>
        <w:ind w:left="907"/>
        <w:rPr>
          <w:rFonts w:ascii="宋体" w:hAnsi="宋体" w:cs="宋体"/>
          <w:sz w:val="22"/>
          <w:szCs w:val="22"/>
        </w:rPr>
      </w:pPr>
    </w:p>
    <w:p w14:paraId="059768C8">
      <w:pPr>
        <w:numPr>
          <w:ilvl w:val="0"/>
          <w:numId w:val="13"/>
        </w:numPr>
        <w:ind w:left="950" w:hanging="950" w:hangingChars="432"/>
        <w:rPr>
          <w:rFonts w:ascii="宋体" w:hAnsi="宋体" w:cs="宋体"/>
          <w:sz w:val="22"/>
          <w:szCs w:val="22"/>
        </w:rPr>
      </w:pPr>
      <w:bookmarkStart w:id="213" w:name="_Toc100052404"/>
      <w:r>
        <w:rPr>
          <w:rFonts w:hint="eastAsia" w:ascii="宋体" w:hAnsi="宋体" w:cs="宋体"/>
          <w:sz w:val="22"/>
          <w:szCs w:val="22"/>
        </w:rPr>
        <w:t>编写评标报告</w:t>
      </w:r>
      <w:bookmarkEnd w:id="213"/>
    </w:p>
    <w:p w14:paraId="1A60A409">
      <w:pPr>
        <w:numPr>
          <w:ilvl w:val="1"/>
          <w:numId w:val="14"/>
        </w:numPr>
        <w:ind w:left="950" w:hanging="950" w:hangingChars="432"/>
        <w:rPr>
          <w:rFonts w:ascii="宋体" w:hAnsi="宋体" w:cs="宋体"/>
          <w:sz w:val="22"/>
          <w:szCs w:val="22"/>
        </w:rPr>
      </w:pPr>
      <w:r>
        <w:rPr>
          <w:rFonts w:hint="eastAsia" w:ascii="宋体" w:hAnsi="宋体" w:cs="宋体"/>
          <w:sz w:val="22"/>
          <w:szCs w:val="22"/>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在案。</w:t>
      </w:r>
    </w:p>
    <w:p w14:paraId="1C78664C">
      <w:pPr>
        <w:ind w:left="907"/>
        <w:rPr>
          <w:rFonts w:ascii="宋体" w:hAnsi="宋体" w:cs="宋体"/>
          <w:sz w:val="22"/>
          <w:szCs w:val="22"/>
        </w:rPr>
      </w:pPr>
    </w:p>
    <w:p w14:paraId="48CF8156">
      <w:pPr>
        <w:numPr>
          <w:ilvl w:val="0"/>
          <w:numId w:val="13"/>
        </w:numPr>
        <w:ind w:left="950" w:hanging="950" w:hangingChars="432"/>
        <w:rPr>
          <w:rFonts w:ascii="宋体" w:hAnsi="宋体" w:cs="宋体"/>
          <w:sz w:val="22"/>
          <w:szCs w:val="22"/>
        </w:rPr>
      </w:pPr>
      <w:bookmarkStart w:id="214" w:name="_Toc100052405"/>
      <w:bookmarkStart w:id="215" w:name="_Toc73518159"/>
      <w:bookmarkStart w:id="216" w:name="_Toc73517681"/>
      <w:bookmarkStart w:id="217" w:name="_Toc73521676"/>
      <w:bookmarkStart w:id="218" w:name="_Toc73521588"/>
      <w:r>
        <w:rPr>
          <w:rFonts w:hint="eastAsia" w:ascii="宋体" w:hAnsi="宋体" w:cs="宋体"/>
          <w:sz w:val="22"/>
          <w:szCs w:val="22"/>
        </w:rPr>
        <w:t>中标公告</w:t>
      </w:r>
      <w:bookmarkEnd w:id="214"/>
    </w:p>
    <w:p w14:paraId="55525A33">
      <w:pPr>
        <w:numPr>
          <w:ilvl w:val="1"/>
          <w:numId w:val="14"/>
        </w:numPr>
        <w:ind w:left="950" w:hanging="950" w:hangingChars="432"/>
        <w:rPr>
          <w:rFonts w:ascii="宋体" w:hAnsi="宋体" w:cs="宋体"/>
          <w:sz w:val="22"/>
          <w:szCs w:val="22"/>
        </w:rPr>
      </w:pPr>
      <w:r>
        <w:rPr>
          <w:rFonts w:hint="eastAsia" w:ascii="宋体" w:hAnsi="宋体" w:cs="宋体"/>
          <w:sz w:val="22"/>
          <w:szCs w:val="22"/>
        </w:rPr>
        <w:t>为体现“公开、公平、公正”的原则，评标结束后，政府采购代理机构将在“深圳市东海国际招标有限公司官网(http：//www.szdhit.com)”及其他指定媒体上发布中标结果公告，公示期为三日。供应商如对评标结果有异议，请于公示期内，以书面或网上形式向采购代理机构反映。若在公示期内未提出异议，则视为认同该评标结果。</w:t>
      </w:r>
    </w:p>
    <w:p w14:paraId="2424AFEE">
      <w:pPr>
        <w:numPr>
          <w:ilvl w:val="1"/>
          <w:numId w:val="14"/>
        </w:numPr>
        <w:ind w:left="950" w:hanging="950" w:hangingChars="432"/>
        <w:rPr>
          <w:rFonts w:ascii="宋体" w:hAnsi="宋体" w:cs="宋体"/>
          <w:sz w:val="22"/>
          <w:szCs w:val="22"/>
        </w:rPr>
      </w:pPr>
      <w:r>
        <w:rPr>
          <w:rFonts w:hint="eastAsia" w:ascii="宋体" w:hAnsi="宋体" w:cs="宋体"/>
          <w:sz w:val="22"/>
          <w:szCs w:val="22"/>
        </w:rPr>
        <w:t>质疑投诉人应保证质疑投诉内容的真实性和可靠性，并承担相应的法律责任。</w:t>
      </w:r>
    </w:p>
    <w:p w14:paraId="1F20EF68">
      <w:pPr>
        <w:ind w:left="907"/>
        <w:rPr>
          <w:rFonts w:ascii="宋体" w:hAnsi="宋体" w:cs="宋体"/>
          <w:sz w:val="22"/>
          <w:szCs w:val="22"/>
        </w:rPr>
      </w:pPr>
    </w:p>
    <w:p w14:paraId="7CABB143">
      <w:pPr>
        <w:numPr>
          <w:ilvl w:val="0"/>
          <w:numId w:val="13"/>
        </w:numPr>
        <w:ind w:left="950" w:hanging="950" w:hangingChars="432"/>
        <w:rPr>
          <w:rFonts w:ascii="宋体" w:hAnsi="宋体" w:cs="宋体"/>
          <w:sz w:val="22"/>
          <w:szCs w:val="22"/>
        </w:rPr>
      </w:pPr>
      <w:bookmarkStart w:id="219" w:name="_Toc100052406"/>
      <w:r>
        <w:rPr>
          <w:rFonts w:hint="eastAsia" w:ascii="宋体" w:hAnsi="宋体" w:cs="宋体"/>
          <w:sz w:val="22"/>
          <w:szCs w:val="22"/>
        </w:rPr>
        <w:t>中标通知书</w:t>
      </w:r>
      <w:bookmarkEnd w:id="219"/>
    </w:p>
    <w:bookmarkEnd w:id="215"/>
    <w:bookmarkEnd w:id="216"/>
    <w:bookmarkEnd w:id="217"/>
    <w:bookmarkEnd w:id="218"/>
    <w:p w14:paraId="61C44575">
      <w:pPr>
        <w:numPr>
          <w:ilvl w:val="1"/>
          <w:numId w:val="14"/>
        </w:numPr>
        <w:ind w:left="950" w:hanging="950" w:hangingChars="432"/>
        <w:rPr>
          <w:rFonts w:ascii="宋体" w:hAnsi="宋体" w:cs="宋体"/>
          <w:sz w:val="22"/>
          <w:szCs w:val="22"/>
        </w:rPr>
      </w:pPr>
      <w:r>
        <w:rPr>
          <w:rFonts w:hint="eastAsia" w:ascii="宋体" w:hAnsi="宋体" w:cs="宋体"/>
          <w:sz w:val="22"/>
          <w:szCs w:val="22"/>
        </w:rPr>
        <w:t>中标公告公布以后，公示期内无人质疑投诉，采购代理机构将向中标人发出《中标通知书》。中标人领取中标通知书前须缴纳服务费。</w:t>
      </w:r>
    </w:p>
    <w:p w14:paraId="73E306A0">
      <w:pPr>
        <w:numPr>
          <w:ilvl w:val="1"/>
          <w:numId w:val="14"/>
        </w:numPr>
        <w:ind w:left="950" w:hanging="950" w:hangingChars="432"/>
        <w:rPr>
          <w:rFonts w:ascii="宋体" w:hAnsi="宋体" w:cs="宋体"/>
          <w:sz w:val="22"/>
          <w:szCs w:val="22"/>
        </w:rPr>
      </w:pPr>
      <w:r>
        <w:rPr>
          <w:rFonts w:hint="eastAsia" w:ascii="宋体" w:hAnsi="宋体" w:cs="宋体"/>
          <w:sz w:val="22"/>
          <w:szCs w:val="22"/>
        </w:rPr>
        <w:t>中标通知书是合同的重要组成部分。</w:t>
      </w:r>
    </w:p>
    <w:p w14:paraId="3E781EBE">
      <w:pPr>
        <w:numPr>
          <w:ilvl w:val="1"/>
          <w:numId w:val="14"/>
        </w:numPr>
        <w:ind w:left="950" w:hanging="950" w:hangingChars="432"/>
        <w:rPr>
          <w:rFonts w:ascii="宋体" w:hAnsi="宋体" w:cs="宋体"/>
          <w:sz w:val="22"/>
          <w:szCs w:val="22"/>
        </w:rPr>
      </w:pPr>
      <w:r>
        <w:rPr>
          <w:rFonts w:hint="eastAsia" w:ascii="宋体" w:hAnsi="宋体" w:cs="宋体"/>
          <w:sz w:val="22"/>
          <w:szCs w:val="22"/>
        </w:rPr>
        <w:t>因质疑投诉或其它原因导致项目结果变更或采购终止的，采购代理机构有权收回中标通知书或终止采购合同。</w:t>
      </w:r>
    </w:p>
    <w:p w14:paraId="7764B1DC">
      <w:bookmarkStart w:id="220" w:name="bt合同的授予"/>
      <w:bookmarkEnd w:id="220"/>
      <w:bookmarkStart w:id="221" w:name="_Toc73518156"/>
      <w:bookmarkStart w:id="222" w:name="_Toc101074884"/>
      <w:bookmarkStart w:id="223" w:name="_Toc73517678"/>
      <w:bookmarkStart w:id="224" w:name="_Toc100052407"/>
    </w:p>
    <w:p w14:paraId="721B0BC1">
      <w:r>
        <w:br w:type="page"/>
      </w:r>
    </w:p>
    <w:p w14:paraId="1865D619"/>
    <w:p w14:paraId="3A6BD387"/>
    <w:p w14:paraId="361389AD"/>
    <w:p w14:paraId="05F10467"/>
    <w:p w14:paraId="470C33F3"/>
    <w:p w14:paraId="496F6284"/>
    <w:p w14:paraId="4932AF8E"/>
    <w:p w14:paraId="7B8B57A5"/>
    <w:p w14:paraId="3540911F"/>
    <w:p w14:paraId="66EF2B9E"/>
    <w:p w14:paraId="4C075BFF"/>
    <w:p w14:paraId="02A6A808"/>
    <w:p w14:paraId="1B64D850"/>
    <w:p w14:paraId="074E0365"/>
    <w:p w14:paraId="60557769"/>
    <w:p w14:paraId="5F5C5A62">
      <w:pPr>
        <w:pStyle w:val="3"/>
        <w:rPr>
          <w:szCs w:val="28"/>
        </w:rPr>
      </w:pPr>
      <w:r>
        <w:rPr>
          <w:b w:val="0"/>
          <w:bCs/>
          <w:kern w:val="28"/>
          <w:sz w:val="44"/>
          <w:szCs w:val="44"/>
        </w:rPr>
        <w:t>第九章  公开招标失败的后续处理</w:t>
      </w:r>
      <w:r>
        <w:rPr>
          <w:b w:val="0"/>
          <w:bCs/>
          <w:kern w:val="28"/>
          <w:sz w:val="44"/>
          <w:szCs w:val="44"/>
        </w:rPr>
        <w:br w:type="page"/>
      </w:r>
    </w:p>
    <w:p w14:paraId="70E522E5"/>
    <w:p w14:paraId="004B3ADF">
      <w:pPr>
        <w:numPr>
          <w:ilvl w:val="0"/>
          <w:numId w:val="13"/>
        </w:numPr>
        <w:spacing w:line="360" w:lineRule="auto"/>
        <w:rPr>
          <w:rFonts w:ascii="宋体" w:hAnsi="宋体" w:cs="宋体"/>
          <w:sz w:val="22"/>
          <w:szCs w:val="22"/>
        </w:rPr>
      </w:pPr>
      <w:r>
        <w:rPr>
          <w:rFonts w:hint="eastAsia" w:ascii="宋体" w:hAnsi="宋体" w:cs="宋体"/>
          <w:sz w:val="22"/>
          <w:szCs w:val="22"/>
        </w:rPr>
        <w:t>公开招标失败的处理</w:t>
      </w:r>
    </w:p>
    <w:p w14:paraId="6F90646A">
      <w:pPr>
        <w:numPr>
          <w:ilvl w:val="1"/>
          <w:numId w:val="14"/>
        </w:numPr>
        <w:ind w:left="950" w:hanging="950" w:hangingChars="432"/>
        <w:rPr>
          <w:rFonts w:ascii="宋体" w:hAnsi="宋体" w:cs="宋体"/>
          <w:sz w:val="22"/>
          <w:szCs w:val="22"/>
        </w:rPr>
      </w:pPr>
      <w:r>
        <w:rPr>
          <w:rFonts w:hint="eastAsia" w:ascii="宋体" w:hAnsi="宋体" w:cs="宋体"/>
          <w:sz w:val="22"/>
          <w:szCs w:val="22"/>
        </w:rPr>
        <w:t>本项目公开招标过程中若由于投标截止后实际递交投标文件的供应商数量不足、经评审委员会评审对采购文件作实质响应的供应商不足等原因造成公开招标失败，可由政府采购代理机构重新组织采购。</w:t>
      </w:r>
    </w:p>
    <w:p w14:paraId="031CA6E8">
      <w:pPr>
        <w:numPr>
          <w:ilvl w:val="1"/>
          <w:numId w:val="14"/>
        </w:numPr>
        <w:ind w:left="950" w:hanging="950" w:hangingChars="432"/>
        <w:rPr>
          <w:rFonts w:ascii="宋体" w:hAnsi="宋体" w:cs="宋体"/>
          <w:sz w:val="22"/>
          <w:szCs w:val="22"/>
        </w:rPr>
      </w:pPr>
      <w:r>
        <w:rPr>
          <w:rFonts w:hint="eastAsia" w:ascii="宋体" w:hAnsi="宋体" w:cs="宋体"/>
          <w:sz w:val="22"/>
          <w:szCs w:val="22"/>
        </w:rPr>
        <w:t>对公开招标失败的项目，评审委员会在出具该项目招标失败结论的同时，提出重新采购组织形式的建议，以及进一步完善采购文件的资格、技术、商务要求的修改建议。</w:t>
      </w:r>
    </w:p>
    <w:p w14:paraId="2C6FC4B0">
      <w:pPr>
        <w:numPr>
          <w:ilvl w:val="1"/>
          <w:numId w:val="14"/>
        </w:numPr>
        <w:ind w:left="950" w:hanging="950" w:hangingChars="432"/>
        <w:rPr>
          <w:rFonts w:ascii="宋体" w:hAnsi="宋体" w:cs="宋体"/>
          <w:sz w:val="22"/>
          <w:szCs w:val="22"/>
        </w:rPr>
      </w:pPr>
      <w:r>
        <w:rPr>
          <w:rFonts w:hint="eastAsia" w:ascii="宋体" w:hAnsi="宋体" w:cs="宋体"/>
          <w:sz w:val="22"/>
          <w:szCs w:val="22"/>
        </w:rPr>
        <w:t>重新组织采购有以下两种组织形式：</w:t>
      </w:r>
    </w:p>
    <w:p w14:paraId="521CA042">
      <w:pPr>
        <w:numPr>
          <w:ilvl w:val="2"/>
          <w:numId w:val="18"/>
        </w:numPr>
        <w:rPr>
          <w:rFonts w:ascii="宋体" w:hAnsi="宋体" w:cs="宋体"/>
          <w:sz w:val="22"/>
          <w:szCs w:val="22"/>
        </w:rPr>
      </w:pPr>
      <w:r>
        <w:rPr>
          <w:rFonts w:hint="eastAsia" w:ascii="宋体" w:hAnsi="宋体" w:cs="宋体"/>
          <w:sz w:val="22"/>
          <w:szCs w:val="22"/>
        </w:rPr>
        <w:t>由政府采购代理机构重新组织公开招标；</w:t>
      </w:r>
    </w:p>
    <w:p w14:paraId="5F9C4428">
      <w:pPr>
        <w:numPr>
          <w:ilvl w:val="2"/>
          <w:numId w:val="18"/>
        </w:numPr>
        <w:rPr>
          <w:rFonts w:ascii="宋体" w:hAnsi="宋体" w:cs="宋体"/>
          <w:sz w:val="22"/>
          <w:szCs w:val="22"/>
        </w:rPr>
      </w:pPr>
      <w:r>
        <w:rPr>
          <w:rFonts w:hint="eastAsia" w:ascii="宋体" w:hAnsi="宋体" w:cs="宋体"/>
          <w:sz w:val="22"/>
          <w:szCs w:val="22"/>
        </w:rPr>
        <w:t>根据实际情况需要向政府采购监督管理部门提出非公开招标方式申请，经政府采购监督管理部门批准公开招标失败采购项目可转为竞争性谈判或单一来源谈判方式采购。</w:t>
      </w:r>
    </w:p>
    <w:p w14:paraId="51D6986A">
      <w:pPr>
        <w:numPr>
          <w:ilvl w:val="1"/>
          <w:numId w:val="14"/>
        </w:numPr>
        <w:ind w:left="950" w:hanging="950" w:hangingChars="432"/>
        <w:rPr>
          <w:rFonts w:ascii="宋体" w:hAnsi="宋体" w:cs="宋体"/>
          <w:sz w:val="22"/>
          <w:szCs w:val="22"/>
        </w:rPr>
      </w:pPr>
      <w:r>
        <w:rPr>
          <w:rFonts w:hint="eastAsia" w:ascii="宋体" w:hAnsi="宋体" w:cs="宋体"/>
          <w:sz w:val="22"/>
          <w:szCs w:val="22"/>
        </w:rPr>
        <w:t>公开招标失败的采购项目重新组织公开招标，政府采购代理机构要重新按公开招标流程发布采购公告和采购文件、组成评审委员会等组织采购活动。</w:t>
      </w:r>
    </w:p>
    <w:p w14:paraId="5961E7ED">
      <w:pPr>
        <w:numPr>
          <w:ilvl w:val="1"/>
          <w:numId w:val="14"/>
        </w:numPr>
        <w:ind w:left="950" w:hanging="950" w:hangingChars="432"/>
        <w:rPr>
          <w:rFonts w:ascii="宋体" w:hAnsi="宋体" w:cs="宋体"/>
          <w:sz w:val="22"/>
          <w:szCs w:val="22"/>
        </w:rPr>
      </w:pPr>
      <w:r>
        <w:rPr>
          <w:rFonts w:hint="eastAsia" w:ascii="宋体" w:hAnsi="宋体" w:cs="宋体"/>
          <w:sz w:val="22"/>
          <w:szCs w:val="22"/>
        </w:rPr>
        <w:t>公开招标失败的采购项目经政府采购监督管理部门批准转为竞争性谈判或单一来源谈判方式采购的，可不另行制作谈判文件，政府采购代理机构可就原采购文件中资格、技术及评标方法等变动情况向拟谈判对象发出谈判邀请。谈判邀请文件与原采购文件具同等效力，变动部分以谈判邀请文件为准。转为竞争性谈判或单一来源谈判方式采购的，供应商的原投标文件转为谈判应答文件。</w:t>
      </w:r>
    </w:p>
    <w:p w14:paraId="071CC873">
      <w:pPr>
        <w:ind w:left="907"/>
        <w:rPr>
          <w:rFonts w:ascii="宋体" w:hAnsi="宋体" w:cs="宋体"/>
          <w:sz w:val="22"/>
          <w:szCs w:val="22"/>
        </w:rPr>
      </w:pPr>
    </w:p>
    <w:p w14:paraId="2B098C35">
      <w:pPr>
        <w:numPr>
          <w:ilvl w:val="0"/>
          <w:numId w:val="13"/>
        </w:numPr>
        <w:rPr>
          <w:rFonts w:ascii="宋体" w:hAnsi="宋体" w:cs="宋体"/>
          <w:sz w:val="22"/>
          <w:szCs w:val="22"/>
        </w:rPr>
      </w:pPr>
      <w:r>
        <w:rPr>
          <w:rFonts w:hint="eastAsia" w:ascii="宋体" w:hAnsi="宋体" w:cs="宋体"/>
          <w:sz w:val="22"/>
          <w:szCs w:val="22"/>
        </w:rPr>
        <w:t>公开招标失败项目转为竞争性谈判方式采购的</w:t>
      </w:r>
    </w:p>
    <w:p w14:paraId="7A04692A">
      <w:pPr>
        <w:numPr>
          <w:ilvl w:val="1"/>
          <w:numId w:val="14"/>
        </w:numPr>
        <w:ind w:left="950" w:hanging="950" w:hangingChars="432"/>
        <w:rPr>
          <w:rFonts w:ascii="宋体" w:hAnsi="宋体" w:cs="宋体"/>
          <w:sz w:val="22"/>
          <w:szCs w:val="22"/>
        </w:rPr>
      </w:pPr>
      <w:r>
        <w:rPr>
          <w:rFonts w:hint="eastAsia" w:ascii="宋体" w:hAnsi="宋体" w:cs="宋体"/>
          <w:sz w:val="22"/>
          <w:szCs w:val="22"/>
        </w:rPr>
        <w:t>谈判文件</w:t>
      </w:r>
    </w:p>
    <w:p w14:paraId="39800C91">
      <w:pPr>
        <w:numPr>
          <w:ilvl w:val="2"/>
          <w:numId w:val="18"/>
        </w:numPr>
        <w:rPr>
          <w:rFonts w:ascii="宋体" w:hAnsi="宋体" w:cs="宋体"/>
          <w:sz w:val="22"/>
          <w:szCs w:val="22"/>
        </w:rPr>
      </w:pPr>
      <w:r>
        <w:rPr>
          <w:rFonts w:hint="eastAsia" w:ascii="宋体" w:hAnsi="宋体" w:cs="宋体"/>
          <w:sz w:val="22"/>
          <w:szCs w:val="22"/>
        </w:rPr>
        <w:t>公开招标失败项目转为竞争性谈判方式采购的，原采购文件转为谈判文件。</w:t>
      </w:r>
    </w:p>
    <w:p w14:paraId="5C6A0F8E">
      <w:pPr>
        <w:numPr>
          <w:ilvl w:val="1"/>
          <w:numId w:val="14"/>
        </w:numPr>
        <w:ind w:left="950" w:hanging="950" w:hangingChars="432"/>
        <w:rPr>
          <w:rFonts w:ascii="宋体" w:hAnsi="宋体" w:cs="宋体"/>
          <w:sz w:val="22"/>
          <w:szCs w:val="22"/>
        </w:rPr>
      </w:pPr>
      <w:r>
        <w:rPr>
          <w:rFonts w:hint="eastAsia" w:ascii="宋体" w:hAnsi="宋体" w:cs="宋体"/>
          <w:sz w:val="22"/>
          <w:szCs w:val="22"/>
        </w:rPr>
        <w:t>谈判小组</w:t>
      </w:r>
    </w:p>
    <w:p w14:paraId="4CC805A2">
      <w:pPr>
        <w:numPr>
          <w:ilvl w:val="2"/>
          <w:numId w:val="18"/>
        </w:numPr>
        <w:rPr>
          <w:rFonts w:ascii="宋体" w:hAnsi="宋体" w:cs="宋体"/>
          <w:sz w:val="22"/>
          <w:szCs w:val="22"/>
        </w:rPr>
      </w:pPr>
      <w:r>
        <w:rPr>
          <w:rFonts w:hint="eastAsia" w:ascii="宋体" w:hAnsi="宋体" w:cs="宋体"/>
          <w:sz w:val="22"/>
          <w:szCs w:val="22"/>
        </w:rPr>
        <w:t>公开招标失败项目转为竞争性谈判方式采购后，评审委员会转为谈判小组；专家可重新抽取也可继续采用评审委员会内专家。</w:t>
      </w:r>
    </w:p>
    <w:p w14:paraId="7E2570B0">
      <w:pPr>
        <w:numPr>
          <w:ilvl w:val="2"/>
          <w:numId w:val="18"/>
        </w:numPr>
        <w:rPr>
          <w:rFonts w:ascii="宋体" w:hAnsi="宋体" w:cs="宋体"/>
          <w:sz w:val="22"/>
          <w:szCs w:val="22"/>
        </w:rPr>
      </w:pPr>
      <w:r>
        <w:rPr>
          <w:rFonts w:hint="eastAsia" w:ascii="宋体" w:hAnsi="宋体" w:cs="宋体"/>
          <w:sz w:val="22"/>
          <w:szCs w:val="22"/>
        </w:rPr>
        <w:t>谈判前，谈判小组将对各供应商的谈判应答文件进行审查，当谈判应答文件出现下列情况之一的将视为无效，按废标处理，不得进入谈判，具体内容见原采购文件中投标文件初审表的《资格性检查表》部分以及谈判邀请中相应的变动部分。</w:t>
      </w:r>
    </w:p>
    <w:p w14:paraId="3D3DB294">
      <w:pPr>
        <w:numPr>
          <w:ilvl w:val="1"/>
          <w:numId w:val="14"/>
        </w:numPr>
        <w:ind w:left="950" w:hanging="950" w:hangingChars="432"/>
        <w:rPr>
          <w:rFonts w:ascii="宋体" w:hAnsi="宋体" w:cs="宋体"/>
          <w:sz w:val="22"/>
          <w:szCs w:val="22"/>
        </w:rPr>
      </w:pPr>
      <w:r>
        <w:rPr>
          <w:rFonts w:hint="eastAsia" w:ascii="宋体" w:hAnsi="宋体" w:cs="宋体"/>
          <w:sz w:val="22"/>
          <w:szCs w:val="22"/>
        </w:rPr>
        <w:t>谈判程序</w:t>
      </w:r>
    </w:p>
    <w:p w14:paraId="3D732335">
      <w:pPr>
        <w:numPr>
          <w:ilvl w:val="2"/>
          <w:numId w:val="18"/>
        </w:numPr>
        <w:rPr>
          <w:rFonts w:ascii="宋体" w:hAnsi="宋体" w:cs="宋体"/>
          <w:sz w:val="22"/>
          <w:szCs w:val="22"/>
        </w:rPr>
      </w:pPr>
      <w:r>
        <w:rPr>
          <w:rFonts w:hint="eastAsia" w:ascii="宋体" w:hAnsi="宋体" w:cs="宋体"/>
          <w:sz w:val="22"/>
          <w:szCs w:val="22"/>
        </w:rPr>
        <w:t>参加谈判的供应商和谈判小组成员填写谈判登记表，并交验证明文件（法定代表人证明书、法人授权委托书、被授权的谈判代表身份证原件）。</w:t>
      </w:r>
    </w:p>
    <w:p w14:paraId="4F437172">
      <w:pPr>
        <w:numPr>
          <w:ilvl w:val="2"/>
          <w:numId w:val="18"/>
        </w:numPr>
        <w:rPr>
          <w:rFonts w:ascii="宋体" w:hAnsi="宋体" w:cs="宋体"/>
          <w:sz w:val="22"/>
          <w:szCs w:val="22"/>
        </w:rPr>
      </w:pPr>
      <w:r>
        <w:rPr>
          <w:rFonts w:hint="eastAsia" w:ascii="宋体" w:hAnsi="宋体" w:cs="宋体"/>
          <w:sz w:val="22"/>
          <w:szCs w:val="22"/>
        </w:rPr>
        <w:t>谈判小组主持人宣布谈判规则和谈判纪律。</w:t>
      </w:r>
    </w:p>
    <w:p w14:paraId="042477AE">
      <w:pPr>
        <w:numPr>
          <w:ilvl w:val="2"/>
          <w:numId w:val="18"/>
        </w:numPr>
        <w:rPr>
          <w:rFonts w:ascii="宋体" w:hAnsi="宋体" w:cs="宋体"/>
          <w:sz w:val="22"/>
          <w:szCs w:val="22"/>
        </w:rPr>
      </w:pPr>
      <w:r>
        <w:rPr>
          <w:rFonts w:hint="eastAsia" w:ascii="宋体" w:hAnsi="宋体" w:cs="宋体"/>
          <w:sz w:val="22"/>
          <w:szCs w:val="22"/>
        </w:rPr>
        <w:t>在谈判中，谈判小组将就以下谈判内容跟供应商进行谈判：</w:t>
      </w:r>
    </w:p>
    <w:p w14:paraId="051E044F">
      <w:pPr>
        <w:ind w:left="907"/>
        <w:rPr>
          <w:rFonts w:ascii="宋体" w:hAnsi="宋体" w:cs="宋体"/>
          <w:sz w:val="22"/>
          <w:szCs w:val="22"/>
        </w:rPr>
      </w:pPr>
      <w:r>
        <w:rPr>
          <w:rFonts w:hint="eastAsia" w:ascii="宋体" w:hAnsi="宋体" w:cs="宋体"/>
          <w:sz w:val="22"/>
          <w:szCs w:val="22"/>
        </w:rPr>
        <w:t>（1）项目方案；</w:t>
      </w:r>
    </w:p>
    <w:p w14:paraId="76F004ED">
      <w:pPr>
        <w:ind w:left="907"/>
        <w:rPr>
          <w:rFonts w:ascii="宋体" w:hAnsi="宋体" w:cs="宋体"/>
          <w:sz w:val="22"/>
          <w:szCs w:val="22"/>
        </w:rPr>
      </w:pPr>
      <w:r>
        <w:rPr>
          <w:rFonts w:hint="eastAsia" w:ascii="宋体" w:hAnsi="宋体" w:cs="宋体"/>
          <w:sz w:val="22"/>
          <w:szCs w:val="22"/>
        </w:rPr>
        <w:t>（2）报价；</w:t>
      </w:r>
    </w:p>
    <w:p w14:paraId="3D029B28">
      <w:pPr>
        <w:ind w:left="907"/>
        <w:rPr>
          <w:rFonts w:ascii="宋体" w:hAnsi="宋体" w:cs="宋体"/>
          <w:sz w:val="22"/>
          <w:szCs w:val="22"/>
        </w:rPr>
      </w:pPr>
      <w:r>
        <w:rPr>
          <w:rFonts w:hint="eastAsia" w:ascii="宋体" w:hAnsi="宋体" w:cs="宋体"/>
          <w:sz w:val="22"/>
          <w:szCs w:val="22"/>
        </w:rPr>
        <w:t>（3）其它相关事项。</w:t>
      </w:r>
    </w:p>
    <w:p w14:paraId="604DC6FC">
      <w:pPr>
        <w:ind w:left="907"/>
        <w:rPr>
          <w:rFonts w:ascii="宋体" w:hAnsi="宋体" w:cs="宋体"/>
          <w:sz w:val="22"/>
          <w:szCs w:val="22"/>
        </w:rPr>
      </w:pPr>
      <w:r>
        <w:rPr>
          <w:rFonts w:hint="eastAsia" w:ascii="宋体" w:hAnsi="宋体" w:cs="宋体"/>
          <w:sz w:val="22"/>
          <w:szCs w:val="22"/>
        </w:rPr>
        <w:t>原采购文件或谈判邀请文件有实质性变动的，谈判小组应当通过政府采购代理机构通知所有参加谈判的供应商。</w:t>
      </w:r>
    </w:p>
    <w:p w14:paraId="41D2361A">
      <w:pPr>
        <w:numPr>
          <w:ilvl w:val="2"/>
          <w:numId w:val="18"/>
        </w:numPr>
        <w:rPr>
          <w:rFonts w:ascii="宋体" w:hAnsi="宋体" w:cs="宋体"/>
          <w:sz w:val="22"/>
          <w:szCs w:val="22"/>
        </w:rPr>
      </w:pPr>
      <w:r>
        <w:rPr>
          <w:rFonts w:hint="eastAsia" w:ascii="宋体" w:hAnsi="宋体" w:cs="宋体"/>
          <w:sz w:val="22"/>
          <w:szCs w:val="22"/>
        </w:rPr>
        <w:t>谈判小组可以用书面形式要求各供应商对其谈判应答文件含义不明确的内容作必要的澄清或者说明，重要问题供应商应以书面形式进行澄清、说明。</w:t>
      </w:r>
    </w:p>
    <w:p w14:paraId="2F683D2F">
      <w:pPr>
        <w:numPr>
          <w:ilvl w:val="2"/>
          <w:numId w:val="18"/>
        </w:numPr>
        <w:rPr>
          <w:rFonts w:ascii="宋体" w:hAnsi="宋体" w:cs="宋体"/>
          <w:sz w:val="22"/>
          <w:szCs w:val="22"/>
        </w:rPr>
      </w:pPr>
      <w:r>
        <w:rPr>
          <w:rFonts w:hint="eastAsia" w:ascii="宋体" w:hAnsi="宋体" w:cs="宋体"/>
          <w:sz w:val="22"/>
          <w:szCs w:val="22"/>
        </w:rPr>
        <w:t>允许供应商在谈判结束之前根据谈判小组提出的内容进行澄清、修改或完善，或对项目方案进行相应的调整。</w:t>
      </w:r>
    </w:p>
    <w:p w14:paraId="5A5578BB">
      <w:pPr>
        <w:numPr>
          <w:ilvl w:val="2"/>
          <w:numId w:val="18"/>
        </w:numPr>
        <w:rPr>
          <w:rFonts w:ascii="宋体" w:hAnsi="宋体" w:cs="宋体"/>
          <w:sz w:val="22"/>
          <w:szCs w:val="22"/>
        </w:rPr>
      </w:pPr>
      <w:r>
        <w:rPr>
          <w:rFonts w:hint="eastAsia" w:ascii="宋体" w:hAnsi="宋体" w:cs="宋体"/>
          <w:sz w:val="22"/>
          <w:szCs w:val="22"/>
        </w:rPr>
        <w:t>供应商对谈判应答文件进行修改，都应形成文字材料，并经供应商谈判授权人签字认可。</w:t>
      </w:r>
    </w:p>
    <w:p w14:paraId="5290465A">
      <w:pPr>
        <w:numPr>
          <w:ilvl w:val="2"/>
          <w:numId w:val="18"/>
        </w:numPr>
        <w:rPr>
          <w:rFonts w:ascii="宋体" w:hAnsi="宋体" w:cs="宋体"/>
          <w:sz w:val="22"/>
          <w:szCs w:val="22"/>
        </w:rPr>
      </w:pPr>
      <w:r>
        <w:rPr>
          <w:rFonts w:hint="eastAsia" w:ascii="宋体" w:hAnsi="宋体" w:cs="宋体"/>
          <w:sz w:val="22"/>
          <w:szCs w:val="22"/>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CF72C66">
      <w:pPr>
        <w:numPr>
          <w:ilvl w:val="2"/>
          <w:numId w:val="18"/>
        </w:numPr>
        <w:rPr>
          <w:rFonts w:ascii="宋体" w:hAnsi="宋体" w:cs="宋体"/>
          <w:sz w:val="22"/>
          <w:szCs w:val="22"/>
        </w:rPr>
      </w:pPr>
      <w:r>
        <w:rPr>
          <w:rFonts w:hint="eastAsia" w:ascii="宋体" w:hAnsi="宋体" w:cs="宋体"/>
          <w:sz w:val="22"/>
          <w:szCs w:val="22"/>
        </w:rPr>
        <w:t>有下列情形之一的，该供应商的谈判结果作废标处理，具体内容见原采购文件中投标文件初审表的《符合性检查表》部分以及谈判邀请中相应的变动部分。</w:t>
      </w:r>
    </w:p>
    <w:p w14:paraId="1AD2B4B3">
      <w:pPr>
        <w:numPr>
          <w:ilvl w:val="2"/>
          <w:numId w:val="18"/>
        </w:numPr>
        <w:rPr>
          <w:rFonts w:ascii="宋体" w:hAnsi="宋体" w:cs="宋体"/>
          <w:sz w:val="22"/>
          <w:szCs w:val="22"/>
        </w:rPr>
      </w:pPr>
      <w:r>
        <w:rPr>
          <w:rFonts w:hint="eastAsia" w:ascii="宋体" w:hAnsi="宋体" w:cs="宋体"/>
          <w:sz w:val="22"/>
          <w:szCs w:val="22"/>
        </w:rPr>
        <w:t>谈判结束后，谈判小组根据供应商提供的谈判应答文件、谈判过程中产生的相关资料，对供应商谈判应答文件进行评估与比较，提出书面评审意见。</w:t>
      </w:r>
    </w:p>
    <w:p w14:paraId="286128F8">
      <w:pPr>
        <w:numPr>
          <w:ilvl w:val="2"/>
          <w:numId w:val="18"/>
        </w:numPr>
        <w:rPr>
          <w:rFonts w:ascii="宋体" w:hAnsi="宋体" w:cs="宋体"/>
          <w:sz w:val="22"/>
          <w:szCs w:val="22"/>
        </w:rPr>
      </w:pPr>
      <w:r>
        <w:rPr>
          <w:rFonts w:hint="eastAsia" w:ascii="宋体" w:hAnsi="宋体" w:cs="宋体"/>
          <w:sz w:val="22"/>
          <w:szCs w:val="22"/>
        </w:rPr>
        <w:t>谈判小组将对谈判过程进行记录，以存档备查。</w:t>
      </w:r>
    </w:p>
    <w:p w14:paraId="71BA04FA">
      <w:pPr>
        <w:numPr>
          <w:ilvl w:val="1"/>
          <w:numId w:val="14"/>
        </w:numPr>
        <w:ind w:left="950" w:hanging="950" w:hangingChars="432"/>
        <w:rPr>
          <w:rFonts w:ascii="宋体" w:hAnsi="宋体" w:cs="宋体"/>
          <w:sz w:val="22"/>
          <w:szCs w:val="22"/>
        </w:rPr>
      </w:pPr>
      <w:r>
        <w:rPr>
          <w:rFonts w:hint="eastAsia" w:ascii="宋体" w:hAnsi="宋体" w:cs="宋体"/>
          <w:sz w:val="22"/>
          <w:szCs w:val="22"/>
        </w:rPr>
        <w:t>评标方法和定标原则</w:t>
      </w:r>
    </w:p>
    <w:p w14:paraId="323CD6EA">
      <w:pPr>
        <w:numPr>
          <w:ilvl w:val="2"/>
          <w:numId w:val="18"/>
        </w:numPr>
        <w:rPr>
          <w:rFonts w:ascii="宋体" w:hAnsi="宋体" w:cs="宋体"/>
          <w:sz w:val="22"/>
          <w:szCs w:val="22"/>
        </w:rPr>
      </w:pPr>
      <w:r>
        <w:rPr>
          <w:rFonts w:hint="eastAsia" w:ascii="宋体" w:hAnsi="宋体" w:cs="宋体"/>
          <w:sz w:val="22"/>
          <w:szCs w:val="22"/>
        </w:rPr>
        <w:t>根据《政府采购货物和服务招标投标管理办法（财政部令第87号）》，竞争性谈判采购项目的评标方法要比照最低评标价法规定执行。如确因实际情况需要采用其他评标方法的，应报经同级政府采购监督管理部门批准。原采购文件若采用最低评标价法以外的评标方法，转为竞争性谈判后，评标方法应采用最低评标价法。</w:t>
      </w:r>
    </w:p>
    <w:p w14:paraId="787D9CB3">
      <w:pPr>
        <w:numPr>
          <w:ilvl w:val="2"/>
          <w:numId w:val="18"/>
        </w:numPr>
        <w:rPr>
          <w:rFonts w:ascii="宋体" w:hAnsi="宋体" w:cs="宋体"/>
          <w:sz w:val="22"/>
          <w:szCs w:val="22"/>
        </w:rPr>
      </w:pPr>
      <w:r>
        <w:rPr>
          <w:rFonts w:hint="eastAsia" w:ascii="宋体" w:hAnsi="宋体" w:cs="宋体"/>
          <w:sz w:val="22"/>
          <w:szCs w:val="22"/>
        </w:rPr>
        <w:t>对公开招标失败转为竞争性谈判方式采购的项目，谈判小组对谈判应答文件进行评审和比较，综合各家供应商最终的方案、服务和投资等谈判结果并按本通用条款第37.1.1款的最低评标价法进行评审。</w:t>
      </w:r>
    </w:p>
    <w:p w14:paraId="4F0CAA58">
      <w:pPr>
        <w:numPr>
          <w:ilvl w:val="2"/>
          <w:numId w:val="18"/>
        </w:numPr>
        <w:rPr>
          <w:rFonts w:ascii="宋体" w:hAnsi="宋体" w:cs="宋体"/>
          <w:sz w:val="22"/>
          <w:szCs w:val="22"/>
        </w:rPr>
      </w:pPr>
      <w:r>
        <w:rPr>
          <w:rFonts w:hint="eastAsia" w:ascii="宋体" w:hAnsi="宋体" w:cs="宋体"/>
          <w:sz w:val="22"/>
          <w:szCs w:val="22"/>
        </w:rPr>
        <w:t>若要采用其他评标方法的，必须报经政府采购监督管理部门批准，谈判小组按批准的评标方法进行评审。谈判邀请文件中应注明批准的评标方法。</w:t>
      </w:r>
    </w:p>
    <w:p w14:paraId="4422B092">
      <w:pPr>
        <w:numPr>
          <w:ilvl w:val="2"/>
          <w:numId w:val="18"/>
        </w:numPr>
        <w:rPr>
          <w:rFonts w:ascii="宋体" w:hAnsi="宋体" w:cs="宋体"/>
          <w:sz w:val="22"/>
          <w:szCs w:val="22"/>
        </w:rPr>
      </w:pPr>
      <w:r>
        <w:rPr>
          <w:rFonts w:hint="eastAsia" w:ascii="宋体" w:hAnsi="宋体" w:cs="宋体"/>
          <w:sz w:val="22"/>
          <w:szCs w:val="22"/>
        </w:rPr>
        <w:t>谈判小组向政府采购代理机构提交书面评标报告，并推荐中标候选人或确定中标供应商。</w:t>
      </w:r>
    </w:p>
    <w:p w14:paraId="3AEE6AFB">
      <w:pPr>
        <w:ind w:left="907"/>
        <w:rPr>
          <w:rFonts w:ascii="宋体" w:hAnsi="宋体" w:cs="宋体"/>
          <w:sz w:val="22"/>
          <w:szCs w:val="22"/>
        </w:rPr>
      </w:pPr>
    </w:p>
    <w:p w14:paraId="1C285C5F">
      <w:pPr>
        <w:numPr>
          <w:ilvl w:val="0"/>
          <w:numId w:val="13"/>
        </w:numPr>
        <w:rPr>
          <w:rFonts w:ascii="宋体" w:hAnsi="宋体" w:cs="宋体"/>
          <w:sz w:val="22"/>
          <w:szCs w:val="22"/>
        </w:rPr>
      </w:pPr>
      <w:r>
        <w:rPr>
          <w:rFonts w:hint="eastAsia" w:ascii="宋体" w:hAnsi="宋体" w:cs="宋体"/>
          <w:sz w:val="22"/>
          <w:szCs w:val="22"/>
        </w:rPr>
        <w:t>公开招标失败项目转为单一来源谈判方式采购</w:t>
      </w:r>
    </w:p>
    <w:p w14:paraId="0829AAAC">
      <w:pPr>
        <w:numPr>
          <w:ilvl w:val="1"/>
          <w:numId w:val="14"/>
        </w:numPr>
        <w:ind w:left="950" w:hanging="950" w:hangingChars="432"/>
        <w:rPr>
          <w:rFonts w:ascii="宋体" w:hAnsi="宋体" w:cs="宋体"/>
          <w:sz w:val="22"/>
          <w:szCs w:val="22"/>
        </w:rPr>
      </w:pPr>
      <w:r>
        <w:rPr>
          <w:rFonts w:hint="eastAsia" w:ascii="宋体" w:hAnsi="宋体" w:cs="宋体"/>
          <w:sz w:val="22"/>
          <w:szCs w:val="22"/>
        </w:rPr>
        <w:t>谈判文件</w:t>
      </w:r>
    </w:p>
    <w:p w14:paraId="2DA94A3E">
      <w:pPr>
        <w:numPr>
          <w:ilvl w:val="2"/>
          <w:numId w:val="18"/>
        </w:numPr>
        <w:rPr>
          <w:rFonts w:ascii="宋体" w:hAnsi="宋体" w:cs="宋体"/>
          <w:sz w:val="22"/>
          <w:szCs w:val="22"/>
        </w:rPr>
      </w:pPr>
      <w:r>
        <w:rPr>
          <w:rFonts w:hint="eastAsia" w:ascii="宋体" w:hAnsi="宋体" w:cs="宋体"/>
          <w:sz w:val="22"/>
          <w:szCs w:val="22"/>
        </w:rPr>
        <w:t>公开招标失败项目转为单一来源谈判方式采购的，原采购文件转为谈判文件。</w:t>
      </w:r>
    </w:p>
    <w:p w14:paraId="10248C70">
      <w:pPr>
        <w:numPr>
          <w:ilvl w:val="1"/>
          <w:numId w:val="14"/>
        </w:numPr>
        <w:ind w:left="950" w:hanging="950" w:hangingChars="432"/>
        <w:rPr>
          <w:rFonts w:ascii="宋体" w:hAnsi="宋体" w:cs="宋体"/>
          <w:sz w:val="22"/>
          <w:szCs w:val="22"/>
        </w:rPr>
      </w:pPr>
      <w:r>
        <w:rPr>
          <w:rFonts w:hint="eastAsia" w:ascii="宋体" w:hAnsi="宋体" w:cs="宋体"/>
          <w:sz w:val="22"/>
          <w:szCs w:val="22"/>
        </w:rPr>
        <w:t>谈判小组</w:t>
      </w:r>
    </w:p>
    <w:p w14:paraId="78FF8A47">
      <w:pPr>
        <w:numPr>
          <w:ilvl w:val="2"/>
          <w:numId w:val="18"/>
        </w:numPr>
        <w:rPr>
          <w:rFonts w:ascii="宋体" w:hAnsi="宋体" w:cs="宋体"/>
          <w:sz w:val="22"/>
          <w:szCs w:val="22"/>
        </w:rPr>
      </w:pPr>
      <w:r>
        <w:rPr>
          <w:rFonts w:hint="eastAsia" w:ascii="宋体" w:hAnsi="宋体" w:cs="宋体"/>
          <w:sz w:val="22"/>
          <w:szCs w:val="22"/>
        </w:rPr>
        <w:t>公开招标失败项目转为单一来源谈判方式采购后，评审委员会转为谈判小组，专家可重新抽取也可继续采用评审委员会内专家。</w:t>
      </w:r>
    </w:p>
    <w:p w14:paraId="22F2BDEF">
      <w:pPr>
        <w:numPr>
          <w:ilvl w:val="2"/>
          <w:numId w:val="18"/>
        </w:numPr>
        <w:rPr>
          <w:rFonts w:ascii="宋体" w:hAnsi="宋体" w:cs="宋体"/>
          <w:sz w:val="22"/>
          <w:szCs w:val="22"/>
        </w:rPr>
      </w:pPr>
      <w:r>
        <w:rPr>
          <w:rFonts w:hint="eastAsia" w:ascii="宋体" w:hAnsi="宋体" w:cs="宋体"/>
          <w:sz w:val="22"/>
          <w:szCs w:val="22"/>
        </w:rPr>
        <w:t>谈判前，谈判小组将对单一来源供应商的谈判应答文件进行审查，当谈判应答文件出现下列情况之一的将视为无效，按废标处理，不得进入谈判，具体内容见原采购文件中投标文件初审表的《资格性检查表》部分以及谈判邀请中相应的变动部分。</w:t>
      </w:r>
    </w:p>
    <w:p w14:paraId="6C06C8A9">
      <w:pPr>
        <w:numPr>
          <w:ilvl w:val="1"/>
          <w:numId w:val="14"/>
        </w:numPr>
        <w:ind w:left="950" w:hanging="950" w:hangingChars="432"/>
        <w:rPr>
          <w:rFonts w:ascii="宋体" w:hAnsi="宋体" w:cs="宋体"/>
          <w:sz w:val="22"/>
          <w:szCs w:val="22"/>
        </w:rPr>
      </w:pPr>
      <w:r>
        <w:rPr>
          <w:rFonts w:hint="eastAsia" w:ascii="宋体" w:hAnsi="宋体" w:cs="宋体"/>
          <w:sz w:val="22"/>
          <w:szCs w:val="22"/>
        </w:rPr>
        <w:t>谈判程序</w:t>
      </w:r>
    </w:p>
    <w:p w14:paraId="11260ACA">
      <w:pPr>
        <w:numPr>
          <w:ilvl w:val="2"/>
          <w:numId w:val="18"/>
        </w:numPr>
        <w:rPr>
          <w:rFonts w:ascii="宋体" w:hAnsi="宋体" w:cs="宋体"/>
          <w:sz w:val="22"/>
          <w:szCs w:val="22"/>
        </w:rPr>
      </w:pPr>
      <w:r>
        <w:rPr>
          <w:rFonts w:hint="eastAsia" w:ascii="宋体" w:hAnsi="宋体" w:cs="宋体"/>
          <w:sz w:val="22"/>
          <w:szCs w:val="22"/>
        </w:rPr>
        <w:t>参加谈判的供应商和谈判小组成员填写谈判登记表，并交验证明文件（法定代表人证明书、法人授权委托书、被授权的谈判代表身份证原件）。</w:t>
      </w:r>
    </w:p>
    <w:p w14:paraId="595EC2D1">
      <w:pPr>
        <w:numPr>
          <w:ilvl w:val="2"/>
          <w:numId w:val="18"/>
        </w:numPr>
        <w:rPr>
          <w:rFonts w:ascii="宋体" w:hAnsi="宋体" w:cs="宋体"/>
          <w:sz w:val="22"/>
          <w:szCs w:val="22"/>
        </w:rPr>
      </w:pPr>
      <w:r>
        <w:rPr>
          <w:rFonts w:hint="eastAsia" w:ascii="宋体" w:hAnsi="宋体" w:cs="宋体"/>
          <w:sz w:val="22"/>
          <w:szCs w:val="22"/>
        </w:rPr>
        <w:t>谈判小组主持人宣布谈判规则和谈判纪律。</w:t>
      </w:r>
    </w:p>
    <w:p w14:paraId="36B2C9D4">
      <w:pPr>
        <w:numPr>
          <w:ilvl w:val="2"/>
          <w:numId w:val="18"/>
        </w:numPr>
        <w:rPr>
          <w:rFonts w:ascii="宋体" w:hAnsi="宋体" w:cs="宋体"/>
          <w:sz w:val="22"/>
          <w:szCs w:val="22"/>
        </w:rPr>
      </w:pPr>
      <w:r>
        <w:rPr>
          <w:rFonts w:hint="eastAsia" w:ascii="宋体" w:hAnsi="宋体" w:cs="宋体"/>
          <w:sz w:val="22"/>
          <w:szCs w:val="22"/>
        </w:rPr>
        <w:t>在谈判中，谈判小组将就以下谈判内容跟供应商进行谈判：</w:t>
      </w:r>
    </w:p>
    <w:p w14:paraId="065FBD0A">
      <w:pPr>
        <w:ind w:left="907"/>
        <w:rPr>
          <w:rFonts w:ascii="宋体" w:hAnsi="宋体" w:cs="宋体"/>
          <w:sz w:val="22"/>
          <w:szCs w:val="22"/>
        </w:rPr>
      </w:pPr>
      <w:r>
        <w:rPr>
          <w:rFonts w:hint="eastAsia" w:ascii="宋体" w:hAnsi="宋体" w:cs="宋体"/>
          <w:sz w:val="22"/>
          <w:szCs w:val="22"/>
        </w:rPr>
        <w:t>（1）项目方案；</w:t>
      </w:r>
    </w:p>
    <w:p w14:paraId="3C20F8B7">
      <w:pPr>
        <w:ind w:left="907"/>
        <w:rPr>
          <w:rFonts w:ascii="宋体" w:hAnsi="宋体" w:cs="宋体"/>
          <w:sz w:val="22"/>
          <w:szCs w:val="22"/>
        </w:rPr>
      </w:pPr>
      <w:r>
        <w:rPr>
          <w:rFonts w:hint="eastAsia" w:ascii="宋体" w:hAnsi="宋体" w:cs="宋体"/>
          <w:sz w:val="22"/>
          <w:szCs w:val="22"/>
        </w:rPr>
        <w:t>（2）报价；</w:t>
      </w:r>
    </w:p>
    <w:p w14:paraId="29E51A89">
      <w:pPr>
        <w:ind w:left="907"/>
        <w:rPr>
          <w:rFonts w:ascii="宋体" w:hAnsi="宋体" w:cs="宋体"/>
          <w:sz w:val="22"/>
          <w:szCs w:val="22"/>
        </w:rPr>
      </w:pPr>
      <w:r>
        <w:rPr>
          <w:rFonts w:hint="eastAsia" w:ascii="宋体" w:hAnsi="宋体" w:cs="宋体"/>
          <w:sz w:val="22"/>
          <w:szCs w:val="22"/>
        </w:rPr>
        <w:t>（3）其它相关事项。</w:t>
      </w:r>
    </w:p>
    <w:p w14:paraId="16FD99DE">
      <w:pPr>
        <w:ind w:left="907"/>
        <w:rPr>
          <w:rFonts w:ascii="宋体" w:hAnsi="宋体" w:cs="宋体"/>
          <w:sz w:val="22"/>
          <w:szCs w:val="22"/>
        </w:rPr>
      </w:pPr>
      <w:r>
        <w:rPr>
          <w:rFonts w:hint="eastAsia" w:ascii="宋体" w:hAnsi="宋体" w:cs="宋体"/>
          <w:sz w:val="22"/>
          <w:szCs w:val="22"/>
        </w:rPr>
        <w:t>原采购文件或谈判邀请文件有实质性变动的，谈判小组应当通过政府采购代理机构通知供应商。</w:t>
      </w:r>
    </w:p>
    <w:p w14:paraId="3E53166D">
      <w:pPr>
        <w:numPr>
          <w:ilvl w:val="2"/>
          <w:numId w:val="18"/>
        </w:numPr>
        <w:rPr>
          <w:rFonts w:ascii="宋体" w:hAnsi="宋体" w:cs="宋体"/>
          <w:sz w:val="22"/>
          <w:szCs w:val="22"/>
        </w:rPr>
      </w:pPr>
      <w:r>
        <w:rPr>
          <w:rFonts w:hint="eastAsia" w:ascii="宋体" w:hAnsi="宋体" w:cs="宋体"/>
          <w:sz w:val="22"/>
          <w:szCs w:val="22"/>
        </w:rPr>
        <w:t>谈判小组可以用书面形式要求供应商对其谈判应答文件含义不明确的内容作必要的澄清或者说明，重要问题供应商应以书面形式进行澄清、说明。</w:t>
      </w:r>
    </w:p>
    <w:p w14:paraId="42774ADA">
      <w:pPr>
        <w:numPr>
          <w:ilvl w:val="2"/>
          <w:numId w:val="18"/>
        </w:numPr>
        <w:rPr>
          <w:rFonts w:ascii="宋体" w:hAnsi="宋体" w:cs="宋体"/>
          <w:sz w:val="22"/>
          <w:szCs w:val="22"/>
        </w:rPr>
      </w:pPr>
      <w:r>
        <w:rPr>
          <w:rFonts w:hint="eastAsia" w:ascii="宋体" w:hAnsi="宋体" w:cs="宋体"/>
          <w:sz w:val="22"/>
          <w:szCs w:val="22"/>
        </w:rPr>
        <w:t>允许供应商在谈判结束之前根据谈判小组提出的内容进行澄清、修改或完善，或对项目方案进行相应的调整。</w:t>
      </w:r>
    </w:p>
    <w:p w14:paraId="4B110890">
      <w:pPr>
        <w:numPr>
          <w:ilvl w:val="2"/>
          <w:numId w:val="18"/>
        </w:numPr>
        <w:rPr>
          <w:rFonts w:ascii="宋体" w:hAnsi="宋体" w:cs="宋体"/>
          <w:sz w:val="22"/>
          <w:szCs w:val="22"/>
        </w:rPr>
      </w:pPr>
      <w:r>
        <w:rPr>
          <w:rFonts w:hint="eastAsia" w:ascii="宋体" w:hAnsi="宋体" w:cs="宋体"/>
          <w:sz w:val="22"/>
          <w:szCs w:val="22"/>
        </w:rPr>
        <w:t>供应商对谈判应答文件进行修改，都应形成文字材料，并经供应商谈判授权人签字认可。</w:t>
      </w:r>
    </w:p>
    <w:p w14:paraId="648A604E">
      <w:pPr>
        <w:numPr>
          <w:ilvl w:val="2"/>
          <w:numId w:val="18"/>
        </w:numPr>
        <w:rPr>
          <w:rFonts w:ascii="宋体" w:hAnsi="宋体" w:cs="宋体"/>
          <w:sz w:val="22"/>
          <w:szCs w:val="22"/>
        </w:rPr>
      </w:pPr>
      <w:r>
        <w:rPr>
          <w:rFonts w:hint="eastAsia" w:ascii="宋体" w:hAnsi="宋体" w:cs="宋体"/>
          <w:sz w:val="22"/>
          <w:szCs w:val="22"/>
        </w:rPr>
        <w:t>谈判小组与单一来源供应商进行谈判。供应商有两次更改机会；供应商应在规定的时间内提出最后更改及书面承诺。</w:t>
      </w:r>
    </w:p>
    <w:p w14:paraId="7FF3B16D">
      <w:pPr>
        <w:numPr>
          <w:ilvl w:val="2"/>
          <w:numId w:val="18"/>
        </w:numPr>
        <w:rPr>
          <w:rFonts w:ascii="宋体" w:hAnsi="宋体" w:cs="宋体"/>
          <w:sz w:val="22"/>
          <w:szCs w:val="22"/>
        </w:rPr>
      </w:pPr>
      <w:r>
        <w:rPr>
          <w:rFonts w:hint="eastAsia" w:ascii="宋体" w:hAnsi="宋体" w:cs="宋体"/>
          <w:sz w:val="22"/>
          <w:szCs w:val="22"/>
        </w:rPr>
        <w:t>有下列情形之一的，供应商的谈判结果作废标处理，具体内容见原采购文件中投标文件初审表的《符合性检查表》部分以及谈判邀请中相应的变动部分。</w:t>
      </w:r>
    </w:p>
    <w:p w14:paraId="44AAA1DC">
      <w:pPr>
        <w:numPr>
          <w:ilvl w:val="2"/>
          <w:numId w:val="18"/>
        </w:numPr>
        <w:rPr>
          <w:rFonts w:ascii="宋体" w:hAnsi="宋体" w:cs="宋体"/>
          <w:sz w:val="22"/>
          <w:szCs w:val="22"/>
        </w:rPr>
      </w:pPr>
      <w:r>
        <w:rPr>
          <w:rFonts w:hint="eastAsia" w:ascii="宋体" w:hAnsi="宋体" w:cs="宋体"/>
          <w:sz w:val="22"/>
          <w:szCs w:val="22"/>
        </w:rPr>
        <w:t>谈判结束后，谈判小组根据供应商提供的谈判应答文件、谈判过程中产生的相关资料，对供应商谈判应答文件进行评估与比较，提出书面评审意见。</w:t>
      </w:r>
    </w:p>
    <w:p w14:paraId="428ABE15">
      <w:pPr>
        <w:numPr>
          <w:ilvl w:val="2"/>
          <w:numId w:val="18"/>
        </w:numPr>
        <w:rPr>
          <w:rFonts w:ascii="宋体" w:hAnsi="宋体" w:cs="宋体"/>
          <w:sz w:val="22"/>
          <w:szCs w:val="22"/>
        </w:rPr>
      </w:pPr>
      <w:r>
        <w:rPr>
          <w:rFonts w:hint="eastAsia" w:ascii="宋体" w:hAnsi="宋体" w:cs="宋体"/>
          <w:sz w:val="22"/>
          <w:szCs w:val="22"/>
        </w:rPr>
        <w:t>谈判小组将对谈判过程进行记录，以存档备查。</w:t>
      </w:r>
    </w:p>
    <w:p w14:paraId="71828482">
      <w:pPr>
        <w:numPr>
          <w:ilvl w:val="1"/>
          <w:numId w:val="14"/>
        </w:numPr>
        <w:ind w:left="950" w:hanging="950" w:hangingChars="432"/>
        <w:rPr>
          <w:rFonts w:ascii="宋体" w:hAnsi="宋体" w:cs="宋体"/>
          <w:sz w:val="22"/>
          <w:szCs w:val="22"/>
        </w:rPr>
      </w:pPr>
      <w:r>
        <w:rPr>
          <w:rFonts w:hint="eastAsia" w:ascii="宋体" w:hAnsi="宋体" w:cs="宋体"/>
          <w:sz w:val="22"/>
          <w:szCs w:val="22"/>
        </w:rPr>
        <w:t>评标方法和定标原则</w:t>
      </w:r>
    </w:p>
    <w:p w14:paraId="7A730D83">
      <w:pPr>
        <w:numPr>
          <w:ilvl w:val="2"/>
          <w:numId w:val="18"/>
        </w:numPr>
        <w:rPr>
          <w:rFonts w:ascii="宋体" w:hAnsi="宋体" w:cs="宋体"/>
          <w:sz w:val="22"/>
          <w:szCs w:val="22"/>
        </w:rPr>
      </w:pPr>
      <w:r>
        <w:rPr>
          <w:rFonts w:hint="eastAsia" w:ascii="宋体" w:hAnsi="宋体" w:cs="宋体"/>
          <w:sz w:val="22"/>
          <w:szCs w:val="22"/>
        </w:rPr>
        <w:t>单一来源谈判采用最低评标价法。原采购文件若采用最低评标价法以外的评标方法，转为单一来源谈判后，评标方法改为最低评标价法。谈判小组对谈判应答文件进行评审和比较，对供应商最终的方案、服务和投资等谈判结果按本通用条款第37.1.1的最低评标价法进行评审。</w:t>
      </w:r>
    </w:p>
    <w:p w14:paraId="3F4339E1">
      <w:pPr>
        <w:numPr>
          <w:ilvl w:val="2"/>
          <w:numId w:val="18"/>
        </w:numPr>
        <w:rPr>
          <w:rFonts w:ascii="宋体" w:hAnsi="宋体" w:cs="宋体"/>
          <w:sz w:val="22"/>
          <w:szCs w:val="22"/>
        </w:rPr>
      </w:pPr>
      <w:r>
        <w:rPr>
          <w:rFonts w:hint="eastAsia" w:ascii="宋体" w:hAnsi="宋体" w:cs="宋体"/>
          <w:sz w:val="22"/>
          <w:szCs w:val="22"/>
        </w:rPr>
        <w:t>谈判小组向政府采购代理机构提交书面评标报告，并推荐中标候选人或确定中标供应商。</w:t>
      </w:r>
      <w:bookmarkEnd w:id="221"/>
      <w:bookmarkEnd w:id="222"/>
      <w:bookmarkEnd w:id="223"/>
      <w:bookmarkEnd w:id="224"/>
    </w:p>
    <w:p w14:paraId="3FF9D04C">
      <w:r>
        <w:br w:type="page"/>
      </w:r>
    </w:p>
    <w:p w14:paraId="51CC4DA4"/>
    <w:p w14:paraId="41944B2F"/>
    <w:p w14:paraId="2E02A606"/>
    <w:p w14:paraId="5B51C16B"/>
    <w:p w14:paraId="2B5B20FB"/>
    <w:p w14:paraId="0CF6A151"/>
    <w:p w14:paraId="5FAF1468"/>
    <w:p w14:paraId="0691EEEB"/>
    <w:p w14:paraId="2B82F3E6"/>
    <w:p w14:paraId="145DD80C"/>
    <w:p w14:paraId="5FA09326"/>
    <w:p w14:paraId="0823496A"/>
    <w:p w14:paraId="0A2D1FE7"/>
    <w:p w14:paraId="0DB0D2EC"/>
    <w:p w14:paraId="71A84885"/>
    <w:p w14:paraId="6EB4D1EB">
      <w:pPr>
        <w:pStyle w:val="3"/>
        <w:rPr>
          <w:szCs w:val="28"/>
        </w:rPr>
      </w:pPr>
      <w:r>
        <w:rPr>
          <w:b w:val="0"/>
          <w:bCs/>
          <w:kern w:val="28"/>
          <w:sz w:val="44"/>
          <w:szCs w:val="44"/>
        </w:rPr>
        <w:t>第十章  合同的授予与备案</w:t>
      </w:r>
      <w:r>
        <w:rPr>
          <w:b w:val="0"/>
          <w:bCs/>
          <w:kern w:val="28"/>
          <w:sz w:val="44"/>
          <w:szCs w:val="44"/>
        </w:rPr>
        <w:br w:type="page"/>
      </w:r>
    </w:p>
    <w:p w14:paraId="09ABE830"/>
    <w:p w14:paraId="6507A520">
      <w:pPr>
        <w:numPr>
          <w:ilvl w:val="0"/>
          <w:numId w:val="13"/>
        </w:numPr>
        <w:ind w:left="1037" w:hanging="1036" w:hangingChars="432"/>
        <w:rPr>
          <w:sz w:val="24"/>
        </w:rPr>
      </w:pPr>
      <w:bookmarkStart w:id="225" w:name="_33._合同授予标准"/>
      <w:bookmarkEnd w:id="225"/>
      <w:bookmarkStart w:id="226" w:name="_Toc73517679"/>
      <w:bookmarkStart w:id="227" w:name="_Toc73518157"/>
      <w:bookmarkStart w:id="228" w:name="_Toc100052408"/>
      <w:bookmarkStart w:id="229" w:name="_Toc73521586"/>
      <w:bookmarkStart w:id="230" w:name="_Toc73521674"/>
      <w:r>
        <w:rPr>
          <w:sz w:val="24"/>
        </w:rPr>
        <w:t>合同授予标准</w:t>
      </w:r>
      <w:bookmarkEnd w:id="226"/>
      <w:bookmarkEnd w:id="227"/>
      <w:bookmarkEnd w:id="228"/>
      <w:bookmarkEnd w:id="229"/>
      <w:bookmarkEnd w:id="230"/>
    </w:p>
    <w:p w14:paraId="65CB8E8A">
      <w:pPr>
        <w:numPr>
          <w:ilvl w:val="1"/>
          <w:numId w:val="14"/>
        </w:numPr>
        <w:ind w:hangingChars="432"/>
        <w:rPr>
          <w:szCs w:val="21"/>
        </w:rPr>
      </w:pPr>
      <w:r>
        <w:rPr>
          <w:szCs w:val="21"/>
        </w:rPr>
        <w:t>本项目的合同将授予按本采购文件规定评审确定的中标人。</w:t>
      </w:r>
    </w:p>
    <w:p w14:paraId="08742066">
      <w:pPr>
        <w:ind w:left="907"/>
        <w:rPr>
          <w:szCs w:val="21"/>
        </w:rPr>
      </w:pPr>
    </w:p>
    <w:p w14:paraId="36872B42">
      <w:pPr>
        <w:numPr>
          <w:ilvl w:val="0"/>
          <w:numId w:val="13"/>
        </w:numPr>
        <w:ind w:left="1037" w:hanging="1036" w:hangingChars="432"/>
        <w:rPr>
          <w:sz w:val="24"/>
        </w:rPr>
      </w:pPr>
      <w:r>
        <w:rPr>
          <w:sz w:val="24"/>
        </w:rPr>
        <w:t>接受和拒绝任何或所有投标的权力</w:t>
      </w:r>
    </w:p>
    <w:p w14:paraId="254BB6E2">
      <w:pPr>
        <w:numPr>
          <w:ilvl w:val="1"/>
          <w:numId w:val="14"/>
        </w:numPr>
        <w:ind w:hangingChars="432"/>
        <w:rPr>
          <w:szCs w:val="21"/>
        </w:rPr>
      </w:pPr>
      <w:r>
        <w:rPr>
          <w:szCs w:val="21"/>
        </w:rPr>
        <w:t>政府采购代理机构和采购单位保留在投标之前任何时候接受或拒绝任何投标或所有投标，以及宣布招标无效的权力，对受影响的投标人不承担任何责任，也无义务向受影响的投标人解释采取这一行动的理由。</w:t>
      </w:r>
    </w:p>
    <w:p w14:paraId="1D6E9640">
      <w:pPr>
        <w:ind w:left="907"/>
        <w:rPr>
          <w:szCs w:val="21"/>
        </w:rPr>
      </w:pPr>
    </w:p>
    <w:p w14:paraId="4CE5713D">
      <w:pPr>
        <w:numPr>
          <w:ilvl w:val="0"/>
          <w:numId w:val="13"/>
        </w:numPr>
        <w:ind w:left="1037" w:hanging="1036" w:hangingChars="432"/>
        <w:rPr>
          <w:sz w:val="24"/>
        </w:rPr>
      </w:pPr>
      <w:bookmarkStart w:id="231" w:name="_Toc100052410"/>
      <w:bookmarkStart w:id="232" w:name="_Toc73518160"/>
      <w:bookmarkStart w:id="233" w:name="_Toc73517682"/>
      <w:bookmarkStart w:id="234" w:name="_Toc73521589"/>
      <w:bookmarkStart w:id="235" w:name="_Toc73521677"/>
      <w:r>
        <w:rPr>
          <w:sz w:val="24"/>
        </w:rPr>
        <w:t>合同协议书的签订</w:t>
      </w:r>
      <w:bookmarkEnd w:id="231"/>
      <w:bookmarkEnd w:id="232"/>
      <w:bookmarkEnd w:id="233"/>
      <w:bookmarkEnd w:id="234"/>
      <w:bookmarkEnd w:id="235"/>
    </w:p>
    <w:p w14:paraId="10BF58D0">
      <w:pPr>
        <w:numPr>
          <w:ilvl w:val="1"/>
          <w:numId w:val="14"/>
        </w:numPr>
        <w:ind w:hangingChars="432"/>
        <w:rPr>
          <w:szCs w:val="21"/>
        </w:rPr>
      </w:pPr>
      <w:r>
        <w:rPr>
          <w:rFonts w:hint="eastAsia"/>
          <w:szCs w:val="21"/>
        </w:rPr>
        <w:t>中标人将于中标通知书发出之日起十个工作日内</w:t>
      </w:r>
      <w:r>
        <w:rPr>
          <w:szCs w:val="21"/>
        </w:rPr>
        <w:t>，按照采购文件和投标文件内容与采购单位签订书面合同，合同书应采用本采购文件规定的合同样本；</w:t>
      </w:r>
    </w:p>
    <w:p w14:paraId="18B3775C">
      <w:pPr>
        <w:numPr>
          <w:ilvl w:val="1"/>
          <w:numId w:val="14"/>
        </w:numPr>
        <w:ind w:hangingChars="432"/>
        <w:rPr>
          <w:szCs w:val="21"/>
        </w:rPr>
      </w:pPr>
      <w:r>
        <w:rPr>
          <w:szCs w:val="21"/>
        </w:rPr>
        <w:t>中标人如不按本通用条款第47.1款的规定与采购单位签订合同，则政府采购代理机构将有充分的理由废除中标，并没收其投标保证金，给政府采购代理机构造成的损失超过投标担保数额的，还应当对超过部分予以赔偿，同时承担相应法律责任；</w:t>
      </w:r>
    </w:p>
    <w:p w14:paraId="35BB89E5">
      <w:pPr>
        <w:numPr>
          <w:ilvl w:val="1"/>
          <w:numId w:val="14"/>
        </w:numPr>
        <w:ind w:hangingChars="432"/>
        <w:rPr>
          <w:szCs w:val="21"/>
        </w:rPr>
      </w:pPr>
      <w:r>
        <w:rPr>
          <w:szCs w:val="21"/>
        </w:rPr>
        <w:t>中标人应当按照合同约定履行义务，完成中标项目，不得将中标项目转让（转包）给他人；</w:t>
      </w:r>
    </w:p>
    <w:p w14:paraId="3C613A28">
      <w:pPr>
        <w:numPr>
          <w:ilvl w:val="1"/>
          <w:numId w:val="14"/>
        </w:numPr>
        <w:ind w:hangingChars="432"/>
        <w:rPr>
          <w:szCs w:val="21"/>
        </w:rPr>
      </w:pPr>
      <w:r>
        <w:rPr>
          <w:szCs w:val="21"/>
        </w:rPr>
        <w:t>采购人与中标人签订的合同必须遵守本采购文件的合同条件，并且不得更改合同条件。</w:t>
      </w:r>
    </w:p>
    <w:p w14:paraId="2EAC8FD3">
      <w:pPr>
        <w:ind w:left="907"/>
        <w:rPr>
          <w:szCs w:val="21"/>
        </w:rPr>
      </w:pPr>
    </w:p>
    <w:p w14:paraId="45154DE2">
      <w:pPr>
        <w:numPr>
          <w:ilvl w:val="0"/>
          <w:numId w:val="13"/>
        </w:numPr>
        <w:ind w:left="1037" w:hanging="1036" w:hangingChars="432"/>
        <w:rPr>
          <w:sz w:val="24"/>
        </w:rPr>
      </w:pPr>
      <w:bookmarkStart w:id="236" w:name="_Toc73521590"/>
      <w:bookmarkStart w:id="237" w:name="_Toc100052411"/>
      <w:bookmarkStart w:id="238" w:name="_Toc73518161"/>
      <w:bookmarkStart w:id="239" w:name="_Toc73521678"/>
      <w:bookmarkStart w:id="240" w:name="_Toc73517683"/>
      <w:r>
        <w:rPr>
          <w:sz w:val="24"/>
        </w:rPr>
        <w:t>履约担保</w:t>
      </w:r>
      <w:bookmarkEnd w:id="236"/>
      <w:bookmarkEnd w:id="237"/>
      <w:bookmarkEnd w:id="238"/>
      <w:bookmarkEnd w:id="239"/>
      <w:bookmarkEnd w:id="240"/>
    </w:p>
    <w:p w14:paraId="2B85FC67">
      <w:pPr>
        <w:numPr>
          <w:ilvl w:val="1"/>
          <w:numId w:val="14"/>
        </w:numPr>
        <w:ind w:hangingChars="432"/>
        <w:rPr>
          <w:szCs w:val="21"/>
        </w:rPr>
      </w:pPr>
      <w:r>
        <w:rPr>
          <w:szCs w:val="21"/>
        </w:rPr>
        <w:t>在签订项目合同的同时，中标人应按“对通用条款的补充内容”中规定的金额向采购单位提交履约保证金；</w:t>
      </w:r>
    </w:p>
    <w:p w14:paraId="276DAE66">
      <w:pPr>
        <w:numPr>
          <w:ilvl w:val="1"/>
          <w:numId w:val="14"/>
        </w:numPr>
        <w:ind w:hangingChars="432"/>
        <w:rPr>
          <w:szCs w:val="21"/>
        </w:rPr>
      </w:pPr>
      <w:r>
        <w:rPr>
          <w:szCs w:val="21"/>
        </w:rPr>
        <w:t>如果中标人不能按本通用条款第49.1款的规定执行，采购单位将有充分的理由通过政府采购监督管理部门废除中标，并没收投标保证金，给采购单位造成的损失超过投标保证金数额的，还应当对超过部分予以赔偿；</w:t>
      </w:r>
    </w:p>
    <w:p w14:paraId="489C3A86">
      <w:pPr>
        <w:numPr>
          <w:ilvl w:val="1"/>
          <w:numId w:val="14"/>
        </w:numPr>
        <w:ind w:hangingChars="432"/>
        <w:rPr>
          <w:szCs w:val="21"/>
        </w:rPr>
      </w:pPr>
      <w:r>
        <w:rPr>
          <w:szCs w:val="21"/>
        </w:rPr>
        <w:t>项目服务期满之后，经验收合格后，采购单位在七日内办理解除履约担保手续。</w:t>
      </w:r>
    </w:p>
    <w:p w14:paraId="3519F899">
      <w:pPr>
        <w:ind w:left="907"/>
        <w:rPr>
          <w:szCs w:val="21"/>
        </w:rPr>
      </w:pPr>
    </w:p>
    <w:p w14:paraId="49CF556B">
      <w:pPr>
        <w:numPr>
          <w:ilvl w:val="0"/>
          <w:numId w:val="13"/>
        </w:numPr>
        <w:ind w:left="1037" w:hanging="1036" w:hangingChars="432"/>
        <w:rPr>
          <w:sz w:val="24"/>
        </w:rPr>
      </w:pPr>
      <w:r>
        <w:rPr>
          <w:sz w:val="24"/>
        </w:rPr>
        <w:t>招标代理服务费</w:t>
      </w:r>
    </w:p>
    <w:p w14:paraId="197B0A70">
      <w:pPr>
        <w:numPr>
          <w:ilvl w:val="1"/>
          <w:numId w:val="14"/>
        </w:numPr>
        <w:ind w:hangingChars="432"/>
        <w:rPr>
          <w:szCs w:val="21"/>
        </w:rPr>
      </w:pPr>
      <w:r>
        <w:rPr>
          <w:szCs w:val="21"/>
        </w:rPr>
        <w:t>招标代理服务费依据深财购[2018]27号文及相关规定，具体收费标准如下表：</w:t>
      </w:r>
    </w:p>
    <w:tbl>
      <w:tblPr>
        <w:tblStyle w:val="25"/>
        <w:tblW w:w="0" w:type="auto"/>
        <w:jc w:val="righ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60"/>
        <w:gridCol w:w="1984"/>
        <w:gridCol w:w="1843"/>
        <w:gridCol w:w="1900"/>
      </w:tblGrid>
      <w:tr w14:paraId="70666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258165E9">
            <w:r>
              <w:t>中标金额（万元）</w:t>
            </w:r>
          </w:p>
        </w:tc>
        <w:tc>
          <w:tcPr>
            <w:tcW w:w="1984" w:type="dxa"/>
            <w:vAlign w:val="center"/>
          </w:tcPr>
          <w:p w14:paraId="035C4B4E">
            <w:pPr>
              <w:jc w:val="center"/>
            </w:pPr>
            <w:r>
              <w:t>货物采购</w:t>
            </w:r>
          </w:p>
        </w:tc>
        <w:tc>
          <w:tcPr>
            <w:tcW w:w="1843" w:type="dxa"/>
            <w:vAlign w:val="center"/>
          </w:tcPr>
          <w:p w14:paraId="7DA94A0C">
            <w:pPr>
              <w:jc w:val="center"/>
            </w:pPr>
            <w:r>
              <w:t>服务采购</w:t>
            </w:r>
          </w:p>
        </w:tc>
        <w:tc>
          <w:tcPr>
            <w:tcW w:w="1900" w:type="dxa"/>
            <w:vAlign w:val="center"/>
          </w:tcPr>
          <w:p w14:paraId="73492008">
            <w:pPr>
              <w:jc w:val="center"/>
            </w:pPr>
            <w:r>
              <w:t>工程采购</w:t>
            </w:r>
          </w:p>
        </w:tc>
      </w:tr>
      <w:tr w14:paraId="39B57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4BDB72CD">
            <w:r>
              <w:t>100以下</w:t>
            </w:r>
          </w:p>
        </w:tc>
        <w:tc>
          <w:tcPr>
            <w:tcW w:w="1984" w:type="dxa"/>
          </w:tcPr>
          <w:p w14:paraId="67975B26">
            <w:pPr>
              <w:jc w:val="center"/>
            </w:pPr>
            <w:r>
              <w:t>1.5%</w:t>
            </w:r>
          </w:p>
        </w:tc>
        <w:tc>
          <w:tcPr>
            <w:tcW w:w="1843" w:type="dxa"/>
          </w:tcPr>
          <w:p w14:paraId="77AAEC6A">
            <w:pPr>
              <w:jc w:val="center"/>
            </w:pPr>
            <w:r>
              <w:t>1.5%</w:t>
            </w:r>
          </w:p>
        </w:tc>
        <w:tc>
          <w:tcPr>
            <w:tcW w:w="1900" w:type="dxa"/>
          </w:tcPr>
          <w:p w14:paraId="5FBD8A15">
            <w:pPr>
              <w:jc w:val="center"/>
            </w:pPr>
            <w:r>
              <w:t>1.0%</w:t>
            </w:r>
          </w:p>
        </w:tc>
      </w:tr>
      <w:tr w14:paraId="4BC48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23F68EED">
            <w:r>
              <w:t>100-500</w:t>
            </w:r>
          </w:p>
        </w:tc>
        <w:tc>
          <w:tcPr>
            <w:tcW w:w="1984" w:type="dxa"/>
          </w:tcPr>
          <w:p w14:paraId="1162AF82">
            <w:pPr>
              <w:jc w:val="center"/>
            </w:pPr>
            <w:r>
              <w:t>1.1%</w:t>
            </w:r>
          </w:p>
        </w:tc>
        <w:tc>
          <w:tcPr>
            <w:tcW w:w="1843" w:type="dxa"/>
          </w:tcPr>
          <w:p w14:paraId="272940A8">
            <w:pPr>
              <w:jc w:val="center"/>
            </w:pPr>
            <w:r>
              <w:t>0.8%</w:t>
            </w:r>
          </w:p>
        </w:tc>
        <w:tc>
          <w:tcPr>
            <w:tcW w:w="1900" w:type="dxa"/>
          </w:tcPr>
          <w:p w14:paraId="12206DEE">
            <w:pPr>
              <w:jc w:val="center"/>
            </w:pPr>
            <w:r>
              <w:t>0.7%</w:t>
            </w:r>
          </w:p>
        </w:tc>
      </w:tr>
      <w:tr w14:paraId="7D80C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72976CE7">
            <w:r>
              <w:t>500-1000</w:t>
            </w:r>
          </w:p>
        </w:tc>
        <w:tc>
          <w:tcPr>
            <w:tcW w:w="1984" w:type="dxa"/>
          </w:tcPr>
          <w:p w14:paraId="0A0AC2E4">
            <w:pPr>
              <w:jc w:val="center"/>
            </w:pPr>
            <w:r>
              <w:t>0.8%</w:t>
            </w:r>
          </w:p>
        </w:tc>
        <w:tc>
          <w:tcPr>
            <w:tcW w:w="1843" w:type="dxa"/>
          </w:tcPr>
          <w:p w14:paraId="329F20C2">
            <w:pPr>
              <w:jc w:val="center"/>
            </w:pPr>
            <w:r>
              <w:t>0.45%</w:t>
            </w:r>
          </w:p>
        </w:tc>
        <w:tc>
          <w:tcPr>
            <w:tcW w:w="1900" w:type="dxa"/>
          </w:tcPr>
          <w:p w14:paraId="1A94322E">
            <w:pPr>
              <w:jc w:val="center"/>
            </w:pPr>
            <w:r>
              <w:t>0.55%</w:t>
            </w:r>
          </w:p>
        </w:tc>
      </w:tr>
      <w:tr w14:paraId="51D47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1841FD9A">
            <w:r>
              <w:t>1000-5000</w:t>
            </w:r>
          </w:p>
        </w:tc>
        <w:tc>
          <w:tcPr>
            <w:tcW w:w="1984" w:type="dxa"/>
          </w:tcPr>
          <w:p w14:paraId="56577401">
            <w:pPr>
              <w:jc w:val="center"/>
            </w:pPr>
            <w:r>
              <w:t>0.5%</w:t>
            </w:r>
          </w:p>
        </w:tc>
        <w:tc>
          <w:tcPr>
            <w:tcW w:w="1843" w:type="dxa"/>
          </w:tcPr>
          <w:p w14:paraId="5A546161">
            <w:pPr>
              <w:jc w:val="center"/>
            </w:pPr>
            <w:r>
              <w:t>0.25%</w:t>
            </w:r>
          </w:p>
        </w:tc>
        <w:tc>
          <w:tcPr>
            <w:tcW w:w="1900" w:type="dxa"/>
          </w:tcPr>
          <w:p w14:paraId="33582B4E">
            <w:pPr>
              <w:jc w:val="center"/>
            </w:pPr>
            <w:r>
              <w:t>0.35%</w:t>
            </w:r>
          </w:p>
        </w:tc>
      </w:tr>
      <w:tr w14:paraId="442F3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72BF702D">
            <w:r>
              <w:t>5000-10000</w:t>
            </w:r>
          </w:p>
        </w:tc>
        <w:tc>
          <w:tcPr>
            <w:tcW w:w="1984" w:type="dxa"/>
          </w:tcPr>
          <w:p w14:paraId="61D99AF3">
            <w:pPr>
              <w:jc w:val="center"/>
            </w:pPr>
            <w:r>
              <w:t>0.25%</w:t>
            </w:r>
          </w:p>
        </w:tc>
        <w:tc>
          <w:tcPr>
            <w:tcW w:w="1843" w:type="dxa"/>
          </w:tcPr>
          <w:p w14:paraId="61B5941E">
            <w:pPr>
              <w:jc w:val="center"/>
            </w:pPr>
            <w:r>
              <w:t>0.1%</w:t>
            </w:r>
          </w:p>
        </w:tc>
        <w:tc>
          <w:tcPr>
            <w:tcW w:w="1900" w:type="dxa"/>
          </w:tcPr>
          <w:p w14:paraId="0C34DF0F">
            <w:pPr>
              <w:jc w:val="center"/>
            </w:pPr>
            <w:r>
              <w:t>0.2%</w:t>
            </w:r>
          </w:p>
        </w:tc>
      </w:tr>
      <w:tr w14:paraId="5D941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 w:hRule="atLeast"/>
          <w:jc w:val="right"/>
        </w:trPr>
        <w:tc>
          <w:tcPr>
            <w:tcW w:w="1760" w:type="dxa"/>
          </w:tcPr>
          <w:p w14:paraId="3BE9E741">
            <w:r>
              <w:t>10000-50000</w:t>
            </w:r>
          </w:p>
        </w:tc>
        <w:tc>
          <w:tcPr>
            <w:tcW w:w="1984" w:type="dxa"/>
          </w:tcPr>
          <w:p w14:paraId="5B27F2D5">
            <w:pPr>
              <w:jc w:val="center"/>
            </w:pPr>
            <w:r>
              <w:t>0.05%</w:t>
            </w:r>
          </w:p>
        </w:tc>
        <w:tc>
          <w:tcPr>
            <w:tcW w:w="1843" w:type="dxa"/>
          </w:tcPr>
          <w:p w14:paraId="7419CD47">
            <w:pPr>
              <w:jc w:val="center"/>
            </w:pPr>
            <w:r>
              <w:t>0.05%</w:t>
            </w:r>
          </w:p>
        </w:tc>
        <w:tc>
          <w:tcPr>
            <w:tcW w:w="1900" w:type="dxa"/>
          </w:tcPr>
          <w:p w14:paraId="33DCA31F">
            <w:pPr>
              <w:jc w:val="center"/>
            </w:pPr>
            <w:r>
              <w:t>0.05%</w:t>
            </w:r>
          </w:p>
        </w:tc>
      </w:tr>
    </w:tbl>
    <w:p w14:paraId="7ABC0E71">
      <w:pPr>
        <w:ind w:left="907"/>
        <w:rPr>
          <w:szCs w:val="21"/>
        </w:rPr>
      </w:pPr>
      <w:r>
        <w:rPr>
          <w:szCs w:val="21"/>
        </w:rPr>
        <w:t>注：</w:t>
      </w:r>
    </w:p>
    <w:p w14:paraId="280C7A7E">
      <w:pPr>
        <w:ind w:left="907"/>
        <w:rPr>
          <w:szCs w:val="21"/>
        </w:rPr>
      </w:pPr>
      <w:r>
        <w:rPr>
          <w:szCs w:val="21"/>
        </w:rPr>
        <w:t>(1)以中标通知书中确定的中标总金额作为缴费的计算基数。</w:t>
      </w:r>
    </w:p>
    <w:p w14:paraId="51FD5998">
      <w:pPr>
        <w:ind w:left="907"/>
        <w:rPr>
          <w:szCs w:val="21"/>
        </w:rPr>
      </w:pPr>
      <w:r>
        <w:rPr>
          <w:szCs w:val="21"/>
        </w:rPr>
        <w:t>(2)招标代理服务费按差额定率累进法计算。</w:t>
      </w:r>
    </w:p>
    <w:p w14:paraId="12C06E42">
      <w:pPr>
        <w:ind w:left="907"/>
        <w:rPr>
          <w:szCs w:val="21"/>
        </w:rPr>
      </w:pPr>
      <w:r>
        <w:rPr>
          <w:szCs w:val="21"/>
        </w:rPr>
        <w:t>(3)领取中标通知书前向采购代理机构缴纳服务费。</w:t>
      </w:r>
    </w:p>
    <w:p w14:paraId="6CF9CA53">
      <w:pPr>
        <w:rPr>
          <w:szCs w:val="21"/>
        </w:rPr>
      </w:pPr>
    </w:p>
    <w:p w14:paraId="472B15DC">
      <w:pPr>
        <w:numPr>
          <w:ilvl w:val="0"/>
          <w:numId w:val="13"/>
        </w:numPr>
        <w:rPr>
          <w:sz w:val="24"/>
        </w:rPr>
      </w:pPr>
      <w:r>
        <w:rPr>
          <w:sz w:val="24"/>
        </w:rPr>
        <w:t>宣传</w:t>
      </w:r>
    </w:p>
    <w:p w14:paraId="7AB558CE">
      <w:pPr>
        <w:numPr>
          <w:ilvl w:val="1"/>
          <w:numId w:val="14"/>
        </w:numPr>
        <w:ind w:hangingChars="432"/>
        <w:rPr>
          <w:szCs w:val="21"/>
        </w:rPr>
      </w:pPr>
      <w:r>
        <w:rPr>
          <w:szCs w:val="21"/>
        </w:rPr>
        <w:t>凡与政府采购活动有关的宣传或广告，若当中提及政府采购，必须事先将具体对外宣传方案报采购代理机构，并征得其同意。对外市场宣传包括但不限于以下形式：</w:t>
      </w:r>
    </w:p>
    <w:p w14:paraId="6C83CAF0">
      <w:pPr>
        <w:numPr>
          <w:ilvl w:val="2"/>
          <w:numId w:val="15"/>
        </w:numPr>
        <w:rPr>
          <w:szCs w:val="21"/>
        </w:rPr>
      </w:pPr>
      <w:r>
        <w:rPr>
          <w:szCs w:val="21"/>
        </w:rPr>
        <w:t>名片、宣传册、广告标语等；</w:t>
      </w:r>
    </w:p>
    <w:p w14:paraId="05BA2C71">
      <w:pPr>
        <w:numPr>
          <w:ilvl w:val="2"/>
          <w:numId w:val="15"/>
        </w:numPr>
        <w:rPr>
          <w:szCs w:val="21"/>
        </w:rPr>
      </w:pPr>
      <w:r>
        <w:rPr>
          <w:szCs w:val="21"/>
        </w:rPr>
        <w:t>案例介绍、推广等；</w:t>
      </w:r>
    </w:p>
    <w:p w14:paraId="7F19FF95">
      <w:pPr>
        <w:numPr>
          <w:ilvl w:val="2"/>
          <w:numId w:val="15"/>
        </w:numPr>
        <w:rPr>
          <w:szCs w:val="21"/>
        </w:rPr>
      </w:pPr>
      <w:r>
        <w:rPr>
          <w:szCs w:val="21"/>
        </w:rPr>
        <w:t>工作人员向其他消费群体宣传。</w:t>
      </w:r>
    </w:p>
    <w:p w14:paraId="0840C4CA">
      <w:pPr>
        <w:ind w:left="907"/>
        <w:rPr>
          <w:szCs w:val="21"/>
        </w:rPr>
      </w:pPr>
    </w:p>
    <w:p w14:paraId="22D46B9B">
      <w:pPr>
        <w:numPr>
          <w:ilvl w:val="0"/>
          <w:numId w:val="13"/>
        </w:numPr>
        <w:rPr>
          <w:sz w:val="24"/>
        </w:rPr>
      </w:pPr>
      <w:r>
        <w:rPr>
          <w:sz w:val="24"/>
        </w:rPr>
        <w:t>腐败和欺诈行为</w:t>
      </w:r>
    </w:p>
    <w:p w14:paraId="2F1AC823">
      <w:pPr>
        <w:numPr>
          <w:ilvl w:val="1"/>
          <w:numId w:val="14"/>
        </w:numPr>
        <w:ind w:hangingChars="432"/>
        <w:rPr>
          <w:szCs w:val="21"/>
        </w:rPr>
      </w:pPr>
      <w:r>
        <w:rPr>
          <w:szCs w:val="21"/>
        </w:rPr>
        <w:t>政府采购要求合同项下的采购人和中标人在合同采购和实施过程中应遵守最高的道德标准。根据本要求，政府采购代理机构将：</w:t>
      </w:r>
    </w:p>
    <w:p w14:paraId="38BF6CED">
      <w:pPr>
        <w:numPr>
          <w:ilvl w:val="2"/>
          <w:numId w:val="15"/>
        </w:numPr>
        <w:rPr>
          <w:szCs w:val="21"/>
        </w:rPr>
      </w:pPr>
      <w:r>
        <w:rPr>
          <w:szCs w:val="21"/>
        </w:rPr>
        <w:t>为此目的，定义下述条件：</w:t>
      </w:r>
    </w:p>
    <w:p w14:paraId="33CBC64B">
      <w:pPr>
        <w:ind w:left="907"/>
        <w:rPr>
          <w:szCs w:val="21"/>
        </w:rPr>
      </w:pPr>
      <w:r>
        <w:rPr>
          <w:szCs w:val="21"/>
        </w:rPr>
        <w:t>（a）“腐败行为”是指提供、给予、接受或索取任何有价值的东西来影响招标方或采购人在采购过程或合同实施过程中的行为；</w:t>
      </w:r>
    </w:p>
    <w:p w14:paraId="03B60D5D">
      <w:pPr>
        <w:ind w:left="907"/>
        <w:rPr>
          <w:szCs w:val="21"/>
        </w:rPr>
      </w:pPr>
      <w:r>
        <w:rPr>
          <w:szCs w:val="21"/>
        </w:rPr>
        <w:t>（b）“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21D4851">
      <w:pPr>
        <w:numPr>
          <w:ilvl w:val="2"/>
          <w:numId w:val="15"/>
        </w:numPr>
        <w:rPr>
          <w:szCs w:val="21"/>
        </w:rPr>
      </w:pPr>
      <w:r>
        <w:rPr>
          <w:szCs w:val="21"/>
        </w:rPr>
        <w:t>如果评审委员会认为投标人在本合同的竞争中有腐败和欺诈行为，则拒绝接受该投标。</w:t>
      </w:r>
    </w:p>
    <w:p w14:paraId="72DE1EFA">
      <w:pPr>
        <w:numPr>
          <w:ilvl w:val="2"/>
          <w:numId w:val="15"/>
        </w:numPr>
        <w:rPr>
          <w:szCs w:val="21"/>
        </w:rPr>
      </w:pPr>
      <w:r>
        <w:rPr>
          <w:szCs w:val="21"/>
        </w:rPr>
        <w:t>如果投标人或中标人在政府采购合同的竞争和实施过程中有腐败和欺诈行为，将依据</w:t>
      </w:r>
      <w:r>
        <w:rPr>
          <w:rFonts w:hint="eastAsia"/>
          <w:szCs w:val="21"/>
        </w:rPr>
        <w:t>《中华人民共和国民法典》</w:t>
      </w:r>
      <w:r>
        <w:rPr>
          <w:szCs w:val="21"/>
        </w:rPr>
        <w:t>、《深圳经济特区政府采购条例》有关法律法规进行处罚。</w:t>
      </w:r>
    </w:p>
    <w:p w14:paraId="5D94CA9F"/>
    <w:p w14:paraId="4939A725">
      <w:r>
        <w:br w:type="page"/>
      </w:r>
    </w:p>
    <w:p w14:paraId="0EE7BA4D"/>
    <w:p w14:paraId="31D22BF9"/>
    <w:p w14:paraId="2C56CD39"/>
    <w:p w14:paraId="2F605709"/>
    <w:p w14:paraId="47FD8D56"/>
    <w:p w14:paraId="1C16624D"/>
    <w:p w14:paraId="37DA6EC2"/>
    <w:p w14:paraId="3AC29DEF"/>
    <w:p w14:paraId="72FBD347"/>
    <w:p w14:paraId="4C3E680C"/>
    <w:p w14:paraId="769FD63E"/>
    <w:p w14:paraId="4FDCB26A"/>
    <w:p w14:paraId="3ACA29D8"/>
    <w:p w14:paraId="48BA198B"/>
    <w:p w14:paraId="030771BB"/>
    <w:p w14:paraId="20757C25">
      <w:pPr>
        <w:pStyle w:val="3"/>
      </w:pPr>
      <w:r>
        <w:rPr>
          <w:b w:val="0"/>
          <w:bCs/>
          <w:kern w:val="28"/>
          <w:sz w:val="44"/>
          <w:szCs w:val="44"/>
        </w:rPr>
        <w:t>第十一章  质疑处理</w:t>
      </w:r>
      <w:r>
        <w:rPr>
          <w:b w:val="0"/>
          <w:bCs/>
          <w:kern w:val="28"/>
          <w:sz w:val="44"/>
          <w:szCs w:val="44"/>
        </w:rPr>
        <w:br w:type="page"/>
      </w:r>
    </w:p>
    <w:p w14:paraId="0DDDB278">
      <w:pPr>
        <w:numPr>
          <w:ilvl w:val="0"/>
          <w:numId w:val="13"/>
        </w:numPr>
        <w:ind w:left="950" w:hanging="950" w:hangingChars="432"/>
        <w:rPr>
          <w:rFonts w:ascii="宋体" w:hAnsi="宋体" w:cs="宋体"/>
          <w:sz w:val="22"/>
          <w:szCs w:val="22"/>
        </w:rPr>
      </w:pPr>
      <w:r>
        <w:rPr>
          <w:rFonts w:hint="eastAsia" w:ascii="宋体" w:hAnsi="宋体" w:cs="宋体"/>
          <w:sz w:val="22"/>
          <w:szCs w:val="22"/>
        </w:rPr>
        <w:t>质疑受理机构</w:t>
      </w:r>
    </w:p>
    <w:p w14:paraId="57A4AA13">
      <w:pPr>
        <w:numPr>
          <w:ilvl w:val="1"/>
          <w:numId w:val="14"/>
        </w:numPr>
        <w:ind w:left="950" w:hanging="950" w:hangingChars="432"/>
        <w:rPr>
          <w:rFonts w:ascii="宋体" w:hAnsi="宋体" w:cs="宋体"/>
          <w:sz w:val="22"/>
          <w:szCs w:val="22"/>
        </w:rPr>
      </w:pPr>
      <w:r>
        <w:rPr>
          <w:rFonts w:hint="eastAsia" w:ascii="宋体" w:hAnsi="宋体" w:cs="宋体"/>
          <w:sz w:val="22"/>
          <w:szCs w:val="22"/>
        </w:rPr>
        <w:t>采购代理机构负责受理和答复质疑。</w:t>
      </w:r>
    </w:p>
    <w:p w14:paraId="408B5C7B">
      <w:pPr>
        <w:rPr>
          <w:rFonts w:ascii="宋体" w:hAnsi="宋体" w:cs="宋体"/>
          <w:sz w:val="22"/>
          <w:szCs w:val="22"/>
        </w:rPr>
      </w:pPr>
    </w:p>
    <w:p w14:paraId="79B60E25">
      <w:pPr>
        <w:numPr>
          <w:ilvl w:val="0"/>
          <w:numId w:val="13"/>
        </w:numPr>
        <w:ind w:left="950" w:hanging="950" w:hangingChars="432"/>
        <w:rPr>
          <w:rFonts w:ascii="宋体" w:hAnsi="宋体" w:cs="宋体"/>
          <w:sz w:val="22"/>
          <w:szCs w:val="22"/>
        </w:rPr>
      </w:pPr>
      <w:r>
        <w:rPr>
          <w:rFonts w:hint="eastAsia" w:ascii="宋体" w:hAnsi="宋体" w:cs="宋体"/>
          <w:sz w:val="22"/>
          <w:szCs w:val="22"/>
        </w:rPr>
        <w:t>质疑处理原则</w:t>
      </w:r>
    </w:p>
    <w:p w14:paraId="7BE7BEBF">
      <w:pPr>
        <w:numPr>
          <w:ilvl w:val="1"/>
          <w:numId w:val="14"/>
        </w:numPr>
        <w:ind w:left="950" w:hanging="950" w:hangingChars="432"/>
        <w:rPr>
          <w:rFonts w:ascii="宋体" w:hAnsi="宋体" w:cs="宋体"/>
          <w:sz w:val="22"/>
          <w:szCs w:val="22"/>
        </w:rPr>
      </w:pPr>
      <w:r>
        <w:rPr>
          <w:rFonts w:hint="eastAsia" w:ascii="宋体" w:hAnsi="宋体" w:cs="宋体"/>
          <w:sz w:val="22"/>
          <w:szCs w:val="22"/>
        </w:rPr>
        <w:t>质疑处理遵循公平、公正、规范、高效的原则。</w:t>
      </w:r>
    </w:p>
    <w:p w14:paraId="45CAEC39">
      <w:pPr>
        <w:numPr>
          <w:ilvl w:val="1"/>
          <w:numId w:val="14"/>
        </w:numPr>
        <w:ind w:left="950" w:hanging="950" w:hangingChars="432"/>
        <w:rPr>
          <w:rFonts w:ascii="宋体" w:hAnsi="宋体" w:cs="宋体"/>
          <w:sz w:val="22"/>
          <w:szCs w:val="22"/>
        </w:rPr>
      </w:pPr>
      <w:r>
        <w:rPr>
          <w:rFonts w:hint="eastAsia" w:ascii="宋体" w:hAnsi="宋体" w:cs="宋体"/>
          <w:sz w:val="22"/>
          <w:szCs w:val="22"/>
        </w:rPr>
        <w:t>供应商质疑实行实名制和“谁质疑，谁举证”的原则，质疑应有具体的事项及事实根据。</w:t>
      </w:r>
    </w:p>
    <w:p w14:paraId="1406D6B0">
      <w:pPr>
        <w:ind w:left="907"/>
        <w:rPr>
          <w:rFonts w:ascii="宋体" w:hAnsi="宋体" w:cs="宋体"/>
          <w:sz w:val="22"/>
          <w:szCs w:val="22"/>
        </w:rPr>
      </w:pPr>
    </w:p>
    <w:p w14:paraId="436B460B">
      <w:pPr>
        <w:numPr>
          <w:ilvl w:val="0"/>
          <w:numId w:val="13"/>
        </w:numPr>
        <w:ind w:left="950" w:hanging="950" w:hangingChars="432"/>
        <w:rPr>
          <w:rFonts w:ascii="宋体" w:hAnsi="宋体" w:cs="宋体"/>
          <w:sz w:val="22"/>
          <w:szCs w:val="22"/>
        </w:rPr>
      </w:pPr>
      <w:r>
        <w:rPr>
          <w:rFonts w:hint="eastAsia" w:ascii="宋体" w:hAnsi="宋体" w:cs="宋体"/>
          <w:sz w:val="22"/>
          <w:szCs w:val="22"/>
        </w:rPr>
        <w:t>质疑受理的时效和范围</w:t>
      </w:r>
    </w:p>
    <w:p w14:paraId="29386FC7">
      <w:pPr>
        <w:numPr>
          <w:ilvl w:val="1"/>
          <w:numId w:val="14"/>
        </w:numPr>
        <w:ind w:left="950" w:hanging="950" w:hangingChars="432"/>
        <w:rPr>
          <w:rFonts w:ascii="宋体" w:hAnsi="宋体" w:cs="宋体"/>
          <w:sz w:val="22"/>
          <w:szCs w:val="22"/>
        </w:rPr>
      </w:pPr>
      <w:r>
        <w:rPr>
          <w:rFonts w:hint="eastAsia" w:ascii="宋体" w:hAnsi="宋体" w:cs="宋体"/>
          <w:sz w:val="22"/>
          <w:szCs w:val="22"/>
        </w:rPr>
        <w:t>供应商认为采购文件、采购过程和中标、成交结果使自己权益受到损害的，可以在知道或者应知其权益受到损害之日起七个工作日内，以书面形式向政府采购代理机构提出质疑。</w:t>
      </w:r>
    </w:p>
    <w:p w14:paraId="5682E0CA">
      <w:pPr>
        <w:numPr>
          <w:ilvl w:val="1"/>
          <w:numId w:val="14"/>
        </w:numPr>
        <w:ind w:left="950" w:hanging="950" w:hangingChars="432"/>
        <w:rPr>
          <w:rFonts w:ascii="宋体" w:hAnsi="宋体" w:cs="宋体"/>
          <w:sz w:val="22"/>
          <w:szCs w:val="22"/>
        </w:rPr>
      </w:pPr>
      <w:r>
        <w:rPr>
          <w:rFonts w:hint="eastAsia" w:ascii="宋体" w:hAnsi="宋体" w:cs="宋体"/>
          <w:sz w:val="22"/>
          <w:szCs w:val="22"/>
        </w:rPr>
        <w:t>供应商对采购文件有疑问的，政府采购代理机构按答疑程序处理；供应商对采购文件有异议的，按质疑程序处理。</w:t>
      </w:r>
    </w:p>
    <w:p w14:paraId="378F8B28">
      <w:pPr>
        <w:numPr>
          <w:ilvl w:val="1"/>
          <w:numId w:val="14"/>
        </w:numPr>
        <w:ind w:left="950" w:hanging="950" w:hangingChars="432"/>
        <w:rPr>
          <w:rFonts w:ascii="宋体" w:hAnsi="宋体" w:cs="宋体"/>
          <w:sz w:val="22"/>
          <w:szCs w:val="22"/>
        </w:rPr>
      </w:pPr>
      <w:r>
        <w:rPr>
          <w:rFonts w:hint="eastAsia" w:ascii="宋体" w:hAnsi="宋体" w:cs="宋体"/>
          <w:sz w:val="22"/>
        </w:rPr>
        <w:t>供应商在法定质疑期内一次性提出针对同一采购程序环节的质疑。</w:t>
      </w:r>
    </w:p>
    <w:p w14:paraId="524DEB1D">
      <w:pPr>
        <w:ind w:left="907"/>
        <w:rPr>
          <w:rFonts w:ascii="宋体" w:hAnsi="宋体" w:cs="宋体"/>
          <w:sz w:val="22"/>
          <w:szCs w:val="22"/>
        </w:rPr>
      </w:pPr>
    </w:p>
    <w:p w14:paraId="667CAF4B">
      <w:pPr>
        <w:numPr>
          <w:ilvl w:val="0"/>
          <w:numId w:val="13"/>
        </w:numPr>
        <w:ind w:left="950" w:hanging="950" w:hangingChars="432"/>
        <w:rPr>
          <w:rFonts w:ascii="宋体" w:hAnsi="宋体" w:cs="宋体"/>
          <w:sz w:val="22"/>
          <w:szCs w:val="22"/>
        </w:rPr>
      </w:pPr>
      <w:r>
        <w:rPr>
          <w:rFonts w:hint="eastAsia" w:ascii="宋体" w:hAnsi="宋体" w:cs="宋体"/>
          <w:sz w:val="22"/>
          <w:szCs w:val="22"/>
        </w:rPr>
        <w:t>质疑条件</w:t>
      </w:r>
    </w:p>
    <w:p w14:paraId="7DE8C4ED">
      <w:pPr>
        <w:numPr>
          <w:ilvl w:val="1"/>
          <w:numId w:val="14"/>
        </w:numPr>
        <w:ind w:left="950" w:hanging="950" w:hangingChars="432"/>
        <w:rPr>
          <w:rFonts w:ascii="宋体" w:hAnsi="宋体" w:cs="宋体"/>
          <w:sz w:val="22"/>
          <w:szCs w:val="22"/>
        </w:rPr>
      </w:pPr>
      <w:r>
        <w:rPr>
          <w:rFonts w:hint="eastAsia" w:ascii="宋体" w:hAnsi="宋体" w:cs="宋体"/>
          <w:sz w:val="22"/>
          <w:szCs w:val="22"/>
        </w:rPr>
        <w:t>提出质疑的应是直接参与相应采购项目的供应商。以联合体形式参与的，由联合体共同提出；</w:t>
      </w:r>
    </w:p>
    <w:p w14:paraId="228CC3F0">
      <w:pPr>
        <w:numPr>
          <w:ilvl w:val="1"/>
          <w:numId w:val="14"/>
        </w:numPr>
        <w:ind w:left="950" w:hanging="950" w:hangingChars="432"/>
        <w:rPr>
          <w:rFonts w:ascii="宋体" w:hAnsi="宋体" w:cs="宋体"/>
          <w:sz w:val="22"/>
          <w:szCs w:val="22"/>
        </w:rPr>
      </w:pPr>
      <w:r>
        <w:rPr>
          <w:rFonts w:hint="eastAsia" w:ascii="宋体" w:hAnsi="宋体" w:cs="宋体"/>
          <w:sz w:val="22"/>
          <w:szCs w:val="22"/>
        </w:rPr>
        <w:t>提供质疑的项目名称和编号、质疑供应商的单位名称、详细地址、邮政编码、联系人及联系电话等基本情况；</w:t>
      </w:r>
    </w:p>
    <w:p w14:paraId="5F90534F">
      <w:pPr>
        <w:numPr>
          <w:ilvl w:val="1"/>
          <w:numId w:val="14"/>
        </w:numPr>
        <w:ind w:left="950" w:hanging="950" w:hangingChars="432"/>
        <w:rPr>
          <w:rFonts w:ascii="宋体" w:hAnsi="宋体" w:cs="宋体"/>
          <w:sz w:val="22"/>
          <w:szCs w:val="22"/>
        </w:rPr>
      </w:pPr>
      <w:r>
        <w:rPr>
          <w:rFonts w:hint="eastAsia" w:ascii="宋体" w:hAnsi="宋体" w:cs="宋体"/>
          <w:sz w:val="22"/>
          <w:szCs w:val="22"/>
        </w:rPr>
        <w:t>有质疑的具体事项、请求及理由，并附相关证据材料；</w:t>
      </w:r>
    </w:p>
    <w:p w14:paraId="20CB5B05">
      <w:pPr>
        <w:numPr>
          <w:ilvl w:val="1"/>
          <w:numId w:val="14"/>
        </w:numPr>
        <w:ind w:left="950" w:hanging="950" w:hangingChars="432"/>
        <w:rPr>
          <w:rFonts w:ascii="宋体" w:hAnsi="宋体" w:cs="宋体"/>
          <w:sz w:val="22"/>
          <w:szCs w:val="22"/>
        </w:rPr>
      </w:pPr>
      <w:r>
        <w:rPr>
          <w:rFonts w:hint="eastAsia" w:ascii="宋体" w:hAnsi="宋体" w:cs="宋体"/>
          <w:sz w:val="22"/>
          <w:szCs w:val="22"/>
        </w:rPr>
        <w:t>质疑书加盖公章，被授权人进行质疑的同时提交法人授权委托书；</w:t>
      </w:r>
    </w:p>
    <w:p w14:paraId="12F56B3A">
      <w:pPr>
        <w:numPr>
          <w:ilvl w:val="1"/>
          <w:numId w:val="14"/>
        </w:numPr>
        <w:ind w:left="950" w:hanging="950" w:hangingChars="432"/>
        <w:rPr>
          <w:rFonts w:ascii="宋体" w:hAnsi="宋体" w:cs="宋体"/>
          <w:sz w:val="22"/>
          <w:szCs w:val="22"/>
        </w:rPr>
      </w:pPr>
      <w:r>
        <w:rPr>
          <w:rFonts w:hint="eastAsia" w:ascii="宋体" w:hAnsi="宋体" w:cs="宋体"/>
          <w:sz w:val="22"/>
          <w:szCs w:val="22"/>
        </w:rPr>
        <w:t>质疑材料中有外文资料的，应一并附上中文译本，并以中文译本为准。</w:t>
      </w:r>
    </w:p>
    <w:p w14:paraId="7F0E52D0">
      <w:pPr>
        <w:ind w:left="907"/>
        <w:rPr>
          <w:rFonts w:ascii="宋体" w:hAnsi="宋体" w:cs="宋体"/>
          <w:sz w:val="22"/>
          <w:szCs w:val="22"/>
        </w:rPr>
      </w:pPr>
    </w:p>
    <w:p w14:paraId="56697F08">
      <w:pPr>
        <w:numPr>
          <w:ilvl w:val="0"/>
          <w:numId w:val="13"/>
        </w:numPr>
        <w:ind w:left="950" w:hanging="950" w:hangingChars="432"/>
        <w:rPr>
          <w:rFonts w:ascii="宋体" w:hAnsi="宋体" w:cs="宋体"/>
          <w:sz w:val="22"/>
          <w:szCs w:val="22"/>
        </w:rPr>
      </w:pPr>
      <w:r>
        <w:rPr>
          <w:rFonts w:hint="eastAsia" w:ascii="宋体" w:hAnsi="宋体" w:cs="宋体"/>
          <w:sz w:val="22"/>
          <w:szCs w:val="22"/>
        </w:rPr>
        <w:t>受理质疑办理程序</w:t>
      </w:r>
    </w:p>
    <w:p w14:paraId="6C9CF335">
      <w:pPr>
        <w:numPr>
          <w:ilvl w:val="1"/>
          <w:numId w:val="14"/>
        </w:numPr>
        <w:ind w:left="950" w:hanging="950" w:hangingChars="432"/>
        <w:rPr>
          <w:rFonts w:ascii="宋体" w:hAnsi="宋体" w:cs="宋体"/>
          <w:sz w:val="22"/>
          <w:szCs w:val="22"/>
        </w:rPr>
      </w:pPr>
      <w:r>
        <w:rPr>
          <w:rFonts w:hint="eastAsia" w:ascii="宋体" w:hAnsi="宋体" w:cs="宋体"/>
          <w:sz w:val="22"/>
          <w:szCs w:val="22"/>
        </w:rPr>
        <w:t>先与质疑供应商进行沟通，以消除因误解或对采购规则和程序的不了解而引起的质疑。对沟通情况满意的，供应商撤回质疑，质疑处理程序终止。</w:t>
      </w:r>
    </w:p>
    <w:p w14:paraId="2B6703FB">
      <w:pPr>
        <w:numPr>
          <w:ilvl w:val="1"/>
          <w:numId w:val="14"/>
        </w:numPr>
        <w:ind w:left="950" w:hanging="950" w:hangingChars="432"/>
        <w:rPr>
          <w:rFonts w:ascii="宋体" w:hAnsi="宋体" w:cs="宋体"/>
          <w:sz w:val="22"/>
          <w:szCs w:val="22"/>
        </w:rPr>
      </w:pPr>
      <w:r>
        <w:rPr>
          <w:rFonts w:hint="eastAsia" w:ascii="宋体" w:hAnsi="宋体" w:cs="宋体"/>
          <w:sz w:val="22"/>
          <w:szCs w:val="22"/>
        </w:rPr>
        <w:t>处理质疑一般进行书面审查；必要时听取各方当事人的陈述和申辩、进行相关调查；组织原评审委员会或谈判小组进行复议。</w:t>
      </w:r>
    </w:p>
    <w:p w14:paraId="011CF946">
      <w:pPr>
        <w:numPr>
          <w:ilvl w:val="1"/>
          <w:numId w:val="14"/>
        </w:numPr>
        <w:ind w:left="950" w:hanging="950" w:hangingChars="432"/>
        <w:rPr>
          <w:rFonts w:ascii="宋体" w:hAnsi="宋体" w:cs="宋体"/>
          <w:sz w:val="22"/>
          <w:szCs w:val="22"/>
        </w:rPr>
      </w:pPr>
      <w:r>
        <w:rPr>
          <w:rFonts w:hint="eastAsia" w:ascii="宋体" w:hAnsi="宋体" w:cs="宋体"/>
          <w:sz w:val="22"/>
          <w:szCs w:val="22"/>
        </w:rPr>
        <w:t>在质疑处理期间，采购代理机构视情形决定暂停采购活动。</w:t>
      </w:r>
    </w:p>
    <w:p w14:paraId="7C745270">
      <w:pPr>
        <w:numPr>
          <w:ilvl w:val="1"/>
          <w:numId w:val="14"/>
        </w:numPr>
        <w:ind w:left="950" w:hanging="950" w:hangingChars="432"/>
        <w:rPr>
          <w:rFonts w:ascii="宋体" w:hAnsi="宋体" w:cs="宋体"/>
          <w:sz w:val="22"/>
          <w:szCs w:val="22"/>
        </w:rPr>
      </w:pPr>
      <w:r>
        <w:rPr>
          <w:rFonts w:hint="eastAsia" w:ascii="宋体" w:hAnsi="宋体" w:cs="宋体"/>
          <w:sz w:val="22"/>
          <w:szCs w:val="22"/>
        </w:rPr>
        <w:t>采购代理机构原则上在质疑受理之日起七个工作日内书面答复质疑供应商。答复函以直接领取、传真或邮寄方式送达。</w:t>
      </w:r>
    </w:p>
    <w:p w14:paraId="087B7986">
      <w:pPr>
        <w:numPr>
          <w:ilvl w:val="1"/>
          <w:numId w:val="14"/>
        </w:numPr>
        <w:ind w:left="950" w:hanging="950" w:hangingChars="432"/>
        <w:rPr>
          <w:rFonts w:ascii="宋体" w:hAnsi="宋体" w:cs="宋体"/>
          <w:sz w:val="22"/>
          <w:szCs w:val="22"/>
        </w:rPr>
      </w:pPr>
      <w:r>
        <w:rPr>
          <w:rFonts w:hint="eastAsia" w:ascii="宋体" w:hAnsi="宋体" w:cs="宋体"/>
          <w:sz w:val="22"/>
          <w:szCs w:val="22"/>
        </w:rPr>
        <w:t>供应商向采购代理机构提出质疑后，在质疑处理期限内，不得同时向其他方面提起同一质疑。</w:t>
      </w:r>
    </w:p>
    <w:p w14:paraId="0437112F">
      <w:pPr>
        <w:ind w:left="907"/>
        <w:rPr>
          <w:rFonts w:ascii="宋体" w:hAnsi="宋体" w:cs="宋体"/>
          <w:sz w:val="22"/>
          <w:szCs w:val="22"/>
        </w:rPr>
      </w:pPr>
    </w:p>
    <w:p w14:paraId="292ED083">
      <w:pPr>
        <w:numPr>
          <w:ilvl w:val="0"/>
          <w:numId w:val="13"/>
        </w:numPr>
        <w:ind w:left="950" w:hanging="950" w:hangingChars="432"/>
        <w:rPr>
          <w:rFonts w:ascii="宋体" w:hAnsi="宋体" w:cs="宋体"/>
          <w:sz w:val="22"/>
          <w:szCs w:val="22"/>
        </w:rPr>
      </w:pPr>
      <w:r>
        <w:rPr>
          <w:rFonts w:hint="eastAsia" w:ascii="宋体" w:hAnsi="宋体" w:cs="宋体"/>
          <w:sz w:val="22"/>
          <w:szCs w:val="22"/>
        </w:rPr>
        <w:t>相关责任与义务</w:t>
      </w:r>
    </w:p>
    <w:p w14:paraId="26786E77">
      <w:pPr>
        <w:numPr>
          <w:ilvl w:val="1"/>
          <w:numId w:val="14"/>
        </w:numPr>
        <w:ind w:left="950" w:hanging="950" w:hangingChars="432"/>
        <w:rPr>
          <w:rFonts w:ascii="宋体" w:hAnsi="宋体" w:cs="宋体"/>
          <w:sz w:val="22"/>
          <w:szCs w:val="22"/>
        </w:rPr>
      </w:pPr>
      <w:r>
        <w:rPr>
          <w:rFonts w:hint="eastAsia" w:ascii="宋体" w:hAnsi="宋体" w:cs="宋体"/>
          <w:sz w:val="22"/>
          <w:szCs w:val="22"/>
        </w:rPr>
        <w:t>采购单位、评标专家和相关供应商等当事人应积极配合政府采购代理机构进行质疑调查，如实反映情况，及时提供证明材料。</w:t>
      </w:r>
    </w:p>
    <w:p w14:paraId="46FCCCF8">
      <w:pPr>
        <w:numPr>
          <w:ilvl w:val="1"/>
          <w:numId w:val="14"/>
        </w:numPr>
        <w:ind w:left="950" w:hanging="950" w:hangingChars="432"/>
        <w:rPr>
          <w:rFonts w:ascii="宋体" w:hAnsi="宋体" w:cs="宋体"/>
          <w:sz w:val="22"/>
          <w:szCs w:val="22"/>
        </w:rPr>
      </w:pPr>
      <w:r>
        <w:rPr>
          <w:rFonts w:hint="eastAsia" w:ascii="宋体" w:hAnsi="宋体" w:cs="宋体"/>
          <w:sz w:val="22"/>
          <w:szCs w:val="22"/>
        </w:rPr>
        <w:t>质疑供应商有下列情形之一的，属于虚假、恶意质疑，并视情节提请政府采购监督管理部门给予一定年限内禁止参与政府采购活动资格或其他处罚：</w:t>
      </w:r>
    </w:p>
    <w:p w14:paraId="0328B04D">
      <w:pPr>
        <w:numPr>
          <w:ilvl w:val="1"/>
          <w:numId w:val="14"/>
        </w:numPr>
        <w:ind w:left="950" w:hanging="950" w:hangingChars="432"/>
        <w:rPr>
          <w:rFonts w:ascii="宋体" w:hAnsi="宋体" w:cs="宋体"/>
          <w:sz w:val="22"/>
          <w:szCs w:val="22"/>
        </w:rPr>
      </w:pPr>
      <w:r>
        <w:rPr>
          <w:rFonts w:hint="eastAsia" w:ascii="宋体" w:hAnsi="宋体" w:cs="宋体"/>
          <w:sz w:val="22"/>
          <w:szCs w:val="22"/>
        </w:rPr>
        <w:t>捏造事实或提供虚假证明材料的；</w:t>
      </w:r>
    </w:p>
    <w:p w14:paraId="2126CCC8">
      <w:pPr>
        <w:numPr>
          <w:ilvl w:val="1"/>
          <w:numId w:val="14"/>
        </w:numPr>
        <w:ind w:left="950" w:hanging="950" w:hangingChars="432"/>
        <w:rPr>
          <w:rFonts w:ascii="宋体" w:hAnsi="宋体" w:cs="宋体"/>
          <w:sz w:val="22"/>
          <w:szCs w:val="22"/>
        </w:rPr>
      </w:pPr>
      <w:r>
        <w:rPr>
          <w:rFonts w:hint="eastAsia" w:ascii="宋体" w:hAnsi="宋体" w:cs="宋体"/>
          <w:sz w:val="22"/>
          <w:szCs w:val="22"/>
        </w:rPr>
        <w:t>假冒他人名义进行质疑的；</w:t>
      </w:r>
    </w:p>
    <w:p w14:paraId="72E760F5">
      <w:pPr>
        <w:numPr>
          <w:ilvl w:val="1"/>
          <w:numId w:val="14"/>
        </w:numPr>
        <w:ind w:left="950" w:hanging="950" w:hangingChars="432"/>
        <w:rPr>
          <w:rFonts w:ascii="宋体" w:hAnsi="宋体" w:cs="宋体"/>
          <w:sz w:val="22"/>
          <w:szCs w:val="22"/>
        </w:rPr>
      </w:pPr>
      <w:r>
        <w:rPr>
          <w:rFonts w:hint="eastAsia" w:ascii="宋体" w:hAnsi="宋体" w:cs="宋体"/>
          <w:sz w:val="22"/>
          <w:szCs w:val="22"/>
        </w:rPr>
        <w:t>拒不配合进行有关调查、情节严重的。</w:t>
      </w:r>
    </w:p>
    <w:p w14:paraId="730E20B0">
      <w:pPr>
        <w:pStyle w:val="24"/>
        <w:ind w:firstLine="440"/>
        <w:rPr>
          <w:rFonts w:ascii="宋体" w:hAnsi="宋体" w:cs="宋体"/>
          <w:sz w:val="22"/>
          <w:szCs w:val="22"/>
        </w:rPr>
      </w:pPr>
    </w:p>
    <w:p w14:paraId="3C126D11">
      <w:pPr>
        <w:rPr>
          <w:rFonts w:ascii="宋体" w:hAnsi="宋体" w:cs="宋体"/>
          <w:sz w:val="22"/>
          <w:szCs w:val="22"/>
        </w:rPr>
      </w:pPr>
    </w:p>
    <w:p w14:paraId="2110E4CD">
      <w:pPr>
        <w:pStyle w:val="24"/>
        <w:ind w:firstLine="440"/>
        <w:rPr>
          <w:rFonts w:ascii="宋体" w:hAnsi="宋体" w:cs="宋体"/>
          <w:sz w:val="22"/>
          <w:szCs w:val="22"/>
        </w:rPr>
      </w:pPr>
    </w:p>
    <w:p w14:paraId="3030A06A"/>
    <w:p w14:paraId="761FFA42">
      <w:pPr>
        <w:jc w:val="center"/>
        <w:rPr>
          <w:b/>
          <w:bCs/>
          <w:kern w:val="28"/>
          <w:sz w:val="44"/>
          <w:szCs w:val="44"/>
        </w:rPr>
      </w:pPr>
      <w:r>
        <w:rPr>
          <w:b/>
          <w:bCs/>
          <w:kern w:val="28"/>
          <w:sz w:val="44"/>
          <w:szCs w:val="44"/>
        </w:rPr>
        <w:t>第</w:t>
      </w:r>
      <w:r>
        <w:rPr>
          <w:rFonts w:hint="eastAsia"/>
          <w:b/>
          <w:bCs/>
          <w:kern w:val="28"/>
          <w:sz w:val="44"/>
          <w:szCs w:val="44"/>
        </w:rPr>
        <w:t>三</w:t>
      </w:r>
      <w:r>
        <w:rPr>
          <w:b/>
          <w:bCs/>
          <w:kern w:val="28"/>
          <w:sz w:val="44"/>
          <w:szCs w:val="44"/>
        </w:rPr>
        <w:t xml:space="preserve">册  </w:t>
      </w:r>
      <w:r>
        <w:rPr>
          <w:rFonts w:hint="eastAsia"/>
          <w:b/>
          <w:bCs/>
          <w:kern w:val="28"/>
          <w:sz w:val="44"/>
          <w:szCs w:val="44"/>
        </w:rPr>
        <w:t>附件</w:t>
      </w:r>
    </w:p>
    <w:p w14:paraId="3A128826">
      <w:pPr>
        <w:pStyle w:val="21"/>
        <w:shd w:val="clear" w:color="auto" w:fill="FFFFFF"/>
        <w:jc w:val="center"/>
        <w:rPr>
          <w:rFonts w:ascii="宋体" w:hAnsi="宋体" w:cs="宋体"/>
          <w:b/>
          <w:bCs/>
          <w:color w:val="333333"/>
          <w:sz w:val="21"/>
          <w:szCs w:val="21"/>
        </w:rPr>
      </w:pPr>
      <w:bookmarkStart w:id="241" w:name="_Toc73613644"/>
      <w:bookmarkStart w:id="242" w:name="_Toc73610162"/>
    </w:p>
    <w:p w14:paraId="2E73897D">
      <w:pPr>
        <w:pStyle w:val="21"/>
        <w:shd w:val="clear" w:color="auto" w:fill="FFFFFF"/>
        <w:jc w:val="center"/>
        <w:rPr>
          <w:rFonts w:ascii="宋体" w:hAnsi="宋体" w:cs="宋体"/>
          <w:b/>
          <w:bCs/>
          <w:color w:val="333333"/>
          <w:sz w:val="21"/>
          <w:szCs w:val="21"/>
        </w:rPr>
      </w:pPr>
    </w:p>
    <w:p w14:paraId="25A12D33">
      <w:pPr>
        <w:pStyle w:val="21"/>
        <w:shd w:val="clear" w:color="auto" w:fill="FFFFFF"/>
        <w:jc w:val="center"/>
        <w:rPr>
          <w:rFonts w:ascii="宋体" w:hAnsi="宋体" w:cs="宋体"/>
          <w:b/>
          <w:bCs/>
          <w:color w:val="333333"/>
          <w:sz w:val="21"/>
          <w:szCs w:val="21"/>
        </w:rPr>
      </w:pPr>
      <w:r>
        <w:rPr>
          <w:rFonts w:hint="eastAsia" w:ascii="宋体" w:hAnsi="宋体" w:cs="宋体"/>
          <w:b/>
          <w:bCs/>
          <w:color w:val="333333"/>
          <w:sz w:val="21"/>
          <w:szCs w:val="21"/>
        </w:rPr>
        <w:t>一、财政部 工业和信息化部关于印发《政府采购促进中小企业发展管理办法》的通知</w:t>
      </w:r>
      <w:bookmarkEnd w:id="241"/>
      <w:bookmarkEnd w:id="242"/>
    </w:p>
    <w:p w14:paraId="4837ED4E"/>
    <w:p w14:paraId="775E7F90"/>
    <w:p w14:paraId="6340016E">
      <w:pPr>
        <w:pStyle w:val="21"/>
        <w:shd w:val="clear" w:color="auto" w:fill="FFFFFF"/>
        <w:jc w:val="center"/>
        <w:rPr>
          <w:rFonts w:ascii="宋体" w:hAnsi="宋体" w:cs="宋体"/>
          <w:color w:val="000000"/>
          <w:sz w:val="21"/>
          <w:szCs w:val="21"/>
        </w:rPr>
      </w:pPr>
      <w:r>
        <w:rPr>
          <w:rFonts w:hint="eastAsia" w:ascii="宋体" w:hAnsi="宋体" w:cs="宋体"/>
          <w:color w:val="000000"/>
          <w:sz w:val="21"/>
          <w:szCs w:val="21"/>
        </w:rPr>
        <w:t>财库〔2020〕46号</w:t>
      </w:r>
    </w:p>
    <w:p w14:paraId="252D4080">
      <w:pPr>
        <w:pStyle w:val="21"/>
        <w:shd w:val="clear" w:color="auto" w:fill="FFFFFF"/>
        <w:rPr>
          <w:rFonts w:ascii="宋体" w:hAnsi="宋体" w:cs="宋体"/>
          <w:color w:val="333333"/>
          <w:sz w:val="21"/>
          <w:szCs w:val="21"/>
        </w:rPr>
      </w:pPr>
      <w:r>
        <w:rPr>
          <w:rFonts w:hint="eastAsia" w:ascii="宋体" w:hAnsi="宋体" w:cs="宋体"/>
          <w:color w:val="333333"/>
          <w:sz w:val="21"/>
          <w:szCs w:val="21"/>
        </w:rPr>
        <w:t>各中央预算单位办公厅（室），各省、自治区、直辖市、计划单列市财政厅（局）、工业和信息化主管部门，新疆生产建设兵团财政局、工业和信息化主管部门：</w:t>
      </w:r>
    </w:p>
    <w:p w14:paraId="5D5DA4CA">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1F4C3182">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附件：政府采购促进中小企业发展管理办法</w:t>
      </w:r>
    </w:p>
    <w:p w14:paraId="68CC116A">
      <w:pPr>
        <w:pStyle w:val="21"/>
        <w:shd w:val="clear" w:color="auto" w:fill="FFFFFF"/>
        <w:jc w:val="right"/>
        <w:rPr>
          <w:rFonts w:ascii="宋体" w:hAnsi="宋体" w:cs="宋体"/>
          <w:color w:val="333333"/>
          <w:sz w:val="21"/>
          <w:szCs w:val="21"/>
        </w:rPr>
      </w:pPr>
      <w:r>
        <w:rPr>
          <w:rFonts w:hint="eastAsia" w:ascii="宋体" w:hAnsi="宋体" w:cs="宋体"/>
          <w:color w:val="333333"/>
          <w:sz w:val="21"/>
          <w:szCs w:val="21"/>
        </w:rPr>
        <w:t>财　　政　　部</w:t>
      </w:r>
    </w:p>
    <w:p w14:paraId="60E2AC60">
      <w:pPr>
        <w:pStyle w:val="21"/>
        <w:shd w:val="clear" w:color="auto" w:fill="FFFFFF"/>
        <w:jc w:val="right"/>
        <w:rPr>
          <w:rFonts w:ascii="宋体" w:hAnsi="宋体" w:cs="宋体"/>
          <w:color w:val="333333"/>
          <w:sz w:val="21"/>
          <w:szCs w:val="21"/>
        </w:rPr>
      </w:pPr>
      <w:r>
        <w:rPr>
          <w:rFonts w:hint="eastAsia" w:ascii="宋体" w:hAnsi="宋体" w:cs="宋体"/>
          <w:color w:val="333333"/>
          <w:sz w:val="21"/>
          <w:szCs w:val="21"/>
        </w:rPr>
        <w:t>工业和信息化部</w:t>
      </w:r>
    </w:p>
    <w:p w14:paraId="061EB692">
      <w:pPr>
        <w:pStyle w:val="21"/>
        <w:shd w:val="clear" w:color="auto" w:fill="FFFFFF"/>
        <w:jc w:val="right"/>
        <w:rPr>
          <w:rFonts w:ascii="宋体" w:hAnsi="宋体" w:cs="宋体"/>
          <w:color w:val="333333"/>
          <w:sz w:val="21"/>
          <w:szCs w:val="21"/>
        </w:rPr>
      </w:pPr>
      <w:r>
        <w:rPr>
          <w:rFonts w:hint="eastAsia" w:ascii="宋体" w:hAnsi="宋体" w:cs="宋体"/>
          <w:color w:val="333333"/>
          <w:sz w:val="21"/>
          <w:szCs w:val="21"/>
        </w:rPr>
        <w:t>2020年12月18日</w:t>
      </w:r>
    </w:p>
    <w:p w14:paraId="76F8A9F7">
      <w:pPr>
        <w:pStyle w:val="21"/>
        <w:shd w:val="clear" w:color="auto" w:fill="FFFFFF"/>
        <w:ind w:firstLine="480"/>
        <w:rPr>
          <w:rFonts w:ascii="宋体" w:hAnsi="宋体" w:cs="宋体"/>
          <w:color w:val="333333"/>
          <w:sz w:val="21"/>
          <w:szCs w:val="21"/>
        </w:rPr>
      </w:pPr>
    </w:p>
    <w:p w14:paraId="150207B3">
      <w:pPr>
        <w:pStyle w:val="21"/>
        <w:shd w:val="clear" w:color="auto" w:fill="FFFFFF"/>
        <w:rPr>
          <w:rFonts w:ascii="宋体" w:hAnsi="宋体" w:cs="宋体"/>
          <w:color w:val="333333"/>
          <w:sz w:val="21"/>
          <w:szCs w:val="21"/>
        </w:rPr>
      </w:pPr>
      <w:r>
        <w:rPr>
          <w:rFonts w:hint="eastAsia" w:ascii="宋体" w:hAnsi="宋体" w:cs="宋体"/>
          <w:b/>
          <w:bCs/>
          <w:color w:val="333333"/>
          <w:sz w:val="21"/>
          <w:szCs w:val="21"/>
        </w:rPr>
        <w:t>附件</w:t>
      </w:r>
    </w:p>
    <w:p w14:paraId="7D6E679B">
      <w:pPr>
        <w:pStyle w:val="21"/>
        <w:shd w:val="clear" w:color="auto" w:fill="FFFFFF"/>
        <w:ind w:firstLine="480"/>
        <w:rPr>
          <w:rFonts w:ascii="宋体" w:hAnsi="宋体" w:cs="宋体"/>
          <w:color w:val="333333"/>
          <w:sz w:val="21"/>
          <w:szCs w:val="21"/>
        </w:rPr>
      </w:pPr>
    </w:p>
    <w:p w14:paraId="139B6398">
      <w:pPr>
        <w:pStyle w:val="21"/>
        <w:shd w:val="clear" w:color="auto" w:fill="FFFFFF"/>
        <w:jc w:val="center"/>
        <w:rPr>
          <w:rFonts w:ascii="宋体" w:hAnsi="宋体" w:cs="宋体"/>
          <w:color w:val="333333"/>
          <w:sz w:val="21"/>
          <w:szCs w:val="21"/>
        </w:rPr>
      </w:pPr>
      <w:r>
        <w:rPr>
          <w:rFonts w:hint="eastAsia" w:ascii="宋体" w:hAnsi="宋体" w:cs="宋体"/>
          <w:b/>
          <w:bCs/>
          <w:color w:val="333333"/>
          <w:sz w:val="21"/>
          <w:szCs w:val="21"/>
        </w:rPr>
        <w:t>政府采购促进中小企业发展管理办法</w:t>
      </w:r>
    </w:p>
    <w:p w14:paraId="43A515F7">
      <w:pPr>
        <w:pStyle w:val="21"/>
        <w:shd w:val="clear" w:color="auto" w:fill="FFFFFF"/>
        <w:ind w:firstLine="480"/>
        <w:rPr>
          <w:rFonts w:ascii="宋体" w:hAnsi="宋体" w:cs="宋体"/>
          <w:color w:val="333333"/>
          <w:sz w:val="21"/>
          <w:szCs w:val="21"/>
        </w:rPr>
      </w:pPr>
    </w:p>
    <w:p w14:paraId="270583D5">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第一条</w:t>
      </w:r>
      <w:r>
        <w:rPr>
          <w:rFonts w:hint="eastAsia" w:ascii="宋体" w:hAnsi="宋体" w:cs="宋体"/>
          <w:color w:val="333333"/>
          <w:sz w:val="21"/>
          <w:szCs w:val="21"/>
        </w:rPr>
        <w:t>　为了发挥政府采购的政策功能，促进中小企业健康发展，根据《中华人民共和国政府采购法》、《中华人民共和国中小企业促进法》等有关法律法规，制定本办法。</w:t>
      </w:r>
    </w:p>
    <w:p w14:paraId="11F18255">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第二条</w:t>
      </w:r>
      <w:r>
        <w:rPr>
          <w:rFonts w:hint="eastAsia" w:ascii="宋体" w:hAnsi="宋体" w:cs="宋体"/>
          <w:color w:val="333333"/>
          <w:sz w:val="21"/>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10661DB">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符合中小企业划分标准的个体工商户，在政府采购活动中视同中小企业。</w:t>
      </w:r>
    </w:p>
    <w:p w14:paraId="4AA07EB2">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第三条</w:t>
      </w:r>
      <w:r>
        <w:rPr>
          <w:rFonts w:hint="eastAsia" w:ascii="宋体" w:hAnsi="宋体" w:cs="宋体"/>
          <w:color w:val="333333"/>
          <w:sz w:val="21"/>
          <w:szCs w:val="21"/>
        </w:rPr>
        <w:t>　采购人在政府采购活动中应当通过加强采购需求管理，落实预留采购份额、价格评审优惠、优先采购等措施，提高中小企业在政府采购中的份额，支持中小企业发展。</w:t>
      </w:r>
    </w:p>
    <w:p w14:paraId="67490DB7">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第四条</w:t>
      </w:r>
      <w:r>
        <w:rPr>
          <w:rFonts w:hint="eastAsia" w:ascii="宋体" w:hAnsi="宋体" w:cs="宋体"/>
          <w:color w:val="333333"/>
          <w:sz w:val="21"/>
          <w:szCs w:val="21"/>
        </w:rPr>
        <w:t>　在政府采购活动中，供应商提供的货物、工程或者服务符合下列情形的，享受本办法规定的中小企业扶持政策：</w:t>
      </w:r>
    </w:p>
    <w:p w14:paraId="1695709B">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（一）在货物采购项目中，货物由中小企业制造，即货物由中小企业生产且使用该中小企业商号或者注册商标；</w:t>
      </w:r>
    </w:p>
    <w:p w14:paraId="517B954D">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（二）在工程采购项目中，工程由中小企业承建，即工程施工单位为中小企业；</w:t>
      </w:r>
    </w:p>
    <w:p w14:paraId="34AB6D1B">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（三）在服务采购项目中，服务由中小企业承接，即提供服务的人员为中小企业依照《中华人民共和国劳动合同法》订立劳动合同的从业人员。</w:t>
      </w:r>
    </w:p>
    <w:p w14:paraId="66660CAF">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在货物采购项目中，供应商提供的货物既有中小企业制造货物，也有大型企业制造货物的，不享受本办法规定的中小企业扶持政策。</w:t>
      </w:r>
    </w:p>
    <w:p w14:paraId="55118631">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以联合体形式参加政府采购活动，联合体各方均为中小企业的，联合体视同中小企业。其中，联合体各方均为小微企业的，联合体视同小微企业。</w:t>
      </w:r>
    </w:p>
    <w:p w14:paraId="669EB432">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第五条</w:t>
      </w:r>
      <w:r>
        <w:rPr>
          <w:rFonts w:hint="eastAsia" w:ascii="宋体" w:hAnsi="宋体" w:cs="宋体"/>
          <w:color w:val="333333"/>
          <w:sz w:val="21"/>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2BAC1AC">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第六条</w:t>
      </w:r>
      <w:r>
        <w:rPr>
          <w:rFonts w:hint="eastAsia" w:ascii="宋体" w:hAnsi="宋体" w:cs="宋体"/>
          <w:color w:val="333333"/>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2C3B28A">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符合下列情形之一的，可不专门面向中小企业预留采购份额：</w:t>
      </w:r>
    </w:p>
    <w:p w14:paraId="45141DF9">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（一）法律法规和国家有关政策明确规定优先或者应当面向事业单位、社会组织等非企业主体采购的；</w:t>
      </w:r>
    </w:p>
    <w:p w14:paraId="587132DC">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（二）因确需使用不可替代的专利、专有技术，基础设施限制，或者提供特定公共服务等原因，只能从中小企业之外的供应商处采购的；</w:t>
      </w:r>
    </w:p>
    <w:p w14:paraId="3FE82466">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（三）按照本办法规定预留采购份额无法确保充分供应、充分竞争，或者存在可能影响政府采购目标实现的情形；</w:t>
      </w:r>
    </w:p>
    <w:p w14:paraId="5AB6D846">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（四）框架协议采购项目；</w:t>
      </w:r>
    </w:p>
    <w:p w14:paraId="508799DB">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（五）省级以上人民政府财政部门规定的其他情形。</w:t>
      </w:r>
    </w:p>
    <w:p w14:paraId="4D01A088">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除上述情形外，其他均为适宜由中小企业提供的情形。</w:t>
      </w:r>
    </w:p>
    <w:p w14:paraId="31275216">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第七条</w:t>
      </w:r>
      <w:r>
        <w:rPr>
          <w:rFonts w:hint="eastAsia" w:ascii="宋体" w:hAnsi="宋体" w:cs="宋体"/>
          <w:color w:val="333333"/>
          <w:sz w:val="21"/>
          <w:szCs w:val="21"/>
        </w:rPr>
        <w:t>　采购限额标准以上，200万元以下的货物和服务采购项目、400万元以下的工程采购项目，适宜由中小企业提供的，采购人应当专门面向中小企业采购。</w:t>
      </w:r>
    </w:p>
    <w:p w14:paraId="2267FB3E">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第八条</w:t>
      </w:r>
      <w:r>
        <w:rPr>
          <w:rFonts w:hint="eastAsia" w:ascii="宋体" w:hAnsi="宋体" w:cs="宋体"/>
          <w:color w:val="333333"/>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63EAB60E">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（一）将采购项目整体或者设置采购包专门面向中小企业采购；</w:t>
      </w:r>
    </w:p>
    <w:p w14:paraId="09847795">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（二）要求供应商以联合体形式参加采购活动，且联合体中中小企业承担的部分达到一定比例；</w:t>
      </w:r>
    </w:p>
    <w:p w14:paraId="5B2A2597">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（三）要求获得采购合同的供应商将采购项目中的一定比例分包给一家或者多家中小企业。</w:t>
      </w:r>
    </w:p>
    <w:p w14:paraId="57221C0F">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组成联合体或者接受分包合同的中小企业与联合体内其他企业、分包企业之间不得存在直接控股、管理关系。</w:t>
      </w:r>
    </w:p>
    <w:p w14:paraId="6F37ECF6">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第九条</w:t>
      </w:r>
      <w:r>
        <w:rPr>
          <w:rFonts w:hint="eastAsia" w:ascii="宋体" w:hAnsi="宋体" w:cs="宋体"/>
          <w:color w:val="333333"/>
          <w:sz w:val="21"/>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AF91A0D">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AAF59F6">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F3E5203">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第十条</w:t>
      </w:r>
      <w:r>
        <w:rPr>
          <w:rFonts w:hint="eastAsia" w:ascii="宋体" w:hAnsi="宋体" w:cs="宋体"/>
          <w:color w:val="333333"/>
          <w:sz w:val="21"/>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0CFB916">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第十一条</w:t>
      </w:r>
      <w:r>
        <w:rPr>
          <w:rFonts w:hint="eastAsia" w:ascii="宋体" w:hAnsi="宋体" w:cs="宋体"/>
          <w:color w:val="333333"/>
          <w:sz w:val="21"/>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08001B58">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第十二条</w:t>
      </w:r>
      <w:r>
        <w:rPr>
          <w:rFonts w:hint="eastAsia" w:ascii="宋体" w:hAnsi="宋体" w:cs="宋体"/>
          <w:color w:val="333333"/>
          <w:sz w:val="21"/>
          <w:szCs w:val="21"/>
        </w:rPr>
        <w:t>　采购项目涉及中小企业采购的，采购文件应当明确以下内容：</w:t>
      </w:r>
    </w:p>
    <w:p w14:paraId="038D964A">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（一）预留份额的采购项目或者采购包，明确该项目或相关采购包专门面向中小企业采购，以及相关标的及预算金额；</w:t>
      </w:r>
    </w:p>
    <w:p w14:paraId="5A8A7CC6">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（二）要求以联合体形式参加或者合同分包的，明确联合协议或者分包意向协议中中小企业合同金额应当达到的比例，并作为供应商资格条件；</w:t>
      </w:r>
    </w:p>
    <w:p w14:paraId="38F32D55">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（三）非预留份额的采购项目或者采购包，明确有关价格扣除比例或者价格分加分比例；</w:t>
      </w:r>
    </w:p>
    <w:p w14:paraId="5B850BCE">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（四）规定依据本办法规定享受扶持政策获得政府采购合同的，小微企业不得将合同分包给大中型企业，中型企业不得将合同分包给大型企业；</w:t>
      </w:r>
    </w:p>
    <w:p w14:paraId="6433F4C9">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（五）采购人认为具备相关条件的，明确对中小企业在资金支付期限、预付款比例等方面的优惠措施；</w:t>
      </w:r>
    </w:p>
    <w:p w14:paraId="349D4EAA">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（六）明确采购标的对应的中小企业划分标准所属行业；</w:t>
      </w:r>
    </w:p>
    <w:p w14:paraId="6B4B6F65">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（七）法律法规和省级以上人民政府财政部门规定的其他事项。</w:t>
      </w:r>
    </w:p>
    <w:p w14:paraId="5D2E2575">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第十三条</w:t>
      </w:r>
      <w:r>
        <w:rPr>
          <w:rFonts w:hint="eastAsia" w:ascii="宋体" w:hAnsi="宋体" w:cs="宋体"/>
          <w:color w:val="333333"/>
          <w:sz w:val="21"/>
          <w:szCs w:val="21"/>
        </w:rPr>
        <w:t>　中标、成交供应商享受本办法规定的中小企业扶持政策的，采购人、采购代理机构应当随中标、成交结果公开中标、成交供应商的《中小企业声明函》。</w:t>
      </w:r>
    </w:p>
    <w:p w14:paraId="41A26073">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适用招标投标法的政府采购工程建设项目，应当在公示中标候选人时公开中标候选人的《中小企业声明函》。</w:t>
      </w:r>
    </w:p>
    <w:p w14:paraId="0EC8DC74">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第十四条</w:t>
      </w:r>
      <w:r>
        <w:rPr>
          <w:rFonts w:hint="eastAsia" w:ascii="宋体" w:hAnsi="宋体" w:cs="宋体"/>
          <w:color w:val="333333"/>
          <w:sz w:val="21"/>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8907A84">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第十五条</w:t>
      </w:r>
      <w:r>
        <w:rPr>
          <w:rFonts w:hint="eastAsia" w:ascii="宋体" w:hAnsi="宋体" w:cs="宋体"/>
          <w:color w:val="333333"/>
          <w:sz w:val="21"/>
          <w:szCs w:val="21"/>
        </w:rPr>
        <w:t>　鼓励各地区、各部门在采购活动中允许中小企业引入信用担保手段，为中小企业在投标（响应）保证、履约保证等方面提供专业化服务。鼓励中小企业依法合规通过政府采购合同融资。</w:t>
      </w:r>
    </w:p>
    <w:p w14:paraId="3A990A1F">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第十六条</w:t>
      </w:r>
      <w:r>
        <w:rPr>
          <w:rFonts w:hint="eastAsia" w:ascii="宋体" w:hAnsi="宋体" w:cs="宋体"/>
          <w:color w:val="333333"/>
          <w:sz w:val="21"/>
          <w:szCs w:val="21"/>
        </w:rPr>
        <w:t>　政府采购监督检查、投诉处理及政府采购行政处罚中对中小企业的认定，由货物制造商或者工程、服务供应商注册登记所在地的县级以上人民政府中小企业主管部门负责。</w:t>
      </w:r>
    </w:p>
    <w:p w14:paraId="65444C72">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中小企业主管部门应当在收到财政部门或者有关招标投标行政监督部门关于协助开展中小企业认定函后10个工作日内做出书面答复。</w:t>
      </w:r>
    </w:p>
    <w:p w14:paraId="139EA1B7">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第十七条</w:t>
      </w:r>
      <w:r>
        <w:rPr>
          <w:rFonts w:hint="eastAsia" w:ascii="宋体" w:hAnsi="宋体" w:cs="宋体"/>
          <w:color w:val="333333"/>
          <w:sz w:val="21"/>
          <w:szCs w:val="21"/>
        </w:rPr>
        <w:t>　各地区、各部门应当对涉及中小企业采购的预算项目实施全过程绩效管理，合理设置绩效目标和指标，落实扶持中小企业有关政策要求，定期开展绩效监控和评价，强化绩效评价结果应用。</w:t>
      </w:r>
    </w:p>
    <w:p w14:paraId="4CD7D54F">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第十八条</w:t>
      </w:r>
      <w:r>
        <w:rPr>
          <w:rFonts w:hint="eastAsia" w:ascii="宋体" w:hAnsi="宋体" w:cs="宋体"/>
          <w:color w:val="333333"/>
          <w:sz w:val="21"/>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307D885">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第十九条</w:t>
      </w:r>
      <w:r>
        <w:rPr>
          <w:rFonts w:hint="eastAsia" w:ascii="宋体" w:hAnsi="宋体" w:cs="宋体"/>
          <w:color w:val="333333"/>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BF56F5E">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第二十条</w:t>
      </w:r>
      <w:r>
        <w:rPr>
          <w:rFonts w:hint="eastAsia" w:ascii="宋体" w:hAnsi="宋体" w:cs="宋体"/>
          <w:color w:val="333333"/>
          <w:sz w:val="21"/>
          <w:szCs w:val="21"/>
        </w:rPr>
        <w:t>　供应商按照本办法规定提供声明函内容不实的，属于提供虚假材料谋取中标、成交，依照《中华人民共和国政府采购法》等国家有关规定追究相应责任。</w:t>
      </w:r>
    </w:p>
    <w:p w14:paraId="49251B87">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14:paraId="6BD95B67">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第二十一条</w:t>
      </w:r>
      <w:r>
        <w:rPr>
          <w:rFonts w:hint="eastAsia" w:ascii="宋体" w:hAnsi="宋体" w:cs="宋体"/>
          <w:color w:val="333333"/>
          <w:sz w:val="21"/>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FAC2018">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第二十二条</w:t>
      </w:r>
      <w:r>
        <w:rPr>
          <w:rFonts w:hint="eastAsia" w:ascii="宋体" w:hAnsi="宋体" w:cs="宋体"/>
          <w:color w:val="333333"/>
          <w:sz w:val="21"/>
          <w:szCs w:val="21"/>
        </w:rPr>
        <w:t>　对外援助项目、国家相关资格或者资质管理制度另有规定的项目，不适用本办法。</w:t>
      </w:r>
    </w:p>
    <w:p w14:paraId="419708EC">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第二十三条</w:t>
      </w:r>
      <w:r>
        <w:rPr>
          <w:rFonts w:hint="eastAsia" w:ascii="宋体" w:hAnsi="宋体" w:cs="宋体"/>
          <w:color w:val="333333"/>
          <w:sz w:val="21"/>
          <w:szCs w:val="21"/>
        </w:rPr>
        <w:t>　关于视同中小企业的其他主体的政府采购扶持政策，由财政部会同有关部门另行规定。</w:t>
      </w:r>
    </w:p>
    <w:p w14:paraId="3922A094">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第二十四条</w:t>
      </w:r>
      <w:r>
        <w:rPr>
          <w:rFonts w:hint="eastAsia" w:ascii="宋体" w:hAnsi="宋体" w:cs="宋体"/>
          <w:color w:val="333333"/>
          <w:sz w:val="21"/>
          <w:szCs w:val="21"/>
        </w:rPr>
        <w:t>　省级财政部门可以会同中小企业主管部门根据本办法的规定制定具体实施办法。</w:t>
      </w:r>
    </w:p>
    <w:p w14:paraId="13E7F340">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第二十五条</w:t>
      </w:r>
      <w:r>
        <w:rPr>
          <w:rFonts w:hint="eastAsia" w:ascii="宋体" w:hAnsi="宋体" w:cs="宋体"/>
          <w:color w:val="333333"/>
          <w:sz w:val="21"/>
          <w:szCs w:val="21"/>
        </w:rPr>
        <w:t>　本办法自2021年1月1日起施行。《财政部 工业和信息化部关于印发〈政府采购促进中小企业发展暂行办法〉的通知》（财库〔2011〕181号）同时废止。</w:t>
      </w:r>
    </w:p>
    <w:p w14:paraId="51A0280E">
      <w:pPr>
        <w:pStyle w:val="21"/>
        <w:shd w:val="clear" w:color="auto" w:fill="FFFFFF"/>
        <w:ind w:firstLine="480"/>
        <w:rPr>
          <w:rFonts w:ascii="宋体" w:hAnsi="宋体" w:cs="宋体"/>
          <w:color w:val="333333"/>
          <w:sz w:val="21"/>
          <w:szCs w:val="21"/>
        </w:rPr>
      </w:pPr>
    </w:p>
    <w:p w14:paraId="7E6CED27">
      <w:pPr>
        <w:rPr>
          <w:rFonts w:ascii="宋体" w:hAnsi="宋体" w:cs="宋体"/>
          <w:szCs w:val="21"/>
        </w:rPr>
      </w:pPr>
    </w:p>
    <w:p w14:paraId="21573E6A">
      <w:pPr>
        <w:pStyle w:val="21"/>
        <w:shd w:val="clear" w:color="auto" w:fill="FFFFFF"/>
        <w:jc w:val="center"/>
        <w:rPr>
          <w:rFonts w:ascii="宋体" w:hAnsi="宋体" w:cs="宋体"/>
          <w:b/>
          <w:bCs/>
          <w:color w:val="333333"/>
          <w:sz w:val="21"/>
          <w:szCs w:val="21"/>
        </w:rPr>
      </w:pPr>
      <w:bookmarkStart w:id="243" w:name="_Toc73610163"/>
      <w:bookmarkStart w:id="244" w:name="_Toc73613645"/>
      <w:r>
        <w:rPr>
          <w:rFonts w:hint="eastAsia" w:ascii="宋体" w:hAnsi="宋体" w:cs="宋体"/>
          <w:b/>
          <w:bCs/>
          <w:color w:val="333333"/>
          <w:sz w:val="21"/>
          <w:szCs w:val="21"/>
        </w:rPr>
        <w:t>二、关于印发中小企业划型标准规定的通知</w:t>
      </w:r>
      <w:bookmarkEnd w:id="243"/>
      <w:bookmarkEnd w:id="244"/>
    </w:p>
    <w:p w14:paraId="426CBDC3">
      <w:pPr>
        <w:jc w:val="center"/>
        <w:rPr>
          <w:rFonts w:ascii="宋体" w:hAnsi="宋体" w:cs="宋体"/>
          <w:color w:val="000000"/>
          <w:szCs w:val="21"/>
        </w:rPr>
      </w:pPr>
    </w:p>
    <w:p w14:paraId="17156D3D">
      <w:pPr>
        <w:jc w:val="center"/>
        <w:rPr>
          <w:rFonts w:ascii="宋体" w:hAnsi="宋体" w:cs="宋体"/>
          <w:color w:val="000000"/>
          <w:szCs w:val="21"/>
        </w:rPr>
      </w:pPr>
      <w:r>
        <w:rPr>
          <w:rFonts w:hint="eastAsia" w:ascii="宋体" w:hAnsi="宋体" w:cs="宋体"/>
          <w:color w:val="000000"/>
          <w:szCs w:val="21"/>
        </w:rPr>
        <w:t>工信部联企业〔2011〕300号</w:t>
      </w:r>
    </w:p>
    <w:p w14:paraId="54F87565">
      <w:pPr>
        <w:rPr>
          <w:rFonts w:ascii="宋体" w:hAnsi="宋体" w:cs="宋体"/>
          <w:color w:val="000000"/>
          <w:szCs w:val="21"/>
        </w:rPr>
      </w:pPr>
      <w:r>
        <w:rPr>
          <w:rFonts w:hint="eastAsia" w:ascii="宋体" w:hAnsi="宋体" w:cs="宋体"/>
          <w:color w:val="000000"/>
          <w:szCs w:val="21"/>
        </w:rPr>
        <w:t>各省、自治区、直辖市人民政府，国务院各部委、各直属机构及有关单位：</w:t>
      </w:r>
    </w:p>
    <w:p w14:paraId="525FD13E">
      <w:pPr>
        <w:rPr>
          <w:rFonts w:ascii="宋体" w:hAnsi="宋体" w:cs="宋体"/>
          <w:color w:val="000000"/>
          <w:szCs w:val="21"/>
        </w:rPr>
      </w:pPr>
      <w:r>
        <w:rPr>
          <w:rFonts w:hint="eastAsia" w:ascii="宋体" w:hAnsi="宋体" w:cs="宋体"/>
          <w:color w:val="00000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33FDC72">
      <w:pPr>
        <w:rPr>
          <w:rFonts w:ascii="宋体" w:hAnsi="宋体" w:cs="宋体"/>
          <w:color w:val="000000"/>
          <w:szCs w:val="21"/>
        </w:rPr>
      </w:pPr>
    </w:p>
    <w:p w14:paraId="69DFEB5D">
      <w:pPr>
        <w:jc w:val="right"/>
        <w:rPr>
          <w:rFonts w:ascii="宋体" w:hAnsi="宋体" w:cs="宋体"/>
          <w:color w:val="000000"/>
          <w:szCs w:val="21"/>
        </w:rPr>
      </w:pPr>
      <w:r>
        <w:rPr>
          <w:rFonts w:hint="eastAsia" w:ascii="宋体" w:hAnsi="宋体" w:cs="宋体"/>
          <w:color w:val="000000"/>
          <w:szCs w:val="21"/>
        </w:rPr>
        <w:t>工业和信息化部　国家统计局   国家发展和改革委员会　财政部</w:t>
      </w:r>
    </w:p>
    <w:p w14:paraId="478FCB77">
      <w:pPr>
        <w:jc w:val="right"/>
        <w:rPr>
          <w:rFonts w:ascii="宋体" w:hAnsi="宋体" w:cs="宋体"/>
          <w:color w:val="000000"/>
          <w:szCs w:val="21"/>
        </w:rPr>
      </w:pPr>
      <w:r>
        <w:rPr>
          <w:rFonts w:hint="eastAsia" w:ascii="宋体" w:hAnsi="宋体" w:cs="宋体"/>
          <w:color w:val="000000"/>
          <w:szCs w:val="21"/>
        </w:rPr>
        <w:t>二○一一年六月十八日</w:t>
      </w:r>
    </w:p>
    <w:p w14:paraId="487DBB97">
      <w:pPr>
        <w:rPr>
          <w:rFonts w:ascii="宋体" w:hAnsi="宋体" w:cs="宋体"/>
          <w:szCs w:val="21"/>
        </w:rPr>
      </w:pPr>
    </w:p>
    <w:p w14:paraId="6F62F4E0">
      <w:pPr>
        <w:jc w:val="center"/>
        <w:rPr>
          <w:rFonts w:ascii="宋体" w:hAnsi="宋体" w:cs="宋体"/>
          <w:szCs w:val="21"/>
        </w:rPr>
      </w:pPr>
      <w:r>
        <w:rPr>
          <w:rStyle w:val="28"/>
          <w:rFonts w:hint="eastAsia" w:ascii="宋体" w:hAnsi="宋体" w:cs="宋体"/>
          <w:color w:val="000000"/>
          <w:szCs w:val="21"/>
        </w:rPr>
        <w:t>中小企业划型标准规定</w:t>
      </w:r>
    </w:p>
    <w:p w14:paraId="7636DA50">
      <w:pPr>
        <w:rPr>
          <w:rFonts w:ascii="宋体" w:hAnsi="宋体" w:cs="宋体"/>
          <w:color w:val="000000"/>
          <w:szCs w:val="21"/>
        </w:rPr>
      </w:pPr>
      <w:r>
        <w:rPr>
          <w:rFonts w:hint="eastAsia" w:ascii="宋体" w:hAnsi="宋体" w:cs="宋体"/>
          <w:color w:val="000000"/>
          <w:szCs w:val="21"/>
        </w:rPr>
        <w:t>　　</w:t>
      </w:r>
    </w:p>
    <w:p w14:paraId="40A0CC2C">
      <w:pPr>
        <w:rPr>
          <w:rFonts w:ascii="宋体" w:hAnsi="宋体" w:cs="宋体"/>
          <w:color w:val="000000"/>
          <w:szCs w:val="21"/>
        </w:rPr>
      </w:pPr>
      <w:r>
        <w:rPr>
          <w:rFonts w:hint="eastAsia" w:ascii="宋体" w:hAnsi="宋体" w:cs="宋体"/>
          <w:color w:val="000000"/>
          <w:szCs w:val="21"/>
        </w:rPr>
        <w:t>一、根据《中华人民共和国中小企业促进法》和《国务院关于进一步促进中小企业发展的若干意见》(国发〔2009〕36号)，制定本规定。</w:t>
      </w:r>
    </w:p>
    <w:p w14:paraId="520A4AA3">
      <w:pPr>
        <w:rPr>
          <w:rFonts w:ascii="宋体" w:hAnsi="宋体" w:cs="宋体"/>
          <w:color w:val="000000"/>
          <w:szCs w:val="21"/>
        </w:rPr>
      </w:pPr>
      <w:r>
        <w:rPr>
          <w:rFonts w:hint="eastAsia" w:ascii="宋体" w:hAnsi="宋体" w:cs="宋体"/>
          <w:color w:val="000000"/>
          <w:szCs w:val="21"/>
        </w:rPr>
        <w:t>　　二、中小企业划分为中型、小型、微型三种类型，具体标准根据企业从业人员、营业收入、资产总额等指标，结合行业特点制定。</w:t>
      </w:r>
    </w:p>
    <w:p w14:paraId="1E5D7FB9">
      <w:pPr>
        <w:rPr>
          <w:rFonts w:ascii="宋体" w:hAnsi="宋体" w:cs="宋体"/>
          <w:color w:val="000000"/>
          <w:szCs w:val="21"/>
        </w:rPr>
      </w:pPr>
      <w:r>
        <w:rPr>
          <w:rFonts w:hint="eastAsia" w:ascii="宋体" w:hAnsi="宋体" w:cs="宋体"/>
          <w:color w:val="00000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FE9A553">
      <w:pPr>
        <w:rPr>
          <w:rFonts w:ascii="宋体" w:hAnsi="宋体" w:cs="宋体"/>
          <w:color w:val="000000"/>
          <w:szCs w:val="21"/>
        </w:rPr>
      </w:pPr>
      <w:r>
        <w:rPr>
          <w:rFonts w:hint="eastAsia" w:ascii="宋体" w:hAnsi="宋体" w:cs="宋体"/>
          <w:color w:val="000000"/>
          <w:szCs w:val="21"/>
        </w:rPr>
        <w:t>　　四、各行业划型标准为：</w:t>
      </w:r>
    </w:p>
    <w:p w14:paraId="66263A08">
      <w:pPr>
        <w:rPr>
          <w:rFonts w:ascii="宋体" w:hAnsi="宋体" w:cs="宋体"/>
          <w:color w:val="000000"/>
          <w:szCs w:val="21"/>
        </w:rPr>
      </w:pPr>
      <w:r>
        <w:rPr>
          <w:rFonts w:hint="eastAsia" w:ascii="宋体" w:hAnsi="宋体" w:cs="宋体"/>
          <w:color w:val="000000"/>
          <w:szCs w:val="21"/>
        </w:rPr>
        <w:t>　　（一）农、林、牧、渔业。营业收入20000万元以下的为中小微型企业。其中，营业收入500万元及以上的为中型企业，营业收入50万元及以上的为小型企业，营业收入50万元以下的为微型企业。</w:t>
      </w:r>
    </w:p>
    <w:p w14:paraId="3D4CD118">
      <w:pPr>
        <w:rPr>
          <w:rFonts w:ascii="宋体" w:hAnsi="宋体" w:cs="宋体"/>
          <w:color w:val="000000"/>
          <w:szCs w:val="21"/>
        </w:rPr>
      </w:pPr>
      <w:r>
        <w:rPr>
          <w:rFonts w:hint="eastAsia" w:ascii="宋体" w:hAnsi="宋体" w:cs="宋体"/>
          <w:color w:val="00000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CBB0470">
      <w:pPr>
        <w:rPr>
          <w:rFonts w:ascii="宋体" w:hAnsi="宋体" w:cs="宋体"/>
          <w:color w:val="000000"/>
          <w:szCs w:val="21"/>
        </w:rPr>
      </w:pPr>
      <w:r>
        <w:rPr>
          <w:rFonts w:hint="eastAsia" w:ascii="宋体" w:hAnsi="宋体" w:cs="宋体"/>
          <w:color w:val="00000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0BCB859">
      <w:pPr>
        <w:rPr>
          <w:rFonts w:ascii="宋体" w:hAnsi="宋体" w:cs="宋体"/>
          <w:color w:val="000000"/>
          <w:szCs w:val="21"/>
        </w:rPr>
      </w:pPr>
      <w:r>
        <w:rPr>
          <w:rFonts w:hint="eastAsia" w:ascii="宋体" w:hAnsi="宋体" w:cs="宋体"/>
          <w:color w:val="00000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64E2F67">
      <w:pPr>
        <w:rPr>
          <w:rFonts w:ascii="宋体" w:hAnsi="宋体" w:cs="宋体"/>
          <w:color w:val="000000"/>
          <w:szCs w:val="21"/>
        </w:rPr>
      </w:pPr>
      <w:r>
        <w:rPr>
          <w:rFonts w:hint="eastAsia" w:ascii="宋体" w:hAnsi="宋体" w:cs="宋体"/>
          <w:color w:val="00000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B5AA3D5">
      <w:pPr>
        <w:rPr>
          <w:rFonts w:ascii="宋体" w:hAnsi="宋体" w:cs="宋体"/>
          <w:color w:val="000000"/>
          <w:szCs w:val="21"/>
        </w:rPr>
      </w:pPr>
      <w:r>
        <w:rPr>
          <w:rFonts w:hint="eastAsia" w:ascii="宋体" w:hAnsi="宋体" w:cs="宋体"/>
          <w:color w:val="00000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5B3CF64">
      <w:pPr>
        <w:rPr>
          <w:rFonts w:ascii="宋体" w:hAnsi="宋体" w:cs="宋体"/>
          <w:color w:val="000000"/>
          <w:szCs w:val="21"/>
        </w:rPr>
      </w:pPr>
      <w:r>
        <w:rPr>
          <w:rFonts w:hint="eastAsia" w:ascii="宋体" w:hAnsi="宋体" w:cs="宋体"/>
          <w:color w:val="00000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5282536">
      <w:pPr>
        <w:rPr>
          <w:rFonts w:ascii="宋体" w:hAnsi="宋体" w:cs="宋体"/>
          <w:color w:val="000000"/>
          <w:szCs w:val="21"/>
        </w:rPr>
      </w:pPr>
      <w:r>
        <w:rPr>
          <w:rFonts w:hint="eastAsia" w:ascii="宋体" w:hAnsi="宋体" w:cs="宋体"/>
          <w:color w:val="00000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93B8875">
      <w:pPr>
        <w:rPr>
          <w:rFonts w:ascii="宋体" w:hAnsi="宋体" w:cs="宋体"/>
          <w:color w:val="000000"/>
          <w:szCs w:val="21"/>
        </w:rPr>
      </w:pPr>
      <w:r>
        <w:rPr>
          <w:rFonts w:hint="eastAsia" w:ascii="宋体" w:hAnsi="宋体" w:cs="宋体"/>
          <w:color w:val="00000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0521BF7">
      <w:pPr>
        <w:rPr>
          <w:rFonts w:ascii="宋体" w:hAnsi="宋体" w:cs="宋体"/>
          <w:color w:val="000000"/>
          <w:szCs w:val="21"/>
        </w:rPr>
      </w:pPr>
      <w:r>
        <w:rPr>
          <w:rFonts w:hint="eastAsia" w:ascii="宋体" w:hAnsi="宋体" w:cs="宋体"/>
          <w:color w:val="00000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D3CDC19">
      <w:pPr>
        <w:rPr>
          <w:rFonts w:ascii="宋体" w:hAnsi="宋体" w:cs="宋体"/>
          <w:color w:val="000000"/>
          <w:szCs w:val="21"/>
        </w:rPr>
      </w:pPr>
      <w:r>
        <w:rPr>
          <w:rFonts w:hint="eastAsia" w:ascii="宋体" w:hAnsi="宋体" w:cs="宋体"/>
          <w:color w:val="00000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D184BDA">
      <w:pPr>
        <w:rPr>
          <w:rFonts w:ascii="宋体" w:hAnsi="宋体" w:cs="宋体"/>
          <w:color w:val="000000"/>
          <w:szCs w:val="21"/>
        </w:rPr>
      </w:pPr>
      <w:r>
        <w:rPr>
          <w:rFonts w:hint="eastAsia" w:ascii="宋体" w:hAnsi="宋体" w:cs="宋体"/>
          <w:color w:val="00000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3523034">
      <w:pPr>
        <w:rPr>
          <w:rFonts w:ascii="宋体" w:hAnsi="宋体" w:cs="宋体"/>
          <w:color w:val="000000"/>
          <w:szCs w:val="21"/>
        </w:rPr>
      </w:pPr>
      <w:r>
        <w:rPr>
          <w:rFonts w:hint="eastAsia" w:ascii="宋体" w:hAnsi="宋体" w:cs="宋体"/>
          <w:color w:val="00000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67FF3F3">
      <w:pPr>
        <w:rPr>
          <w:rFonts w:ascii="宋体" w:hAnsi="宋体" w:cs="宋体"/>
          <w:color w:val="000000"/>
          <w:szCs w:val="21"/>
        </w:rPr>
      </w:pPr>
      <w:r>
        <w:rPr>
          <w:rFonts w:hint="eastAsia" w:ascii="宋体" w:hAnsi="宋体" w:cs="宋体"/>
          <w:color w:val="00000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1EE70DB">
      <w:pPr>
        <w:rPr>
          <w:rFonts w:ascii="宋体" w:hAnsi="宋体" w:cs="宋体"/>
          <w:color w:val="000000"/>
          <w:szCs w:val="21"/>
        </w:rPr>
      </w:pPr>
      <w:r>
        <w:rPr>
          <w:rFonts w:hint="eastAsia" w:ascii="宋体" w:hAnsi="宋体" w:cs="宋体"/>
          <w:color w:val="00000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49740C6">
      <w:pPr>
        <w:rPr>
          <w:rFonts w:ascii="宋体" w:hAnsi="宋体" w:cs="宋体"/>
          <w:color w:val="000000"/>
          <w:szCs w:val="21"/>
        </w:rPr>
      </w:pPr>
      <w:r>
        <w:rPr>
          <w:rFonts w:hint="eastAsia" w:ascii="宋体" w:hAnsi="宋体" w:cs="宋体"/>
          <w:color w:val="000000"/>
          <w:szCs w:val="21"/>
        </w:rPr>
        <w:t>　　（十六）其他未列明行业。从业人员300人以下的为中小微型企业。其中，从业人员100人及以上的为中型企业；从业人员10人及以上的为小型企业；从业人员10人以下的为微型企业。</w:t>
      </w:r>
    </w:p>
    <w:p w14:paraId="5DB1B153">
      <w:pPr>
        <w:rPr>
          <w:rFonts w:ascii="宋体" w:hAnsi="宋体" w:cs="宋体"/>
          <w:color w:val="000000"/>
          <w:szCs w:val="21"/>
        </w:rPr>
      </w:pPr>
      <w:r>
        <w:rPr>
          <w:rFonts w:hint="eastAsia" w:ascii="宋体" w:hAnsi="宋体" w:cs="宋体"/>
          <w:color w:val="000000"/>
          <w:szCs w:val="21"/>
        </w:rPr>
        <w:t>　　五、企业类型的划分以统计部门的统计数据为依据。</w:t>
      </w:r>
    </w:p>
    <w:p w14:paraId="3927783F">
      <w:pPr>
        <w:rPr>
          <w:rFonts w:ascii="宋体" w:hAnsi="宋体" w:cs="宋体"/>
          <w:color w:val="000000"/>
          <w:szCs w:val="21"/>
        </w:rPr>
      </w:pPr>
      <w:r>
        <w:rPr>
          <w:rFonts w:hint="eastAsia" w:ascii="宋体" w:hAnsi="宋体" w:cs="宋体"/>
          <w:color w:val="000000"/>
          <w:szCs w:val="21"/>
        </w:rPr>
        <w:t>　　六、本规定适用于在中华人民共和国境内依法设立的各类所有制和各种组织形式的企业。个体工商户和本规定以外的行业，参照本规定进行划型。</w:t>
      </w:r>
    </w:p>
    <w:p w14:paraId="114700D1">
      <w:pPr>
        <w:rPr>
          <w:rFonts w:ascii="宋体" w:hAnsi="宋体" w:cs="宋体"/>
          <w:color w:val="000000"/>
          <w:szCs w:val="21"/>
        </w:rPr>
      </w:pPr>
      <w:r>
        <w:rPr>
          <w:rFonts w:hint="eastAsia" w:ascii="宋体" w:hAnsi="宋体" w:cs="宋体"/>
          <w:color w:val="000000"/>
          <w:szCs w:val="21"/>
        </w:rPr>
        <w:t>　　七、本规定的中型企业标准上限即为大型企业标准的下限，国家统计部门据此制定大中小微型企业的统计分类。国务院有关部门据此进行相关数据分析，不得制定与本规定不一致的企业划型标准。</w:t>
      </w:r>
    </w:p>
    <w:p w14:paraId="25141F2E">
      <w:pPr>
        <w:rPr>
          <w:rFonts w:ascii="宋体" w:hAnsi="宋体" w:cs="宋体"/>
          <w:color w:val="000000"/>
          <w:szCs w:val="21"/>
        </w:rPr>
      </w:pPr>
      <w:r>
        <w:rPr>
          <w:rFonts w:hint="eastAsia" w:ascii="宋体" w:hAnsi="宋体" w:cs="宋体"/>
          <w:color w:val="000000"/>
          <w:szCs w:val="21"/>
        </w:rPr>
        <w:t>　　八、本规定由工业和信息化部、国家统计局会同有关部门根据《国民经济行业分类》修订情况和企业发展变化情况适时修订。</w:t>
      </w:r>
    </w:p>
    <w:p w14:paraId="088210D7">
      <w:pPr>
        <w:rPr>
          <w:rFonts w:ascii="宋体" w:hAnsi="宋体" w:cs="宋体"/>
          <w:color w:val="000000"/>
          <w:szCs w:val="21"/>
        </w:rPr>
      </w:pPr>
      <w:r>
        <w:rPr>
          <w:rFonts w:hint="eastAsia" w:ascii="宋体" w:hAnsi="宋体" w:cs="宋体"/>
          <w:color w:val="000000"/>
          <w:szCs w:val="21"/>
        </w:rPr>
        <w:t>　　九、本规定由工业和信息化部、国家统计局会同有关部门负责解释。</w:t>
      </w:r>
    </w:p>
    <w:p w14:paraId="3E3FB5BD">
      <w:pPr>
        <w:rPr>
          <w:rFonts w:ascii="宋体" w:hAnsi="宋体" w:cs="宋体"/>
          <w:szCs w:val="21"/>
        </w:rPr>
      </w:pPr>
      <w:r>
        <w:rPr>
          <w:rFonts w:hint="eastAsia" w:ascii="宋体" w:hAnsi="宋体" w:cs="宋体"/>
          <w:color w:val="000000"/>
          <w:szCs w:val="21"/>
        </w:rPr>
        <w:t>　　十、本规定自发布之日起执行，原国家经贸委、原国家计委、财政部和国家统计局2003年颁布的《中小企业标准暂行规定》同时废止。</w:t>
      </w:r>
    </w:p>
    <w:p w14:paraId="3BB76658">
      <w:pPr>
        <w:pStyle w:val="4"/>
        <w:spacing w:before="0" w:after="0"/>
        <w:jc w:val="center"/>
        <w:rPr>
          <w:rFonts w:cs="宋体"/>
          <w:szCs w:val="21"/>
        </w:rPr>
      </w:pPr>
      <w:bookmarkStart w:id="245" w:name="_Toc73613646"/>
      <w:bookmarkStart w:id="246" w:name="_Toc73610164"/>
    </w:p>
    <w:p w14:paraId="205FA7AA">
      <w:pPr>
        <w:pStyle w:val="4"/>
        <w:spacing w:before="0" w:after="0"/>
        <w:jc w:val="center"/>
        <w:rPr>
          <w:rFonts w:cs="宋体"/>
          <w:szCs w:val="21"/>
        </w:rPr>
      </w:pPr>
    </w:p>
    <w:p w14:paraId="6308CF7F">
      <w:pPr>
        <w:pStyle w:val="4"/>
        <w:spacing w:before="0" w:after="0"/>
        <w:jc w:val="center"/>
        <w:rPr>
          <w:rFonts w:cs="宋体"/>
          <w:szCs w:val="21"/>
        </w:rPr>
      </w:pPr>
      <w:r>
        <w:rPr>
          <w:rFonts w:hint="eastAsia" w:cs="宋体"/>
          <w:szCs w:val="21"/>
        </w:rPr>
        <w:t>三、国家统计局关于印发《统计上大中小微型企业划分办法 （2017）》的通知</w:t>
      </w:r>
      <w:bookmarkEnd w:id="245"/>
      <w:bookmarkEnd w:id="246"/>
      <w:r>
        <w:rPr>
          <w:rFonts w:hint="eastAsia" w:cs="宋体"/>
          <w:szCs w:val="21"/>
        </w:rPr>
        <w:t> </w:t>
      </w:r>
    </w:p>
    <w:p w14:paraId="6317DC94">
      <w:pPr>
        <w:widowControl/>
        <w:jc w:val="left"/>
        <w:rPr>
          <w:rFonts w:ascii="宋体" w:hAnsi="宋体" w:cs="宋体"/>
          <w:kern w:val="0"/>
          <w:szCs w:val="21"/>
        </w:rPr>
      </w:pPr>
    </w:p>
    <w:p w14:paraId="7582023B">
      <w:pPr>
        <w:widowControl/>
        <w:jc w:val="left"/>
        <w:rPr>
          <w:rFonts w:ascii="宋体" w:hAnsi="宋体" w:cs="宋体"/>
          <w:kern w:val="0"/>
          <w:szCs w:val="21"/>
        </w:rPr>
      </w:pPr>
      <w:r>
        <w:rPr>
          <w:rFonts w:hint="eastAsia" w:ascii="宋体" w:hAnsi="宋体" w:cs="宋体"/>
          <w:kern w:val="0"/>
          <w:szCs w:val="21"/>
        </w:rPr>
        <w:t>各省、自治区、直辖市统计局，新疆生产建设兵团统计局，国务院各有关部门，国家统计局各调查总队：</w:t>
      </w:r>
    </w:p>
    <w:p w14:paraId="04F82856">
      <w:pPr>
        <w:widowControl/>
        <w:ind w:firstLine="371" w:firstLineChars="177"/>
        <w:jc w:val="left"/>
        <w:rPr>
          <w:rFonts w:ascii="宋体" w:hAnsi="宋体" w:cs="宋体"/>
          <w:kern w:val="0"/>
          <w:szCs w:val="21"/>
        </w:rPr>
      </w:pPr>
      <w:r>
        <w:rPr>
          <w:rFonts w:hint="eastAsia" w:ascii="宋体" w:hAnsi="宋体"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06EAD5C">
      <w:pPr>
        <w:widowControl/>
        <w:jc w:val="left"/>
        <w:rPr>
          <w:rFonts w:ascii="宋体" w:hAnsi="宋体" w:cs="宋体"/>
          <w:kern w:val="0"/>
          <w:szCs w:val="21"/>
        </w:rPr>
      </w:pPr>
      <w:r>
        <w:rPr>
          <w:rFonts w:hint="eastAsia" w:ascii="宋体" w:hAnsi="宋体" w:cs="宋体"/>
          <w:kern w:val="0"/>
          <w:szCs w:val="21"/>
        </w:rPr>
        <w:t>附件：《统计上大中小微型企业划分办法（2017）》修订说明</w:t>
      </w:r>
    </w:p>
    <w:p w14:paraId="5C254CFE">
      <w:pPr>
        <w:widowControl/>
        <w:jc w:val="right"/>
        <w:rPr>
          <w:rFonts w:ascii="宋体" w:hAnsi="宋体" w:cs="宋体"/>
          <w:kern w:val="0"/>
          <w:szCs w:val="21"/>
        </w:rPr>
      </w:pPr>
      <w:r>
        <w:rPr>
          <w:rFonts w:hint="eastAsia" w:ascii="宋体" w:hAnsi="宋体" w:cs="宋体"/>
          <w:kern w:val="0"/>
          <w:szCs w:val="21"/>
        </w:rPr>
        <w:t>国家统计局</w:t>
      </w:r>
    </w:p>
    <w:p w14:paraId="2C7DBC4F">
      <w:pPr>
        <w:widowControl/>
        <w:jc w:val="right"/>
        <w:rPr>
          <w:rFonts w:ascii="宋体" w:hAnsi="宋体" w:cs="宋体"/>
          <w:kern w:val="0"/>
          <w:szCs w:val="21"/>
        </w:rPr>
      </w:pPr>
      <w:r>
        <w:rPr>
          <w:rFonts w:hint="eastAsia" w:ascii="宋体" w:hAnsi="宋体" w:cs="宋体"/>
          <w:kern w:val="0"/>
          <w:szCs w:val="21"/>
        </w:rPr>
        <w:t>2017年12月28日</w:t>
      </w:r>
    </w:p>
    <w:p w14:paraId="43967FE5">
      <w:pPr>
        <w:widowControl/>
        <w:jc w:val="center"/>
        <w:rPr>
          <w:rFonts w:ascii="宋体" w:hAnsi="宋体" w:cs="宋体"/>
          <w:b/>
          <w:bCs/>
          <w:kern w:val="0"/>
          <w:szCs w:val="21"/>
        </w:rPr>
      </w:pPr>
    </w:p>
    <w:p w14:paraId="1EE64FB7">
      <w:pPr>
        <w:widowControl/>
        <w:jc w:val="center"/>
        <w:rPr>
          <w:rFonts w:ascii="宋体" w:hAnsi="宋体" w:cs="宋体"/>
          <w:kern w:val="0"/>
          <w:szCs w:val="21"/>
        </w:rPr>
      </w:pPr>
      <w:r>
        <w:rPr>
          <w:rFonts w:hint="eastAsia" w:ascii="宋体" w:hAnsi="宋体" w:cs="宋体"/>
          <w:b/>
          <w:bCs/>
          <w:kern w:val="0"/>
          <w:szCs w:val="21"/>
        </w:rPr>
        <w:t>统计上大中小微型企业划分办法（2017）</w:t>
      </w:r>
    </w:p>
    <w:p w14:paraId="4CEB9D34">
      <w:pPr>
        <w:widowControl/>
        <w:jc w:val="left"/>
        <w:rPr>
          <w:rFonts w:ascii="宋体" w:hAnsi="宋体" w:cs="宋体"/>
          <w:kern w:val="0"/>
          <w:szCs w:val="21"/>
        </w:rPr>
      </w:pPr>
    </w:p>
    <w:p w14:paraId="72F3DCD3">
      <w:pPr>
        <w:widowControl/>
        <w:ind w:left="1" w:firstLine="371" w:firstLineChars="177"/>
        <w:jc w:val="left"/>
        <w:rPr>
          <w:rFonts w:ascii="宋体" w:hAnsi="宋体" w:cs="宋体"/>
          <w:kern w:val="0"/>
          <w:szCs w:val="21"/>
        </w:rPr>
      </w:pPr>
      <w:r>
        <w:rPr>
          <w:rFonts w:hint="eastAsia" w:ascii="宋体" w:hAnsi="宋体"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11CAB890">
      <w:pPr>
        <w:widowControl/>
        <w:ind w:firstLine="371" w:firstLineChars="177"/>
        <w:jc w:val="left"/>
        <w:rPr>
          <w:rFonts w:ascii="宋体" w:hAnsi="宋体" w:cs="宋体"/>
          <w:kern w:val="0"/>
          <w:szCs w:val="21"/>
        </w:rPr>
      </w:pPr>
      <w:r>
        <w:rPr>
          <w:rFonts w:hint="eastAsia" w:ascii="宋体" w:hAnsi="宋体" w:cs="宋体"/>
          <w:kern w:val="0"/>
          <w:szCs w:val="21"/>
        </w:rPr>
        <w:t>二、本办法适用对象为在中华人民共和国境内依法设立的各种组织形式的法人企业或单位。个体工商户参照本办法进行划分。</w:t>
      </w:r>
    </w:p>
    <w:p w14:paraId="20BC1C04">
      <w:pPr>
        <w:widowControl/>
        <w:ind w:firstLine="371" w:firstLineChars="177"/>
        <w:jc w:val="left"/>
        <w:rPr>
          <w:rFonts w:ascii="宋体" w:hAnsi="宋体" w:cs="宋体"/>
          <w:kern w:val="0"/>
          <w:szCs w:val="21"/>
        </w:rPr>
      </w:pPr>
      <w:r>
        <w:rPr>
          <w:rFonts w:hint="eastAsia" w:ascii="宋体" w:hAnsi="宋体"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8635308">
      <w:pPr>
        <w:widowControl/>
        <w:ind w:firstLine="371" w:firstLineChars="177"/>
        <w:jc w:val="left"/>
        <w:rPr>
          <w:rFonts w:ascii="宋体" w:hAnsi="宋体" w:cs="宋体"/>
          <w:kern w:val="0"/>
          <w:szCs w:val="21"/>
        </w:rPr>
      </w:pPr>
      <w:r>
        <w:rPr>
          <w:rFonts w:hint="eastAsia" w:ascii="宋体" w:hAnsi="宋体" w:cs="宋体"/>
          <w:kern w:val="0"/>
          <w:szCs w:val="21"/>
        </w:rPr>
        <w:t>四、本办法按照行业门类、大类、中类和组合类别，依据从业人员、营业收入、资产总额等指标或替代指标，将我国的企业划分为大型、中型、小型、微型等四种类型。具体划分标准见附表。</w:t>
      </w:r>
    </w:p>
    <w:p w14:paraId="2CD41BA3">
      <w:pPr>
        <w:widowControl/>
        <w:ind w:firstLine="371" w:firstLineChars="177"/>
        <w:jc w:val="left"/>
        <w:rPr>
          <w:rFonts w:ascii="宋体" w:hAnsi="宋体" w:cs="宋体"/>
          <w:kern w:val="0"/>
          <w:szCs w:val="21"/>
        </w:rPr>
      </w:pPr>
      <w:r>
        <w:rPr>
          <w:rFonts w:hint="eastAsia" w:ascii="宋体" w:hAnsi="宋体" w:cs="宋体"/>
          <w:kern w:val="0"/>
          <w:szCs w:val="21"/>
        </w:rPr>
        <w:t>五、企业划分由政府综合统计部门根据统计年报每年确定一次，定报统计原则上不进行调整。</w:t>
      </w:r>
    </w:p>
    <w:p w14:paraId="2F757737">
      <w:pPr>
        <w:widowControl/>
        <w:ind w:left="1" w:firstLine="371" w:firstLineChars="177"/>
        <w:jc w:val="left"/>
        <w:rPr>
          <w:rFonts w:ascii="宋体" w:hAnsi="宋体" w:cs="宋体"/>
          <w:kern w:val="0"/>
          <w:szCs w:val="21"/>
        </w:rPr>
      </w:pPr>
      <w:r>
        <w:rPr>
          <w:rFonts w:hint="eastAsia" w:ascii="宋体" w:hAnsi="宋体" w:cs="宋体"/>
          <w:kern w:val="0"/>
          <w:szCs w:val="21"/>
        </w:rPr>
        <w:t>六、本办法自印发之日起执行，国家统计局2011年印发的《统计上大中小微型企业划分办法》（国统字〔2011〕75号）同时废止。</w:t>
      </w:r>
    </w:p>
    <w:p w14:paraId="6294A273">
      <w:pPr>
        <w:widowControl/>
        <w:jc w:val="left"/>
        <w:rPr>
          <w:rFonts w:ascii="宋体" w:hAnsi="宋体" w:cs="宋体"/>
          <w:kern w:val="0"/>
          <w:szCs w:val="21"/>
        </w:rPr>
      </w:pPr>
    </w:p>
    <w:p w14:paraId="1B72765D">
      <w:pPr>
        <w:widowControl/>
        <w:jc w:val="left"/>
        <w:rPr>
          <w:rFonts w:ascii="宋体" w:hAnsi="宋体" w:cs="宋体"/>
          <w:kern w:val="0"/>
          <w:szCs w:val="21"/>
        </w:rPr>
      </w:pPr>
      <w:r>
        <w:rPr>
          <w:rFonts w:hint="eastAsia" w:ascii="宋体" w:hAnsi="宋体" w:cs="宋体"/>
          <w:kern w:val="0"/>
          <w:szCs w:val="21"/>
        </w:rPr>
        <w:t>附件</w:t>
      </w:r>
    </w:p>
    <w:p w14:paraId="731D0ECF">
      <w:pPr>
        <w:widowControl/>
        <w:jc w:val="center"/>
        <w:rPr>
          <w:rFonts w:ascii="宋体" w:hAnsi="宋体" w:cs="宋体"/>
          <w:kern w:val="0"/>
          <w:szCs w:val="21"/>
        </w:rPr>
      </w:pPr>
      <w:r>
        <w:rPr>
          <w:rFonts w:hint="eastAsia" w:ascii="宋体" w:hAnsi="宋体" w:cs="宋体"/>
          <w:b/>
          <w:bCs/>
          <w:kern w:val="0"/>
          <w:szCs w:val="21"/>
        </w:rPr>
        <w:t>《统计上大中小微型企业划分办法（2017）》修订说明</w:t>
      </w:r>
    </w:p>
    <w:p w14:paraId="4EB39D3F">
      <w:pPr>
        <w:widowControl/>
        <w:jc w:val="left"/>
        <w:rPr>
          <w:rFonts w:ascii="宋体" w:hAnsi="宋体" w:cs="宋体"/>
          <w:kern w:val="0"/>
          <w:szCs w:val="21"/>
        </w:rPr>
      </w:pPr>
    </w:p>
    <w:p w14:paraId="2913BDC3">
      <w:pPr>
        <w:widowControl/>
        <w:ind w:firstLine="371" w:firstLineChars="177"/>
        <w:jc w:val="left"/>
        <w:rPr>
          <w:rFonts w:ascii="宋体" w:hAnsi="宋体" w:cs="宋体"/>
          <w:kern w:val="0"/>
          <w:szCs w:val="21"/>
        </w:rPr>
      </w:pPr>
      <w:r>
        <w:rPr>
          <w:rFonts w:hint="eastAsia" w:ascii="宋体" w:hAnsi="宋体" w:cs="宋体"/>
          <w:kern w:val="0"/>
          <w:szCs w:val="21"/>
        </w:rPr>
        <w:t>一、修订背景</w:t>
      </w:r>
    </w:p>
    <w:p w14:paraId="14B02339">
      <w:pPr>
        <w:widowControl/>
        <w:ind w:firstLine="371" w:firstLineChars="177"/>
        <w:jc w:val="left"/>
        <w:rPr>
          <w:rFonts w:ascii="宋体" w:hAnsi="宋体" w:cs="宋体"/>
          <w:kern w:val="0"/>
          <w:szCs w:val="21"/>
        </w:rPr>
      </w:pPr>
      <w:r>
        <w:rPr>
          <w:rFonts w:hint="eastAsia" w:ascii="宋体" w:hAnsi="宋体"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0E9F17F5">
      <w:pPr>
        <w:widowControl/>
        <w:ind w:firstLine="371" w:firstLineChars="177"/>
        <w:jc w:val="left"/>
        <w:rPr>
          <w:rFonts w:ascii="宋体" w:hAnsi="宋体" w:cs="宋体"/>
          <w:kern w:val="0"/>
          <w:szCs w:val="21"/>
        </w:rPr>
      </w:pPr>
      <w:r>
        <w:rPr>
          <w:rFonts w:hint="eastAsia" w:ascii="宋体" w:hAnsi="宋体"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64B0BBC">
      <w:pPr>
        <w:widowControl/>
        <w:ind w:firstLine="371" w:firstLineChars="177"/>
        <w:jc w:val="left"/>
        <w:rPr>
          <w:rFonts w:ascii="宋体" w:hAnsi="宋体" w:cs="宋体"/>
          <w:kern w:val="0"/>
          <w:szCs w:val="21"/>
        </w:rPr>
      </w:pPr>
      <w:r>
        <w:rPr>
          <w:rFonts w:hint="eastAsia" w:ascii="宋体" w:hAnsi="宋体" w:cs="宋体"/>
          <w:kern w:val="0"/>
          <w:szCs w:val="21"/>
        </w:rPr>
        <w:t>二、修订主要内容</w:t>
      </w:r>
    </w:p>
    <w:p w14:paraId="3500D7C1">
      <w:pPr>
        <w:widowControl/>
        <w:ind w:firstLine="371" w:firstLineChars="177"/>
        <w:jc w:val="left"/>
        <w:rPr>
          <w:rFonts w:ascii="宋体" w:hAnsi="宋体" w:cs="宋体"/>
          <w:kern w:val="0"/>
          <w:szCs w:val="21"/>
        </w:rPr>
      </w:pPr>
      <w:r>
        <w:rPr>
          <w:rFonts w:hint="eastAsia" w:ascii="宋体" w:hAnsi="宋体"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28DB25AA">
      <w:pPr>
        <w:widowControl/>
        <w:ind w:firstLine="371" w:firstLineChars="177"/>
        <w:jc w:val="left"/>
        <w:rPr>
          <w:rFonts w:ascii="宋体" w:hAnsi="宋体" w:cs="宋体"/>
          <w:kern w:val="0"/>
          <w:szCs w:val="21"/>
        </w:rPr>
      </w:pPr>
      <w:r>
        <w:rPr>
          <w:rFonts w:hint="eastAsia" w:ascii="宋体" w:hAnsi="宋体" w:cs="宋体"/>
          <w:kern w:val="0"/>
          <w:szCs w:val="21"/>
        </w:rPr>
        <w:t>将交通运输业中包括的“装卸搬运和运输代理业”修改为“多式联运和运输代理业、装卸搬运”。</w:t>
      </w:r>
    </w:p>
    <w:p w14:paraId="2E4EE021">
      <w:pPr>
        <w:widowControl/>
        <w:jc w:val="left"/>
        <w:rPr>
          <w:rFonts w:ascii="宋体" w:hAnsi="宋体" w:cs="宋体"/>
          <w:kern w:val="0"/>
          <w:szCs w:val="21"/>
        </w:rPr>
      </w:pPr>
      <w:r>
        <w:rPr>
          <w:rFonts w:hint="eastAsia" w:ascii="宋体" w:hAnsi="宋体" w:cs="宋体"/>
          <w:kern w:val="0"/>
          <w:szCs w:val="21"/>
        </w:rPr>
        <w:t>仓储业所包括的行业中类，根据《国民经济行业分类》（GB/T 4754—2017）调整为“通用仓储，低温仓储，危险品仓储，谷物、棉花等农产品仓储，中药材仓储和其他仓储业”。</w:t>
      </w:r>
    </w:p>
    <w:p w14:paraId="483AD4BE">
      <w:pPr>
        <w:widowControl/>
        <w:jc w:val="left"/>
        <w:rPr>
          <w:rFonts w:ascii="宋体" w:hAnsi="宋体" w:cs="宋体"/>
          <w:kern w:val="0"/>
          <w:szCs w:val="21"/>
        </w:rPr>
      </w:pPr>
    </w:p>
    <w:p w14:paraId="754EAAC3">
      <w:pPr>
        <w:widowControl/>
        <w:jc w:val="left"/>
        <w:rPr>
          <w:rFonts w:ascii="宋体" w:hAnsi="宋体" w:cs="宋体"/>
          <w:kern w:val="0"/>
          <w:szCs w:val="21"/>
        </w:rPr>
      </w:pPr>
      <w:r>
        <w:rPr>
          <w:rFonts w:hint="eastAsia" w:ascii="宋体" w:hAnsi="宋体" w:cs="宋体"/>
          <w:kern w:val="0"/>
          <w:szCs w:val="21"/>
        </w:rPr>
        <w:t>附表</w:t>
      </w:r>
    </w:p>
    <w:p w14:paraId="49840816">
      <w:pPr>
        <w:widowControl/>
        <w:jc w:val="center"/>
        <w:rPr>
          <w:rFonts w:ascii="宋体" w:hAnsi="宋体" w:cs="宋体"/>
          <w:kern w:val="0"/>
          <w:szCs w:val="21"/>
        </w:rPr>
      </w:pPr>
      <w:r>
        <w:rPr>
          <w:rFonts w:hint="eastAsia" w:ascii="宋体" w:hAnsi="宋体" w:cs="宋体"/>
          <w:b/>
          <w:bCs/>
          <w:kern w:val="0"/>
          <w:szCs w:val="21"/>
        </w:rPr>
        <w:t>统计上大中小微型企业划分标准</w:t>
      </w:r>
    </w:p>
    <w:tbl>
      <w:tblPr>
        <w:tblStyle w:val="25"/>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7FB27463">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vAlign w:val="center"/>
          </w:tcPr>
          <w:p w14:paraId="0EC606FB">
            <w:pPr>
              <w:widowControl/>
              <w:jc w:val="center"/>
              <w:rPr>
                <w:rFonts w:ascii="宋体" w:hAnsi="宋体" w:cs="宋体"/>
                <w:b/>
                <w:bCs/>
                <w:color w:val="000000"/>
                <w:kern w:val="0"/>
                <w:szCs w:val="21"/>
              </w:rPr>
            </w:pPr>
            <w:r>
              <w:rPr>
                <w:rFonts w:hint="eastAsia" w:ascii="宋体" w:hAnsi="宋体" w:cs="宋体"/>
                <w:b/>
                <w:bCs/>
                <w:color w:val="000000"/>
                <w:kern w:val="0"/>
                <w:szCs w:val="21"/>
              </w:rPr>
              <w:t>行业名称</w:t>
            </w:r>
          </w:p>
        </w:tc>
        <w:tc>
          <w:tcPr>
            <w:tcW w:w="1369" w:type="dxa"/>
            <w:tcBorders>
              <w:top w:val="single" w:color="auto" w:sz="4" w:space="0"/>
              <w:left w:val="nil"/>
              <w:bottom w:val="single" w:color="auto" w:sz="4" w:space="0"/>
              <w:right w:val="single" w:color="auto" w:sz="4" w:space="0"/>
            </w:tcBorders>
            <w:vAlign w:val="center"/>
          </w:tcPr>
          <w:p w14:paraId="71C43A7D">
            <w:pPr>
              <w:widowControl/>
              <w:jc w:val="center"/>
              <w:rPr>
                <w:rFonts w:ascii="宋体" w:hAnsi="宋体" w:cs="宋体"/>
                <w:b/>
                <w:bCs/>
                <w:color w:val="000000"/>
                <w:kern w:val="0"/>
                <w:szCs w:val="21"/>
              </w:rPr>
            </w:pPr>
            <w:r>
              <w:rPr>
                <w:rFonts w:hint="eastAsia" w:ascii="宋体" w:hAnsi="宋体" w:cs="宋体"/>
                <w:b/>
                <w:bCs/>
                <w:color w:val="000000"/>
                <w:kern w:val="0"/>
                <w:szCs w:val="21"/>
              </w:rPr>
              <w:t>指标名称</w:t>
            </w:r>
          </w:p>
        </w:tc>
        <w:tc>
          <w:tcPr>
            <w:tcW w:w="709" w:type="dxa"/>
            <w:tcBorders>
              <w:top w:val="single" w:color="auto" w:sz="4" w:space="0"/>
              <w:left w:val="nil"/>
              <w:bottom w:val="single" w:color="auto" w:sz="4" w:space="0"/>
              <w:right w:val="single" w:color="auto" w:sz="4" w:space="0"/>
            </w:tcBorders>
            <w:vAlign w:val="center"/>
          </w:tcPr>
          <w:p w14:paraId="477B28CB">
            <w:pPr>
              <w:widowControl/>
              <w:jc w:val="center"/>
              <w:rPr>
                <w:rFonts w:ascii="宋体" w:hAnsi="宋体" w:cs="宋体"/>
                <w:b/>
                <w:bCs/>
                <w:color w:val="000000"/>
                <w:kern w:val="0"/>
                <w:szCs w:val="21"/>
              </w:rPr>
            </w:pPr>
            <w:r>
              <w:rPr>
                <w:rFonts w:hint="eastAsia" w:ascii="宋体" w:hAnsi="宋体" w:cs="宋体"/>
                <w:b/>
                <w:bCs/>
                <w:color w:val="000000"/>
                <w:kern w:val="0"/>
                <w:szCs w:val="21"/>
              </w:rPr>
              <w:t>计量</w:t>
            </w:r>
          </w:p>
          <w:p w14:paraId="210826DF">
            <w:pPr>
              <w:widowControl/>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1125" w:type="dxa"/>
            <w:tcBorders>
              <w:top w:val="single" w:color="auto" w:sz="4" w:space="0"/>
              <w:left w:val="nil"/>
              <w:bottom w:val="single" w:color="auto" w:sz="4" w:space="0"/>
              <w:right w:val="single" w:color="auto" w:sz="4" w:space="0"/>
            </w:tcBorders>
            <w:vAlign w:val="center"/>
          </w:tcPr>
          <w:p w14:paraId="6D97824B">
            <w:pPr>
              <w:widowControl/>
              <w:jc w:val="center"/>
              <w:rPr>
                <w:rFonts w:ascii="宋体" w:hAnsi="宋体" w:cs="宋体"/>
                <w:b/>
                <w:bCs/>
                <w:color w:val="000000"/>
                <w:kern w:val="0"/>
                <w:szCs w:val="21"/>
              </w:rPr>
            </w:pPr>
            <w:r>
              <w:rPr>
                <w:rFonts w:hint="eastAsia" w:ascii="宋体" w:hAnsi="宋体" w:cs="宋体"/>
                <w:b/>
                <w:bCs/>
                <w:color w:val="000000"/>
                <w:kern w:val="0"/>
                <w:szCs w:val="21"/>
              </w:rPr>
              <w:t>大型</w:t>
            </w:r>
          </w:p>
        </w:tc>
        <w:tc>
          <w:tcPr>
            <w:tcW w:w="1701" w:type="dxa"/>
            <w:tcBorders>
              <w:top w:val="single" w:color="auto" w:sz="4" w:space="0"/>
              <w:left w:val="nil"/>
              <w:bottom w:val="single" w:color="auto" w:sz="4" w:space="0"/>
              <w:right w:val="single" w:color="auto" w:sz="4" w:space="0"/>
            </w:tcBorders>
            <w:vAlign w:val="center"/>
          </w:tcPr>
          <w:p w14:paraId="191A7B14">
            <w:pPr>
              <w:widowControl/>
              <w:jc w:val="center"/>
              <w:rPr>
                <w:rFonts w:ascii="宋体" w:hAnsi="宋体" w:cs="宋体"/>
                <w:b/>
                <w:bCs/>
                <w:color w:val="000000"/>
                <w:kern w:val="0"/>
                <w:szCs w:val="21"/>
              </w:rPr>
            </w:pPr>
            <w:r>
              <w:rPr>
                <w:rFonts w:hint="eastAsia" w:ascii="宋体" w:hAnsi="宋体" w:cs="宋体"/>
                <w:b/>
                <w:bCs/>
                <w:color w:val="000000"/>
                <w:kern w:val="0"/>
                <w:szCs w:val="21"/>
              </w:rPr>
              <w:t>中型</w:t>
            </w:r>
          </w:p>
        </w:tc>
        <w:tc>
          <w:tcPr>
            <w:tcW w:w="1426" w:type="dxa"/>
            <w:tcBorders>
              <w:top w:val="single" w:color="auto" w:sz="4" w:space="0"/>
              <w:left w:val="nil"/>
              <w:bottom w:val="single" w:color="auto" w:sz="4" w:space="0"/>
              <w:right w:val="single" w:color="auto" w:sz="4" w:space="0"/>
            </w:tcBorders>
            <w:vAlign w:val="center"/>
          </w:tcPr>
          <w:p w14:paraId="4E183A76">
            <w:pPr>
              <w:widowControl/>
              <w:jc w:val="center"/>
              <w:rPr>
                <w:rFonts w:ascii="宋体" w:hAnsi="宋体" w:cs="宋体"/>
                <w:b/>
                <w:bCs/>
                <w:color w:val="000000"/>
                <w:kern w:val="0"/>
                <w:szCs w:val="21"/>
              </w:rPr>
            </w:pPr>
            <w:r>
              <w:rPr>
                <w:rFonts w:hint="eastAsia" w:ascii="宋体" w:hAnsi="宋体" w:cs="宋体"/>
                <w:b/>
                <w:bCs/>
                <w:color w:val="000000"/>
                <w:kern w:val="0"/>
                <w:szCs w:val="21"/>
              </w:rPr>
              <w:t>小型</w:t>
            </w:r>
          </w:p>
        </w:tc>
        <w:tc>
          <w:tcPr>
            <w:tcW w:w="992" w:type="dxa"/>
            <w:tcBorders>
              <w:top w:val="single" w:color="auto" w:sz="4" w:space="0"/>
              <w:left w:val="nil"/>
              <w:bottom w:val="single" w:color="auto" w:sz="4" w:space="0"/>
              <w:right w:val="nil"/>
            </w:tcBorders>
            <w:vAlign w:val="center"/>
          </w:tcPr>
          <w:p w14:paraId="2C869FCB">
            <w:pPr>
              <w:widowControl/>
              <w:jc w:val="center"/>
              <w:rPr>
                <w:rFonts w:ascii="宋体" w:hAnsi="宋体" w:cs="宋体"/>
                <w:b/>
                <w:bCs/>
                <w:color w:val="000000"/>
                <w:kern w:val="0"/>
                <w:szCs w:val="21"/>
              </w:rPr>
            </w:pPr>
            <w:r>
              <w:rPr>
                <w:rFonts w:hint="eastAsia" w:ascii="宋体" w:hAnsi="宋体" w:cs="宋体"/>
                <w:b/>
                <w:bCs/>
                <w:color w:val="000000"/>
                <w:kern w:val="0"/>
                <w:szCs w:val="21"/>
              </w:rPr>
              <w:t>微型</w:t>
            </w:r>
          </w:p>
        </w:tc>
      </w:tr>
      <w:tr w14:paraId="15C8326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14:paraId="578A5DF1">
            <w:pPr>
              <w:widowControl/>
              <w:jc w:val="left"/>
              <w:rPr>
                <w:rFonts w:ascii="宋体" w:hAnsi="宋体" w:cs="宋体"/>
                <w:color w:val="000000"/>
                <w:kern w:val="0"/>
                <w:szCs w:val="21"/>
              </w:rPr>
            </w:pPr>
            <w:r>
              <w:rPr>
                <w:rFonts w:hint="eastAsia" w:ascii="宋体" w:hAnsi="宋体" w:cs="宋体"/>
                <w:color w:val="000000"/>
                <w:kern w:val="0"/>
                <w:szCs w:val="21"/>
              </w:rPr>
              <w:t>农、林、牧、渔业</w:t>
            </w:r>
          </w:p>
        </w:tc>
        <w:tc>
          <w:tcPr>
            <w:tcW w:w="1369" w:type="dxa"/>
            <w:tcBorders>
              <w:top w:val="nil"/>
              <w:left w:val="nil"/>
              <w:bottom w:val="single" w:color="auto" w:sz="4" w:space="0"/>
              <w:right w:val="single" w:color="auto" w:sz="4" w:space="0"/>
            </w:tcBorders>
            <w:vAlign w:val="center"/>
          </w:tcPr>
          <w:p w14:paraId="330BACD6">
            <w:pPr>
              <w:widowControl/>
              <w:jc w:val="center"/>
              <w:rPr>
                <w:rFonts w:ascii="宋体" w:hAnsi="宋体" w:cs="宋体"/>
                <w:color w:val="000000"/>
                <w:kern w:val="0"/>
                <w:szCs w:val="21"/>
              </w:rPr>
            </w:pPr>
            <w:r>
              <w:rPr>
                <w:rFonts w:hint="eastAsia" w:ascii="宋体" w:hAnsi="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53ECD165">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single" w:color="auto" w:sz="4" w:space="0"/>
              <w:right w:val="single" w:color="auto" w:sz="4" w:space="0"/>
            </w:tcBorders>
            <w:vAlign w:val="center"/>
          </w:tcPr>
          <w:p w14:paraId="66F738A6">
            <w:pPr>
              <w:widowControl/>
              <w:jc w:val="center"/>
              <w:rPr>
                <w:rFonts w:ascii="宋体" w:hAnsi="宋体" w:cs="宋体"/>
                <w:color w:val="000000"/>
                <w:kern w:val="0"/>
                <w:szCs w:val="21"/>
              </w:rPr>
            </w:pPr>
            <w:r>
              <w:rPr>
                <w:rFonts w:hint="eastAsia" w:ascii="宋体" w:hAnsi="宋体" w:cs="宋体"/>
                <w:color w:val="000000"/>
                <w:kern w:val="0"/>
                <w:szCs w:val="21"/>
              </w:rPr>
              <w:t>Y≥20000</w:t>
            </w:r>
          </w:p>
        </w:tc>
        <w:tc>
          <w:tcPr>
            <w:tcW w:w="1701" w:type="dxa"/>
            <w:tcBorders>
              <w:top w:val="nil"/>
              <w:left w:val="nil"/>
              <w:bottom w:val="single" w:color="auto" w:sz="4" w:space="0"/>
              <w:right w:val="single" w:color="auto" w:sz="4" w:space="0"/>
            </w:tcBorders>
            <w:vAlign w:val="center"/>
          </w:tcPr>
          <w:p w14:paraId="6B199571">
            <w:pPr>
              <w:widowControl/>
              <w:jc w:val="center"/>
              <w:rPr>
                <w:rFonts w:ascii="宋体" w:hAnsi="宋体" w:cs="宋体"/>
                <w:color w:val="000000"/>
                <w:kern w:val="0"/>
                <w:szCs w:val="21"/>
              </w:rPr>
            </w:pPr>
            <w:r>
              <w:rPr>
                <w:rFonts w:hint="eastAsia" w:ascii="宋体" w:hAnsi="宋体" w:cs="宋体"/>
                <w:color w:val="000000"/>
                <w:kern w:val="0"/>
                <w:szCs w:val="21"/>
              </w:rPr>
              <w:t xml:space="preserve"> 500≤Y＜20000</w:t>
            </w:r>
          </w:p>
        </w:tc>
        <w:tc>
          <w:tcPr>
            <w:tcW w:w="1426" w:type="dxa"/>
            <w:tcBorders>
              <w:top w:val="nil"/>
              <w:left w:val="nil"/>
              <w:bottom w:val="single" w:color="auto" w:sz="4" w:space="0"/>
              <w:right w:val="single" w:color="auto" w:sz="4" w:space="0"/>
            </w:tcBorders>
            <w:vAlign w:val="center"/>
          </w:tcPr>
          <w:p w14:paraId="6298886E">
            <w:pPr>
              <w:widowControl/>
              <w:jc w:val="center"/>
              <w:rPr>
                <w:rFonts w:ascii="宋体" w:hAnsi="宋体" w:cs="宋体"/>
                <w:color w:val="000000"/>
                <w:kern w:val="0"/>
                <w:szCs w:val="21"/>
              </w:rPr>
            </w:pPr>
            <w:r>
              <w:rPr>
                <w:rFonts w:hint="eastAsia" w:ascii="宋体" w:hAnsi="宋体" w:cs="宋体"/>
                <w:color w:val="000000"/>
                <w:kern w:val="0"/>
                <w:szCs w:val="21"/>
              </w:rPr>
              <w:t xml:space="preserve"> 50≤Y＜500</w:t>
            </w:r>
          </w:p>
        </w:tc>
        <w:tc>
          <w:tcPr>
            <w:tcW w:w="992" w:type="dxa"/>
            <w:tcBorders>
              <w:top w:val="nil"/>
              <w:left w:val="nil"/>
              <w:bottom w:val="single" w:color="auto" w:sz="4" w:space="0"/>
              <w:right w:val="nil"/>
            </w:tcBorders>
            <w:vAlign w:val="center"/>
          </w:tcPr>
          <w:p w14:paraId="229922ED">
            <w:pPr>
              <w:widowControl/>
              <w:jc w:val="center"/>
              <w:rPr>
                <w:rFonts w:ascii="宋体" w:hAnsi="宋体" w:cs="宋体"/>
                <w:color w:val="000000"/>
                <w:kern w:val="0"/>
                <w:szCs w:val="21"/>
              </w:rPr>
            </w:pPr>
            <w:r>
              <w:rPr>
                <w:rFonts w:hint="eastAsia" w:ascii="宋体" w:hAnsi="宋体" w:cs="宋体"/>
                <w:color w:val="000000"/>
                <w:kern w:val="0"/>
                <w:szCs w:val="21"/>
              </w:rPr>
              <w:t>Y＜50</w:t>
            </w:r>
          </w:p>
        </w:tc>
      </w:tr>
      <w:tr w14:paraId="3697CA3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01E7939A">
            <w:pPr>
              <w:widowControl/>
              <w:jc w:val="left"/>
              <w:rPr>
                <w:rFonts w:ascii="宋体" w:hAnsi="宋体" w:cs="宋体"/>
                <w:color w:val="000000"/>
                <w:kern w:val="0"/>
                <w:szCs w:val="21"/>
              </w:rPr>
            </w:pPr>
            <w:r>
              <w:rPr>
                <w:rFonts w:hint="eastAsia" w:ascii="宋体" w:hAnsi="宋体" w:cs="宋体"/>
                <w:color w:val="000000"/>
                <w:kern w:val="0"/>
                <w:szCs w:val="21"/>
              </w:rPr>
              <w:t>工业 *</w:t>
            </w:r>
          </w:p>
        </w:tc>
        <w:tc>
          <w:tcPr>
            <w:tcW w:w="1369" w:type="dxa"/>
            <w:tcBorders>
              <w:top w:val="nil"/>
              <w:left w:val="nil"/>
              <w:bottom w:val="nil"/>
              <w:right w:val="single" w:color="auto" w:sz="4" w:space="0"/>
            </w:tcBorders>
            <w:vAlign w:val="center"/>
          </w:tcPr>
          <w:p w14:paraId="2EB31EE0">
            <w:pPr>
              <w:widowControl/>
              <w:jc w:val="center"/>
              <w:rPr>
                <w:rFonts w:ascii="宋体" w:hAnsi="宋体" w:cs="宋体"/>
                <w:color w:val="000000"/>
                <w:kern w:val="0"/>
                <w:szCs w:val="21"/>
              </w:rPr>
            </w:pPr>
            <w:r>
              <w:rPr>
                <w:rFonts w:hint="eastAsia" w:ascii="宋体" w:hAnsi="宋体" w:cs="宋体"/>
                <w:color w:val="000000"/>
                <w:kern w:val="0"/>
                <w:szCs w:val="21"/>
              </w:rPr>
              <w:t>从业人员(X)</w:t>
            </w:r>
          </w:p>
        </w:tc>
        <w:tc>
          <w:tcPr>
            <w:tcW w:w="709" w:type="dxa"/>
            <w:tcBorders>
              <w:top w:val="nil"/>
              <w:left w:val="nil"/>
              <w:bottom w:val="nil"/>
              <w:right w:val="single" w:color="auto" w:sz="4" w:space="0"/>
            </w:tcBorders>
            <w:vAlign w:val="center"/>
          </w:tcPr>
          <w:p w14:paraId="7FDE4563">
            <w:pPr>
              <w:widowControl/>
              <w:jc w:val="center"/>
              <w:rPr>
                <w:rFonts w:ascii="宋体" w:hAnsi="宋体" w:cs="宋体"/>
                <w:color w:val="000000"/>
                <w:kern w:val="0"/>
                <w:szCs w:val="21"/>
              </w:rPr>
            </w:pPr>
            <w:r>
              <w:rPr>
                <w:rFonts w:hint="eastAsia" w:ascii="宋体" w:hAnsi="宋体" w:cs="宋体"/>
                <w:color w:val="000000"/>
                <w:kern w:val="0"/>
                <w:szCs w:val="21"/>
              </w:rPr>
              <w:t>人</w:t>
            </w:r>
          </w:p>
        </w:tc>
        <w:tc>
          <w:tcPr>
            <w:tcW w:w="1125" w:type="dxa"/>
            <w:tcBorders>
              <w:top w:val="nil"/>
              <w:left w:val="nil"/>
              <w:bottom w:val="nil"/>
              <w:right w:val="single" w:color="auto" w:sz="4" w:space="0"/>
            </w:tcBorders>
            <w:vAlign w:val="center"/>
          </w:tcPr>
          <w:p w14:paraId="6235268D">
            <w:pPr>
              <w:widowControl/>
              <w:jc w:val="center"/>
              <w:rPr>
                <w:rFonts w:ascii="宋体" w:hAnsi="宋体" w:cs="宋体"/>
                <w:color w:val="000000"/>
                <w:kern w:val="0"/>
                <w:szCs w:val="21"/>
              </w:rPr>
            </w:pPr>
            <w:r>
              <w:rPr>
                <w:rFonts w:hint="eastAsia" w:ascii="宋体" w:hAnsi="宋体" w:cs="宋体"/>
                <w:color w:val="000000"/>
                <w:kern w:val="0"/>
                <w:szCs w:val="21"/>
              </w:rPr>
              <w:t>X≥1000</w:t>
            </w:r>
          </w:p>
        </w:tc>
        <w:tc>
          <w:tcPr>
            <w:tcW w:w="1701" w:type="dxa"/>
            <w:tcBorders>
              <w:top w:val="nil"/>
              <w:left w:val="nil"/>
              <w:bottom w:val="nil"/>
              <w:right w:val="single" w:color="auto" w:sz="4" w:space="0"/>
            </w:tcBorders>
            <w:vAlign w:val="center"/>
          </w:tcPr>
          <w:p w14:paraId="01472462">
            <w:pPr>
              <w:widowControl/>
              <w:jc w:val="center"/>
              <w:rPr>
                <w:rFonts w:ascii="宋体" w:hAnsi="宋体" w:cs="宋体"/>
                <w:color w:val="000000"/>
                <w:kern w:val="0"/>
                <w:szCs w:val="21"/>
              </w:rPr>
            </w:pPr>
            <w:r>
              <w:rPr>
                <w:rFonts w:hint="eastAsia" w:ascii="宋体" w:hAnsi="宋体" w:cs="宋体"/>
                <w:color w:val="000000"/>
                <w:kern w:val="0"/>
                <w:szCs w:val="21"/>
              </w:rPr>
              <w:t>300≤X＜1000</w:t>
            </w:r>
          </w:p>
        </w:tc>
        <w:tc>
          <w:tcPr>
            <w:tcW w:w="1426" w:type="dxa"/>
            <w:tcBorders>
              <w:top w:val="nil"/>
              <w:left w:val="nil"/>
              <w:bottom w:val="nil"/>
              <w:right w:val="single" w:color="auto" w:sz="4" w:space="0"/>
            </w:tcBorders>
            <w:vAlign w:val="center"/>
          </w:tcPr>
          <w:p w14:paraId="73997215">
            <w:pPr>
              <w:widowControl/>
              <w:jc w:val="center"/>
              <w:rPr>
                <w:rFonts w:ascii="宋体" w:hAnsi="宋体" w:cs="宋体"/>
                <w:color w:val="000000"/>
                <w:kern w:val="0"/>
                <w:szCs w:val="21"/>
              </w:rPr>
            </w:pPr>
            <w:r>
              <w:rPr>
                <w:rFonts w:hint="eastAsia" w:ascii="宋体" w:hAnsi="宋体" w:cs="宋体"/>
                <w:color w:val="000000"/>
                <w:kern w:val="0"/>
                <w:szCs w:val="21"/>
              </w:rPr>
              <w:t xml:space="preserve"> 20≤X＜300</w:t>
            </w:r>
          </w:p>
        </w:tc>
        <w:tc>
          <w:tcPr>
            <w:tcW w:w="992" w:type="dxa"/>
            <w:tcBorders>
              <w:top w:val="nil"/>
              <w:left w:val="nil"/>
              <w:bottom w:val="nil"/>
              <w:right w:val="nil"/>
            </w:tcBorders>
            <w:vAlign w:val="center"/>
          </w:tcPr>
          <w:p w14:paraId="4FB3E646">
            <w:pPr>
              <w:widowControl/>
              <w:jc w:val="center"/>
              <w:rPr>
                <w:rFonts w:ascii="宋体" w:hAnsi="宋体" w:cs="宋体"/>
                <w:color w:val="000000"/>
                <w:kern w:val="0"/>
                <w:szCs w:val="21"/>
              </w:rPr>
            </w:pPr>
            <w:r>
              <w:rPr>
                <w:rFonts w:hint="eastAsia" w:ascii="宋体" w:hAnsi="宋体" w:cs="宋体"/>
                <w:color w:val="000000"/>
                <w:kern w:val="0"/>
                <w:szCs w:val="21"/>
              </w:rPr>
              <w:t>X＜20</w:t>
            </w:r>
          </w:p>
        </w:tc>
      </w:tr>
      <w:tr w14:paraId="746C049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5E8347">
            <w:pPr>
              <w:widowControl/>
              <w:jc w:val="left"/>
              <w:rPr>
                <w:rFonts w:ascii="宋体" w:hAnsi="宋体" w:cs="宋体"/>
                <w:color w:val="000000"/>
                <w:kern w:val="0"/>
                <w:szCs w:val="21"/>
              </w:rPr>
            </w:pPr>
          </w:p>
        </w:tc>
        <w:tc>
          <w:tcPr>
            <w:tcW w:w="1369" w:type="dxa"/>
            <w:tcBorders>
              <w:top w:val="nil"/>
              <w:left w:val="nil"/>
              <w:bottom w:val="single" w:color="auto" w:sz="4" w:space="0"/>
              <w:right w:val="single" w:color="auto" w:sz="4" w:space="0"/>
            </w:tcBorders>
            <w:vAlign w:val="center"/>
          </w:tcPr>
          <w:p w14:paraId="7A9E925B">
            <w:pPr>
              <w:widowControl/>
              <w:jc w:val="center"/>
              <w:rPr>
                <w:rFonts w:ascii="宋体" w:hAnsi="宋体" w:cs="宋体"/>
                <w:color w:val="000000"/>
                <w:kern w:val="0"/>
                <w:szCs w:val="21"/>
              </w:rPr>
            </w:pPr>
            <w:r>
              <w:rPr>
                <w:rFonts w:hint="eastAsia" w:ascii="宋体" w:hAnsi="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7A60354A">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single" w:color="auto" w:sz="4" w:space="0"/>
              <w:right w:val="single" w:color="auto" w:sz="4" w:space="0"/>
            </w:tcBorders>
            <w:vAlign w:val="center"/>
          </w:tcPr>
          <w:p w14:paraId="334DD24D">
            <w:pPr>
              <w:widowControl/>
              <w:jc w:val="center"/>
              <w:rPr>
                <w:rFonts w:ascii="宋体" w:hAnsi="宋体" w:cs="宋体"/>
                <w:color w:val="000000"/>
                <w:kern w:val="0"/>
                <w:szCs w:val="21"/>
              </w:rPr>
            </w:pPr>
            <w:r>
              <w:rPr>
                <w:rFonts w:hint="eastAsia" w:ascii="宋体" w:hAnsi="宋体" w:cs="宋体"/>
                <w:color w:val="000000"/>
                <w:kern w:val="0"/>
                <w:szCs w:val="21"/>
              </w:rPr>
              <w:t>Y≥40000</w:t>
            </w:r>
          </w:p>
        </w:tc>
        <w:tc>
          <w:tcPr>
            <w:tcW w:w="1701" w:type="dxa"/>
            <w:tcBorders>
              <w:top w:val="nil"/>
              <w:left w:val="nil"/>
              <w:bottom w:val="single" w:color="auto" w:sz="4" w:space="0"/>
              <w:right w:val="single" w:color="auto" w:sz="4" w:space="0"/>
            </w:tcBorders>
            <w:vAlign w:val="center"/>
          </w:tcPr>
          <w:p w14:paraId="712CBB6D">
            <w:pPr>
              <w:widowControl/>
              <w:jc w:val="center"/>
              <w:rPr>
                <w:rFonts w:ascii="宋体" w:hAnsi="宋体" w:cs="宋体"/>
                <w:color w:val="000000"/>
                <w:kern w:val="0"/>
                <w:szCs w:val="21"/>
              </w:rPr>
            </w:pPr>
            <w:r>
              <w:rPr>
                <w:rFonts w:hint="eastAsia" w:ascii="宋体" w:hAnsi="宋体" w:cs="宋体"/>
                <w:color w:val="000000"/>
                <w:kern w:val="0"/>
                <w:szCs w:val="21"/>
              </w:rPr>
              <w:t>2000≤Y＜40000</w:t>
            </w:r>
          </w:p>
        </w:tc>
        <w:tc>
          <w:tcPr>
            <w:tcW w:w="1426" w:type="dxa"/>
            <w:tcBorders>
              <w:top w:val="nil"/>
              <w:left w:val="nil"/>
              <w:bottom w:val="single" w:color="auto" w:sz="4" w:space="0"/>
              <w:right w:val="single" w:color="auto" w:sz="4" w:space="0"/>
            </w:tcBorders>
            <w:vAlign w:val="center"/>
          </w:tcPr>
          <w:p w14:paraId="218933C8">
            <w:pPr>
              <w:widowControl/>
              <w:jc w:val="center"/>
              <w:rPr>
                <w:rFonts w:ascii="宋体" w:hAnsi="宋体" w:cs="宋体"/>
                <w:color w:val="000000"/>
                <w:kern w:val="0"/>
                <w:szCs w:val="21"/>
              </w:rPr>
            </w:pPr>
            <w:r>
              <w:rPr>
                <w:rFonts w:hint="eastAsia" w:ascii="宋体" w:hAnsi="宋体" w:cs="宋体"/>
                <w:color w:val="000000"/>
                <w:kern w:val="0"/>
                <w:szCs w:val="21"/>
              </w:rPr>
              <w:t xml:space="preserve"> 300≤Y＜2000</w:t>
            </w:r>
          </w:p>
        </w:tc>
        <w:tc>
          <w:tcPr>
            <w:tcW w:w="992" w:type="dxa"/>
            <w:tcBorders>
              <w:top w:val="nil"/>
              <w:left w:val="nil"/>
              <w:bottom w:val="single" w:color="auto" w:sz="4" w:space="0"/>
              <w:right w:val="nil"/>
            </w:tcBorders>
            <w:vAlign w:val="center"/>
          </w:tcPr>
          <w:p w14:paraId="65DF7C0E">
            <w:pPr>
              <w:widowControl/>
              <w:jc w:val="center"/>
              <w:rPr>
                <w:rFonts w:ascii="宋体" w:hAnsi="宋体" w:cs="宋体"/>
                <w:color w:val="000000"/>
                <w:kern w:val="0"/>
                <w:szCs w:val="21"/>
              </w:rPr>
            </w:pPr>
            <w:r>
              <w:rPr>
                <w:rFonts w:hint="eastAsia" w:ascii="宋体" w:hAnsi="宋体" w:cs="宋体"/>
                <w:color w:val="000000"/>
                <w:kern w:val="0"/>
                <w:szCs w:val="21"/>
              </w:rPr>
              <w:t>Y＜300</w:t>
            </w:r>
          </w:p>
        </w:tc>
      </w:tr>
      <w:tr w14:paraId="51EC3C1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26325357">
            <w:pPr>
              <w:widowControl/>
              <w:jc w:val="left"/>
              <w:rPr>
                <w:rFonts w:ascii="宋体" w:hAnsi="宋体" w:cs="宋体"/>
                <w:color w:val="000000"/>
                <w:kern w:val="0"/>
                <w:szCs w:val="21"/>
              </w:rPr>
            </w:pPr>
            <w:r>
              <w:rPr>
                <w:rFonts w:hint="eastAsia" w:ascii="宋体" w:hAnsi="宋体" w:cs="宋体"/>
                <w:color w:val="000000"/>
                <w:kern w:val="0"/>
                <w:szCs w:val="21"/>
              </w:rPr>
              <w:t>建筑业</w:t>
            </w:r>
          </w:p>
        </w:tc>
        <w:tc>
          <w:tcPr>
            <w:tcW w:w="1369" w:type="dxa"/>
            <w:tcBorders>
              <w:top w:val="nil"/>
              <w:left w:val="nil"/>
              <w:bottom w:val="nil"/>
              <w:right w:val="single" w:color="auto" w:sz="4" w:space="0"/>
            </w:tcBorders>
            <w:vAlign w:val="center"/>
          </w:tcPr>
          <w:p w14:paraId="19006120">
            <w:pPr>
              <w:widowControl/>
              <w:jc w:val="center"/>
              <w:rPr>
                <w:rFonts w:ascii="宋体" w:hAnsi="宋体" w:cs="宋体"/>
                <w:color w:val="000000"/>
                <w:kern w:val="0"/>
                <w:szCs w:val="21"/>
              </w:rPr>
            </w:pPr>
            <w:r>
              <w:rPr>
                <w:rFonts w:hint="eastAsia" w:ascii="宋体" w:hAnsi="宋体" w:cs="宋体"/>
                <w:color w:val="000000"/>
                <w:kern w:val="0"/>
                <w:szCs w:val="21"/>
              </w:rPr>
              <w:t>营业收入(Y)</w:t>
            </w:r>
          </w:p>
        </w:tc>
        <w:tc>
          <w:tcPr>
            <w:tcW w:w="709" w:type="dxa"/>
            <w:tcBorders>
              <w:top w:val="nil"/>
              <w:left w:val="nil"/>
              <w:bottom w:val="nil"/>
              <w:right w:val="single" w:color="auto" w:sz="4" w:space="0"/>
            </w:tcBorders>
            <w:vAlign w:val="center"/>
          </w:tcPr>
          <w:p w14:paraId="23D00588">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nil"/>
              <w:right w:val="single" w:color="auto" w:sz="4" w:space="0"/>
            </w:tcBorders>
            <w:vAlign w:val="center"/>
          </w:tcPr>
          <w:p w14:paraId="091F5E0E">
            <w:pPr>
              <w:widowControl/>
              <w:jc w:val="center"/>
              <w:rPr>
                <w:rFonts w:ascii="宋体" w:hAnsi="宋体" w:cs="宋体"/>
                <w:color w:val="000000"/>
                <w:kern w:val="0"/>
                <w:szCs w:val="21"/>
              </w:rPr>
            </w:pPr>
            <w:r>
              <w:rPr>
                <w:rFonts w:hint="eastAsia" w:ascii="宋体" w:hAnsi="宋体" w:cs="宋体"/>
                <w:color w:val="000000"/>
                <w:kern w:val="0"/>
                <w:szCs w:val="21"/>
              </w:rPr>
              <w:t>Y≥80000</w:t>
            </w:r>
          </w:p>
        </w:tc>
        <w:tc>
          <w:tcPr>
            <w:tcW w:w="1701" w:type="dxa"/>
            <w:tcBorders>
              <w:top w:val="nil"/>
              <w:left w:val="nil"/>
              <w:bottom w:val="nil"/>
              <w:right w:val="single" w:color="auto" w:sz="4" w:space="0"/>
            </w:tcBorders>
            <w:vAlign w:val="center"/>
          </w:tcPr>
          <w:p w14:paraId="48A3D4E1">
            <w:pPr>
              <w:widowControl/>
              <w:jc w:val="center"/>
              <w:rPr>
                <w:rFonts w:ascii="宋体" w:hAnsi="宋体" w:cs="宋体"/>
                <w:color w:val="000000"/>
                <w:kern w:val="0"/>
                <w:szCs w:val="21"/>
              </w:rPr>
            </w:pPr>
            <w:r>
              <w:rPr>
                <w:rFonts w:hint="eastAsia" w:ascii="宋体" w:hAnsi="宋体" w:cs="宋体"/>
                <w:color w:val="000000"/>
                <w:kern w:val="0"/>
                <w:szCs w:val="21"/>
              </w:rPr>
              <w:t>6000≤Y＜80000</w:t>
            </w:r>
          </w:p>
        </w:tc>
        <w:tc>
          <w:tcPr>
            <w:tcW w:w="1426" w:type="dxa"/>
            <w:tcBorders>
              <w:top w:val="nil"/>
              <w:left w:val="nil"/>
              <w:bottom w:val="nil"/>
              <w:right w:val="single" w:color="auto" w:sz="4" w:space="0"/>
            </w:tcBorders>
            <w:vAlign w:val="center"/>
          </w:tcPr>
          <w:p w14:paraId="5AE29074">
            <w:pPr>
              <w:widowControl/>
              <w:jc w:val="center"/>
              <w:rPr>
                <w:rFonts w:ascii="宋体" w:hAnsi="宋体" w:cs="宋体"/>
                <w:color w:val="000000"/>
                <w:kern w:val="0"/>
                <w:szCs w:val="21"/>
              </w:rPr>
            </w:pPr>
            <w:r>
              <w:rPr>
                <w:rFonts w:hint="eastAsia" w:ascii="宋体" w:hAnsi="宋体" w:cs="宋体"/>
                <w:color w:val="000000"/>
                <w:kern w:val="0"/>
                <w:szCs w:val="21"/>
              </w:rPr>
              <w:t xml:space="preserve"> 300≤Y＜6000</w:t>
            </w:r>
          </w:p>
        </w:tc>
        <w:tc>
          <w:tcPr>
            <w:tcW w:w="992" w:type="dxa"/>
            <w:tcBorders>
              <w:top w:val="nil"/>
              <w:left w:val="nil"/>
              <w:bottom w:val="nil"/>
              <w:right w:val="nil"/>
            </w:tcBorders>
            <w:vAlign w:val="center"/>
          </w:tcPr>
          <w:p w14:paraId="27693889">
            <w:pPr>
              <w:widowControl/>
              <w:jc w:val="center"/>
              <w:rPr>
                <w:rFonts w:ascii="宋体" w:hAnsi="宋体" w:cs="宋体"/>
                <w:color w:val="000000"/>
                <w:kern w:val="0"/>
                <w:szCs w:val="21"/>
              </w:rPr>
            </w:pPr>
            <w:r>
              <w:rPr>
                <w:rFonts w:hint="eastAsia" w:ascii="宋体" w:hAnsi="宋体" w:cs="宋体"/>
                <w:color w:val="000000"/>
                <w:kern w:val="0"/>
                <w:szCs w:val="21"/>
              </w:rPr>
              <w:t>Y＜300</w:t>
            </w:r>
          </w:p>
        </w:tc>
      </w:tr>
      <w:tr w14:paraId="2C21009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86A9D87">
            <w:pPr>
              <w:widowControl/>
              <w:jc w:val="left"/>
              <w:rPr>
                <w:rFonts w:ascii="宋体" w:hAnsi="宋体" w:cs="宋体"/>
                <w:color w:val="000000"/>
                <w:kern w:val="0"/>
                <w:szCs w:val="21"/>
              </w:rPr>
            </w:pPr>
          </w:p>
        </w:tc>
        <w:tc>
          <w:tcPr>
            <w:tcW w:w="1369" w:type="dxa"/>
            <w:tcBorders>
              <w:top w:val="nil"/>
              <w:left w:val="nil"/>
              <w:bottom w:val="single" w:color="auto" w:sz="4" w:space="0"/>
              <w:right w:val="single" w:color="auto" w:sz="4" w:space="0"/>
            </w:tcBorders>
            <w:vAlign w:val="center"/>
          </w:tcPr>
          <w:p w14:paraId="2FB0498F">
            <w:pPr>
              <w:widowControl/>
              <w:jc w:val="center"/>
              <w:rPr>
                <w:rFonts w:ascii="宋体" w:hAnsi="宋体" w:cs="宋体"/>
                <w:color w:val="000000"/>
                <w:kern w:val="0"/>
                <w:szCs w:val="21"/>
              </w:rPr>
            </w:pPr>
            <w:r>
              <w:rPr>
                <w:rFonts w:hint="eastAsia" w:ascii="宋体" w:hAnsi="宋体" w:cs="宋体"/>
                <w:color w:val="000000"/>
                <w:kern w:val="0"/>
                <w:szCs w:val="21"/>
              </w:rPr>
              <w:t>资产总额(Z)</w:t>
            </w:r>
          </w:p>
        </w:tc>
        <w:tc>
          <w:tcPr>
            <w:tcW w:w="709" w:type="dxa"/>
            <w:tcBorders>
              <w:top w:val="nil"/>
              <w:left w:val="nil"/>
              <w:bottom w:val="single" w:color="auto" w:sz="4" w:space="0"/>
              <w:right w:val="single" w:color="auto" w:sz="4" w:space="0"/>
            </w:tcBorders>
            <w:vAlign w:val="center"/>
          </w:tcPr>
          <w:p w14:paraId="689EE447">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single" w:color="auto" w:sz="4" w:space="0"/>
              <w:right w:val="single" w:color="auto" w:sz="4" w:space="0"/>
            </w:tcBorders>
            <w:vAlign w:val="center"/>
          </w:tcPr>
          <w:p w14:paraId="50F2FDFE">
            <w:pPr>
              <w:widowControl/>
              <w:jc w:val="center"/>
              <w:rPr>
                <w:rFonts w:ascii="宋体" w:hAnsi="宋体" w:cs="宋体"/>
                <w:color w:val="000000"/>
                <w:kern w:val="0"/>
                <w:szCs w:val="21"/>
              </w:rPr>
            </w:pPr>
            <w:r>
              <w:rPr>
                <w:rFonts w:hint="eastAsia" w:ascii="宋体" w:hAnsi="宋体" w:cs="宋体"/>
                <w:color w:val="000000"/>
                <w:kern w:val="0"/>
                <w:szCs w:val="21"/>
              </w:rPr>
              <w:t>Z≥80000</w:t>
            </w:r>
          </w:p>
        </w:tc>
        <w:tc>
          <w:tcPr>
            <w:tcW w:w="1701" w:type="dxa"/>
            <w:tcBorders>
              <w:top w:val="nil"/>
              <w:left w:val="nil"/>
              <w:bottom w:val="single" w:color="auto" w:sz="4" w:space="0"/>
              <w:right w:val="single" w:color="auto" w:sz="4" w:space="0"/>
            </w:tcBorders>
            <w:vAlign w:val="center"/>
          </w:tcPr>
          <w:p w14:paraId="2F168693">
            <w:pPr>
              <w:widowControl/>
              <w:jc w:val="center"/>
              <w:rPr>
                <w:rFonts w:ascii="宋体" w:hAnsi="宋体" w:cs="宋体"/>
                <w:color w:val="000000"/>
                <w:kern w:val="0"/>
                <w:szCs w:val="21"/>
              </w:rPr>
            </w:pPr>
            <w:r>
              <w:rPr>
                <w:rFonts w:hint="eastAsia" w:ascii="宋体" w:hAnsi="宋体" w:cs="宋体"/>
                <w:color w:val="000000"/>
                <w:kern w:val="0"/>
                <w:szCs w:val="21"/>
              </w:rPr>
              <w:t>5000≤Z＜80000</w:t>
            </w:r>
          </w:p>
        </w:tc>
        <w:tc>
          <w:tcPr>
            <w:tcW w:w="1426" w:type="dxa"/>
            <w:tcBorders>
              <w:top w:val="nil"/>
              <w:left w:val="nil"/>
              <w:bottom w:val="single" w:color="auto" w:sz="4" w:space="0"/>
              <w:right w:val="single" w:color="auto" w:sz="4" w:space="0"/>
            </w:tcBorders>
            <w:vAlign w:val="center"/>
          </w:tcPr>
          <w:p w14:paraId="0811C4AB">
            <w:pPr>
              <w:widowControl/>
              <w:jc w:val="center"/>
              <w:rPr>
                <w:rFonts w:ascii="宋体" w:hAnsi="宋体" w:cs="宋体"/>
                <w:color w:val="000000"/>
                <w:kern w:val="0"/>
                <w:szCs w:val="21"/>
              </w:rPr>
            </w:pPr>
            <w:r>
              <w:rPr>
                <w:rFonts w:hint="eastAsia" w:ascii="宋体" w:hAnsi="宋体" w:cs="宋体"/>
                <w:color w:val="000000"/>
                <w:kern w:val="0"/>
                <w:szCs w:val="21"/>
              </w:rPr>
              <w:t xml:space="preserve"> 300≤Z＜5000</w:t>
            </w:r>
          </w:p>
        </w:tc>
        <w:tc>
          <w:tcPr>
            <w:tcW w:w="992" w:type="dxa"/>
            <w:tcBorders>
              <w:top w:val="nil"/>
              <w:left w:val="nil"/>
              <w:bottom w:val="single" w:color="auto" w:sz="4" w:space="0"/>
              <w:right w:val="nil"/>
            </w:tcBorders>
            <w:vAlign w:val="center"/>
          </w:tcPr>
          <w:p w14:paraId="44BEE0E2">
            <w:pPr>
              <w:widowControl/>
              <w:jc w:val="center"/>
              <w:rPr>
                <w:rFonts w:ascii="宋体" w:hAnsi="宋体" w:cs="宋体"/>
                <w:color w:val="000000"/>
                <w:kern w:val="0"/>
                <w:szCs w:val="21"/>
              </w:rPr>
            </w:pPr>
            <w:r>
              <w:rPr>
                <w:rFonts w:hint="eastAsia" w:ascii="宋体" w:hAnsi="宋体" w:cs="宋体"/>
                <w:color w:val="000000"/>
                <w:kern w:val="0"/>
                <w:szCs w:val="21"/>
              </w:rPr>
              <w:t>Z＜300</w:t>
            </w:r>
          </w:p>
        </w:tc>
      </w:tr>
      <w:tr w14:paraId="57E260A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58B00213">
            <w:pPr>
              <w:widowControl/>
              <w:jc w:val="left"/>
              <w:rPr>
                <w:rFonts w:ascii="宋体" w:hAnsi="宋体" w:cs="宋体"/>
                <w:color w:val="000000"/>
                <w:kern w:val="0"/>
                <w:szCs w:val="21"/>
              </w:rPr>
            </w:pPr>
            <w:r>
              <w:rPr>
                <w:rFonts w:hint="eastAsia" w:ascii="宋体" w:hAnsi="宋体" w:cs="宋体"/>
                <w:color w:val="000000"/>
                <w:kern w:val="0"/>
                <w:szCs w:val="21"/>
              </w:rPr>
              <w:t>批发业</w:t>
            </w:r>
          </w:p>
        </w:tc>
        <w:tc>
          <w:tcPr>
            <w:tcW w:w="1369" w:type="dxa"/>
            <w:tcBorders>
              <w:top w:val="nil"/>
              <w:left w:val="nil"/>
              <w:bottom w:val="nil"/>
              <w:right w:val="single" w:color="auto" w:sz="4" w:space="0"/>
            </w:tcBorders>
            <w:vAlign w:val="center"/>
          </w:tcPr>
          <w:p w14:paraId="61C25E2A">
            <w:pPr>
              <w:widowControl/>
              <w:jc w:val="center"/>
              <w:rPr>
                <w:rFonts w:ascii="宋体" w:hAnsi="宋体" w:cs="宋体"/>
                <w:color w:val="000000"/>
                <w:kern w:val="0"/>
                <w:szCs w:val="21"/>
              </w:rPr>
            </w:pPr>
            <w:r>
              <w:rPr>
                <w:rFonts w:hint="eastAsia" w:ascii="宋体" w:hAnsi="宋体" w:cs="宋体"/>
                <w:color w:val="000000"/>
                <w:kern w:val="0"/>
                <w:szCs w:val="21"/>
              </w:rPr>
              <w:t>从业人员(X)</w:t>
            </w:r>
          </w:p>
        </w:tc>
        <w:tc>
          <w:tcPr>
            <w:tcW w:w="709" w:type="dxa"/>
            <w:tcBorders>
              <w:top w:val="nil"/>
              <w:left w:val="nil"/>
              <w:bottom w:val="nil"/>
              <w:right w:val="single" w:color="auto" w:sz="4" w:space="0"/>
            </w:tcBorders>
            <w:vAlign w:val="center"/>
          </w:tcPr>
          <w:p w14:paraId="20EC94F7">
            <w:pPr>
              <w:widowControl/>
              <w:jc w:val="center"/>
              <w:rPr>
                <w:rFonts w:ascii="宋体" w:hAnsi="宋体" w:cs="宋体"/>
                <w:color w:val="000000"/>
                <w:kern w:val="0"/>
                <w:szCs w:val="21"/>
              </w:rPr>
            </w:pPr>
            <w:r>
              <w:rPr>
                <w:rFonts w:hint="eastAsia" w:ascii="宋体" w:hAnsi="宋体" w:cs="宋体"/>
                <w:color w:val="000000"/>
                <w:kern w:val="0"/>
                <w:szCs w:val="21"/>
              </w:rPr>
              <w:t>人</w:t>
            </w:r>
          </w:p>
        </w:tc>
        <w:tc>
          <w:tcPr>
            <w:tcW w:w="1125" w:type="dxa"/>
            <w:tcBorders>
              <w:top w:val="nil"/>
              <w:left w:val="nil"/>
              <w:bottom w:val="nil"/>
              <w:right w:val="single" w:color="auto" w:sz="4" w:space="0"/>
            </w:tcBorders>
            <w:vAlign w:val="center"/>
          </w:tcPr>
          <w:p w14:paraId="7CD902F7">
            <w:pPr>
              <w:widowControl/>
              <w:jc w:val="center"/>
              <w:rPr>
                <w:rFonts w:ascii="宋体" w:hAnsi="宋体" w:cs="宋体"/>
                <w:color w:val="000000"/>
                <w:kern w:val="0"/>
                <w:szCs w:val="21"/>
              </w:rPr>
            </w:pPr>
            <w:r>
              <w:rPr>
                <w:rFonts w:hint="eastAsia" w:ascii="宋体" w:hAnsi="宋体" w:cs="宋体"/>
                <w:color w:val="000000"/>
                <w:kern w:val="0"/>
                <w:szCs w:val="21"/>
              </w:rPr>
              <w:t>X≥200</w:t>
            </w:r>
          </w:p>
        </w:tc>
        <w:tc>
          <w:tcPr>
            <w:tcW w:w="1701" w:type="dxa"/>
            <w:tcBorders>
              <w:top w:val="nil"/>
              <w:left w:val="nil"/>
              <w:bottom w:val="nil"/>
              <w:right w:val="single" w:color="auto" w:sz="4" w:space="0"/>
            </w:tcBorders>
            <w:vAlign w:val="center"/>
          </w:tcPr>
          <w:p w14:paraId="7D27E10E">
            <w:pPr>
              <w:widowControl/>
              <w:jc w:val="center"/>
              <w:rPr>
                <w:rFonts w:ascii="宋体" w:hAnsi="宋体" w:cs="宋体"/>
                <w:color w:val="000000"/>
                <w:kern w:val="0"/>
                <w:szCs w:val="21"/>
              </w:rPr>
            </w:pPr>
            <w:r>
              <w:rPr>
                <w:rFonts w:hint="eastAsia" w:ascii="宋体" w:hAnsi="宋体" w:cs="宋体"/>
                <w:color w:val="000000"/>
                <w:kern w:val="0"/>
                <w:szCs w:val="21"/>
              </w:rPr>
              <w:t>20≤X＜200</w:t>
            </w:r>
          </w:p>
        </w:tc>
        <w:tc>
          <w:tcPr>
            <w:tcW w:w="1426" w:type="dxa"/>
            <w:tcBorders>
              <w:top w:val="nil"/>
              <w:left w:val="nil"/>
              <w:bottom w:val="nil"/>
              <w:right w:val="single" w:color="auto" w:sz="4" w:space="0"/>
            </w:tcBorders>
            <w:vAlign w:val="center"/>
          </w:tcPr>
          <w:p w14:paraId="256D995A">
            <w:pPr>
              <w:widowControl/>
              <w:jc w:val="center"/>
              <w:rPr>
                <w:rFonts w:ascii="宋体" w:hAnsi="宋体" w:cs="宋体"/>
                <w:color w:val="000000"/>
                <w:kern w:val="0"/>
                <w:szCs w:val="21"/>
              </w:rPr>
            </w:pPr>
            <w:r>
              <w:rPr>
                <w:rFonts w:hint="eastAsia" w:ascii="宋体" w:hAnsi="宋体" w:cs="宋体"/>
                <w:color w:val="000000"/>
                <w:kern w:val="0"/>
                <w:szCs w:val="21"/>
              </w:rPr>
              <w:t xml:space="preserve"> 5≤X＜20</w:t>
            </w:r>
          </w:p>
        </w:tc>
        <w:tc>
          <w:tcPr>
            <w:tcW w:w="992" w:type="dxa"/>
            <w:tcBorders>
              <w:top w:val="nil"/>
              <w:left w:val="nil"/>
              <w:bottom w:val="nil"/>
              <w:right w:val="nil"/>
            </w:tcBorders>
            <w:vAlign w:val="center"/>
          </w:tcPr>
          <w:p w14:paraId="508C4E7B">
            <w:pPr>
              <w:widowControl/>
              <w:jc w:val="center"/>
              <w:rPr>
                <w:rFonts w:ascii="宋体" w:hAnsi="宋体" w:cs="宋体"/>
                <w:color w:val="000000"/>
                <w:kern w:val="0"/>
                <w:szCs w:val="21"/>
              </w:rPr>
            </w:pPr>
            <w:r>
              <w:rPr>
                <w:rFonts w:hint="eastAsia" w:ascii="宋体" w:hAnsi="宋体" w:cs="宋体"/>
                <w:color w:val="000000"/>
                <w:kern w:val="0"/>
                <w:szCs w:val="21"/>
              </w:rPr>
              <w:t>X＜5</w:t>
            </w:r>
          </w:p>
        </w:tc>
      </w:tr>
      <w:tr w14:paraId="3EE040F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3A03B86">
            <w:pPr>
              <w:widowControl/>
              <w:jc w:val="left"/>
              <w:rPr>
                <w:rFonts w:ascii="宋体" w:hAnsi="宋体" w:cs="宋体"/>
                <w:color w:val="000000"/>
                <w:kern w:val="0"/>
                <w:szCs w:val="21"/>
              </w:rPr>
            </w:pPr>
          </w:p>
        </w:tc>
        <w:tc>
          <w:tcPr>
            <w:tcW w:w="1369" w:type="dxa"/>
            <w:tcBorders>
              <w:top w:val="nil"/>
              <w:left w:val="nil"/>
              <w:bottom w:val="single" w:color="auto" w:sz="4" w:space="0"/>
              <w:right w:val="single" w:color="auto" w:sz="4" w:space="0"/>
            </w:tcBorders>
            <w:vAlign w:val="center"/>
          </w:tcPr>
          <w:p w14:paraId="19898D1E">
            <w:pPr>
              <w:widowControl/>
              <w:jc w:val="center"/>
              <w:rPr>
                <w:rFonts w:ascii="宋体" w:hAnsi="宋体" w:cs="宋体"/>
                <w:color w:val="000000"/>
                <w:kern w:val="0"/>
                <w:szCs w:val="21"/>
              </w:rPr>
            </w:pPr>
            <w:r>
              <w:rPr>
                <w:rFonts w:hint="eastAsia" w:ascii="宋体" w:hAnsi="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695C0464">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single" w:color="auto" w:sz="4" w:space="0"/>
              <w:right w:val="single" w:color="auto" w:sz="4" w:space="0"/>
            </w:tcBorders>
            <w:vAlign w:val="center"/>
          </w:tcPr>
          <w:p w14:paraId="08B22E14">
            <w:pPr>
              <w:widowControl/>
              <w:jc w:val="center"/>
              <w:rPr>
                <w:rFonts w:ascii="宋体" w:hAnsi="宋体" w:cs="宋体"/>
                <w:color w:val="000000"/>
                <w:kern w:val="0"/>
                <w:szCs w:val="21"/>
              </w:rPr>
            </w:pPr>
            <w:r>
              <w:rPr>
                <w:rFonts w:hint="eastAsia" w:ascii="宋体" w:hAnsi="宋体" w:cs="宋体"/>
                <w:color w:val="000000"/>
                <w:kern w:val="0"/>
                <w:szCs w:val="21"/>
              </w:rPr>
              <w:t>Y≥40000</w:t>
            </w:r>
          </w:p>
        </w:tc>
        <w:tc>
          <w:tcPr>
            <w:tcW w:w="1701" w:type="dxa"/>
            <w:tcBorders>
              <w:top w:val="nil"/>
              <w:left w:val="nil"/>
              <w:bottom w:val="single" w:color="auto" w:sz="4" w:space="0"/>
              <w:right w:val="single" w:color="auto" w:sz="4" w:space="0"/>
            </w:tcBorders>
            <w:vAlign w:val="center"/>
          </w:tcPr>
          <w:p w14:paraId="1603E831">
            <w:pPr>
              <w:widowControl/>
              <w:jc w:val="center"/>
              <w:rPr>
                <w:rFonts w:ascii="宋体" w:hAnsi="宋体" w:cs="宋体"/>
                <w:color w:val="000000"/>
                <w:kern w:val="0"/>
                <w:szCs w:val="21"/>
              </w:rPr>
            </w:pPr>
            <w:r>
              <w:rPr>
                <w:rFonts w:hint="eastAsia" w:ascii="宋体" w:hAnsi="宋体" w:cs="宋体"/>
                <w:color w:val="000000"/>
                <w:kern w:val="0"/>
                <w:szCs w:val="21"/>
              </w:rPr>
              <w:t>5000≤Y＜40000</w:t>
            </w:r>
          </w:p>
        </w:tc>
        <w:tc>
          <w:tcPr>
            <w:tcW w:w="1426" w:type="dxa"/>
            <w:tcBorders>
              <w:top w:val="nil"/>
              <w:left w:val="nil"/>
              <w:bottom w:val="single" w:color="auto" w:sz="4" w:space="0"/>
              <w:right w:val="single" w:color="auto" w:sz="4" w:space="0"/>
            </w:tcBorders>
            <w:vAlign w:val="center"/>
          </w:tcPr>
          <w:p w14:paraId="41EDCC6E">
            <w:pPr>
              <w:widowControl/>
              <w:ind w:left="-1" w:leftChars="-1" w:hanging="1"/>
              <w:jc w:val="center"/>
              <w:rPr>
                <w:rFonts w:ascii="宋体" w:hAnsi="宋体" w:cs="宋体"/>
                <w:color w:val="000000"/>
                <w:kern w:val="0"/>
                <w:szCs w:val="21"/>
              </w:rPr>
            </w:pPr>
            <w:r>
              <w:rPr>
                <w:rFonts w:hint="eastAsia" w:ascii="宋体" w:hAnsi="宋体" w:cs="宋体"/>
                <w:color w:val="000000"/>
                <w:kern w:val="0"/>
                <w:szCs w:val="21"/>
              </w:rPr>
              <w:t>1000≤Y＜5000</w:t>
            </w:r>
          </w:p>
        </w:tc>
        <w:tc>
          <w:tcPr>
            <w:tcW w:w="992" w:type="dxa"/>
            <w:tcBorders>
              <w:top w:val="nil"/>
              <w:left w:val="nil"/>
              <w:bottom w:val="single" w:color="auto" w:sz="4" w:space="0"/>
              <w:right w:val="nil"/>
            </w:tcBorders>
            <w:vAlign w:val="center"/>
          </w:tcPr>
          <w:p w14:paraId="2E4FE627">
            <w:pPr>
              <w:widowControl/>
              <w:jc w:val="center"/>
              <w:rPr>
                <w:rFonts w:ascii="宋体" w:hAnsi="宋体" w:cs="宋体"/>
                <w:color w:val="000000"/>
                <w:kern w:val="0"/>
                <w:szCs w:val="21"/>
              </w:rPr>
            </w:pPr>
            <w:r>
              <w:rPr>
                <w:rFonts w:hint="eastAsia" w:ascii="宋体" w:hAnsi="宋体" w:cs="宋体"/>
                <w:color w:val="000000"/>
                <w:kern w:val="0"/>
                <w:szCs w:val="21"/>
              </w:rPr>
              <w:t>Y＜1000</w:t>
            </w:r>
          </w:p>
        </w:tc>
      </w:tr>
      <w:tr w14:paraId="48214AC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20E2CA68">
            <w:pPr>
              <w:widowControl/>
              <w:jc w:val="left"/>
              <w:rPr>
                <w:rFonts w:ascii="宋体" w:hAnsi="宋体" w:cs="宋体"/>
                <w:color w:val="000000"/>
                <w:kern w:val="0"/>
                <w:szCs w:val="21"/>
              </w:rPr>
            </w:pPr>
            <w:r>
              <w:rPr>
                <w:rFonts w:hint="eastAsia" w:ascii="宋体" w:hAnsi="宋体" w:cs="宋体"/>
                <w:color w:val="000000"/>
                <w:kern w:val="0"/>
                <w:szCs w:val="21"/>
              </w:rPr>
              <w:t>零售业</w:t>
            </w:r>
          </w:p>
        </w:tc>
        <w:tc>
          <w:tcPr>
            <w:tcW w:w="1369" w:type="dxa"/>
            <w:tcBorders>
              <w:top w:val="nil"/>
              <w:left w:val="nil"/>
              <w:bottom w:val="nil"/>
              <w:right w:val="single" w:color="auto" w:sz="4" w:space="0"/>
            </w:tcBorders>
            <w:vAlign w:val="center"/>
          </w:tcPr>
          <w:p w14:paraId="49CAAD2B">
            <w:pPr>
              <w:widowControl/>
              <w:jc w:val="center"/>
              <w:rPr>
                <w:rFonts w:ascii="宋体" w:hAnsi="宋体" w:cs="宋体"/>
                <w:color w:val="000000"/>
                <w:kern w:val="0"/>
                <w:szCs w:val="21"/>
              </w:rPr>
            </w:pPr>
            <w:r>
              <w:rPr>
                <w:rFonts w:hint="eastAsia" w:ascii="宋体" w:hAnsi="宋体" w:cs="宋体"/>
                <w:color w:val="000000"/>
                <w:kern w:val="0"/>
                <w:szCs w:val="21"/>
              </w:rPr>
              <w:t>从业人员(X)</w:t>
            </w:r>
          </w:p>
        </w:tc>
        <w:tc>
          <w:tcPr>
            <w:tcW w:w="709" w:type="dxa"/>
            <w:tcBorders>
              <w:top w:val="nil"/>
              <w:left w:val="nil"/>
              <w:bottom w:val="nil"/>
              <w:right w:val="single" w:color="auto" w:sz="4" w:space="0"/>
            </w:tcBorders>
            <w:vAlign w:val="center"/>
          </w:tcPr>
          <w:p w14:paraId="1BC3D468">
            <w:pPr>
              <w:widowControl/>
              <w:jc w:val="center"/>
              <w:rPr>
                <w:rFonts w:ascii="宋体" w:hAnsi="宋体" w:cs="宋体"/>
                <w:color w:val="000000"/>
                <w:kern w:val="0"/>
                <w:szCs w:val="21"/>
              </w:rPr>
            </w:pPr>
            <w:r>
              <w:rPr>
                <w:rFonts w:hint="eastAsia" w:ascii="宋体" w:hAnsi="宋体" w:cs="宋体"/>
                <w:color w:val="000000"/>
                <w:kern w:val="0"/>
                <w:szCs w:val="21"/>
              </w:rPr>
              <w:t>人</w:t>
            </w:r>
          </w:p>
        </w:tc>
        <w:tc>
          <w:tcPr>
            <w:tcW w:w="1125" w:type="dxa"/>
            <w:tcBorders>
              <w:top w:val="nil"/>
              <w:left w:val="nil"/>
              <w:bottom w:val="nil"/>
              <w:right w:val="single" w:color="auto" w:sz="4" w:space="0"/>
            </w:tcBorders>
            <w:vAlign w:val="center"/>
          </w:tcPr>
          <w:p w14:paraId="0F2B51FA">
            <w:pPr>
              <w:widowControl/>
              <w:jc w:val="center"/>
              <w:rPr>
                <w:rFonts w:ascii="宋体" w:hAnsi="宋体" w:cs="宋体"/>
                <w:color w:val="000000"/>
                <w:kern w:val="0"/>
                <w:szCs w:val="21"/>
              </w:rPr>
            </w:pPr>
            <w:r>
              <w:rPr>
                <w:rFonts w:hint="eastAsia" w:ascii="宋体" w:hAnsi="宋体" w:cs="宋体"/>
                <w:color w:val="000000"/>
                <w:kern w:val="0"/>
                <w:szCs w:val="21"/>
              </w:rPr>
              <w:t>X≥300</w:t>
            </w:r>
          </w:p>
        </w:tc>
        <w:tc>
          <w:tcPr>
            <w:tcW w:w="1701" w:type="dxa"/>
            <w:tcBorders>
              <w:top w:val="nil"/>
              <w:left w:val="nil"/>
              <w:bottom w:val="nil"/>
              <w:right w:val="single" w:color="auto" w:sz="4" w:space="0"/>
            </w:tcBorders>
            <w:vAlign w:val="center"/>
          </w:tcPr>
          <w:p w14:paraId="54BC0B91">
            <w:pPr>
              <w:widowControl/>
              <w:jc w:val="center"/>
              <w:rPr>
                <w:rFonts w:ascii="宋体" w:hAnsi="宋体" w:cs="宋体"/>
                <w:color w:val="000000"/>
                <w:kern w:val="0"/>
                <w:szCs w:val="21"/>
              </w:rPr>
            </w:pPr>
            <w:r>
              <w:rPr>
                <w:rFonts w:hint="eastAsia" w:ascii="宋体" w:hAnsi="宋体" w:cs="宋体"/>
                <w:color w:val="000000"/>
                <w:kern w:val="0"/>
                <w:szCs w:val="21"/>
              </w:rPr>
              <w:t>50≤X＜300</w:t>
            </w:r>
          </w:p>
        </w:tc>
        <w:tc>
          <w:tcPr>
            <w:tcW w:w="1426" w:type="dxa"/>
            <w:tcBorders>
              <w:top w:val="nil"/>
              <w:left w:val="nil"/>
              <w:bottom w:val="nil"/>
              <w:right w:val="single" w:color="auto" w:sz="4" w:space="0"/>
            </w:tcBorders>
            <w:vAlign w:val="center"/>
          </w:tcPr>
          <w:p w14:paraId="5E1E86B5">
            <w:pPr>
              <w:widowControl/>
              <w:ind w:left="-1" w:leftChars="-1" w:hanging="1"/>
              <w:jc w:val="center"/>
              <w:rPr>
                <w:rFonts w:ascii="宋体" w:hAnsi="宋体" w:cs="宋体"/>
                <w:color w:val="000000"/>
                <w:kern w:val="0"/>
                <w:szCs w:val="21"/>
              </w:rPr>
            </w:pPr>
            <w:r>
              <w:rPr>
                <w:rFonts w:hint="eastAsia" w:ascii="宋体" w:hAnsi="宋体" w:cs="宋体"/>
                <w:color w:val="000000"/>
                <w:kern w:val="0"/>
                <w:szCs w:val="21"/>
              </w:rPr>
              <w:t xml:space="preserve">10≤X＜50 </w:t>
            </w:r>
          </w:p>
        </w:tc>
        <w:tc>
          <w:tcPr>
            <w:tcW w:w="992" w:type="dxa"/>
            <w:tcBorders>
              <w:top w:val="nil"/>
              <w:left w:val="nil"/>
              <w:bottom w:val="nil"/>
              <w:right w:val="nil"/>
            </w:tcBorders>
            <w:vAlign w:val="center"/>
          </w:tcPr>
          <w:p w14:paraId="1A566F3A">
            <w:pPr>
              <w:widowControl/>
              <w:jc w:val="center"/>
              <w:rPr>
                <w:rFonts w:ascii="宋体" w:hAnsi="宋体" w:cs="宋体"/>
                <w:color w:val="000000"/>
                <w:kern w:val="0"/>
                <w:szCs w:val="21"/>
              </w:rPr>
            </w:pPr>
            <w:r>
              <w:rPr>
                <w:rFonts w:hint="eastAsia" w:ascii="宋体" w:hAnsi="宋体" w:cs="宋体"/>
                <w:color w:val="000000"/>
                <w:kern w:val="0"/>
                <w:szCs w:val="21"/>
              </w:rPr>
              <w:t>X＜10</w:t>
            </w:r>
          </w:p>
        </w:tc>
      </w:tr>
      <w:tr w14:paraId="557A3C2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3424747">
            <w:pPr>
              <w:widowControl/>
              <w:jc w:val="left"/>
              <w:rPr>
                <w:rFonts w:ascii="宋体" w:hAnsi="宋体" w:cs="宋体"/>
                <w:color w:val="000000"/>
                <w:kern w:val="0"/>
                <w:szCs w:val="21"/>
              </w:rPr>
            </w:pPr>
          </w:p>
        </w:tc>
        <w:tc>
          <w:tcPr>
            <w:tcW w:w="1369" w:type="dxa"/>
            <w:tcBorders>
              <w:top w:val="nil"/>
              <w:left w:val="nil"/>
              <w:bottom w:val="single" w:color="auto" w:sz="4" w:space="0"/>
              <w:right w:val="single" w:color="auto" w:sz="4" w:space="0"/>
            </w:tcBorders>
            <w:vAlign w:val="center"/>
          </w:tcPr>
          <w:p w14:paraId="60EC150C">
            <w:pPr>
              <w:widowControl/>
              <w:jc w:val="center"/>
              <w:rPr>
                <w:rFonts w:ascii="宋体" w:hAnsi="宋体" w:cs="宋体"/>
                <w:color w:val="000000"/>
                <w:kern w:val="0"/>
                <w:szCs w:val="21"/>
              </w:rPr>
            </w:pPr>
            <w:r>
              <w:rPr>
                <w:rFonts w:hint="eastAsia" w:ascii="宋体" w:hAnsi="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65CE8BF0">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single" w:color="auto" w:sz="4" w:space="0"/>
              <w:right w:val="single" w:color="auto" w:sz="4" w:space="0"/>
            </w:tcBorders>
            <w:vAlign w:val="center"/>
          </w:tcPr>
          <w:p w14:paraId="7C929C73">
            <w:pPr>
              <w:widowControl/>
              <w:jc w:val="center"/>
              <w:rPr>
                <w:rFonts w:ascii="宋体" w:hAnsi="宋体" w:cs="宋体"/>
                <w:color w:val="000000"/>
                <w:kern w:val="0"/>
                <w:szCs w:val="21"/>
              </w:rPr>
            </w:pPr>
            <w:r>
              <w:rPr>
                <w:rFonts w:hint="eastAsia" w:ascii="宋体" w:hAnsi="宋体" w:cs="宋体"/>
                <w:color w:val="000000"/>
                <w:kern w:val="0"/>
                <w:szCs w:val="21"/>
              </w:rPr>
              <w:t>Y≥20000</w:t>
            </w:r>
          </w:p>
        </w:tc>
        <w:tc>
          <w:tcPr>
            <w:tcW w:w="1701" w:type="dxa"/>
            <w:tcBorders>
              <w:top w:val="nil"/>
              <w:left w:val="nil"/>
              <w:bottom w:val="single" w:color="auto" w:sz="4" w:space="0"/>
              <w:right w:val="single" w:color="auto" w:sz="4" w:space="0"/>
            </w:tcBorders>
            <w:vAlign w:val="center"/>
          </w:tcPr>
          <w:p w14:paraId="754D4374">
            <w:pPr>
              <w:widowControl/>
              <w:jc w:val="center"/>
              <w:rPr>
                <w:rFonts w:ascii="宋体" w:hAnsi="宋体" w:cs="宋体"/>
                <w:color w:val="000000"/>
                <w:kern w:val="0"/>
                <w:szCs w:val="21"/>
              </w:rPr>
            </w:pPr>
            <w:r>
              <w:rPr>
                <w:rFonts w:hint="eastAsia" w:ascii="宋体" w:hAnsi="宋体" w:cs="宋体"/>
                <w:color w:val="000000"/>
                <w:kern w:val="0"/>
                <w:szCs w:val="21"/>
              </w:rPr>
              <w:t xml:space="preserve"> 500≤Y＜20000</w:t>
            </w:r>
          </w:p>
        </w:tc>
        <w:tc>
          <w:tcPr>
            <w:tcW w:w="1426" w:type="dxa"/>
            <w:tcBorders>
              <w:top w:val="nil"/>
              <w:left w:val="nil"/>
              <w:bottom w:val="single" w:color="auto" w:sz="4" w:space="0"/>
              <w:right w:val="single" w:color="auto" w:sz="4" w:space="0"/>
            </w:tcBorders>
            <w:vAlign w:val="center"/>
          </w:tcPr>
          <w:p w14:paraId="28B30ACB">
            <w:pPr>
              <w:widowControl/>
              <w:ind w:left="-1" w:leftChars="-1" w:hanging="1"/>
              <w:jc w:val="center"/>
              <w:rPr>
                <w:rFonts w:ascii="宋体" w:hAnsi="宋体" w:cs="宋体"/>
                <w:color w:val="000000"/>
                <w:kern w:val="0"/>
                <w:szCs w:val="21"/>
              </w:rPr>
            </w:pPr>
            <w:r>
              <w:rPr>
                <w:rFonts w:hint="eastAsia" w:ascii="宋体" w:hAnsi="宋体" w:cs="宋体"/>
                <w:color w:val="000000"/>
                <w:kern w:val="0"/>
                <w:szCs w:val="21"/>
              </w:rPr>
              <w:t xml:space="preserve">100≤Y＜500 </w:t>
            </w:r>
          </w:p>
        </w:tc>
        <w:tc>
          <w:tcPr>
            <w:tcW w:w="992" w:type="dxa"/>
            <w:tcBorders>
              <w:top w:val="nil"/>
              <w:left w:val="nil"/>
              <w:bottom w:val="single" w:color="auto" w:sz="4" w:space="0"/>
              <w:right w:val="nil"/>
            </w:tcBorders>
            <w:vAlign w:val="center"/>
          </w:tcPr>
          <w:p w14:paraId="015B265D">
            <w:pPr>
              <w:widowControl/>
              <w:jc w:val="center"/>
              <w:rPr>
                <w:rFonts w:ascii="宋体" w:hAnsi="宋体" w:cs="宋体"/>
                <w:color w:val="000000"/>
                <w:kern w:val="0"/>
                <w:szCs w:val="21"/>
              </w:rPr>
            </w:pPr>
            <w:r>
              <w:rPr>
                <w:rFonts w:hint="eastAsia" w:ascii="宋体" w:hAnsi="宋体" w:cs="宋体"/>
                <w:color w:val="000000"/>
                <w:kern w:val="0"/>
                <w:szCs w:val="21"/>
              </w:rPr>
              <w:t>Y＜100</w:t>
            </w:r>
          </w:p>
        </w:tc>
      </w:tr>
      <w:tr w14:paraId="45E5F09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3BF765B0">
            <w:pPr>
              <w:widowControl/>
              <w:jc w:val="left"/>
              <w:rPr>
                <w:rFonts w:ascii="宋体" w:hAnsi="宋体" w:cs="宋体"/>
                <w:color w:val="000000"/>
                <w:kern w:val="0"/>
                <w:szCs w:val="21"/>
              </w:rPr>
            </w:pPr>
            <w:r>
              <w:rPr>
                <w:rFonts w:hint="eastAsia" w:ascii="宋体" w:hAnsi="宋体" w:cs="宋体"/>
                <w:color w:val="000000"/>
                <w:kern w:val="0"/>
                <w:szCs w:val="21"/>
              </w:rPr>
              <w:t>交通运输业 *</w:t>
            </w:r>
          </w:p>
        </w:tc>
        <w:tc>
          <w:tcPr>
            <w:tcW w:w="1369" w:type="dxa"/>
            <w:tcBorders>
              <w:top w:val="nil"/>
              <w:left w:val="nil"/>
              <w:bottom w:val="nil"/>
              <w:right w:val="single" w:color="auto" w:sz="4" w:space="0"/>
            </w:tcBorders>
            <w:vAlign w:val="center"/>
          </w:tcPr>
          <w:p w14:paraId="117DEF2C">
            <w:pPr>
              <w:widowControl/>
              <w:jc w:val="center"/>
              <w:rPr>
                <w:rFonts w:ascii="宋体" w:hAnsi="宋体" w:cs="宋体"/>
                <w:color w:val="000000"/>
                <w:kern w:val="0"/>
                <w:szCs w:val="21"/>
              </w:rPr>
            </w:pPr>
            <w:r>
              <w:rPr>
                <w:rFonts w:hint="eastAsia" w:ascii="宋体" w:hAnsi="宋体" w:cs="宋体"/>
                <w:color w:val="000000"/>
                <w:kern w:val="0"/>
                <w:szCs w:val="21"/>
              </w:rPr>
              <w:t>从业人员(X)</w:t>
            </w:r>
          </w:p>
        </w:tc>
        <w:tc>
          <w:tcPr>
            <w:tcW w:w="709" w:type="dxa"/>
            <w:tcBorders>
              <w:top w:val="nil"/>
              <w:left w:val="nil"/>
              <w:bottom w:val="nil"/>
              <w:right w:val="single" w:color="auto" w:sz="4" w:space="0"/>
            </w:tcBorders>
            <w:vAlign w:val="center"/>
          </w:tcPr>
          <w:p w14:paraId="59EDF1BF">
            <w:pPr>
              <w:widowControl/>
              <w:jc w:val="center"/>
              <w:rPr>
                <w:rFonts w:ascii="宋体" w:hAnsi="宋体" w:cs="宋体"/>
                <w:color w:val="000000"/>
                <w:kern w:val="0"/>
                <w:szCs w:val="21"/>
              </w:rPr>
            </w:pPr>
            <w:r>
              <w:rPr>
                <w:rFonts w:hint="eastAsia" w:ascii="宋体" w:hAnsi="宋体" w:cs="宋体"/>
                <w:color w:val="000000"/>
                <w:kern w:val="0"/>
                <w:szCs w:val="21"/>
              </w:rPr>
              <w:t>人</w:t>
            </w:r>
          </w:p>
        </w:tc>
        <w:tc>
          <w:tcPr>
            <w:tcW w:w="1125" w:type="dxa"/>
            <w:tcBorders>
              <w:top w:val="nil"/>
              <w:left w:val="nil"/>
              <w:bottom w:val="nil"/>
              <w:right w:val="single" w:color="auto" w:sz="4" w:space="0"/>
            </w:tcBorders>
            <w:vAlign w:val="center"/>
          </w:tcPr>
          <w:p w14:paraId="0D3FE04C">
            <w:pPr>
              <w:widowControl/>
              <w:jc w:val="center"/>
              <w:rPr>
                <w:rFonts w:ascii="宋体" w:hAnsi="宋体" w:cs="宋体"/>
                <w:color w:val="000000"/>
                <w:kern w:val="0"/>
                <w:szCs w:val="21"/>
              </w:rPr>
            </w:pPr>
            <w:r>
              <w:rPr>
                <w:rFonts w:hint="eastAsia" w:ascii="宋体" w:hAnsi="宋体" w:cs="宋体"/>
                <w:color w:val="000000"/>
                <w:kern w:val="0"/>
                <w:szCs w:val="21"/>
              </w:rPr>
              <w:t>X≥1000</w:t>
            </w:r>
          </w:p>
        </w:tc>
        <w:tc>
          <w:tcPr>
            <w:tcW w:w="1701" w:type="dxa"/>
            <w:tcBorders>
              <w:top w:val="nil"/>
              <w:left w:val="nil"/>
              <w:bottom w:val="nil"/>
              <w:right w:val="single" w:color="auto" w:sz="4" w:space="0"/>
            </w:tcBorders>
            <w:vAlign w:val="center"/>
          </w:tcPr>
          <w:p w14:paraId="308D31B1">
            <w:pPr>
              <w:widowControl/>
              <w:jc w:val="center"/>
              <w:rPr>
                <w:rFonts w:ascii="宋体" w:hAnsi="宋体" w:cs="宋体"/>
                <w:color w:val="000000"/>
                <w:kern w:val="0"/>
                <w:szCs w:val="21"/>
              </w:rPr>
            </w:pPr>
            <w:r>
              <w:rPr>
                <w:rFonts w:hint="eastAsia" w:ascii="宋体" w:hAnsi="宋体" w:cs="宋体"/>
                <w:color w:val="000000"/>
                <w:kern w:val="0"/>
                <w:szCs w:val="21"/>
              </w:rPr>
              <w:t>300≤X＜1000</w:t>
            </w:r>
          </w:p>
        </w:tc>
        <w:tc>
          <w:tcPr>
            <w:tcW w:w="1426" w:type="dxa"/>
            <w:tcBorders>
              <w:top w:val="nil"/>
              <w:left w:val="nil"/>
              <w:bottom w:val="nil"/>
              <w:right w:val="single" w:color="auto" w:sz="4" w:space="0"/>
            </w:tcBorders>
            <w:vAlign w:val="center"/>
          </w:tcPr>
          <w:p w14:paraId="6E7D2F77">
            <w:pPr>
              <w:widowControl/>
              <w:jc w:val="center"/>
              <w:rPr>
                <w:rFonts w:ascii="宋体" w:hAnsi="宋体" w:cs="宋体"/>
                <w:color w:val="000000"/>
                <w:kern w:val="0"/>
                <w:szCs w:val="21"/>
              </w:rPr>
            </w:pPr>
            <w:r>
              <w:rPr>
                <w:rFonts w:hint="eastAsia" w:ascii="宋体" w:hAnsi="宋体" w:cs="宋体"/>
                <w:color w:val="000000"/>
                <w:kern w:val="0"/>
                <w:szCs w:val="21"/>
              </w:rPr>
              <w:t xml:space="preserve"> 20≤X＜300</w:t>
            </w:r>
          </w:p>
        </w:tc>
        <w:tc>
          <w:tcPr>
            <w:tcW w:w="992" w:type="dxa"/>
            <w:tcBorders>
              <w:top w:val="nil"/>
              <w:left w:val="nil"/>
              <w:bottom w:val="nil"/>
              <w:right w:val="nil"/>
            </w:tcBorders>
            <w:vAlign w:val="center"/>
          </w:tcPr>
          <w:p w14:paraId="46C1E4C6">
            <w:pPr>
              <w:widowControl/>
              <w:jc w:val="center"/>
              <w:rPr>
                <w:rFonts w:ascii="宋体" w:hAnsi="宋体" w:cs="宋体"/>
                <w:color w:val="000000"/>
                <w:kern w:val="0"/>
                <w:szCs w:val="21"/>
              </w:rPr>
            </w:pPr>
            <w:r>
              <w:rPr>
                <w:rFonts w:hint="eastAsia" w:ascii="宋体" w:hAnsi="宋体" w:cs="宋体"/>
                <w:color w:val="000000"/>
                <w:kern w:val="0"/>
                <w:szCs w:val="21"/>
              </w:rPr>
              <w:t>X＜20</w:t>
            </w:r>
          </w:p>
        </w:tc>
      </w:tr>
      <w:tr w14:paraId="4F90C39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8BA706A">
            <w:pPr>
              <w:widowControl/>
              <w:jc w:val="left"/>
              <w:rPr>
                <w:rFonts w:ascii="宋体" w:hAnsi="宋体" w:cs="宋体"/>
                <w:color w:val="000000"/>
                <w:kern w:val="0"/>
                <w:szCs w:val="21"/>
              </w:rPr>
            </w:pPr>
          </w:p>
        </w:tc>
        <w:tc>
          <w:tcPr>
            <w:tcW w:w="1369" w:type="dxa"/>
            <w:tcBorders>
              <w:top w:val="nil"/>
              <w:left w:val="nil"/>
              <w:bottom w:val="single" w:color="auto" w:sz="4" w:space="0"/>
              <w:right w:val="single" w:color="auto" w:sz="4" w:space="0"/>
            </w:tcBorders>
            <w:vAlign w:val="center"/>
          </w:tcPr>
          <w:p w14:paraId="2D15514D">
            <w:pPr>
              <w:widowControl/>
              <w:jc w:val="center"/>
              <w:rPr>
                <w:rFonts w:ascii="宋体" w:hAnsi="宋体" w:cs="宋体"/>
                <w:color w:val="000000"/>
                <w:kern w:val="0"/>
                <w:szCs w:val="21"/>
              </w:rPr>
            </w:pPr>
            <w:r>
              <w:rPr>
                <w:rFonts w:hint="eastAsia" w:ascii="宋体" w:hAnsi="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70718112">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single" w:color="auto" w:sz="4" w:space="0"/>
              <w:right w:val="single" w:color="auto" w:sz="4" w:space="0"/>
            </w:tcBorders>
            <w:vAlign w:val="center"/>
          </w:tcPr>
          <w:p w14:paraId="0BF99662">
            <w:pPr>
              <w:widowControl/>
              <w:jc w:val="center"/>
              <w:rPr>
                <w:rFonts w:ascii="宋体" w:hAnsi="宋体" w:cs="宋体"/>
                <w:color w:val="000000"/>
                <w:kern w:val="0"/>
                <w:szCs w:val="21"/>
              </w:rPr>
            </w:pPr>
            <w:r>
              <w:rPr>
                <w:rFonts w:hint="eastAsia" w:ascii="宋体" w:hAnsi="宋体" w:cs="宋体"/>
                <w:color w:val="000000"/>
                <w:kern w:val="0"/>
                <w:szCs w:val="21"/>
              </w:rPr>
              <w:t>Y≥30000</w:t>
            </w:r>
          </w:p>
        </w:tc>
        <w:tc>
          <w:tcPr>
            <w:tcW w:w="1701" w:type="dxa"/>
            <w:tcBorders>
              <w:top w:val="nil"/>
              <w:left w:val="nil"/>
              <w:bottom w:val="single" w:color="auto" w:sz="4" w:space="0"/>
              <w:right w:val="single" w:color="auto" w:sz="4" w:space="0"/>
            </w:tcBorders>
            <w:vAlign w:val="center"/>
          </w:tcPr>
          <w:p w14:paraId="6CC7F71F">
            <w:pPr>
              <w:widowControl/>
              <w:jc w:val="center"/>
              <w:rPr>
                <w:rFonts w:ascii="宋体" w:hAnsi="宋体" w:cs="宋体"/>
                <w:color w:val="000000"/>
                <w:kern w:val="0"/>
                <w:szCs w:val="21"/>
              </w:rPr>
            </w:pPr>
            <w:r>
              <w:rPr>
                <w:rFonts w:hint="eastAsia" w:ascii="宋体" w:hAnsi="宋体" w:cs="宋体"/>
                <w:color w:val="000000"/>
                <w:kern w:val="0"/>
                <w:szCs w:val="21"/>
              </w:rPr>
              <w:t>3000≤Y＜30000</w:t>
            </w:r>
          </w:p>
        </w:tc>
        <w:tc>
          <w:tcPr>
            <w:tcW w:w="1426" w:type="dxa"/>
            <w:tcBorders>
              <w:top w:val="nil"/>
              <w:left w:val="nil"/>
              <w:bottom w:val="single" w:color="auto" w:sz="4" w:space="0"/>
              <w:right w:val="single" w:color="auto" w:sz="4" w:space="0"/>
            </w:tcBorders>
            <w:vAlign w:val="center"/>
          </w:tcPr>
          <w:p w14:paraId="5A41CA8B">
            <w:pPr>
              <w:widowControl/>
              <w:jc w:val="center"/>
              <w:rPr>
                <w:rFonts w:ascii="宋体" w:hAnsi="宋体" w:cs="宋体"/>
                <w:color w:val="000000"/>
                <w:kern w:val="0"/>
                <w:szCs w:val="21"/>
              </w:rPr>
            </w:pPr>
            <w:r>
              <w:rPr>
                <w:rFonts w:hint="eastAsia" w:ascii="宋体" w:hAnsi="宋体" w:cs="宋体"/>
                <w:color w:val="000000"/>
                <w:kern w:val="0"/>
                <w:szCs w:val="21"/>
              </w:rPr>
              <w:t xml:space="preserve"> 200≤Y＜3000</w:t>
            </w:r>
          </w:p>
        </w:tc>
        <w:tc>
          <w:tcPr>
            <w:tcW w:w="992" w:type="dxa"/>
            <w:tcBorders>
              <w:top w:val="nil"/>
              <w:left w:val="nil"/>
              <w:bottom w:val="single" w:color="auto" w:sz="4" w:space="0"/>
              <w:right w:val="nil"/>
            </w:tcBorders>
            <w:vAlign w:val="center"/>
          </w:tcPr>
          <w:p w14:paraId="78566BE2">
            <w:pPr>
              <w:widowControl/>
              <w:jc w:val="center"/>
              <w:rPr>
                <w:rFonts w:ascii="宋体" w:hAnsi="宋体" w:cs="宋体"/>
                <w:color w:val="000000"/>
                <w:kern w:val="0"/>
                <w:szCs w:val="21"/>
              </w:rPr>
            </w:pPr>
            <w:r>
              <w:rPr>
                <w:rFonts w:hint="eastAsia" w:ascii="宋体" w:hAnsi="宋体" w:cs="宋体"/>
                <w:color w:val="000000"/>
                <w:kern w:val="0"/>
                <w:szCs w:val="21"/>
              </w:rPr>
              <w:t>Y＜200</w:t>
            </w:r>
          </w:p>
        </w:tc>
      </w:tr>
      <w:tr w14:paraId="3717D05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4B894AFF">
            <w:pPr>
              <w:widowControl/>
              <w:jc w:val="left"/>
              <w:rPr>
                <w:rFonts w:ascii="宋体" w:hAnsi="宋体" w:cs="宋体"/>
                <w:color w:val="000000"/>
                <w:kern w:val="0"/>
                <w:szCs w:val="21"/>
              </w:rPr>
            </w:pPr>
            <w:r>
              <w:rPr>
                <w:rFonts w:hint="eastAsia" w:ascii="宋体" w:hAnsi="宋体" w:cs="宋体"/>
                <w:color w:val="000000"/>
                <w:kern w:val="0"/>
                <w:szCs w:val="21"/>
              </w:rPr>
              <w:t>仓储业*</w:t>
            </w:r>
          </w:p>
        </w:tc>
        <w:tc>
          <w:tcPr>
            <w:tcW w:w="1369" w:type="dxa"/>
            <w:tcBorders>
              <w:top w:val="nil"/>
              <w:left w:val="nil"/>
              <w:bottom w:val="nil"/>
              <w:right w:val="single" w:color="auto" w:sz="4" w:space="0"/>
            </w:tcBorders>
            <w:vAlign w:val="center"/>
          </w:tcPr>
          <w:p w14:paraId="78F4E08D">
            <w:pPr>
              <w:widowControl/>
              <w:jc w:val="center"/>
              <w:rPr>
                <w:rFonts w:ascii="宋体" w:hAnsi="宋体" w:cs="宋体"/>
                <w:color w:val="000000"/>
                <w:kern w:val="0"/>
                <w:szCs w:val="21"/>
              </w:rPr>
            </w:pPr>
            <w:r>
              <w:rPr>
                <w:rFonts w:hint="eastAsia" w:ascii="宋体" w:hAnsi="宋体" w:cs="宋体"/>
                <w:color w:val="000000"/>
                <w:kern w:val="0"/>
                <w:szCs w:val="21"/>
              </w:rPr>
              <w:t>从业人员(X)</w:t>
            </w:r>
          </w:p>
        </w:tc>
        <w:tc>
          <w:tcPr>
            <w:tcW w:w="709" w:type="dxa"/>
            <w:tcBorders>
              <w:top w:val="nil"/>
              <w:left w:val="nil"/>
              <w:bottom w:val="nil"/>
              <w:right w:val="single" w:color="auto" w:sz="4" w:space="0"/>
            </w:tcBorders>
            <w:vAlign w:val="center"/>
          </w:tcPr>
          <w:p w14:paraId="721CA064">
            <w:pPr>
              <w:widowControl/>
              <w:jc w:val="center"/>
              <w:rPr>
                <w:rFonts w:ascii="宋体" w:hAnsi="宋体" w:cs="宋体"/>
                <w:color w:val="000000"/>
                <w:kern w:val="0"/>
                <w:szCs w:val="21"/>
              </w:rPr>
            </w:pPr>
            <w:r>
              <w:rPr>
                <w:rFonts w:hint="eastAsia" w:ascii="宋体" w:hAnsi="宋体" w:cs="宋体"/>
                <w:color w:val="000000"/>
                <w:kern w:val="0"/>
                <w:szCs w:val="21"/>
              </w:rPr>
              <w:t>人</w:t>
            </w:r>
          </w:p>
        </w:tc>
        <w:tc>
          <w:tcPr>
            <w:tcW w:w="1125" w:type="dxa"/>
            <w:tcBorders>
              <w:top w:val="nil"/>
              <w:left w:val="nil"/>
              <w:bottom w:val="nil"/>
              <w:right w:val="single" w:color="auto" w:sz="4" w:space="0"/>
            </w:tcBorders>
            <w:vAlign w:val="center"/>
          </w:tcPr>
          <w:p w14:paraId="74BCC80B">
            <w:pPr>
              <w:widowControl/>
              <w:jc w:val="center"/>
              <w:rPr>
                <w:rFonts w:ascii="宋体" w:hAnsi="宋体" w:cs="宋体"/>
                <w:color w:val="000000"/>
                <w:kern w:val="0"/>
                <w:szCs w:val="21"/>
              </w:rPr>
            </w:pPr>
            <w:r>
              <w:rPr>
                <w:rFonts w:hint="eastAsia" w:ascii="宋体" w:hAnsi="宋体" w:cs="宋体"/>
                <w:color w:val="000000"/>
                <w:kern w:val="0"/>
                <w:szCs w:val="21"/>
              </w:rPr>
              <w:t>X≥200</w:t>
            </w:r>
          </w:p>
        </w:tc>
        <w:tc>
          <w:tcPr>
            <w:tcW w:w="1701" w:type="dxa"/>
            <w:tcBorders>
              <w:top w:val="nil"/>
              <w:left w:val="nil"/>
              <w:bottom w:val="nil"/>
              <w:right w:val="single" w:color="auto" w:sz="4" w:space="0"/>
            </w:tcBorders>
            <w:vAlign w:val="center"/>
          </w:tcPr>
          <w:p w14:paraId="55AD9A4D">
            <w:pPr>
              <w:widowControl/>
              <w:ind w:left="19" w:leftChars="-51" w:hanging="126" w:hangingChars="60"/>
              <w:jc w:val="center"/>
              <w:rPr>
                <w:rFonts w:ascii="宋体" w:hAnsi="宋体" w:cs="宋体"/>
                <w:color w:val="000000"/>
                <w:kern w:val="0"/>
                <w:szCs w:val="21"/>
              </w:rPr>
            </w:pPr>
            <w:r>
              <w:rPr>
                <w:rFonts w:hint="eastAsia" w:ascii="宋体" w:hAnsi="宋体" w:cs="宋体"/>
                <w:color w:val="000000"/>
                <w:kern w:val="0"/>
                <w:szCs w:val="21"/>
              </w:rPr>
              <w:t>100≤X＜200</w:t>
            </w:r>
          </w:p>
        </w:tc>
        <w:tc>
          <w:tcPr>
            <w:tcW w:w="1426" w:type="dxa"/>
            <w:tcBorders>
              <w:top w:val="nil"/>
              <w:left w:val="nil"/>
              <w:bottom w:val="nil"/>
              <w:right w:val="single" w:color="auto" w:sz="4" w:space="0"/>
            </w:tcBorders>
            <w:vAlign w:val="center"/>
          </w:tcPr>
          <w:p w14:paraId="6095ADA4">
            <w:pPr>
              <w:widowControl/>
              <w:jc w:val="center"/>
              <w:rPr>
                <w:rFonts w:ascii="宋体" w:hAnsi="宋体" w:cs="宋体"/>
                <w:color w:val="000000"/>
                <w:kern w:val="0"/>
                <w:szCs w:val="21"/>
              </w:rPr>
            </w:pPr>
            <w:r>
              <w:rPr>
                <w:rFonts w:hint="eastAsia" w:ascii="宋体" w:hAnsi="宋体" w:cs="宋体"/>
                <w:color w:val="000000"/>
                <w:kern w:val="0"/>
                <w:szCs w:val="21"/>
              </w:rPr>
              <w:t xml:space="preserve"> 20≤X＜100</w:t>
            </w:r>
          </w:p>
        </w:tc>
        <w:tc>
          <w:tcPr>
            <w:tcW w:w="992" w:type="dxa"/>
            <w:tcBorders>
              <w:top w:val="nil"/>
              <w:left w:val="nil"/>
              <w:bottom w:val="nil"/>
              <w:right w:val="nil"/>
            </w:tcBorders>
            <w:vAlign w:val="center"/>
          </w:tcPr>
          <w:p w14:paraId="732F2CD9">
            <w:pPr>
              <w:widowControl/>
              <w:jc w:val="center"/>
              <w:rPr>
                <w:rFonts w:ascii="宋体" w:hAnsi="宋体" w:cs="宋体"/>
                <w:color w:val="000000"/>
                <w:kern w:val="0"/>
                <w:szCs w:val="21"/>
              </w:rPr>
            </w:pPr>
            <w:r>
              <w:rPr>
                <w:rFonts w:hint="eastAsia" w:ascii="宋体" w:hAnsi="宋体" w:cs="宋体"/>
                <w:color w:val="000000"/>
                <w:kern w:val="0"/>
                <w:szCs w:val="21"/>
              </w:rPr>
              <w:t>X＜20</w:t>
            </w:r>
          </w:p>
        </w:tc>
      </w:tr>
      <w:tr w14:paraId="1D676CC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6514E9D">
            <w:pPr>
              <w:widowControl/>
              <w:jc w:val="left"/>
              <w:rPr>
                <w:rFonts w:ascii="宋体" w:hAnsi="宋体" w:cs="宋体"/>
                <w:color w:val="000000"/>
                <w:kern w:val="0"/>
                <w:szCs w:val="21"/>
              </w:rPr>
            </w:pPr>
          </w:p>
        </w:tc>
        <w:tc>
          <w:tcPr>
            <w:tcW w:w="1369" w:type="dxa"/>
            <w:tcBorders>
              <w:top w:val="nil"/>
              <w:left w:val="nil"/>
              <w:bottom w:val="single" w:color="auto" w:sz="4" w:space="0"/>
              <w:right w:val="single" w:color="auto" w:sz="4" w:space="0"/>
            </w:tcBorders>
            <w:vAlign w:val="center"/>
          </w:tcPr>
          <w:p w14:paraId="70A67648">
            <w:pPr>
              <w:widowControl/>
              <w:jc w:val="center"/>
              <w:rPr>
                <w:rFonts w:ascii="宋体" w:hAnsi="宋体" w:cs="宋体"/>
                <w:color w:val="000000"/>
                <w:kern w:val="0"/>
                <w:szCs w:val="21"/>
              </w:rPr>
            </w:pPr>
            <w:r>
              <w:rPr>
                <w:rFonts w:hint="eastAsia" w:ascii="宋体" w:hAnsi="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10585DA6">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single" w:color="auto" w:sz="4" w:space="0"/>
              <w:right w:val="single" w:color="auto" w:sz="4" w:space="0"/>
            </w:tcBorders>
            <w:vAlign w:val="center"/>
          </w:tcPr>
          <w:p w14:paraId="19534834">
            <w:pPr>
              <w:widowControl/>
              <w:jc w:val="center"/>
              <w:rPr>
                <w:rFonts w:ascii="宋体" w:hAnsi="宋体" w:cs="宋体"/>
                <w:color w:val="000000"/>
                <w:kern w:val="0"/>
                <w:szCs w:val="21"/>
              </w:rPr>
            </w:pPr>
            <w:r>
              <w:rPr>
                <w:rFonts w:hint="eastAsia" w:ascii="宋体" w:hAnsi="宋体" w:cs="宋体"/>
                <w:color w:val="000000"/>
                <w:kern w:val="0"/>
                <w:szCs w:val="21"/>
              </w:rPr>
              <w:t>Y≥30000</w:t>
            </w:r>
          </w:p>
        </w:tc>
        <w:tc>
          <w:tcPr>
            <w:tcW w:w="1701" w:type="dxa"/>
            <w:tcBorders>
              <w:top w:val="nil"/>
              <w:left w:val="nil"/>
              <w:bottom w:val="single" w:color="auto" w:sz="4" w:space="0"/>
              <w:right w:val="single" w:color="auto" w:sz="4" w:space="0"/>
            </w:tcBorders>
            <w:vAlign w:val="center"/>
          </w:tcPr>
          <w:p w14:paraId="0477A1EB">
            <w:pPr>
              <w:widowControl/>
              <w:jc w:val="center"/>
              <w:rPr>
                <w:rFonts w:ascii="宋体" w:hAnsi="宋体" w:cs="宋体"/>
                <w:color w:val="000000"/>
                <w:kern w:val="0"/>
                <w:szCs w:val="21"/>
              </w:rPr>
            </w:pPr>
            <w:r>
              <w:rPr>
                <w:rFonts w:hint="eastAsia" w:ascii="宋体" w:hAnsi="宋体" w:cs="宋体"/>
                <w:color w:val="000000"/>
                <w:kern w:val="0"/>
                <w:szCs w:val="21"/>
              </w:rPr>
              <w:t>1000≤Y＜30000</w:t>
            </w:r>
          </w:p>
        </w:tc>
        <w:tc>
          <w:tcPr>
            <w:tcW w:w="1426" w:type="dxa"/>
            <w:tcBorders>
              <w:top w:val="nil"/>
              <w:left w:val="nil"/>
              <w:bottom w:val="single" w:color="auto" w:sz="4" w:space="0"/>
              <w:right w:val="single" w:color="auto" w:sz="4" w:space="0"/>
            </w:tcBorders>
            <w:vAlign w:val="center"/>
          </w:tcPr>
          <w:p w14:paraId="33F402A5">
            <w:pPr>
              <w:widowControl/>
              <w:jc w:val="center"/>
              <w:rPr>
                <w:rFonts w:ascii="宋体" w:hAnsi="宋体" w:cs="宋体"/>
                <w:color w:val="000000"/>
                <w:kern w:val="0"/>
                <w:szCs w:val="21"/>
              </w:rPr>
            </w:pPr>
            <w:r>
              <w:rPr>
                <w:rFonts w:hint="eastAsia" w:ascii="宋体" w:hAnsi="宋体" w:cs="宋体"/>
                <w:color w:val="000000"/>
                <w:kern w:val="0"/>
                <w:szCs w:val="21"/>
              </w:rPr>
              <w:t xml:space="preserve"> 100≤Y＜1000</w:t>
            </w:r>
          </w:p>
        </w:tc>
        <w:tc>
          <w:tcPr>
            <w:tcW w:w="992" w:type="dxa"/>
            <w:tcBorders>
              <w:top w:val="nil"/>
              <w:left w:val="nil"/>
              <w:bottom w:val="single" w:color="auto" w:sz="4" w:space="0"/>
              <w:right w:val="nil"/>
            </w:tcBorders>
            <w:vAlign w:val="center"/>
          </w:tcPr>
          <w:p w14:paraId="5DCD9E83">
            <w:pPr>
              <w:widowControl/>
              <w:jc w:val="center"/>
              <w:rPr>
                <w:rFonts w:ascii="宋体" w:hAnsi="宋体" w:cs="宋体"/>
                <w:color w:val="000000"/>
                <w:kern w:val="0"/>
                <w:szCs w:val="21"/>
              </w:rPr>
            </w:pPr>
            <w:r>
              <w:rPr>
                <w:rFonts w:hint="eastAsia" w:ascii="宋体" w:hAnsi="宋体" w:cs="宋体"/>
                <w:color w:val="000000"/>
                <w:kern w:val="0"/>
                <w:szCs w:val="21"/>
              </w:rPr>
              <w:t>Y＜100</w:t>
            </w:r>
          </w:p>
        </w:tc>
      </w:tr>
      <w:tr w14:paraId="6EF9D57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14ACBD3E">
            <w:pPr>
              <w:widowControl/>
              <w:jc w:val="left"/>
              <w:rPr>
                <w:rFonts w:ascii="宋体" w:hAnsi="宋体" w:cs="宋体"/>
                <w:color w:val="000000"/>
                <w:kern w:val="0"/>
                <w:szCs w:val="21"/>
              </w:rPr>
            </w:pPr>
            <w:r>
              <w:rPr>
                <w:rFonts w:hint="eastAsia" w:ascii="宋体" w:hAnsi="宋体" w:cs="宋体"/>
                <w:color w:val="000000"/>
                <w:kern w:val="0"/>
                <w:szCs w:val="21"/>
              </w:rPr>
              <w:t>邮政业</w:t>
            </w:r>
          </w:p>
        </w:tc>
        <w:tc>
          <w:tcPr>
            <w:tcW w:w="1369" w:type="dxa"/>
            <w:tcBorders>
              <w:top w:val="nil"/>
              <w:left w:val="nil"/>
              <w:bottom w:val="nil"/>
              <w:right w:val="single" w:color="auto" w:sz="4" w:space="0"/>
            </w:tcBorders>
            <w:vAlign w:val="center"/>
          </w:tcPr>
          <w:p w14:paraId="23812C4F">
            <w:pPr>
              <w:widowControl/>
              <w:jc w:val="center"/>
              <w:rPr>
                <w:rFonts w:ascii="宋体" w:hAnsi="宋体" w:cs="宋体"/>
                <w:color w:val="000000"/>
                <w:kern w:val="0"/>
                <w:szCs w:val="21"/>
              </w:rPr>
            </w:pPr>
            <w:r>
              <w:rPr>
                <w:rFonts w:hint="eastAsia" w:ascii="宋体" w:hAnsi="宋体" w:cs="宋体"/>
                <w:color w:val="000000"/>
                <w:kern w:val="0"/>
                <w:szCs w:val="21"/>
              </w:rPr>
              <w:t>从业人员(X)</w:t>
            </w:r>
          </w:p>
        </w:tc>
        <w:tc>
          <w:tcPr>
            <w:tcW w:w="709" w:type="dxa"/>
            <w:tcBorders>
              <w:top w:val="nil"/>
              <w:left w:val="nil"/>
              <w:bottom w:val="nil"/>
              <w:right w:val="single" w:color="auto" w:sz="4" w:space="0"/>
            </w:tcBorders>
            <w:vAlign w:val="center"/>
          </w:tcPr>
          <w:p w14:paraId="16ED3083">
            <w:pPr>
              <w:widowControl/>
              <w:jc w:val="center"/>
              <w:rPr>
                <w:rFonts w:ascii="宋体" w:hAnsi="宋体" w:cs="宋体"/>
                <w:color w:val="000000"/>
                <w:kern w:val="0"/>
                <w:szCs w:val="21"/>
              </w:rPr>
            </w:pPr>
            <w:r>
              <w:rPr>
                <w:rFonts w:hint="eastAsia" w:ascii="宋体" w:hAnsi="宋体" w:cs="宋体"/>
                <w:color w:val="000000"/>
                <w:kern w:val="0"/>
                <w:szCs w:val="21"/>
              </w:rPr>
              <w:t>人</w:t>
            </w:r>
          </w:p>
        </w:tc>
        <w:tc>
          <w:tcPr>
            <w:tcW w:w="1125" w:type="dxa"/>
            <w:tcBorders>
              <w:top w:val="nil"/>
              <w:left w:val="nil"/>
              <w:bottom w:val="nil"/>
              <w:right w:val="single" w:color="auto" w:sz="4" w:space="0"/>
            </w:tcBorders>
            <w:vAlign w:val="center"/>
          </w:tcPr>
          <w:p w14:paraId="7CD80511">
            <w:pPr>
              <w:widowControl/>
              <w:jc w:val="center"/>
              <w:rPr>
                <w:rFonts w:ascii="宋体" w:hAnsi="宋体" w:cs="宋体"/>
                <w:color w:val="000000"/>
                <w:kern w:val="0"/>
                <w:szCs w:val="21"/>
              </w:rPr>
            </w:pPr>
            <w:r>
              <w:rPr>
                <w:rFonts w:hint="eastAsia" w:ascii="宋体" w:hAnsi="宋体" w:cs="宋体"/>
                <w:color w:val="000000"/>
                <w:kern w:val="0"/>
                <w:szCs w:val="21"/>
              </w:rPr>
              <w:t>X≥1000</w:t>
            </w:r>
          </w:p>
        </w:tc>
        <w:tc>
          <w:tcPr>
            <w:tcW w:w="1701" w:type="dxa"/>
            <w:tcBorders>
              <w:top w:val="nil"/>
              <w:left w:val="nil"/>
              <w:bottom w:val="nil"/>
              <w:right w:val="single" w:color="auto" w:sz="4" w:space="0"/>
            </w:tcBorders>
            <w:vAlign w:val="center"/>
          </w:tcPr>
          <w:p w14:paraId="75726265">
            <w:pPr>
              <w:widowControl/>
              <w:jc w:val="center"/>
              <w:rPr>
                <w:rFonts w:ascii="宋体" w:hAnsi="宋体" w:cs="宋体"/>
                <w:color w:val="000000"/>
                <w:kern w:val="0"/>
                <w:szCs w:val="21"/>
              </w:rPr>
            </w:pPr>
            <w:r>
              <w:rPr>
                <w:rFonts w:hint="eastAsia" w:ascii="宋体" w:hAnsi="宋体" w:cs="宋体"/>
                <w:color w:val="000000"/>
                <w:kern w:val="0"/>
                <w:szCs w:val="21"/>
              </w:rPr>
              <w:t>300≤X＜1000</w:t>
            </w:r>
          </w:p>
        </w:tc>
        <w:tc>
          <w:tcPr>
            <w:tcW w:w="1426" w:type="dxa"/>
            <w:tcBorders>
              <w:top w:val="nil"/>
              <w:left w:val="nil"/>
              <w:bottom w:val="nil"/>
              <w:right w:val="single" w:color="auto" w:sz="4" w:space="0"/>
            </w:tcBorders>
            <w:vAlign w:val="center"/>
          </w:tcPr>
          <w:p w14:paraId="6B053D87">
            <w:pPr>
              <w:widowControl/>
              <w:jc w:val="center"/>
              <w:rPr>
                <w:rFonts w:ascii="宋体" w:hAnsi="宋体" w:cs="宋体"/>
                <w:color w:val="000000"/>
                <w:kern w:val="0"/>
                <w:szCs w:val="21"/>
              </w:rPr>
            </w:pPr>
            <w:r>
              <w:rPr>
                <w:rFonts w:hint="eastAsia" w:ascii="宋体" w:hAnsi="宋体" w:cs="宋体"/>
                <w:color w:val="000000"/>
                <w:kern w:val="0"/>
                <w:szCs w:val="21"/>
              </w:rPr>
              <w:t xml:space="preserve"> 20≤X＜300</w:t>
            </w:r>
          </w:p>
        </w:tc>
        <w:tc>
          <w:tcPr>
            <w:tcW w:w="992" w:type="dxa"/>
            <w:tcBorders>
              <w:top w:val="nil"/>
              <w:left w:val="nil"/>
              <w:bottom w:val="nil"/>
              <w:right w:val="nil"/>
            </w:tcBorders>
            <w:vAlign w:val="center"/>
          </w:tcPr>
          <w:p w14:paraId="45EA1B2A">
            <w:pPr>
              <w:widowControl/>
              <w:jc w:val="center"/>
              <w:rPr>
                <w:rFonts w:ascii="宋体" w:hAnsi="宋体" w:cs="宋体"/>
                <w:color w:val="000000"/>
                <w:kern w:val="0"/>
                <w:szCs w:val="21"/>
              </w:rPr>
            </w:pPr>
            <w:r>
              <w:rPr>
                <w:rFonts w:hint="eastAsia" w:ascii="宋体" w:hAnsi="宋体" w:cs="宋体"/>
                <w:color w:val="000000"/>
                <w:kern w:val="0"/>
                <w:szCs w:val="21"/>
              </w:rPr>
              <w:t>X＜20</w:t>
            </w:r>
          </w:p>
        </w:tc>
      </w:tr>
      <w:tr w14:paraId="09BCCF4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9AB3511">
            <w:pPr>
              <w:widowControl/>
              <w:jc w:val="left"/>
              <w:rPr>
                <w:rFonts w:ascii="宋体" w:hAnsi="宋体" w:cs="宋体"/>
                <w:color w:val="000000"/>
                <w:kern w:val="0"/>
                <w:szCs w:val="21"/>
              </w:rPr>
            </w:pPr>
          </w:p>
        </w:tc>
        <w:tc>
          <w:tcPr>
            <w:tcW w:w="1369" w:type="dxa"/>
            <w:tcBorders>
              <w:top w:val="nil"/>
              <w:left w:val="nil"/>
              <w:bottom w:val="single" w:color="auto" w:sz="4" w:space="0"/>
              <w:right w:val="single" w:color="auto" w:sz="4" w:space="0"/>
            </w:tcBorders>
            <w:vAlign w:val="center"/>
          </w:tcPr>
          <w:p w14:paraId="79CEC4A6">
            <w:pPr>
              <w:widowControl/>
              <w:jc w:val="center"/>
              <w:rPr>
                <w:rFonts w:ascii="宋体" w:hAnsi="宋体" w:cs="宋体"/>
                <w:color w:val="000000"/>
                <w:kern w:val="0"/>
                <w:szCs w:val="21"/>
              </w:rPr>
            </w:pPr>
            <w:r>
              <w:rPr>
                <w:rFonts w:hint="eastAsia" w:ascii="宋体" w:hAnsi="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08CDD688">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single" w:color="auto" w:sz="4" w:space="0"/>
              <w:right w:val="single" w:color="auto" w:sz="4" w:space="0"/>
            </w:tcBorders>
            <w:vAlign w:val="center"/>
          </w:tcPr>
          <w:p w14:paraId="79EDA2C5">
            <w:pPr>
              <w:widowControl/>
              <w:jc w:val="center"/>
              <w:rPr>
                <w:rFonts w:ascii="宋体" w:hAnsi="宋体" w:cs="宋体"/>
                <w:color w:val="000000"/>
                <w:kern w:val="0"/>
                <w:szCs w:val="21"/>
              </w:rPr>
            </w:pPr>
            <w:r>
              <w:rPr>
                <w:rFonts w:hint="eastAsia" w:ascii="宋体" w:hAnsi="宋体" w:cs="宋体"/>
                <w:color w:val="000000"/>
                <w:kern w:val="0"/>
                <w:szCs w:val="21"/>
              </w:rPr>
              <w:t>Y≥30000</w:t>
            </w:r>
          </w:p>
        </w:tc>
        <w:tc>
          <w:tcPr>
            <w:tcW w:w="1701" w:type="dxa"/>
            <w:tcBorders>
              <w:top w:val="nil"/>
              <w:left w:val="nil"/>
              <w:bottom w:val="single" w:color="auto" w:sz="4" w:space="0"/>
              <w:right w:val="single" w:color="auto" w:sz="4" w:space="0"/>
            </w:tcBorders>
            <w:vAlign w:val="center"/>
          </w:tcPr>
          <w:p w14:paraId="05C7A7EC">
            <w:pPr>
              <w:widowControl/>
              <w:jc w:val="center"/>
              <w:rPr>
                <w:rFonts w:ascii="宋体" w:hAnsi="宋体" w:cs="宋体"/>
                <w:color w:val="000000"/>
                <w:kern w:val="0"/>
                <w:szCs w:val="21"/>
              </w:rPr>
            </w:pPr>
            <w:r>
              <w:rPr>
                <w:rFonts w:hint="eastAsia" w:ascii="宋体" w:hAnsi="宋体" w:cs="宋体"/>
                <w:color w:val="000000"/>
                <w:kern w:val="0"/>
                <w:szCs w:val="21"/>
              </w:rPr>
              <w:t>2000≤Y＜30000</w:t>
            </w:r>
          </w:p>
        </w:tc>
        <w:tc>
          <w:tcPr>
            <w:tcW w:w="1426" w:type="dxa"/>
            <w:tcBorders>
              <w:top w:val="nil"/>
              <w:left w:val="nil"/>
              <w:bottom w:val="single" w:color="auto" w:sz="4" w:space="0"/>
              <w:right w:val="single" w:color="auto" w:sz="4" w:space="0"/>
            </w:tcBorders>
            <w:vAlign w:val="center"/>
          </w:tcPr>
          <w:p w14:paraId="0628E2BD">
            <w:pPr>
              <w:widowControl/>
              <w:jc w:val="center"/>
              <w:rPr>
                <w:rFonts w:ascii="宋体" w:hAnsi="宋体" w:cs="宋体"/>
                <w:color w:val="000000"/>
                <w:kern w:val="0"/>
                <w:szCs w:val="21"/>
              </w:rPr>
            </w:pPr>
            <w:r>
              <w:rPr>
                <w:rFonts w:hint="eastAsia" w:ascii="宋体" w:hAnsi="宋体" w:cs="宋体"/>
                <w:color w:val="000000"/>
                <w:kern w:val="0"/>
                <w:szCs w:val="21"/>
              </w:rPr>
              <w:t xml:space="preserve"> 100≤Y＜2000</w:t>
            </w:r>
          </w:p>
        </w:tc>
        <w:tc>
          <w:tcPr>
            <w:tcW w:w="992" w:type="dxa"/>
            <w:tcBorders>
              <w:top w:val="nil"/>
              <w:left w:val="nil"/>
              <w:bottom w:val="single" w:color="auto" w:sz="4" w:space="0"/>
              <w:right w:val="nil"/>
            </w:tcBorders>
            <w:vAlign w:val="center"/>
          </w:tcPr>
          <w:p w14:paraId="66B06456">
            <w:pPr>
              <w:widowControl/>
              <w:jc w:val="center"/>
              <w:rPr>
                <w:rFonts w:ascii="宋体" w:hAnsi="宋体" w:cs="宋体"/>
                <w:color w:val="000000"/>
                <w:kern w:val="0"/>
                <w:szCs w:val="21"/>
              </w:rPr>
            </w:pPr>
            <w:r>
              <w:rPr>
                <w:rFonts w:hint="eastAsia" w:ascii="宋体" w:hAnsi="宋体" w:cs="宋体"/>
                <w:color w:val="000000"/>
                <w:kern w:val="0"/>
                <w:szCs w:val="21"/>
              </w:rPr>
              <w:t>Y＜100</w:t>
            </w:r>
          </w:p>
        </w:tc>
      </w:tr>
      <w:tr w14:paraId="00CE122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37022656">
            <w:pPr>
              <w:widowControl/>
              <w:jc w:val="left"/>
              <w:rPr>
                <w:rFonts w:ascii="宋体" w:hAnsi="宋体" w:cs="宋体"/>
                <w:color w:val="000000"/>
                <w:kern w:val="0"/>
                <w:szCs w:val="21"/>
              </w:rPr>
            </w:pPr>
            <w:r>
              <w:rPr>
                <w:rFonts w:hint="eastAsia" w:ascii="宋体" w:hAnsi="宋体" w:cs="宋体"/>
                <w:color w:val="000000"/>
                <w:kern w:val="0"/>
                <w:szCs w:val="21"/>
              </w:rPr>
              <w:t>住宿业</w:t>
            </w:r>
          </w:p>
        </w:tc>
        <w:tc>
          <w:tcPr>
            <w:tcW w:w="1369" w:type="dxa"/>
            <w:tcBorders>
              <w:top w:val="nil"/>
              <w:left w:val="nil"/>
              <w:bottom w:val="nil"/>
              <w:right w:val="single" w:color="auto" w:sz="4" w:space="0"/>
            </w:tcBorders>
            <w:vAlign w:val="center"/>
          </w:tcPr>
          <w:p w14:paraId="41EDD50C">
            <w:pPr>
              <w:widowControl/>
              <w:jc w:val="center"/>
              <w:rPr>
                <w:rFonts w:ascii="宋体" w:hAnsi="宋体" w:cs="宋体"/>
                <w:color w:val="000000"/>
                <w:kern w:val="0"/>
                <w:szCs w:val="21"/>
              </w:rPr>
            </w:pPr>
            <w:r>
              <w:rPr>
                <w:rFonts w:hint="eastAsia" w:ascii="宋体" w:hAnsi="宋体" w:cs="宋体"/>
                <w:color w:val="000000"/>
                <w:kern w:val="0"/>
                <w:szCs w:val="21"/>
              </w:rPr>
              <w:t>从业人员(X)</w:t>
            </w:r>
          </w:p>
        </w:tc>
        <w:tc>
          <w:tcPr>
            <w:tcW w:w="709" w:type="dxa"/>
            <w:tcBorders>
              <w:top w:val="nil"/>
              <w:left w:val="nil"/>
              <w:bottom w:val="nil"/>
              <w:right w:val="single" w:color="auto" w:sz="4" w:space="0"/>
            </w:tcBorders>
            <w:vAlign w:val="center"/>
          </w:tcPr>
          <w:p w14:paraId="6CC2214B">
            <w:pPr>
              <w:widowControl/>
              <w:jc w:val="center"/>
              <w:rPr>
                <w:rFonts w:ascii="宋体" w:hAnsi="宋体" w:cs="宋体"/>
                <w:color w:val="000000"/>
                <w:kern w:val="0"/>
                <w:szCs w:val="21"/>
              </w:rPr>
            </w:pPr>
            <w:r>
              <w:rPr>
                <w:rFonts w:hint="eastAsia" w:ascii="宋体" w:hAnsi="宋体" w:cs="宋体"/>
                <w:color w:val="000000"/>
                <w:kern w:val="0"/>
                <w:szCs w:val="21"/>
              </w:rPr>
              <w:t>人</w:t>
            </w:r>
          </w:p>
        </w:tc>
        <w:tc>
          <w:tcPr>
            <w:tcW w:w="1125" w:type="dxa"/>
            <w:tcBorders>
              <w:top w:val="nil"/>
              <w:left w:val="nil"/>
              <w:bottom w:val="nil"/>
              <w:right w:val="single" w:color="auto" w:sz="4" w:space="0"/>
            </w:tcBorders>
            <w:vAlign w:val="center"/>
          </w:tcPr>
          <w:p w14:paraId="3385FD04">
            <w:pPr>
              <w:widowControl/>
              <w:jc w:val="center"/>
              <w:rPr>
                <w:rFonts w:ascii="宋体" w:hAnsi="宋体" w:cs="宋体"/>
                <w:color w:val="000000"/>
                <w:kern w:val="0"/>
                <w:szCs w:val="21"/>
              </w:rPr>
            </w:pPr>
            <w:r>
              <w:rPr>
                <w:rFonts w:hint="eastAsia" w:ascii="宋体" w:hAnsi="宋体" w:cs="宋体"/>
                <w:color w:val="000000"/>
                <w:kern w:val="0"/>
                <w:szCs w:val="21"/>
              </w:rPr>
              <w:t>X≥300</w:t>
            </w:r>
          </w:p>
        </w:tc>
        <w:tc>
          <w:tcPr>
            <w:tcW w:w="1701" w:type="dxa"/>
            <w:tcBorders>
              <w:top w:val="nil"/>
              <w:left w:val="nil"/>
              <w:bottom w:val="nil"/>
              <w:right w:val="single" w:color="auto" w:sz="4" w:space="0"/>
            </w:tcBorders>
            <w:vAlign w:val="center"/>
          </w:tcPr>
          <w:p w14:paraId="4CABDBEA">
            <w:pPr>
              <w:widowControl/>
              <w:ind w:left="19" w:leftChars="-51" w:hanging="126" w:hangingChars="60"/>
              <w:jc w:val="center"/>
              <w:rPr>
                <w:rFonts w:ascii="宋体" w:hAnsi="宋体" w:cs="宋体"/>
                <w:color w:val="000000"/>
                <w:kern w:val="0"/>
                <w:szCs w:val="21"/>
              </w:rPr>
            </w:pPr>
            <w:r>
              <w:rPr>
                <w:rFonts w:hint="eastAsia" w:ascii="宋体" w:hAnsi="宋体" w:cs="宋体"/>
                <w:color w:val="000000"/>
                <w:kern w:val="0"/>
                <w:szCs w:val="21"/>
              </w:rPr>
              <w:t xml:space="preserve">100≤X＜300 </w:t>
            </w:r>
          </w:p>
        </w:tc>
        <w:tc>
          <w:tcPr>
            <w:tcW w:w="1426" w:type="dxa"/>
            <w:tcBorders>
              <w:top w:val="nil"/>
              <w:left w:val="nil"/>
              <w:bottom w:val="nil"/>
              <w:right w:val="single" w:color="auto" w:sz="4" w:space="0"/>
            </w:tcBorders>
            <w:vAlign w:val="center"/>
          </w:tcPr>
          <w:p w14:paraId="6D4567DD">
            <w:pPr>
              <w:widowControl/>
              <w:jc w:val="center"/>
              <w:rPr>
                <w:rFonts w:ascii="宋体" w:hAnsi="宋体" w:cs="宋体"/>
                <w:color w:val="000000"/>
                <w:kern w:val="0"/>
                <w:szCs w:val="21"/>
              </w:rPr>
            </w:pPr>
            <w:r>
              <w:rPr>
                <w:rFonts w:hint="eastAsia" w:ascii="宋体" w:hAnsi="宋体" w:cs="宋体"/>
                <w:color w:val="000000"/>
                <w:kern w:val="0"/>
                <w:szCs w:val="21"/>
              </w:rPr>
              <w:t xml:space="preserve"> 10≤X＜100</w:t>
            </w:r>
          </w:p>
        </w:tc>
        <w:tc>
          <w:tcPr>
            <w:tcW w:w="992" w:type="dxa"/>
            <w:tcBorders>
              <w:top w:val="nil"/>
              <w:left w:val="nil"/>
              <w:bottom w:val="nil"/>
              <w:right w:val="nil"/>
            </w:tcBorders>
            <w:vAlign w:val="center"/>
          </w:tcPr>
          <w:p w14:paraId="22D3F821">
            <w:pPr>
              <w:widowControl/>
              <w:jc w:val="center"/>
              <w:rPr>
                <w:rFonts w:ascii="宋体" w:hAnsi="宋体" w:cs="宋体"/>
                <w:color w:val="000000"/>
                <w:kern w:val="0"/>
                <w:szCs w:val="21"/>
              </w:rPr>
            </w:pPr>
            <w:r>
              <w:rPr>
                <w:rFonts w:hint="eastAsia" w:ascii="宋体" w:hAnsi="宋体" w:cs="宋体"/>
                <w:color w:val="000000"/>
                <w:kern w:val="0"/>
                <w:szCs w:val="21"/>
              </w:rPr>
              <w:t>X＜10</w:t>
            </w:r>
          </w:p>
        </w:tc>
      </w:tr>
      <w:tr w14:paraId="267B98B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92F1D19">
            <w:pPr>
              <w:widowControl/>
              <w:jc w:val="left"/>
              <w:rPr>
                <w:rFonts w:ascii="宋体" w:hAnsi="宋体" w:cs="宋体"/>
                <w:color w:val="000000"/>
                <w:kern w:val="0"/>
                <w:szCs w:val="21"/>
              </w:rPr>
            </w:pPr>
          </w:p>
        </w:tc>
        <w:tc>
          <w:tcPr>
            <w:tcW w:w="1369" w:type="dxa"/>
            <w:tcBorders>
              <w:top w:val="nil"/>
              <w:left w:val="nil"/>
              <w:bottom w:val="single" w:color="auto" w:sz="4" w:space="0"/>
              <w:right w:val="single" w:color="auto" w:sz="4" w:space="0"/>
            </w:tcBorders>
            <w:vAlign w:val="center"/>
          </w:tcPr>
          <w:p w14:paraId="72E0F627">
            <w:pPr>
              <w:widowControl/>
              <w:jc w:val="center"/>
              <w:rPr>
                <w:rFonts w:ascii="宋体" w:hAnsi="宋体" w:cs="宋体"/>
                <w:color w:val="000000"/>
                <w:kern w:val="0"/>
                <w:szCs w:val="21"/>
              </w:rPr>
            </w:pPr>
            <w:r>
              <w:rPr>
                <w:rFonts w:hint="eastAsia" w:ascii="宋体" w:hAnsi="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4CDFC2A8">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single" w:color="auto" w:sz="4" w:space="0"/>
              <w:right w:val="single" w:color="auto" w:sz="4" w:space="0"/>
            </w:tcBorders>
            <w:vAlign w:val="center"/>
          </w:tcPr>
          <w:p w14:paraId="42BB45BC">
            <w:pPr>
              <w:widowControl/>
              <w:jc w:val="center"/>
              <w:rPr>
                <w:rFonts w:ascii="宋体" w:hAnsi="宋体" w:cs="宋体"/>
                <w:color w:val="000000"/>
                <w:kern w:val="0"/>
                <w:szCs w:val="21"/>
              </w:rPr>
            </w:pPr>
            <w:r>
              <w:rPr>
                <w:rFonts w:hint="eastAsia" w:ascii="宋体" w:hAnsi="宋体" w:cs="宋体"/>
                <w:color w:val="000000"/>
                <w:kern w:val="0"/>
                <w:szCs w:val="21"/>
              </w:rPr>
              <w:t>Y≥10000</w:t>
            </w:r>
          </w:p>
        </w:tc>
        <w:tc>
          <w:tcPr>
            <w:tcW w:w="1701" w:type="dxa"/>
            <w:tcBorders>
              <w:top w:val="nil"/>
              <w:left w:val="nil"/>
              <w:bottom w:val="single" w:color="auto" w:sz="4" w:space="0"/>
              <w:right w:val="single" w:color="auto" w:sz="4" w:space="0"/>
            </w:tcBorders>
            <w:vAlign w:val="center"/>
          </w:tcPr>
          <w:p w14:paraId="75ABA359">
            <w:pPr>
              <w:widowControl/>
              <w:jc w:val="center"/>
              <w:rPr>
                <w:rFonts w:ascii="宋体" w:hAnsi="宋体" w:cs="宋体"/>
                <w:color w:val="000000"/>
                <w:kern w:val="0"/>
                <w:szCs w:val="21"/>
              </w:rPr>
            </w:pPr>
            <w:r>
              <w:rPr>
                <w:rFonts w:hint="eastAsia" w:ascii="宋体" w:hAnsi="宋体" w:cs="宋体"/>
                <w:color w:val="000000"/>
                <w:kern w:val="0"/>
                <w:szCs w:val="21"/>
              </w:rPr>
              <w:t>2000≤Y＜10000</w:t>
            </w:r>
          </w:p>
        </w:tc>
        <w:tc>
          <w:tcPr>
            <w:tcW w:w="1426" w:type="dxa"/>
            <w:tcBorders>
              <w:top w:val="nil"/>
              <w:left w:val="nil"/>
              <w:bottom w:val="single" w:color="auto" w:sz="4" w:space="0"/>
              <w:right w:val="single" w:color="auto" w:sz="4" w:space="0"/>
            </w:tcBorders>
            <w:vAlign w:val="center"/>
          </w:tcPr>
          <w:p w14:paraId="15E6849F">
            <w:pPr>
              <w:widowControl/>
              <w:jc w:val="center"/>
              <w:rPr>
                <w:rFonts w:ascii="宋体" w:hAnsi="宋体" w:cs="宋体"/>
                <w:color w:val="000000"/>
                <w:kern w:val="0"/>
                <w:szCs w:val="21"/>
              </w:rPr>
            </w:pPr>
            <w:r>
              <w:rPr>
                <w:rFonts w:hint="eastAsia" w:ascii="宋体" w:hAnsi="宋体" w:cs="宋体"/>
                <w:color w:val="000000"/>
                <w:kern w:val="0"/>
                <w:szCs w:val="21"/>
              </w:rPr>
              <w:t xml:space="preserve"> 100≤Y＜2000</w:t>
            </w:r>
          </w:p>
        </w:tc>
        <w:tc>
          <w:tcPr>
            <w:tcW w:w="992" w:type="dxa"/>
            <w:tcBorders>
              <w:top w:val="nil"/>
              <w:left w:val="nil"/>
              <w:bottom w:val="single" w:color="auto" w:sz="4" w:space="0"/>
              <w:right w:val="nil"/>
            </w:tcBorders>
            <w:vAlign w:val="center"/>
          </w:tcPr>
          <w:p w14:paraId="06BDDD8D">
            <w:pPr>
              <w:widowControl/>
              <w:jc w:val="center"/>
              <w:rPr>
                <w:rFonts w:ascii="宋体" w:hAnsi="宋体" w:cs="宋体"/>
                <w:color w:val="000000"/>
                <w:kern w:val="0"/>
                <w:szCs w:val="21"/>
              </w:rPr>
            </w:pPr>
            <w:r>
              <w:rPr>
                <w:rFonts w:hint="eastAsia" w:ascii="宋体" w:hAnsi="宋体" w:cs="宋体"/>
                <w:color w:val="000000"/>
                <w:kern w:val="0"/>
                <w:szCs w:val="21"/>
              </w:rPr>
              <w:t>Y＜100</w:t>
            </w:r>
          </w:p>
        </w:tc>
      </w:tr>
      <w:tr w14:paraId="4D470EF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5EC9BBE6">
            <w:pPr>
              <w:widowControl/>
              <w:jc w:val="left"/>
              <w:rPr>
                <w:rFonts w:ascii="宋体" w:hAnsi="宋体" w:cs="宋体"/>
                <w:color w:val="000000"/>
                <w:kern w:val="0"/>
                <w:szCs w:val="21"/>
              </w:rPr>
            </w:pPr>
            <w:r>
              <w:rPr>
                <w:rFonts w:hint="eastAsia" w:ascii="宋体" w:hAnsi="宋体" w:cs="宋体"/>
                <w:color w:val="000000"/>
                <w:kern w:val="0"/>
                <w:szCs w:val="21"/>
              </w:rPr>
              <w:t>餐饮业</w:t>
            </w:r>
          </w:p>
        </w:tc>
        <w:tc>
          <w:tcPr>
            <w:tcW w:w="1369" w:type="dxa"/>
            <w:tcBorders>
              <w:top w:val="nil"/>
              <w:left w:val="nil"/>
              <w:bottom w:val="nil"/>
              <w:right w:val="single" w:color="auto" w:sz="4" w:space="0"/>
            </w:tcBorders>
            <w:vAlign w:val="center"/>
          </w:tcPr>
          <w:p w14:paraId="6987CF7C">
            <w:pPr>
              <w:widowControl/>
              <w:jc w:val="center"/>
              <w:rPr>
                <w:rFonts w:ascii="宋体" w:hAnsi="宋体" w:cs="宋体"/>
                <w:color w:val="000000"/>
                <w:kern w:val="0"/>
                <w:szCs w:val="21"/>
              </w:rPr>
            </w:pPr>
            <w:r>
              <w:rPr>
                <w:rFonts w:hint="eastAsia" w:ascii="宋体" w:hAnsi="宋体" w:cs="宋体"/>
                <w:color w:val="000000"/>
                <w:kern w:val="0"/>
                <w:szCs w:val="21"/>
              </w:rPr>
              <w:t>从业人员(X)</w:t>
            </w:r>
          </w:p>
        </w:tc>
        <w:tc>
          <w:tcPr>
            <w:tcW w:w="709" w:type="dxa"/>
            <w:tcBorders>
              <w:top w:val="nil"/>
              <w:left w:val="nil"/>
              <w:bottom w:val="nil"/>
              <w:right w:val="single" w:color="auto" w:sz="4" w:space="0"/>
            </w:tcBorders>
            <w:vAlign w:val="center"/>
          </w:tcPr>
          <w:p w14:paraId="41D9B804">
            <w:pPr>
              <w:widowControl/>
              <w:jc w:val="center"/>
              <w:rPr>
                <w:rFonts w:ascii="宋体" w:hAnsi="宋体" w:cs="宋体"/>
                <w:color w:val="000000"/>
                <w:kern w:val="0"/>
                <w:szCs w:val="21"/>
              </w:rPr>
            </w:pPr>
            <w:r>
              <w:rPr>
                <w:rFonts w:hint="eastAsia" w:ascii="宋体" w:hAnsi="宋体" w:cs="宋体"/>
                <w:color w:val="000000"/>
                <w:kern w:val="0"/>
                <w:szCs w:val="21"/>
              </w:rPr>
              <w:t>人</w:t>
            </w:r>
          </w:p>
        </w:tc>
        <w:tc>
          <w:tcPr>
            <w:tcW w:w="1125" w:type="dxa"/>
            <w:tcBorders>
              <w:top w:val="nil"/>
              <w:left w:val="nil"/>
              <w:bottom w:val="nil"/>
              <w:right w:val="single" w:color="auto" w:sz="4" w:space="0"/>
            </w:tcBorders>
            <w:vAlign w:val="center"/>
          </w:tcPr>
          <w:p w14:paraId="35B2ACC2">
            <w:pPr>
              <w:widowControl/>
              <w:jc w:val="center"/>
              <w:rPr>
                <w:rFonts w:ascii="宋体" w:hAnsi="宋体" w:cs="宋体"/>
                <w:color w:val="000000"/>
                <w:kern w:val="0"/>
                <w:szCs w:val="21"/>
              </w:rPr>
            </w:pPr>
            <w:r>
              <w:rPr>
                <w:rFonts w:hint="eastAsia" w:ascii="宋体" w:hAnsi="宋体" w:cs="宋体"/>
                <w:color w:val="000000"/>
                <w:kern w:val="0"/>
                <w:szCs w:val="21"/>
              </w:rPr>
              <w:t>X≥300</w:t>
            </w:r>
          </w:p>
        </w:tc>
        <w:tc>
          <w:tcPr>
            <w:tcW w:w="1701" w:type="dxa"/>
            <w:tcBorders>
              <w:top w:val="nil"/>
              <w:left w:val="nil"/>
              <w:bottom w:val="nil"/>
              <w:right w:val="single" w:color="auto" w:sz="4" w:space="0"/>
            </w:tcBorders>
            <w:vAlign w:val="center"/>
          </w:tcPr>
          <w:p w14:paraId="5814BEBD">
            <w:pPr>
              <w:widowControl/>
              <w:ind w:left="19" w:leftChars="-51" w:hanging="126" w:hangingChars="60"/>
              <w:jc w:val="center"/>
              <w:rPr>
                <w:rFonts w:ascii="宋体" w:hAnsi="宋体" w:cs="宋体"/>
                <w:color w:val="000000"/>
                <w:kern w:val="0"/>
                <w:szCs w:val="21"/>
              </w:rPr>
            </w:pPr>
            <w:r>
              <w:rPr>
                <w:rFonts w:hint="eastAsia" w:ascii="宋体" w:hAnsi="宋体" w:cs="宋体"/>
                <w:color w:val="000000"/>
                <w:kern w:val="0"/>
                <w:szCs w:val="21"/>
              </w:rPr>
              <w:t xml:space="preserve">100≤X＜300 </w:t>
            </w:r>
          </w:p>
        </w:tc>
        <w:tc>
          <w:tcPr>
            <w:tcW w:w="1426" w:type="dxa"/>
            <w:tcBorders>
              <w:top w:val="nil"/>
              <w:left w:val="nil"/>
              <w:bottom w:val="nil"/>
              <w:right w:val="single" w:color="auto" w:sz="4" w:space="0"/>
            </w:tcBorders>
            <w:vAlign w:val="center"/>
          </w:tcPr>
          <w:p w14:paraId="534E5DA3">
            <w:pPr>
              <w:widowControl/>
              <w:jc w:val="center"/>
              <w:rPr>
                <w:rFonts w:ascii="宋体" w:hAnsi="宋体" w:cs="宋体"/>
                <w:color w:val="000000"/>
                <w:kern w:val="0"/>
                <w:szCs w:val="21"/>
              </w:rPr>
            </w:pPr>
            <w:r>
              <w:rPr>
                <w:rFonts w:hint="eastAsia" w:ascii="宋体" w:hAnsi="宋体" w:cs="宋体"/>
                <w:color w:val="000000"/>
                <w:kern w:val="0"/>
                <w:szCs w:val="21"/>
              </w:rPr>
              <w:t xml:space="preserve"> 10≤X＜100</w:t>
            </w:r>
          </w:p>
        </w:tc>
        <w:tc>
          <w:tcPr>
            <w:tcW w:w="992" w:type="dxa"/>
            <w:tcBorders>
              <w:top w:val="nil"/>
              <w:left w:val="nil"/>
              <w:bottom w:val="nil"/>
              <w:right w:val="nil"/>
            </w:tcBorders>
            <w:vAlign w:val="center"/>
          </w:tcPr>
          <w:p w14:paraId="0FC3417D">
            <w:pPr>
              <w:widowControl/>
              <w:jc w:val="center"/>
              <w:rPr>
                <w:rFonts w:ascii="宋体" w:hAnsi="宋体" w:cs="宋体"/>
                <w:color w:val="000000"/>
                <w:kern w:val="0"/>
                <w:szCs w:val="21"/>
              </w:rPr>
            </w:pPr>
            <w:r>
              <w:rPr>
                <w:rFonts w:hint="eastAsia" w:ascii="宋体" w:hAnsi="宋体" w:cs="宋体"/>
                <w:color w:val="000000"/>
                <w:kern w:val="0"/>
                <w:szCs w:val="21"/>
              </w:rPr>
              <w:t>X＜10</w:t>
            </w:r>
          </w:p>
        </w:tc>
      </w:tr>
      <w:tr w14:paraId="11D0830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D6BCCB7">
            <w:pPr>
              <w:widowControl/>
              <w:jc w:val="left"/>
              <w:rPr>
                <w:rFonts w:ascii="宋体" w:hAnsi="宋体" w:cs="宋体"/>
                <w:color w:val="000000"/>
                <w:kern w:val="0"/>
                <w:szCs w:val="21"/>
              </w:rPr>
            </w:pPr>
          </w:p>
        </w:tc>
        <w:tc>
          <w:tcPr>
            <w:tcW w:w="1369" w:type="dxa"/>
            <w:tcBorders>
              <w:top w:val="nil"/>
              <w:left w:val="nil"/>
              <w:bottom w:val="single" w:color="auto" w:sz="4" w:space="0"/>
              <w:right w:val="single" w:color="auto" w:sz="4" w:space="0"/>
            </w:tcBorders>
            <w:vAlign w:val="center"/>
          </w:tcPr>
          <w:p w14:paraId="14A8050E">
            <w:pPr>
              <w:widowControl/>
              <w:jc w:val="center"/>
              <w:rPr>
                <w:rFonts w:ascii="宋体" w:hAnsi="宋体" w:cs="宋体"/>
                <w:color w:val="000000"/>
                <w:kern w:val="0"/>
                <w:szCs w:val="21"/>
              </w:rPr>
            </w:pPr>
            <w:r>
              <w:rPr>
                <w:rFonts w:hint="eastAsia" w:ascii="宋体" w:hAnsi="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3995543B">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single" w:color="auto" w:sz="4" w:space="0"/>
              <w:right w:val="single" w:color="auto" w:sz="4" w:space="0"/>
            </w:tcBorders>
            <w:vAlign w:val="center"/>
          </w:tcPr>
          <w:p w14:paraId="3965D45A">
            <w:pPr>
              <w:widowControl/>
              <w:jc w:val="center"/>
              <w:rPr>
                <w:rFonts w:ascii="宋体" w:hAnsi="宋体" w:cs="宋体"/>
                <w:color w:val="000000"/>
                <w:kern w:val="0"/>
                <w:szCs w:val="21"/>
              </w:rPr>
            </w:pPr>
            <w:r>
              <w:rPr>
                <w:rFonts w:hint="eastAsia" w:ascii="宋体" w:hAnsi="宋体" w:cs="宋体"/>
                <w:color w:val="000000"/>
                <w:kern w:val="0"/>
                <w:szCs w:val="21"/>
              </w:rPr>
              <w:t>Y≥10000</w:t>
            </w:r>
          </w:p>
        </w:tc>
        <w:tc>
          <w:tcPr>
            <w:tcW w:w="1701" w:type="dxa"/>
            <w:tcBorders>
              <w:top w:val="nil"/>
              <w:left w:val="nil"/>
              <w:bottom w:val="single" w:color="auto" w:sz="4" w:space="0"/>
              <w:right w:val="single" w:color="auto" w:sz="4" w:space="0"/>
            </w:tcBorders>
            <w:vAlign w:val="center"/>
          </w:tcPr>
          <w:p w14:paraId="5CBF19A7">
            <w:pPr>
              <w:widowControl/>
              <w:jc w:val="center"/>
              <w:rPr>
                <w:rFonts w:ascii="宋体" w:hAnsi="宋体" w:cs="宋体"/>
                <w:color w:val="000000"/>
                <w:kern w:val="0"/>
                <w:szCs w:val="21"/>
              </w:rPr>
            </w:pPr>
            <w:r>
              <w:rPr>
                <w:rFonts w:hint="eastAsia" w:ascii="宋体" w:hAnsi="宋体" w:cs="宋体"/>
                <w:color w:val="000000"/>
                <w:kern w:val="0"/>
                <w:szCs w:val="21"/>
              </w:rPr>
              <w:t>2000≤Y＜10000</w:t>
            </w:r>
          </w:p>
        </w:tc>
        <w:tc>
          <w:tcPr>
            <w:tcW w:w="1426" w:type="dxa"/>
            <w:tcBorders>
              <w:top w:val="nil"/>
              <w:left w:val="nil"/>
              <w:bottom w:val="single" w:color="auto" w:sz="4" w:space="0"/>
              <w:right w:val="single" w:color="auto" w:sz="4" w:space="0"/>
            </w:tcBorders>
            <w:vAlign w:val="center"/>
          </w:tcPr>
          <w:p w14:paraId="17A37BBF">
            <w:pPr>
              <w:widowControl/>
              <w:jc w:val="center"/>
              <w:rPr>
                <w:rFonts w:ascii="宋体" w:hAnsi="宋体" w:cs="宋体"/>
                <w:color w:val="000000"/>
                <w:kern w:val="0"/>
                <w:szCs w:val="21"/>
              </w:rPr>
            </w:pPr>
            <w:r>
              <w:rPr>
                <w:rFonts w:hint="eastAsia" w:ascii="宋体" w:hAnsi="宋体" w:cs="宋体"/>
                <w:color w:val="000000"/>
                <w:kern w:val="0"/>
                <w:szCs w:val="21"/>
              </w:rPr>
              <w:t xml:space="preserve"> 100≤Y＜2000</w:t>
            </w:r>
          </w:p>
        </w:tc>
        <w:tc>
          <w:tcPr>
            <w:tcW w:w="992" w:type="dxa"/>
            <w:tcBorders>
              <w:top w:val="nil"/>
              <w:left w:val="nil"/>
              <w:bottom w:val="single" w:color="auto" w:sz="4" w:space="0"/>
              <w:right w:val="nil"/>
            </w:tcBorders>
            <w:vAlign w:val="center"/>
          </w:tcPr>
          <w:p w14:paraId="4CBD5365">
            <w:pPr>
              <w:widowControl/>
              <w:jc w:val="center"/>
              <w:rPr>
                <w:rFonts w:ascii="宋体" w:hAnsi="宋体" w:cs="宋体"/>
                <w:color w:val="000000"/>
                <w:kern w:val="0"/>
                <w:szCs w:val="21"/>
              </w:rPr>
            </w:pPr>
            <w:r>
              <w:rPr>
                <w:rFonts w:hint="eastAsia" w:ascii="宋体" w:hAnsi="宋体" w:cs="宋体"/>
                <w:color w:val="000000"/>
                <w:kern w:val="0"/>
                <w:szCs w:val="21"/>
              </w:rPr>
              <w:t>Y＜100</w:t>
            </w:r>
          </w:p>
        </w:tc>
      </w:tr>
      <w:tr w14:paraId="173BE97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3CE40734">
            <w:pPr>
              <w:widowControl/>
              <w:jc w:val="left"/>
              <w:rPr>
                <w:rFonts w:ascii="宋体" w:hAnsi="宋体" w:cs="宋体"/>
                <w:color w:val="000000"/>
                <w:kern w:val="0"/>
                <w:szCs w:val="21"/>
              </w:rPr>
            </w:pPr>
            <w:r>
              <w:rPr>
                <w:rFonts w:hint="eastAsia" w:ascii="宋体" w:hAnsi="宋体" w:cs="宋体"/>
                <w:color w:val="000000"/>
                <w:kern w:val="0"/>
                <w:szCs w:val="21"/>
              </w:rPr>
              <w:t>信息传输业 *</w:t>
            </w:r>
          </w:p>
        </w:tc>
        <w:tc>
          <w:tcPr>
            <w:tcW w:w="1369" w:type="dxa"/>
            <w:tcBorders>
              <w:top w:val="nil"/>
              <w:left w:val="nil"/>
              <w:bottom w:val="nil"/>
              <w:right w:val="single" w:color="auto" w:sz="4" w:space="0"/>
            </w:tcBorders>
            <w:vAlign w:val="center"/>
          </w:tcPr>
          <w:p w14:paraId="4F4C52AF">
            <w:pPr>
              <w:widowControl/>
              <w:jc w:val="center"/>
              <w:rPr>
                <w:rFonts w:ascii="宋体" w:hAnsi="宋体" w:cs="宋体"/>
                <w:color w:val="000000"/>
                <w:kern w:val="0"/>
                <w:szCs w:val="21"/>
              </w:rPr>
            </w:pPr>
            <w:r>
              <w:rPr>
                <w:rFonts w:hint="eastAsia" w:ascii="宋体" w:hAnsi="宋体" w:cs="宋体"/>
                <w:color w:val="000000"/>
                <w:kern w:val="0"/>
                <w:szCs w:val="21"/>
              </w:rPr>
              <w:t>从业人员(X)</w:t>
            </w:r>
          </w:p>
        </w:tc>
        <w:tc>
          <w:tcPr>
            <w:tcW w:w="709" w:type="dxa"/>
            <w:tcBorders>
              <w:top w:val="nil"/>
              <w:left w:val="nil"/>
              <w:bottom w:val="nil"/>
              <w:right w:val="single" w:color="auto" w:sz="4" w:space="0"/>
            </w:tcBorders>
            <w:vAlign w:val="center"/>
          </w:tcPr>
          <w:p w14:paraId="2F56A39C">
            <w:pPr>
              <w:widowControl/>
              <w:jc w:val="center"/>
              <w:rPr>
                <w:rFonts w:ascii="宋体" w:hAnsi="宋体" w:cs="宋体"/>
                <w:color w:val="000000"/>
                <w:kern w:val="0"/>
                <w:szCs w:val="21"/>
              </w:rPr>
            </w:pPr>
            <w:r>
              <w:rPr>
                <w:rFonts w:hint="eastAsia" w:ascii="宋体" w:hAnsi="宋体" w:cs="宋体"/>
                <w:color w:val="000000"/>
                <w:kern w:val="0"/>
                <w:szCs w:val="21"/>
              </w:rPr>
              <w:t>人</w:t>
            </w:r>
          </w:p>
        </w:tc>
        <w:tc>
          <w:tcPr>
            <w:tcW w:w="1125" w:type="dxa"/>
            <w:tcBorders>
              <w:top w:val="nil"/>
              <w:left w:val="nil"/>
              <w:bottom w:val="nil"/>
              <w:right w:val="single" w:color="auto" w:sz="4" w:space="0"/>
            </w:tcBorders>
            <w:vAlign w:val="center"/>
          </w:tcPr>
          <w:p w14:paraId="7F347329">
            <w:pPr>
              <w:widowControl/>
              <w:jc w:val="center"/>
              <w:rPr>
                <w:rFonts w:ascii="宋体" w:hAnsi="宋体" w:cs="宋体"/>
                <w:color w:val="000000"/>
                <w:kern w:val="0"/>
                <w:szCs w:val="21"/>
              </w:rPr>
            </w:pPr>
            <w:r>
              <w:rPr>
                <w:rFonts w:hint="eastAsia" w:ascii="宋体" w:hAnsi="宋体" w:cs="宋体"/>
                <w:color w:val="000000"/>
                <w:kern w:val="0"/>
                <w:szCs w:val="21"/>
              </w:rPr>
              <w:t>X≥2000</w:t>
            </w:r>
          </w:p>
        </w:tc>
        <w:tc>
          <w:tcPr>
            <w:tcW w:w="1701" w:type="dxa"/>
            <w:tcBorders>
              <w:top w:val="nil"/>
              <w:left w:val="nil"/>
              <w:bottom w:val="nil"/>
              <w:right w:val="single" w:color="auto" w:sz="4" w:space="0"/>
            </w:tcBorders>
            <w:vAlign w:val="center"/>
          </w:tcPr>
          <w:p w14:paraId="3CE7B2CE">
            <w:pPr>
              <w:widowControl/>
              <w:jc w:val="center"/>
              <w:rPr>
                <w:rFonts w:ascii="宋体" w:hAnsi="宋体" w:cs="宋体"/>
                <w:color w:val="000000"/>
                <w:kern w:val="0"/>
                <w:szCs w:val="21"/>
              </w:rPr>
            </w:pPr>
            <w:r>
              <w:rPr>
                <w:rFonts w:hint="eastAsia" w:ascii="宋体" w:hAnsi="宋体" w:cs="宋体"/>
                <w:color w:val="000000"/>
                <w:kern w:val="0"/>
                <w:szCs w:val="21"/>
              </w:rPr>
              <w:t>100≤X＜2000</w:t>
            </w:r>
          </w:p>
        </w:tc>
        <w:tc>
          <w:tcPr>
            <w:tcW w:w="1426" w:type="dxa"/>
            <w:tcBorders>
              <w:top w:val="nil"/>
              <w:left w:val="nil"/>
              <w:bottom w:val="nil"/>
              <w:right w:val="single" w:color="auto" w:sz="4" w:space="0"/>
            </w:tcBorders>
            <w:vAlign w:val="center"/>
          </w:tcPr>
          <w:p w14:paraId="4188E521">
            <w:pPr>
              <w:widowControl/>
              <w:jc w:val="center"/>
              <w:rPr>
                <w:rFonts w:ascii="宋体" w:hAnsi="宋体" w:cs="宋体"/>
                <w:color w:val="000000"/>
                <w:kern w:val="0"/>
                <w:szCs w:val="21"/>
              </w:rPr>
            </w:pPr>
            <w:r>
              <w:rPr>
                <w:rFonts w:hint="eastAsia" w:ascii="宋体" w:hAnsi="宋体" w:cs="宋体"/>
                <w:color w:val="000000"/>
                <w:kern w:val="0"/>
                <w:szCs w:val="21"/>
              </w:rPr>
              <w:t xml:space="preserve"> 10≤X＜100</w:t>
            </w:r>
          </w:p>
        </w:tc>
        <w:tc>
          <w:tcPr>
            <w:tcW w:w="992" w:type="dxa"/>
            <w:tcBorders>
              <w:top w:val="nil"/>
              <w:left w:val="nil"/>
              <w:bottom w:val="nil"/>
              <w:right w:val="nil"/>
            </w:tcBorders>
            <w:vAlign w:val="center"/>
          </w:tcPr>
          <w:p w14:paraId="3EFD91FB">
            <w:pPr>
              <w:widowControl/>
              <w:jc w:val="center"/>
              <w:rPr>
                <w:rFonts w:ascii="宋体" w:hAnsi="宋体" w:cs="宋体"/>
                <w:color w:val="000000"/>
                <w:kern w:val="0"/>
                <w:szCs w:val="21"/>
              </w:rPr>
            </w:pPr>
            <w:r>
              <w:rPr>
                <w:rFonts w:hint="eastAsia" w:ascii="宋体" w:hAnsi="宋体" w:cs="宋体"/>
                <w:color w:val="000000"/>
                <w:kern w:val="0"/>
                <w:szCs w:val="21"/>
              </w:rPr>
              <w:t>X＜10</w:t>
            </w:r>
          </w:p>
        </w:tc>
      </w:tr>
      <w:tr w14:paraId="0439624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40D6210">
            <w:pPr>
              <w:widowControl/>
              <w:jc w:val="left"/>
              <w:rPr>
                <w:rFonts w:ascii="宋体" w:hAnsi="宋体" w:cs="宋体"/>
                <w:color w:val="000000"/>
                <w:kern w:val="0"/>
                <w:szCs w:val="21"/>
              </w:rPr>
            </w:pPr>
          </w:p>
        </w:tc>
        <w:tc>
          <w:tcPr>
            <w:tcW w:w="1369" w:type="dxa"/>
            <w:tcBorders>
              <w:top w:val="nil"/>
              <w:left w:val="nil"/>
              <w:bottom w:val="single" w:color="auto" w:sz="4" w:space="0"/>
              <w:right w:val="single" w:color="auto" w:sz="4" w:space="0"/>
            </w:tcBorders>
            <w:vAlign w:val="center"/>
          </w:tcPr>
          <w:p w14:paraId="55AB9766">
            <w:pPr>
              <w:widowControl/>
              <w:jc w:val="center"/>
              <w:rPr>
                <w:rFonts w:ascii="宋体" w:hAnsi="宋体" w:cs="宋体"/>
                <w:color w:val="000000"/>
                <w:kern w:val="0"/>
                <w:szCs w:val="21"/>
              </w:rPr>
            </w:pPr>
            <w:r>
              <w:rPr>
                <w:rFonts w:hint="eastAsia" w:ascii="宋体" w:hAnsi="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650F0BA5">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single" w:color="auto" w:sz="4" w:space="0"/>
              <w:right w:val="single" w:color="auto" w:sz="4" w:space="0"/>
            </w:tcBorders>
            <w:vAlign w:val="center"/>
          </w:tcPr>
          <w:p w14:paraId="4A58D3DF">
            <w:pPr>
              <w:widowControl/>
              <w:jc w:val="center"/>
              <w:rPr>
                <w:rFonts w:ascii="宋体" w:hAnsi="宋体" w:cs="宋体"/>
                <w:color w:val="000000"/>
                <w:kern w:val="0"/>
                <w:szCs w:val="21"/>
              </w:rPr>
            </w:pPr>
            <w:r>
              <w:rPr>
                <w:rFonts w:hint="eastAsia" w:ascii="宋体" w:hAnsi="宋体" w:cs="宋体"/>
                <w:color w:val="000000"/>
                <w:kern w:val="0"/>
                <w:szCs w:val="21"/>
              </w:rPr>
              <w:t>Y≥100000</w:t>
            </w:r>
          </w:p>
        </w:tc>
        <w:tc>
          <w:tcPr>
            <w:tcW w:w="1701" w:type="dxa"/>
            <w:tcBorders>
              <w:top w:val="nil"/>
              <w:left w:val="nil"/>
              <w:bottom w:val="single" w:color="auto" w:sz="4" w:space="0"/>
              <w:right w:val="single" w:color="auto" w:sz="4" w:space="0"/>
            </w:tcBorders>
            <w:vAlign w:val="center"/>
          </w:tcPr>
          <w:p w14:paraId="09626AE4">
            <w:pPr>
              <w:widowControl/>
              <w:jc w:val="center"/>
              <w:rPr>
                <w:rFonts w:ascii="宋体" w:hAnsi="宋体" w:cs="宋体"/>
                <w:color w:val="000000"/>
                <w:kern w:val="0"/>
                <w:szCs w:val="21"/>
              </w:rPr>
            </w:pPr>
            <w:r>
              <w:rPr>
                <w:rFonts w:hint="eastAsia" w:ascii="宋体" w:hAnsi="宋体" w:cs="宋体"/>
                <w:color w:val="000000"/>
                <w:kern w:val="0"/>
                <w:szCs w:val="21"/>
              </w:rPr>
              <w:t xml:space="preserve"> 1000≤Y＜100000</w:t>
            </w:r>
          </w:p>
        </w:tc>
        <w:tc>
          <w:tcPr>
            <w:tcW w:w="1426" w:type="dxa"/>
            <w:tcBorders>
              <w:top w:val="nil"/>
              <w:left w:val="nil"/>
              <w:bottom w:val="single" w:color="auto" w:sz="4" w:space="0"/>
              <w:right w:val="single" w:color="auto" w:sz="4" w:space="0"/>
            </w:tcBorders>
            <w:vAlign w:val="center"/>
          </w:tcPr>
          <w:p w14:paraId="60303ED1">
            <w:pPr>
              <w:widowControl/>
              <w:jc w:val="center"/>
              <w:rPr>
                <w:rFonts w:ascii="宋体" w:hAnsi="宋体" w:cs="宋体"/>
                <w:color w:val="000000"/>
                <w:kern w:val="0"/>
                <w:szCs w:val="21"/>
              </w:rPr>
            </w:pPr>
            <w:r>
              <w:rPr>
                <w:rFonts w:hint="eastAsia" w:ascii="宋体" w:hAnsi="宋体" w:cs="宋体"/>
                <w:color w:val="000000"/>
                <w:kern w:val="0"/>
                <w:szCs w:val="21"/>
              </w:rPr>
              <w:t xml:space="preserve"> 100≤Y＜1000</w:t>
            </w:r>
          </w:p>
        </w:tc>
        <w:tc>
          <w:tcPr>
            <w:tcW w:w="992" w:type="dxa"/>
            <w:tcBorders>
              <w:top w:val="nil"/>
              <w:left w:val="nil"/>
              <w:bottom w:val="single" w:color="auto" w:sz="4" w:space="0"/>
              <w:right w:val="nil"/>
            </w:tcBorders>
            <w:vAlign w:val="center"/>
          </w:tcPr>
          <w:p w14:paraId="079A86C4">
            <w:pPr>
              <w:widowControl/>
              <w:jc w:val="center"/>
              <w:rPr>
                <w:rFonts w:ascii="宋体" w:hAnsi="宋体" w:cs="宋体"/>
                <w:color w:val="000000"/>
                <w:kern w:val="0"/>
                <w:szCs w:val="21"/>
              </w:rPr>
            </w:pPr>
            <w:r>
              <w:rPr>
                <w:rFonts w:hint="eastAsia" w:ascii="宋体" w:hAnsi="宋体" w:cs="宋体"/>
                <w:color w:val="000000"/>
                <w:kern w:val="0"/>
                <w:szCs w:val="21"/>
              </w:rPr>
              <w:t>Y＜100</w:t>
            </w:r>
          </w:p>
        </w:tc>
      </w:tr>
      <w:tr w14:paraId="407A4C08">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vAlign w:val="center"/>
          </w:tcPr>
          <w:p w14:paraId="689B210D">
            <w:pPr>
              <w:widowControl/>
              <w:jc w:val="left"/>
              <w:rPr>
                <w:rFonts w:ascii="宋体" w:hAnsi="宋体" w:cs="宋体"/>
                <w:color w:val="000000"/>
                <w:spacing w:val="-12"/>
                <w:kern w:val="0"/>
                <w:szCs w:val="21"/>
              </w:rPr>
            </w:pPr>
            <w:r>
              <w:rPr>
                <w:rFonts w:hint="eastAsia" w:ascii="宋体" w:hAnsi="宋体" w:cs="宋体"/>
                <w:color w:val="000000"/>
                <w:spacing w:val="-12"/>
                <w:kern w:val="0"/>
                <w:szCs w:val="21"/>
              </w:rPr>
              <w:t>软件和信息技术服</w:t>
            </w:r>
            <w:r>
              <w:rPr>
                <w:rFonts w:hint="eastAsia" w:ascii="宋体" w:hAnsi="宋体" w:cs="宋体"/>
                <w:color w:val="000000"/>
                <w:kern w:val="0"/>
                <w:szCs w:val="21"/>
              </w:rPr>
              <w:t>务业</w:t>
            </w:r>
          </w:p>
        </w:tc>
        <w:tc>
          <w:tcPr>
            <w:tcW w:w="1369" w:type="dxa"/>
            <w:tcBorders>
              <w:top w:val="nil"/>
              <w:left w:val="nil"/>
              <w:bottom w:val="nil"/>
              <w:right w:val="single" w:color="auto" w:sz="4" w:space="0"/>
            </w:tcBorders>
            <w:vAlign w:val="center"/>
          </w:tcPr>
          <w:p w14:paraId="06E858ED">
            <w:pPr>
              <w:widowControl/>
              <w:jc w:val="center"/>
              <w:rPr>
                <w:rFonts w:ascii="宋体" w:hAnsi="宋体" w:cs="宋体"/>
                <w:color w:val="000000"/>
                <w:kern w:val="0"/>
                <w:szCs w:val="21"/>
              </w:rPr>
            </w:pPr>
            <w:r>
              <w:rPr>
                <w:rFonts w:hint="eastAsia" w:ascii="宋体" w:hAnsi="宋体" w:cs="宋体"/>
                <w:color w:val="000000"/>
                <w:kern w:val="0"/>
                <w:szCs w:val="21"/>
              </w:rPr>
              <w:t>从业人员(X)</w:t>
            </w:r>
          </w:p>
        </w:tc>
        <w:tc>
          <w:tcPr>
            <w:tcW w:w="709" w:type="dxa"/>
            <w:tcBorders>
              <w:top w:val="nil"/>
              <w:left w:val="nil"/>
              <w:bottom w:val="nil"/>
              <w:right w:val="single" w:color="auto" w:sz="4" w:space="0"/>
            </w:tcBorders>
            <w:vAlign w:val="center"/>
          </w:tcPr>
          <w:p w14:paraId="0C116D57">
            <w:pPr>
              <w:widowControl/>
              <w:jc w:val="center"/>
              <w:rPr>
                <w:rFonts w:ascii="宋体" w:hAnsi="宋体" w:cs="宋体"/>
                <w:color w:val="000000"/>
                <w:kern w:val="0"/>
                <w:szCs w:val="21"/>
              </w:rPr>
            </w:pPr>
            <w:r>
              <w:rPr>
                <w:rFonts w:hint="eastAsia" w:ascii="宋体" w:hAnsi="宋体" w:cs="宋体"/>
                <w:color w:val="000000"/>
                <w:kern w:val="0"/>
                <w:szCs w:val="21"/>
              </w:rPr>
              <w:t>人</w:t>
            </w:r>
          </w:p>
        </w:tc>
        <w:tc>
          <w:tcPr>
            <w:tcW w:w="1125" w:type="dxa"/>
            <w:tcBorders>
              <w:top w:val="nil"/>
              <w:left w:val="nil"/>
              <w:bottom w:val="nil"/>
              <w:right w:val="single" w:color="auto" w:sz="4" w:space="0"/>
            </w:tcBorders>
            <w:vAlign w:val="center"/>
          </w:tcPr>
          <w:p w14:paraId="09B1C97B">
            <w:pPr>
              <w:widowControl/>
              <w:jc w:val="center"/>
              <w:rPr>
                <w:rFonts w:ascii="宋体" w:hAnsi="宋体" w:cs="宋体"/>
                <w:color w:val="000000"/>
                <w:kern w:val="0"/>
                <w:szCs w:val="21"/>
              </w:rPr>
            </w:pPr>
            <w:r>
              <w:rPr>
                <w:rFonts w:hint="eastAsia" w:ascii="宋体" w:hAnsi="宋体" w:cs="宋体"/>
                <w:color w:val="000000"/>
                <w:kern w:val="0"/>
                <w:szCs w:val="21"/>
              </w:rPr>
              <w:t>X≥300</w:t>
            </w:r>
          </w:p>
        </w:tc>
        <w:tc>
          <w:tcPr>
            <w:tcW w:w="1701" w:type="dxa"/>
            <w:tcBorders>
              <w:top w:val="nil"/>
              <w:left w:val="nil"/>
              <w:bottom w:val="nil"/>
              <w:right w:val="single" w:color="auto" w:sz="4" w:space="0"/>
            </w:tcBorders>
            <w:vAlign w:val="center"/>
          </w:tcPr>
          <w:p w14:paraId="6EE04AB3">
            <w:pPr>
              <w:widowControl/>
              <w:ind w:left="19" w:leftChars="-51" w:hanging="126" w:hangingChars="60"/>
              <w:jc w:val="center"/>
              <w:rPr>
                <w:rFonts w:ascii="宋体" w:hAnsi="宋体" w:cs="宋体"/>
                <w:color w:val="000000"/>
                <w:kern w:val="0"/>
                <w:szCs w:val="21"/>
              </w:rPr>
            </w:pPr>
            <w:r>
              <w:rPr>
                <w:rFonts w:hint="eastAsia" w:ascii="宋体" w:hAnsi="宋体" w:cs="宋体"/>
                <w:color w:val="000000"/>
                <w:kern w:val="0"/>
                <w:szCs w:val="21"/>
              </w:rPr>
              <w:t xml:space="preserve">100≤X＜300 </w:t>
            </w:r>
          </w:p>
        </w:tc>
        <w:tc>
          <w:tcPr>
            <w:tcW w:w="1426" w:type="dxa"/>
            <w:tcBorders>
              <w:top w:val="nil"/>
              <w:left w:val="nil"/>
              <w:bottom w:val="nil"/>
              <w:right w:val="single" w:color="auto" w:sz="4" w:space="0"/>
            </w:tcBorders>
            <w:vAlign w:val="center"/>
          </w:tcPr>
          <w:p w14:paraId="1DFF8CD7">
            <w:pPr>
              <w:widowControl/>
              <w:jc w:val="center"/>
              <w:rPr>
                <w:rFonts w:ascii="宋体" w:hAnsi="宋体" w:cs="宋体"/>
                <w:color w:val="000000"/>
                <w:kern w:val="0"/>
                <w:szCs w:val="21"/>
              </w:rPr>
            </w:pPr>
            <w:r>
              <w:rPr>
                <w:rFonts w:hint="eastAsia" w:ascii="宋体" w:hAnsi="宋体" w:cs="宋体"/>
                <w:color w:val="000000"/>
                <w:kern w:val="0"/>
                <w:szCs w:val="21"/>
              </w:rPr>
              <w:t xml:space="preserve"> 10≤X＜100</w:t>
            </w:r>
          </w:p>
        </w:tc>
        <w:tc>
          <w:tcPr>
            <w:tcW w:w="992" w:type="dxa"/>
            <w:tcBorders>
              <w:top w:val="nil"/>
              <w:left w:val="nil"/>
              <w:bottom w:val="nil"/>
              <w:right w:val="nil"/>
            </w:tcBorders>
            <w:vAlign w:val="center"/>
          </w:tcPr>
          <w:p w14:paraId="387A5C55">
            <w:pPr>
              <w:widowControl/>
              <w:jc w:val="center"/>
              <w:rPr>
                <w:rFonts w:ascii="宋体" w:hAnsi="宋体" w:cs="宋体"/>
                <w:color w:val="000000"/>
                <w:kern w:val="0"/>
                <w:szCs w:val="21"/>
              </w:rPr>
            </w:pPr>
            <w:r>
              <w:rPr>
                <w:rFonts w:hint="eastAsia" w:ascii="宋体" w:hAnsi="宋体" w:cs="宋体"/>
                <w:color w:val="000000"/>
                <w:kern w:val="0"/>
                <w:szCs w:val="21"/>
              </w:rPr>
              <w:t>X＜10</w:t>
            </w:r>
          </w:p>
        </w:tc>
      </w:tr>
      <w:tr w14:paraId="0F927122">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075F512B">
            <w:pPr>
              <w:widowControl/>
              <w:jc w:val="left"/>
              <w:rPr>
                <w:rFonts w:ascii="宋体" w:hAnsi="宋体" w:cs="宋体"/>
                <w:color w:val="000000"/>
                <w:spacing w:val="-12"/>
                <w:kern w:val="0"/>
                <w:szCs w:val="21"/>
              </w:rPr>
            </w:pPr>
          </w:p>
        </w:tc>
        <w:tc>
          <w:tcPr>
            <w:tcW w:w="1369" w:type="dxa"/>
            <w:tcBorders>
              <w:top w:val="nil"/>
              <w:left w:val="nil"/>
              <w:bottom w:val="single" w:color="auto" w:sz="4" w:space="0"/>
              <w:right w:val="single" w:color="auto" w:sz="4" w:space="0"/>
            </w:tcBorders>
            <w:vAlign w:val="center"/>
          </w:tcPr>
          <w:p w14:paraId="12F6E859">
            <w:pPr>
              <w:widowControl/>
              <w:jc w:val="center"/>
              <w:rPr>
                <w:rFonts w:ascii="宋体" w:hAnsi="宋体" w:cs="宋体"/>
                <w:color w:val="000000"/>
                <w:kern w:val="0"/>
                <w:szCs w:val="21"/>
              </w:rPr>
            </w:pPr>
            <w:r>
              <w:rPr>
                <w:rFonts w:hint="eastAsia" w:ascii="宋体" w:hAnsi="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3C9950BB">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single" w:color="auto" w:sz="4" w:space="0"/>
              <w:right w:val="single" w:color="auto" w:sz="4" w:space="0"/>
            </w:tcBorders>
            <w:vAlign w:val="center"/>
          </w:tcPr>
          <w:p w14:paraId="7DE6FB0C">
            <w:pPr>
              <w:widowControl/>
              <w:jc w:val="center"/>
              <w:rPr>
                <w:rFonts w:ascii="宋体" w:hAnsi="宋体" w:cs="宋体"/>
                <w:color w:val="000000"/>
                <w:kern w:val="0"/>
                <w:szCs w:val="21"/>
              </w:rPr>
            </w:pPr>
            <w:r>
              <w:rPr>
                <w:rFonts w:hint="eastAsia" w:ascii="宋体" w:hAnsi="宋体" w:cs="宋体"/>
                <w:color w:val="000000"/>
                <w:kern w:val="0"/>
                <w:szCs w:val="21"/>
              </w:rPr>
              <w:t>Y≥10000</w:t>
            </w:r>
          </w:p>
        </w:tc>
        <w:tc>
          <w:tcPr>
            <w:tcW w:w="1701" w:type="dxa"/>
            <w:tcBorders>
              <w:top w:val="nil"/>
              <w:left w:val="nil"/>
              <w:bottom w:val="single" w:color="auto" w:sz="4" w:space="0"/>
              <w:right w:val="single" w:color="auto" w:sz="4" w:space="0"/>
            </w:tcBorders>
            <w:vAlign w:val="center"/>
          </w:tcPr>
          <w:p w14:paraId="24A5D204">
            <w:pPr>
              <w:widowControl/>
              <w:jc w:val="center"/>
              <w:rPr>
                <w:rFonts w:ascii="宋体" w:hAnsi="宋体" w:cs="宋体"/>
                <w:color w:val="000000"/>
                <w:kern w:val="0"/>
                <w:szCs w:val="21"/>
              </w:rPr>
            </w:pPr>
            <w:r>
              <w:rPr>
                <w:rFonts w:hint="eastAsia" w:ascii="宋体" w:hAnsi="宋体" w:cs="宋体"/>
                <w:color w:val="000000"/>
                <w:kern w:val="0"/>
                <w:szCs w:val="21"/>
              </w:rPr>
              <w:t>1000≤Y＜10000</w:t>
            </w:r>
          </w:p>
        </w:tc>
        <w:tc>
          <w:tcPr>
            <w:tcW w:w="1426" w:type="dxa"/>
            <w:tcBorders>
              <w:top w:val="nil"/>
              <w:left w:val="nil"/>
              <w:bottom w:val="single" w:color="auto" w:sz="4" w:space="0"/>
              <w:right w:val="single" w:color="auto" w:sz="4" w:space="0"/>
            </w:tcBorders>
            <w:vAlign w:val="center"/>
          </w:tcPr>
          <w:p w14:paraId="109BC584">
            <w:pPr>
              <w:widowControl/>
              <w:jc w:val="center"/>
              <w:rPr>
                <w:rFonts w:ascii="宋体" w:hAnsi="宋体" w:cs="宋体"/>
                <w:color w:val="000000"/>
                <w:kern w:val="0"/>
                <w:szCs w:val="21"/>
              </w:rPr>
            </w:pPr>
            <w:r>
              <w:rPr>
                <w:rFonts w:hint="eastAsia" w:ascii="宋体" w:hAnsi="宋体" w:cs="宋体"/>
                <w:color w:val="000000"/>
                <w:kern w:val="0"/>
                <w:szCs w:val="21"/>
              </w:rPr>
              <w:t xml:space="preserve">  50≤Y＜1000</w:t>
            </w:r>
          </w:p>
        </w:tc>
        <w:tc>
          <w:tcPr>
            <w:tcW w:w="992" w:type="dxa"/>
            <w:tcBorders>
              <w:top w:val="nil"/>
              <w:left w:val="nil"/>
              <w:bottom w:val="single" w:color="auto" w:sz="4" w:space="0"/>
              <w:right w:val="nil"/>
            </w:tcBorders>
            <w:vAlign w:val="center"/>
          </w:tcPr>
          <w:p w14:paraId="3524580E">
            <w:pPr>
              <w:widowControl/>
              <w:jc w:val="center"/>
              <w:rPr>
                <w:rFonts w:ascii="宋体" w:hAnsi="宋体" w:cs="宋体"/>
                <w:color w:val="000000"/>
                <w:kern w:val="0"/>
                <w:szCs w:val="21"/>
              </w:rPr>
            </w:pPr>
            <w:r>
              <w:rPr>
                <w:rFonts w:hint="eastAsia" w:ascii="宋体" w:hAnsi="宋体" w:cs="宋体"/>
                <w:color w:val="000000"/>
                <w:kern w:val="0"/>
                <w:szCs w:val="21"/>
              </w:rPr>
              <w:t>Y＜50</w:t>
            </w:r>
          </w:p>
        </w:tc>
      </w:tr>
      <w:tr w14:paraId="03353C2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436A8873">
            <w:pPr>
              <w:widowControl/>
              <w:jc w:val="left"/>
              <w:rPr>
                <w:rFonts w:ascii="宋体" w:hAnsi="宋体" w:cs="宋体"/>
                <w:color w:val="000000"/>
                <w:kern w:val="0"/>
                <w:szCs w:val="21"/>
              </w:rPr>
            </w:pPr>
            <w:r>
              <w:rPr>
                <w:rFonts w:hint="eastAsia" w:ascii="宋体" w:hAnsi="宋体" w:cs="宋体"/>
                <w:color w:val="000000"/>
                <w:kern w:val="0"/>
                <w:szCs w:val="21"/>
              </w:rPr>
              <w:t>房地产开发经营</w:t>
            </w:r>
          </w:p>
        </w:tc>
        <w:tc>
          <w:tcPr>
            <w:tcW w:w="1369" w:type="dxa"/>
            <w:tcBorders>
              <w:top w:val="nil"/>
              <w:left w:val="nil"/>
              <w:bottom w:val="nil"/>
              <w:right w:val="single" w:color="auto" w:sz="4" w:space="0"/>
            </w:tcBorders>
            <w:vAlign w:val="center"/>
          </w:tcPr>
          <w:p w14:paraId="279CC17C">
            <w:pPr>
              <w:widowControl/>
              <w:jc w:val="center"/>
              <w:rPr>
                <w:rFonts w:ascii="宋体" w:hAnsi="宋体" w:cs="宋体"/>
                <w:color w:val="000000"/>
                <w:kern w:val="0"/>
                <w:szCs w:val="21"/>
              </w:rPr>
            </w:pPr>
            <w:r>
              <w:rPr>
                <w:rFonts w:hint="eastAsia" w:ascii="宋体" w:hAnsi="宋体" w:cs="宋体"/>
                <w:color w:val="000000"/>
                <w:kern w:val="0"/>
                <w:szCs w:val="21"/>
              </w:rPr>
              <w:t>营业收入(Y)</w:t>
            </w:r>
          </w:p>
        </w:tc>
        <w:tc>
          <w:tcPr>
            <w:tcW w:w="709" w:type="dxa"/>
            <w:tcBorders>
              <w:top w:val="nil"/>
              <w:left w:val="nil"/>
              <w:bottom w:val="nil"/>
              <w:right w:val="single" w:color="auto" w:sz="4" w:space="0"/>
            </w:tcBorders>
            <w:vAlign w:val="center"/>
          </w:tcPr>
          <w:p w14:paraId="30291BBC">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nil"/>
              <w:right w:val="single" w:color="auto" w:sz="4" w:space="0"/>
            </w:tcBorders>
            <w:vAlign w:val="center"/>
          </w:tcPr>
          <w:p w14:paraId="7503E63E">
            <w:pPr>
              <w:widowControl/>
              <w:jc w:val="center"/>
              <w:rPr>
                <w:rFonts w:ascii="宋体" w:hAnsi="宋体" w:cs="宋体"/>
                <w:color w:val="000000"/>
                <w:kern w:val="0"/>
                <w:szCs w:val="21"/>
              </w:rPr>
            </w:pPr>
            <w:r>
              <w:rPr>
                <w:rFonts w:hint="eastAsia" w:ascii="宋体" w:hAnsi="宋体" w:cs="宋体"/>
                <w:color w:val="000000"/>
                <w:kern w:val="0"/>
                <w:szCs w:val="21"/>
              </w:rPr>
              <w:t>Y≥200000</w:t>
            </w:r>
          </w:p>
        </w:tc>
        <w:tc>
          <w:tcPr>
            <w:tcW w:w="1701" w:type="dxa"/>
            <w:tcBorders>
              <w:top w:val="nil"/>
              <w:left w:val="nil"/>
              <w:bottom w:val="nil"/>
              <w:right w:val="single" w:color="auto" w:sz="4" w:space="0"/>
            </w:tcBorders>
            <w:vAlign w:val="center"/>
          </w:tcPr>
          <w:p w14:paraId="7B1C75CE">
            <w:pPr>
              <w:widowControl/>
              <w:jc w:val="center"/>
              <w:rPr>
                <w:rFonts w:ascii="宋体" w:hAnsi="宋体" w:cs="宋体"/>
                <w:color w:val="000000"/>
                <w:kern w:val="0"/>
                <w:szCs w:val="21"/>
              </w:rPr>
            </w:pPr>
            <w:r>
              <w:rPr>
                <w:rFonts w:hint="eastAsia" w:ascii="宋体" w:hAnsi="宋体" w:cs="宋体"/>
                <w:color w:val="000000"/>
                <w:kern w:val="0"/>
                <w:szCs w:val="21"/>
              </w:rPr>
              <w:t xml:space="preserve"> 1000≤Y＜200000</w:t>
            </w:r>
          </w:p>
        </w:tc>
        <w:tc>
          <w:tcPr>
            <w:tcW w:w="1426" w:type="dxa"/>
            <w:tcBorders>
              <w:top w:val="nil"/>
              <w:left w:val="nil"/>
              <w:bottom w:val="nil"/>
              <w:right w:val="single" w:color="auto" w:sz="4" w:space="0"/>
            </w:tcBorders>
            <w:vAlign w:val="center"/>
          </w:tcPr>
          <w:p w14:paraId="0F2841ED">
            <w:pPr>
              <w:widowControl/>
              <w:jc w:val="center"/>
              <w:rPr>
                <w:rFonts w:ascii="宋体" w:hAnsi="宋体" w:cs="宋体"/>
                <w:color w:val="000000"/>
                <w:kern w:val="0"/>
                <w:szCs w:val="21"/>
              </w:rPr>
            </w:pPr>
            <w:r>
              <w:rPr>
                <w:rFonts w:hint="eastAsia" w:ascii="宋体" w:hAnsi="宋体" w:cs="宋体"/>
                <w:color w:val="000000"/>
                <w:kern w:val="0"/>
                <w:szCs w:val="21"/>
              </w:rPr>
              <w:t xml:space="preserve"> 100≤Y＜1000</w:t>
            </w:r>
          </w:p>
        </w:tc>
        <w:tc>
          <w:tcPr>
            <w:tcW w:w="992" w:type="dxa"/>
            <w:tcBorders>
              <w:top w:val="nil"/>
              <w:left w:val="nil"/>
              <w:bottom w:val="nil"/>
              <w:right w:val="nil"/>
            </w:tcBorders>
            <w:vAlign w:val="center"/>
          </w:tcPr>
          <w:p w14:paraId="2F8A9A05">
            <w:pPr>
              <w:widowControl/>
              <w:jc w:val="center"/>
              <w:rPr>
                <w:rFonts w:ascii="宋体" w:hAnsi="宋体" w:cs="宋体"/>
                <w:color w:val="000000"/>
                <w:kern w:val="0"/>
                <w:szCs w:val="21"/>
              </w:rPr>
            </w:pPr>
            <w:r>
              <w:rPr>
                <w:rFonts w:hint="eastAsia" w:ascii="宋体" w:hAnsi="宋体" w:cs="宋体"/>
                <w:color w:val="000000"/>
                <w:kern w:val="0"/>
                <w:szCs w:val="21"/>
              </w:rPr>
              <w:t>Y＜100</w:t>
            </w:r>
          </w:p>
        </w:tc>
      </w:tr>
      <w:tr w14:paraId="287DB99B">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152FCD3">
            <w:pPr>
              <w:widowControl/>
              <w:jc w:val="left"/>
              <w:rPr>
                <w:rFonts w:ascii="宋体" w:hAnsi="宋体" w:cs="宋体"/>
                <w:color w:val="000000"/>
                <w:kern w:val="0"/>
                <w:szCs w:val="21"/>
              </w:rPr>
            </w:pPr>
          </w:p>
        </w:tc>
        <w:tc>
          <w:tcPr>
            <w:tcW w:w="1369" w:type="dxa"/>
            <w:tcBorders>
              <w:top w:val="nil"/>
              <w:left w:val="nil"/>
              <w:bottom w:val="single" w:color="auto" w:sz="4" w:space="0"/>
              <w:right w:val="single" w:color="auto" w:sz="4" w:space="0"/>
            </w:tcBorders>
            <w:vAlign w:val="center"/>
          </w:tcPr>
          <w:p w14:paraId="0BCAE191">
            <w:pPr>
              <w:widowControl/>
              <w:jc w:val="center"/>
              <w:rPr>
                <w:rFonts w:ascii="宋体" w:hAnsi="宋体" w:cs="宋体"/>
                <w:color w:val="000000"/>
                <w:kern w:val="0"/>
                <w:szCs w:val="21"/>
              </w:rPr>
            </w:pPr>
            <w:r>
              <w:rPr>
                <w:rFonts w:hint="eastAsia" w:ascii="宋体" w:hAnsi="宋体" w:cs="宋体"/>
                <w:color w:val="000000"/>
                <w:kern w:val="0"/>
                <w:szCs w:val="21"/>
              </w:rPr>
              <w:t>资产总额(Z)</w:t>
            </w:r>
          </w:p>
        </w:tc>
        <w:tc>
          <w:tcPr>
            <w:tcW w:w="709" w:type="dxa"/>
            <w:tcBorders>
              <w:top w:val="nil"/>
              <w:left w:val="nil"/>
              <w:bottom w:val="single" w:color="auto" w:sz="4" w:space="0"/>
              <w:right w:val="single" w:color="auto" w:sz="4" w:space="0"/>
            </w:tcBorders>
            <w:vAlign w:val="center"/>
          </w:tcPr>
          <w:p w14:paraId="3A3ECE72">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single" w:color="auto" w:sz="4" w:space="0"/>
              <w:right w:val="single" w:color="auto" w:sz="4" w:space="0"/>
            </w:tcBorders>
            <w:vAlign w:val="center"/>
          </w:tcPr>
          <w:p w14:paraId="794EE70F">
            <w:pPr>
              <w:widowControl/>
              <w:jc w:val="center"/>
              <w:rPr>
                <w:rFonts w:ascii="宋体" w:hAnsi="宋体" w:cs="宋体"/>
                <w:color w:val="000000"/>
                <w:kern w:val="0"/>
                <w:szCs w:val="21"/>
              </w:rPr>
            </w:pPr>
            <w:r>
              <w:rPr>
                <w:rFonts w:hint="eastAsia" w:ascii="宋体" w:hAnsi="宋体" w:cs="宋体"/>
                <w:color w:val="000000"/>
                <w:kern w:val="0"/>
                <w:szCs w:val="21"/>
              </w:rPr>
              <w:t>Z≥10000</w:t>
            </w:r>
          </w:p>
        </w:tc>
        <w:tc>
          <w:tcPr>
            <w:tcW w:w="1701" w:type="dxa"/>
            <w:tcBorders>
              <w:top w:val="nil"/>
              <w:left w:val="nil"/>
              <w:bottom w:val="single" w:color="auto" w:sz="4" w:space="0"/>
              <w:right w:val="single" w:color="auto" w:sz="4" w:space="0"/>
            </w:tcBorders>
            <w:vAlign w:val="center"/>
          </w:tcPr>
          <w:p w14:paraId="56112ABE">
            <w:pPr>
              <w:widowControl/>
              <w:jc w:val="center"/>
              <w:rPr>
                <w:rFonts w:ascii="宋体" w:hAnsi="宋体" w:cs="宋体"/>
                <w:color w:val="000000"/>
                <w:kern w:val="0"/>
                <w:szCs w:val="21"/>
              </w:rPr>
            </w:pPr>
            <w:r>
              <w:rPr>
                <w:rFonts w:hint="eastAsia" w:ascii="宋体" w:hAnsi="宋体" w:cs="宋体"/>
                <w:color w:val="000000"/>
                <w:kern w:val="0"/>
                <w:szCs w:val="21"/>
              </w:rPr>
              <w:t>5000≤Z＜10000</w:t>
            </w:r>
          </w:p>
        </w:tc>
        <w:tc>
          <w:tcPr>
            <w:tcW w:w="1426" w:type="dxa"/>
            <w:tcBorders>
              <w:top w:val="nil"/>
              <w:left w:val="nil"/>
              <w:bottom w:val="single" w:color="auto" w:sz="4" w:space="0"/>
              <w:right w:val="single" w:color="auto" w:sz="4" w:space="0"/>
            </w:tcBorders>
            <w:vAlign w:val="center"/>
          </w:tcPr>
          <w:p w14:paraId="6473ACCF">
            <w:pPr>
              <w:widowControl/>
              <w:jc w:val="center"/>
              <w:rPr>
                <w:rFonts w:ascii="宋体" w:hAnsi="宋体" w:cs="宋体"/>
                <w:color w:val="000000"/>
                <w:kern w:val="0"/>
                <w:szCs w:val="21"/>
              </w:rPr>
            </w:pPr>
            <w:r>
              <w:rPr>
                <w:rFonts w:hint="eastAsia" w:ascii="宋体" w:hAnsi="宋体" w:cs="宋体"/>
                <w:color w:val="000000"/>
                <w:kern w:val="0"/>
                <w:szCs w:val="21"/>
              </w:rPr>
              <w:t xml:space="preserve">2000≤Z＜5000   </w:t>
            </w:r>
          </w:p>
        </w:tc>
        <w:tc>
          <w:tcPr>
            <w:tcW w:w="992" w:type="dxa"/>
            <w:tcBorders>
              <w:top w:val="nil"/>
              <w:left w:val="nil"/>
              <w:bottom w:val="single" w:color="auto" w:sz="4" w:space="0"/>
              <w:right w:val="nil"/>
            </w:tcBorders>
            <w:vAlign w:val="center"/>
          </w:tcPr>
          <w:p w14:paraId="4D6BCEDE">
            <w:pPr>
              <w:widowControl/>
              <w:jc w:val="center"/>
              <w:rPr>
                <w:rFonts w:ascii="宋体" w:hAnsi="宋体" w:cs="宋体"/>
                <w:color w:val="000000"/>
                <w:kern w:val="0"/>
                <w:szCs w:val="21"/>
              </w:rPr>
            </w:pPr>
            <w:r>
              <w:rPr>
                <w:rFonts w:hint="eastAsia" w:ascii="宋体" w:hAnsi="宋体" w:cs="宋体"/>
                <w:color w:val="000000"/>
                <w:kern w:val="0"/>
                <w:szCs w:val="21"/>
              </w:rPr>
              <w:t>Z＜2000</w:t>
            </w:r>
          </w:p>
        </w:tc>
      </w:tr>
      <w:tr w14:paraId="1175230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5631E313">
            <w:pPr>
              <w:widowControl/>
              <w:jc w:val="left"/>
              <w:rPr>
                <w:rFonts w:ascii="宋体" w:hAnsi="宋体" w:cs="宋体"/>
                <w:color w:val="000000"/>
                <w:kern w:val="0"/>
                <w:szCs w:val="21"/>
              </w:rPr>
            </w:pPr>
            <w:r>
              <w:rPr>
                <w:rFonts w:hint="eastAsia" w:ascii="宋体" w:hAnsi="宋体" w:cs="宋体"/>
                <w:color w:val="000000"/>
                <w:kern w:val="0"/>
                <w:szCs w:val="21"/>
              </w:rPr>
              <w:t>物业管理</w:t>
            </w:r>
          </w:p>
        </w:tc>
        <w:tc>
          <w:tcPr>
            <w:tcW w:w="1369" w:type="dxa"/>
            <w:tcBorders>
              <w:top w:val="nil"/>
              <w:left w:val="nil"/>
              <w:bottom w:val="nil"/>
              <w:right w:val="single" w:color="auto" w:sz="4" w:space="0"/>
            </w:tcBorders>
            <w:vAlign w:val="center"/>
          </w:tcPr>
          <w:p w14:paraId="4F6BFD82">
            <w:pPr>
              <w:widowControl/>
              <w:jc w:val="center"/>
              <w:rPr>
                <w:rFonts w:ascii="宋体" w:hAnsi="宋体" w:cs="宋体"/>
                <w:color w:val="000000"/>
                <w:kern w:val="0"/>
                <w:szCs w:val="21"/>
              </w:rPr>
            </w:pPr>
            <w:r>
              <w:rPr>
                <w:rFonts w:hint="eastAsia" w:ascii="宋体" w:hAnsi="宋体" w:cs="宋体"/>
                <w:color w:val="000000"/>
                <w:kern w:val="0"/>
                <w:szCs w:val="21"/>
              </w:rPr>
              <w:t>从业人员(X)</w:t>
            </w:r>
          </w:p>
        </w:tc>
        <w:tc>
          <w:tcPr>
            <w:tcW w:w="709" w:type="dxa"/>
            <w:tcBorders>
              <w:top w:val="nil"/>
              <w:left w:val="nil"/>
              <w:bottom w:val="nil"/>
              <w:right w:val="single" w:color="auto" w:sz="4" w:space="0"/>
            </w:tcBorders>
            <w:vAlign w:val="center"/>
          </w:tcPr>
          <w:p w14:paraId="6BBA5782">
            <w:pPr>
              <w:widowControl/>
              <w:jc w:val="center"/>
              <w:rPr>
                <w:rFonts w:ascii="宋体" w:hAnsi="宋体" w:cs="宋体"/>
                <w:color w:val="000000"/>
                <w:kern w:val="0"/>
                <w:szCs w:val="21"/>
              </w:rPr>
            </w:pPr>
            <w:r>
              <w:rPr>
                <w:rFonts w:hint="eastAsia" w:ascii="宋体" w:hAnsi="宋体" w:cs="宋体"/>
                <w:color w:val="000000"/>
                <w:kern w:val="0"/>
                <w:szCs w:val="21"/>
              </w:rPr>
              <w:t>人</w:t>
            </w:r>
          </w:p>
        </w:tc>
        <w:tc>
          <w:tcPr>
            <w:tcW w:w="1125" w:type="dxa"/>
            <w:tcBorders>
              <w:top w:val="nil"/>
              <w:left w:val="nil"/>
              <w:bottom w:val="nil"/>
              <w:right w:val="single" w:color="auto" w:sz="4" w:space="0"/>
            </w:tcBorders>
            <w:vAlign w:val="center"/>
          </w:tcPr>
          <w:p w14:paraId="0CF83A90">
            <w:pPr>
              <w:widowControl/>
              <w:jc w:val="center"/>
              <w:rPr>
                <w:rFonts w:ascii="宋体" w:hAnsi="宋体" w:cs="宋体"/>
                <w:color w:val="000000"/>
                <w:kern w:val="0"/>
                <w:szCs w:val="21"/>
              </w:rPr>
            </w:pPr>
            <w:r>
              <w:rPr>
                <w:rFonts w:hint="eastAsia" w:ascii="宋体" w:hAnsi="宋体" w:cs="宋体"/>
                <w:color w:val="000000"/>
                <w:kern w:val="0"/>
                <w:szCs w:val="21"/>
              </w:rPr>
              <w:t>X≥1000</w:t>
            </w:r>
          </w:p>
        </w:tc>
        <w:tc>
          <w:tcPr>
            <w:tcW w:w="1701" w:type="dxa"/>
            <w:tcBorders>
              <w:top w:val="nil"/>
              <w:left w:val="nil"/>
              <w:bottom w:val="nil"/>
              <w:right w:val="single" w:color="auto" w:sz="4" w:space="0"/>
            </w:tcBorders>
            <w:vAlign w:val="center"/>
          </w:tcPr>
          <w:p w14:paraId="5234A0CB">
            <w:pPr>
              <w:widowControl/>
              <w:jc w:val="center"/>
              <w:rPr>
                <w:rFonts w:ascii="宋体" w:hAnsi="宋体" w:cs="宋体"/>
                <w:color w:val="000000"/>
                <w:kern w:val="0"/>
                <w:szCs w:val="21"/>
              </w:rPr>
            </w:pPr>
            <w:r>
              <w:rPr>
                <w:rFonts w:hint="eastAsia" w:ascii="宋体" w:hAnsi="宋体" w:cs="宋体"/>
                <w:color w:val="000000"/>
                <w:kern w:val="0"/>
                <w:szCs w:val="21"/>
              </w:rPr>
              <w:t>300≤X＜1000</w:t>
            </w:r>
          </w:p>
        </w:tc>
        <w:tc>
          <w:tcPr>
            <w:tcW w:w="1426" w:type="dxa"/>
            <w:tcBorders>
              <w:top w:val="nil"/>
              <w:left w:val="nil"/>
              <w:bottom w:val="nil"/>
              <w:right w:val="single" w:color="auto" w:sz="4" w:space="0"/>
            </w:tcBorders>
            <w:vAlign w:val="center"/>
          </w:tcPr>
          <w:p w14:paraId="04723E4F">
            <w:pPr>
              <w:widowControl/>
              <w:jc w:val="center"/>
              <w:rPr>
                <w:rFonts w:ascii="宋体" w:hAnsi="宋体" w:cs="宋体"/>
                <w:color w:val="000000"/>
                <w:kern w:val="0"/>
                <w:szCs w:val="21"/>
              </w:rPr>
            </w:pPr>
            <w:r>
              <w:rPr>
                <w:rFonts w:hint="eastAsia" w:ascii="宋体" w:hAnsi="宋体" w:cs="宋体"/>
                <w:color w:val="000000"/>
                <w:kern w:val="0"/>
                <w:szCs w:val="21"/>
              </w:rPr>
              <w:t xml:space="preserve">100≤X＜300 </w:t>
            </w:r>
          </w:p>
        </w:tc>
        <w:tc>
          <w:tcPr>
            <w:tcW w:w="992" w:type="dxa"/>
            <w:tcBorders>
              <w:top w:val="nil"/>
              <w:left w:val="nil"/>
              <w:bottom w:val="nil"/>
              <w:right w:val="nil"/>
            </w:tcBorders>
            <w:vAlign w:val="center"/>
          </w:tcPr>
          <w:p w14:paraId="42E24E7D">
            <w:pPr>
              <w:widowControl/>
              <w:jc w:val="center"/>
              <w:rPr>
                <w:rFonts w:ascii="宋体" w:hAnsi="宋体" w:cs="宋体"/>
                <w:color w:val="000000"/>
                <w:kern w:val="0"/>
                <w:szCs w:val="21"/>
              </w:rPr>
            </w:pPr>
            <w:r>
              <w:rPr>
                <w:rFonts w:hint="eastAsia" w:ascii="宋体" w:hAnsi="宋体" w:cs="宋体"/>
                <w:color w:val="000000"/>
                <w:kern w:val="0"/>
                <w:szCs w:val="21"/>
              </w:rPr>
              <w:t>X＜100</w:t>
            </w:r>
          </w:p>
        </w:tc>
      </w:tr>
      <w:tr w14:paraId="560280F0">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63E7DFE">
            <w:pPr>
              <w:widowControl/>
              <w:jc w:val="left"/>
              <w:rPr>
                <w:rFonts w:ascii="宋体" w:hAnsi="宋体" w:cs="宋体"/>
                <w:color w:val="000000"/>
                <w:kern w:val="0"/>
                <w:szCs w:val="21"/>
              </w:rPr>
            </w:pPr>
          </w:p>
        </w:tc>
        <w:tc>
          <w:tcPr>
            <w:tcW w:w="1369" w:type="dxa"/>
            <w:tcBorders>
              <w:top w:val="nil"/>
              <w:left w:val="nil"/>
              <w:bottom w:val="single" w:color="auto" w:sz="4" w:space="0"/>
              <w:right w:val="single" w:color="auto" w:sz="4" w:space="0"/>
            </w:tcBorders>
            <w:vAlign w:val="center"/>
          </w:tcPr>
          <w:p w14:paraId="7A28EF6F">
            <w:pPr>
              <w:widowControl/>
              <w:jc w:val="center"/>
              <w:rPr>
                <w:rFonts w:ascii="宋体" w:hAnsi="宋体" w:cs="宋体"/>
                <w:color w:val="000000"/>
                <w:kern w:val="0"/>
                <w:szCs w:val="21"/>
              </w:rPr>
            </w:pPr>
            <w:r>
              <w:rPr>
                <w:rFonts w:hint="eastAsia" w:ascii="宋体" w:hAnsi="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466F5E22">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single" w:color="auto" w:sz="4" w:space="0"/>
              <w:right w:val="single" w:color="auto" w:sz="4" w:space="0"/>
            </w:tcBorders>
            <w:vAlign w:val="center"/>
          </w:tcPr>
          <w:p w14:paraId="36975402">
            <w:pPr>
              <w:widowControl/>
              <w:jc w:val="center"/>
              <w:rPr>
                <w:rFonts w:ascii="宋体" w:hAnsi="宋体" w:cs="宋体"/>
                <w:color w:val="000000"/>
                <w:kern w:val="0"/>
                <w:szCs w:val="21"/>
              </w:rPr>
            </w:pPr>
            <w:r>
              <w:rPr>
                <w:rFonts w:hint="eastAsia" w:ascii="宋体" w:hAnsi="宋体" w:cs="宋体"/>
                <w:color w:val="000000"/>
                <w:kern w:val="0"/>
                <w:szCs w:val="21"/>
              </w:rPr>
              <w:t>Y≥5000</w:t>
            </w:r>
          </w:p>
        </w:tc>
        <w:tc>
          <w:tcPr>
            <w:tcW w:w="1701" w:type="dxa"/>
            <w:tcBorders>
              <w:top w:val="nil"/>
              <w:left w:val="nil"/>
              <w:bottom w:val="single" w:color="auto" w:sz="4" w:space="0"/>
              <w:right w:val="single" w:color="auto" w:sz="4" w:space="0"/>
            </w:tcBorders>
            <w:vAlign w:val="center"/>
          </w:tcPr>
          <w:p w14:paraId="53EEF856">
            <w:pPr>
              <w:widowControl/>
              <w:ind w:left="19" w:leftChars="-51" w:hanging="126" w:hangingChars="60"/>
              <w:jc w:val="center"/>
              <w:rPr>
                <w:rFonts w:ascii="宋体" w:hAnsi="宋体" w:cs="宋体"/>
                <w:color w:val="000000"/>
                <w:kern w:val="0"/>
                <w:szCs w:val="21"/>
              </w:rPr>
            </w:pPr>
            <w:r>
              <w:rPr>
                <w:rFonts w:hint="eastAsia" w:ascii="宋体" w:hAnsi="宋体" w:cs="宋体"/>
                <w:color w:val="000000"/>
                <w:kern w:val="0"/>
                <w:szCs w:val="21"/>
              </w:rPr>
              <w:t xml:space="preserve">1000≤Y＜5000 </w:t>
            </w:r>
          </w:p>
        </w:tc>
        <w:tc>
          <w:tcPr>
            <w:tcW w:w="1426" w:type="dxa"/>
            <w:tcBorders>
              <w:top w:val="nil"/>
              <w:left w:val="nil"/>
              <w:bottom w:val="single" w:color="auto" w:sz="4" w:space="0"/>
              <w:right w:val="single" w:color="auto" w:sz="4" w:space="0"/>
            </w:tcBorders>
            <w:vAlign w:val="center"/>
          </w:tcPr>
          <w:p w14:paraId="05A4EDD7">
            <w:pPr>
              <w:widowControl/>
              <w:jc w:val="center"/>
              <w:rPr>
                <w:rFonts w:ascii="宋体" w:hAnsi="宋体" w:cs="宋体"/>
                <w:color w:val="000000"/>
                <w:kern w:val="0"/>
                <w:szCs w:val="21"/>
              </w:rPr>
            </w:pPr>
            <w:r>
              <w:rPr>
                <w:rFonts w:hint="eastAsia" w:ascii="宋体" w:hAnsi="宋体" w:cs="宋体"/>
                <w:color w:val="000000"/>
                <w:kern w:val="0"/>
                <w:szCs w:val="21"/>
              </w:rPr>
              <w:t xml:space="preserve"> 500≤Y＜1000</w:t>
            </w:r>
          </w:p>
        </w:tc>
        <w:tc>
          <w:tcPr>
            <w:tcW w:w="992" w:type="dxa"/>
            <w:tcBorders>
              <w:top w:val="nil"/>
              <w:left w:val="nil"/>
              <w:bottom w:val="single" w:color="auto" w:sz="4" w:space="0"/>
              <w:right w:val="nil"/>
            </w:tcBorders>
            <w:vAlign w:val="center"/>
          </w:tcPr>
          <w:p w14:paraId="1E6B9188">
            <w:pPr>
              <w:widowControl/>
              <w:jc w:val="center"/>
              <w:rPr>
                <w:rFonts w:ascii="宋体" w:hAnsi="宋体" w:cs="宋体"/>
                <w:color w:val="000000"/>
                <w:kern w:val="0"/>
                <w:szCs w:val="21"/>
              </w:rPr>
            </w:pPr>
            <w:r>
              <w:rPr>
                <w:rFonts w:hint="eastAsia" w:ascii="宋体" w:hAnsi="宋体" w:cs="宋体"/>
                <w:color w:val="000000"/>
                <w:kern w:val="0"/>
                <w:szCs w:val="21"/>
              </w:rPr>
              <w:t>Y＜500</w:t>
            </w:r>
          </w:p>
        </w:tc>
      </w:tr>
      <w:tr w14:paraId="462D7846">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14019E74">
            <w:pPr>
              <w:widowControl/>
              <w:jc w:val="left"/>
              <w:rPr>
                <w:rFonts w:ascii="宋体" w:hAnsi="宋体" w:cs="宋体"/>
                <w:color w:val="000000"/>
                <w:kern w:val="0"/>
                <w:szCs w:val="21"/>
              </w:rPr>
            </w:pPr>
            <w:r>
              <w:rPr>
                <w:rFonts w:hint="eastAsia" w:ascii="宋体" w:hAnsi="宋体" w:cs="宋体"/>
                <w:color w:val="000000"/>
                <w:kern w:val="0"/>
                <w:szCs w:val="21"/>
              </w:rPr>
              <w:t>租赁和商务服务业</w:t>
            </w:r>
          </w:p>
        </w:tc>
        <w:tc>
          <w:tcPr>
            <w:tcW w:w="1369" w:type="dxa"/>
            <w:tcBorders>
              <w:top w:val="nil"/>
              <w:left w:val="nil"/>
              <w:bottom w:val="nil"/>
              <w:right w:val="single" w:color="auto" w:sz="4" w:space="0"/>
            </w:tcBorders>
            <w:vAlign w:val="center"/>
          </w:tcPr>
          <w:p w14:paraId="6155587D">
            <w:pPr>
              <w:widowControl/>
              <w:jc w:val="center"/>
              <w:rPr>
                <w:rFonts w:ascii="宋体" w:hAnsi="宋体" w:cs="宋体"/>
                <w:color w:val="000000"/>
                <w:kern w:val="0"/>
                <w:szCs w:val="21"/>
              </w:rPr>
            </w:pPr>
            <w:r>
              <w:rPr>
                <w:rFonts w:hint="eastAsia" w:ascii="宋体" w:hAnsi="宋体" w:cs="宋体"/>
                <w:color w:val="000000"/>
                <w:kern w:val="0"/>
                <w:szCs w:val="21"/>
              </w:rPr>
              <w:t>从业人员(X)</w:t>
            </w:r>
          </w:p>
        </w:tc>
        <w:tc>
          <w:tcPr>
            <w:tcW w:w="709" w:type="dxa"/>
            <w:tcBorders>
              <w:top w:val="nil"/>
              <w:left w:val="nil"/>
              <w:bottom w:val="nil"/>
              <w:right w:val="single" w:color="auto" w:sz="4" w:space="0"/>
            </w:tcBorders>
            <w:vAlign w:val="center"/>
          </w:tcPr>
          <w:p w14:paraId="3EB84907">
            <w:pPr>
              <w:widowControl/>
              <w:jc w:val="center"/>
              <w:rPr>
                <w:rFonts w:ascii="宋体" w:hAnsi="宋体" w:cs="宋体"/>
                <w:color w:val="000000"/>
                <w:kern w:val="0"/>
                <w:szCs w:val="21"/>
              </w:rPr>
            </w:pPr>
            <w:r>
              <w:rPr>
                <w:rFonts w:hint="eastAsia" w:ascii="宋体" w:hAnsi="宋体" w:cs="宋体"/>
                <w:color w:val="000000"/>
                <w:kern w:val="0"/>
                <w:szCs w:val="21"/>
              </w:rPr>
              <w:t>人</w:t>
            </w:r>
          </w:p>
        </w:tc>
        <w:tc>
          <w:tcPr>
            <w:tcW w:w="1125" w:type="dxa"/>
            <w:tcBorders>
              <w:top w:val="nil"/>
              <w:left w:val="nil"/>
              <w:bottom w:val="nil"/>
              <w:right w:val="single" w:color="auto" w:sz="4" w:space="0"/>
            </w:tcBorders>
            <w:vAlign w:val="center"/>
          </w:tcPr>
          <w:p w14:paraId="12922BF2">
            <w:pPr>
              <w:widowControl/>
              <w:jc w:val="center"/>
              <w:rPr>
                <w:rFonts w:ascii="宋体" w:hAnsi="宋体" w:cs="宋体"/>
                <w:color w:val="000000"/>
                <w:kern w:val="0"/>
                <w:szCs w:val="21"/>
              </w:rPr>
            </w:pPr>
            <w:r>
              <w:rPr>
                <w:rFonts w:hint="eastAsia" w:ascii="宋体" w:hAnsi="宋体" w:cs="宋体"/>
                <w:color w:val="000000"/>
                <w:kern w:val="0"/>
                <w:szCs w:val="21"/>
              </w:rPr>
              <w:t>X≥300</w:t>
            </w:r>
          </w:p>
        </w:tc>
        <w:tc>
          <w:tcPr>
            <w:tcW w:w="1701" w:type="dxa"/>
            <w:tcBorders>
              <w:top w:val="nil"/>
              <w:left w:val="nil"/>
              <w:bottom w:val="nil"/>
              <w:right w:val="single" w:color="auto" w:sz="4" w:space="0"/>
            </w:tcBorders>
            <w:vAlign w:val="center"/>
          </w:tcPr>
          <w:p w14:paraId="0879844A">
            <w:pPr>
              <w:widowControl/>
              <w:ind w:left="19" w:leftChars="-51" w:hanging="126" w:hangingChars="60"/>
              <w:jc w:val="center"/>
              <w:rPr>
                <w:rFonts w:ascii="宋体" w:hAnsi="宋体" w:cs="宋体"/>
                <w:color w:val="000000"/>
                <w:kern w:val="0"/>
                <w:szCs w:val="21"/>
              </w:rPr>
            </w:pPr>
            <w:r>
              <w:rPr>
                <w:rFonts w:hint="eastAsia" w:ascii="宋体" w:hAnsi="宋体" w:cs="宋体"/>
                <w:color w:val="000000"/>
                <w:kern w:val="0"/>
                <w:szCs w:val="21"/>
              </w:rPr>
              <w:t xml:space="preserve">100≤X＜300 </w:t>
            </w:r>
          </w:p>
        </w:tc>
        <w:tc>
          <w:tcPr>
            <w:tcW w:w="1426" w:type="dxa"/>
            <w:tcBorders>
              <w:top w:val="nil"/>
              <w:left w:val="nil"/>
              <w:bottom w:val="nil"/>
              <w:right w:val="single" w:color="auto" w:sz="4" w:space="0"/>
            </w:tcBorders>
            <w:vAlign w:val="center"/>
          </w:tcPr>
          <w:p w14:paraId="3291DF14">
            <w:pPr>
              <w:widowControl/>
              <w:jc w:val="center"/>
              <w:rPr>
                <w:rFonts w:ascii="宋体" w:hAnsi="宋体" w:cs="宋体"/>
                <w:color w:val="000000"/>
                <w:kern w:val="0"/>
                <w:szCs w:val="21"/>
              </w:rPr>
            </w:pPr>
            <w:r>
              <w:rPr>
                <w:rFonts w:hint="eastAsia" w:ascii="宋体" w:hAnsi="宋体" w:cs="宋体"/>
                <w:color w:val="000000"/>
                <w:kern w:val="0"/>
                <w:szCs w:val="21"/>
              </w:rPr>
              <w:t xml:space="preserve"> 10≤X＜100</w:t>
            </w:r>
          </w:p>
        </w:tc>
        <w:tc>
          <w:tcPr>
            <w:tcW w:w="992" w:type="dxa"/>
            <w:tcBorders>
              <w:top w:val="nil"/>
              <w:left w:val="nil"/>
              <w:bottom w:val="nil"/>
              <w:right w:val="nil"/>
            </w:tcBorders>
            <w:vAlign w:val="center"/>
          </w:tcPr>
          <w:p w14:paraId="2785F311">
            <w:pPr>
              <w:widowControl/>
              <w:jc w:val="center"/>
              <w:rPr>
                <w:rFonts w:ascii="宋体" w:hAnsi="宋体" w:cs="宋体"/>
                <w:color w:val="000000"/>
                <w:kern w:val="0"/>
                <w:szCs w:val="21"/>
              </w:rPr>
            </w:pPr>
            <w:r>
              <w:rPr>
                <w:rFonts w:hint="eastAsia" w:ascii="宋体" w:hAnsi="宋体" w:cs="宋体"/>
                <w:color w:val="000000"/>
                <w:kern w:val="0"/>
                <w:szCs w:val="21"/>
              </w:rPr>
              <w:t>X＜10</w:t>
            </w:r>
          </w:p>
        </w:tc>
      </w:tr>
      <w:tr w14:paraId="1B943952">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6F05557">
            <w:pPr>
              <w:widowControl/>
              <w:jc w:val="left"/>
              <w:rPr>
                <w:rFonts w:ascii="宋体" w:hAnsi="宋体" w:cs="宋体"/>
                <w:color w:val="000000"/>
                <w:kern w:val="0"/>
                <w:szCs w:val="21"/>
              </w:rPr>
            </w:pPr>
          </w:p>
        </w:tc>
        <w:tc>
          <w:tcPr>
            <w:tcW w:w="1369" w:type="dxa"/>
            <w:tcBorders>
              <w:top w:val="nil"/>
              <w:left w:val="nil"/>
              <w:bottom w:val="single" w:color="auto" w:sz="4" w:space="0"/>
              <w:right w:val="single" w:color="auto" w:sz="4" w:space="0"/>
            </w:tcBorders>
            <w:vAlign w:val="center"/>
          </w:tcPr>
          <w:p w14:paraId="74DD0131">
            <w:pPr>
              <w:widowControl/>
              <w:jc w:val="center"/>
              <w:rPr>
                <w:rFonts w:ascii="宋体" w:hAnsi="宋体" w:cs="宋体"/>
                <w:color w:val="000000"/>
                <w:kern w:val="0"/>
                <w:szCs w:val="21"/>
              </w:rPr>
            </w:pPr>
            <w:r>
              <w:rPr>
                <w:rFonts w:hint="eastAsia" w:ascii="宋体" w:hAnsi="宋体" w:cs="宋体"/>
                <w:color w:val="000000"/>
                <w:kern w:val="0"/>
                <w:szCs w:val="21"/>
              </w:rPr>
              <w:t>资产总额(Z)</w:t>
            </w:r>
          </w:p>
        </w:tc>
        <w:tc>
          <w:tcPr>
            <w:tcW w:w="709" w:type="dxa"/>
            <w:tcBorders>
              <w:top w:val="nil"/>
              <w:left w:val="nil"/>
              <w:bottom w:val="single" w:color="auto" w:sz="4" w:space="0"/>
              <w:right w:val="single" w:color="auto" w:sz="4" w:space="0"/>
            </w:tcBorders>
            <w:vAlign w:val="center"/>
          </w:tcPr>
          <w:p w14:paraId="4E1231AF">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single" w:color="auto" w:sz="4" w:space="0"/>
              <w:right w:val="single" w:color="auto" w:sz="4" w:space="0"/>
            </w:tcBorders>
            <w:vAlign w:val="center"/>
          </w:tcPr>
          <w:p w14:paraId="394E1993">
            <w:pPr>
              <w:widowControl/>
              <w:jc w:val="center"/>
              <w:rPr>
                <w:rFonts w:ascii="宋体" w:hAnsi="宋体" w:cs="宋体"/>
                <w:color w:val="000000"/>
                <w:kern w:val="0"/>
                <w:szCs w:val="21"/>
              </w:rPr>
            </w:pPr>
            <w:r>
              <w:rPr>
                <w:rFonts w:hint="eastAsia" w:ascii="宋体" w:hAnsi="宋体" w:cs="宋体"/>
                <w:color w:val="000000"/>
                <w:kern w:val="0"/>
                <w:szCs w:val="21"/>
              </w:rPr>
              <w:t>Z≥120000</w:t>
            </w:r>
          </w:p>
        </w:tc>
        <w:tc>
          <w:tcPr>
            <w:tcW w:w="1701" w:type="dxa"/>
            <w:tcBorders>
              <w:top w:val="nil"/>
              <w:left w:val="nil"/>
              <w:bottom w:val="single" w:color="auto" w:sz="4" w:space="0"/>
              <w:right w:val="single" w:color="auto" w:sz="4" w:space="0"/>
            </w:tcBorders>
            <w:vAlign w:val="center"/>
          </w:tcPr>
          <w:p w14:paraId="445286C0">
            <w:pPr>
              <w:widowControl/>
              <w:jc w:val="center"/>
              <w:rPr>
                <w:rFonts w:ascii="宋体" w:hAnsi="宋体" w:cs="宋体"/>
                <w:color w:val="000000"/>
                <w:kern w:val="0"/>
                <w:szCs w:val="21"/>
              </w:rPr>
            </w:pPr>
            <w:r>
              <w:rPr>
                <w:rFonts w:hint="eastAsia" w:ascii="宋体" w:hAnsi="宋体" w:cs="宋体"/>
                <w:color w:val="000000"/>
                <w:kern w:val="0"/>
                <w:szCs w:val="21"/>
              </w:rPr>
              <w:t xml:space="preserve"> 8000≤Z＜120000</w:t>
            </w:r>
          </w:p>
        </w:tc>
        <w:tc>
          <w:tcPr>
            <w:tcW w:w="1426" w:type="dxa"/>
            <w:tcBorders>
              <w:top w:val="nil"/>
              <w:left w:val="nil"/>
              <w:bottom w:val="single" w:color="auto" w:sz="4" w:space="0"/>
              <w:right w:val="single" w:color="auto" w:sz="4" w:space="0"/>
            </w:tcBorders>
            <w:vAlign w:val="center"/>
          </w:tcPr>
          <w:p w14:paraId="088B5089">
            <w:pPr>
              <w:widowControl/>
              <w:jc w:val="center"/>
              <w:rPr>
                <w:rFonts w:ascii="宋体" w:hAnsi="宋体" w:cs="宋体"/>
                <w:color w:val="000000"/>
                <w:kern w:val="0"/>
                <w:szCs w:val="21"/>
              </w:rPr>
            </w:pPr>
            <w:r>
              <w:rPr>
                <w:rFonts w:hint="eastAsia" w:ascii="宋体" w:hAnsi="宋体" w:cs="宋体"/>
                <w:color w:val="000000"/>
                <w:kern w:val="0"/>
                <w:szCs w:val="21"/>
              </w:rPr>
              <w:t xml:space="preserve"> 100≤Z＜8000</w:t>
            </w:r>
          </w:p>
        </w:tc>
        <w:tc>
          <w:tcPr>
            <w:tcW w:w="992" w:type="dxa"/>
            <w:tcBorders>
              <w:top w:val="nil"/>
              <w:left w:val="nil"/>
              <w:bottom w:val="single" w:color="auto" w:sz="4" w:space="0"/>
              <w:right w:val="nil"/>
            </w:tcBorders>
            <w:vAlign w:val="center"/>
          </w:tcPr>
          <w:p w14:paraId="272F8F55">
            <w:pPr>
              <w:widowControl/>
              <w:jc w:val="center"/>
              <w:rPr>
                <w:rFonts w:ascii="宋体" w:hAnsi="宋体" w:cs="宋体"/>
                <w:color w:val="000000"/>
                <w:kern w:val="0"/>
                <w:szCs w:val="21"/>
              </w:rPr>
            </w:pPr>
            <w:r>
              <w:rPr>
                <w:rFonts w:hint="eastAsia" w:ascii="宋体" w:hAnsi="宋体" w:cs="宋体"/>
                <w:color w:val="000000"/>
                <w:kern w:val="0"/>
                <w:szCs w:val="21"/>
              </w:rPr>
              <w:t>Z＜100</w:t>
            </w:r>
          </w:p>
        </w:tc>
      </w:tr>
      <w:tr w14:paraId="7F59E6F4">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14:paraId="39BE48BD">
            <w:pPr>
              <w:widowControl/>
              <w:jc w:val="left"/>
              <w:rPr>
                <w:rFonts w:ascii="宋体" w:hAnsi="宋体" w:cs="宋体"/>
                <w:color w:val="000000"/>
                <w:kern w:val="0"/>
                <w:szCs w:val="21"/>
              </w:rPr>
            </w:pPr>
            <w:r>
              <w:rPr>
                <w:rFonts w:hint="eastAsia" w:ascii="宋体" w:hAnsi="宋体" w:cs="宋体"/>
                <w:color w:val="000000"/>
                <w:kern w:val="0"/>
                <w:szCs w:val="21"/>
              </w:rPr>
              <w:t>其他未列明行业 *</w:t>
            </w:r>
          </w:p>
        </w:tc>
        <w:tc>
          <w:tcPr>
            <w:tcW w:w="1369" w:type="dxa"/>
            <w:tcBorders>
              <w:top w:val="nil"/>
              <w:left w:val="nil"/>
              <w:bottom w:val="single" w:color="auto" w:sz="4" w:space="0"/>
              <w:right w:val="single" w:color="auto" w:sz="4" w:space="0"/>
            </w:tcBorders>
            <w:vAlign w:val="center"/>
          </w:tcPr>
          <w:p w14:paraId="7F4F0278">
            <w:pPr>
              <w:widowControl/>
              <w:jc w:val="center"/>
              <w:rPr>
                <w:rFonts w:ascii="宋体" w:hAnsi="宋体" w:cs="宋体"/>
                <w:color w:val="000000"/>
                <w:kern w:val="0"/>
                <w:szCs w:val="21"/>
              </w:rPr>
            </w:pPr>
            <w:r>
              <w:rPr>
                <w:rFonts w:hint="eastAsia" w:ascii="宋体" w:hAnsi="宋体" w:cs="宋体"/>
                <w:color w:val="000000"/>
                <w:kern w:val="0"/>
                <w:szCs w:val="21"/>
              </w:rPr>
              <w:t>从业人员(X)</w:t>
            </w:r>
          </w:p>
        </w:tc>
        <w:tc>
          <w:tcPr>
            <w:tcW w:w="709" w:type="dxa"/>
            <w:tcBorders>
              <w:top w:val="nil"/>
              <w:left w:val="nil"/>
              <w:bottom w:val="single" w:color="auto" w:sz="4" w:space="0"/>
              <w:right w:val="single" w:color="auto" w:sz="4" w:space="0"/>
            </w:tcBorders>
            <w:vAlign w:val="center"/>
          </w:tcPr>
          <w:p w14:paraId="3E00F1F9">
            <w:pPr>
              <w:widowControl/>
              <w:jc w:val="center"/>
              <w:rPr>
                <w:rFonts w:ascii="宋体" w:hAnsi="宋体" w:cs="宋体"/>
                <w:color w:val="000000"/>
                <w:kern w:val="0"/>
                <w:szCs w:val="21"/>
              </w:rPr>
            </w:pPr>
            <w:r>
              <w:rPr>
                <w:rFonts w:hint="eastAsia" w:ascii="宋体" w:hAnsi="宋体" w:cs="宋体"/>
                <w:color w:val="000000"/>
                <w:kern w:val="0"/>
                <w:szCs w:val="21"/>
              </w:rPr>
              <w:t>人</w:t>
            </w:r>
          </w:p>
        </w:tc>
        <w:tc>
          <w:tcPr>
            <w:tcW w:w="1125" w:type="dxa"/>
            <w:tcBorders>
              <w:top w:val="nil"/>
              <w:left w:val="nil"/>
              <w:bottom w:val="single" w:color="auto" w:sz="4" w:space="0"/>
              <w:right w:val="single" w:color="auto" w:sz="4" w:space="0"/>
            </w:tcBorders>
            <w:vAlign w:val="center"/>
          </w:tcPr>
          <w:p w14:paraId="12B8EE54">
            <w:pPr>
              <w:widowControl/>
              <w:jc w:val="center"/>
              <w:rPr>
                <w:rFonts w:ascii="宋体" w:hAnsi="宋体" w:cs="宋体"/>
                <w:color w:val="000000"/>
                <w:kern w:val="0"/>
                <w:szCs w:val="21"/>
              </w:rPr>
            </w:pPr>
            <w:r>
              <w:rPr>
                <w:rFonts w:hint="eastAsia" w:ascii="宋体" w:hAnsi="宋体" w:cs="宋体"/>
                <w:color w:val="000000"/>
                <w:kern w:val="0"/>
                <w:szCs w:val="21"/>
              </w:rPr>
              <w:t>X≥300</w:t>
            </w:r>
          </w:p>
        </w:tc>
        <w:tc>
          <w:tcPr>
            <w:tcW w:w="1701" w:type="dxa"/>
            <w:tcBorders>
              <w:top w:val="nil"/>
              <w:left w:val="nil"/>
              <w:bottom w:val="single" w:color="auto" w:sz="4" w:space="0"/>
              <w:right w:val="single" w:color="auto" w:sz="4" w:space="0"/>
            </w:tcBorders>
            <w:vAlign w:val="center"/>
          </w:tcPr>
          <w:p w14:paraId="1C96D88B">
            <w:pPr>
              <w:widowControl/>
              <w:ind w:left="19" w:leftChars="-51" w:hanging="126" w:hangingChars="60"/>
              <w:jc w:val="center"/>
              <w:rPr>
                <w:rFonts w:ascii="宋体" w:hAnsi="宋体" w:cs="宋体"/>
                <w:color w:val="000000"/>
                <w:kern w:val="0"/>
                <w:szCs w:val="21"/>
              </w:rPr>
            </w:pPr>
            <w:r>
              <w:rPr>
                <w:rFonts w:hint="eastAsia" w:ascii="宋体" w:hAnsi="宋体" w:cs="宋体"/>
                <w:color w:val="000000"/>
                <w:kern w:val="0"/>
                <w:szCs w:val="21"/>
              </w:rPr>
              <w:t xml:space="preserve">100≤X＜300 </w:t>
            </w:r>
          </w:p>
        </w:tc>
        <w:tc>
          <w:tcPr>
            <w:tcW w:w="1426" w:type="dxa"/>
            <w:tcBorders>
              <w:top w:val="nil"/>
              <w:left w:val="nil"/>
              <w:bottom w:val="single" w:color="auto" w:sz="4" w:space="0"/>
              <w:right w:val="single" w:color="auto" w:sz="4" w:space="0"/>
            </w:tcBorders>
            <w:vAlign w:val="center"/>
          </w:tcPr>
          <w:p w14:paraId="64CBD46A">
            <w:pPr>
              <w:widowControl/>
              <w:jc w:val="center"/>
              <w:rPr>
                <w:rFonts w:ascii="宋体" w:hAnsi="宋体" w:cs="宋体"/>
                <w:color w:val="000000"/>
                <w:kern w:val="0"/>
                <w:szCs w:val="21"/>
              </w:rPr>
            </w:pPr>
            <w:r>
              <w:rPr>
                <w:rFonts w:hint="eastAsia" w:ascii="宋体" w:hAnsi="宋体" w:cs="宋体"/>
                <w:color w:val="000000"/>
                <w:kern w:val="0"/>
                <w:szCs w:val="21"/>
              </w:rPr>
              <w:t xml:space="preserve"> 10≤X＜100</w:t>
            </w:r>
          </w:p>
        </w:tc>
        <w:tc>
          <w:tcPr>
            <w:tcW w:w="992" w:type="dxa"/>
            <w:tcBorders>
              <w:top w:val="nil"/>
              <w:left w:val="nil"/>
              <w:bottom w:val="single" w:color="auto" w:sz="4" w:space="0"/>
              <w:right w:val="nil"/>
            </w:tcBorders>
            <w:vAlign w:val="center"/>
          </w:tcPr>
          <w:p w14:paraId="1C6F64B2">
            <w:pPr>
              <w:widowControl/>
              <w:jc w:val="center"/>
              <w:rPr>
                <w:rFonts w:ascii="宋体" w:hAnsi="宋体" w:cs="宋体"/>
                <w:color w:val="000000"/>
                <w:kern w:val="0"/>
                <w:szCs w:val="21"/>
              </w:rPr>
            </w:pPr>
            <w:r>
              <w:rPr>
                <w:rFonts w:hint="eastAsia" w:ascii="宋体" w:hAnsi="宋体" w:cs="宋体"/>
                <w:color w:val="000000"/>
                <w:kern w:val="0"/>
                <w:szCs w:val="21"/>
              </w:rPr>
              <w:t>X＜10</w:t>
            </w:r>
          </w:p>
        </w:tc>
      </w:tr>
    </w:tbl>
    <w:p w14:paraId="6D50D15E">
      <w:pPr>
        <w:widowControl/>
        <w:jc w:val="left"/>
        <w:rPr>
          <w:rFonts w:ascii="宋体" w:hAnsi="宋体" w:cs="宋体"/>
          <w:kern w:val="0"/>
          <w:szCs w:val="21"/>
        </w:rPr>
      </w:pPr>
      <w:r>
        <w:rPr>
          <w:rFonts w:hint="eastAsia" w:ascii="宋体" w:hAnsi="宋体" w:cs="宋体"/>
          <w:kern w:val="0"/>
          <w:szCs w:val="21"/>
        </w:rPr>
        <w:t>说明：</w:t>
      </w:r>
    </w:p>
    <w:p w14:paraId="4CE822B9">
      <w:pPr>
        <w:widowControl/>
        <w:ind w:firstLine="371" w:firstLineChars="177"/>
        <w:jc w:val="left"/>
        <w:rPr>
          <w:rFonts w:ascii="宋体" w:hAnsi="宋体" w:cs="宋体"/>
          <w:kern w:val="0"/>
          <w:szCs w:val="21"/>
        </w:rPr>
      </w:pPr>
      <w:r>
        <w:rPr>
          <w:rFonts w:hint="eastAsia" w:ascii="宋体" w:hAnsi="宋体" w:cs="宋体"/>
          <w:kern w:val="0"/>
          <w:szCs w:val="21"/>
        </w:rPr>
        <w:t>1.大型、中型和小型企业须同时满足所列指标的下限，否则下划一档；微型企业只须满足所列指标中的一项即可。</w:t>
      </w:r>
    </w:p>
    <w:p w14:paraId="52D72D05">
      <w:pPr>
        <w:widowControl/>
        <w:ind w:firstLine="371" w:firstLineChars="177"/>
        <w:jc w:val="left"/>
        <w:rPr>
          <w:rFonts w:ascii="宋体" w:hAnsi="宋体" w:cs="宋体"/>
          <w:kern w:val="0"/>
          <w:szCs w:val="21"/>
        </w:rPr>
      </w:pPr>
      <w:r>
        <w:rPr>
          <w:rFonts w:hint="eastAsia" w:ascii="宋体" w:hAnsi="宋体"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C0A13C5">
      <w:pPr>
        <w:widowControl/>
        <w:ind w:firstLine="371" w:firstLineChars="177"/>
        <w:jc w:val="left"/>
        <w:rPr>
          <w:rFonts w:ascii="宋体" w:hAnsi="宋体" w:cs="宋体"/>
          <w:kern w:val="0"/>
          <w:szCs w:val="21"/>
        </w:rPr>
      </w:pPr>
      <w:r>
        <w:rPr>
          <w:rFonts w:hint="eastAsia" w:ascii="宋体" w:hAnsi="宋体"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97D4323">
      <w:pPr>
        <w:rPr>
          <w:rFonts w:ascii="宋体" w:hAnsi="宋体" w:cs="宋体"/>
          <w:szCs w:val="21"/>
        </w:rPr>
      </w:pPr>
    </w:p>
    <w:p w14:paraId="6181AB72">
      <w:pPr>
        <w:pStyle w:val="4"/>
        <w:spacing w:before="0" w:after="0"/>
        <w:jc w:val="center"/>
        <w:rPr>
          <w:rFonts w:cs="宋体"/>
          <w:szCs w:val="21"/>
        </w:rPr>
      </w:pPr>
      <w:bookmarkStart w:id="247" w:name="_Toc73610165"/>
      <w:bookmarkStart w:id="248" w:name="_Toc73613647"/>
      <w:r>
        <w:rPr>
          <w:rFonts w:hint="eastAsia" w:cs="宋体"/>
          <w:szCs w:val="21"/>
        </w:rPr>
        <w:t>四、财政部 民政部 中国残疾人联合会关于促进残疾人就业 政府采购政策的通知</w:t>
      </w:r>
      <w:bookmarkEnd w:id="247"/>
      <w:bookmarkEnd w:id="248"/>
      <w:r>
        <w:rPr>
          <w:rFonts w:hint="eastAsia" w:cs="宋体"/>
          <w:szCs w:val="21"/>
        </w:rPr>
        <w:t xml:space="preserve"> </w:t>
      </w:r>
    </w:p>
    <w:p w14:paraId="0A0D5DF6">
      <w:pPr>
        <w:widowControl/>
        <w:jc w:val="center"/>
        <w:rPr>
          <w:rFonts w:ascii="宋体" w:hAnsi="宋体" w:cs="宋体"/>
          <w:kern w:val="0"/>
          <w:szCs w:val="21"/>
        </w:rPr>
      </w:pPr>
      <w:r>
        <w:rPr>
          <w:rFonts w:hint="eastAsia" w:ascii="宋体" w:hAnsi="宋体" w:cs="宋体"/>
          <w:kern w:val="0"/>
          <w:szCs w:val="21"/>
        </w:rPr>
        <w:t>财库〔2017〕141号</w:t>
      </w:r>
    </w:p>
    <w:p w14:paraId="009DF54D">
      <w:pPr>
        <w:widowControl/>
        <w:jc w:val="left"/>
        <w:rPr>
          <w:rFonts w:ascii="宋体" w:hAnsi="宋体" w:cs="宋体"/>
          <w:kern w:val="0"/>
          <w:szCs w:val="21"/>
        </w:rPr>
      </w:pPr>
    </w:p>
    <w:p w14:paraId="5BB728DF">
      <w:pPr>
        <w:widowControl/>
        <w:jc w:val="left"/>
        <w:rPr>
          <w:rFonts w:ascii="宋体" w:hAnsi="宋体" w:cs="宋体"/>
          <w:kern w:val="0"/>
          <w:szCs w:val="21"/>
        </w:rPr>
      </w:pPr>
      <w:r>
        <w:rPr>
          <w:rFonts w:hint="eastAsia" w:ascii="宋体" w:hAnsi="宋体" w:cs="宋体"/>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3903440A">
      <w:pPr>
        <w:widowControl/>
        <w:jc w:val="left"/>
        <w:rPr>
          <w:rFonts w:ascii="宋体" w:hAnsi="宋体" w:cs="宋体"/>
          <w:kern w:val="0"/>
          <w:szCs w:val="21"/>
        </w:rPr>
      </w:pPr>
      <w:r>
        <w:rPr>
          <w:rFonts w:hint="eastAsia" w:ascii="宋体" w:hAnsi="宋体" w:cs="宋体"/>
          <w:kern w:val="0"/>
          <w:szCs w:val="21"/>
        </w:rPr>
        <w:t>　　为了发挥政府采购促进残疾人就业的作用，进一步保障残疾人权益，依照《政府采购法》、《残疾人保障法》等法律法规及相关规定，现就促进残疾人就业政府采购政策通知如下：</w:t>
      </w:r>
    </w:p>
    <w:p w14:paraId="1B5469F6">
      <w:pPr>
        <w:widowControl/>
        <w:jc w:val="left"/>
        <w:rPr>
          <w:rFonts w:ascii="宋体" w:hAnsi="宋体" w:cs="宋体"/>
          <w:kern w:val="0"/>
          <w:szCs w:val="21"/>
        </w:rPr>
      </w:pPr>
      <w:r>
        <w:rPr>
          <w:rFonts w:hint="eastAsia" w:ascii="宋体" w:hAnsi="宋体" w:cs="宋体"/>
          <w:kern w:val="0"/>
          <w:szCs w:val="21"/>
        </w:rPr>
        <w:t>　　一、享受政府采购支持政策的残疾人福利性单位应当同时满足以下条件：</w:t>
      </w:r>
    </w:p>
    <w:p w14:paraId="190B4C6D">
      <w:pPr>
        <w:widowControl/>
        <w:jc w:val="left"/>
        <w:rPr>
          <w:rFonts w:ascii="宋体" w:hAnsi="宋体" w:cs="宋体"/>
          <w:kern w:val="0"/>
          <w:szCs w:val="21"/>
        </w:rPr>
      </w:pPr>
      <w:r>
        <w:rPr>
          <w:rFonts w:hint="eastAsia" w:ascii="宋体" w:hAnsi="宋体" w:cs="宋体"/>
          <w:kern w:val="0"/>
          <w:szCs w:val="21"/>
        </w:rPr>
        <w:t>　　（一）安置的残疾人占本单位在职职工人数的比例不低于25%（含25%），并且安置的残疾人人数不少于10人（含10人）；</w:t>
      </w:r>
    </w:p>
    <w:p w14:paraId="170282EE">
      <w:pPr>
        <w:widowControl/>
        <w:jc w:val="left"/>
        <w:rPr>
          <w:rFonts w:ascii="宋体" w:hAnsi="宋体" w:cs="宋体"/>
          <w:kern w:val="0"/>
          <w:szCs w:val="21"/>
        </w:rPr>
      </w:pPr>
      <w:r>
        <w:rPr>
          <w:rFonts w:hint="eastAsia" w:ascii="宋体" w:hAnsi="宋体" w:cs="宋体"/>
          <w:kern w:val="0"/>
          <w:szCs w:val="21"/>
        </w:rPr>
        <w:t>　　（二）依法与安置的每位残疾人签订了一年以上（含一年）的劳动合同或服务协议；</w:t>
      </w:r>
    </w:p>
    <w:p w14:paraId="275F931E">
      <w:pPr>
        <w:widowControl/>
        <w:jc w:val="left"/>
        <w:rPr>
          <w:rFonts w:ascii="宋体" w:hAnsi="宋体" w:cs="宋体"/>
          <w:kern w:val="0"/>
          <w:szCs w:val="21"/>
        </w:rPr>
      </w:pPr>
      <w:r>
        <w:rPr>
          <w:rFonts w:hint="eastAsia" w:ascii="宋体" w:hAnsi="宋体" w:cs="宋体"/>
          <w:kern w:val="0"/>
          <w:szCs w:val="21"/>
        </w:rPr>
        <w:t>　　（三）为安置的每位残疾人按月足额缴纳了基本养老保险、基本医疗保险、失业保险、工伤保险和生育保险等社会保险费；</w:t>
      </w:r>
    </w:p>
    <w:p w14:paraId="71794770">
      <w:pPr>
        <w:widowControl/>
        <w:jc w:val="left"/>
        <w:rPr>
          <w:rFonts w:ascii="宋体" w:hAnsi="宋体" w:cs="宋体"/>
          <w:kern w:val="0"/>
          <w:szCs w:val="21"/>
        </w:rPr>
      </w:pPr>
      <w:r>
        <w:rPr>
          <w:rFonts w:hint="eastAsia" w:ascii="宋体" w:hAnsi="宋体" w:cs="宋体"/>
          <w:kern w:val="0"/>
          <w:szCs w:val="21"/>
        </w:rPr>
        <w:t>　　（四）通过银行等金融机构向安置的每位残疾人，按月支付了不低于单位所在区县适用的经省级人民政府批准的月最低工资标准的工资；</w:t>
      </w:r>
    </w:p>
    <w:p w14:paraId="0BE2ADA1">
      <w:pPr>
        <w:widowControl/>
        <w:jc w:val="left"/>
        <w:rPr>
          <w:rFonts w:ascii="宋体" w:hAnsi="宋体" w:cs="宋体"/>
          <w:kern w:val="0"/>
          <w:szCs w:val="21"/>
        </w:rPr>
      </w:pPr>
      <w:r>
        <w:rPr>
          <w:rFonts w:hint="eastAsia" w:ascii="宋体" w:hAnsi="宋体" w:cs="宋体"/>
          <w:kern w:val="0"/>
          <w:szCs w:val="21"/>
        </w:rPr>
        <w:t>　　（五）提供本单位制造的货物、承担的工程或者服务（以下简称产品），或者提供其他残疾人福利性单位制造的货物（不包括使用非残疾人福利性单位注册商标的货物）。</w:t>
      </w:r>
    </w:p>
    <w:p w14:paraId="5128D1CF">
      <w:pPr>
        <w:widowControl/>
        <w:jc w:val="left"/>
        <w:rPr>
          <w:rFonts w:ascii="宋体" w:hAnsi="宋体" w:cs="宋体"/>
          <w:kern w:val="0"/>
          <w:szCs w:val="21"/>
        </w:rPr>
      </w:pPr>
      <w:r>
        <w:rPr>
          <w:rFonts w:hint="eastAsia" w:ascii="宋体" w:hAnsi="宋体" w:cs="宋体"/>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4966200">
      <w:pPr>
        <w:widowControl/>
        <w:jc w:val="left"/>
        <w:rPr>
          <w:rFonts w:ascii="宋体" w:hAnsi="宋体" w:cs="宋体"/>
          <w:kern w:val="0"/>
          <w:szCs w:val="21"/>
        </w:rPr>
      </w:pPr>
      <w:r>
        <w:rPr>
          <w:rFonts w:hint="eastAsia" w:ascii="宋体" w:hAnsi="宋体" w:cs="宋体"/>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183468C">
      <w:pPr>
        <w:widowControl/>
        <w:jc w:val="left"/>
        <w:rPr>
          <w:rFonts w:ascii="宋体" w:hAnsi="宋体" w:cs="宋体"/>
          <w:kern w:val="0"/>
          <w:szCs w:val="21"/>
        </w:rPr>
      </w:pPr>
      <w:r>
        <w:rPr>
          <w:rFonts w:hint="eastAsia" w:ascii="宋体" w:hAnsi="宋体" w:cs="宋体"/>
          <w:kern w:val="0"/>
          <w:szCs w:val="21"/>
        </w:rPr>
        <w:t>　　中标、成交供应商为残疾人福利性单位的，采购人或者其委托的采购代理机构应当随中标、成交结果同时公告其《残疾人福利性单位声明函》，接受社会监督。</w:t>
      </w:r>
    </w:p>
    <w:p w14:paraId="5E504AED">
      <w:pPr>
        <w:widowControl/>
        <w:jc w:val="left"/>
        <w:rPr>
          <w:rFonts w:ascii="宋体" w:hAnsi="宋体" w:cs="宋体"/>
          <w:kern w:val="0"/>
          <w:szCs w:val="21"/>
        </w:rPr>
      </w:pPr>
      <w:r>
        <w:rPr>
          <w:rFonts w:hint="eastAsia" w:ascii="宋体" w:hAnsi="宋体" w:cs="宋体"/>
          <w:kern w:val="0"/>
          <w:szCs w:val="21"/>
        </w:rPr>
        <w:t>　　供应商提供的《残疾人福利性单位声明函》与事实不符的，依照《政府采购法》第七十七条第一款的规定追究法律责任。</w:t>
      </w:r>
    </w:p>
    <w:p w14:paraId="00AE2752">
      <w:pPr>
        <w:widowControl/>
        <w:jc w:val="left"/>
        <w:rPr>
          <w:rFonts w:ascii="宋体" w:hAnsi="宋体" w:cs="宋体"/>
          <w:kern w:val="0"/>
          <w:szCs w:val="21"/>
        </w:rPr>
      </w:pPr>
      <w:r>
        <w:rPr>
          <w:rFonts w:hint="eastAsia" w:ascii="宋体" w:hAnsi="宋体" w:cs="宋体"/>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F7EA28D">
      <w:pPr>
        <w:widowControl/>
        <w:jc w:val="left"/>
        <w:rPr>
          <w:rFonts w:ascii="宋体" w:hAnsi="宋体" w:cs="宋体"/>
          <w:kern w:val="0"/>
          <w:szCs w:val="21"/>
        </w:rPr>
      </w:pPr>
      <w:r>
        <w:rPr>
          <w:rFonts w:hint="eastAsia" w:ascii="宋体" w:hAnsi="宋体" w:cs="宋体"/>
          <w:kern w:val="0"/>
          <w:szCs w:val="21"/>
        </w:rPr>
        <w:t>　　四、采购人采购公开招标数额标准以上的货物或者服务，因落实促进残疾人就业政策的需要，依法履行有关报批程序后，可采用公开招标以外的采购方式。</w:t>
      </w:r>
    </w:p>
    <w:p w14:paraId="5D66EBCE">
      <w:pPr>
        <w:widowControl/>
        <w:jc w:val="left"/>
        <w:rPr>
          <w:rFonts w:ascii="宋体" w:hAnsi="宋体" w:cs="宋体"/>
          <w:kern w:val="0"/>
          <w:szCs w:val="21"/>
        </w:rPr>
      </w:pPr>
      <w:r>
        <w:rPr>
          <w:rFonts w:hint="eastAsia" w:ascii="宋体" w:hAnsi="宋体" w:cs="宋体"/>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BD4680D">
      <w:pPr>
        <w:widowControl/>
        <w:jc w:val="left"/>
        <w:rPr>
          <w:rFonts w:ascii="宋体" w:hAnsi="宋体" w:cs="宋体"/>
          <w:kern w:val="0"/>
          <w:szCs w:val="21"/>
        </w:rPr>
      </w:pPr>
      <w:r>
        <w:rPr>
          <w:rFonts w:hint="eastAsia" w:ascii="宋体" w:hAnsi="宋体" w:cs="宋体"/>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7BF4864F">
      <w:pPr>
        <w:widowControl/>
        <w:jc w:val="left"/>
        <w:rPr>
          <w:rFonts w:ascii="宋体" w:hAnsi="宋体" w:cs="宋体"/>
          <w:kern w:val="0"/>
          <w:szCs w:val="21"/>
        </w:rPr>
      </w:pPr>
      <w:r>
        <w:rPr>
          <w:rFonts w:hint="eastAsia" w:ascii="宋体" w:hAnsi="宋体" w:cs="宋体"/>
          <w:kern w:val="0"/>
          <w:szCs w:val="21"/>
        </w:rPr>
        <w:t>　　七、本通知自2017年10月1日起执行。</w:t>
      </w:r>
    </w:p>
    <w:p w14:paraId="6702A983">
      <w:pPr>
        <w:widowControl/>
        <w:jc w:val="left"/>
        <w:rPr>
          <w:rFonts w:ascii="宋体" w:hAnsi="宋体" w:cs="宋体"/>
          <w:kern w:val="0"/>
          <w:szCs w:val="21"/>
        </w:rPr>
      </w:pPr>
      <w:r>
        <w:rPr>
          <w:rFonts w:hint="eastAsia" w:ascii="宋体" w:hAnsi="宋体" w:cs="宋体"/>
          <w:kern w:val="0"/>
          <w:szCs w:val="21"/>
        </w:rPr>
        <w:t>　　</w:t>
      </w:r>
    </w:p>
    <w:p w14:paraId="1AF71EF3">
      <w:pPr>
        <w:widowControl/>
        <w:jc w:val="right"/>
        <w:rPr>
          <w:rFonts w:ascii="宋体" w:hAnsi="宋体" w:cs="宋体"/>
          <w:kern w:val="0"/>
          <w:szCs w:val="21"/>
        </w:rPr>
      </w:pPr>
      <w:r>
        <w:rPr>
          <w:rFonts w:hint="eastAsia" w:ascii="宋体" w:hAnsi="宋体" w:cs="宋体"/>
          <w:kern w:val="0"/>
          <w:szCs w:val="21"/>
        </w:rPr>
        <w:t>财政部 民政部 中国残疾人联合会</w:t>
      </w:r>
    </w:p>
    <w:p w14:paraId="700E2DD0">
      <w:pPr>
        <w:widowControl/>
        <w:jc w:val="right"/>
        <w:rPr>
          <w:rFonts w:ascii="宋体" w:hAnsi="宋体" w:cs="宋体"/>
          <w:kern w:val="0"/>
          <w:szCs w:val="21"/>
        </w:rPr>
      </w:pPr>
    </w:p>
    <w:p w14:paraId="20DF5BCA">
      <w:pPr>
        <w:widowControl/>
        <w:jc w:val="right"/>
        <w:rPr>
          <w:rFonts w:ascii="宋体" w:hAnsi="宋体" w:cs="宋体"/>
          <w:kern w:val="0"/>
          <w:szCs w:val="21"/>
        </w:rPr>
      </w:pPr>
      <w:r>
        <w:rPr>
          <w:rFonts w:hint="eastAsia" w:ascii="宋体" w:hAnsi="宋体" w:cs="宋体"/>
          <w:kern w:val="0"/>
          <w:szCs w:val="21"/>
        </w:rPr>
        <w:t>  2017年8月22日</w:t>
      </w:r>
    </w:p>
    <w:p w14:paraId="6D32E239">
      <w:pPr>
        <w:tabs>
          <w:tab w:val="left" w:pos="1875"/>
        </w:tabs>
        <w:rPr>
          <w:rFonts w:ascii="宋体" w:hAnsi="宋体" w:cs="宋体"/>
          <w:szCs w:val="21"/>
        </w:rPr>
      </w:pPr>
    </w:p>
    <w:p w14:paraId="28E3C7A3"/>
    <w:p w14:paraId="79523862">
      <w:pPr>
        <w:pStyle w:val="10"/>
      </w:pPr>
    </w:p>
    <w:p w14:paraId="1E92002F"/>
    <w:p w14:paraId="1441ED16"/>
    <w:sectPr>
      <w:footerReference r:id="rId6" w:type="first"/>
      <w:headerReference r:id="rId3" w:type="default"/>
      <w:footerReference r:id="rId4" w:type="default"/>
      <w:footerReference r:id="rId5" w:type="even"/>
      <w:pgSz w:w="11907" w:h="16840"/>
      <w:pgMar w:top="1440" w:right="1797" w:bottom="1440" w:left="1797" w:header="851" w:footer="992" w:gutter="0"/>
      <w:pgNumType w:fmt="numberInDash"/>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16" w:usb3="00000000" w:csb0="0004000F" w:csb1="00000000"/>
  </w:font>
  <w:font w:name="FZXBSK--GBK1-0">
    <w:altName w:val="宋体"/>
    <w:panose1 w:val="00000000000000000000"/>
    <w:charset w:val="86"/>
    <w:family w:val="auto"/>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8F902">
    <w:pPr>
      <w:pStyle w:val="7"/>
      <w:framePr w:wrap="around" w:vAnchor="text" w:hAnchor="margin" w:xAlign="center" w:y="1"/>
      <w:rPr>
        <w:rStyle w:val="29"/>
      </w:rPr>
    </w:pPr>
    <w:r>
      <w:t xml:space="preserve">- </w:t>
    </w:r>
    <w:r>
      <w:fldChar w:fldCharType="begin"/>
    </w:r>
    <w:r>
      <w:instrText xml:space="preserve"> PAGE </w:instrText>
    </w:r>
    <w:r>
      <w:fldChar w:fldCharType="separate"/>
    </w:r>
    <w:r>
      <w:t>- 98 -</w:t>
    </w:r>
    <w:r>
      <w:fldChar w:fldCharType="end"/>
    </w:r>
    <w:r>
      <w:t xml:space="preserve"> -</w:t>
    </w:r>
  </w:p>
  <w:p w14:paraId="0DF91982">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D19BC">
    <w:pPr>
      <w:pStyle w:val="7"/>
      <w:framePr w:wrap="around" w:vAnchor="text" w:hAnchor="margin" w:xAlign="center" w:y="1"/>
      <w:rPr>
        <w:rStyle w:val="29"/>
      </w:rPr>
    </w:pPr>
    <w:r>
      <w:fldChar w:fldCharType="begin"/>
    </w:r>
    <w:r>
      <w:rPr>
        <w:rStyle w:val="29"/>
      </w:rPr>
      <w:instrText xml:space="preserve">PAGE  </w:instrText>
    </w:r>
    <w:r>
      <w:fldChar w:fldCharType="end"/>
    </w:r>
  </w:p>
  <w:p w14:paraId="4C9FDAFB">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CFE85">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042713">
                          <w:pPr>
                            <w:pStyle w:val="7"/>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2C042713">
                    <w:pPr>
                      <w:pStyle w:val="7"/>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97A57">
    <w:pPr>
      <w:pStyle w:val="17"/>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8BE4F"/>
    <w:multiLevelType w:val="singleLevel"/>
    <w:tmpl w:val="9A48BE4F"/>
    <w:lvl w:ilvl="0" w:tentative="0">
      <w:start w:val="1"/>
      <w:numFmt w:val="chineseCounting"/>
      <w:suff w:val="nothing"/>
      <w:lvlText w:val="（%1）"/>
      <w:lvlJc w:val="left"/>
      <w:pPr>
        <w:ind w:left="0" w:firstLine="420"/>
      </w:pPr>
      <w:rPr>
        <w:rFonts w:hint="eastAsia"/>
        <w:b/>
        <w:bCs/>
      </w:rPr>
    </w:lvl>
  </w:abstractNum>
  <w:abstractNum w:abstractNumId="1">
    <w:nsid w:val="B7F29D3F"/>
    <w:multiLevelType w:val="singleLevel"/>
    <w:tmpl w:val="B7F29D3F"/>
    <w:lvl w:ilvl="0" w:tentative="0">
      <w:start w:val="1"/>
      <w:numFmt w:val="chineseCounting"/>
      <w:suff w:val="nothing"/>
      <w:lvlText w:val="%1、"/>
      <w:lvlJc w:val="left"/>
      <w:pPr>
        <w:ind w:left="0" w:firstLine="420"/>
      </w:pPr>
      <w:rPr>
        <w:rFonts w:hint="eastAsia"/>
      </w:rPr>
    </w:lvl>
  </w:abstractNum>
  <w:abstractNum w:abstractNumId="2">
    <w:nsid w:val="DB811B52"/>
    <w:multiLevelType w:val="singleLevel"/>
    <w:tmpl w:val="DB811B52"/>
    <w:lvl w:ilvl="0" w:tentative="0">
      <w:start w:val="1"/>
      <w:numFmt w:val="chineseCounting"/>
      <w:suff w:val="nothing"/>
      <w:lvlText w:val="%1、"/>
      <w:lvlJc w:val="left"/>
      <w:pPr>
        <w:ind w:left="0" w:firstLine="420"/>
      </w:pPr>
      <w:rPr>
        <w:rFonts w:hint="eastAsia"/>
      </w:rPr>
    </w:lvl>
  </w:abstractNum>
  <w:abstractNum w:abstractNumId="3">
    <w:nsid w:val="DC73F8B9"/>
    <w:multiLevelType w:val="singleLevel"/>
    <w:tmpl w:val="DC73F8B9"/>
    <w:lvl w:ilvl="0" w:tentative="0">
      <w:start w:val="1"/>
      <w:numFmt w:val="decimal"/>
      <w:lvlText w:val="%1."/>
      <w:lvlJc w:val="left"/>
      <w:pPr>
        <w:ind w:left="425" w:hanging="425"/>
      </w:pPr>
      <w:rPr>
        <w:rFonts w:hint="default"/>
      </w:rPr>
    </w:lvl>
  </w:abstractNum>
  <w:abstractNum w:abstractNumId="4">
    <w:nsid w:val="E12D3261"/>
    <w:multiLevelType w:val="singleLevel"/>
    <w:tmpl w:val="E12D3261"/>
    <w:lvl w:ilvl="0" w:tentative="0">
      <w:start w:val="4"/>
      <w:numFmt w:val="chineseCounting"/>
      <w:suff w:val="nothing"/>
      <w:lvlText w:val="%1、"/>
      <w:lvlJc w:val="left"/>
      <w:rPr>
        <w:rFonts w:hint="eastAsia"/>
        <w:b/>
        <w:bCs/>
      </w:rPr>
    </w:lvl>
  </w:abstractNum>
  <w:abstractNum w:abstractNumId="5">
    <w:nsid w:val="EABBC419"/>
    <w:multiLevelType w:val="singleLevel"/>
    <w:tmpl w:val="EABBC419"/>
    <w:lvl w:ilvl="0" w:tentative="0">
      <w:start w:val="1"/>
      <w:numFmt w:val="decimal"/>
      <w:suff w:val="nothing"/>
      <w:lvlText w:val="%1．"/>
      <w:lvlJc w:val="left"/>
      <w:pPr>
        <w:ind w:left="0" w:firstLine="400"/>
      </w:pPr>
      <w:rPr>
        <w:rFonts w:hint="default"/>
      </w:rPr>
    </w:lvl>
  </w:abstractNum>
  <w:abstractNum w:abstractNumId="6">
    <w:nsid w:val="27F3295B"/>
    <w:multiLevelType w:val="singleLevel"/>
    <w:tmpl w:val="27F3295B"/>
    <w:lvl w:ilvl="0" w:tentative="0">
      <w:start w:val="5"/>
      <w:numFmt w:val="chineseCounting"/>
      <w:suff w:val="nothing"/>
      <w:lvlText w:val="%1、"/>
      <w:lvlJc w:val="left"/>
      <w:rPr>
        <w:rFonts w:hint="eastAsia"/>
      </w:rPr>
    </w:lvl>
  </w:abstractNum>
  <w:abstractNum w:abstractNumId="7">
    <w:nsid w:val="2B947E7C"/>
    <w:multiLevelType w:val="multilevel"/>
    <w:tmpl w:val="2B947E7C"/>
    <w:lvl w:ilvl="0" w:tentative="0">
      <w:start w:val="1"/>
      <w:numFmt w:val="japaneseCounting"/>
      <w:pStyle w:val="62"/>
      <w:lvlText w:val="第%1条"/>
      <w:lvlJc w:val="left"/>
      <w:pPr>
        <w:tabs>
          <w:tab w:val="left" w:pos="1140"/>
        </w:tabs>
        <w:ind w:left="1140" w:hanging="960"/>
      </w:pPr>
    </w:lvl>
    <w:lvl w:ilvl="1" w:tentative="0">
      <w:start w:val="1"/>
      <w:numFmt w:val="decimal"/>
      <w:lvlText w:val="%2."/>
      <w:lvlJc w:val="left"/>
      <w:pPr>
        <w:tabs>
          <w:tab w:val="left" w:pos="1680"/>
        </w:tabs>
        <w:ind w:left="1680" w:hanging="360"/>
      </w:pPr>
    </w:lvl>
    <w:lvl w:ilvl="2" w:tentative="0">
      <w:start w:val="1"/>
      <w:numFmt w:val="decimal"/>
      <w:lvlText w:val="%3."/>
      <w:lvlJc w:val="left"/>
      <w:pPr>
        <w:tabs>
          <w:tab w:val="left" w:pos="2400"/>
        </w:tabs>
        <w:ind w:left="2400" w:hanging="360"/>
      </w:pPr>
    </w:lvl>
    <w:lvl w:ilvl="3" w:tentative="0">
      <w:start w:val="1"/>
      <w:numFmt w:val="decimal"/>
      <w:lvlText w:val="%4."/>
      <w:lvlJc w:val="left"/>
      <w:pPr>
        <w:tabs>
          <w:tab w:val="left" w:pos="3120"/>
        </w:tabs>
        <w:ind w:left="3120" w:hanging="360"/>
      </w:pPr>
    </w:lvl>
    <w:lvl w:ilvl="4" w:tentative="0">
      <w:start w:val="1"/>
      <w:numFmt w:val="decimal"/>
      <w:lvlText w:val="%5."/>
      <w:lvlJc w:val="left"/>
      <w:pPr>
        <w:tabs>
          <w:tab w:val="left" w:pos="3840"/>
        </w:tabs>
        <w:ind w:left="3840" w:hanging="360"/>
      </w:pPr>
    </w:lvl>
    <w:lvl w:ilvl="5" w:tentative="0">
      <w:start w:val="1"/>
      <w:numFmt w:val="decimal"/>
      <w:lvlText w:val="%6."/>
      <w:lvlJc w:val="left"/>
      <w:pPr>
        <w:tabs>
          <w:tab w:val="left" w:pos="4560"/>
        </w:tabs>
        <w:ind w:left="4560" w:hanging="360"/>
      </w:pPr>
    </w:lvl>
    <w:lvl w:ilvl="6" w:tentative="0">
      <w:start w:val="1"/>
      <w:numFmt w:val="decimal"/>
      <w:lvlText w:val="%7."/>
      <w:lvlJc w:val="left"/>
      <w:pPr>
        <w:tabs>
          <w:tab w:val="left" w:pos="5280"/>
        </w:tabs>
        <w:ind w:left="5280" w:hanging="360"/>
      </w:pPr>
    </w:lvl>
    <w:lvl w:ilvl="7" w:tentative="0">
      <w:start w:val="1"/>
      <w:numFmt w:val="decimal"/>
      <w:lvlText w:val="%8."/>
      <w:lvlJc w:val="left"/>
      <w:pPr>
        <w:tabs>
          <w:tab w:val="left" w:pos="6000"/>
        </w:tabs>
        <w:ind w:left="6000" w:hanging="360"/>
      </w:pPr>
    </w:lvl>
    <w:lvl w:ilvl="8" w:tentative="0">
      <w:start w:val="1"/>
      <w:numFmt w:val="decimal"/>
      <w:lvlText w:val="%9."/>
      <w:lvlJc w:val="left"/>
      <w:pPr>
        <w:tabs>
          <w:tab w:val="left" w:pos="6720"/>
        </w:tabs>
        <w:ind w:left="6720" w:hanging="360"/>
      </w:pPr>
    </w:lvl>
  </w:abstractNum>
  <w:abstractNum w:abstractNumId="8">
    <w:nsid w:val="3693089E"/>
    <w:multiLevelType w:val="singleLevel"/>
    <w:tmpl w:val="3693089E"/>
    <w:lvl w:ilvl="0" w:tentative="0">
      <w:start w:val="1"/>
      <w:numFmt w:val="chineseCounting"/>
      <w:suff w:val="nothing"/>
      <w:lvlText w:val="%1、"/>
      <w:lvlJc w:val="left"/>
      <w:pPr>
        <w:ind w:left="0" w:firstLine="420"/>
      </w:pPr>
      <w:rPr>
        <w:rFonts w:hint="eastAsia"/>
      </w:rPr>
    </w:lvl>
  </w:abstractNum>
  <w:abstractNum w:abstractNumId="9">
    <w:nsid w:val="3EC84A5C"/>
    <w:multiLevelType w:val="multilevel"/>
    <w:tmpl w:val="3EC84A5C"/>
    <w:lvl w:ilvl="0" w:tentative="0">
      <w:start w:val="1"/>
      <w:numFmt w:val="decimal"/>
      <w:lvlText w:val="%1."/>
      <w:lvlJc w:val="left"/>
      <w:pPr>
        <w:tabs>
          <w:tab w:val="left" w:pos="907"/>
        </w:tabs>
        <w:ind w:left="907" w:hanging="907"/>
      </w:pPr>
      <w:rPr>
        <w:rFonts w:hint="default" w:ascii="Times New Roman" w:hAnsi="Times New Roman" w:cs="Times New Roman"/>
      </w:rPr>
    </w:lvl>
    <w:lvl w:ilvl="1" w:tentative="0">
      <w:start w:val="1"/>
      <w:numFmt w:val="decimal"/>
      <w:lvlText w:val="%1.%2."/>
      <w:lvlJc w:val="left"/>
      <w:pPr>
        <w:ind w:left="907" w:firstLine="0"/>
      </w:pPr>
      <w:rPr>
        <w:rFonts w:hint="eastAsia"/>
      </w:rPr>
    </w:lvl>
    <w:lvl w:ilvl="2" w:tentative="0">
      <w:start w:val="1"/>
      <w:numFmt w:val="decimal"/>
      <w:lvlText w:val="%1.%2.%3."/>
      <w:lvlJc w:val="left"/>
      <w:pPr>
        <w:ind w:left="1814" w:firstLine="0"/>
      </w:pPr>
      <w:rPr>
        <w:rFonts w:hint="eastAsia"/>
      </w:rPr>
    </w:lvl>
    <w:lvl w:ilvl="3" w:tentative="0">
      <w:start w:val="1"/>
      <w:numFmt w:val="decimal"/>
      <w:lvlText w:val="%1.%2.%3.%4."/>
      <w:lvlJc w:val="left"/>
      <w:pPr>
        <w:ind w:left="2721" w:firstLine="0"/>
      </w:pPr>
      <w:rPr>
        <w:rFonts w:hint="eastAsia"/>
      </w:rPr>
    </w:lvl>
    <w:lvl w:ilvl="4" w:tentative="0">
      <w:start w:val="1"/>
      <w:numFmt w:val="decimal"/>
      <w:lvlText w:val="%1.%2.%3.%4.%5."/>
      <w:lvlJc w:val="left"/>
      <w:pPr>
        <w:ind w:left="3628" w:firstLine="0"/>
      </w:pPr>
      <w:rPr>
        <w:rFonts w:hint="eastAsia"/>
      </w:rPr>
    </w:lvl>
    <w:lvl w:ilvl="5" w:tentative="0">
      <w:start w:val="1"/>
      <w:numFmt w:val="decimal"/>
      <w:lvlText w:val="%1.%2.%3.%4.%5.%6."/>
      <w:lvlJc w:val="left"/>
      <w:pPr>
        <w:ind w:left="4535" w:firstLine="0"/>
      </w:pPr>
      <w:rPr>
        <w:rFonts w:hint="eastAsia"/>
      </w:rPr>
    </w:lvl>
    <w:lvl w:ilvl="6" w:tentative="0">
      <w:start w:val="1"/>
      <w:numFmt w:val="decimal"/>
      <w:lvlText w:val="%1.%2.%3.%4.%5.%6.%7."/>
      <w:lvlJc w:val="left"/>
      <w:pPr>
        <w:ind w:left="5442" w:firstLine="0"/>
      </w:pPr>
      <w:rPr>
        <w:rFonts w:hint="eastAsia"/>
      </w:rPr>
    </w:lvl>
    <w:lvl w:ilvl="7" w:tentative="0">
      <w:start w:val="1"/>
      <w:numFmt w:val="decimal"/>
      <w:lvlText w:val="%1.%2.%3.%4.%5.%6.%7.%8."/>
      <w:lvlJc w:val="left"/>
      <w:pPr>
        <w:ind w:left="6349" w:firstLine="0"/>
      </w:pPr>
      <w:rPr>
        <w:rFonts w:hint="eastAsia"/>
      </w:rPr>
    </w:lvl>
    <w:lvl w:ilvl="8" w:tentative="0">
      <w:start w:val="1"/>
      <w:numFmt w:val="decimal"/>
      <w:lvlText w:val="%1.%2.%3.%4.%5.%6.%7.%8.%9."/>
      <w:lvlJc w:val="left"/>
      <w:pPr>
        <w:ind w:left="7256" w:firstLine="0"/>
      </w:pPr>
      <w:rPr>
        <w:rFonts w:hint="eastAsia"/>
      </w:rPr>
    </w:lvl>
  </w:abstractNum>
  <w:abstractNum w:abstractNumId="10">
    <w:nsid w:val="40A41628"/>
    <w:multiLevelType w:val="multilevel"/>
    <w:tmpl w:val="40A4162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F63110B"/>
    <w:multiLevelType w:val="singleLevel"/>
    <w:tmpl w:val="6F63110B"/>
    <w:lvl w:ilvl="0" w:tentative="0">
      <w:start w:val="1"/>
      <w:numFmt w:val="chineseCounting"/>
      <w:suff w:val="nothing"/>
      <w:lvlText w:val="%1、"/>
      <w:lvlJc w:val="left"/>
      <w:pPr>
        <w:ind w:left="0" w:firstLine="420"/>
      </w:pPr>
      <w:rPr>
        <w:rFonts w:hint="eastAsia"/>
      </w:rPr>
    </w:lvl>
  </w:abstractNum>
  <w:abstractNum w:abstractNumId="12">
    <w:nsid w:val="73303DA0"/>
    <w:multiLevelType w:val="multilevel"/>
    <w:tmpl w:val="73303DA0"/>
    <w:lvl w:ilvl="0" w:tentative="0">
      <w:start w:val="1"/>
      <w:numFmt w:val="chineseCountingThousand"/>
      <w:pStyle w:val="63"/>
      <w:lvlText w:val="第%1条"/>
      <w:lvlJc w:val="left"/>
      <w:pPr>
        <w:tabs>
          <w:tab w:val="left" w:pos="1995"/>
        </w:tabs>
        <w:ind w:left="1995" w:hanging="1455"/>
      </w:pPr>
      <w:rPr>
        <w:rFonts w:hint="default"/>
        <w:b/>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CA15D09"/>
    <w:multiLevelType w:val="singleLevel"/>
    <w:tmpl w:val="7CA15D09"/>
    <w:lvl w:ilvl="0" w:tentative="0">
      <w:start w:val="1"/>
      <w:numFmt w:val="chineseCounting"/>
      <w:suff w:val="nothing"/>
      <w:lvlText w:val="%1、"/>
      <w:lvlJc w:val="left"/>
      <w:pPr>
        <w:ind w:left="0" w:firstLine="420"/>
      </w:pPr>
      <w:rPr>
        <w:rFonts w:hint="eastAsia"/>
        <w:b/>
        <w:bCs/>
        <w:sz w:val="32"/>
        <w:szCs w:val="32"/>
      </w:rPr>
    </w:lvl>
  </w:abstractNum>
  <w:num w:numId="1">
    <w:abstractNumId w:val="7"/>
  </w:num>
  <w:num w:numId="2">
    <w:abstractNumId w:val="12"/>
  </w:num>
  <w:num w:numId="3">
    <w:abstractNumId w:val="4"/>
  </w:num>
  <w:num w:numId="4">
    <w:abstractNumId w:val="10"/>
  </w:num>
  <w:num w:numId="5">
    <w:abstractNumId w:val="1"/>
  </w:num>
  <w:num w:numId="6">
    <w:abstractNumId w:val="5"/>
  </w:num>
  <w:num w:numId="7">
    <w:abstractNumId w:val="11"/>
  </w:num>
  <w:num w:numId="8">
    <w:abstractNumId w:val="13"/>
  </w:num>
  <w:num w:numId="9">
    <w:abstractNumId w:val="0"/>
  </w:num>
  <w:num w:numId="10">
    <w:abstractNumId w:val="3"/>
  </w:num>
  <w:num w:numId="11">
    <w:abstractNumId w:val="8"/>
  </w:num>
  <w:num w:numId="12">
    <w:abstractNumId w:val="6"/>
  </w:num>
  <w:num w:numId="13">
    <w:abstractNumId w:val="9"/>
  </w:num>
  <w:num w:numId="14">
    <w:abstractNumId w:val="9"/>
    <w:lvlOverride w:ilvl="0">
      <w:lvl w:ilvl="0" w:tentative="1">
        <w:start w:val="1"/>
        <w:numFmt w:val="decimal"/>
        <w:lvlText w:val="%1."/>
        <w:lvlJc w:val="left"/>
        <w:pPr>
          <w:tabs>
            <w:tab w:val="left" w:pos="907"/>
          </w:tabs>
          <w:ind w:left="907" w:hanging="907"/>
        </w:pPr>
        <w:rPr>
          <w:rFonts w:hint="eastAsia"/>
        </w:rPr>
      </w:lvl>
    </w:lvlOverride>
    <w:lvlOverride w:ilvl="1">
      <w:lvl w:ilvl="1" w:tentative="1">
        <w:start w:val="1"/>
        <w:numFmt w:val="decimal"/>
        <w:lvlText w:val="%1.%2."/>
        <w:lvlJc w:val="left"/>
        <w:pPr>
          <w:tabs>
            <w:tab w:val="left" w:pos="907"/>
          </w:tabs>
          <w:ind w:left="907" w:hanging="907"/>
        </w:pPr>
        <w:rPr>
          <w:rFonts w:hint="default" w:ascii="Times New Roman" w:hAnsi="Times New Roman" w:cs="Times New Roman"/>
          <w:b w:val="0"/>
        </w:rPr>
      </w:lvl>
    </w:lvlOverride>
    <w:lvlOverride w:ilvl="2">
      <w:lvl w:ilvl="2" w:tentative="1">
        <w:start w:val="1"/>
        <w:numFmt w:val="decimal"/>
        <w:lvlText w:val="%1.%2.%3."/>
        <w:lvlJc w:val="left"/>
        <w:pPr>
          <w:ind w:left="1814" w:firstLine="0"/>
        </w:pPr>
        <w:rPr>
          <w:rFonts w:hint="eastAsia"/>
        </w:rPr>
      </w:lvl>
    </w:lvlOverride>
    <w:lvlOverride w:ilvl="3">
      <w:lvl w:ilvl="3" w:tentative="1">
        <w:start w:val="1"/>
        <w:numFmt w:val="decimal"/>
        <w:lvlText w:val="%1.%2.%3.%4."/>
        <w:lvlJc w:val="left"/>
        <w:pPr>
          <w:ind w:left="2721" w:firstLine="0"/>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15">
    <w:abstractNumId w:val="9"/>
    <w:lvlOverride w:ilvl="0">
      <w:lvl w:ilvl="0" w:tentative="1">
        <w:start w:val="1"/>
        <w:numFmt w:val="decimal"/>
        <w:lvlText w:val="%1."/>
        <w:lvlJc w:val="left"/>
        <w:pPr>
          <w:tabs>
            <w:tab w:val="left" w:pos="907"/>
          </w:tabs>
          <w:ind w:left="907" w:hanging="907"/>
        </w:pPr>
        <w:rPr>
          <w:rFonts w:hint="eastAsia"/>
        </w:rPr>
      </w:lvl>
    </w:lvlOverride>
    <w:lvlOverride w:ilvl="1">
      <w:lvl w:ilvl="1" w:tentative="1">
        <w:start w:val="1"/>
        <w:numFmt w:val="decimal"/>
        <w:lvlText w:val="%1.%2."/>
        <w:lvlJc w:val="left"/>
        <w:pPr>
          <w:tabs>
            <w:tab w:val="left" w:pos="907"/>
          </w:tabs>
          <w:ind w:left="907" w:hanging="907"/>
        </w:pPr>
        <w:rPr>
          <w:rFonts w:hint="eastAsia"/>
        </w:rPr>
      </w:lvl>
    </w:lvlOverride>
    <w:lvlOverride w:ilvl="2">
      <w:lvl w:ilvl="2" w:tentative="1">
        <w:start w:val="1"/>
        <w:numFmt w:val="decimal"/>
        <w:lvlText w:val="%1.%2.%3."/>
        <w:lvlJc w:val="left"/>
        <w:pPr>
          <w:tabs>
            <w:tab w:val="left" w:pos="907"/>
          </w:tabs>
          <w:ind w:left="907" w:hanging="907"/>
        </w:pPr>
        <w:rPr>
          <w:rFonts w:hint="eastAsia"/>
        </w:rPr>
      </w:lvl>
    </w:lvlOverride>
    <w:lvlOverride w:ilvl="3">
      <w:lvl w:ilvl="3" w:tentative="1">
        <w:start w:val="1"/>
        <w:numFmt w:val="decimal"/>
        <w:lvlText w:val="%1.%2.%3.%4."/>
        <w:lvlJc w:val="left"/>
        <w:pPr>
          <w:ind w:left="2721" w:firstLine="0"/>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16">
    <w:abstractNumId w:val="9"/>
    <w:lvlOverride w:ilvl="0">
      <w:lvl w:ilvl="0" w:tentative="1">
        <w:start w:val="1"/>
        <w:numFmt w:val="decimal"/>
        <w:lvlText w:val="%1."/>
        <w:lvlJc w:val="left"/>
        <w:pPr>
          <w:tabs>
            <w:tab w:val="left" w:pos="907"/>
          </w:tabs>
          <w:ind w:left="907" w:hanging="907"/>
        </w:pPr>
        <w:rPr>
          <w:rFonts w:hint="eastAsia"/>
        </w:rPr>
      </w:lvl>
    </w:lvlOverride>
    <w:lvlOverride w:ilvl="1">
      <w:lvl w:ilvl="1" w:tentative="1">
        <w:start w:val="1"/>
        <w:numFmt w:val="decimal"/>
        <w:lvlText w:val="%1.%2."/>
        <w:lvlJc w:val="left"/>
        <w:pPr>
          <w:tabs>
            <w:tab w:val="left" w:pos="907"/>
          </w:tabs>
          <w:ind w:left="907" w:hanging="907"/>
        </w:pPr>
        <w:rPr>
          <w:rFonts w:hint="eastAsia"/>
        </w:rPr>
      </w:lvl>
    </w:lvlOverride>
    <w:lvlOverride w:ilvl="2">
      <w:lvl w:ilvl="2" w:tentative="1">
        <w:start w:val="1"/>
        <w:numFmt w:val="decimal"/>
        <w:lvlText w:val="%1.%2.%3."/>
        <w:lvlJc w:val="left"/>
        <w:pPr>
          <w:tabs>
            <w:tab w:val="left" w:pos="907"/>
          </w:tabs>
          <w:ind w:left="907" w:hanging="907"/>
        </w:pPr>
        <w:rPr>
          <w:rFonts w:hint="eastAsia"/>
        </w:rPr>
      </w:lvl>
    </w:lvlOverride>
    <w:lvlOverride w:ilvl="3">
      <w:lvl w:ilvl="3" w:tentative="1">
        <w:start w:val="1"/>
        <w:numFmt w:val="decimal"/>
        <w:lvlText w:val="%1.%2.%3.%4."/>
        <w:lvlJc w:val="left"/>
        <w:pPr>
          <w:tabs>
            <w:tab w:val="left" w:pos="907"/>
          </w:tabs>
          <w:ind w:left="907" w:hanging="907"/>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17">
    <w:abstractNumId w:val="2"/>
  </w:num>
  <w:num w:numId="18">
    <w:abstractNumId w:val="9"/>
    <w:lvlOverride w:ilvl="0">
      <w:lvl w:ilvl="0" w:tentative="1">
        <w:start w:val="1"/>
        <w:numFmt w:val="decimal"/>
        <w:lvlText w:val="%1."/>
        <w:lvlJc w:val="left"/>
        <w:pPr>
          <w:tabs>
            <w:tab w:val="left" w:pos="907"/>
          </w:tabs>
          <w:ind w:left="907" w:hanging="907"/>
        </w:pPr>
        <w:rPr>
          <w:rFonts w:hint="eastAsia"/>
        </w:rPr>
      </w:lvl>
    </w:lvlOverride>
    <w:lvlOverride w:ilvl="1">
      <w:lvl w:ilvl="1" w:tentative="1">
        <w:start w:val="1"/>
        <w:numFmt w:val="decimal"/>
        <w:lvlText w:val="%1.%2."/>
        <w:lvlJc w:val="left"/>
        <w:pPr>
          <w:tabs>
            <w:tab w:val="left" w:pos="907"/>
          </w:tabs>
          <w:ind w:left="907" w:hanging="907"/>
        </w:pPr>
        <w:rPr>
          <w:rFonts w:hint="eastAsia"/>
        </w:rPr>
      </w:lvl>
    </w:lvlOverride>
    <w:lvlOverride w:ilvl="2">
      <w:lvl w:ilvl="2" w:tentative="1">
        <w:start w:val="1"/>
        <w:numFmt w:val="decimal"/>
        <w:lvlText w:val="%1.%2.%3."/>
        <w:lvlJc w:val="left"/>
        <w:pPr>
          <w:tabs>
            <w:tab w:val="left" w:pos="907"/>
          </w:tabs>
          <w:ind w:left="907" w:hanging="907"/>
        </w:pPr>
        <w:rPr>
          <w:rFonts w:hint="default" w:ascii="Times New Roman" w:hAnsi="Times New Roman" w:cs="Times New Roman"/>
        </w:rPr>
      </w:lvl>
    </w:lvlOverride>
    <w:lvlOverride w:ilvl="3">
      <w:lvl w:ilvl="3" w:tentative="1">
        <w:start w:val="1"/>
        <w:numFmt w:val="decimal"/>
        <w:lvlText w:val="%1.%2.%3.%4."/>
        <w:lvlJc w:val="left"/>
        <w:pPr>
          <w:ind w:left="2721" w:firstLine="0"/>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ZDI3ZDEwZDA0ZmRlNjY1M2I4NzFiYjc1ZTVlZTEifQ=="/>
    <w:docVar w:name="KSO_WPS_MARK_KEY" w:val="739ef164-01c8-4600-b862-46e1c9d53cfc"/>
    <w:docVar w:name="KY_MEDREF_DOCUID" w:val="{ED0D8092-13DF-4E37-A776-E239325999ED}"/>
    <w:docVar w:name="KY_MEDREF_VERSION" w:val="3"/>
  </w:docVars>
  <w:rsids>
    <w:rsidRoot w:val="111F1C12"/>
    <w:rsid w:val="00025372"/>
    <w:rsid w:val="00050E60"/>
    <w:rsid w:val="00054655"/>
    <w:rsid w:val="00077055"/>
    <w:rsid w:val="000917A8"/>
    <w:rsid w:val="00091E22"/>
    <w:rsid w:val="000B73DB"/>
    <w:rsid w:val="000E5279"/>
    <w:rsid w:val="000E7A40"/>
    <w:rsid w:val="000F107D"/>
    <w:rsid w:val="000F3AC7"/>
    <w:rsid w:val="000F68E6"/>
    <w:rsid w:val="001017E5"/>
    <w:rsid w:val="001064AC"/>
    <w:rsid w:val="00125E13"/>
    <w:rsid w:val="0013006D"/>
    <w:rsid w:val="0013426D"/>
    <w:rsid w:val="00136660"/>
    <w:rsid w:val="00145826"/>
    <w:rsid w:val="00192E06"/>
    <w:rsid w:val="001A55AD"/>
    <w:rsid w:val="001D4DB9"/>
    <w:rsid w:val="001D7355"/>
    <w:rsid w:val="001E6B2E"/>
    <w:rsid w:val="00205435"/>
    <w:rsid w:val="002106D2"/>
    <w:rsid w:val="00216CF5"/>
    <w:rsid w:val="00223153"/>
    <w:rsid w:val="00236423"/>
    <w:rsid w:val="00237426"/>
    <w:rsid w:val="00240044"/>
    <w:rsid w:val="0024166A"/>
    <w:rsid w:val="002430C2"/>
    <w:rsid w:val="00245D95"/>
    <w:rsid w:val="002477B4"/>
    <w:rsid w:val="00260379"/>
    <w:rsid w:val="002645BE"/>
    <w:rsid w:val="002A368A"/>
    <w:rsid w:val="002C092F"/>
    <w:rsid w:val="002C2F28"/>
    <w:rsid w:val="002C716E"/>
    <w:rsid w:val="002D57FE"/>
    <w:rsid w:val="002D6464"/>
    <w:rsid w:val="00310E62"/>
    <w:rsid w:val="00322BB4"/>
    <w:rsid w:val="00334ACA"/>
    <w:rsid w:val="00344D33"/>
    <w:rsid w:val="00345292"/>
    <w:rsid w:val="00347A58"/>
    <w:rsid w:val="00351787"/>
    <w:rsid w:val="003A6F84"/>
    <w:rsid w:val="003B5438"/>
    <w:rsid w:val="003C3A7B"/>
    <w:rsid w:val="003D43E5"/>
    <w:rsid w:val="003D6082"/>
    <w:rsid w:val="003F71F9"/>
    <w:rsid w:val="00423A6D"/>
    <w:rsid w:val="004250E5"/>
    <w:rsid w:val="0043126B"/>
    <w:rsid w:val="00464B7D"/>
    <w:rsid w:val="004E3386"/>
    <w:rsid w:val="004E781D"/>
    <w:rsid w:val="00500641"/>
    <w:rsid w:val="00504515"/>
    <w:rsid w:val="0051299F"/>
    <w:rsid w:val="0057275C"/>
    <w:rsid w:val="005A5573"/>
    <w:rsid w:val="006006F4"/>
    <w:rsid w:val="006147B8"/>
    <w:rsid w:val="00624D6C"/>
    <w:rsid w:val="0065443A"/>
    <w:rsid w:val="006571DE"/>
    <w:rsid w:val="00660774"/>
    <w:rsid w:val="00666B5D"/>
    <w:rsid w:val="00667D70"/>
    <w:rsid w:val="006715DB"/>
    <w:rsid w:val="006834B8"/>
    <w:rsid w:val="006913AB"/>
    <w:rsid w:val="006A2FEB"/>
    <w:rsid w:val="006A6EC6"/>
    <w:rsid w:val="006A7E03"/>
    <w:rsid w:val="006B1E7E"/>
    <w:rsid w:val="006E6760"/>
    <w:rsid w:val="006F7915"/>
    <w:rsid w:val="00716EBA"/>
    <w:rsid w:val="00723BDC"/>
    <w:rsid w:val="007501E6"/>
    <w:rsid w:val="00753208"/>
    <w:rsid w:val="00766CA4"/>
    <w:rsid w:val="00767ED3"/>
    <w:rsid w:val="00770598"/>
    <w:rsid w:val="007D5C80"/>
    <w:rsid w:val="007D74EB"/>
    <w:rsid w:val="0081029B"/>
    <w:rsid w:val="00816FF3"/>
    <w:rsid w:val="00825BC6"/>
    <w:rsid w:val="0083717B"/>
    <w:rsid w:val="00845113"/>
    <w:rsid w:val="008572D0"/>
    <w:rsid w:val="008828CD"/>
    <w:rsid w:val="008925B1"/>
    <w:rsid w:val="00892E36"/>
    <w:rsid w:val="008A14A9"/>
    <w:rsid w:val="008C035C"/>
    <w:rsid w:val="008E00ED"/>
    <w:rsid w:val="008F1B79"/>
    <w:rsid w:val="008F2B92"/>
    <w:rsid w:val="00913478"/>
    <w:rsid w:val="00941A71"/>
    <w:rsid w:val="009908A5"/>
    <w:rsid w:val="009B02EC"/>
    <w:rsid w:val="009F5699"/>
    <w:rsid w:val="00A03848"/>
    <w:rsid w:val="00A14185"/>
    <w:rsid w:val="00A4253D"/>
    <w:rsid w:val="00A57C9D"/>
    <w:rsid w:val="00A64286"/>
    <w:rsid w:val="00A6660F"/>
    <w:rsid w:val="00A66CF9"/>
    <w:rsid w:val="00A8090A"/>
    <w:rsid w:val="00A831F3"/>
    <w:rsid w:val="00AA49C5"/>
    <w:rsid w:val="00AA7A5D"/>
    <w:rsid w:val="00AD61FF"/>
    <w:rsid w:val="00AE0AAC"/>
    <w:rsid w:val="00AE67FD"/>
    <w:rsid w:val="00AF632E"/>
    <w:rsid w:val="00B14DD7"/>
    <w:rsid w:val="00B14E83"/>
    <w:rsid w:val="00B16FF1"/>
    <w:rsid w:val="00B8434E"/>
    <w:rsid w:val="00B931E9"/>
    <w:rsid w:val="00B97621"/>
    <w:rsid w:val="00BA373F"/>
    <w:rsid w:val="00BC1242"/>
    <w:rsid w:val="00BC7790"/>
    <w:rsid w:val="00BE1753"/>
    <w:rsid w:val="00BE715C"/>
    <w:rsid w:val="00C02852"/>
    <w:rsid w:val="00C406FC"/>
    <w:rsid w:val="00C617D0"/>
    <w:rsid w:val="00C901E2"/>
    <w:rsid w:val="00CA0ADD"/>
    <w:rsid w:val="00CA44A5"/>
    <w:rsid w:val="00CA515C"/>
    <w:rsid w:val="00CB1AFC"/>
    <w:rsid w:val="00CC3593"/>
    <w:rsid w:val="00D16173"/>
    <w:rsid w:val="00D24858"/>
    <w:rsid w:val="00D26ED3"/>
    <w:rsid w:val="00D3365E"/>
    <w:rsid w:val="00D33E10"/>
    <w:rsid w:val="00D41333"/>
    <w:rsid w:val="00D42607"/>
    <w:rsid w:val="00D43F4F"/>
    <w:rsid w:val="00D471A0"/>
    <w:rsid w:val="00D879BB"/>
    <w:rsid w:val="00DA48E7"/>
    <w:rsid w:val="00DA52B7"/>
    <w:rsid w:val="00DB526A"/>
    <w:rsid w:val="00DD2A84"/>
    <w:rsid w:val="00DD716D"/>
    <w:rsid w:val="00DF7184"/>
    <w:rsid w:val="00E1338A"/>
    <w:rsid w:val="00E16028"/>
    <w:rsid w:val="00E26492"/>
    <w:rsid w:val="00E33AAE"/>
    <w:rsid w:val="00E33B6A"/>
    <w:rsid w:val="00E4507B"/>
    <w:rsid w:val="00E53795"/>
    <w:rsid w:val="00E55EBE"/>
    <w:rsid w:val="00E73DAD"/>
    <w:rsid w:val="00E837EB"/>
    <w:rsid w:val="00E8454E"/>
    <w:rsid w:val="00E94FCD"/>
    <w:rsid w:val="00E94FF0"/>
    <w:rsid w:val="00EA3129"/>
    <w:rsid w:val="00EA6752"/>
    <w:rsid w:val="00EB59A0"/>
    <w:rsid w:val="00EB6E37"/>
    <w:rsid w:val="00EC283E"/>
    <w:rsid w:val="00EC35B9"/>
    <w:rsid w:val="00EC626C"/>
    <w:rsid w:val="00ED0194"/>
    <w:rsid w:val="00ED1145"/>
    <w:rsid w:val="00F231B0"/>
    <w:rsid w:val="00F70744"/>
    <w:rsid w:val="00F7127D"/>
    <w:rsid w:val="00F739F3"/>
    <w:rsid w:val="00F92CB1"/>
    <w:rsid w:val="00FC1F4C"/>
    <w:rsid w:val="00FC269C"/>
    <w:rsid w:val="00FD1FCC"/>
    <w:rsid w:val="00FE459D"/>
    <w:rsid w:val="00FE4EC4"/>
    <w:rsid w:val="00FF3A5A"/>
    <w:rsid w:val="01171874"/>
    <w:rsid w:val="017524AC"/>
    <w:rsid w:val="01BF684C"/>
    <w:rsid w:val="01EA4745"/>
    <w:rsid w:val="01F75672"/>
    <w:rsid w:val="01FA04C5"/>
    <w:rsid w:val="020D1169"/>
    <w:rsid w:val="021A2464"/>
    <w:rsid w:val="021B0C49"/>
    <w:rsid w:val="023C403F"/>
    <w:rsid w:val="024737BC"/>
    <w:rsid w:val="02D07585"/>
    <w:rsid w:val="033E78DF"/>
    <w:rsid w:val="0352760B"/>
    <w:rsid w:val="03631C8B"/>
    <w:rsid w:val="03811A4F"/>
    <w:rsid w:val="038B349C"/>
    <w:rsid w:val="03DB586B"/>
    <w:rsid w:val="040C554B"/>
    <w:rsid w:val="043571F4"/>
    <w:rsid w:val="04450A30"/>
    <w:rsid w:val="04895010"/>
    <w:rsid w:val="04A15CEF"/>
    <w:rsid w:val="04EA6DAD"/>
    <w:rsid w:val="050E1B56"/>
    <w:rsid w:val="052440AA"/>
    <w:rsid w:val="052821B7"/>
    <w:rsid w:val="057328C1"/>
    <w:rsid w:val="059C7E7E"/>
    <w:rsid w:val="05BE17B7"/>
    <w:rsid w:val="05C35700"/>
    <w:rsid w:val="05E91C78"/>
    <w:rsid w:val="06041055"/>
    <w:rsid w:val="06077BAA"/>
    <w:rsid w:val="06124094"/>
    <w:rsid w:val="06182ECF"/>
    <w:rsid w:val="062F531D"/>
    <w:rsid w:val="06444482"/>
    <w:rsid w:val="06642D2D"/>
    <w:rsid w:val="066637C1"/>
    <w:rsid w:val="0683598A"/>
    <w:rsid w:val="068A0238"/>
    <w:rsid w:val="068D7149"/>
    <w:rsid w:val="06B20AB5"/>
    <w:rsid w:val="06C377E9"/>
    <w:rsid w:val="06C85F4E"/>
    <w:rsid w:val="06E130D0"/>
    <w:rsid w:val="06EA6EE5"/>
    <w:rsid w:val="06FF6413"/>
    <w:rsid w:val="07137B80"/>
    <w:rsid w:val="0715005E"/>
    <w:rsid w:val="07244DC3"/>
    <w:rsid w:val="07311DB0"/>
    <w:rsid w:val="073D2295"/>
    <w:rsid w:val="07434BCA"/>
    <w:rsid w:val="074866C1"/>
    <w:rsid w:val="07556B9F"/>
    <w:rsid w:val="07602738"/>
    <w:rsid w:val="07A0764E"/>
    <w:rsid w:val="07E9590B"/>
    <w:rsid w:val="081F7CA2"/>
    <w:rsid w:val="08295EAC"/>
    <w:rsid w:val="08471265"/>
    <w:rsid w:val="0859325F"/>
    <w:rsid w:val="08617BB8"/>
    <w:rsid w:val="08A63A80"/>
    <w:rsid w:val="08CB3009"/>
    <w:rsid w:val="08E67235"/>
    <w:rsid w:val="08F0369A"/>
    <w:rsid w:val="08F4099F"/>
    <w:rsid w:val="092843E4"/>
    <w:rsid w:val="092A6EDD"/>
    <w:rsid w:val="09360823"/>
    <w:rsid w:val="093D3F11"/>
    <w:rsid w:val="094579E0"/>
    <w:rsid w:val="09542F09"/>
    <w:rsid w:val="09747ABE"/>
    <w:rsid w:val="09910E66"/>
    <w:rsid w:val="09B30A80"/>
    <w:rsid w:val="09B9637A"/>
    <w:rsid w:val="0A1F4F16"/>
    <w:rsid w:val="0A290CAB"/>
    <w:rsid w:val="0A3A6153"/>
    <w:rsid w:val="0A401079"/>
    <w:rsid w:val="0A47502A"/>
    <w:rsid w:val="0A481C45"/>
    <w:rsid w:val="0A5C19EE"/>
    <w:rsid w:val="0A7871DF"/>
    <w:rsid w:val="0A940473"/>
    <w:rsid w:val="0ABD30D5"/>
    <w:rsid w:val="0AD81306"/>
    <w:rsid w:val="0AEB33E1"/>
    <w:rsid w:val="0AF07F6C"/>
    <w:rsid w:val="0B074A0C"/>
    <w:rsid w:val="0B0A78BD"/>
    <w:rsid w:val="0B2D7384"/>
    <w:rsid w:val="0B4C726D"/>
    <w:rsid w:val="0B900E77"/>
    <w:rsid w:val="0B954157"/>
    <w:rsid w:val="0BAA38F6"/>
    <w:rsid w:val="0BAC61CD"/>
    <w:rsid w:val="0BAF0A57"/>
    <w:rsid w:val="0BAF0F44"/>
    <w:rsid w:val="0BB66575"/>
    <w:rsid w:val="0BCB720C"/>
    <w:rsid w:val="0BE47A58"/>
    <w:rsid w:val="0BF405EF"/>
    <w:rsid w:val="0C4B235C"/>
    <w:rsid w:val="0C596848"/>
    <w:rsid w:val="0C846488"/>
    <w:rsid w:val="0CA13E02"/>
    <w:rsid w:val="0CE10450"/>
    <w:rsid w:val="0CE26C44"/>
    <w:rsid w:val="0CFD1E39"/>
    <w:rsid w:val="0D1643D4"/>
    <w:rsid w:val="0D2E0223"/>
    <w:rsid w:val="0D421223"/>
    <w:rsid w:val="0D50409B"/>
    <w:rsid w:val="0D656FF1"/>
    <w:rsid w:val="0D747B9F"/>
    <w:rsid w:val="0D786D53"/>
    <w:rsid w:val="0D8538FD"/>
    <w:rsid w:val="0D9E7E0F"/>
    <w:rsid w:val="0DEE0D57"/>
    <w:rsid w:val="0DFE0CAB"/>
    <w:rsid w:val="0E0D7668"/>
    <w:rsid w:val="0E0F0455"/>
    <w:rsid w:val="0E25637E"/>
    <w:rsid w:val="0E63372C"/>
    <w:rsid w:val="0E6713DE"/>
    <w:rsid w:val="0E7D1618"/>
    <w:rsid w:val="0E866879"/>
    <w:rsid w:val="0E9C07DF"/>
    <w:rsid w:val="0EC37539"/>
    <w:rsid w:val="0EDC5A85"/>
    <w:rsid w:val="0EE41B4B"/>
    <w:rsid w:val="0F047432"/>
    <w:rsid w:val="0F0F2851"/>
    <w:rsid w:val="0F182FFF"/>
    <w:rsid w:val="0F557D79"/>
    <w:rsid w:val="0F5A3BB7"/>
    <w:rsid w:val="0F620892"/>
    <w:rsid w:val="0F6438FD"/>
    <w:rsid w:val="0F6C4862"/>
    <w:rsid w:val="0F792A4E"/>
    <w:rsid w:val="0F837E3C"/>
    <w:rsid w:val="0F897A97"/>
    <w:rsid w:val="0F9C7222"/>
    <w:rsid w:val="0FAA7569"/>
    <w:rsid w:val="0FB2755A"/>
    <w:rsid w:val="0FB85196"/>
    <w:rsid w:val="0FBC27E7"/>
    <w:rsid w:val="0FC9044A"/>
    <w:rsid w:val="0FDF156F"/>
    <w:rsid w:val="0FE003D1"/>
    <w:rsid w:val="0FE521B8"/>
    <w:rsid w:val="100D3ADF"/>
    <w:rsid w:val="10190B67"/>
    <w:rsid w:val="10200ADA"/>
    <w:rsid w:val="103A3783"/>
    <w:rsid w:val="103F62B9"/>
    <w:rsid w:val="10403C1F"/>
    <w:rsid w:val="10467C22"/>
    <w:rsid w:val="106741E2"/>
    <w:rsid w:val="10887051"/>
    <w:rsid w:val="109B03CC"/>
    <w:rsid w:val="10B64CFD"/>
    <w:rsid w:val="10BF633C"/>
    <w:rsid w:val="10CC55B8"/>
    <w:rsid w:val="10E459A2"/>
    <w:rsid w:val="10E95878"/>
    <w:rsid w:val="10ED6A1B"/>
    <w:rsid w:val="1112341C"/>
    <w:rsid w:val="111F1C12"/>
    <w:rsid w:val="1123321C"/>
    <w:rsid w:val="11BC6E21"/>
    <w:rsid w:val="11C210CA"/>
    <w:rsid w:val="12025C94"/>
    <w:rsid w:val="120E4821"/>
    <w:rsid w:val="123521D9"/>
    <w:rsid w:val="126070F5"/>
    <w:rsid w:val="1278022E"/>
    <w:rsid w:val="127F5D15"/>
    <w:rsid w:val="12C92D09"/>
    <w:rsid w:val="12CC2940"/>
    <w:rsid w:val="12E5655F"/>
    <w:rsid w:val="134A38F4"/>
    <w:rsid w:val="13555E1B"/>
    <w:rsid w:val="13685214"/>
    <w:rsid w:val="139A6375"/>
    <w:rsid w:val="13A36355"/>
    <w:rsid w:val="13AC1068"/>
    <w:rsid w:val="13B7026F"/>
    <w:rsid w:val="13CA33DC"/>
    <w:rsid w:val="13D374FE"/>
    <w:rsid w:val="13D92D8C"/>
    <w:rsid w:val="13D95916"/>
    <w:rsid w:val="13DD7A91"/>
    <w:rsid w:val="13EE73C3"/>
    <w:rsid w:val="1409137B"/>
    <w:rsid w:val="14134B87"/>
    <w:rsid w:val="144E64F9"/>
    <w:rsid w:val="1460330F"/>
    <w:rsid w:val="14673F8D"/>
    <w:rsid w:val="148038B7"/>
    <w:rsid w:val="14A16B75"/>
    <w:rsid w:val="14D24504"/>
    <w:rsid w:val="14F24BCB"/>
    <w:rsid w:val="14F41125"/>
    <w:rsid w:val="14F52CBF"/>
    <w:rsid w:val="15167B96"/>
    <w:rsid w:val="152568D0"/>
    <w:rsid w:val="152908CD"/>
    <w:rsid w:val="153E5868"/>
    <w:rsid w:val="154611F2"/>
    <w:rsid w:val="15724426"/>
    <w:rsid w:val="15755BD9"/>
    <w:rsid w:val="158731F7"/>
    <w:rsid w:val="158B56CD"/>
    <w:rsid w:val="159026A3"/>
    <w:rsid w:val="15941104"/>
    <w:rsid w:val="15D11126"/>
    <w:rsid w:val="15D50EE4"/>
    <w:rsid w:val="15FD5029"/>
    <w:rsid w:val="161F1D1F"/>
    <w:rsid w:val="162453F6"/>
    <w:rsid w:val="163C6D3C"/>
    <w:rsid w:val="16417F89"/>
    <w:rsid w:val="1677709B"/>
    <w:rsid w:val="16886E4D"/>
    <w:rsid w:val="16AF5A6D"/>
    <w:rsid w:val="16B40C55"/>
    <w:rsid w:val="16B636F7"/>
    <w:rsid w:val="16D57322"/>
    <w:rsid w:val="16E05866"/>
    <w:rsid w:val="16F459CF"/>
    <w:rsid w:val="16FE1553"/>
    <w:rsid w:val="17190169"/>
    <w:rsid w:val="172403CA"/>
    <w:rsid w:val="172A7CF3"/>
    <w:rsid w:val="173E1A6D"/>
    <w:rsid w:val="17463235"/>
    <w:rsid w:val="17600638"/>
    <w:rsid w:val="176F6C9D"/>
    <w:rsid w:val="17757C3C"/>
    <w:rsid w:val="17770619"/>
    <w:rsid w:val="17A8445B"/>
    <w:rsid w:val="17DB498B"/>
    <w:rsid w:val="17DE021E"/>
    <w:rsid w:val="17E03D15"/>
    <w:rsid w:val="1819047B"/>
    <w:rsid w:val="182C4545"/>
    <w:rsid w:val="183436D9"/>
    <w:rsid w:val="184C6DB1"/>
    <w:rsid w:val="1858173C"/>
    <w:rsid w:val="18636913"/>
    <w:rsid w:val="187A3F87"/>
    <w:rsid w:val="188125EA"/>
    <w:rsid w:val="1881312C"/>
    <w:rsid w:val="18AF3831"/>
    <w:rsid w:val="18D2340B"/>
    <w:rsid w:val="18EF1C68"/>
    <w:rsid w:val="197C59A3"/>
    <w:rsid w:val="199A0B98"/>
    <w:rsid w:val="19A16DB7"/>
    <w:rsid w:val="19BE7E2A"/>
    <w:rsid w:val="19CA28B1"/>
    <w:rsid w:val="19F5711A"/>
    <w:rsid w:val="19F74DF1"/>
    <w:rsid w:val="19F86FC5"/>
    <w:rsid w:val="1A23332C"/>
    <w:rsid w:val="1A25069D"/>
    <w:rsid w:val="1A483566"/>
    <w:rsid w:val="1A712204"/>
    <w:rsid w:val="1A7867B1"/>
    <w:rsid w:val="1A8D0787"/>
    <w:rsid w:val="1ADF5748"/>
    <w:rsid w:val="1B44195B"/>
    <w:rsid w:val="1B6653E1"/>
    <w:rsid w:val="1BE063BC"/>
    <w:rsid w:val="1BFE3817"/>
    <w:rsid w:val="1C026A3B"/>
    <w:rsid w:val="1C065130"/>
    <w:rsid w:val="1C071E75"/>
    <w:rsid w:val="1C0D79D1"/>
    <w:rsid w:val="1C514CE7"/>
    <w:rsid w:val="1C5B13F8"/>
    <w:rsid w:val="1C66462C"/>
    <w:rsid w:val="1C8C5982"/>
    <w:rsid w:val="1C8E0C32"/>
    <w:rsid w:val="1C9A626F"/>
    <w:rsid w:val="1C9C025F"/>
    <w:rsid w:val="1CEE1BBC"/>
    <w:rsid w:val="1D0161EB"/>
    <w:rsid w:val="1D246AC7"/>
    <w:rsid w:val="1D3943B9"/>
    <w:rsid w:val="1D4D2945"/>
    <w:rsid w:val="1D530C8F"/>
    <w:rsid w:val="1D584FDA"/>
    <w:rsid w:val="1D5D043B"/>
    <w:rsid w:val="1D6F3C77"/>
    <w:rsid w:val="1DB87B82"/>
    <w:rsid w:val="1E0508CE"/>
    <w:rsid w:val="1E0B1DA5"/>
    <w:rsid w:val="1E242FA0"/>
    <w:rsid w:val="1E2635C8"/>
    <w:rsid w:val="1E42390A"/>
    <w:rsid w:val="1E4479F5"/>
    <w:rsid w:val="1E481D01"/>
    <w:rsid w:val="1E4C761E"/>
    <w:rsid w:val="1E5D3CF4"/>
    <w:rsid w:val="1E65288C"/>
    <w:rsid w:val="1E7978A7"/>
    <w:rsid w:val="1EB7068B"/>
    <w:rsid w:val="1EC670E9"/>
    <w:rsid w:val="1ED65FDF"/>
    <w:rsid w:val="1ED670E2"/>
    <w:rsid w:val="1EDD22B2"/>
    <w:rsid w:val="1F0F5DF5"/>
    <w:rsid w:val="1F103F85"/>
    <w:rsid w:val="1F2853C9"/>
    <w:rsid w:val="1F2C22AC"/>
    <w:rsid w:val="1F3569AB"/>
    <w:rsid w:val="1F425605"/>
    <w:rsid w:val="1F501B58"/>
    <w:rsid w:val="1F5D7D23"/>
    <w:rsid w:val="1F7C1719"/>
    <w:rsid w:val="1F886C13"/>
    <w:rsid w:val="1FBC2C9C"/>
    <w:rsid w:val="1FBE1C57"/>
    <w:rsid w:val="1FD63D84"/>
    <w:rsid w:val="201B0CD3"/>
    <w:rsid w:val="2020322B"/>
    <w:rsid w:val="20494A7C"/>
    <w:rsid w:val="205662AB"/>
    <w:rsid w:val="205B1010"/>
    <w:rsid w:val="20703EBA"/>
    <w:rsid w:val="20776C72"/>
    <w:rsid w:val="20891984"/>
    <w:rsid w:val="20B858E3"/>
    <w:rsid w:val="20BA0C8B"/>
    <w:rsid w:val="20C67169"/>
    <w:rsid w:val="20DE251B"/>
    <w:rsid w:val="20E208BE"/>
    <w:rsid w:val="20ED5A05"/>
    <w:rsid w:val="21005984"/>
    <w:rsid w:val="21116D6C"/>
    <w:rsid w:val="21294361"/>
    <w:rsid w:val="21555FFF"/>
    <w:rsid w:val="215B62FE"/>
    <w:rsid w:val="21636449"/>
    <w:rsid w:val="21706016"/>
    <w:rsid w:val="218541ED"/>
    <w:rsid w:val="219B1519"/>
    <w:rsid w:val="21A220AF"/>
    <w:rsid w:val="21AF1F37"/>
    <w:rsid w:val="21C879CF"/>
    <w:rsid w:val="22041D83"/>
    <w:rsid w:val="22093672"/>
    <w:rsid w:val="22161464"/>
    <w:rsid w:val="22456F79"/>
    <w:rsid w:val="224F6DFB"/>
    <w:rsid w:val="226C5FFC"/>
    <w:rsid w:val="22AD7522"/>
    <w:rsid w:val="22B92AB5"/>
    <w:rsid w:val="22BC37D0"/>
    <w:rsid w:val="22CB3886"/>
    <w:rsid w:val="22CC254A"/>
    <w:rsid w:val="22ED3C46"/>
    <w:rsid w:val="22FE20AD"/>
    <w:rsid w:val="23052CB6"/>
    <w:rsid w:val="231548B1"/>
    <w:rsid w:val="23197621"/>
    <w:rsid w:val="231F6004"/>
    <w:rsid w:val="23333A4E"/>
    <w:rsid w:val="23352255"/>
    <w:rsid w:val="2340677A"/>
    <w:rsid w:val="23475D11"/>
    <w:rsid w:val="234A2CBF"/>
    <w:rsid w:val="23575396"/>
    <w:rsid w:val="238E56F8"/>
    <w:rsid w:val="23EB0CBD"/>
    <w:rsid w:val="23FE4604"/>
    <w:rsid w:val="240C59DD"/>
    <w:rsid w:val="241D7B3F"/>
    <w:rsid w:val="241E69FC"/>
    <w:rsid w:val="24575689"/>
    <w:rsid w:val="24833773"/>
    <w:rsid w:val="24895704"/>
    <w:rsid w:val="24A237DC"/>
    <w:rsid w:val="24AA6E1F"/>
    <w:rsid w:val="24B578C1"/>
    <w:rsid w:val="24E35695"/>
    <w:rsid w:val="24E62AFB"/>
    <w:rsid w:val="24F3004C"/>
    <w:rsid w:val="251975DA"/>
    <w:rsid w:val="2536522E"/>
    <w:rsid w:val="253801A8"/>
    <w:rsid w:val="2543097A"/>
    <w:rsid w:val="254D5797"/>
    <w:rsid w:val="2555371D"/>
    <w:rsid w:val="255D2D36"/>
    <w:rsid w:val="25A35D9C"/>
    <w:rsid w:val="25E327D5"/>
    <w:rsid w:val="25F211C5"/>
    <w:rsid w:val="261411D4"/>
    <w:rsid w:val="26211C70"/>
    <w:rsid w:val="262E6ED2"/>
    <w:rsid w:val="26407B4C"/>
    <w:rsid w:val="26526108"/>
    <w:rsid w:val="2681079B"/>
    <w:rsid w:val="268479F6"/>
    <w:rsid w:val="26860394"/>
    <w:rsid w:val="26A30288"/>
    <w:rsid w:val="27085757"/>
    <w:rsid w:val="27135962"/>
    <w:rsid w:val="272F2A2E"/>
    <w:rsid w:val="273F3383"/>
    <w:rsid w:val="27536EF7"/>
    <w:rsid w:val="27600FCE"/>
    <w:rsid w:val="2767358A"/>
    <w:rsid w:val="27677775"/>
    <w:rsid w:val="276B7224"/>
    <w:rsid w:val="277B5EAD"/>
    <w:rsid w:val="278B04FF"/>
    <w:rsid w:val="27A64A59"/>
    <w:rsid w:val="27B16E5E"/>
    <w:rsid w:val="27B40309"/>
    <w:rsid w:val="27B47733"/>
    <w:rsid w:val="27BA6624"/>
    <w:rsid w:val="27C80258"/>
    <w:rsid w:val="27D36A0B"/>
    <w:rsid w:val="27F62090"/>
    <w:rsid w:val="282334BE"/>
    <w:rsid w:val="2839618E"/>
    <w:rsid w:val="285D7100"/>
    <w:rsid w:val="2899012F"/>
    <w:rsid w:val="28AC4D09"/>
    <w:rsid w:val="28BB1909"/>
    <w:rsid w:val="28E0629B"/>
    <w:rsid w:val="293D0721"/>
    <w:rsid w:val="293E25D2"/>
    <w:rsid w:val="29547BD2"/>
    <w:rsid w:val="29694671"/>
    <w:rsid w:val="297240DD"/>
    <w:rsid w:val="297F7BFC"/>
    <w:rsid w:val="29AE66B4"/>
    <w:rsid w:val="29DC15D1"/>
    <w:rsid w:val="2A021BF3"/>
    <w:rsid w:val="2A1468B0"/>
    <w:rsid w:val="2A435801"/>
    <w:rsid w:val="2A547277"/>
    <w:rsid w:val="2A687195"/>
    <w:rsid w:val="2A77613D"/>
    <w:rsid w:val="2A7C1FDA"/>
    <w:rsid w:val="2AD80EE4"/>
    <w:rsid w:val="2AED3E69"/>
    <w:rsid w:val="2AF71901"/>
    <w:rsid w:val="2B1D17A3"/>
    <w:rsid w:val="2B6756DC"/>
    <w:rsid w:val="2BA36251"/>
    <w:rsid w:val="2BB83D85"/>
    <w:rsid w:val="2BE315B0"/>
    <w:rsid w:val="2BE87CEF"/>
    <w:rsid w:val="2C5C3502"/>
    <w:rsid w:val="2C6C71FA"/>
    <w:rsid w:val="2C865BD2"/>
    <w:rsid w:val="2C885AD6"/>
    <w:rsid w:val="2C892A75"/>
    <w:rsid w:val="2C906929"/>
    <w:rsid w:val="2CA65A58"/>
    <w:rsid w:val="2CB31908"/>
    <w:rsid w:val="2CC06F13"/>
    <w:rsid w:val="2CFD68F5"/>
    <w:rsid w:val="2D3B78F6"/>
    <w:rsid w:val="2D8B5158"/>
    <w:rsid w:val="2DB650FE"/>
    <w:rsid w:val="2DD616B2"/>
    <w:rsid w:val="2DE42AF7"/>
    <w:rsid w:val="2DFF6B3A"/>
    <w:rsid w:val="2E345470"/>
    <w:rsid w:val="2E694A04"/>
    <w:rsid w:val="2E851517"/>
    <w:rsid w:val="2E894691"/>
    <w:rsid w:val="2EAC460B"/>
    <w:rsid w:val="2ECB6F2D"/>
    <w:rsid w:val="2ECF180C"/>
    <w:rsid w:val="2F062E78"/>
    <w:rsid w:val="2F3358F9"/>
    <w:rsid w:val="2F5401C3"/>
    <w:rsid w:val="2F5D3034"/>
    <w:rsid w:val="2F6166C6"/>
    <w:rsid w:val="2F6D0B05"/>
    <w:rsid w:val="2F83138F"/>
    <w:rsid w:val="2FCB778C"/>
    <w:rsid w:val="3001658A"/>
    <w:rsid w:val="301008A7"/>
    <w:rsid w:val="30154744"/>
    <w:rsid w:val="30353C29"/>
    <w:rsid w:val="30394D9D"/>
    <w:rsid w:val="30497B91"/>
    <w:rsid w:val="304D44BC"/>
    <w:rsid w:val="3050638A"/>
    <w:rsid w:val="30A106D7"/>
    <w:rsid w:val="30B55E57"/>
    <w:rsid w:val="30E80E68"/>
    <w:rsid w:val="311C7963"/>
    <w:rsid w:val="313374B4"/>
    <w:rsid w:val="316E7252"/>
    <w:rsid w:val="317C228B"/>
    <w:rsid w:val="318A6853"/>
    <w:rsid w:val="31DE70DA"/>
    <w:rsid w:val="31FA1952"/>
    <w:rsid w:val="32075FF9"/>
    <w:rsid w:val="32133290"/>
    <w:rsid w:val="323C3C96"/>
    <w:rsid w:val="32467555"/>
    <w:rsid w:val="324A3E9C"/>
    <w:rsid w:val="3262186A"/>
    <w:rsid w:val="32827A03"/>
    <w:rsid w:val="32860A96"/>
    <w:rsid w:val="328949F5"/>
    <w:rsid w:val="32945942"/>
    <w:rsid w:val="329E04FD"/>
    <w:rsid w:val="32A93554"/>
    <w:rsid w:val="32B41E52"/>
    <w:rsid w:val="32C757B9"/>
    <w:rsid w:val="32E42847"/>
    <w:rsid w:val="33110903"/>
    <w:rsid w:val="332A20B1"/>
    <w:rsid w:val="336D7AC4"/>
    <w:rsid w:val="337672CD"/>
    <w:rsid w:val="337B12C4"/>
    <w:rsid w:val="33A10940"/>
    <w:rsid w:val="33D03282"/>
    <w:rsid w:val="33F43507"/>
    <w:rsid w:val="34031F81"/>
    <w:rsid w:val="34154FC5"/>
    <w:rsid w:val="342C69D4"/>
    <w:rsid w:val="34666A21"/>
    <w:rsid w:val="34740518"/>
    <w:rsid w:val="349A466D"/>
    <w:rsid w:val="34CA6C80"/>
    <w:rsid w:val="34CC342B"/>
    <w:rsid w:val="34E452E0"/>
    <w:rsid w:val="34E63E44"/>
    <w:rsid w:val="35020CF9"/>
    <w:rsid w:val="3517435A"/>
    <w:rsid w:val="35281D26"/>
    <w:rsid w:val="353413A3"/>
    <w:rsid w:val="3561541C"/>
    <w:rsid w:val="3565496C"/>
    <w:rsid w:val="35731BF7"/>
    <w:rsid w:val="357339A5"/>
    <w:rsid w:val="35A70210"/>
    <w:rsid w:val="35E97DB6"/>
    <w:rsid w:val="36303EE4"/>
    <w:rsid w:val="36493D8C"/>
    <w:rsid w:val="36537AC0"/>
    <w:rsid w:val="366559E4"/>
    <w:rsid w:val="36792FD7"/>
    <w:rsid w:val="36A60538"/>
    <w:rsid w:val="36B02D31"/>
    <w:rsid w:val="36B35215"/>
    <w:rsid w:val="36DB566D"/>
    <w:rsid w:val="36EE3268"/>
    <w:rsid w:val="36F63D88"/>
    <w:rsid w:val="370468A9"/>
    <w:rsid w:val="370B198D"/>
    <w:rsid w:val="37121D8B"/>
    <w:rsid w:val="371E3F66"/>
    <w:rsid w:val="373E2D9E"/>
    <w:rsid w:val="37665153"/>
    <w:rsid w:val="376B4C00"/>
    <w:rsid w:val="3770507F"/>
    <w:rsid w:val="377F2AD5"/>
    <w:rsid w:val="37A767E6"/>
    <w:rsid w:val="37A822BE"/>
    <w:rsid w:val="37B46572"/>
    <w:rsid w:val="37C05440"/>
    <w:rsid w:val="37C93620"/>
    <w:rsid w:val="37E15F80"/>
    <w:rsid w:val="37F034C6"/>
    <w:rsid w:val="37F1776A"/>
    <w:rsid w:val="37FD4A54"/>
    <w:rsid w:val="381D575A"/>
    <w:rsid w:val="38336E87"/>
    <w:rsid w:val="38776A58"/>
    <w:rsid w:val="38854EF2"/>
    <w:rsid w:val="38890542"/>
    <w:rsid w:val="38894EAE"/>
    <w:rsid w:val="38944B73"/>
    <w:rsid w:val="38B369F8"/>
    <w:rsid w:val="38C51118"/>
    <w:rsid w:val="38EA6FCF"/>
    <w:rsid w:val="3907606D"/>
    <w:rsid w:val="39092797"/>
    <w:rsid w:val="39156ECD"/>
    <w:rsid w:val="392D5D11"/>
    <w:rsid w:val="394123EC"/>
    <w:rsid w:val="396609B1"/>
    <w:rsid w:val="39915041"/>
    <w:rsid w:val="39956770"/>
    <w:rsid w:val="39A71832"/>
    <w:rsid w:val="39BF268F"/>
    <w:rsid w:val="39C13E17"/>
    <w:rsid w:val="39DF45FA"/>
    <w:rsid w:val="39E71349"/>
    <w:rsid w:val="39F53FCC"/>
    <w:rsid w:val="3A0D1A46"/>
    <w:rsid w:val="3A2D6B44"/>
    <w:rsid w:val="3A331955"/>
    <w:rsid w:val="3A400993"/>
    <w:rsid w:val="3A4C6D2F"/>
    <w:rsid w:val="3A5A6263"/>
    <w:rsid w:val="3A633BE8"/>
    <w:rsid w:val="3AA10705"/>
    <w:rsid w:val="3AA22CFA"/>
    <w:rsid w:val="3AAE2278"/>
    <w:rsid w:val="3AB605BC"/>
    <w:rsid w:val="3ACD5133"/>
    <w:rsid w:val="3B0357CB"/>
    <w:rsid w:val="3B040850"/>
    <w:rsid w:val="3B397C9C"/>
    <w:rsid w:val="3B3B092F"/>
    <w:rsid w:val="3B3B1976"/>
    <w:rsid w:val="3B4668D3"/>
    <w:rsid w:val="3B512AC7"/>
    <w:rsid w:val="3BAB3E99"/>
    <w:rsid w:val="3BAE5CB6"/>
    <w:rsid w:val="3BAE6269"/>
    <w:rsid w:val="3BB30F9F"/>
    <w:rsid w:val="3BBA4578"/>
    <w:rsid w:val="3BBD419E"/>
    <w:rsid w:val="3BC15D57"/>
    <w:rsid w:val="3BCF475A"/>
    <w:rsid w:val="3BE20411"/>
    <w:rsid w:val="3BE451DD"/>
    <w:rsid w:val="3C3A026E"/>
    <w:rsid w:val="3C447DDB"/>
    <w:rsid w:val="3C5830E2"/>
    <w:rsid w:val="3CFB3486"/>
    <w:rsid w:val="3D0A7794"/>
    <w:rsid w:val="3D1708FC"/>
    <w:rsid w:val="3D1A7390"/>
    <w:rsid w:val="3D5A050C"/>
    <w:rsid w:val="3D8B24EA"/>
    <w:rsid w:val="3DAA5153"/>
    <w:rsid w:val="3DB8213A"/>
    <w:rsid w:val="3DE411D5"/>
    <w:rsid w:val="3DEE3070"/>
    <w:rsid w:val="3E0E7115"/>
    <w:rsid w:val="3E1251B0"/>
    <w:rsid w:val="3E41335C"/>
    <w:rsid w:val="3E6B2193"/>
    <w:rsid w:val="3E7C3D6A"/>
    <w:rsid w:val="3E8A014E"/>
    <w:rsid w:val="3E90381A"/>
    <w:rsid w:val="3EBD75C8"/>
    <w:rsid w:val="3EC510CE"/>
    <w:rsid w:val="3F086863"/>
    <w:rsid w:val="3F0A57CF"/>
    <w:rsid w:val="3F0F3A45"/>
    <w:rsid w:val="3F5A6F13"/>
    <w:rsid w:val="3F6E5909"/>
    <w:rsid w:val="3F882780"/>
    <w:rsid w:val="3F953B21"/>
    <w:rsid w:val="3F97238E"/>
    <w:rsid w:val="3FB6417D"/>
    <w:rsid w:val="3FB944BF"/>
    <w:rsid w:val="3FC37539"/>
    <w:rsid w:val="3FE639AD"/>
    <w:rsid w:val="400E0065"/>
    <w:rsid w:val="40474350"/>
    <w:rsid w:val="406A0F3B"/>
    <w:rsid w:val="406A7DC3"/>
    <w:rsid w:val="407112AE"/>
    <w:rsid w:val="40827371"/>
    <w:rsid w:val="40B60DFF"/>
    <w:rsid w:val="40CF6F3E"/>
    <w:rsid w:val="40D66930"/>
    <w:rsid w:val="410559B6"/>
    <w:rsid w:val="41066E56"/>
    <w:rsid w:val="41241738"/>
    <w:rsid w:val="412876E7"/>
    <w:rsid w:val="412D4F64"/>
    <w:rsid w:val="415B5E44"/>
    <w:rsid w:val="416845DA"/>
    <w:rsid w:val="418845EF"/>
    <w:rsid w:val="419D6868"/>
    <w:rsid w:val="41A41AB6"/>
    <w:rsid w:val="41B120D9"/>
    <w:rsid w:val="41B27BC3"/>
    <w:rsid w:val="41B92AEF"/>
    <w:rsid w:val="41C924CD"/>
    <w:rsid w:val="41D628C4"/>
    <w:rsid w:val="41E023C2"/>
    <w:rsid w:val="41F63FCF"/>
    <w:rsid w:val="42297269"/>
    <w:rsid w:val="428B4AEB"/>
    <w:rsid w:val="42AB2833"/>
    <w:rsid w:val="42AC2CFC"/>
    <w:rsid w:val="42E05B48"/>
    <w:rsid w:val="42E71655"/>
    <w:rsid w:val="430C76E0"/>
    <w:rsid w:val="431C7EE5"/>
    <w:rsid w:val="43266B4C"/>
    <w:rsid w:val="433B15A7"/>
    <w:rsid w:val="434D7F2B"/>
    <w:rsid w:val="43817B35"/>
    <w:rsid w:val="438A5501"/>
    <w:rsid w:val="4398427E"/>
    <w:rsid w:val="43D35462"/>
    <w:rsid w:val="440901CA"/>
    <w:rsid w:val="44130D52"/>
    <w:rsid w:val="44140974"/>
    <w:rsid w:val="44190F99"/>
    <w:rsid w:val="442403F9"/>
    <w:rsid w:val="443171E5"/>
    <w:rsid w:val="443A23EE"/>
    <w:rsid w:val="44622B86"/>
    <w:rsid w:val="44BB1488"/>
    <w:rsid w:val="44D66B92"/>
    <w:rsid w:val="44F07349"/>
    <w:rsid w:val="451E2038"/>
    <w:rsid w:val="45466038"/>
    <w:rsid w:val="457F7272"/>
    <w:rsid w:val="458C6934"/>
    <w:rsid w:val="462E79F1"/>
    <w:rsid w:val="464D4084"/>
    <w:rsid w:val="46534F82"/>
    <w:rsid w:val="465B5DAE"/>
    <w:rsid w:val="465D72A2"/>
    <w:rsid w:val="465E18F3"/>
    <w:rsid w:val="4661696D"/>
    <w:rsid w:val="466263C3"/>
    <w:rsid w:val="467C5739"/>
    <w:rsid w:val="468C1600"/>
    <w:rsid w:val="4697384C"/>
    <w:rsid w:val="46DB38C0"/>
    <w:rsid w:val="46E1696A"/>
    <w:rsid w:val="47115896"/>
    <w:rsid w:val="47196F77"/>
    <w:rsid w:val="475267CD"/>
    <w:rsid w:val="476D4E67"/>
    <w:rsid w:val="478718E7"/>
    <w:rsid w:val="47981173"/>
    <w:rsid w:val="47B24618"/>
    <w:rsid w:val="47BF237C"/>
    <w:rsid w:val="47CE6158"/>
    <w:rsid w:val="47DF4A19"/>
    <w:rsid w:val="47FC5B03"/>
    <w:rsid w:val="47FE1D76"/>
    <w:rsid w:val="48176CCB"/>
    <w:rsid w:val="483A75B9"/>
    <w:rsid w:val="4853040B"/>
    <w:rsid w:val="485A024C"/>
    <w:rsid w:val="48694BD1"/>
    <w:rsid w:val="4888270D"/>
    <w:rsid w:val="489B4EA1"/>
    <w:rsid w:val="48E13C4C"/>
    <w:rsid w:val="492F1751"/>
    <w:rsid w:val="49CE6F44"/>
    <w:rsid w:val="49D73FE4"/>
    <w:rsid w:val="4A08695A"/>
    <w:rsid w:val="4A1B07D5"/>
    <w:rsid w:val="4A2878EE"/>
    <w:rsid w:val="4A2B0AE3"/>
    <w:rsid w:val="4A866AC5"/>
    <w:rsid w:val="4A8A76B7"/>
    <w:rsid w:val="4A8C4C16"/>
    <w:rsid w:val="4A9007AF"/>
    <w:rsid w:val="4AAC2C5B"/>
    <w:rsid w:val="4B3043BA"/>
    <w:rsid w:val="4B313BAD"/>
    <w:rsid w:val="4B4D6462"/>
    <w:rsid w:val="4B5A30A1"/>
    <w:rsid w:val="4B754FF8"/>
    <w:rsid w:val="4B777FC8"/>
    <w:rsid w:val="4B9732F4"/>
    <w:rsid w:val="4BC2339D"/>
    <w:rsid w:val="4BCF2AD6"/>
    <w:rsid w:val="4BD41B97"/>
    <w:rsid w:val="4BFB79BA"/>
    <w:rsid w:val="4C0116B3"/>
    <w:rsid w:val="4C01454E"/>
    <w:rsid w:val="4C03562B"/>
    <w:rsid w:val="4C1E5027"/>
    <w:rsid w:val="4C3B3BB5"/>
    <w:rsid w:val="4C561C6A"/>
    <w:rsid w:val="4C5849AB"/>
    <w:rsid w:val="4C735FE6"/>
    <w:rsid w:val="4C8C366D"/>
    <w:rsid w:val="4C951B67"/>
    <w:rsid w:val="4CDD5C9E"/>
    <w:rsid w:val="4CDF14F6"/>
    <w:rsid w:val="4D17148E"/>
    <w:rsid w:val="4D190925"/>
    <w:rsid w:val="4D1A7082"/>
    <w:rsid w:val="4D2B05C5"/>
    <w:rsid w:val="4D3850D9"/>
    <w:rsid w:val="4D3E6AC8"/>
    <w:rsid w:val="4D495042"/>
    <w:rsid w:val="4D632239"/>
    <w:rsid w:val="4DA121D8"/>
    <w:rsid w:val="4DD20C31"/>
    <w:rsid w:val="4DED0341"/>
    <w:rsid w:val="4E083087"/>
    <w:rsid w:val="4E164095"/>
    <w:rsid w:val="4E231BD6"/>
    <w:rsid w:val="4E6B3F6B"/>
    <w:rsid w:val="4E6E4F34"/>
    <w:rsid w:val="4E8D43B9"/>
    <w:rsid w:val="4ECE7A68"/>
    <w:rsid w:val="4ED22280"/>
    <w:rsid w:val="4ED767A5"/>
    <w:rsid w:val="4F016159"/>
    <w:rsid w:val="4F560168"/>
    <w:rsid w:val="4F591F2F"/>
    <w:rsid w:val="4F5E1FB1"/>
    <w:rsid w:val="4F8915E2"/>
    <w:rsid w:val="4F9772C2"/>
    <w:rsid w:val="4F9C6CCB"/>
    <w:rsid w:val="4F9D3FAB"/>
    <w:rsid w:val="4FC04703"/>
    <w:rsid w:val="4FCE113C"/>
    <w:rsid w:val="4FD13549"/>
    <w:rsid w:val="4FE00D4D"/>
    <w:rsid w:val="500F7F2F"/>
    <w:rsid w:val="50260B79"/>
    <w:rsid w:val="504303B7"/>
    <w:rsid w:val="505E3E94"/>
    <w:rsid w:val="508A4913"/>
    <w:rsid w:val="50A524D5"/>
    <w:rsid w:val="50DE0E73"/>
    <w:rsid w:val="50F22664"/>
    <w:rsid w:val="511C2D0A"/>
    <w:rsid w:val="51291F21"/>
    <w:rsid w:val="513338D4"/>
    <w:rsid w:val="514E21A9"/>
    <w:rsid w:val="515F3303"/>
    <w:rsid w:val="51771A1A"/>
    <w:rsid w:val="517C6E66"/>
    <w:rsid w:val="518B3C19"/>
    <w:rsid w:val="51AD5C1C"/>
    <w:rsid w:val="51CD421C"/>
    <w:rsid w:val="51E43809"/>
    <w:rsid w:val="52557D35"/>
    <w:rsid w:val="52616076"/>
    <w:rsid w:val="528616F8"/>
    <w:rsid w:val="52924294"/>
    <w:rsid w:val="52970207"/>
    <w:rsid w:val="52976ACD"/>
    <w:rsid w:val="52AE0C11"/>
    <w:rsid w:val="52CA767F"/>
    <w:rsid w:val="52ED09EC"/>
    <w:rsid w:val="532105A3"/>
    <w:rsid w:val="532E05B2"/>
    <w:rsid w:val="533F00C1"/>
    <w:rsid w:val="534A6B5C"/>
    <w:rsid w:val="5392148B"/>
    <w:rsid w:val="53B12C2C"/>
    <w:rsid w:val="53B33200"/>
    <w:rsid w:val="53BC52A1"/>
    <w:rsid w:val="53C34A6F"/>
    <w:rsid w:val="53DF4239"/>
    <w:rsid w:val="53EE7D83"/>
    <w:rsid w:val="54227F49"/>
    <w:rsid w:val="54266D3E"/>
    <w:rsid w:val="542F45C0"/>
    <w:rsid w:val="5443289C"/>
    <w:rsid w:val="546315F6"/>
    <w:rsid w:val="5483448D"/>
    <w:rsid w:val="54834C53"/>
    <w:rsid w:val="54BC6626"/>
    <w:rsid w:val="54C6565D"/>
    <w:rsid w:val="54CB4B96"/>
    <w:rsid w:val="54CF221A"/>
    <w:rsid w:val="550F6EFA"/>
    <w:rsid w:val="55243DD9"/>
    <w:rsid w:val="55316168"/>
    <w:rsid w:val="55393DE9"/>
    <w:rsid w:val="553E5AA8"/>
    <w:rsid w:val="55740B89"/>
    <w:rsid w:val="5574464A"/>
    <w:rsid w:val="55821CB6"/>
    <w:rsid w:val="558A46C7"/>
    <w:rsid w:val="559F4FDA"/>
    <w:rsid w:val="55B17EA6"/>
    <w:rsid w:val="55E742C2"/>
    <w:rsid w:val="5605137C"/>
    <w:rsid w:val="562D06F7"/>
    <w:rsid w:val="56426CE9"/>
    <w:rsid w:val="565216F9"/>
    <w:rsid w:val="56963132"/>
    <w:rsid w:val="56EA11CB"/>
    <w:rsid w:val="56F76BFC"/>
    <w:rsid w:val="57053A42"/>
    <w:rsid w:val="572868A4"/>
    <w:rsid w:val="57666D80"/>
    <w:rsid w:val="576974C5"/>
    <w:rsid w:val="576D32D8"/>
    <w:rsid w:val="5779749F"/>
    <w:rsid w:val="578A6A3D"/>
    <w:rsid w:val="57A867DC"/>
    <w:rsid w:val="57C05293"/>
    <w:rsid w:val="57C54DFF"/>
    <w:rsid w:val="57F03974"/>
    <w:rsid w:val="58105B00"/>
    <w:rsid w:val="58660286"/>
    <w:rsid w:val="587074AD"/>
    <w:rsid w:val="58BD0F2F"/>
    <w:rsid w:val="58E07719"/>
    <w:rsid w:val="58EE1097"/>
    <w:rsid w:val="58F827D2"/>
    <w:rsid w:val="58FC3C94"/>
    <w:rsid w:val="59327003"/>
    <w:rsid w:val="593F23EE"/>
    <w:rsid w:val="59535C28"/>
    <w:rsid w:val="59816C3D"/>
    <w:rsid w:val="598F6D31"/>
    <w:rsid w:val="59A4325C"/>
    <w:rsid w:val="59B83D99"/>
    <w:rsid w:val="59C743D7"/>
    <w:rsid w:val="5A1B0DD1"/>
    <w:rsid w:val="5A2471D5"/>
    <w:rsid w:val="5A614C4E"/>
    <w:rsid w:val="5A695922"/>
    <w:rsid w:val="5A7D677B"/>
    <w:rsid w:val="5A9048BF"/>
    <w:rsid w:val="5AAD1F57"/>
    <w:rsid w:val="5ABA77FD"/>
    <w:rsid w:val="5AD71C43"/>
    <w:rsid w:val="5AE43A9D"/>
    <w:rsid w:val="5B06172A"/>
    <w:rsid w:val="5B587C31"/>
    <w:rsid w:val="5B5E3AC9"/>
    <w:rsid w:val="5B6B58B3"/>
    <w:rsid w:val="5B901FC3"/>
    <w:rsid w:val="5BB33F7E"/>
    <w:rsid w:val="5BCD69E1"/>
    <w:rsid w:val="5BF47FE6"/>
    <w:rsid w:val="5BF8449A"/>
    <w:rsid w:val="5C2D5714"/>
    <w:rsid w:val="5C355BBC"/>
    <w:rsid w:val="5C357179"/>
    <w:rsid w:val="5C3804D5"/>
    <w:rsid w:val="5C412E01"/>
    <w:rsid w:val="5C7D538C"/>
    <w:rsid w:val="5C8D74D5"/>
    <w:rsid w:val="5C9347A9"/>
    <w:rsid w:val="5CB13DE3"/>
    <w:rsid w:val="5CC432FF"/>
    <w:rsid w:val="5CCB77D7"/>
    <w:rsid w:val="5CDE2BD0"/>
    <w:rsid w:val="5CF3349A"/>
    <w:rsid w:val="5D0D12C8"/>
    <w:rsid w:val="5D1C5695"/>
    <w:rsid w:val="5D3446A6"/>
    <w:rsid w:val="5D3F4BF0"/>
    <w:rsid w:val="5D3F5111"/>
    <w:rsid w:val="5D4111F7"/>
    <w:rsid w:val="5D530069"/>
    <w:rsid w:val="5D567E52"/>
    <w:rsid w:val="5D9334C7"/>
    <w:rsid w:val="5DBF70F0"/>
    <w:rsid w:val="5DDB7A0D"/>
    <w:rsid w:val="5DE43FC8"/>
    <w:rsid w:val="5DF82331"/>
    <w:rsid w:val="5E233DDC"/>
    <w:rsid w:val="5E384F22"/>
    <w:rsid w:val="5E4541A5"/>
    <w:rsid w:val="5E6749AF"/>
    <w:rsid w:val="5E756F3E"/>
    <w:rsid w:val="5E785187"/>
    <w:rsid w:val="5EA5324C"/>
    <w:rsid w:val="5EA8352B"/>
    <w:rsid w:val="5EAC6E9D"/>
    <w:rsid w:val="5EBA006F"/>
    <w:rsid w:val="5EC925A8"/>
    <w:rsid w:val="5F0607C6"/>
    <w:rsid w:val="5F0D2452"/>
    <w:rsid w:val="5F3F4042"/>
    <w:rsid w:val="5F8209F5"/>
    <w:rsid w:val="5FB747DE"/>
    <w:rsid w:val="60011965"/>
    <w:rsid w:val="600517FA"/>
    <w:rsid w:val="60074D07"/>
    <w:rsid w:val="600B1912"/>
    <w:rsid w:val="604D3143"/>
    <w:rsid w:val="605B367F"/>
    <w:rsid w:val="606D6F96"/>
    <w:rsid w:val="607B62F7"/>
    <w:rsid w:val="6096311E"/>
    <w:rsid w:val="60A725D1"/>
    <w:rsid w:val="60AA6573"/>
    <w:rsid w:val="60B42255"/>
    <w:rsid w:val="60CB60E2"/>
    <w:rsid w:val="60E170B6"/>
    <w:rsid w:val="60E732E5"/>
    <w:rsid w:val="60F171C1"/>
    <w:rsid w:val="612D0A9B"/>
    <w:rsid w:val="612F71B0"/>
    <w:rsid w:val="613C41DE"/>
    <w:rsid w:val="61506F4F"/>
    <w:rsid w:val="616C26D9"/>
    <w:rsid w:val="61871754"/>
    <w:rsid w:val="619E0326"/>
    <w:rsid w:val="61A81155"/>
    <w:rsid w:val="61F80EDA"/>
    <w:rsid w:val="6204509B"/>
    <w:rsid w:val="620A36CD"/>
    <w:rsid w:val="622518DF"/>
    <w:rsid w:val="62317910"/>
    <w:rsid w:val="629471B9"/>
    <w:rsid w:val="62A558BE"/>
    <w:rsid w:val="62D13EDE"/>
    <w:rsid w:val="62F24AD3"/>
    <w:rsid w:val="630C4391"/>
    <w:rsid w:val="630D197D"/>
    <w:rsid w:val="63250B6A"/>
    <w:rsid w:val="633F3E86"/>
    <w:rsid w:val="63402F9A"/>
    <w:rsid w:val="6341644D"/>
    <w:rsid w:val="63454F14"/>
    <w:rsid w:val="637B2D41"/>
    <w:rsid w:val="637D49D9"/>
    <w:rsid w:val="63E3170F"/>
    <w:rsid w:val="63F034E2"/>
    <w:rsid w:val="64051CCA"/>
    <w:rsid w:val="64320BF5"/>
    <w:rsid w:val="643E4FFA"/>
    <w:rsid w:val="6475275F"/>
    <w:rsid w:val="648B3A0A"/>
    <w:rsid w:val="648E5981"/>
    <w:rsid w:val="64916A0D"/>
    <w:rsid w:val="64960429"/>
    <w:rsid w:val="64A4089F"/>
    <w:rsid w:val="64B620FD"/>
    <w:rsid w:val="64F03F1C"/>
    <w:rsid w:val="64F06E79"/>
    <w:rsid w:val="64FB0350"/>
    <w:rsid w:val="65073308"/>
    <w:rsid w:val="650A5824"/>
    <w:rsid w:val="6540162F"/>
    <w:rsid w:val="65516378"/>
    <w:rsid w:val="659550EE"/>
    <w:rsid w:val="65A345EA"/>
    <w:rsid w:val="65A84940"/>
    <w:rsid w:val="65B4282B"/>
    <w:rsid w:val="65B63E2C"/>
    <w:rsid w:val="65D54B00"/>
    <w:rsid w:val="65E74F8A"/>
    <w:rsid w:val="66077D9D"/>
    <w:rsid w:val="661B37C9"/>
    <w:rsid w:val="66312C21"/>
    <w:rsid w:val="66402E65"/>
    <w:rsid w:val="664F575F"/>
    <w:rsid w:val="66517576"/>
    <w:rsid w:val="667B164F"/>
    <w:rsid w:val="66925960"/>
    <w:rsid w:val="66B64315"/>
    <w:rsid w:val="66BA3430"/>
    <w:rsid w:val="671E5E5B"/>
    <w:rsid w:val="675F4E6C"/>
    <w:rsid w:val="675F5E5E"/>
    <w:rsid w:val="677F3E31"/>
    <w:rsid w:val="67942BC5"/>
    <w:rsid w:val="679900D6"/>
    <w:rsid w:val="67C2644B"/>
    <w:rsid w:val="67C34E88"/>
    <w:rsid w:val="67EC7342"/>
    <w:rsid w:val="68036E98"/>
    <w:rsid w:val="680A7E0F"/>
    <w:rsid w:val="680B24AD"/>
    <w:rsid w:val="683751E5"/>
    <w:rsid w:val="68480892"/>
    <w:rsid w:val="68527E20"/>
    <w:rsid w:val="686A7362"/>
    <w:rsid w:val="68804C66"/>
    <w:rsid w:val="68863414"/>
    <w:rsid w:val="68BE2E92"/>
    <w:rsid w:val="68D67594"/>
    <w:rsid w:val="68E31BD1"/>
    <w:rsid w:val="68E675A5"/>
    <w:rsid w:val="69077488"/>
    <w:rsid w:val="69171A9D"/>
    <w:rsid w:val="691C7B92"/>
    <w:rsid w:val="69300138"/>
    <w:rsid w:val="69336C77"/>
    <w:rsid w:val="695C537F"/>
    <w:rsid w:val="695D1E65"/>
    <w:rsid w:val="69600463"/>
    <w:rsid w:val="69662807"/>
    <w:rsid w:val="69753174"/>
    <w:rsid w:val="697B6106"/>
    <w:rsid w:val="698869AD"/>
    <w:rsid w:val="69905D46"/>
    <w:rsid w:val="69A52414"/>
    <w:rsid w:val="6A1D2F7F"/>
    <w:rsid w:val="6A216F4A"/>
    <w:rsid w:val="6A451690"/>
    <w:rsid w:val="6A5B0896"/>
    <w:rsid w:val="6A611C56"/>
    <w:rsid w:val="6A891345"/>
    <w:rsid w:val="6AB447B0"/>
    <w:rsid w:val="6ABB0DA2"/>
    <w:rsid w:val="6AD70ED2"/>
    <w:rsid w:val="6B0A408C"/>
    <w:rsid w:val="6B0F76F1"/>
    <w:rsid w:val="6B1E692B"/>
    <w:rsid w:val="6B257B8D"/>
    <w:rsid w:val="6B285847"/>
    <w:rsid w:val="6B5C24F2"/>
    <w:rsid w:val="6B7D56F0"/>
    <w:rsid w:val="6B9601AD"/>
    <w:rsid w:val="6BAB73E8"/>
    <w:rsid w:val="6BAD1568"/>
    <w:rsid w:val="6BAF7A2F"/>
    <w:rsid w:val="6BBB6FDE"/>
    <w:rsid w:val="6BC7310C"/>
    <w:rsid w:val="6BEF065F"/>
    <w:rsid w:val="6BF7366A"/>
    <w:rsid w:val="6C135BA8"/>
    <w:rsid w:val="6C1F74A2"/>
    <w:rsid w:val="6C3D5FF0"/>
    <w:rsid w:val="6C546984"/>
    <w:rsid w:val="6C5B2594"/>
    <w:rsid w:val="6C8163CC"/>
    <w:rsid w:val="6C882AB4"/>
    <w:rsid w:val="6C9139EB"/>
    <w:rsid w:val="6CAB51F7"/>
    <w:rsid w:val="6CB84558"/>
    <w:rsid w:val="6CC60C41"/>
    <w:rsid w:val="6CEA55E7"/>
    <w:rsid w:val="6D1D6F73"/>
    <w:rsid w:val="6D2A0C5D"/>
    <w:rsid w:val="6D4A4512"/>
    <w:rsid w:val="6D5A0F91"/>
    <w:rsid w:val="6D5A10D7"/>
    <w:rsid w:val="6D5D30AD"/>
    <w:rsid w:val="6D7A25C7"/>
    <w:rsid w:val="6DAD0544"/>
    <w:rsid w:val="6DB27370"/>
    <w:rsid w:val="6DB679BA"/>
    <w:rsid w:val="6E0607D2"/>
    <w:rsid w:val="6E2C128C"/>
    <w:rsid w:val="6E3F1428"/>
    <w:rsid w:val="6E3F4508"/>
    <w:rsid w:val="6E452589"/>
    <w:rsid w:val="6E8563B9"/>
    <w:rsid w:val="6E9D04FD"/>
    <w:rsid w:val="6EAD5569"/>
    <w:rsid w:val="6EAF40E8"/>
    <w:rsid w:val="6EB04D47"/>
    <w:rsid w:val="6EB80181"/>
    <w:rsid w:val="6EE3246C"/>
    <w:rsid w:val="6EE4097F"/>
    <w:rsid w:val="6EF54186"/>
    <w:rsid w:val="6F0A4B8B"/>
    <w:rsid w:val="6F1720C1"/>
    <w:rsid w:val="6F273A49"/>
    <w:rsid w:val="6F311F93"/>
    <w:rsid w:val="6F434296"/>
    <w:rsid w:val="6F5B23C4"/>
    <w:rsid w:val="6F7B7813"/>
    <w:rsid w:val="6F957C2C"/>
    <w:rsid w:val="6FA14EE4"/>
    <w:rsid w:val="6FAC62A8"/>
    <w:rsid w:val="6FDB266E"/>
    <w:rsid w:val="6FED1ECA"/>
    <w:rsid w:val="70165356"/>
    <w:rsid w:val="702C68C4"/>
    <w:rsid w:val="70534C94"/>
    <w:rsid w:val="70657DB3"/>
    <w:rsid w:val="70705873"/>
    <w:rsid w:val="70776D56"/>
    <w:rsid w:val="708B4884"/>
    <w:rsid w:val="70A756FF"/>
    <w:rsid w:val="70C71121"/>
    <w:rsid w:val="70E55D27"/>
    <w:rsid w:val="710B028A"/>
    <w:rsid w:val="71233A32"/>
    <w:rsid w:val="7169303C"/>
    <w:rsid w:val="71874784"/>
    <w:rsid w:val="71BE17A6"/>
    <w:rsid w:val="71CA2A3B"/>
    <w:rsid w:val="71CB6246"/>
    <w:rsid w:val="71E14182"/>
    <w:rsid w:val="720F6E08"/>
    <w:rsid w:val="72153DD4"/>
    <w:rsid w:val="722F68B9"/>
    <w:rsid w:val="723555C1"/>
    <w:rsid w:val="72467608"/>
    <w:rsid w:val="725D087E"/>
    <w:rsid w:val="72646CA7"/>
    <w:rsid w:val="727A536F"/>
    <w:rsid w:val="729448CC"/>
    <w:rsid w:val="72B45F38"/>
    <w:rsid w:val="72BF1962"/>
    <w:rsid w:val="72C5782C"/>
    <w:rsid w:val="72CA61B1"/>
    <w:rsid w:val="730242D1"/>
    <w:rsid w:val="73510435"/>
    <w:rsid w:val="73643325"/>
    <w:rsid w:val="73821232"/>
    <w:rsid w:val="739C6215"/>
    <w:rsid w:val="739E467B"/>
    <w:rsid w:val="73B10982"/>
    <w:rsid w:val="73B146F3"/>
    <w:rsid w:val="73BB15A2"/>
    <w:rsid w:val="73BC1F87"/>
    <w:rsid w:val="73BF3927"/>
    <w:rsid w:val="73C001F0"/>
    <w:rsid w:val="73F620AB"/>
    <w:rsid w:val="74180335"/>
    <w:rsid w:val="74187A8E"/>
    <w:rsid w:val="741B1827"/>
    <w:rsid w:val="741C78CC"/>
    <w:rsid w:val="742A22B9"/>
    <w:rsid w:val="74404DBF"/>
    <w:rsid w:val="7455674D"/>
    <w:rsid w:val="74640AAD"/>
    <w:rsid w:val="74650560"/>
    <w:rsid w:val="747E46E9"/>
    <w:rsid w:val="74880394"/>
    <w:rsid w:val="74AD1F26"/>
    <w:rsid w:val="74BA3FCB"/>
    <w:rsid w:val="74DF0903"/>
    <w:rsid w:val="75202715"/>
    <w:rsid w:val="7577245B"/>
    <w:rsid w:val="75D709C9"/>
    <w:rsid w:val="76047888"/>
    <w:rsid w:val="761231CD"/>
    <w:rsid w:val="762F5404"/>
    <w:rsid w:val="76313EEE"/>
    <w:rsid w:val="76360DA9"/>
    <w:rsid w:val="763C15B6"/>
    <w:rsid w:val="76495595"/>
    <w:rsid w:val="766B05BB"/>
    <w:rsid w:val="767F6B9B"/>
    <w:rsid w:val="7688512E"/>
    <w:rsid w:val="769F58F9"/>
    <w:rsid w:val="76CF2CE1"/>
    <w:rsid w:val="76D24210"/>
    <w:rsid w:val="76E3003A"/>
    <w:rsid w:val="76F80AF0"/>
    <w:rsid w:val="77617AAC"/>
    <w:rsid w:val="776D11A6"/>
    <w:rsid w:val="77714FE6"/>
    <w:rsid w:val="77A7177E"/>
    <w:rsid w:val="77BE0BAA"/>
    <w:rsid w:val="782C23C9"/>
    <w:rsid w:val="78325558"/>
    <w:rsid w:val="783E2109"/>
    <w:rsid w:val="78475C23"/>
    <w:rsid w:val="785F6626"/>
    <w:rsid w:val="78661F65"/>
    <w:rsid w:val="786850F7"/>
    <w:rsid w:val="788269F7"/>
    <w:rsid w:val="789D5DBC"/>
    <w:rsid w:val="78C22246"/>
    <w:rsid w:val="78E93F16"/>
    <w:rsid w:val="79217AEE"/>
    <w:rsid w:val="793547C6"/>
    <w:rsid w:val="79472563"/>
    <w:rsid w:val="794B00A2"/>
    <w:rsid w:val="794F2AE6"/>
    <w:rsid w:val="797F3E53"/>
    <w:rsid w:val="799553FB"/>
    <w:rsid w:val="79AA71CE"/>
    <w:rsid w:val="79C64519"/>
    <w:rsid w:val="79C90089"/>
    <w:rsid w:val="79D436A6"/>
    <w:rsid w:val="79D53ABE"/>
    <w:rsid w:val="79F75550"/>
    <w:rsid w:val="7A066163"/>
    <w:rsid w:val="7A095946"/>
    <w:rsid w:val="7A282DD4"/>
    <w:rsid w:val="7A89434E"/>
    <w:rsid w:val="7A8E3493"/>
    <w:rsid w:val="7AB60EE3"/>
    <w:rsid w:val="7ABE4C8F"/>
    <w:rsid w:val="7ACD6939"/>
    <w:rsid w:val="7B6C1287"/>
    <w:rsid w:val="7B8D1179"/>
    <w:rsid w:val="7B936752"/>
    <w:rsid w:val="7BBD538A"/>
    <w:rsid w:val="7BFD1741"/>
    <w:rsid w:val="7C08053E"/>
    <w:rsid w:val="7C08366F"/>
    <w:rsid w:val="7C330393"/>
    <w:rsid w:val="7C855C6B"/>
    <w:rsid w:val="7CBA2FCF"/>
    <w:rsid w:val="7CF92125"/>
    <w:rsid w:val="7D04250C"/>
    <w:rsid w:val="7D192930"/>
    <w:rsid w:val="7D1C2921"/>
    <w:rsid w:val="7D343367"/>
    <w:rsid w:val="7D3C35EE"/>
    <w:rsid w:val="7D3E5C13"/>
    <w:rsid w:val="7D6C50A1"/>
    <w:rsid w:val="7D8767DE"/>
    <w:rsid w:val="7DB20F4A"/>
    <w:rsid w:val="7DEC6718"/>
    <w:rsid w:val="7DF403A0"/>
    <w:rsid w:val="7DFB0B8A"/>
    <w:rsid w:val="7E0C41CE"/>
    <w:rsid w:val="7E4C6B51"/>
    <w:rsid w:val="7E4E1C37"/>
    <w:rsid w:val="7E8A7B62"/>
    <w:rsid w:val="7EE03334"/>
    <w:rsid w:val="7EF427EB"/>
    <w:rsid w:val="7F16081C"/>
    <w:rsid w:val="7F20170E"/>
    <w:rsid w:val="7F235900"/>
    <w:rsid w:val="7F274226"/>
    <w:rsid w:val="7F4F4D23"/>
    <w:rsid w:val="7F600DF9"/>
    <w:rsid w:val="7F67693B"/>
    <w:rsid w:val="7F764C2B"/>
    <w:rsid w:val="7F8117A3"/>
    <w:rsid w:val="7F833E55"/>
    <w:rsid w:val="7F8B3DA6"/>
    <w:rsid w:val="7FCE14D1"/>
    <w:rsid w:val="7FE75E10"/>
    <w:rsid w:val="7FE767A6"/>
    <w:rsid w:val="9FEBD036"/>
    <w:rsid w:val="D98F7E85"/>
    <w:rsid w:val="EB7EAF54"/>
    <w:rsid w:val="F43D0EAA"/>
    <w:rsid w:val="FDDDC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iPriority="39"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340" w:after="330" w:line="360" w:lineRule="auto"/>
      <w:jc w:val="center"/>
      <w:outlineLvl w:val="0"/>
    </w:pPr>
    <w:rPr>
      <w:kern w:val="44"/>
      <w:szCs w:val="44"/>
    </w:rPr>
  </w:style>
  <w:style w:type="paragraph" w:styleId="3">
    <w:name w:val="heading 2"/>
    <w:basedOn w:val="1"/>
    <w:next w:val="1"/>
    <w:link w:val="34"/>
    <w:qFormat/>
    <w:uiPriority w:val="9"/>
    <w:pPr>
      <w:adjustRightInd w:val="0"/>
      <w:snapToGrid w:val="0"/>
      <w:spacing w:line="360" w:lineRule="auto"/>
      <w:jc w:val="center"/>
      <w:textAlignment w:val="baseline"/>
      <w:outlineLvl w:val="1"/>
    </w:pPr>
    <w:rPr>
      <w:b/>
      <w:kern w:val="0"/>
      <w:sz w:val="30"/>
      <w:szCs w:val="20"/>
    </w:rPr>
  </w:style>
  <w:style w:type="paragraph" w:styleId="4">
    <w:name w:val="heading 3"/>
    <w:basedOn w:val="1"/>
    <w:next w:val="1"/>
    <w:qFormat/>
    <w:uiPriority w:val="9"/>
    <w:pPr>
      <w:spacing w:before="260" w:after="260"/>
      <w:outlineLvl w:val="2"/>
    </w:pPr>
    <w:rPr>
      <w:rFonts w:ascii="宋体" w:hAnsi="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pPr>
    <w:rPr>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annotation text"/>
    <w:basedOn w:val="1"/>
    <w:next w:val="9"/>
    <w:link w:val="47"/>
    <w:qFormat/>
    <w:uiPriority w:val="99"/>
    <w:pPr>
      <w:autoSpaceDE w:val="0"/>
      <w:autoSpaceDN w:val="0"/>
      <w:adjustRightInd w:val="0"/>
      <w:jc w:val="left"/>
      <w:textAlignment w:val="baseline"/>
    </w:pPr>
    <w:rPr>
      <w:rFonts w:ascii="宋体"/>
      <w:kern w:val="0"/>
      <w:sz w:val="34"/>
      <w:szCs w:val="20"/>
    </w:rPr>
  </w:style>
  <w:style w:type="paragraph" w:styleId="9">
    <w:name w:val="toc 5"/>
    <w:basedOn w:val="1"/>
    <w:next w:val="1"/>
    <w:semiHidden/>
    <w:qFormat/>
    <w:uiPriority w:val="0"/>
    <w:pPr>
      <w:ind w:left="840"/>
      <w:jc w:val="left"/>
    </w:pPr>
    <w:rPr>
      <w:szCs w:val="21"/>
    </w:rPr>
  </w:style>
  <w:style w:type="paragraph" w:styleId="10">
    <w:name w:val="Body Text"/>
    <w:basedOn w:val="1"/>
    <w:next w:val="1"/>
    <w:qFormat/>
    <w:uiPriority w:val="0"/>
    <w:pPr>
      <w:spacing w:line="360" w:lineRule="auto"/>
    </w:pPr>
    <w:rPr>
      <w:b/>
      <w:bCs/>
      <w:sz w:val="24"/>
    </w:rPr>
  </w:style>
  <w:style w:type="paragraph" w:styleId="11">
    <w:name w:val="Body Text Indent"/>
    <w:basedOn w:val="1"/>
    <w:qFormat/>
    <w:uiPriority w:val="0"/>
    <w:pPr>
      <w:spacing w:line="360" w:lineRule="auto"/>
      <w:ind w:firstLine="420" w:firstLineChars="200"/>
    </w:pPr>
  </w:style>
  <w:style w:type="paragraph" w:styleId="12">
    <w:name w:val="Block Text"/>
    <w:basedOn w:val="1"/>
    <w:qFormat/>
    <w:uiPriority w:val="0"/>
    <w:pPr>
      <w:ind w:left="480" w:right="-341" w:firstLine="513"/>
    </w:pPr>
    <w:rPr>
      <w:szCs w:val="20"/>
    </w:rPr>
  </w:style>
  <w:style w:type="paragraph" w:styleId="13">
    <w:name w:val="Plain Text"/>
    <w:basedOn w:val="1"/>
    <w:qFormat/>
    <w:uiPriority w:val="99"/>
    <w:rPr>
      <w:rFonts w:ascii="宋体" w:hAnsi="Courier New"/>
      <w:szCs w:val="20"/>
    </w:rPr>
  </w:style>
  <w:style w:type="paragraph" w:styleId="14">
    <w:name w:val="Body Text Indent 2"/>
    <w:basedOn w:val="1"/>
    <w:qFormat/>
    <w:uiPriority w:val="0"/>
    <w:pPr>
      <w:spacing w:line="500" w:lineRule="exact"/>
      <w:ind w:left="397" w:firstLine="539"/>
    </w:pPr>
    <w:rPr>
      <w:rFonts w:ascii="宋体" w:hAnsi="华文中宋"/>
      <w:sz w:val="26"/>
      <w:szCs w:val="20"/>
    </w:rPr>
  </w:style>
  <w:style w:type="paragraph" w:styleId="15">
    <w:name w:val="Balloon Text"/>
    <w:basedOn w:val="1"/>
    <w:link w:val="45"/>
    <w:qFormat/>
    <w:uiPriority w:val="0"/>
    <w:rPr>
      <w:sz w:val="18"/>
      <w:szCs w:val="18"/>
    </w:rPr>
  </w:style>
  <w:style w:type="paragraph" w:styleId="16">
    <w:name w:val="envelope return"/>
    <w:basedOn w:val="1"/>
    <w:qFormat/>
    <w:uiPriority w:val="99"/>
    <w:rPr>
      <w:rFonts w:ascii="Arial" w:hAnsi="Arial"/>
    </w:rPr>
  </w:style>
  <w:style w:type="paragraph" w:styleId="17">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0"/>
    <w:pPr>
      <w:jc w:val="left"/>
    </w:pPr>
    <w:rPr>
      <w:b/>
      <w:bCs/>
      <w:caps/>
    </w:rPr>
  </w:style>
  <w:style w:type="paragraph" w:styleId="19">
    <w:name w:val="toc 2"/>
    <w:basedOn w:val="1"/>
    <w:next w:val="1"/>
    <w:unhideWhenUsed/>
    <w:qFormat/>
    <w:uiPriority w:val="39"/>
    <w:pPr>
      <w:ind w:left="420" w:leftChars="200"/>
    </w:pPr>
  </w:style>
  <w:style w:type="paragraph" w:styleId="20">
    <w:name w:val="Body Text 2"/>
    <w:basedOn w:val="1"/>
    <w:qFormat/>
    <w:uiPriority w:val="0"/>
    <w:pPr>
      <w:spacing w:line="360" w:lineRule="auto"/>
    </w:pPr>
    <w:rPr>
      <w:rFonts w:ascii="Times New Roman" w:hAnsi="Times New Roman"/>
      <w:kern w:val="0"/>
      <w:sz w:val="24"/>
    </w:rPr>
  </w:style>
  <w:style w:type="paragraph" w:styleId="21">
    <w:name w:val="Normal (Web)"/>
    <w:basedOn w:val="1"/>
    <w:qFormat/>
    <w:uiPriority w:val="99"/>
    <w:rPr>
      <w:rFonts w:ascii="Times New Roman" w:hAnsi="Times New Roman"/>
      <w:sz w:val="24"/>
    </w:rPr>
  </w:style>
  <w:style w:type="paragraph" w:styleId="22">
    <w:name w:val="annotation subject"/>
    <w:basedOn w:val="8"/>
    <w:next w:val="8"/>
    <w:link w:val="48"/>
    <w:qFormat/>
    <w:uiPriority w:val="0"/>
    <w:pPr>
      <w:autoSpaceDE/>
      <w:autoSpaceDN/>
      <w:adjustRightInd/>
      <w:textAlignment w:val="auto"/>
    </w:pPr>
    <w:rPr>
      <w:rFonts w:ascii="Calibri"/>
      <w:b/>
      <w:bCs/>
      <w:kern w:val="2"/>
      <w:sz w:val="21"/>
      <w:szCs w:val="24"/>
    </w:rPr>
  </w:style>
  <w:style w:type="paragraph" w:styleId="23">
    <w:name w:val="Body Text First Indent"/>
    <w:basedOn w:val="10"/>
    <w:qFormat/>
    <w:uiPriority w:val="0"/>
    <w:pPr>
      <w:tabs>
        <w:tab w:val="left" w:pos="360"/>
      </w:tabs>
      <w:spacing w:line="220" w:lineRule="exact"/>
      <w:ind w:left="360" w:hanging="360"/>
    </w:pPr>
    <w:rPr>
      <w:rFonts w:ascii="Times New Roman" w:hAnsi="Times New Roman"/>
      <w:kern w:val="0"/>
      <w:sz w:val="20"/>
    </w:rPr>
  </w:style>
  <w:style w:type="paragraph" w:styleId="24">
    <w:name w:val="Body Text First Indent 2"/>
    <w:basedOn w:val="11"/>
    <w:qFormat/>
    <w:uiPriority w:val="0"/>
    <w:pPr>
      <w:spacing w:after="120" w:line="240" w:lineRule="auto"/>
      <w:ind w:left="420" w:leftChars="200"/>
    </w:p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Emphasis"/>
    <w:basedOn w:val="27"/>
    <w:qFormat/>
    <w:uiPriority w:val="0"/>
    <w:rPr>
      <w:i/>
    </w:rPr>
  </w:style>
  <w:style w:type="character" w:styleId="31">
    <w:name w:val="Hyperlink"/>
    <w:basedOn w:val="27"/>
    <w:qFormat/>
    <w:uiPriority w:val="0"/>
    <w:rPr>
      <w:color w:val="0000FF"/>
      <w:u w:val="single"/>
    </w:rPr>
  </w:style>
  <w:style w:type="character" w:styleId="32">
    <w:name w:val="annotation reference"/>
    <w:basedOn w:val="27"/>
    <w:qFormat/>
    <w:uiPriority w:val="0"/>
    <w:rPr>
      <w:sz w:val="21"/>
      <w:szCs w:val="21"/>
    </w:rPr>
  </w:style>
  <w:style w:type="paragraph" w:customStyle="1" w:styleId="33">
    <w:name w:val="表格文字"/>
    <w:next w:val="10"/>
    <w:qFormat/>
    <w:uiPriority w:val="0"/>
    <w:pPr>
      <w:widowControl w:val="0"/>
      <w:spacing w:before="25" w:after="25"/>
    </w:pPr>
    <w:rPr>
      <w:rFonts w:ascii="Times New Roman" w:hAnsi="Times New Roman" w:eastAsia="宋体" w:cs="Times New Roman"/>
      <w:bCs/>
      <w:spacing w:val="10"/>
      <w:sz w:val="24"/>
      <w:szCs w:val="24"/>
      <w:lang w:val="en-US" w:eastAsia="zh-CN" w:bidi="ar-SA"/>
    </w:rPr>
  </w:style>
  <w:style w:type="character" w:customStyle="1" w:styleId="34">
    <w:name w:val="标题 2 Char"/>
    <w:link w:val="3"/>
    <w:qFormat/>
    <w:uiPriority w:val="0"/>
    <w:rPr>
      <w:rFonts w:ascii="Times New Roman" w:hAnsi="Times New Roman"/>
      <w:b/>
      <w:kern w:val="0"/>
      <w:sz w:val="30"/>
      <w:szCs w:val="20"/>
    </w:rPr>
  </w:style>
  <w:style w:type="paragraph" w:customStyle="1" w:styleId="35">
    <w:name w:val="引文目录1"/>
    <w:basedOn w:val="1"/>
    <w:next w:val="1"/>
    <w:qFormat/>
    <w:uiPriority w:val="0"/>
    <w:pPr>
      <w:ind w:left="420" w:leftChars="200"/>
    </w:pPr>
  </w:style>
  <w:style w:type="paragraph" w:customStyle="1" w:styleId="36">
    <w:name w:val="首行缩进"/>
    <w:basedOn w:val="1"/>
    <w:qFormat/>
    <w:uiPriority w:val="99"/>
    <w:pPr>
      <w:spacing w:line="360" w:lineRule="auto"/>
      <w:ind w:firstLine="480" w:firstLineChars="200"/>
    </w:pPr>
    <w:rPr>
      <w:rFonts w:ascii="宋体" w:hAnsi="宋体"/>
      <w:sz w:val="24"/>
    </w:rPr>
  </w:style>
  <w:style w:type="paragraph" w:customStyle="1" w:styleId="37">
    <w:name w:val="文档正文"/>
    <w:qFormat/>
    <w:uiPriority w:val="0"/>
    <w:pPr>
      <w:widowControl w:val="0"/>
      <w:adjustRightInd w:val="0"/>
      <w:spacing w:line="500" w:lineRule="exact"/>
      <w:ind w:firstLine="567"/>
      <w:jc w:val="both"/>
      <w:textAlignment w:val="baseline"/>
    </w:pPr>
    <w:rPr>
      <w:rFonts w:ascii="仿宋_GB2312" w:hAnsi="Calibri" w:eastAsia="仿宋_GB2312" w:cs="Times New Roman"/>
      <w:kern w:val="2"/>
      <w:sz w:val="28"/>
      <w:szCs w:val="21"/>
      <w:lang w:val="en-US" w:eastAsia="zh-CN" w:bidi="ar-SA"/>
    </w:rPr>
  </w:style>
  <w:style w:type="paragraph" w:customStyle="1" w:styleId="3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9">
    <w:name w:val="正文首行缩进 21"/>
    <w:basedOn w:val="40"/>
    <w:qFormat/>
    <w:uiPriority w:val="0"/>
    <w:pPr>
      <w:spacing w:after="120" w:line="240" w:lineRule="auto"/>
      <w:ind w:left="420" w:leftChars="200"/>
    </w:pPr>
  </w:style>
  <w:style w:type="paragraph" w:customStyle="1" w:styleId="40">
    <w:name w:val="正文文本缩进1"/>
    <w:basedOn w:val="1"/>
    <w:qFormat/>
    <w:uiPriority w:val="0"/>
    <w:pPr>
      <w:spacing w:line="360" w:lineRule="auto"/>
      <w:ind w:firstLine="420" w:firstLineChars="200"/>
    </w:pPr>
  </w:style>
  <w:style w:type="paragraph" w:customStyle="1" w:styleId="41">
    <w:name w:val="正文缩进1"/>
    <w:basedOn w:val="1"/>
    <w:qFormat/>
    <w:uiPriority w:val="0"/>
    <w:pPr>
      <w:ind w:firstLine="420"/>
    </w:pPr>
    <w:rPr>
      <w:szCs w:val="20"/>
    </w:rPr>
  </w:style>
  <w:style w:type="paragraph" w:customStyle="1" w:styleId="42">
    <w:name w:val="_Style 586"/>
    <w:basedOn w:val="1"/>
    <w:next w:val="43"/>
    <w:qFormat/>
    <w:uiPriority w:val="34"/>
    <w:pPr>
      <w:ind w:firstLine="420" w:firstLineChars="200"/>
    </w:pPr>
    <w:rPr>
      <w:szCs w:val="22"/>
    </w:rPr>
  </w:style>
  <w:style w:type="paragraph" w:customStyle="1" w:styleId="43">
    <w:name w:val="列表段落1"/>
    <w:basedOn w:val="1"/>
    <w:qFormat/>
    <w:uiPriority w:val="0"/>
    <w:pPr>
      <w:ind w:firstLine="420" w:firstLineChars="200"/>
    </w:pPr>
  </w:style>
  <w:style w:type="character" w:customStyle="1" w:styleId="44">
    <w:name w:val="页眉 Char"/>
    <w:basedOn w:val="27"/>
    <w:link w:val="17"/>
    <w:qFormat/>
    <w:uiPriority w:val="0"/>
    <w:rPr>
      <w:kern w:val="2"/>
      <w:sz w:val="18"/>
      <w:szCs w:val="18"/>
    </w:rPr>
  </w:style>
  <w:style w:type="character" w:customStyle="1" w:styleId="45">
    <w:name w:val="批注框文本 Char"/>
    <w:basedOn w:val="27"/>
    <w:link w:val="15"/>
    <w:qFormat/>
    <w:uiPriority w:val="0"/>
    <w:rPr>
      <w:kern w:val="2"/>
      <w:sz w:val="18"/>
      <w:szCs w:val="18"/>
    </w:rPr>
  </w:style>
  <w:style w:type="paragraph" w:customStyle="1" w:styleId="46">
    <w:name w:val="列出段落1"/>
    <w:basedOn w:val="1"/>
    <w:qFormat/>
    <w:uiPriority w:val="34"/>
    <w:pPr>
      <w:ind w:firstLine="420" w:firstLineChars="200"/>
    </w:pPr>
  </w:style>
  <w:style w:type="character" w:customStyle="1" w:styleId="47">
    <w:name w:val="批注文字 Char"/>
    <w:basedOn w:val="27"/>
    <w:link w:val="8"/>
    <w:qFormat/>
    <w:uiPriority w:val="99"/>
    <w:rPr>
      <w:rFonts w:ascii="宋体"/>
      <w:sz w:val="34"/>
    </w:rPr>
  </w:style>
  <w:style w:type="character" w:customStyle="1" w:styleId="48">
    <w:name w:val="批注主题 Char"/>
    <w:basedOn w:val="47"/>
    <w:link w:val="22"/>
    <w:qFormat/>
    <w:uiPriority w:val="0"/>
    <w:rPr>
      <w:rFonts w:ascii="宋体"/>
      <w:b/>
      <w:bCs/>
      <w:kern w:val="2"/>
      <w:sz w:val="21"/>
      <w:szCs w:val="24"/>
    </w:rPr>
  </w:style>
  <w:style w:type="character" w:customStyle="1" w:styleId="49">
    <w:name w:val="标题1"/>
    <w:qFormat/>
    <w:uiPriority w:val="0"/>
  </w:style>
  <w:style w:type="paragraph" w:customStyle="1" w:styleId="50">
    <w:name w:val="USE 1"/>
    <w:basedOn w:val="1"/>
    <w:qFormat/>
    <w:uiPriority w:val="0"/>
    <w:pPr>
      <w:spacing w:line="200" w:lineRule="atLeast"/>
      <w:jc w:val="left"/>
    </w:pPr>
    <w:rPr>
      <w:rFonts w:ascii="宋体" w:hAnsi="宋体"/>
      <w:b/>
      <w:sz w:val="24"/>
      <w:szCs w:val="28"/>
    </w:rPr>
  </w:style>
  <w:style w:type="paragraph" w:customStyle="1" w:styleId="51">
    <w:name w:val="列表段落2"/>
    <w:basedOn w:val="1"/>
    <w:qFormat/>
    <w:uiPriority w:val="99"/>
    <w:pPr>
      <w:ind w:firstLine="420" w:firstLineChars="200"/>
    </w:pPr>
  </w:style>
  <w:style w:type="character" w:customStyle="1" w:styleId="52">
    <w:name w:val="font11"/>
    <w:qFormat/>
    <w:uiPriority w:val="0"/>
    <w:rPr>
      <w:rFonts w:hint="default" w:ascii="ˎ̥" w:hAnsi="ˎ̥"/>
    </w:rPr>
  </w:style>
  <w:style w:type="paragraph" w:customStyle="1" w:styleId="53">
    <w:name w:val="*正文"/>
    <w:basedOn w:val="1"/>
    <w:qFormat/>
    <w:uiPriority w:val="0"/>
    <w:pPr>
      <w:spacing w:line="360" w:lineRule="auto"/>
      <w:ind w:firstLine="480"/>
    </w:pPr>
    <w:rPr>
      <w:rFonts w:ascii="宋体" w:hAnsi="宋体"/>
      <w:szCs w:val="22"/>
    </w:rPr>
  </w:style>
  <w:style w:type="paragraph" w:customStyle="1" w:styleId="54">
    <w:name w:val="修订1"/>
    <w:hidden/>
    <w:semiHidden/>
    <w:qFormat/>
    <w:uiPriority w:val="99"/>
    <w:rPr>
      <w:rFonts w:ascii="Calibri" w:hAnsi="Calibri" w:eastAsia="宋体" w:cs="Times New Roman"/>
      <w:kern w:val="2"/>
      <w:sz w:val="21"/>
      <w:szCs w:val="24"/>
      <w:lang w:val="en-US" w:eastAsia="zh-CN" w:bidi="ar-SA"/>
    </w:rPr>
  </w:style>
  <w:style w:type="paragraph" w:customStyle="1" w:styleId="55">
    <w:name w:val="本文正文 Char1 Char Char Char Char Char Char Char Char Char Char Char Char Char Char Char Char Char Char Char Char Char Char Char Char"/>
    <w:basedOn w:val="1"/>
    <w:link w:val="56"/>
    <w:qFormat/>
    <w:uiPriority w:val="0"/>
    <w:pPr>
      <w:widowControl/>
      <w:spacing w:line="480" w:lineRule="exact"/>
      <w:ind w:firstLine="200" w:firstLineChars="200"/>
      <w:jc w:val="left"/>
    </w:pPr>
    <w:rPr>
      <w:rFonts w:ascii="宋体" w:hAnsi="宋体"/>
      <w:kern w:val="0"/>
      <w:sz w:val="24"/>
    </w:rPr>
  </w:style>
  <w:style w:type="character" w:customStyle="1" w:styleId="56">
    <w:name w:val="本文正文 Char1 Char Char Char Char Char Char Char Char Char Char Char Char Char Char Char Char Char Char Char Char Char Char Char Char Char Char"/>
    <w:link w:val="55"/>
    <w:qFormat/>
    <w:uiPriority w:val="0"/>
    <w:rPr>
      <w:rFonts w:ascii="宋体" w:hAnsi="宋体" w:eastAsia="宋体" w:cs="Times New Roman"/>
      <w:kern w:val="0"/>
      <w:sz w:val="24"/>
      <w:szCs w:val="24"/>
    </w:rPr>
  </w:style>
  <w:style w:type="character" w:customStyle="1" w:styleId="57">
    <w:name w:val="标题 2 字符"/>
    <w:qFormat/>
    <w:uiPriority w:val="0"/>
    <w:rPr>
      <w:b/>
      <w:kern w:val="0"/>
      <w:sz w:val="30"/>
      <w:szCs w:val="20"/>
    </w:rPr>
  </w:style>
  <w:style w:type="paragraph" w:customStyle="1" w:styleId="58">
    <w:name w:val="Other|1"/>
    <w:basedOn w:val="1"/>
    <w:qFormat/>
    <w:uiPriority w:val="0"/>
    <w:pPr>
      <w:spacing w:line="413" w:lineRule="auto"/>
      <w:ind w:firstLine="400"/>
    </w:pPr>
    <w:rPr>
      <w:rFonts w:ascii="宋体" w:hAnsi="宋体" w:cs="宋体"/>
      <w:lang w:val="zh-TW" w:eastAsia="zh-TW" w:bidi="zh-TW"/>
    </w:rPr>
  </w:style>
  <w:style w:type="character" w:customStyle="1" w:styleId="59">
    <w:name w:val="apple-style-span"/>
    <w:basedOn w:val="27"/>
    <w:qFormat/>
    <w:uiPriority w:val="0"/>
  </w:style>
  <w:style w:type="character" w:customStyle="1" w:styleId="60">
    <w:name w:val="font31"/>
    <w:qFormat/>
    <w:uiPriority w:val="0"/>
    <w:rPr>
      <w:rFonts w:hint="default" w:ascii="Arial" w:hAnsi="Arial" w:cs="Arial"/>
      <w:b/>
      <w:bCs/>
      <w:color w:val="000000"/>
      <w:sz w:val="22"/>
      <w:szCs w:val="22"/>
      <w:u w:val="none"/>
    </w:rPr>
  </w:style>
  <w:style w:type="paragraph" w:customStyle="1" w:styleId="61">
    <w:name w:val="p0"/>
    <w:basedOn w:val="1"/>
    <w:qFormat/>
    <w:uiPriority w:val="0"/>
    <w:pPr>
      <w:widowControl/>
    </w:pPr>
    <w:rPr>
      <w:rFonts w:cs="黑体"/>
      <w:kern w:val="0"/>
      <w:szCs w:val="21"/>
    </w:rPr>
  </w:style>
  <w:style w:type="paragraph" w:customStyle="1" w:styleId="62">
    <w:name w:val="样式 小四 加粗 行距: 多倍行距 1.25 字行"/>
    <w:basedOn w:val="1"/>
    <w:qFormat/>
    <w:uiPriority w:val="0"/>
    <w:pPr>
      <w:numPr>
        <w:ilvl w:val="0"/>
        <w:numId w:val="1"/>
      </w:numPr>
      <w:spacing w:before="156" w:beforeLines="50" w:after="156" w:afterLines="50" w:line="300" w:lineRule="auto"/>
      <w:jc w:val="left"/>
    </w:pPr>
    <w:rPr>
      <w:rFonts w:cs="宋体"/>
      <w:b/>
      <w:bCs/>
      <w:sz w:val="24"/>
    </w:rPr>
  </w:style>
  <w:style w:type="paragraph" w:customStyle="1" w:styleId="63">
    <w:name w:val="样式 小四 加粗 黑色 段前: 7.8 磅 段后: 7.8 磅 行距: 多倍行距 1.25 字行"/>
    <w:basedOn w:val="1"/>
    <w:qFormat/>
    <w:uiPriority w:val="0"/>
    <w:pPr>
      <w:numPr>
        <w:ilvl w:val="0"/>
        <w:numId w:val="2"/>
      </w:numPr>
      <w:adjustRightInd w:val="0"/>
      <w:snapToGrid w:val="0"/>
      <w:spacing w:before="156" w:after="50" w:line="300" w:lineRule="auto"/>
    </w:pPr>
    <w:rPr>
      <w:rFonts w:cs="宋体"/>
      <w:bCs/>
      <w:color w:val="000000"/>
      <w:sz w:val="24"/>
      <w:szCs w:val="20"/>
    </w:rPr>
  </w:style>
  <w:style w:type="paragraph" w:customStyle="1" w:styleId="64">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5">
    <w:name w:val="font01"/>
    <w:basedOn w:val="27"/>
    <w:qFormat/>
    <w:uiPriority w:val="0"/>
    <w:rPr>
      <w:rFonts w:hint="eastAsia" w:ascii="宋体" w:hAnsi="宋体" w:eastAsia="宋体" w:cs="宋体"/>
      <w:color w:val="000000"/>
      <w:sz w:val="22"/>
      <w:szCs w:val="22"/>
      <w:u w:val="none"/>
    </w:rPr>
  </w:style>
  <w:style w:type="character" w:customStyle="1" w:styleId="66">
    <w:name w:val="font71"/>
    <w:basedOn w:val="27"/>
    <w:qFormat/>
    <w:uiPriority w:val="0"/>
    <w:rPr>
      <w:rFonts w:hint="eastAsia" w:ascii="宋体" w:hAnsi="宋体" w:eastAsia="宋体" w:cs="宋体"/>
      <w:color w:val="FF0000"/>
      <w:sz w:val="22"/>
      <w:szCs w:val="22"/>
      <w:u w:val="none"/>
    </w:rPr>
  </w:style>
  <w:style w:type="paragraph" w:customStyle="1" w:styleId="67">
    <w:name w:val="Table Paragraph"/>
    <w:qFormat/>
    <w:uiPriority w:val="1"/>
    <w:pPr>
      <w:widowControl w:val="0"/>
      <w:autoSpaceDE w:val="0"/>
      <w:autoSpaceDN w:val="0"/>
    </w:pPr>
    <w:rPr>
      <w:rFonts w:ascii="宋体" w:hAnsi="宋体" w:eastAsia="等线" w:cs="宋体"/>
      <w:sz w:val="22"/>
      <w:szCs w:val="24"/>
      <w:lang w:val="zh-CN" w:eastAsia="zh-CN" w:bidi="zh-CN"/>
    </w:rPr>
  </w:style>
  <w:style w:type="paragraph" w:customStyle="1" w:styleId="68">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ICOS</Company>
  <Pages>93</Pages>
  <Words>2315</Words>
  <Characters>2374</Characters>
  <Lines>415</Lines>
  <Paragraphs>116</Paragraphs>
  <TotalTime>0</TotalTime>
  <ScaleCrop>false</ScaleCrop>
  <LinksUpToDate>false</LinksUpToDate>
  <CharactersWithSpaces>2421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2024-06-19T17:28:00Z</dcterms:created>
  <dc:creator>郑庆雄</dc:creator>
  <cp:lastModifiedBy>东海国际</cp:lastModifiedBy>
  <cp:lastPrinted>2021-12-29T14:24:00Z</cp:lastPrinted>
  <dcterms:modified xsi:type="dcterms:W3CDTF">2025-03-17T09:29:51Z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1FF628007A93464794C462B55B1ECA53_13</vt:lpwstr>
  </property>
  <property fmtid="{D5CDD505-2E9C-101B-9397-08002B2CF9AE}" pid="4" name="KSOTemplateDocerSaveRecord">
    <vt:lpwstr>eyJoZGlkIjoiMWY3ZDI3ZDEwZDA0ZmRlNjY1M2I4NzFiYjc1ZTVlZTEiLCJ1c2VySWQiOiIxMTQwMDYwNTgwIn0=</vt:lpwstr>
  </property>
</Properties>
</file>