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6E315F">
      <w:pPr>
        <w:pStyle w:val="39"/>
        <w:widowControl/>
        <w:jc w:val="center"/>
        <w:outlineLvl w:val="1"/>
        <w:rPr>
          <w:rFonts w:ascii="黑体" w:hAnsi="宋体" w:eastAsia="黑体" w:cs="黑体"/>
          <w:sz w:val="40"/>
          <w:szCs w:val="40"/>
        </w:rPr>
      </w:pPr>
      <w:bookmarkStart w:id="0" w:name="_Hlk71456902"/>
      <w:r>
        <w:rPr>
          <w:rFonts w:hint="eastAsia" w:ascii="黑体" w:hAnsi="宋体" w:eastAsia="黑体" w:cs="黑体"/>
          <w:sz w:val="40"/>
          <w:szCs w:val="40"/>
        </w:rPr>
        <w:t>招标文件信息</w:t>
      </w:r>
    </w:p>
    <w:tbl>
      <w:tblPr>
        <w:tblStyle w:val="44"/>
        <w:tblW w:w="7943" w:type="dxa"/>
        <w:jc w:val="center"/>
        <w:tblCellSpacing w:w="0" w:type="dxa"/>
        <w:tblLayout w:type="fixed"/>
        <w:tblCellMar>
          <w:top w:w="45" w:type="dxa"/>
          <w:left w:w="45" w:type="dxa"/>
          <w:bottom w:w="45" w:type="dxa"/>
          <w:right w:w="45" w:type="dxa"/>
        </w:tblCellMar>
      </w:tblPr>
      <w:tblGrid>
        <w:gridCol w:w="2723"/>
        <w:gridCol w:w="5220"/>
      </w:tblGrid>
      <w:tr w14:paraId="52058D61">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42F60BCB">
            <w:pPr>
              <w:widowControl/>
              <w:jc w:val="right"/>
              <w:rPr>
                <w:sz w:val="30"/>
                <w:szCs w:val="30"/>
              </w:rPr>
            </w:pPr>
            <w:r>
              <w:rPr>
                <w:rFonts w:ascii="宋体" w:hAnsi="宋体" w:cs="宋体"/>
                <w:kern w:val="0"/>
                <w:sz w:val="30"/>
                <w:szCs w:val="30"/>
                <w:lang w:bidi="ar"/>
              </w:rPr>
              <w:t>项目编号：</w:t>
            </w:r>
          </w:p>
        </w:tc>
        <w:tc>
          <w:tcPr>
            <w:tcW w:w="5220" w:type="dxa"/>
            <w:shd w:val="clear" w:color="auto" w:fill="auto"/>
            <w:vAlign w:val="center"/>
          </w:tcPr>
          <w:p w14:paraId="346472EA">
            <w:pPr>
              <w:widowControl/>
              <w:jc w:val="left"/>
              <w:rPr>
                <w:rFonts w:hint="eastAsia" w:eastAsia="宋体"/>
                <w:sz w:val="30"/>
                <w:szCs w:val="30"/>
                <w:lang w:eastAsia="zh-CN"/>
              </w:rPr>
            </w:pPr>
            <w:r>
              <w:rPr>
                <w:rFonts w:hint="eastAsia"/>
                <w:sz w:val="30"/>
                <w:szCs w:val="30"/>
              </w:rPr>
              <w:t>LG</w:t>
            </w:r>
            <w:bookmarkStart w:id="123" w:name="_GoBack"/>
            <w:bookmarkEnd w:id="123"/>
            <w:r>
              <w:rPr>
                <w:rFonts w:hint="eastAsia"/>
                <w:sz w:val="30"/>
                <w:szCs w:val="30"/>
              </w:rPr>
              <w:t>ZXCG-2025-00075</w:t>
            </w:r>
          </w:p>
        </w:tc>
      </w:tr>
      <w:tr w14:paraId="23B1F06D">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4080CE36">
            <w:pPr>
              <w:widowControl/>
              <w:jc w:val="right"/>
              <w:rPr>
                <w:sz w:val="30"/>
                <w:szCs w:val="30"/>
              </w:rPr>
            </w:pPr>
            <w:r>
              <w:rPr>
                <w:rFonts w:ascii="宋体" w:hAnsi="宋体" w:cs="宋体"/>
                <w:kern w:val="0"/>
                <w:sz w:val="30"/>
                <w:szCs w:val="30"/>
                <w:lang w:bidi="ar"/>
              </w:rPr>
              <w:t>项目名称：</w:t>
            </w:r>
          </w:p>
        </w:tc>
        <w:tc>
          <w:tcPr>
            <w:tcW w:w="5220" w:type="dxa"/>
            <w:shd w:val="clear" w:color="auto" w:fill="auto"/>
            <w:vAlign w:val="center"/>
          </w:tcPr>
          <w:p w14:paraId="75C5C9D4">
            <w:pPr>
              <w:widowControl/>
              <w:jc w:val="left"/>
              <w:rPr>
                <w:rFonts w:hint="default" w:eastAsia="宋体"/>
                <w:sz w:val="30"/>
                <w:szCs w:val="30"/>
                <w:lang w:val="en-US" w:eastAsia="zh-CN"/>
              </w:rPr>
            </w:pPr>
            <w:r>
              <w:rPr>
                <w:rFonts w:hint="default" w:eastAsia="宋体"/>
                <w:sz w:val="30"/>
                <w:szCs w:val="30"/>
                <w:lang w:val="en-US" w:eastAsia="zh-CN"/>
              </w:rPr>
              <w:t>深圳市龙岗区第二人民医院新院区检验科试剂耗材及配套设备采购项目</w:t>
            </w:r>
          </w:p>
        </w:tc>
      </w:tr>
      <w:tr w14:paraId="580BAF1D">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7622CF84">
            <w:pPr>
              <w:widowControl/>
              <w:jc w:val="right"/>
              <w:rPr>
                <w:sz w:val="30"/>
                <w:szCs w:val="30"/>
              </w:rPr>
            </w:pPr>
            <w:r>
              <w:rPr>
                <w:rFonts w:ascii="宋体" w:hAnsi="宋体" w:cs="宋体"/>
                <w:kern w:val="0"/>
                <w:sz w:val="30"/>
                <w:szCs w:val="30"/>
                <w:lang w:bidi="ar"/>
              </w:rPr>
              <w:t xml:space="preserve">包 </w:t>
            </w:r>
            <w:r>
              <w:rPr>
                <w:rFonts w:hint="eastAsia" w:ascii="宋体" w:hAnsi="宋体" w:cs="宋体"/>
                <w:kern w:val="0"/>
                <w:sz w:val="30"/>
                <w:szCs w:val="30"/>
                <w:lang w:val="en-US" w:eastAsia="zh-CN" w:bidi="ar"/>
              </w:rPr>
              <w:t xml:space="preserve">   </w:t>
            </w:r>
            <w:r>
              <w:rPr>
                <w:rFonts w:ascii="宋体" w:hAnsi="宋体" w:cs="宋体"/>
                <w:kern w:val="0"/>
                <w:sz w:val="30"/>
                <w:szCs w:val="30"/>
                <w:lang w:bidi="ar"/>
              </w:rPr>
              <w:t>号：</w:t>
            </w:r>
          </w:p>
        </w:tc>
        <w:tc>
          <w:tcPr>
            <w:tcW w:w="5220" w:type="dxa"/>
            <w:shd w:val="clear" w:color="auto" w:fill="auto"/>
            <w:vAlign w:val="center"/>
          </w:tcPr>
          <w:p w14:paraId="240B2EEA">
            <w:pPr>
              <w:widowControl/>
              <w:jc w:val="left"/>
              <w:rPr>
                <w:rFonts w:hint="eastAsia" w:eastAsia="宋体"/>
                <w:sz w:val="30"/>
                <w:szCs w:val="30"/>
                <w:lang w:eastAsia="zh-CN"/>
              </w:rPr>
            </w:pPr>
            <w:r>
              <w:rPr>
                <w:rFonts w:hint="eastAsia" w:ascii="宋体" w:hAnsi="宋体" w:cs="宋体"/>
                <w:kern w:val="0"/>
                <w:sz w:val="30"/>
                <w:szCs w:val="30"/>
                <w:lang w:val="en-US" w:eastAsia="zh-CN" w:bidi="ar"/>
              </w:rPr>
              <w:t>B</w:t>
            </w:r>
          </w:p>
        </w:tc>
      </w:tr>
      <w:tr w14:paraId="3C246B80">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6B28244A">
            <w:pPr>
              <w:widowControl/>
              <w:jc w:val="right"/>
              <w:rPr>
                <w:sz w:val="30"/>
                <w:szCs w:val="30"/>
              </w:rPr>
            </w:pPr>
            <w:r>
              <w:rPr>
                <w:rFonts w:ascii="宋体" w:hAnsi="宋体" w:cs="宋体"/>
                <w:kern w:val="0"/>
                <w:sz w:val="30"/>
                <w:szCs w:val="30"/>
                <w:lang w:bidi="ar"/>
              </w:rPr>
              <w:t>项目类型：</w:t>
            </w:r>
          </w:p>
        </w:tc>
        <w:tc>
          <w:tcPr>
            <w:tcW w:w="5220" w:type="dxa"/>
            <w:shd w:val="clear" w:color="auto" w:fill="auto"/>
            <w:vAlign w:val="center"/>
          </w:tcPr>
          <w:p w14:paraId="3603FD58">
            <w:pPr>
              <w:widowControl/>
              <w:jc w:val="left"/>
              <w:rPr>
                <w:sz w:val="30"/>
                <w:szCs w:val="30"/>
              </w:rPr>
            </w:pPr>
            <w:r>
              <w:rPr>
                <w:rFonts w:ascii="宋体" w:hAnsi="宋体" w:cs="宋体"/>
                <w:kern w:val="0"/>
                <w:sz w:val="30"/>
                <w:szCs w:val="30"/>
                <w:lang w:bidi="ar"/>
              </w:rPr>
              <w:t>货物类</w:t>
            </w:r>
          </w:p>
        </w:tc>
      </w:tr>
      <w:tr w14:paraId="3CA1EC8D">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343C9C6B">
            <w:pPr>
              <w:widowControl/>
              <w:jc w:val="right"/>
              <w:rPr>
                <w:sz w:val="30"/>
                <w:szCs w:val="30"/>
              </w:rPr>
            </w:pPr>
            <w:r>
              <w:rPr>
                <w:rFonts w:ascii="宋体" w:hAnsi="宋体" w:cs="宋体"/>
                <w:kern w:val="0"/>
                <w:sz w:val="30"/>
                <w:szCs w:val="30"/>
                <w:lang w:bidi="ar"/>
              </w:rPr>
              <w:t>采购方式：</w:t>
            </w:r>
          </w:p>
        </w:tc>
        <w:tc>
          <w:tcPr>
            <w:tcW w:w="5220" w:type="dxa"/>
            <w:shd w:val="clear" w:color="auto" w:fill="auto"/>
            <w:vAlign w:val="center"/>
          </w:tcPr>
          <w:p w14:paraId="373C1A82">
            <w:pPr>
              <w:widowControl/>
              <w:jc w:val="left"/>
              <w:rPr>
                <w:sz w:val="30"/>
                <w:szCs w:val="30"/>
              </w:rPr>
            </w:pPr>
            <w:r>
              <w:rPr>
                <w:rFonts w:ascii="宋体" w:hAnsi="宋体" w:cs="宋体"/>
                <w:kern w:val="0"/>
                <w:sz w:val="30"/>
                <w:szCs w:val="30"/>
                <w:lang w:bidi="ar"/>
              </w:rPr>
              <w:t>公开招标</w:t>
            </w:r>
          </w:p>
        </w:tc>
      </w:tr>
      <w:tr w14:paraId="25CD2826">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0E15C6A4">
            <w:pPr>
              <w:widowControl/>
              <w:jc w:val="right"/>
              <w:rPr>
                <w:sz w:val="30"/>
                <w:szCs w:val="30"/>
              </w:rPr>
            </w:pPr>
            <w:r>
              <w:rPr>
                <w:rFonts w:ascii="宋体" w:hAnsi="宋体" w:cs="宋体"/>
                <w:kern w:val="0"/>
                <w:sz w:val="30"/>
                <w:szCs w:val="30"/>
                <w:lang w:bidi="ar"/>
              </w:rPr>
              <w:t>货币类型：</w:t>
            </w:r>
          </w:p>
        </w:tc>
        <w:tc>
          <w:tcPr>
            <w:tcW w:w="5220" w:type="dxa"/>
            <w:shd w:val="clear" w:color="auto" w:fill="auto"/>
            <w:vAlign w:val="center"/>
          </w:tcPr>
          <w:p w14:paraId="1694600F">
            <w:pPr>
              <w:widowControl/>
              <w:jc w:val="left"/>
              <w:rPr>
                <w:sz w:val="30"/>
                <w:szCs w:val="30"/>
              </w:rPr>
            </w:pPr>
            <w:r>
              <w:rPr>
                <w:rFonts w:ascii="宋体" w:hAnsi="宋体" w:cs="宋体"/>
                <w:kern w:val="0"/>
                <w:sz w:val="30"/>
                <w:szCs w:val="30"/>
                <w:lang w:bidi="ar"/>
              </w:rPr>
              <w:t>人民币</w:t>
            </w:r>
          </w:p>
        </w:tc>
      </w:tr>
      <w:tr w14:paraId="06803D6E">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1006CB8F">
            <w:pPr>
              <w:widowControl/>
              <w:jc w:val="right"/>
              <w:rPr>
                <w:sz w:val="30"/>
                <w:szCs w:val="30"/>
              </w:rPr>
            </w:pPr>
            <w:r>
              <w:rPr>
                <w:rFonts w:ascii="宋体" w:hAnsi="宋体" w:cs="宋体"/>
                <w:kern w:val="0"/>
                <w:sz w:val="30"/>
                <w:szCs w:val="30"/>
                <w:lang w:bidi="ar"/>
              </w:rPr>
              <w:t>评标方法：</w:t>
            </w:r>
          </w:p>
        </w:tc>
        <w:tc>
          <w:tcPr>
            <w:tcW w:w="5220" w:type="dxa"/>
            <w:shd w:val="clear" w:color="auto" w:fill="auto"/>
            <w:vAlign w:val="center"/>
          </w:tcPr>
          <w:p w14:paraId="7017E5AB">
            <w:pPr>
              <w:widowControl/>
              <w:jc w:val="left"/>
              <w:rPr>
                <w:sz w:val="30"/>
                <w:szCs w:val="30"/>
              </w:rPr>
            </w:pPr>
            <w:r>
              <w:rPr>
                <w:rFonts w:ascii="宋体" w:hAnsi="宋体" w:cs="宋体"/>
                <w:kern w:val="0"/>
                <w:sz w:val="30"/>
                <w:szCs w:val="30"/>
                <w:lang w:bidi="ar"/>
              </w:rPr>
              <w:t>综合评分法</w:t>
            </w:r>
          </w:p>
        </w:tc>
      </w:tr>
      <w:bookmarkEnd w:id="0"/>
    </w:tbl>
    <w:p w14:paraId="2F36E393">
      <w:pPr>
        <w:pStyle w:val="39"/>
        <w:widowControl/>
        <w:jc w:val="center"/>
        <w:outlineLvl w:val="1"/>
        <w:rPr>
          <w:rFonts w:hint="eastAsia" w:ascii="黑体" w:hAnsi="宋体" w:eastAsia="黑体" w:cs="黑体"/>
          <w:sz w:val="40"/>
          <w:szCs w:val="40"/>
        </w:rPr>
        <w:sectPr>
          <w:headerReference r:id="rId3" w:type="first"/>
          <w:footerReference r:id="rId4" w:type="default"/>
          <w:pgSz w:w="11907" w:h="16840"/>
          <w:pgMar w:top="1497" w:right="1418" w:bottom="1440" w:left="1531" w:header="851" w:footer="992" w:gutter="0"/>
          <w:pgBorders>
            <w:top w:val="none" w:sz="0" w:space="0"/>
            <w:left w:val="none" w:sz="0" w:space="0"/>
            <w:bottom w:val="none" w:sz="0" w:space="0"/>
            <w:right w:val="none" w:sz="0" w:space="0"/>
          </w:pgBorders>
          <w:cols w:space="425" w:num="1"/>
          <w:titlePg/>
          <w:docGrid w:linePitch="462" w:charSpace="0"/>
        </w:sectPr>
      </w:pPr>
    </w:p>
    <w:p w14:paraId="1041848D">
      <w:pPr>
        <w:pStyle w:val="39"/>
        <w:widowControl/>
        <w:jc w:val="center"/>
        <w:outlineLvl w:val="1"/>
        <w:rPr>
          <w:rFonts w:ascii="黑体" w:hAnsi="宋体" w:eastAsia="黑体" w:cs="黑体"/>
          <w:sz w:val="40"/>
          <w:szCs w:val="40"/>
        </w:rPr>
      </w:pPr>
      <w:r>
        <w:rPr>
          <w:rFonts w:hint="eastAsia" w:ascii="黑体" w:hAnsi="宋体" w:eastAsia="黑体" w:cs="黑体"/>
          <w:sz w:val="40"/>
          <w:szCs w:val="40"/>
        </w:rPr>
        <w:t>资格性审查表</w:t>
      </w:r>
    </w:p>
    <w:tbl>
      <w:tblPr>
        <w:tblStyle w:val="44"/>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14:paraId="1B635D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550CCAA1">
            <w:pPr>
              <w:widowControl/>
              <w:jc w:val="center"/>
              <w:rPr>
                <w:sz w:val="28"/>
                <w:szCs w:val="28"/>
              </w:rPr>
            </w:pPr>
            <w:r>
              <w:rPr>
                <w:rFonts w:ascii="宋体" w:hAnsi="宋体" w:cs="宋体"/>
                <w:kern w:val="0"/>
                <w:sz w:val="28"/>
                <w:szCs w:val="28"/>
                <w:lang w:bidi="ar"/>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57462FDE">
            <w:pPr>
              <w:widowControl/>
              <w:jc w:val="center"/>
              <w:rPr>
                <w:sz w:val="28"/>
                <w:szCs w:val="28"/>
              </w:rPr>
            </w:pPr>
            <w:r>
              <w:rPr>
                <w:rFonts w:ascii="宋体" w:hAnsi="宋体" w:cs="宋体"/>
                <w:kern w:val="0"/>
                <w:sz w:val="28"/>
                <w:szCs w:val="28"/>
                <w:lang w:bidi="ar"/>
              </w:rPr>
              <w:t>内容</w:t>
            </w:r>
          </w:p>
        </w:tc>
      </w:tr>
      <w:tr w14:paraId="392237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5B828CA1">
            <w:pPr>
              <w:widowControl/>
              <w:jc w:val="center"/>
              <w:textAlignment w:val="top"/>
              <w:rPr>
                <w:szCs w:val="21"/>
              </w:rPr>
            </w:pPr>
            <w:r>
              <w:rPr>
                <w:rFonts w:ascii="宋体" w:hAnsi="宋体" w:cs="宋体"/>
                <w:kern w:val="0"/>
                <w:szCs w:val="21"/>
                <w:lang w:bidi="ar"/>
              </w:rPr>
              <w:t>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1FC83BC5">
            <w:pPr>
              <w:widowControl/>
              <w:jc w:val="left"/>
              <w:textAlignment w:val="top"/>
              <w:rPr>
                <w:szCs w:val="21"/>
              </w:rPr>
            </w:pPr>
            <w:r>
              <w:rPr>
                <w:rFonts w:ascii="宋体" w:hAnsi="宋体" w:cs="宋体"/>
                <w:kern w:val="0"/>
                <w:szCs w:val="21"/>
                <w:lang w:bidi="ar"/>
              </w:rPr>
              <w:t>投标人不</w:t>
            </w:r>
            <w:r>
              <w:rPr>
                <w:rFonts w:hint="eastAsia" w:ascii="宋体" w:hAnsi="宋体" w:cs="宋体"/>
                <w:kern w:val="0"/>
                <w:szCs w:val="21"/>
                <w:lang w:bidi="ar"/>
              </w:rPr>
              <w:t>符合</w:t>
            </w:r>
            <w:r>
              <w:rPr>
                <w:rFonts w:ascii="宋体" w:hAnsi="宋体" w:cs="宋体"/>
                <w:kern w:val="0"/>
                <w:szCs w:val="21"/>
                <w:lang w:bidi="ar"/>
              </w:rPr>
              <w:t>资格要求，或未提交相应的资格证明资料（详见招标公告</w:t>
            </w:r>
            <w:r>
              <w:rPr>
                <w:rFonts w:hint="eastAsia" w:ascii="宋体" w:hAnsi="宋体"/>
                <w:szCs w:val="21"/>
              </w:rPr>
              <w:t>投标人资格要求，即申请人的资格要求</w:t>
            </w:r>
            <w:r>
              <w:rPr>
                <w:rFonts w:ascii="宋体" w:hAnsi="宋体" w:cs="宋体"/>
                <w:kern w:val="0"/>
                <w:szCs w:val="21"/>
                <w:lang w:bidi="ar"/>
              </w:rPr>
              <w:t>）</w:t>
            </w:r>
          </w:p>
        </w:tc>
      </w:tr>
    </w:tbl>
    <w:p w14:paraId="2B97E9B0">
      <w:pPr>
        <w:pStyle w:val="39"/>
        <w:widowControl/>
        <w:spacing w:before="280" w:beforeAutospacing="0"/>
        <w:jc w:val="center"/>
        <w:outlineLvl w:val="1"/>
        <w:rPr>
          <w:rFonts w:ascii="黑体" w:hAnsi="宋体" w:eastAsia="黑体" w:cs="黑体"/>
          <w:sz w:val="40"/>
          <w:szCs w:val="40"/>
        </w:rPr>
      </w:pPr>
      <w:r>
        <w:rPr>
          <w:rFonts w:hint="eastAsia" w:ascii="黑体" w:hAnsi="宋体" w:eastAsia="黑体" w:cs="黑体"/>
          <w:sz w:val="40"/>
          <w:szCs w:val="40"/>
        </w:rPr>
        <w:t>符合性审查表</w:t>
      </w:r>
    </w:p>
    <w:tbl>
      <w:tblPr>
        <w:tblStyle w:val="44"/>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14:paraId="77063C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426D9AD6">
            <w:pPr>
              <w:widowControl/>
              <w:jc w:val="center"/>
              <w:rPr>
                <w:sz w:val="28"/>
                <w:szCs w:val="28"/>
              </w:rPr>
            </w:pPr>
            <w:r>
              <w:rPr>
                <w:rFonts w:ascii="宋体" w:hAnsi="宋体" w:cs="宋体"/>
                <w:kern w:val="0"/>
                <w:sz w:val="28"/>
                <w:szCs w:val="28"/>
                <w:lang w:bidi="ar"/>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25112D6C">
            <w:pPr>
              <w:widowControl/>
              <w:jc w:val="center"/>
              <w:rPr>
                <w:sz w:val="28"/>
                <w:szCs w:val="28"/>
              </w:rPr>
            </w:pPr>
            <w:r>
              <w:rPr>
                <w:rFonts w:ascii="宋体" w:hAnsi="宋体" w:cs="宋体"/>
                <w:kern w:val="0"/>
                <w:sz w:val="28"/>
                <w:szCs w:val="28"/>
                <w:lang w:bidi="ar"/>
              </w:rPr>
              <w:t>内容</w:t>
            </w:r>
          </w:p>
        </w:tc>
      </w:tr>
      <w:tr w14:paraId="137B0E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56F23D">
            <w:pPr>
              <w:widowControl/>
              <w:jc w:val="center"/>
              <w:textAlignment w:val="top"/>
              <w:rPr>
                <w:szCs w:val="21"/>
              </w:rPr>
            </w:pPr>
            <w:r>
              <w:rPr>
                <w:rFonts w:ascii="宋体" w:hAnsi="宋体" w:cs="宋体"/>
                <w:kern w:val="0"/>
                <w:szCs w:val="21"/>
                <w:lang w:bidi="ar"/>
              </w:rPr>
              <w:t>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71CDD83F">
            <w:pPr>
              <w:widowControl/>
              <w:jc w:val="left"/>
              <w:textAlignment w:val="top"/>
              <w:rPr>
                <w:szCs w:val="21"/>
              </w:rPr>
            </w:pPr>
            <w:r>
              <w:rPr>
                <w:rFonts w:hint="eastAsia"/>
                <w:lang w:val="en-US" w:eastAsia="zh-CN"/>
              </w:rPr>
              <w:t>不得</w:t>
            </w:r>
            <w:r>
              <w:rPr>
                <w:rFonts w:hint="eastAsia"/>
              </w:rPr>
              <w:t>将一个包的内容拆开投标；</w:t>
            </w:r>
          </w:p>
        </w:tc>
      </w:tr>
      <w:tr w14:paraId="528473B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D2294B">
            <w:pPr>
              <w:widowControl/>
              <w:jc w:val="center"/>
              <w:textAlignment w:val="top"/>
              <w:rPr>
                <w:szCs w:val="21"/>
              </w:rPr>
            </w:pPr>
            <w:r>
              <w:rPr>
                <w:rFonts w:ascii="宋体" w:hAnsi="宋体" w:cs="宋体"/>
                <w:kern w:val="0"/>
                <w:szCs w:val="21"/>
                <w:lang w:bidi="ar"/>
              </w:rPr>
              <w:t>2</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53507A9C">
            <w:pPr>
              <w:widowControl/>
              <w:jc w:val="left"/>
              <w:textAlignment w:val="top"/>
              <w:rPr>
                <w:szCs w:val="21"/>
              </w:rPr>
            </w:pPr>
            <w:r>
              <w:rPr>
                <w:rFonts w:hint="eastAsia"/>
              </w:rPr>
              <w:t>对同一项目投标时，</w:t>
            </w:r>
            <w:r>
              <w:rPr>
                <w:rFonts w:hint="eastAsia"/>
                <w:lang w:val="en-US" w:eastAsia="zh-CN"/>
              </w:rPr>
              <w:t>不得</w:t>
            </w:r>
            <w:r>
              <w:rPr>
                <w:rFonts w:hint="eastAsia"/>
              </w:rPr>
              <w:t>提供两套以上的投标方案（招标文件另有规定的除外）；</w:t>
            </w:r>
          </w:p>
        </w:tc>
      </w:tr>
      <w:tr w14:paraId="7A0218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363A71">
            <w:pPr>
              <w:widowControl/>
              <w:jc w:val="center"/>
              <w:textAlignment w:val="top"/>
              <w:rPr>
                <w:szCs w:val="21"/>
              </w:rPr>
            </w:pPr>
            <w:r>
              <w:rPr>
                <w:rFonts w:ascii="宋体" w:hAnsi="宋体" w:cs="宋体"/>
                <w:kern w:val="0"/>
                <w:szCs w:val="21"/>
                <w:lang w:bidi="ar"/>
              </w:rPr>
              <w:t>3</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26465010">
            <w:pPr>
              <w:widowControl/>
              <w:jc w:val="left"/>
              <w:textAlignment w:val="top"/>
              <w:rPr>
                <w:szCs w:val="21"/>
              </w:rPr>
            </w:pPr>
            <w:r>
              <w:rPr>
                <w:rFonts w:hint="eastAsia"/>
              </w:rPr>
              <w:t>分项报价或投标总价</w:t>
            </w:r>
            <w:r>
              <w:rPr>
                <w:rFonts w:hint="eastAsia"/>
                <w:lang w:val="en-US" w:eastAsia="zh-CN"/>
              </w:rPr>
              <w:t>不得</w:t>
            </w:r>
            <w:r>
              <w:rPr>
                <w:rFonts w:hint="eastAsia"/>
              </w:rPr>
              <w:t>高于</w:t>
            </w:r>
            <w:bookmarkStart w:id="1" w:name="_Hlk71832186"/>
            <w:r>
              <w:rPr>
                <w:rFonts w:hint="eastAsia"/>
              </w:rPr>
              <w:t>相应预算金额（或设定的预算金额下的最高限价）</w:t>
            </w:r>
            <w:bookmarkEnd w:id="1"/>
            <w:r>
              <w:rPr>
                <w:rFonts w:hint="eastAsia"/>
              </w:rPr>
              <w:t>；</w:t>
            </w:r>
          </w:p>
        </w:tc>
      </w:tr>
      <w:tr w14:paraId="66339F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A5CF99">
            <w:pPr>
              <w:widowControl/>
              <w:jc w:val="center"/>
              <w:textAlignment w:val="top"/>
              <w:rPr>
                <w:szCs w:val="21"/>
              </w:rPr>
            </w:pPr>
            <w:r>
              <w:rPr>
                <w:rFonts w:ascii="宋体" w:hAnsi="宋体" w:cs="宋体"/>
                <w:kern w:val="0"/>
                <w:szCs w:val="21"/>
                <w:lang w:bidi="ar"/>
              </w:rPr>
              <w:t>4</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5B4467DC">
            <w:pPr>
              <w:widowControl/>
              <w:jc w:val="left"/>
              <w:textAlignment w:val="top"/>
              <w:rPr>
                <w:szCs w:val="21"/>
              </w:rPr>
            </w:pPr>
            <w:r>
              <w:rPr>
                <w:rFonts w:hint="eastAsia"/>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3245C1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707380">
            <w:pPr>
              <w:widowControl/>
              <w:jc w:val="center"/>
              <w:textAlignment w:val="top"/>
              <w:rPr>
                <w:szCs w:val="21"/>
              </w:rPr>
            </w:pPr>
            <w:r>
              <w:rPr>
                <w:rFonts w:ascii="宋体" w:hAnsi="宋体" w:cs="宋体"/>
                <w:kern w:val="0"/>
                <w:szCs w:val="21"/>
                <w:lang w:bidi="ar"/>
              </w:rPr>
              <w:t>5</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3B8B6856">
            <w:pPr>
              <w:widowControl/>
              <w:jc w:val="left"/>
              <w:textAlignment w:val="top"/>
              <w:rPr>
                <w:szCs w:val="21"/>
              </w:rPr>
            </w:pPr>
            <w:r>
              <w:rPr>
                <w:rFonts w:hint="eastAsia"/>
              </w:rPr>
              <w:t>所投货物、服务在技术、商务等方面没有实质性满足招标文件要求的（是否实质性满足招标文件要求，由评审委员会根据实质性条款响应情况做出评判</w:t>
            </w:r>
            <w:r>
              <w:rPr>
                <w:rFonts w:hint="eastAsia"/>
                <w:lang w:eastAsia="zh-CN"/>
              </w:rPr>
              <w:t>；</w:t>
            </w:r>
            <w:r>
              <w:rPr>
                <w:rFonts w:hint="eastAsia"/>
                <w:lang w:val="en-US" w:eastAsia="zh-CN"/>
              </w:rPr>
              <w:t>若招标文件未设置实质性条款，不得据此做投标无效处理</w:t>
            </w:r>
            <w:r>
              <w:rPr>
                <w:rFonts w:hint="eastAsia"/>
              </w:rPr>
              <w:t>）；</w:t>
            </w:r>
          </w:p>
        </w:tc>
      </w:tr>
      <w:tr w14:paraId="5FF7FC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8A1218">
            <w:pPr>
              <w:widowControl/>
              <w:jc w:val="center"/>
              <w:textAlignment w:val="top"/>
              <w:rPr>
                <w:szCs w:val="21"/>
              </w:rPr>
            </w:pPr>
            <w:r>
              <w:rPr>
                <w:rFonts w:ascii="宋体" w:hAnsi="宋体" w:cs="宋体"/>
                <w:kern w:val="0"/>
                <w:szCs w:val="21"/>
                <w:lang w:bidi="ar"/>
              </w:rPr>
              <w:t>6</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547AD72D">
            <w:pPr>
              <w:widowControl/>
              <w:jc w:val="left"/>
              <w:textAlignment w:val="top"/>
              <w:rPr>
                <w:szCs w:val="21"/>
              </w:rPr>
            </w:pPr>
            <w:r>
              <w:rPr>
                <w:rFonts w:hint="eastAsia"/>
              </w:rPr>
              <w:t>未按招标文件所提供的样式填写《投标函》；未按招标文件所提供的《采购投标及履约承诺函》进行承诺；未按招标文件对投标文件组成的要求提供投标文件；</w:t>
            </w:r>
          </w:p>
        </w:tc>
      </w:tr>
      <w:tr w14:paraId="574BE4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F8D206">
            <w:pPr>
              <w:widowControl/>
              <w:jc w:val="center"/>
              <w:textAlignment w:val="top"/>
              <w:rPr>
                <w:rFonts w:hint="eastAsia"/>
              </w:rPr>
            </w:pPr>
            <w:r>
              <w:rPr>
                <w:rFonts w:hint="eastAsia"/>
              </w:rPr>
              <w:t>7</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49712A9F">
            <w:pPr>
              <w:widowControl/>
              <w:jc w:val="left"/>
              <w:textAlignment w:val="top"/>
              <w:rPr>
                <w:rFonts w:hint="eastAsia"/>
              </w:rPr>
            </w:pPr>
            <w:r>
              <w:rPr>
                <w:rFonts w:hint="eastAsia"/>
                <w:lang w:val="en-US" w:eastAsia="zh-CN"/>
              </w:rPr>
              <w:t>采购标的/所投产品/货物清单/报价等任意一类有缺漏项或响应不全，</w:t>
            </w:r>
            <w:r>
              <w:rPr>
                <w:rFonts w:hint="eastAsia"/>
              </w:rPr>
              <w:t>或者对招标文件规定的项目需求内容或者需求数量进行修改，评审委员会判定投标响应不满足采购需求；</w:t>
            </w:r>
          </w:p>
        </w:tc>
      </w:tr>
      <w:tr w14:paraId="3154A8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227FD3">
            <w:pPr>
              <w:widowControl/>
              <w:jc w:val="center"/>
              <w:textAlignment w:val="top"/>
              <w:rPr>
                <w:rFonts w:hint="eastAsia" w:eastAsia="宋体"/>
                <w:szCs w:val="21"/>
                <w:lang w:eastAsia="zh-CN"/>
              </w:rPr>
            </w:pPr>
            <w:r>
              <w:rPr>
                <w:rFonts w:hint="eastAsia" w:ascii="宋体" w:hAnsi="宋体" w:cs="宋体"/>
                <w:kern w:val="0"/>
                <w:szCs w:val="21"/>
                <w:lang w:val="en-US" w:eastAsia="zh-CN" w:bidi="ar"/>
              </w:rPr>
              <w:t>8</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62C5A2BF">
            <w:pPr>
              <w:widowControl/>
              <w:jc w:val="left"/>
              <w:textAlignment w:val="top"/>
              <w:rPr>
                <w:szCs w:val="21"/>
              </w:rPr>
            </w:pPr>
            <w:r>
              <w:rPr>
                <w:rFonts w:hint="eastAsia"/>
              </w:rPr>
              <w:t>投标文件电子文档</w:t>
            </w:r>
            <w:r>
              <w:rPr>
                <w:rFonts w:hint="eastAsia"/>
                <w:lang w:val="en-US" w:eastAsia="zh-CN"/>
              </w:rPr>
              <w:t>不得</w:t>
            </w:r>
            <w:r>
              <w:rPr>
                <w:rFonts w:hint="eastAsia"/>
              </w:rPr>
              <w:t>带病毒；</w:t>
            </w:r>
          </w:p>
        </w:tc>
      </w:tr>
      <w:tr w14:paraId="2C043F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80" w:hRule="atLeast"/>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5F723A">
            <w:pPr>
              <w:widowControl/>
              <w:jc w:val="center"/>
              <w:textAlignment w:val="top"/>
              <w:rPr>
                <w:rFonts w:hint="eastAsia" w:ascii="宋体" w:hAnsi="宋体" w:eastAsia="宋体" w:cs="宋体"/>
                <w:szCs w:val="24"/>
                <w:lang w:val="en-US" w:eastAsia="zh-CN"/>
              </w:rPr>
            </w:pPr>
            <w:r>
              <w:rPr>
                <w:rFonts w:hint="eastAsia" w:ascii="宋体" w:hAnsi="宋体" w:cs="宋体"/>
                <w:szCs w:val="24"/>
                <w:lang w:val="en-US" w:eastAsia="zh-CN"/>
              </w:rPr>
              <w:t>9</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4B32F632">
            <w:pPr>
              <w:widowControl/>
              <w:jc w:val="left"/>
              <w:textAlignment w:val="top"/>
              <w:rPr>
                <w:rFonts w:hint="eastAsia" w:eastAsia="宋体"/>
                <w:szCs w:val="24"/>
                <w:lang w:eastAsia="zh-CN"/>
              </w:rPr>
            </w:pPr>
            <w:r>
              <w:rPr>
                <w:rFonts w:hint="eastAsia" w:ascii="Times New Roman" w:hAnsi="Times New Roman" w:eastAsia="宋体" w:cs="Times New Roman"/>
                <w:sz w:val="21"/>
                <w:szCs w:val="24"/>
              </w:rPr>
              <w:t>不同投标供应商投标文件“文件制作机器码”一致</w:t>
            </w:r>
            <w:r>
              <w:rPr>
                <w:rFonts w:hint="eastAsia" w:ascii="Times New Roman" w:hAnsi="Times New Roman" w:eastAsia="宋体" w:cs="Times New Roman"/>
                <w:sz w:val="21"/>
                <w:szCs w:val="24"/>
                <w:lang w:eastAsia="zh-CN"/>
              </w:rPr>
              <w:t>；</w:t>
            </w:r>
          </w:p>
        </w:tc>
      </w:tr>
      <w:tr w14:paraId="3B8BBD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50237F">
            <w:pPr>
              <w:widowControl/>
              <w:jc w:val="center"/>
              <w:textAlignment w:val="top"/>
              <w:rPr>
                <w:rFonts w:hint="default" w:ascii="宋体" w:hAnsi="宋体" w:eastAsia="宋体" w:cs="宋体"/>
                <w:szCs w:val="24"/>
                <w:lang w:val="en-US" w:eastAsia="zh-CN"/>
              </w:rPr>
            </w:pPr>
            <w:r>
              <w:rPr>
                <w:rFonts w:hint="eastAsia" w:ascii="宋体" w:hAnsi="宋体" w:cs="宋体"/>
                <w:szCs w:val="24"/>
                <w:lang w:val="en-US" w:eastAsia="zh-CN"/>
              </w:rPr>
              <w:t>10</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260BA89E">
            <w:pPr>
              <w:widowControl/>
              <w:jc w:val="left"/>
              <w:textAlignment w:val="top"/>
              <w:rPr>
                <w:rFonts w:hint="eastAsia" w:eastAsia="宋体"/>
                <w:szCs w:val="24"/>
                <w:lang w:eastAsia="zh-CN"/>
              </w:rPr>
            </w:pPr>
            <w:r>
              <w:rPr>
                <w:rFonts w:hint="eastAsia" w:ascii="Times New Roman" w:hAnsi="Times New Roman" w:eastAsia="宋体" w:cs="Times New Roman"/>
                <w:sz w:val="21"/>
                <w:szCs w:val="24"/>
              </w:rPr>
              <w:t>不同投标供应商投标文件“文件创建标识码”一致</w:t>
            </w:r>
            <w:r>
              <w:rPr>
                <w:rFonts w:hint="eastAsia" w:ascii="Times New Roman" w:hAnsi="Times New Roman" w:eastAsia="宋体" w:cs="Times New Roman"/>
                <w:sz w:val="21"/>
                <w:szCs w:val="24"/>
                <w:lang w:eastAsia="zh-CN"/>
              </w:rPr>
              <w:t>；</w:t>
            </w:r>
          </w:p>
        </w:tc>
      </w:tr>
      <w:tr w14:paraId="5B743A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E99B85">
            <w:pPr>
              <w:widowControl/>
              <w:jc w:val="center"/>
              <w:textAlignment w:val="top"/>
              <w:rPr>
                <w:rFonts w:hint="default" w:eastAsia="宋体"/>
                <w:szCs w:val="21"/>
                <w:lang w:val="en-US" w:eastAsia="zh-CN"/>
              </w:rPr>
            </w:pPr>
            <w:r>
              <w:rPr>
                <w:rFonts w:hint="eastAsia" w:ascii="宋体" w:hAnsi="宋体" w:cs="宋体"/>
                <w:kern w:val="0"/>
                <w:szCs w:val="21"/>
                <w:lang w:val="en-US" w:eastAsia="zh-CN" w:bidi="ar"/>
              </w:rPr>
              <w:t>11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7AB46464">
            <w:pPr>
              <w:widowControl/>
              <w:jc w:val="left"/>
              <w:textAlignment w:val="top"/>
              <w:rPr>
                <w:szCs w:val="21"/>
              </w:rPr>
            </w:pPr>
            <w:r>
              <w:rPr>
                <w:rFonts w:hint="eastAsia"/>
              </w:rPr>
              <w:t>法律、法规、规章、规范性文件规定的其他情形。</w:t>
            </w:r>
          </w:p>
        </w:tc>
      </w:tr>
    </w:tbl>
    <w:p w14:paraId="16559710">
      <w:pPr>
        <w:pStyle w:val="39"/>
        <w:widowControl/>
        <w:jc w:val="center"/>
        <w:outlineLvl w:val="1"/>
        <w:rPr>
          <w:rFonts w:hint="eastAsia" w:ascii="黑体" w:hAnsi="宋体" w:eastAsia="黑体" w:cs="黑体"/>
          <w:sz w:val="40"/>
          <w:szCs w:val="40"/>
        </w:rPr>
        <w:sectPr>
          <w:pgSz w:w="11907" w:h="16840"/>
          <w:pgMar w:top="1440" w:right="1418" w:bottom="1440" w:left="1418" w:header="851" w:footer="992" w:gutter="0"/>
          <w:pgBorders>
            <w:top w:val="none" w:sz="0" w:space="0"/>
            <w:left w:val="none" w:sz="0" w:space="0"/>
            <w:bottom w:val="none" w:sz="0" w:space="0"/>
            <w:right w:val="none" w:sz="0" w:space="0"/>
          </w:pgBorders>
          <w:cols w:space="425" w:num="1"/>
          <w:titlePg/>
          <w:docGrid w:linePitch="462" w:charSpace="0"/>
        </w:sectPr>
      </w:pPr>
    </w:p>
    <w:p w14:paraId="1F837689">
      <w:pPr>
        <w:pStyle w:val="39"/>
        <w:widowControl/>
        <w:jc w:val="center"/>
        <w:outlineLvl w:val="1"/>
        <w:rPr>
          <w:rFonts w:ascii="黑体" w:hAnsi="宋体" w:eastAsia="黑体" w:cs="黑体"/>
          <w:sz w:val="40"/>
          <w:szCs w:val="40"/>
        </w:rPr>
      </w:pPr>
      <w:r>
        <w:rPr>
          <w:rFonts w:hint="eastAsia" w:ascii="黑体" w:hAnsi="宋体" w:eastAsia="黑体" w:cs="黑体"/>
          <w:sz w:val="40"/>
          <w:szCs w:val="40"/>
        </w:rPr>
        <w:t>评标信息</w:t>
      </w:r>
    </w:p>
    <w:tbl>
      <w:tblPr>
        <w:tblStyle w:val="44"/>
        <w:tblW w:w="8715" w:type="dxa"/>
        <w:jc w:val="center"/>
        <w:tblCellSpacing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45" w:type="dxa"/>
          <w:left w:w="45" w:type="dxa"/>
          <w:bottom w:w="45" w:type="dxa"/>
          <w:right w:w="45" w:type="dxa"/>
        </w:tblCellMar>
      </w:tblPr>
      <w:tblGrid>
        <w:gridCol w:w="136"/>
        <w:gridCol w:w="625"/>
        <w:gridCol w:w="627"/>
        <w:gridCol w:w="2400"/>
        <w:gridCol w:w="817"/>
        <w:gridCol w:w="4043"/>
        <w:gridCol w:w="67"/>
      </w:tblGrid>
      <w:tr w14:paraId="4696FC7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8715" w:type="dxa"/>
            <w:gridSpan w:val="7"/>
            <w:shd w:val="clear" w:color="auto" w:fill="auto"/>
            <w:vAlign w:val="center"/>
          </w:tcPr>
          <w:p w14:paraId="510785F3">
            <w:pPr>
              <w:jc w:val="left"/>
              <w:rPr>
                <w:rFonts w:ascii="宋体"/>
                <w:b/>
                <w:bCs/>
                <w:sz w:val="21"/>
                <w:szCs w:val="21"/>
              </w:rPr>
            </w:pPr>
            <w:r>
              <w:rPr>
                <w:b/>
                <w:bCs/>
                <w:sz w:val="21"/>
                <w:szCs w:val="21"/>
              </w:rPr>
              <w:t>评标方法：综合评分法</w:t>
            </w:r>
          </w:p>
        </w:tc>
      </w:tr>
      <w:tr w14:paraId="02AD954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8715" w:type="dxa"/>
            <w:gridSpan w:val="7"/>
            <w:shd w:val="clear" w:color="auto" w:fill="auto"/>
            <w:vAlign w:val="center"/>
          </w:tcPr>
          <w:p w14:paraId="70790DA4">
            <w:pPr>
              <w:keepNext w:val="0"/>
              <w:keepLines w:val="0"/>
              <w:pageBreakBefore w:val="0"/>
              <w:kinsoku/>
              <w:wordWrap/>
              <w:overflowPunct/>
              <w:topLinePunct w:val="0"/>
              <w:autoSpaceDE/>
              <w:autoSpaceDN/>
              <w:bidi w:val="0"/>
              <w:adjustRightInd/>
              <w:snapToGrid/>
              <w:spacing w:beforeAutospacing="0" w:afterAutospacing="0" w:line="240" w:lineRule="auto"/>
              <w:ind w:firstLine="420" w:firstLineChars="200"/>
              <w:textAlignment w:val="auto"/>
              <w:rPr>
                <w:rFonts w:hint="eastAsia" w:ascii="Times New Roman" w:hAnsi="Times New Roman" w:eastAsia="宋体" w:cs="Times New Roman"/>
                <w:sz w:val="21"/>
                <w:szCs w:val="21"/>
                <w:lang w:eastAsia="zh-CN"/>
              </w:rPr>
            </w:pPr>
            <w:r>
              <w:rPr>
                <w:rFonts w:ascii="Times New Roman" w:hAnsi="Times New Roman" w:eastAsia="宋体" w:cs="Times New Roman"/>
                <w:sz w:val="21"/>
                <w:szCs w:val="21"/>
              </w:rPr>
              <w:t>综合评分法，</w:t>
            </w:r>
            <w:r>
              <w:rPr>
                <w:rFonts w:hint="eastAsia" w:ascii="Times New Roman" w:hAnsi="Times New Roman" w:eastAsia="宋体" w:cs="Times New Roman"/>
                <w:sz w:val="21"/>
                <w:szCs w:val="21"/>
              </w:rPr>
              <w:t>是指投标文件满足招标文件全部实质性要求，且按照评审因素的量化指标评审得分最高的投标人为中标候选人的评标方法。</w:t>
            </w:r>
          </w:p>
          <w:p w14:paraId="169C75F0">
            <w:pPr>
              <w:keepNext w:val="0"/>
              <w:keepLines w:val="0"/>
              <w:pageBreakBefore w:val="0"/>
              <w:kinsoku/>
              <w:wordWrap/>
              <w:overflowPunct/>
              <w:topLinePunct w:val="0"/>
              <w:autoSpaceDE/>
              <w:autoSpaceDN/>
              <w:bidi w:val="0"/>
              <w:adjustRightInd/>
              <w:snapToGrid/>
              <w:spacing w:beforeAutospacing="0" w:afterAutospacing="0" w:line="240" w:lineRule="auto"/>
              <w:ind w:firstLine="420"/>
              <w:textAlignment w:val="auto"/>
              <w:rPr>
                <w:rFonts w:ascii="Times New Roman" w:hAnsi="Times New Roman" w:eastAsia="宋体" w:cs="Times New Roman"/>
                <w:sz w:val="21"/>
                <w:szCs w:val="21"/>
              </w:rPr>
            </w:pPr>
          </w:p>
          <w:p w14:paraId="11684278">
            <w:pPr>
              <w:keepNext w:val="0"/>
              <w:keepLines w:val="0"/>
              <w:pageBreakBefore w:val="0"/>
              <w:kinsoku/>
              <w:wordWrap/>
              <w:overflowPunct/>
              <w:topLinePunct w:val="0"/>
              <w:autoSpaceDE/>
              <w:autoSpaceDN/>
              <w:bidi w:val="0"/>
              <w:adjustRightInd/>
              <w:snapToGrid/>
              <w:spacing w:beforeAutospacing="0" w:afterAutospacing="0" w:line="240" w:lineRule="auto"/>
              <w:ind w:firstLine="420"/>
              <w:textAlignment w:val="auto"/>
              <w:rPr>
                <w:rFonts w:ascii="Times New Roman" w:hAnsi="Times New Roman" w:eastAsia="宋体" w:cs="Times New Roman"/>
                <w:sz w:val="21"/>
                <w:szCs w:val="21"/>
              </w:rPr>
            </w:pPr>
            <w:r>
              <w:rPr>
                <w:rFonts w:ascii="Times New Roman" w:hAnsi="Times New Roman" w:eastAsia="宋体" w:cs="Times New Roman"/>
                <w:sz w:val="21"/>
                <w:szCs w:val="21"/>
              </w:rPr>
              <w:t>价格分计算方法：</w:t>
            </w:r>
          </w:p>
          <w:p w14:paraId="2DF2DCF7">
            <w:pPr>
              <w:keepNext w:val="0"/>
              <w:keepLines w:val="0"/>
              <w:pageBreakBefore w:val="0"/>
              <w:widowControl/>
              <w:kinsoku/>
              <w:wordWrap/>
              <w:overflowPunct/>
              <w:topLinePunct w:val="0"/>
              <w:autoSpaceDE/>
              <w:autoSpaceDN/>
              <w:bidi w:val="0"/>
              <w:adjustRightInd/>
              <w:snapToGrid/>
              <w:spacing w:beforeAutospacing="0" w:afterAutospacing="0" w:line="240" w:lineRule="auto"/>
              <w:ind w:left="420"/>
              <w:jc w:val="left"/>
              <w:textAlignment w:val="auto"/>
              <w:rPr>
                <w:rFonts w:hint="eastAsia"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 xml:space="preserve">采用低价优先法计算，即满足招标文件要求且投标价格最低的投标报价为评标基准价，其价格分为满分。其他投标人的价格分统一按照下列公式计算： </w:t>
            </w:r>
          </w:p>
          <w:p w14:paraId="09DD5FA9">
            <w:pPr>
              <w:keepNext w:val="0"/>
              <w:keepLines w:val="0"/>
              <w:pageBreakBefore w:val="0"/>
              <w:widowControl/>
              <w:kinsoku/>
              <w:wordWrap/>
              <w:overflowPunct/>
              <w:topLinePunct w:val="0"/>
              <w:autoSpaceDE/>
              <w:autoSpaceDN/>
              <w:bidi w:val="0"/>
              <w:adjustRightInd/>
              <w:snapToGrid/>
              <w:spacing w:beforeAutospacing="0" w:afterAutospacing="0" w:line="240" w:lineRule="auto"/>
              <w:ind w:left="420"/>
              <w:jc w:val="left"/>
              <w:textAlignment w:val="auto"/>
              <w:rPr>
                <w:rFonts w:hint="eastAsia"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 xml:space="preserve">投标报价得分=(评标基准价／投标报价)×100 </w:t>
            </w:r>
          </w:p>
          <w:p w14:paraId="0CCC3943">
            <w:pPr>
              <w:keepNext w:val="0"/>
              <w:keepLines w:val="0"/>
              <w:pageBreakBefore w:val="0"/>
              <w:widowControl/>
              <w:kinsoku/>
              <w:wordWrap/>
              <w:overflowPunct/>
              <w:topLinePunct w:val="0"/>
              <w:autoSpaceDE/>
              <w:autoSpaceDN/>
              <w:bidi w:val="0"/>
              <w:adjustRightInd/>
              <w:snapToGrid/>
              <w:spacing w:beforeAutospacing="0" w:afterAutospacing="0" w:line="240" w:lineRule="auto"/>
              <w:ind w:left="420"/>
              <w:jc w:val="left"/>
              <w:textAlignment w:val="auto"/>
              <w:rPr>
                <w:rFonts w:hint="eastAsia"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 xml:space="preserve">评标总得分＝F1×A1＋F2×A2＋……＋Fn×An </w:t>
            </w:r>
          </w:p>
          <w:p w14:paraId="38E7BEDC">
            <w:pPr>
              <w:keepNext w:val="0"/>
              <w:keepLines w:val="0"/>
              <w:pageBreakBefore w:val="0"/>
              <w:widowControl/>
              <w:kinsoku/>
              <w:wordWrap/>
              <w:overflowPunct/>
              <w:topLinePunct w:val="0"/>
              <w:autoSpaceDE/>
              <w:autoSpaceDN/>
              <w:bidi w:val="0"/>
              <w:adjustRightInd/>
              <w:snapToGrid/>
              <w:spacing w:beforeAutospacing="0" w:afterAutospacing="0" w:line="240" w:lineRule="auto"/>
              <w:ind w:left="420"/>
              <w:jc w:val="left"/>
              <w:textAlignment w:val="auto"/>
              <w:rPr>
                <w:rFonts w:hint="eastAsia"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 xml:space="preserve">F1、F2……Fn分别为各项评审因素的得分； </w:t>
            </w:r>
          </w:p>
          <w:p w14:paraId="001A8D23">
            <w:pPr>
              <w:keepNext w:val="0"/>
              <w:keepLines w:val="0"/>
              <w:pageBreakBefore w:val="0"/>
              <w:widowControl/>
              <w:kinsoku/>
              <w:wordWrap/>
              <w:overflowPunct/>
              <w:topLinePunct w:val="0"/>
              <w:autoSpaceDE/>
              <w:autoSpaceDN/>
              <w:bidi w:val="0"/>
              <w:adjustRightInd/>
              <w:snapToGrid/>
              <w:spacing w:beforeAutospacing="0" w:afterAutospacing="0" w:line="240" w:lineRule="auto"/>
              <w:ind w:left="420"/>
              <w:jc w:val="left"/>
              <w:textAlignment w:val="auto"/>
              <w:rPr>
                <w:rFonts w:hint="eastAsia"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 xml:space="preserve">A1、A2、……An 分别为各项评审因素所占的权重(A1＋A2＋……＋An＝1)。 </w:t>
            </w:r>
          </w:p>
          <w:p w14:paraId="77FDC26F">
            <w:pPr>
              <w:keepNext w:val="0"/>
              <w:keepLines w:val="0"/>
              <w:pageBreakBefore w:val="0"/>
              <w:widowControl/>
              <w:kinsoku/>
              <w:wordWrap/>
              <w:overflowPunct/>
              <w:topLinePunct w:val="0"/>
              <w:autoSpaceDE/>
              <w:autoSpaceDN/>
              <w:bidi w:val="0"/>
              <w:adjustRightInd/>
              <w:snapToGrid/>
              <w:spacing w:beforeAutospacing="0" w:afterAutospacing="0" w:line="240" w:lineRule="auto"/>
              <w:ind w:left="420"/>
              <w:jc w:val="left"/>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评标过程中，不得去掉报价中的最高报价和最低报价。</w:t>
            </w:r>
          </w:p>
          <w:p w14:paraId="4F393374">
            <w:pPr>
              <w:keepNext w:val="0"/>
              <w:keepLines w:val="0"/>
              <w:pageBreakBefore w:val="0"/>
              <w:widowControl/>
              <w:kinsoku/>
              <w:wordWrap/>
              <w:overflowPunct/>
              <w:topLinePunct w:val="0"/>
              <w:autoSpaceDE/>
              <w:autoSpaceDN/>
              <w:bidi w:val="0"/>
              <w:adjustRightInd/>
              <w:snapToGrid/>
              <w:spacing w:beforeAutospacing="0" w:afterAutospacing="0" w:line="240" w:lineRule="auto"/>
              <w:ind w:left="420"/>
              <w:jc w:val="left"/>
              <w:textAlignment w:val="auto"/>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因参考落实政府采购政策进行价格调整的，以调整后的价格计算评标基准价和投标报价。</w:t>
            </w:r>
          </w:p>
          <w:p w14:paraId="6BDA34AC">
            <w:pPr>
              <w:pStyle w:val="39"/>
              <w:keepNext w:val="0"/>
              <w:keepLines w:val="0"/>
              <w:pageBreakBefore w:val="0"/>
              <w:widowControl/>
              <w:kinsoku/>
              <w:wordWrap/>
              <w:overflowPunct/>
              <w:topLinePunct w:val="0"/>
              <w:autoSpaceDE/>
              <w:autoSpaceDN/>
              <w:bidi w:val="0"/>
              <w:adjustRightInd/>
              <w:snapToGrid/>
              <w:spacing w:beforeAutospacing="0" w:afterAutospacing="0" w:line="240" w:lineRule="auto"/>
              <w:textAlignment w:val="auto"/>
              <w:rPr>
                <w:sz w:val="21"/>
                <w:szCs w:val="21"/>
              </w:rPr>
            </w:pPr>
          </w:p>
        </w:tc>
      </w:tr>
      <w:tr w14:paraId="02C530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gridAfter w:val="1"/>
          <w:wBefore w:w="136" w:type="dxa"/>
          <w:wAfter w:w="67" w:type="dxa"/>
          <w:tblCellSpacing w:w="0" w:type="dxa"/>
          <w:jc w:val="center"/>
        </w:trPr>
        <w:tc>
          <w:tcPr>
            <w:tcW w:w="625"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396ABBA9">
            <w:pPr>
              <w:keepNext w:val="0"/>
              <w:keepLines w:val="0"/>
              <w:pageBreakBefore w:val="0"/>
              <w:widowControl/>
              <w:kinsoku/>
              <w:wordWrap w:val="0"/>
              <w:overflowPunct/>
              <w:topLinePunct w:val="0"/>
              <w:bidi w:val="0"/>
              <w:adjustRightInd/>
              <w:snapToGrid/>
              <w:ind w:firstLine="0" w:firstLineChars="0"/>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kern w:val="0"/>
                <w:sz w:val="21"/>
                <w:szCs w:val="21"/>
              </w:rPr>
              <w:t>序号</w:t>
            </w:r>
          </w:p>
        </w:tc>
        <w:tc>
          <w:tcPr>
            <w:tcW w:w="3844" w:type="dxa"/>
            <w:gridSpan w:val="3"/>
            <w:tcBorders>
              <w:top w:val="single" w:color="000000" w:sz="8" w:space="0"/>
              <w:left w:val="single" w:color="000000" w:sz="8" w:space="0"/>
              <w:bottom w:val="single" w:color="000000" w:sz="8" w:space="0"/>
              <w:right w:val="single" w:color="000000" w:sz="8" w:space="0"/>
            </w:tcBorders>
            <w:shd w:val="clear" w:color="auto" w:fill="E6EFFA"/>
            <w:vAlign w:val="center"/>
          </w:tcPr>
          <w:p w14:paraId="14BAC3BF">
            <w:pPr>
              <w:keepNext w:val="0"/>
              <w:keepLines w:val="0"/>
              <w:pageBreakBefore w:val="0"/>
              <w:widowControl/>
              <w:kinsoku/>
              <w:wordWrap w:val="0"/>
              <w:overflowPunct/>
              <w:topLinePunct w:val="0"/>
              <w:bidi w:val="0"/>
              <w:adjustRightInd/>
              <w:snapToGrid/>
              <w:ind w:firstLine="0" w:firstLineChars="0"/>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kern w:val="0"/>
                <w:sz w:val="21"/>
                <w:szCs w:val="21"/>
              </w:rPr>
              <w:t>评分项</w:t>
            </w:r>
          </w:p>
        </w:tc>
        <w:tc>
          <w:tcPr>
            <w:tcW w:w="4043"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5DF560DD">
            <w:pPr>
              <w:keepNext w:val="0"/>
              <w:keepLines w:val="0"/>
              <w:pageBreakBefore w:val="0"/>
              <w:widowControl/>
              <w:kinsoku/>
              <w:wordWrap w:val="0"/>
              <w:overflowPunct/>
              <w:topLinePunct w:val="0"/>
              <w:bidi w:val="0"/>
              <w:adjustRightInd/>
              <w:snapToGrid/>
              <w:ind w:firstLine="0" w:firstLineChars="0"/>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kern w:val="0"/>
                <w:sz w:val="21"/>
                <w:szCs w:val="21"/>
              </w:rPr>
              <w:t>权重(%)</w:t>
            </w:r>
          </w:p>
        </w:tc>
      </w:tr>
      <w:tr w14:paraId="7879AE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gridAfter w:val="1"/>
          <w:wBefore w:w="136" w:type="dxa"/>
          <w:wAfter w:w="67" w:type="dxa"/>
          <w:tblCellSpacing w:w="0" w:type="dxa"/>
          <w:jc w:val="center"/>
        </w:trPr>
        <w:tc>
          <w:tcPr>
            <w:tcW w:w="62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702273">
            <w:pPr>
              <w:keepNext w:val="0"/>
              <w:keepLines w:val="0"/>
              <w:pageBreakBefore w:val="0"/>
              <w:widowControl/>
              <w:kinsoku/>
              <w:wordWrap w:val="0"/>
              <w:overflowPunct/>
              <w:topLinePunct w:val="0"/>
              <w:bidi w:val="0"/>
              <w:adjustRightInd/>
              <w:snapToGrid/>
              <w:ind w:firstLine="0" w:firstLineChars="0"/>
              <w:jc w:val="center"/>
              <w:textAlignment w:val="auto"/>
              <w:rPr>
                <w:rFonts w:hint="eastAsia" w:asciiTheme="minorEastAsia" w:hAnsiTheme="minorEastAsia" w:eastAsiaTheme="minorEastAsia" w:cstheme="minorEastAsia"/>
                <w:b/>
                <w:bCs/>
                <w:color w:val="0000FF"/>
                <w:sz w:val="21"/>
                <w:szCs w:val="21"/>
              </w:rPr>
            </w:pPr>
            <w:r>
              <w:rPr>
                <w:rFonts w:hint="eastAsia" w:asciiTheme="minorEastAsia" w:hAnsiTheme="minorEastAsia" w:eastAsiaTheme="minorEastAsia" w:cstheme="minorEastAsia"/>
                <w:b/>
                <w:bCs/>
                <w:color w:val="0000FF"/>
                <w:kern w:val="0"/>
                <w:sz w:val="21"/>
                <w:szCs w:val="21"/>
              </w:rPr>
              <w:t>1</w:t>
            </w:r>
          </w:p>
        </w:tc>
        <w:tc>
          <w:tcPr>
            <w:tcW w:w="3844"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4DD82CEB">
            <w:pPr>
              <w:keepNext w:val="0"/>
              <w:keepLines w:val="0"/>
              <w:pageBreakBefore w:val="0"/>
              <w:widowControl/>
              <w:kinsoku/>
              <w:wordWrap w:val="0"/>
              <w:overflowPunct/>
              <w:topLinePunct w:val="0"/>
              <w:bidi w:val="0"/>
              <w:adjustRightInd/>
              <w:snapToGrid/>
              <w:ind w:firstLine="0" w:firstLineChars="0"/>
              <w:jc w:val="center"/>
              <w:textAlignment w:val="auto"/>
              <w:rPr>
                <w:rFonts w:hint="eastAsia" w:asciiTheme="minorEastAsia" w:hAnsiTheme="minorEastAsia" w:eastAsiaTheme="minorEastAsia" w:cstheme="minorEastAsia"/>
                <w:b/>
                <w:bCs/>
                <w:color w:val="0000FF"/>
                <w:sz w:val="21"/>
                <w:szCs w:val="21"/>
              </w:rPr>
            </w:pPr>
            <w:r>
              <w:rPr>
                <w:rFonts w:hint="eastAsia" w:asciiTheme="minorEastAsia" w:hAnsiTheme="minorEastAsia" w:eastAsiaTheme="minorEastAsia" w:cstheme="minorEastAsia"/>
                <w:b/>
                <w:bCs/>
                <w:color w:val="0000FF"/>
                <w:kern w:val="0"/>
                <w:sz w:val="21"/>
                <w:szCs w:val="21"/>
              </w:rPr>
              <w:t>价格</w:t>
            </w:r>
          </w:p>
        </w:tc>
        <w:tc>
          <w:tcPr>
            <w:tcW w:w="40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018A43">
            <w:pPr>
              <w:keepNext w:val="0"/>
              <w:keepLines w:val="0"/>
              <w:pageBreakBefore w:val="0"/>
              <w:widowControl/>
              <w:kinsoku/>
              <w:wordWrap w:val="0"/>
              <w:overflowPunct/>
              <w:topLinePunct w:val="0"/>
              <w:bidi w:val="0"/>
              <w:adjustRightInd/>
              <w:snapToGrid/>
              <w:ind w:firstLine="0" w:firstLineChars="0"/>
              <w:jc w:val="center"/>
              <w:textAlignment w:val="auto"/>
              <w:rPr>
                <w:rFonts w:hint="eastAsia" w:asciiTheme="minorEastAsia" w:hAnsiTheme="minorEastAsia" w:eastAsiaTheme="minorEastAsia" w:cstheme="minorEastAsia"/>
                <w:b/>
                <w:bCs/>
                <w:color w:val="0000FF"/>
                <w:sz w:val="21"/>
                <w:szCs w:val="21"/>
              </w:rPr>
            </w:pPr>
            <w:r>
              <w:rPr>
                <w:rFonts w:hint="eastAsia" w:asciiTheme="minorEastAsia" w:hAnsiTheme="minorEastAsia" w:eastAsiaTheme="minorEastAsia" w:cstheme="minorEastAsia"/>
                <w:b/>
                <w:bCs/>
                <w:color w:val="0000FF"/>
                <w:kern w:val="0"/>
                <w:sz w:val="21"/>
                <w:szCs w:val="21"/>
              </w:rPr>
              <w:t>30</w:t>
            </w:r>
          </w:p>
        </w:tc>
      </w:tr>
      <w:tr w14:paraId="4962C7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gridAfter w:val="1"/>
          <w:wBefore w:w="136" w:type="dxa"/>
          <w:wAfter w:w="67" w:type="dxa"/>
          <w:tblCellSpacing w:w="0" w:type="dxa"/>
          <w:jc w:val="center"/>
        </w:trPr>
        <w:tc>
          <w:tcPr>
            <w:tcW w:w="625" w:type="dxa"/>
            <w:vMerge w:val="restart"/>
            <w:tcBorders>
              <w:top w:val="single" w:color="000000" w:sz="8" w:space="0"/>
              <w:left w:val="single" w:color="000000" w:sz="8" w:space="0"/>
              <w:right w:val="single" w:color="000000" w:sz="8" w:space="0"/>
            </w:tcBorders>
            <w:shd w:val="clear" w:color="auto" w:fill="auto"/>
            <w:vAlign w:val="center"/>
          </w:tcPr>
          <w:p w14:paraId="77FCED6E">
            <w:pPr>
              <w:keepNext w:val="0"/>
              <w:keepLines w:val="0"/>
              <w:pageBreakBefore w:val="0"/>
              <w:widowControl/>
              <w:kinsoku/>
              <w:wordWrap w:val="0"/>
              <w:overflowPunct/>
              <w:topLinePunct w:val="0"/>
              <w:bidi w:val="0"/>
              <w:adjustRightInd/>
              <w:snapToGrid/>
              <w:ind w:firstLine="0" w:firstLineChars="0"/>
              <w:jc w:val="center"/>
              <w:textAlignment w:val="auto"/>
              <w:rPr>
                <w:rFonts w:hint="eastAsia" w:asciiTheme="minorEastAsia" w:hAnsiTheme="minorEastAsia" w:eastAsiaTheme="minorEastAsia" w:cstheme="minorEastAsia"/>
                <w:b/>
                <w:bCs/>
                <w:color w:val="0000FF"/>
                <w:sz w:val="21"/>
                <w:szCs w:val="21"/>
              </w:rPr>
            </w:pPr>
            <w:r>
              <w:rPr>
                <w:rFonts w:hint="eastAsia" w:asciiTheme="minorEastAsia" w:hAnsiTheme="minorEastAsia" w:eastAsiaTheme="minorEastAsia" w:cstheme="minorEastAsia"/>
                <w:b/>
                <w:bCs/>
                <w:color w:val="0000FF"/>
                <w:kern w:val="0"/>
                <w:sz w:val="21"/>
                <w:szCs w:val="21"/>
              </w:rPr>
              <w:t>2</w:t>
            </w:r>
          </w:p>
        </w:tc>
        <w:tc>
          <w:tcPr>
            <w:tcW w:w="3844"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6EB5B81B">
            <w:pPr>
              <w:keepNext w:val="0"/>
              <w:keepLines w:val="0"/>
              <w:pageBreakBefore w:val="0"/>
              <w:widowControl/>
              <w:kinsoku/>
              <w:wordWrap w:val="0"/>
              <w:overflowPunct/>
              <w:topLinePunct w:val="0"/>
              <w:bidi w:val="0"/>
              <w:adjustRightInd/>
              <w:snapToGrid/>
              <w:ind w:firstLine="0" w:firstLineChars="0"/>
              <w:jc w:val="center"/>
              <w:textAlignment w:val="auto"/>
              <w:rPr>
                <w:rFonts w:hint="eastAsia" w:asciiTheme="minorEastAsia" w:hAnsiTheme="minorEastAsia" w:eastAsiaTheme="minorEastAsia" w:cstheme="minorEastAsia"/>
                <w:b/>
                <w:bCs/>
                <w:color w:val="0000FF"/>
                <w:sz w:val="21"/>
                <w:szCs w:val="21"/>
              </w:rPr>
            </w:pPr>
            <w:r>
              <w:rPr>
                <w:rFonts w:hint="eastAsia" w:asciiTheme="minorEastAsia" w:hAnsiTheme="minorEastAsia" w:eastAsiaTheme="minorEastAsia" w:cstheme="minorEastAsia"/>
                <w:b/>
                <w:bCs/>
                <w:color w:val="0000FF"/>
                <w:kern w:val="0"/>
                <w:sz w:val="21"/>
                <w:szCs w:val="21"/>
              </w:rPr>
              <w:t>技术部分</w:t>
            </w:r>
          </w:p>
        </w:tc>
        <w:tc>
          <w:tcPr>
            <w:tcW w:w="40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E0C1D4">
            <w:pPr>
              <w:keepNext w:val="0"/>
              <w:keepLines w:val="0"/>
              <w:pageBreakBefore w:val="0"/>
              <w:widowControl/>
              <w:kinsoku/>
              <w:wordWrap w:val="0"/>
              <w:overflowPunct/>
              <w:topLinePunct w:val="0"/>
              <w:bidi w:val="0"/>
              <w:adjustRightInd/>
              <w:snapToGrid/>
              <w:ind w:firstLine="0" w:firstLineChars="0"/>
              <w:jc w:val="center"/>
              <w:textAlignment w:val="auto"/>
              <w:rPr>
                <w:rFonts w:hint="default" w:asciiTheme="minorEastAsia" w:hAnsiTheme="minorEastAsia" w:eastAsiaTheme="minorEastAsia" w:cstheme="minorEastAsia"/>
                <w:b/>
                <w:bCs/>
                <w:color w:val="0000FF"/>
                <w:sz w:val="21"/>
                <w:szCs w:val="21"/>
                <w:lang w:val="en-US" w:eastAsia="zh-CN"/>
              </w:rPr>
            </w:pPr>
            <w:r>
              <w:rPr>
                <w:rFonts w:hint="eastAsia" w:asciiTheme="minorEastAsia" w:hAnsiTheme="minorEastAsia" w:eastAsiaTheme="minorEastAsia" w:cstheme="minorEastAsia"/>
                <w:b/>
                <w:bCs/>
                <w:color w:val="0000FF"/>
                <w:sz w:val="21"/>
                <w:szCs w:val="21"/>
                <w:lang w:val="en-US" w:eastAsia="zh-CN"/>
              </w:rPr>
              <w:t>45</w:t>
            </w:r>
          </w:p>
        </w:tc>
      </w:tr>
      <w:tr w14:paraId="45BD0A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gridAfter w:val="1"/>
          <w:wBefore w:w="136" w:type="dxa"/>
          <w:wAfter w:w="67" w:type="dxa"/>
          <w:tblCellSpacing w:w="0" w:type="dxa"/>
          <w:jc w:val="center"/>
        </w:trPr>
        <w:tc>
          <w:tcPr>
            <w:tcW w:w="625" w:type="dxa"/>
            <w:vMerge w:val="continue"/>
            <w:tcBorders>
              <w:left w:val="single" w:color="000000" w:sz="8" w:space="0"/>
              <w:right w:val="single" w:color="000000" w:sz="8" w:space="0"/>
            </w:tcBorders>
            <w:shd w:val="clear" w:color="auto" w:fill="E6EFFA"/>
            <w:vAlign w:val="center"/>
          </w:tcPr>
          <w:p w14:paraId="56AD0AEA">
            <w:pPr>
              <w:keepNext w:val="0"/>
              <w:keepLines w:val="0"/>
              <w:pageBreakBefore w:val="0"/>
              <w:kinsoku/>
              <w:overflowPunct/>
              <w:topLinePunct w:val="0"/>
              <w:bidi w:val="0"/>
              <w:adjustRightInd/>
              <w:snapToGrid/>
              <w:ind w:firstLine="0" w:firstLineChars="0"/>
              <w:jc w:val="center"/>
              <w:textAlignment w:val="auto"/>
              <w:rPr>
                <w:rFonts w:hint="eastAsia" w:asciiTheme="minorEastAsia" w:hAnsiTheme="minorEastAsia" w:eastAsiaTheme="minorEastAsia" w:cstheme="minorEastAsia"/>
                <w:b/>
                <w:bCs/>
                <w:color w:val="0000FF"/>
                <w:sz w:val="21"/>
                <w:szCs w:val="21"/>
              </w:rPr>
            </w:pPr>
          </w:p>
        </w:tc>
        <w:tc>
          <w:tcPr>
            <w:tcW w:w="627"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1FB4A000">
            <w:pPr>
              <w:keepNext w:val="0"/>
              <w:keepLines w:val="0"/>
              <w:pageBreakBefore w:val="0"/>
              <w:widowControl/>
              <w:kinsoku/>
              <w:wordWrap w:val="0"/>
              <w:overflowPunct/>
              <w:topLinePunct w:val="0"/>
              <w:bidi w:val="0"/>
              <w:adjustRightInd/>
              <w:snapToGrid/>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序号</w:t>
            </w:r>
          </w:p>
        </w:tc>
        <w:tc>
          <w:tcPr>
            <w:tcW w:w="2400"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12BB2891">
            <w:pPr>
              <w:keepNext w:val="0"/>
              <w:keepLines w:val="0"/>
              <w:pageBreakBefore w:val="0"/>
              <w:widowControl/>
              <w:kinsoku/>
              <w:wordWrap w:val="0"/>
              <w:overflowPunct/>
              <w:topLinePunct w:val="0"/>
              <w:bidi w:val="0"/>
              <w:adjustRightInd/>
              <w:snapToGrid/>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评分因素</w:t>
            </w:r>
          </w:p>
        </w:tc>
        <w:tc>
          <w:tcPr>
            <w:tcW w:w="817"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15F5D994">
            <w:pPr>
              <w:keepNext w:val="0"/>
              <w:keepLines w:val="0"/>
              <w:pageBreakBefore w:val="0"/>
              <w:widowControl/>
              <w:kinsoku/>
              <w:wordWrap w:val="0"/>
              <w:overflowPunct/>
              <w:topLinePunct w:val="0"/>
              <w:bidi w:val="0"/>
              <w:adjustRightInd/>
              <w:snapToGrid/>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权重(%)</w:t>
            </w:r>
          </w:p>
        </w:tc>
        <w:tc>
          <w:tcPr>
            <w:tcW w:w="4043"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3092FF39">
            <w:pPr>
              <w:keepNext w:val="0"/>
              <w:keepLines w:val="0"/>
              <w:pageBreakBefore w:val="0"/>
              <w:widowControl/>
              <w:kinsoku/>
              <w:wordWrap w:val="0"/>
              <w:overflowPunct/>
              <w:topLinePunct w:val="0"/>
              <w:bidi w:val="0"/>
              <w:adjustRightInd/>
              <w:snapToGrid/>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评分准则</w:t>
            </w:r>
          </w:p>
        </w:tc>
      </w:tr>
      <w:tr w14:paraId="1E469E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gridAfter w:val="1"/>
          <w:wBefore w:w="136" w:type="dxa"/>
          <w:wAfter w:w="67" w:type="dxa"/>
          <w:tblCellSpacing w:w="0" w:type="dxa"/>
          <w:jc w:val="center"/>
        </w:trPr>
        <w:tc>
          <w:tcPr>
            <w:tcW w:w="625" w:type="dxa"/>
            <w:vMerge w:val="continue"/>
            <w:tcBorders>
              <w:left w:val="single" w:color="000000" w:sz="8" w:space="0"/>
              <w:bottom w:val="single" w:color="000000" w:sz="8" w:space="0"/>
              <w:right w:val="single" w:color="000000" w:sz="8" w:space="0"/>
            </w:tcBorders>
            <w:shd w:val="clear" w:color="auto" w:fill="auto"/>
            <w:vAlign w:val="center"/>
          </w:tcPr>
          <w:p w14:paraId="3AB90C8B">
            <w:pPr>
              <w:keepNext w:val="0"/>
              <w:keepLines w:val="0"/>
              <w:pageBreakBefore w:val="0"/>
              <w:kinsoku/>
              <w:overflowPunct/>
              <w:topLinePunct w:val="0"/>
              <w:bidi w:val="0"/>
              <w:adjustRightInd/>
              <w:snapToGrid/>
              <w:ind w:firstLine="0" w:firstLineChars="0"/>
              <w:jc w:val="center"/>
              <w:textAlignment w:val="auto"/>
              <w:rPr>
                <w:rFonts w:hint="eastAsia" w:asciiTheme="minorEastAsia" w:hAnsiTheme="minorEastAsia" w:eastAsiaTheme="minorEastAsia" w:cstheme="minorEastAsia"/>
                <w:b/>
                <w:bCs/>
                <w:color w:val="0000FF"/>
                <w:sz w:val="21"/>
                <w:szCs w:val="21"/>
              </w:rPr>
            </w:pPr>
          </w:p>
        </w:tc>
        <w:tc>
          <w:tcPr>
            <w:tcW w:w="62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60038D">
            <w:pPr>
              <w:keepNext w:val="0"/>
              <w:keepLines w:val="0"/>
              <w:pageBreakBefore w:val="0"/>
              <w:widowControl/>
              <w:kinsoku/>
              <w:wordWrap w:val="0"/>
              <w:overflowPunct/>
              <w:topLinePunct w:val="0"/>
              <w:bidi w:val="0"/>
              <w:adjustRightInd/>
              <w:snapToGrid/>
              <w:ind w:firstLine="0" w:firstLineChars="0"/>
              <w:jc w:val="center"/>
              <w:textAlignment w:val="auto"/>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rPr>
              <w:t>1</w:t>
            </w:r>
          </w:p>
        </w:tc>
        <w:tc>
          <w:tcPr>
            <w:tcW w:w="24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E16A16">
            <w:pPr>
              <w:keepNext w:val="0"/>
              <w:keepLines w:val="0"/>
              <w:pageBreakBefore w:val="0"/>
              <w:kinsoku/>
              <w:wordWrap w:val="0"/>
              <w:overflowPunct/>
              <w:topLinePunct w:val="0"/>
              <w:bidi w:val="0"/>
              <w:adjustRightInd/>
              <w:snapToGrid/>
              <w:ind w:firstLine="0" w:firstLineChars="0"/>
              <w:jc w:val="center"/>
              <w:textAlignment w:val="auto"/>
              <w:rPr>
                <w:rFonts w:hint="eastAsia" w:asciiTheme="minorEastAsia" w:hAnsiTheme="minorEastAsia" w:eastAsiaTheme="minorEastAsia" w:cstheme="minorEastAsia"/>
                <w:b/>
                <w:kern w:val="2"/>
                <w:sz w:val="21"/>
                <w:szCs w:val="21"/>
                <w:highlight w:val="yellow"/>
                <w:lang w:val="en-US" w:eastAsia="zh-CN" w:bidi="ar-SA"/>
              </w:rPr>
            </w:pPr>
            <w:r>
              <w:rPr>
                <w:rFonts w:hint="eastAsia" w:asciiTheme="minorEastAsia" w:hAnsiTheme="minorEastAsia" w:eastAsiaTheme="minorEastAsia" w:cstheme="minorEastAsia"/>
                <w:sz w:val="21"/>
                <w:szCs w:val="21"/>
                <w:lang w:val="en-US" w:eastAsia="zh-CN"/>
              </w:rPr>
              <w:t>产品质量</w:t>
            </w:r>
          </w:p>
        </w:tc>
        <w:tc>
          <w:tcPr>
            <w:tcW w:w="8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23DEA96">
            <w:pPr>
              <w:keepNext w:val="0"/>
              <w:keepLines w:val="0"/>
              <w:pageBreakBefore w:val="0"/>
              <w:suppressLineNumbers w:val="0"/>
              <w:kinsoku/>
              <w:overflowPunct/>
              <w:topLinePunct w:val="0"/>
              <w:bidi w:val="0"/>
              <w:adjustRightInd/>
              <w:snapToGrid/>
              <w:spacing w:before="0" w:beforeAutospacing="0" w:after="0" w:afterAutospacing="0"/>
              <w:ind w:left="0" w:leftChars="0" w:right="0" w:rightChars="0" w:firstLine="0" w:firstLineChars="0"/>
              <w:jc w:val="center"/>
              <w:textAlignment w:val="auto"/>
              <w:rPr>
                <w:rFonts w:hint="default" w:asciiTheme="minorEastAsia" w:hAnsiTheme="minorEastAsia" w:eastAsiaTheme="minorEastAsia" w:cstheme="minorEastAsia"/>
                <w:kern w:val="2"/>
                <w:sz w:val="21"/>
                <w:szCs w:val="21"/>
                <w:highlight w:val="yellow"/>
                <w:lang w:val="en-US" w:eastAsia="zh-CN" w:bidi="ar-SA"/>
              </w:rPr>
            </w:pPr>
            <w:r>
              <w:rPr>
                <w:rFonts w:hint="eastAsia" w:asciiTheme="minorEastAsia" w:hAnsiTheme="minorEastAsia" w:eastAsiaTheme="minorEastAsia" w:cstheme="minorEastAsia"/>
                <w:sz w:val="21"/>
                <w:szCs w:val="21"/>
                <w:lang w:val="en-US" w:eastAsia="zh-CN"/>
              </w:rPr>
              <w:t>25</w:t>
            </w:r>
          </w:p>
        </w:tc>
        <w:tc>
          <w:tcPr>
            <w:tcW w:w="40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BCCB73">
            <w:pPr>
              <w:keepNext w:val="0"/>
              <w:keepLines w:val="0"/>
              <w:pageBreakBefore w:val="0"/>
              <w:kinsoku/>
              <w:wordWrap w:val="0"/>
              <w:overflowPunct/>
              <w:topLinePunct w:val="0"/>
              <w:bidi w:val="0"/>
              <w:adjustRightInd/>
              <w:snapToGrid/>
              <w:ind w:firstLine="0" w:firstLineChars="0"/>
              <w:jc w:val="both"/>
              <w:textAlignment w:val="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（一）评分内容：</w:t>
            </w:r>
          </w:p>
          <w:p w14:paraId="7FCFCC61">
            <w:pPr>
              <w:wordWrap w:val="0"/>
              <w:rPr>
                <w:rFonts w:hint="eastAsia"/>
                <w:lang w:val="en-US" w:eastAsia="zh-CN"/>
              </w:rPr>
            </w:pPr>
            <w:r>
              <w:rPr>
                <w:rFonts w:hint="eastAsia" w:asciiTheme="minorEastAsia" w:hAnsiTheme="minorEastAsia" w:eastAsiaTheme="minorEastAsia" w:cstheme="minorEastAsia"/>
                <w:sz w:val="21"/>
                <w:szCs w:val="21"/>
                <w:highlight w:val="none"/>
                <w:lang w:val="en-US" w:eastAsia="zh-CN"/>
              </w:rPr>
              <w:t>根据以下产品（共计10项）2024年或2025年参加国家卫健委或省级室间质量评价的证明资料，且评价结果为合格，全部满足得100分，每少一项扣10分，扣完为止</w:t>
            </w:r>
            <w:r>
              <w:rPr>
                <w:rFonts w:hint="eastAsia"/>
                <w:lang w:val="en-US" w:eastAsia="zh-CN"/>
              </w:rPr>
              <w:t>。</w:t>
            </w:r>
          </w:p>
          <w:p w14:paraId="7C05DAFF">
            <w:pPr>
              <w:pStyle w:val="54"/>
              <w:rPr>
                <w:rFonts w:hint="eastAsia"/>
                <w:lang w:val="en-US" w:eastAsia="zh-CN"/>
              </w:rPr>
            </w:pPr>
            <w:r>
              <w:rPr>
                <w:rFonts w:hint="eastAsia"/>
                <w:lang w:val="en-US" w:eastAsia="zh-CN"/>
              </w:rPr>
              <w:t>1、自身免疫糖尿病四项(抗谷氨酸脱羚酶抗体IgG测定、抗胰岛素抗体检测、抗酪氨酸磷酸酶抗体测定、抗胰岛细胞抗体检测，即“二、货物清单明细”中序号71、序号72、序号73、序号74的货物)。</w:t>
            </w:r>
          </w:p>
          <w:p w14:paraId="0542B0C4">
            <w:pPr>
              <w:pStyle w:val="54"/>
              <w:rPr>
                <w:rFonts w:hint="eastAsia"/>
                <w:lang w:val="en-US" w:eastAsia="zh-CN"/>
              </w:rPr>
            </w:pPr>
            <w:r>
              <w:rPr>
                <w:rFonts w:hint="eastAsia"/>
                <w:lang w:val="en-US" w:eastAsia="zh-CN"/>
              </w:rPr>
              <w:t>2、唐氏筛查五项（抑制素A、妊娠相关蛋白A、非结合雌三醇、游离β绒毛膜促性腺激素、甲胎蛋白，即“二、货物清单明细”中序号90、序号34、序号33、序号50、序号5的货物）。</w:t>
            </w:r>
          </w:p>
          <w:p w14:paraId="767B1F09">
            <w:pPr>
              <w:pStyle w:val="54"/>
              <w:rPr>
                <w:rFonts w:hint="eastAsia"/>
                <w:lang w:val="en-US" w:eastAsia="zh-CN"/>
              </w:rPr>
            </w:pPr>
            <w:r>
              <w:rPr>
                <w:rFonts w:hint="eastAsia"/>
                <w:lang w:val="en-US" w:eastAsia="zh-CN"/>
              </w:rPr>
              <w:t>3、EB病毒衣壳抗原IgA抗体检测，即“二、货物清单明细”中序号79的货物。</w:t>
            </w:r>
          </w:p>
          <w:p w14:paraId="50AC3295">
            <w:pPr>
              <w:keepNext w:val="0"/>
              <w:keepLines w:val="0"/>
              <w:pageBreakBefore w:val="0"/>
              <w:kinsoku/>
              <w:wordWrap w:val="0"/>
              <w:overflowPunct/>
              <w:topLinePunct w:val="0"/>
              <w:bidi w:val="0"/>
              <w:adjustRightInd/>
              <w:snapToGrid/>
              <w:ind w:firstLine="0" w:firstLineChars="0"/>
              <w:jc w:val="both"/>
              <w:textAlignment w:val="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（二）评分依据：</w:t>
            </w:r>
          </w:p>
          <w:p w14:paraId="0B749ECB">
            <w:pPr>
              <w:keepNext w:val="0"/>
              <w:keepLines w:val="0"/>
              <w:pageBreakBefore w:val="0"/>
              <w:kinsoku/>
              <w:wordWrap w:val="0"/>
              <w:overflowPunct/>
              <w:topLinePunct w:val="0"/>
              <w:bidi w:val="0"/>
              <w:adjustRightInd/>
              <w:snapToGrid/>
              <w:ind w:firstLine="0" w:firstLineChars="0"/>
              <w:jc w:val="left"/>
              <w:textAlignment w:val="auto"/>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1、提供相关产品2024年或2025年参加国家卫健委等国家级相关部门或省级相关部门室间质量评价文件佐证材料。</w:t>
            </w:r>
          </w:p>
          <w:p w14:paraId="3E5FCE38">
            <w:pPr>
              <w:pStyle w:val="54"/>
              <w:rPr>
                <w:rFonts w:hint="default"/>
                <w:lang w:val="en-US" w:eastAsia="zh-CN"/>
              </w:rPr>
            </w:pPr>
            <w:r>
              <w:rPr>
                <w:rFonts w:hint="eastAsia" w:asciiTheme="minorEastAsia" w:hAnsiTheme="minorEastAsia" w:eastAsiaTheme="minorEastAsia" w:cstheme="minorEastAsia"/>
                <w:kern w:val="2"/>
                <w:sz w:val="21"/>
                <w:szCs w:val="21"/>
                <w:highlight w:val="none"/>
                <w:lang w:val="en-US" w:eastAsia="zh-CN" w:bidi="ar-SA"/>
              </w:rPr>
              <w:t>2、以上资料均要求提供扫描件，原件备查，未提供有效证明文件或者提供的证明文件不符合要求的或者提供的证明文件不清晰导致评审专家无法辨认的，不得分。</w:t>
            </w:r>
          </w:p>
        </w:tc>
      </w:tr>
      <w:tr w14:paraId="4A0848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gridAfter w:val="1"/>
          <w:wBefore w:w="136" w:type="dxa"/>
          <w:wAfter w:w="67" w:type="dxa"/>
          <w:tblCellSpacing w:w="0" w:type="dxa"/>
          <w:jc w:val="center"/>
        </w:trPr>
        <w:tc>
          <w:tcPr>
            <w:tcW w:w="625" w:type="dxa"/>
            <w:vMerge w:val="continue"/>
            <w:tcBorders>
              <w:left w:val="single" w:color="000000" w:sz="8" w:space="0"/>
              <w:bottom w:val="single" w:color="000000" w:sz="8" w:space="0"/>
              <w:right w:val="single" w:color="000000" w:sz="8" w:space="0"/>
            </w:tcBorders>
            <w:shd w:val="clear" w:color="auto" w:fill="auto"/>
            <w:vAlign w:val="center"/>
          </w:tcPr>
          <w:p w14:paraId="2F98EBF6">
            <w:pPr>
              <w:keepNext w:val="0"/>
              <w:keepLines w:val="0"/>
              <w:pageBreakBefore w:val="0"/>
              <w:kinsoku/>
              <w:overflowPunct/>
              <w:topLinePunct w:val="0"/>
              <w:bidi w:val="0"/>
              <w:adjustRightInd/>
              <w:snapToGrid/>
              <w:ind w:firstLine="0" w:firstLineChars="0"/>
              <w:jc w:val="center"/>
              <w:textAlignment w:val="auto"/>
              <w:rPr>
                <w:rFonts w:hint="eastAsia" w:asciiTheme="minorEastAsia" w:hAnsiTheme="minorEastAsia" w:eastAsiaTheme="minorEastAsia" w:cstheme="minorEastAsia"/>
                <w:b/>
                <w:bCs/>
                <w:color w:val="0000FF"/>
                <w:sz w:val="21"/>
                <w:szCs w:val="21"/>
              </w:rPr>
            </w:pPr>
          </w:p>
        </w:tc>
        <w:tc>
          <w:tcPr>
            <w:tcW w:w="62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92105D">
            <w:pPr>
              <w:keepNext w:val="0"/>
              <w:keepLines w:val="0"/>
              <w:pageBreakBefore w:val="0"/>
              <w:suppressLineNumbers w:val="0"/>
              <w:kinsoku/>
              <w:overflowPunct/>
              <w:topLinePunct w:val="0"/>
              <w:bidi w:val="0"/>
              <w:adjustRightInd/>
              <w:snapToGrid/>
              <w:spacing w:before="0" w:beforeAutospacing="0" w:after="0" w:afterAutospacing="0"/>
              <w:ind w:left="0" w:leftChars="0" w:right="0" w:rightChars="0" w:firstLine="0" w:firstLineChars="0"/>
              <w:jc w:val="center"/>
              <w:textAlignment w:val="auto"/>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2</w:t>
            </w:r>
          </w:p>
        </w:tc>
        <w:tc>
          <w:tcPr>
            <w:tcW w:w="24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5B99B3">
            <w:pPr>
              <w:keepNext w:val="0"/>
              <w:keepLines w:val="0"/>
              <w:pageBreakBefore w:val="0"/>
              <w:suppressLineNumbers w:val="0"/>
              <w:kinsoku/>
              <w:overflowPunct/>
              <w:topLinePunct w:val="0"/>
              <w:bidi w:val="0"/>
              <w:adjustRightInd/>
              <w:snapToGrid/>
              <w:spacing w:before="0" w:beforeAutospacing="0" w:after="0" w:afterAutospacing="0"/>
              <w:ind w:left="0" w:leftChars="0" w:right="0" w:rightChars="0" w:firstLine="0" w:firstLineChars="0"/>
              <w:jc w:val="center"/>
              <w:textAlignment w:val="auto"/>
              <w:rPr>
                <w:rFonts w:hint="default" w:asciiTheme="minorEastAsia" w:hAnsiTheme="minorEastAsia" w:eastAsiaTheme="minorEastAsia" w:cstheme="minorEastAsia"/>
                <w:kern w:val="2"/>
                <w:sz w:val="21"/>
                <w:szCs w:val="21"/>
                <w:highlight w:val="yellow"/>
                <w:lang w:val="en-US" w:eastAsia="zh-CN" w:bidi="ar-SA"/>
              </w:rPr>
            </w:pPr>
            <w:r>
              <w:rPr>
                <w:rFonts w:hint="eastAsia" w:asciiTheme="minorEastAsia" w:hAnsiTheme="minorEastAsia" w:eastAsiaTheme="minorEastAsia" w:cstheme="minorEastAsia"/>
                <w:color w:val="auto"/>
                <w:sz w:val="21"/>
                <w:szCs w:val="21"/>
                <w:lang w:val="en-US" w:eastAsia="zh-CN"/>
              </w:rPr>
              <w:t>产品响应方案</w:t>
            </w:r>
          </w:p>
        </w:tc>
        <w:tc>
          <w:tcPr>
            <w:tcW w:w="8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5C27A9">
            <w:pPr>
              <w:keepNext w:val="0"/>
              <w:keepLines w:val="0"/>
              <w:pageBreakBefore w:val="0"/>
              <w:suppressLineNumbers w:val="0"/>
              <w:kinsoku/>
              <w:overflowPunct/>
              <w:topLinePunct w:val="0"/>
              <w:bidi w:val="0"/>
              <w:adjustRightInd/>
              <w:snapToGrid/>
              <w:spacing w:before="0" w:beforeAutospacing="0" w:after="0" w:afterAutospacing="0"/>
              <w:ind w:left="0" w:leftChars="0" w:right="0" w:rightChars="0" w:firstLine="0" w:firstLineChars="0"/>
              <w:jc w:val="center"/>
              <w:textAlignment w:val="auto"/>
              <w:rPr>
                <w:rFonts w:hint="default" w:asciiTheme="minorEastAsia" w:hAnsiTheme="minorEastAsia" w:eastAsiaTheme="minorEastAsia" w:cstheme="minorEastAsia"/>
                <w:kern w:val="2"/>
                <w:sz w:val="21"/>
                <w:szCs w:val="21"/>
                <w:highlight w:val="yellow"/>
                <w:lang w:val="en-US" w:eastAsia="zh-CN" w:bidi="ar-SA"/>
              </w:rPr>
            </w:pPr>
            <w:r>
              <w:rPr>
                <w:rFonts w:hint="eastAsia" w:asciiTheme="minorEastAsia" w:hAnsiTheme="minorEastAsia" w:eastAsiaTheme="minorEastAsia" w:cstheme="minorEastAsia"/>
                <w:color w:val="auto"/>
                <w:sz w:val="21"/>
                <w:szCs w:val="21"/>
                <w:lang w:val="en-US" w:eastAsia="zh-CN"/>
              </w:rPr>
              <w:t>20</w:t>
            </w:r>
          </w:p>
        </w:tc>
        <w:tc>
          <w:tcPr>
            <w:tcW w:w="40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B006B9">
            <w:pPr>
              <w:pStyle w:val="55"/>
              <w:rPr>
                <w:rFonts w:hint="default"/>
                <w:b/>
                <w:bCs/>
                <w:lang w:val="en-US" w:eastAsia="zh-CN"/>
              </w:rPr>
            </w:pPr>
            <w:r>
              <w:rPr>
                <w:rFonts w:hint="default"/>
                <w:b/>
                <w:bCs/>
                <w:lang w:val="en-US" w:eastAsia="zh-CN"/>
              </w:rPr>
              <w:t>（一）评分内容：</w:t>
            </w:r>
          </w:p>
          <w:p w14:paraId="3BDE20C6">
            <w:pPr>
              <w:pStyle w:val="55"/>
              <w:rPr>
                <w:rFonts w:hint="default"/>
                <w:lang w:val="en-US" w:eastAsia="zh-CN"/>
              </w:rPr>
            </w:pPr>
            <w:r>
              <w:rPr>
                <w:rFonts w:hint="default"/>
                <w:lang w:val="en-US" w:eastAsia="zh-CN"/>
              </w:rPr>
              <w:t>考察投标人提供的产品响应方案：</w:t>
            </w:r>
          </w:p>
          <w:p w14:paraId="4BD54807">
            <w:pPr>
              <w:pStyle w:val="55"/>
              <w:rPr>
                <w:rFonts w:hint="default"/>
                <w:lang w:val="en-US" w:eastAsia="zh-CN"/>
              </w:rPr>
            </w:pPr>
            <w:r>
              <w:rPr>
                <w:rFonts w:hint="default"/>
                <w:lang w:val="en-US" w:eastAsia="zh-CN"/>
              </w:rPr>
              <w:t>1、投标人对所提供试剂耗材以及配套设备易用性、是否满足临床业务需求等方面对投标产品进行分析；</w:t>
            </w:r>
          </w:p>
          <w:p w14:paraId="5C60D373">
            <w:pPr>
              <w:pStyle w:val="55"/>
              <w:rPr>
                <w:rFonts w:hint="default"/>
                <w:lang w:val="en-US" w:eastAsia="zh-CN"/>
              </w:rPr>
            </w:pPr>
            <w:r>
              <w:rPr>
                <w:rFonts w:hint="default"/>
                <w:lang w:val="en-US" w:eastAsia="zh-CN"/>
              </w:rPr>
              <w:t>2.投标人对所提供试剂耗材配套设备的自动化、智慧化和信息化程度进行分析，包括但不限于所提供设备是否为最新旗舰款、是否仪器之间具备联动性、是否配备人工智能软件系统等方面。</w:t>
            </w:r>
          </w:p>
          <w:p w14:paraId="4F075802">
            <w:pPr>
              <w:pStyle w:val="55"/>
              <w:rPr>
                <w:rFonts w:hint="default"/>
                <w:b/>
                <w:bCs/>
                <w:lang w:val="en-US" w:eastAsia="zh-CN"/>
              </w:rPr>
            </w:pPr>
            <w:r>
              <w:rPr>
                <w:rFonts w:hint="default"/>
                <w:b/>
                <w:bCs/>
                <w:lang w:val="en-US" w:eastAsia="zh-CN"/>
              </w:rPr>
              <w:t>（二）评分依据：</w:t>
            </w:r>
          </w:p>
          <w:p w14:paraId="3AA5EAC2">
            <w:pPr>
              <w:pStyle w:val="55"/>
              <w:rPr>
                <w:rFonts w:hint="default"/>
                <w:lang w:val="en-US" w:eastAsia="zh-CN"/>
              </w:rPr>
            </w:pPr>
            <w:r>
              <w:rPr>
                <w:rFonts w:hint="default"/>
                <w:lang w:val="en-US" w:eastAsia="zh-CN"/>
              </w:rPr>
              <w:t>1.针对上述2项内容，提供的产品响应方案中每包含以上任意1项得</w:t>
            </w:r>
            <w:r>
              <w:rPr>
                <w:rFonts w:hint="eastAsia"/>
                <w:lang w:val="en-US" w:eastAsia="zh-CN"/>
              </w:rPr>
              <w:t>25</w:t>
            </w:r>
            <w:r>
              <w:rPr>
                <w:rFonts w:hint="default"/>
                <w:lang w:val="en-US" w:eastAsia="zh-CN"/>
              </w:rPr>
              <w:t>分，全部包含得50分。</w:t>
            </w:r>
          </w:p>
          <w:p w14:paraId="0181D8D3">
            <w:pPr>
              <w:pStyle w:val="55"/>
              <w:rPr>
                <w:rFonts w:hint="default"/>
                <w:lang w:val="en-US" w:eastAsia="zh-CN"/>
              </w:rPr>
            </w:pPr>
            <w:r>
              <w:rPr>
                <w:rFonts w:hint="default"/>
                <w:lang w:val="en-US" w:eastAsia="zh-CN"/>
              </w:rPr>
              <w:t>2.在第1项评分依据的基础上，根据以下标准按照量化的评审标准进一步评分：</w:t>
            </w:r>
          </w:p>
          <w:p w14:paraId="52D596A0">
            <w:pPr>
              <w:pStyle w:val="55"/>
              <w:rPr>
                <w:rFonts w:hint="default"/>
                <w:lang w:val="en-US" w:eastAsia="zh-CN"/>
              </w:rPr>
            </w:pPr>
            <w:r>
              <w:rPr>
                <w:rFonts w:hint="default"/>
                <w:lang w:val="en-US" w:eastAsia="zh-CN"/>
              </w:rPr>
              <w:t>(1)方案符合实际、规范、思路清晰，内容合理性强的，评分为优，加50分；</w:t>
            </w:r>
          </w:p>
          <w:p w14:paraId="79E65BF5">
            <w:pPr>
              <w:pStyle w:val="55"/>
              <w:rPr>
                <w:rFonts w:hint="default"/>
                <w:lang w:val="en-US" w:eastAsia="zh-CN"/>
              </w:rPr>
            </w:pPr>
            <w:r>
              <w:rPr>
                <w:rFonts w:hint="default"/>
                <w:lang w:val="en-US" w:eastAsia="zh-CN"/>
              </w:rPr>
              <w:t>(2)方案较符合实际、较规范、思路较清晰，内容合理性较强的，评分为良，加20分；</w:t>
            </w:r>
          </w:p>
          <w:p w14:paraId="20F17B13">
            <w:pPr>
              <w:pStyle w:val="55"/>
              <w:rPr>
                <w:rFonts w:hint="default"/>
                <w:lang w:val="en-US" w:eastAsia="zh-CN"/>
              </w:rPr>
            </w:pPr>
            <w:r>
              <w:rPr>
                <w:rFonts w:hint="default"/>
                <w:lang w:val="en-US" w:eastAsia="zh-CN"/>
              </w:rPr>
              <w:t>(3)方案一般符合实际、规范性一般，思路不够清晰，内容合理性一般的，评分为中，加10分；</w:t>
            </w:r>
          </w:p>
          <w:p w14:paraId="02B2E27D">
            <w:pPr>
              <w:pStyle w:val="55"/>
              <w:rPr>
                <w:rFonts w:hint="default"/>
                <w:lang w:val="en-US" w:eastAsia="zh-CN"/>
              </w:rPr>
            </w:pPr>
            <w:r>
              <w:rPr>
                <w:rFonts w:hint="default"/>
                <w:lang w:val="en-US" w:eastAsia="zh-CN"/>
              </w:rPr>
              <w:t>(4)方案不符合实际、不规范，思路不清晰，内容合理性较差或未提供的，评分为差，不加分。</w:t>
            </w:r>
          </w:p>
          <w:p w14:paraId="16D4B405">
            <w:pPr>
              <w:pStyle w:val="55"/>
              <w:rPr>
                <w:rFonts w:hint="default"/>
                <w:lang w:val="en-US" w:eastAsia="zh-CN"/>
              </w:rPr>
            </w:pPr>
            <w:r>
              <w:rPr>
                <w:rFonts w:hint="default"/>
                <w:lang w:val="en-US" w:eastAsia="zh-CN"/>
              </w:rPr>
              <w:t>以上2项累计得分，最高得分100分。</w:t>
            </w:r>
          </w:p>
        </w:tc>
      </w:tr>
      <w:tr w14:paraId="6DCFAA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gridAfter w:val="1"/>
          <w:wBefore w:w="136" w:type="dxa"/>
          <w:wAfter w:w="67" w:type="dxa"/>
          <w:tblCellSpacing w:w="0" w:type="dxa"/>
          <w:jc w:val="center"/>
        </w:trPr>
        <w:tc>
          <w:tcPr>
            <w:tcW w:w="62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5A28E12">
            <w:pPr>
              <w:keepNext w:val="0"/>
              <w:keepLines w:val="0"/>
              <w:pageBreakBefore w:val="0"/>
              <w:widowControl/>
              <w:kinsoku/>
              <w:wordWrap w:val="0"/>
              <w:overflowPunct/>
              <w:topLinePunct w:val="0"/>
              <w:bidi w:val="0"/>
              <w:adjustRightInd/>
              <w:snapToGrid/>
              <w:ind w:firstLine="0" w:firstLineChars="0"/>
              <w:jc w:val="center"/>
              <w:textAlignment w:val="auto"/>
              <w:rPr>
                <w:rFonts w:hint="eastAsia" w:asciiTheme="minorEastAsia" w:hAnsiTheme="minorEastAsia" w:eastAsiaTheme="minorEastAsia" w:cstheme="minorEastAsia"/>
                <w:b/>
                <w:bCs/>
                <w:color w:val="0000FF"/>
                <w:sz w:val="21"/>
                <w:szCs w:val="21"/>
              </w:rPr>
            </w:pPr>
            <w:r>
              <w:rPr>
                <w:rFonts w:hint="eastAsia" w:asciiTheme="minorEastAsia" w:hAnsiTheme="minorEastAsia" w:eastAsiaTheme="minorEastAsia" w:cstheme="minorEastAsia"/>
                <w:b/>
                <w:bCs/>
                <w:color w:val="0000FF"/>
                <w:kern w:val="0"/>
                <w:sz w:val="21"/>
                <w:szCs w:val="21"/>
              </w:rPr>
              <w:t>3</w:t>
            </w:r>
          </w:p>
        </w:tc>
        <w:tc>
          <w:tcPr>
            <w:tcW w:w="3844"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6220E4F6">
            <w:pPr>
              <w:keepNext w:val="0"/>
              <w:keepLines w:val="0"/>
              <w:pageBreakBefore w:val="0"/>
              <w:widowControl/>
              <w:kinsoku/>
              <w:wordWrap w:val="0"/>
              <w:overflowPunct/>
              <w:topLinePunct w:val="0"/>
              <w:bidi w:val="0"/>
              <w:adjustRightInd/>
              <w:snapToGrid/>
              <w:ind w:firstLine="0" w:firstLineChars="0"/>
              <w:jc w:val="center"/>
              <w:textAlignment w:val="auto"/>
              <w:rPr>
                <w:rFonts w:hint="eastAsia" w:asciiTheme="minorEastAsia" w:hAnsiTheme="minorEastAsia" w:eastAsiaTheme="minorEastAsia" w:cstheme="minorEastAsia"/>
                <w:b/>
                <w:bCs/>
                <w:color w:val="0000FF"/>
                <w:sz w:val="21"/>
                <w:szCs w:val="21"/>
              </w:rPr>
            </w:pPr>
            <w:r>
              <w:rPr>
                <w:rFonts w:hint="eastAsia" w:asciiTheme="minorEastAsia" w:hAnsiTheme="minorEastAsia" w:eastAsiaTheme="minorEastAsia" w:cstheme="minorEastAsia"/>
                <w:b/>
                <w:bCs/>
                <w:color w:val="0000FF"/>
                <w:kern w:val="0"/>
                <w:sz w:val="21"/>
                <w:szCs w:val="21"/>
              </w:rPr>
              <w:t>商务部分</w:t>
            </w:r>
          </w:p>
        </w:tc>
        <w:tc>
          <w:tcPr>
            <w:tcW w:w="40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DCC8D4">
            <w:pPr>
              <w:keepNext w:val="0"/>
              <w:keepLines w:val="0"/>
              <w:pageBreakBefore w:val="0"/>
              <w:widowControl/>
              <w:kinsoku/>
              <w:wordWrap w:val="0"/>
              <w:overflowPunct/>
              <w:topLinePunct w:val="0"/>
              <w:bidi w:val="0"/>
              <w:adjustRightInd/>
              <w:snapToGrid/>
              <w:ind w:firstLine="0" w:firstLineChars="0"/>
              <w:jc w:val="center"/>
              <w:textAlignment w:val="auto"/>
              <w:rPr>
                <w:rFonts w:hint="default" w:asciiTheme="minorEastAsia" w:hAnsiTheme="minorEastAsia" w:eastAsiaTheme="minorEastAsia" w:cstheme="minorEastAsia"/>
                <w:b/>
                <w:bCs/>
                <w:color w:val="0000FF"/>
                <w:sz w:val="21"/>
                <w:szCs w:val="21"/>
                <w:lang w:val="en-US" w:eastAsia="zh-CN"/>
              </w:rPr>
            </w:pPr>
            <w:r>
              <w:rPr>
                <w:rFonts w:hint="eastAsia" w:asciiTheme="minorEastAsia" w:hAnsiTheme="minorEastAsia" w:eastAsiaTheme="minorEastAsia" w:cstheme="minorEastAsia"/>
                <w:b/>
                <w:bCs/>
                <w:color w:val="0000FF"/>
                <w:sz w:val="21"/>
                <w:szCs w:val="21"/>
                <w:lang w:val="en-US" w:eastAsia="zh-CN"/>
              </w:rPr>
              <w:t>20</w:t>
            </w:r>
          </w:p>
        </w:tc>
      </w:tr>
      <w:tr w14:paraId="2F90A5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gridAfter w:val="1"/>
          <w:wBefore w:w="136" w:type="dxa"/>
          <w:wAfter w:w="67" w:type="dxa"/>
          <w:tblCellSpacing w:w="0" w:type="dxa"/>
          <w:jc w:val="center"/>
        </w:trPr>
        <w:tc>
          <w:tcPr>
            <w:tcW w:w="625" w:type="dxa"/>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14:paraId="138A235A">
            <w:pPr>
              <w:keepNext w:val="0"/>
              <w:keepLines w:val="0"/>
              <w:pageBreakBefore w:val="0"/>
              <w:kinsoku/>
              <w:overflowPunct/>
              <w:topLinePunct w:val="0"/>
              <w:bidi w:val="0"/>
              <w:adjustRightInd/>
              <w:snapToGrid/>
              <w:ind w:firstLine="0" w:firstLineChars="0"/>
              <w:jc w:val="center"/>
              <w:textAlignment w:val="auto"/>
              <w:rPr>
                <w:rFonts w:hint="eastAsia" w:asciiTheme="minorEastAsia" w:hAnsiTheme="minorEastAsia" w:eastAsiaTheme="minorEastAsia" w:cstheme="minorEastAsia"/>
                <w:b/>
                <w:bCs/>
                <w:color w:val="0000FF"/>
                <w:sz w:val="21"/>
                <w:szCs w:val="21"/>
              </w:rPr>
            </w:pPr>
          </w:p>
        </w:tc>
        <w:tc>
          <w:tcPr>
            <w:tcW w:w="627"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009F7FCA">
            <w:pPr>
              <w:keepNext w:val="0"/>
              <w:keepLines w:val="0"/>
              <w:pageBreakBefore w:val="0"/>
              <w:widowControl/>
              <w:kinsoku/>
              <w:wordWrap w:val="0"/>
              <w:overflowPunct/>
              <w:topLinePunct w:val="0"/>
              <w:bidi w:val="0"/>
              <w:adjustRightInd/>
              <w:snapToGrid/>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序号</w:t>
            </w:r>
          </w:p>
        </w:tc>
        <w:tc>
          <w:tcPr>
            <w:tcW w:w="2400"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1CA13882">
            <w:pPr>
              <w:keepNext w:val="0"/>
              <w:keepLines w:val="0"/>
              <w:pageBreakBefore w:val="0"/>
              <w:widowControl/>
              <w:kinsoku/>
              <w:wordWrap w:val="0"/>
              <w:overflowPunct/>
              <w:topLinePunct w:val="0"/>
              <w:bidi w:val="0"/>
              <w:adjustRightInd/>
              <w:snapToGrid/>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评分因素</w:t>
            </w:r>
          </w:p>
        </w:tc>
        <w:tc>
          <w:tcPr>
            <w:tcW w:w="817"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0C862483">
            <w:pPr>
              <w:keepNext w:val="0"/>
              <w:keepLines w:val="0"/>
              <w:pageBreakBefore w:val="0"/>
              <w:widowControl/>
              <w:kinsoku/>
              <w:wordWrap w:val="0"/>
              <w:overflowPunct/>
              <w:topLinePunct w:val="0"/>
              <w:bidi w:val="0"/>
              <w:adjustRightInd/>
              <w:snapToGrid/>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权重(%)</w:t>
            </w:r>
          </w:p>
        </w:tc>
        <w:tc>
          <w:tcPr>
            <w:tcW w:w="4043"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4CDA892E">
            <w:pPr>
              <w:keepNext w:val="0"/>
              <w:keepLines w:val="0"/>
              <w:pageBreakBefore w:val="0"/>
              <w:widowControl/>
              <w:kinsoku/>
              <w:wordWrap w:val="0"/>
              <w:overflowPunct/>
              <w:topLinePunct w:val="0"/>
              <w:bidi w:val="0"/>
              <w:adjustRightInd/>
              <w:snapToGrid/>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评分准则</w:t>
            </w:r>
          </w:p>
        </w:tc>
      </w:tr>
      <w:tr w14:paraId="7BFDD9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gridAfter w:val="1"/>
          <w:wBefore w:w="136" w:type="dxa"/>
          <w:wAfter w:w="67" w:type="dxa"/>
          <w:trHeight w:val="1022" w:hRule="atLeast"/>
          <w:tblCellSpacing w:w="0" w:type="dxa"/>
          <w:jc w:val="center"/>
        </w:trPr>
        <w:tc>
          <w:tcPr>
            <w:tcW w:w="6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300F532">
            <w:pPr>
              <w:keepNext w:val="0"/>
              <w:keepLines w:val="0"/>
              <w:pageBreakBefore w:val="0"/>
              <w:kinsoku/>
              <w:overflowPunct/>
              <w:topLinePunct w:val="0"/>
              <w:bidi w:val="0"/>
              <w:adjustRightInd/>
              <w:snapToGrid/>
              <w:ind w:firstLine="0" w:firstLineChars="0"/>
              <w:jc w:val="center"/>
              <w:textAlignment w:val="auto"/>
              <w:rPr>
                <w:rFonts w:hint="eastAsia" w:asciiTheme="minorEastAsia" w:hAnsiTheme="minorEastAsia" w:eastAsiaTheme="minorEastAsia" w:cstheme="minorEastAsia"/>
                <w:b/>
                <w:bCs/>
                <w:color w:val="0000FF"/>
                <w:sz w:val="21"/>
                <w:szCs w:val="21"/>
              </w:rPr>
            </w:pPr>
          </w:p>
        </w:tc>
        <w:tc>
          <w:tcPr>
            <w:tcW w:w="627" w:type="dxa"/>
            <w:tcBorders>
              <w:top w:val="single" w:color="000000" w:sz="8" w:space="0"/>
              <w:left w:val="single" w:color="000000" w:sz="8" w:space="0"/>
              <w:right w:val="single" w:color="000000" w:sz="8" w:space="0"/>
            </w:tcBorders>
            <w:shd w:val="clear" w:color="auto" w:fill="auto"/>
            <w:vAlign w:val="center"/>
          </w:tcPr>
          <w:p w14:paraId="4EDFFC8A">
            <w:pPr>
              <w:keepNext w:val="0"/>
              <w:keepLines w:val="0"/>
              <w:pageBreakBefore w:val="0"/>
              <w:widowControl w:val="0"/>
              <w:suppressLineNumbers w:val="0"/>
              <w:kinsoku/>
              <w:overflowPunct/>
              <w:topLinePunct w:val="0"/>
              <w:autoSpaceDE w:val="0"/>
              <w:autoSpaceDN w:val="0"/>
              <w:bidi w:val="0"/>
              <w:adjustRightInd/>
              <w:snapToGrid/>
              <w:spacing w:before="0" w:beforeAutospacing="0" w:after="0" w:afterAutospacing="0"/>
              <w:ind w:left="0" w:leftChars="0" w:right="0" w:rightChars="0" w:firstLine="0" w:firstLineChars="0"/>
              <w:jc w:val="center"/>
              <w:textAlignment w:val="auto"/>
              <w:rPr>
                <w:rFonts w:hint="default" w:asciiTheme="minorEastAsia" w:hAnsiTheme="minorEastAsia" w:eastAsiaTheme="minorEastAsia" w:cstheme="minorEastAsia"/>
                <w:color w:val="auto"/>
                <w:kern w:val="2"/>
                <w:sz w:val="21"/>
                <w:szCs w:val="21"/>
                <w:lang w:val="en-US" w:eastAsia="zh-CN"/>
              </w:rPr>
            </w:pPr>
            <w:r>
              <w:rPr>
                <w:rFonts w:hint="eastAsia" w:asciiTheme="minorEastAsia" w:hAnsiTheme="minorEastAsia" w:eastAsiaTheme="minorEastAsia" w:cstheme="minorEastAsia"/>
                <w:color w:val="auto"/>
                <w:kern w:val="2"/>
                <w:sz w:val="21"/>
                <w:szCs w:val="21"/>
                <w:lang w:val="en-US" w:eastAsia="zh-CN"/>
              </w:rPr>
              <w:t>1</w:t>
            </w:r>
          </w:p>
        </w:tc>
        <w:tc>
          <w:tcPr>
            <w:tcW w:w="2400" w:type="dxa"/>
            <w:tcBorders>
              <w:top w:val="single" w:color="000000" w:sz="8" w:space="0"/>
              <w:left w:val="single" w:color="000000" w:sz="8" w:space="0"/>
              <w:right w:val="single" w:color="000000" w:sz="8" w:space="0"/>
            </w:tcBorders>
            <w:shd w:val="clear" w:color="auto" w:fill="auto"/>
            <w:vAlign w:val="center"/>
          </w:tcPr>
          <w:p w14:paraId="0AC7CF9E">
            <w:pPr>
              <w:keepNext w:val="0"/>
              <w:keepLines w:val="0"/>
              <w:pageBreakBefore w:val="0"/>
              <w:widowControl w:val="0"/>
              <w:suppressLineNumbers w:val="0"/>
              <w:kinsoku/>
              <w:overflowPunct/>
              <w:topLinePunct w:val="0"/>
              <w:bidi w:val="0"/>
              <w:adjustRightInd/>
              <w:snapToGrid/>
              <w:spacing w:before="0" w:beforeAutospacing="0" w:after="0" w:afterAutospacing="0"/>
              <w:ind w:left="0" w:leftChars="0" w:right="0" w:rightChars="0" w:firstLine="0" w:firstLineChars="0"/>
              <w:jc w:val="center"/>
              <w:textAlignment w:val="auto"/>
              <w:rPr>
                <w:rFonts w:hint="eastAsia" w:asciiTheme="minorEastAsia" w:hAnsiTheme="minorEastAsia" w:eastAsiaTheme="minorEastAsia" w:cstheme="minorEastAsia"/>
                <w:color w:val="auto"/>
                <w:kern w:val="2"/>
                <w:sz w:val="21"/>
                <w:szCs w:val="21"/>
                <w:lang w:val="en-US" w:eastAsia="zh-CN"/>
              </w:rPr>
            </w:pPr>
            <w:r>
              <w:rPr>
                <w:rFonts w:hint="eastAsia" w:asciiTheme="minorEastAsia" w:hAnsiTheme="minorEastAsia" w:eastAsiaTheme="minorEastAsia" w:cstheme="minorEastAsia"/>
                <w:color w:val="auto"/>
                <w:kern w:val="2"/>
                <w:sz w:val="21"/>
                <w:szCs w:val="21"/>
                <w:lang w:val="en-US" w:eastAsia="zh-CN"/>
              </w:rPr>
              <w:t>市场占有率</w:t>
            </w:r>
          </w:p>
        </w:tc>
        <w:tc>
          <w:tcPr>
            <w:tcW w:w="817" w:type="dxa"/>
            <w:tcBorders>
              <w:top w:val="single" w:color="000000" w:sz="8" w:space="0"/>
              <w:left w:val="single" w:color="000000" w:sz="8" w:space="0"/>
              <w:right w:val="single" w:color="000000" w:sz="8" w:space="0"/>
            </w:tcBorders>
            <w:shd w:val="clear" w:color="auto" w:fill="auto"/>
            <w:vAlign w:val="center"/>
          </w:tcPr>
          <w:p w14:paraId="1EA55F91">
            <w:pPr>
              <w:keepNext w:val="0"/>
              <w:keepLines w:val="0"/>
              <w:pageBreakBefore w:val="0"/>
              <w:widowControl w:val="0"/>
              <w:suppressLineNumbers w:val="0"/>
              <w:kinsoku/>
              <w:overflowPunct/>
              <w:topLinePunct w:val="0"/>
              <w:autoSpaceDE w:val="0"/>
              <w:autoSpaceDN w:val="0"/>
              <w:bidi w:val="0"/>
              <w:adjustRightInd/>
              <w:snapToGrid/>
              <w:spacing w:before="0" w:beforeAutospacing="0" w:after="0" w:afterAutospacing="0"/>
              <w:ind w:left="0" w:leftChars="0" w:right="0" w:rightChars="0" w:firstLine="0" w:firstLineChars="0"/>
              <w:jc w:val="center"/>
              <w:textAlignment w:val="auto"/>
              <w:rPr>
                <w:rFonts w:hint="default"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10</w:t>
            </w:r>
          </w:p>
        </w:tc>
        <w:tc>
          <w:tcPr>
            <w:tcW w:w="40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DE7280">
            <w:pPr>
              <w:keepNext w:val="0"/>
              <w:keepLines w:val="0"/>
              <w:pageBreakBefore w:val="0"/>
              <w:kinsoku/>
              <w:wordWrap w:val="0"/>
              <w:overflowPunct/>
              <w:topLinePunct w:val="0"/>
              <w:bidi w:val="0"/>
              <w:adjustRightInd/>
              <w:snapToGrid/>
              <w:ind w:firstLine="0" w:firstLineChars="0"/>
              <w:jc w:val="left"/>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（一）评分内容：</w:t>
            </w:r>
          </w:p>
          <w:p w14:paraId="04FA5068">
            <w:pPr>
              <w:keepNext w:val="0"/>
              <w:keepLines w:val="0"/>
              <w:pageBreakBefore w:val="0"/>
              <w:suppressLineNumbers w:val="0"/>
              <w:kinsoku/>
              <w:overflowPunct/>
              <w:topLinePunct w:val="0"/>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auto"/>
                <w:kern w:val="2"/>
                <w:sz w:val="21"/>
                <w:szCs w:val="21"/>
                <w:lang w:val="zh-CN" w:eastAsia="zh-CN" w:bidi="ar-SA"/>
              </w:rPr>
            </w:pPr>
            <w:r>
              <w:rPr>
                <w:rFonts w:hint="eastAsia" w:asciiTheme="minorEastAsia" w:hAnsiTheme="minorEastAsia" w:eastAsiaTheme="minorEastAsia" w:cstheme="minorEastAsia"/>
                <w:color w:val="auto"/>
                <w:sz w:val="21"/>
                <w:szCs w:val="21"/>
                <w:lang w:val="en-US" w:eastAsia="zh-CN"/>
              </w:rPr>
              <w:t>投标人提供投标截止日前近三年所投任意产品在二级甲等或以上级别的医院所签订的同类业绩项目，每提供1个同类业绩，得20分，最高得100分</w:t>
            </w:r>
            <w:r>
              <w:rPr>
                <w:rFonts w:hint="eastAsia" w:asciiTheme="minorEastAsia" w:hAnsiTheme="minorEastAsia" w:eastAsiaTheme="minorEastAsia" w:cstheme="minorEastAsia"/>
                <w:color w:val="auto"/>
                <w:sz w:val="21"/>
                <w:szCs w:val="21"/>
                <w:lang w:val="zh-CN" w:eastAsia="zh-CN"/>
              </w:rPr>
              <w:t>。</w:t>
            </w:r>
          </w:p>
          <w:p w14:paraId="00C69D24">
            <w:pPr>
              <w:keepNext w:val="0"/>
              <w:keepLines w:val="0"/>
              <w:pageBreakBefore w:val="0"/>
              <w:suppressLineNumbers w:val="0"/>
              <w:kinsoku/>
              <w:overflowPunct/>
              <w:topLinePunct w:val="0"/>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color w:val="FF0000"/>
                <w:szCs w:val="21"/>
              </w:rPr>
            </w:pPr>
            <w:r>
              <w:rPr>
                <w:rFonts w:hint="eastAsia" w:asciiTheme="minorEastAsia" w:hAnsiTheme="minorEastAsia" w:eastAsiaTheme="minorEastAsia" w:cstheme="minorEastAsia"/>
                <w:b/>
                <w:bCs/>
                <w:color w:val="auto"/>
                <w:sz w:val="21"/>
                <w:szCs w:val="21"/>
                <w:lang w:val="en-US" w:eastAsia="zh-CN"/>
              </w:rPr>
              <w:t>（二）评分依据：</w:t>
            </w:r>
          </w:p>
          <w:p w14:paraId="5F751D41">
            <w:pPr>
              <w:keepNext w:val="0"/>
              <w:keepLines w:val="0"/>
              <w:pageBreakBefore w:val="0"/>
              <w:suppressLineNumbers w:val="0"/>
              <w:kinsoku/>
              <w:overflowPunct/>
              <w:topLinePunct w:val="0"/>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要求提供①合同关键信息页（包括但不限于合同标的、签订时间、双方签章页）②合同甲方医院等级证明文件（包括不限于合同甲方出具的加盖公章的证明、医院官网截图、卫健部门官网查询截图）作为得分依据。</w:t>
            </w:r>
          </w:p>
          <w:p w14:paraId="162F9102">
            <w:pPr>
              <w:keepNext w:val="0"/>
              <w:keepLines w:val="0"/>
              <w:pageBreakBefore w:val="0"/>
              <w:suppressLineNumbers w:val="0"/>
              <w:kinsoku/>
              <w:overflowPunct/>
              <w:topLinePunct w:val="0"/>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备注：1.通过合同关键信息无法判断是否得分的，还须同时提供能证明得分的其它证明资料，如合同甲方出具的证明文件或项目报告。</w:t>
            </w:r>
          </w:p>
          <w:p w14:paraId="2941A3E5">
            <w:pPr>
              <w:keepNext w:val="0"/>
              <w:keepLines w:val="0"/>
              <w:pageBreakBefore w:val="0"/>
              <w:suppressLineNumbers w:val="0"/>
              <w:kinsoku/>
              <w:overflowPunct/>
              <w:topLinePunct w:val="0"/>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2.以上资料均要求提供扫描件，原件备查，未提供有效证明文件或者提供的证明文件不符合要求的或者提供的证明文件不清晰导致评审专家无法辨认的，不得分。</w:t>
            </w:r>
          </w:p>
        </w:tc>
      </w:tr>
      <w:tr w14:paraId="4E09CE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gridAfter w:val="1"/>
          <w:wBefore w:w="136" w:type="dxa"/>
          <w:wAfter w:w="67" w:type="dxa"/>
          <w:trHeight w:val="1659" w:hRule="atLeast"/>
          <w:tblCellSpacing w:w="0" w:type="dxa"/>
          <w:jc w:val="center"/>
        </w:trPr>
        <w:tc>
          <w:tcPr>
            <w:tcW w:w="6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9FD2509">
            <w:pPr>
              <w:keepNext w:val="0"/>
              <w:keepLines w:val="0"/>
              <w:pageBreakBefore w:val="0"/>
              <w:kinsoku/>
              <w:overflowPunct/>
              <w:topLinePunct w:val="0"/>
              <w:bidi w:val="0"/>
              <w:adjustRightInd/>
              <w:snapToGrid/>
              <w:ind w:firstLine="0" w:firstLineChars="0"/>
              <w:jc w:val="center"/>
              <w:textAlignment w:val="auto"/>
              <w:rPr>
                <w:rFonts w:hint="eastAsia" w:asciiTheme="minorEastAsia" w:hAnsiTheme="minorEastAsia" w:eastAsiaTheme="minorEastAsia" w:cstheme="minorEastAsia"/>
                <w:b/>
                <w:bCs/>
                <w:color w:val="0000FF"/>
                <w:sz w:val="21"/>
                <w:szCs w:val="21"/>
              </w:rPr>
            </w:pPr>
          </w:p>
        </w:tc>
        <w:tc>
          <w:tcPr>
            <w:tcW w:w="627" w:type="dxa"/>
            <w:tcBorders>
              <w:top w:val="single" w:color="000000" w:sz="8" w:space="0"/>
              <w:left w:val="single" w:color="000000" w:sz="8" w:space="0"/>
              <w:right w:val="single" w:color="000000" w:sz="8" w:space="0"/>
            </w:tcBorders>
            <w:shd w:val="clear" w:color="auto" w:fill="auto"/>
            <w:vAlign w:val="center"/>
          </w:tcPr>
          <w:p w14:paraId="56525A8B">
            <w:pPr>
              <w:keepNext w:val="0"/>
              <w:keepLines w:val="0"/>
              <w:pageBreakBefore w:val="0"/>
              <w:widowControl w:val="0"/>
              <w:suppressLineNumbers w:val="0"/>
              <w:kinsoku/>
              <w:overflowPunct/>
              <w:topLinePunct w:val="0"/>
              <w:autoSpaceDE w:val="0"/>
              <w:autoSpaceDN w:val="0"/>
              <w:bidi w:val="0"/>
              <w:adjustRightInd/>
              <w:snapToGrid/>
              <w:spacing w:before="0" w:beforeAutospacing="0" w:after="0" w:afterAutospacing="0"/>
              <w:ind w:left="0" w:leftChars="0" w:right="0" w:rightChars="0" w:firstLine="0" w:firstLineChars="0"/>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rPr>
              <w:t>2</w:t>
            </w:r>
          </w:p>
        </w:tc>
        <w:tc>
          <w:tcPr>
            <w:tcW w:w="2400" w:type="dxa"/>
            <w:tcBorders>
              <w:top w:val="single" w:color="000000" w:sz="8" w:space="0"/>
              <w:left w:val="single" w:color="000000" w:sz="8" w:space="0"/>
              <w:right w:val="single" w:color="000000" w:sz="8" w:space="0"/>
            </w:tcBorders>
            <w:shd w:val="clear" w:color="auto" w:fill="auto"/>
            <w:vAlign w:val="center"/>
          </w:tcPr>
          <w:p w14:paraId="098FE528">
            <w:pPr>
              <w:keepNext w:val="0"/>
              <w:keepLines w:val="0"/>
              <w:pageBreakBefore w:val="0"/>
              <w:widowControl w:val="0"/>
              <w:suppressLineNumbers w:val="0"/>
              <w:kinsoku/>
              <w:overflowPunct/>
              <w:topLinePunct w:val="0"/>
              <w:bidi w:val="0"/>
              <w:adjustRightInd/>
              <w:snapToGrid/>
              <w:spacing w:before="0" w:beforeAutospacing="0" w:after="0" w:afterAutospacing="0"/>
              <w:ind w:left="0" w:leftChars="0" w:right="0" w:rightChars="0" w:firstLine="0" w:firstLineChars="0"/>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rPr>
              <w:t>服务能力</w:t>
            </w:r>
          </w:p>
        </w:tc>
        <w:tc>
          <w:tcPr>
            <w:tcW w:w="817" w:type="dxa"/>
            <w:tcBorders>
              <w:top w:val="single" w:color="000000" w:sz="8" w:space="0"/>
              <w:left w:val="single" w:color="000000" w:sz="8" w:space="0"/>
              <w:right w:val="single" w:color="000000" w:sz="8" w:space="0"/>
            </w:tcBorders>
            <w:shd w:val="clear" w:color="auto" w:fill="auto"/>
            <w:vAlign w:val="center"/>
          </w:tcPr>
          <w:p w14:paraId="247EEEE6">
            <w:pPr>
              <w:keepNext w:val="0"/>
              <w:keepLines w:val="0"/>
              <w:pageBreakBefore w:val="0"/>
              <w:widowControl w:val="0"/>
              <w:suppressLineNumbers w:val="0"/>
              <w:kinsoku/>
              <w:overflowPunct/>
              <w:topLinePunct w:val="0"/>
              <w:autoSpaceDE w:val="0"/>
              <w:autoSpaceDN w:val="0"/>
              <w:bidi w:val="0"/>
              <w:adjustRightInd/>
              <w:snapToGrid/>
              <w:spacing w:before="0" w:beforeAutospacing="0" w:after="0" w:afterAutospacing="0"/>
              <w:ind w:left="0" w:leftChars="0" w:right="0" w:rightChars="0" w:firstLine="0" w:firstLineChars="0"/>
              <w:jc w:val="center"/>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auto"/>
                <w:kern w:val="0"/>
                <w:sz w:val="21"/>
                <w:szCs w:val="21"/>
                <w:lang w:val="en-US" w:eastAsia="zh-CN"/>
              </w:rPr>
              <w:t>10</w:t>
            </w:r>
          </w:p>
        </w:tc>
        <w:tc>
          <w:tcPr>
            <w:tcW w:w="40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ECFA57">
            <w:pPr>
              <w:keepNext w:val="0"/>
              <w:keepLines w:val="0"/>
              <w:pageBreakBefore w:val="0"/>
              <w:kinsoku/>
              <w:wordWrap w:val="0"/>
              <w:overflowPunct/>
              <w:topLinePunct w:val="0"/>
              <w:bidi w:val="0"/>
              <w:adjustRightInd/>
              <w:snapToGrid/>
              <w:ind w:firstLine="0" w:firstLineChars="0"/>
              <w:jc w:val="both"/>
              <w:textAlignment w:val="auto"/>
              <w:rPr>
                <w:rFonts w:hint="eastAsia" w:asciiTheme="minorEastAsia" w:hAnsiTheme="minorEastAsia" w:eastAsiaTheme="minorEastAsia" w:cstheme="minorEastAsia"/>
                <w:b/>
                <w:bCs/>
                <w:sz w:val="21"/>
                <w:szCs w:val="21"/>
                <w:highlight w:val="none"/>
                <w:u w:val="none"/>
              </w:rPr>
            </w:pPr>
            <w:r>
              <w:rPr>
                <w:rFonts w:hint="eastAsia" w:asciiTheme="minorEastAsia" w:hAnsiTheme="minorEastAsia" w:eastAsiaTheme="minorEastAsia" w:cstheme="minorEastAsia"/>
                <w:b/>
                <w:bCs/>
                <w:sz w:val="21"/>
                <w:szCs w:val="21"/>
                <w:highlight w:val="none"/>
                <w:u w:val="none"/>
              </w:rPr>
              <w:t>（一）评分内容：</w:t>
            </w:r>
          </w:p>
          <w:p w14:paraId="72C0AD3E">
            <w:pPr>
              <w:keepNext w:val="0"/>
              <w:keepLines w:val="0"/>
              <w:pageBreakBefore w:val="0"/>
              <w:kinsoku/>
              <w:wordWrap w:val="0"/>
              <w:overflowPunct/>
              <w:topLinePunct w:val="0"/>
              <w:bidi w:val="0"/>
              <w:adjustRightInd/>
              <w:snapToGrid/>
              <w:ind w:firstLine="0" w:firstLineChars="0"/>
              <w:jc w:val="both"/>
              <w:textAlignment w:val="auto"/>
              <w:rPr>
                <w:rFonts w:hint="eastAsia" w:asciiTheme="minorEastAsia" w:hAnsiTheme="minorEastAsia" w:eastAsiaTheme="minorEastAsia" w:cstheme="minorEastAsia"/>
                <w:sz w:val="21"/>
                <w:szCs w:val="21"/>
                <w:highlight w:val="none"/>
                <w:u w:val="none"/>
                <w:lang w:val="en-US" w:eastAsia="zh-CN"/>
              </w:rPr>
            </w:pPr>
            <w:r>
              <w:rPr>
                <w:rFonts w:hint="eastAsia" w:asciiTheme="minorEastAsia" w:hAnsiTheme="minorEastAsia" w:eastAsiaTheme="minorEastAsia" w:cstheme="minorEastAsia"/>
                <w:sz w:val="21"/>
                <w:szCs w:val="21"/>
                <w:highlight w:val="none"/>
                <w:u w:val="none"/>
                <w:lang w:val="en-US" w:eastAsia="zh-CN"/>
              </w:rPr>
              <w:t>评标专家根据“五、商务要求”中的“八、售后服务响应表”要求（除带★号的不可偏离条款，共计16项）响应情况对投标人进行评分。满分为100分，有负偏离的，每负偏离一条扣</w:t>
            </w:r>
            <w:r>
              <w:rPr>
                <w:rFonts w:hint="eastAsia" w:cs="Times New Roman"/>
                <w:highlight w:val="none"/>
                <w:u w:val="none"/>
                <w:lang w:val="en-US" w:eastAsia="zh-CN"/>
              </w:rPr>
              <w:t>6</w:t>
            </w:r>
            <w:r>
              <w:rPr>
                <w:rFonts w:hint="eastAsia" w:asciiTheme="minorEastAsia" w:hAnsiTheme="minorEastAsia" w:eastAsiaTheme="minorEastAsia" w:cstheme="minorEastAsia"/>
                <w:sz w:val="21"/>
                <w:szCs w:val="21"/>
                <w:highlight w:val="none"/>
                <w:u w:val="none"/>
                <w:lang w:val="en-US" w:eastAsia="zh-CN"/>
              </w:rPr>
              <w:t>.25分，扣完为止。</w:t>
            </w:r>
          </w:p>
          <w:p w14:paraId="05A9184D">
            <w:pPr>
              <w:keepNext w:val="0"/>
              <w:keepLines w:val="0"/>
              <w:pageBreakBefore w:val="0"/>
              <w:kinsoku/>
              <w:wordWrap w:val="0"/>
              <w:overflowPunct/>
              <w:topLinePunct w:val="0"/>
              <w:bidi w:val="0"/>
              <w:adjustRightInd/>
              <w:snapToGrid/>
              <w:ind w:firstLine="0" w:firstLineChars="0"/>
              <w:jc w:val="both"/>
              <w:textAlignment w:val="auto"/>
              <w:rPr>
                <w:rFonts w:hint="eastAsia" w:asciiTheme="minorEastAsia" w:hAnsiTheme="minorEastAsia" w:eastAsiaTheme="minorEastAsia" w:cstheme="minorEastAsia"/>
                <w:b/>
                <w:bCs/>
                <w:sz w:val="21"/>
                <w:szCs w:val="21"/>
                <w:highlight w:val="none"/>
                <w:u w:val="none"/>
              </w:rPr>
            </w:pPr>
            <w:r>
              <w:rPr>
                <w:rFonts w:hint="eastAsia" w:asciiTheme="minorEastAsia" w:hAnsiTheme="minorEastAsia" w:eastAsiaTheme="minorEastAsia" w:cstheme="minorEastAsia"/>
                <w:b/>
                <w:bCs/>
                <w:sz w:val="21"/>
                <w:szCs w:val="21"/>
                <w:highlight w:val="none"/>
                <w:u w:val="none"/>
              </w:rPr>
              <w:t>（二）评分依据：</w:t>
            </w:r>
          </w:p>
          <w:p w14:paraId="3DC54E8E">
            <w:pPr>
              <w:keepNext w:val="0"/>
              <w:keepLines w:val="0"/>
              <w:pageBreakBefore w:val="0"/>
              <w:kinsoku/>
              <w:overflowPunct/>
              <w:topLinePunct w:val="0"/>
              <w:bidi w:val="0"/>
              <w:adjustRightInd/>
              <w:snapToGrid/>
              <w:ind w:firstLine="0" w:firstLineChars="0"/>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highlight w:val="none"/>
                <w:u w:val="none"/>
                <w:lang w:val="en-US" w:eastAsia="zh-CN"/>
              </w:rPr>
              <w:t>提供《</w:t>
            </w:r>
            <w:r>
              <w:rPr>
                <w:rFonts w:hint="eastAsia" w:asciiTheme="minorEastAsia" w:hAnsiTheme="minorEastAsia" w:eastAsiaTheme="minorEastAsia" w:cstheme="minorEastAsia"/>
                <w:color w:val="auto"/>
                <w:kern w:val="2"/>
                <w:sz w:val="21"/>
                <w:szCs w:val="21"/>
                <w:highlight w:val="none"/>
                <w:u w:val="none"/>
                <w:lang w:val="en-US" w:eastAsia="zh-CN" w:bidi="ar-SA"/>
              </w:rPr>
              <w:t>售后服务响应表</w:t>
            </w:r>
            <w:r>
              <w:rPr>
                <w:rFonts w:hint="eastAsia" w:asciiTheme="minorEastAsia" w:hAnsiTheme="minorEastAsia" w:eastAsiaTheme="minorEastAsia" w:cstheme="minorEastAsia"/>
                <w:sz w:val="21"/>
                <w:szCs w:val="21"/>
                <w:highlight w:val="none"/>
                <w:u w:val="none"/>
                <w:lang w:val="en-US" w:eastAsia="zh-CN"/>
              </w:rPr>
              <w:t>》，并按照招标文件的要求提供相关证明资料（如有）。投标人未提供相关证明材料或者提供的证明材料不符合要求的或提供的证明材料不清晰评审专家无法辨认的，该项参数按照负偏离处理，扣除相应分值。</w:t>
            </w:r>
          </w:p>
        </w:tc>
      </w:tr>
      <w:tr w14:paraId="7D8E2BC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gridAfter w:val="1"/>
          <w:wBefore w:w="136" w:type="dxa"/>
          <w:wAfter w:w="67" w:type="dxa"/>
          <w:tblCellSpacing w:w="0" w:type="dxa"/>
          <w:jc w:val="center"/>
        </w:trPr>
        <w:tc>
          <w:tcPr>
            <w:tcW w:w="62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A0B504D">
            <w:pPr>
              <w:keepNext w:val="0"/>
              <w:keepLines w:val="0"/>
              <w:pageBreakBefore w:val="0"/>
              <w:widowControl/>
              <w:kinsoku/>
              <w:wordWrap w:val="0"/>
              <w:overflowPunct/>
              <w:topLinePunct w:val="0"/>
              <w:bidi w:val="0"/>
              <w:adjustRightInd/>
              <w:snapToGrid/>
              <w:ind w:firstLine="0" w:firstLineChars="0"/>
              <w:jc w:val="center"/>
              <w:textAlignment w:val="auto"/>
              <w:rPr>
                <w:rFonts w:hint="eastAsia" w:asciiTheme="minorEastAsia" w:hAnsiTheme="minorEastAsia" w:eastAsiaTheme="minorEastAsia" w:cstheme="minorEastAsia"/>
                <w:b/>
                <w:bCs/>
                <w:color w:val="0000FF"/>
                <w:sz w:val="21"/>
                <w:szCs w:val="21"/>
                <w:lang w:eastAsia="zh-CN"/>
              </w:rPr>
            </w:pPr>
            <w:r>
              <w:rPr>
                <w:rFonts w:hint="eastAsia" w:asciiTheme="minorEastAsia" w:hAnsiTheme="minorEastAsia" w:eastAsiaTheme="minorEastAsia" w:cstheme="minorEastAsia"/>
                <w:b/>
                <w:bCs/>
                <w:color w:val="0000FF"/>
                <w:kern w:val="0"/>
                <w:sz w:val="21"/>
                <w:szCs w:val="21"/>
                <w:lang w:val="en-US" w:eastAsia="zh-CN"/>
              </w:rPr>
              <w:t>4</w:t>
            </w:r>
          </w:p>
        </w:tc>
        <w:tc>
          <w:tcPr>
            <w:tcW w:w="3844"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67328A51">
            <w:pPr>
              <w:keepNext w:val="0"/>
              <w:keepLines w:val="0"/>
              <w:pageBreakBefore w:val="0"/>
              <w:widowControl/>
              <w:kinsoku/>
              <w:wordWrap w:val="0"/>
              <w:overflowPunct/>
              <w:topLinePunct w:val="0"/>
              <w:bidi w:val="0"/>
              <w:adjustRightInd/>
              <w:snapToGrid/>
              <w:ind w:firstLine="0" w:firstLineChars="0"/>
              <w:jc w:val="center"/>
              <w:textAlignment w:val="auto"/>
              <w:rPr>
                <w:rFonts w:hint="eastAsia" w:asciiTheme="minorEastAsia" w:hAnsiTheme="minorEastAsia" w:eastAsiaTheme="minorEastAsia" w:cstheme="minorEastAsia"/>
                <w:b/>
                <w:bCs/>
                <w:color w:val="0000FF"/>
                <w:sz w:val="21"/>
                <w:szCs w:val="21"/>
              </w:rPr>
            </w:pPr>
            <w:r>
              <w:rPr>
                <w:rFonts w:hint="eastAsia" w:asciiTheme="minorEastAsia" w:hAnsiTheme="minorEastAsia" w:eastAsiaTheme="minorEastAsia" w:cstheme="minorEastAsia"/>
                <w:b/>
                <w:bCs/>
                <w:color w:val="0000FF"/>
                <w:kern w:val="0"/>
                <w:sz w:val="21"/>
                <w:szCs w:val="21"/>
              </w:rPr>
              <w:t>诚信情况</w:t>
            </w:r>
          </w:p>
        </w:tc>
        <w:tc>
          <w:tcPr>
            <w:tcW w:w="40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63C1D7">
            <w:pPr>
              <w:keepNext w:val="0"/>
              <w:keepLines w:val="0"/>
              <w:pageBreakBefore w:val="0"/>
              <w:widowControl/>
              <w:kinsoku/>
              <w:wordWrap w:val="0"/>
              <w:overflowPunct/>
              <w:topLinePunct w:val="0"/>
              <w:bidi w:val="0"/>
              <w:adjustRightInd/>
              <w:snapToGrid/>
              <w:ind w:firstLine="0" w:firstLineChars="0"/>
              <w:jc w:val="center"/>
              <w:textAlignment w:val="auto"/>
              <w:rPr>
                <w:rFonts w:hint="eastAsia" w:asciiTheme="minorEastAsia" w:hAnsiTheme="minorEastAsia" w:eastAsiaTheme="minorEastAsia" w:cstheme="minorEastAsia"/>
                <w:b/>
                <w:bCs/>
                <w:color w:val="0000FF"/>
                <w:sz w:val="21"/>
                <w:szCs w:val="21"/>
                <w:lang w:val="en-US" w:eastAsia="zh-CN"/>
              </w:rPr>
            </w:pPr>
            <w:r>
              <w:rPr>
                <w:rFonts w:hint="eastAsia" w:asciiTheme="minorEastAsia" w:hAnsiTheme="minorEastAsia" w:eastAsiaTheme="minorEastAsia" w:cstheme="minorEastAsia"/>
                <w:b/>
                <w:bCs/>
                <w:color w:val="0000FF"/>
                <w:sz w:val="21"/>
                <w:szCs w:val="21"/>
                <w:lang w:val="en-US" w:eastAsia="zh-CN"/>
              </w:rPr>
              <w:t>5</w:t>
            </w:r>
          </w:p>
        </w:tc>
      </w:tr>
      <w:tr w14:paraId="4DAF8A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gridAfter w:val="1"/>
          <w:wBefore w:w="136" w:type="dxa"/>
          <w:wAfter w:w="67" w:type="dxa"/>
          <w:tblCellSpacing w:w="0" w:type="dxa"/>
          <w:jc w:val="center"/>
        </w:trPr>
        <w:tc>
          <w:tcPr>
            <w:tcW w:w="625" w:type="dxa"/>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14:paraId="68166BF2">
            <w:pPr>
              <w:keepNext w:val="0"/>
              <w:keepLines w:val="0"/>
              <w:pageBreakBefore w:val="0"/>
              <w:kinsoku/>
              <w:overflowPunct/>
              <w:topLinePunct w:val="0"/>
              <w:bidi w:val="0"/>
              <w:adjustRightInd/>
              <w:snapToGrid/>
              <w:ind w:firstLine="0" w:firstLineChars="0"/>
              <w:jc w:val="center"/>
              <w:textAlignment w:val="auto"/>
              <w:rPr>
                <w:rFonts w:hint="eastAsia" w:asciiTheme="minorEastAsia" w:hAnsiTheme="minorEastAsia" w:eastAsiaTheme="minorEastAsia" w:cstheme="minorEastAsia"/>
                <w:b/>
                <w:bCs/>
                <w:color w:val="0000FF"/>
                <w:sz w:val="21"/>
                <w:szCs w:val="21"/>
              </w:rPr>
            </w:pPr>
          </w:p>
        </w:tc>
        <w:tc>
          <w:tcPr>
            <w:tcW w:w="627"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6B5EE1BB">
            <w:pPr>
              <w:keepNext w:val="0"/>
              <w:keepLines w:val="0"/>
              <w:pageBreakBefore w:val="0"/>
              <w:widowControl/>
              <w:kinsoku/>
              <w:wordWrap w:val="0"/>
              <w:overflowPunct/>
              <w:topLinePunct w:val="0"/>
              <w:bidi w:val="0"/>
              <w:adjustRightInd/>
              <w:snapToGrid/>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序号</w:t>
            </w:r>
          </w:p>
        </w:tc>
        <w:tc>
          <w:tcPr>
            <w:tcW w:w="2400"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48F630D4">
            <w:pPr>
              <w:keepNext w:val="0"/>
              <w:keepLines w:val="0"/>
              <w:pageBreakBefore w:val="0"/>
              <w:widowControl/>
              <w:kinsoku/>
              <w:wordWrap w:val="0"/>
              <w:overflowPunct/>
              <w:topLinePunct w:val="0"/>
              <w:bidi w:val="0"/>
              <w:adjustRightInd/>
              <w:snapToGrid/>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评分因素</w:t>
            </w:r>
          </w:p>
        </w:tc>
        <w:tc>
          <w:tcPr>
            <w:tcW w:w="817"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01D750AE">
            <w:pPr>
              <w:keepNext w:val="0"/>
              <w:keepLines w:val="0"/>
              <w:pageBreakBefore w:val="0"/>
              <w:widowControl/>
              <w:kinsoku/>
              <w:wordWrap w:val="0"/>
              <w:overflowPunct/>
              <w:topLinePunct w:val="0"/>
              <w:bidi w:val="0"/>
              <w:adjustRightInd/>
              <w:snapToGrid/>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权重(%)</w:t>
            </w:r>
          </w:p>
        </w:tc>
        <w:tc>
          <w:tcPr>
            <w:tcW w:w="4043"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1949BA20">
            <w:pPr>
              <w:keepNext w:val="0"/>
              <w:keepLines w:val="0"/>
              <w:pageBreakBefore w:val="0"/>
              <w:widowControl/>
              <w:kinsoku/>
              <w:wordWrap w:val="0"/>
              <w:overflowPunct/>
              <w:topLinePunct w:val="0"/>
              <w:bidi w:val="0"/>
              <w:adjustRightInd/>
              <w:snapToGrid/>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评分准则</w:t>
            </w:r>
          </w:p>
        </w:tc>
      </w:tr>
      <w:tr w14:paraId="5A5324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gridAfter w:val="1"/>
          <w:wBefore w:w="136" w:type="dxa"/>
          <w:wAfter w:w="67" w:type="dxa"/>
          <w:tblCellSpacing w:w="0" w:type="dxa"/>
          <w:jc w:val="center"/>
        </w:trPr>
        <w:tc>
          <w:tcPr>
            <w:tcW w:w="6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8EF607D">
            <w:pPr>
              <w:keepNext w:val="0"/>
              <w:keepLines w:val="0"/>
              <w:pageBreakBefore w:val="0"/>
              <w:kinsoku/>
              <w:overflowPunct/>
              <w:topLinePunct w:val="0"/>
              <w:bidi w:val="0"/>
              <w:adjustRightInd/>
              <w:snapToGrid/>
              <w:ind w:firstLine="0" w:firstLineChars="0"/>
              <w:jc w:val="center"/>
              <w:textAlignment w:val="auto"/>
              <w:rPr>
                <w:rFonts w:hint="eastAsia" w:asciiTheme="minorEastAsia" w:hAnsiTheme="minorEastAsia" w:eastAsiaTheme="minorEastAsia" w:cstheme="minorEastAsia"/>
                <w:b/>
                <w:bCs/>
                <w:color w:val="0000FF"/>
                <w:sz w:val="21"/>
                <w:szCs w:val="21"/>
              </w:rPr>
            </w:pPr>
          </w:p>
        </w:tc>
        <w:tc>
          <w:tcPr>
            <w:tcW w:w="62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DA4671">
            <w:pPr>
              <w:keepNext w:val="0"/>
              <w:keepLines w:val="0"/>
              <w:pageBreakBefore w:val="0"/>
              <w:widowControl/>
              <w:kinsoku/>
              <w:wordWrap w:val="0"/>
              <w:overflowPunct/>
              <w:topLinePunct w:val="0"/>
              <w:bidi w:val="0"/>
              <w:adjustRightInd/>
              <w:snapToGrid/>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24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00AE3B">
            <w:pPr>
              <w:keepNext w:val="0"/>
              <w:keepLines w:val="0"/>
              <w:pageBreakBefore w:val="0"/>
              <w:widowControl/>
              <w:kinsoku/>
              <w:wordWrap w:val="0"/>
              <w:overflowPunct/>
              <w:topLinePunct w:val="0"/>
              <w:bidi w:val="0"/>
              <w:adjustRightInd/>
              <w:snapToGrid/>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诚信情况</w:t>
            </w:r>
          </w:p>
        </w:tc>
        <w:tc>
          <w:tcPr>
            <w:tcW w:w="8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E92A58">
            <w:pPr>
              <w:keepNext w:val="0"/>
              <w:keepLines w:val="0"/>
              <w:pageBreakBefore w:val="0"/>
              <w:widowControl/>
              <w:kinsoku/>
              <w:wordWrap w:val="0"/>
              <w:overflowPunct/>
              <w:topLinePunct w:val="0"/>
              <w:bidi w:val="0"/>
              <w:adjustRightInd/>
              <w:snapToGrid/>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4043" w:type="dxa"/>
            <w:tcBorders>
              <w:top w:val="single" w:color="000000" w:sz="8" w:space="0"/>
              <w:left w:val="single" w:color="000000" w:sz="8" w:space="0"/>
              <w:bottom w:val="single" w:color="000000" w:sz="8" w:space="0"/>
              <w:right w:val="single" w:color="000000" w:sz="8" w:space="0"/>
            </w:tcBorders>
            <w:shd w:val="clear" w:color="auto" w:fill="auto"/>
          </w:tcPr>
          <w:p w14:paraId="121D0CFE">
            <w:pPr>
              <w:keepNext w:val="0"/>
              <w:keepLines w:val="0"/>
              <w:pageBreakBefore w:val="0"/>
              <w:widowControl/>
              <w:kinsoku/>
              <w:wordWrap w:val="0"/>
              <w:overflowPunct/>
              <w:topLinePunct w:val="0"/>
              <w:bidi w:val="0"/>
              <w:adjustRightInd/>
              <w:snapToGrid/>
              <w:ind w:firstLine="0" w:firstLineChars="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w:t>
            </w:r>
          </w:p>
          <w:p w14:paraId="2C76D063">
            <w:pPr>
              <w:keepNext w:val="0"/>
              <w:keepLines w:val="0"/>
              <w:pageBreakBefore w:val="0"/>
              <w:widowControl/>
              <w:kinsoku/>
              <w:wordWrap w:val="0"/>
              <w:overflowPunct/>
              <w:topLinePunct w:val="0"/>
              <w:bidi w:val="0"/>
              <w:adjustRightInd/>
              <w:snapToGrid/>
              <w:ind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val="0"/>
                <w:bCs w:val="0"/>
                <w:sz w:val="21"/>
                <w:szCs w:val="21"/>
                <w:lang w:val="en-US" w:eastAsia="zh-CN"/>
              </w:rPr>
              <w:t>查询渠道：通过“信用中国”（www.creditchina.gov.cn，下载信用信息报告）、“中国政府采购网”（www.ccgp.gov.cn）以及“深圳市政府采购监管网”（http://zfcg.sz.gov.cn）查询供应商信用信息，信用信息以开标当日的查询结果为准。</w:t>
            </w:r>
          </w:p>
        </w:tc>
      </w:tr>
    </w:tbl>
    <w:p w14:paraId="335FD651">
      <w:pPr>
        <w:sectPr>
          <w:pgSz w:w="11907" w:h="16840"/>
          <w:pgMar w:top="1440" w:right="1418" w:bottom="1440" w:left="1418" w:header="851" w:footer="992" w:gutter="0"/>
          <w:pgBorders>
            <w:top w:val="none" w:sz="0" w:space="0"/>
            <w:left w:val="none" w:sz="0" w:space="0"/>
            <w:bottom w:val="none" w:sz="0" w:space="0"/>
            <w:right w:val="none" w:sz="0" w:space="0"/>
          </w:pgBorders>
          <w:cols w:space="425" w:num="1"/>
          <w:titlePg/>
          <w:docGrid w:linePitch="462" w:charSpace="0"/>
        </w:sectPr>
      </w:pPr>
    </w:p>
    <w:p w14:paraId="0D896056">
      <w:pPr>
        <w:jc w:val="center"/>
        <w:rPr>
          <w:b/>
          <w:sz w:val="84"/>
          <w:szCs w:val="84"/>
        </w:rPr>
      </w:pPr>
    </w:p>
    <w:p w14:paraId="440A8CFA">
      <w:pPr>
        <w:jc w:val="center"/>
        <w:rPr>
          <w:b/>
          <w:sz w:val="84"/>
          <w:szCs w:val="84"/>
        </w:rPr>
      </w:pPr>
    </w:p>
    <w:p w14:paraId="4D14BEDC">
      <w:pPr>
        <w:jc w:val="center"/>
        <w:rPr>
          <w:b/>
          <w:sz w:val="84"/>
          <w:szCs w:val="84"/>
        </w:rPr>
      </w:pPr>
    </w:p>
    <w:p w14:paraId="5DEB29B8">
      <w:pPr>
        <w:jc w:val="center"/>
        <w:rPr>
          <w:rFonts w:ascii="Times New Roman" w:hAnsi="Times New Roman" w:eastAsia="宋体" w:cs="Times New Roman"/>
          <w:b/>
          <w:sz w:val="120"/>
          <w:szCs w:val="120"/>
        </w:rPr>
      </w:pPr>
    </w:p>
    <w:p w14:paraId="77EB26A4">
      <w:pPr>
        <w:jc w:val="center"/>
        <w:rPr>
          <w:b/>
          <w:sz w:val="120"/>
          <w:szCs w:val="120"/>
        </w:rPr>
      </w:pPr>
      <w:r>
        <w:rPr>
          <w:rFonts w:hint="eastAsia"/>
          <w:b/>
          <w:sz w:val="120"/>
          <w:szCs w:val="120"/>
        </w:rPr>
        <w:t>招标文件</w:t>
      </w:r>
    </w:p>
    <w:p w14:paraId="34E93316">
      <w:pPr>
        <w:jc w:val="center"/>
        <w:rPr>
          <w:b/>
          <w:sz w:val="52"/>
          <w:szCs w:val="52"/>
        </w:rPr>
      </w:pPr>
      <w:r>
        <w:rPr>
          <w:rFonts w:hint="eastAsia"/>
          <w:b/>
          <w:sz w:val="52"/>
          <w:szCs w:val="52"/>
        </w:rPr>
        <w:t>（货物类）</w:t>
      </w:r>
    </w:p>
    <w:p w14:paraId="06740ED1"/>
    <w:p w14:paraId="04661E82"/>
    <w:p w14:paraId="659209A4"/>
    <w:p w14:paraId="055C9E62"/>
    <w:p w14:paraId="27B82E90"/>
    <w:p w14:paraId="716698BF"/>
    <w:p w14:paraId="71C366FE"/>
    <w:p w14:paraId="226951E3"/>
    <w:p w14:paraId="751DB2B8"/>
    <w:p w14:paraId="58FFE5B7"/>
    <w:p w14:paraId="455664F2"/>
    <w:p w14:paraId="679DCE40"/>
    <w:p w14:paraId="31A2819E"/>
    <w:p w14:paraId="7808729F"/>
    <w:p w14:paraId="2C03C853"/>
    <w:p w14:paraId="36C620E1"/>
    <w:p w14:paraId="04633956"/>
    <w:p w14:paraId="7BEC0F1C"/>
    <w:p w14:paraId="737332C3"/>
    <w:p w14:paraId="2D674456">
      <w:pPr>
        <w:jc w:val="center"/>
        <w:rPr>
          <w:b/>
          <w:sz w:val="44"/>
          <w:szCs w:val="44"/>
        </w:rPr>
      </w:pPr>
      <w:bookmarkStart w:id="2" w:name="_Hlk71465316"/>
      <w:r>
        <w:rPr>
          <w:rFonts w:hint="eastAsia"/>
          <w:b/>
          <w:sz w:val="44"/>
          <w:szCs w:val="44"/>
        </w:rPr>
        <w:t>深圳公共资源交易中心</w:t>
      </w:r>
    </w:p>
    <w:p w14:paraId="07661478">
      <w:pPr>
        <w:jc w:val="center"/>
        <w:rPr>
          <w:b/>
          <w:sz w:val="44"/>
          <w:szCs w:val="44"/>
        </w:rPr>
      </w:pPr>
      <w:r>
        <w:rPr>
          <w:rFonts w:hint="eastAsia"/>
          <w:b/>
          <w:sz w:val="44"/>
          <w:szCs w:val="44"/>
        </w:rPr>
        <w:t>（</w:t>
      </w:r>
      <w:r>
        <w:rPr>
          <w:b/>
          <w:sz w:val="44"/>
          <w:szCs w:val="44"/>
        </w:rPr>
        <w:t>20</w:t>
      </w:r>
      <w:r>
        <w:rPr>
          <w:rFonts w:hint="eastAsia"/>
          <w:b/>
          <w:sz w:val="44"/>
          <w:szCs w:val="44"/>
        </w:rPr>
        <w:t>2</w:t>
      </w:r>
      <w:r>
        <w:rPr>
          <w:rFonts w:hint="eastAsia"/>
          <w:b/>
          <w:sz w:val="44"/>
          <w:szCs w:val="44"/>
          <w:lang w:val="en-US" w:eastAsia="zh-CN"/>
        </w:rPr>
        <w:t>5</w:t>
      </w:r>
      <w:r>
        <w:rPr>
          <w:rFonts w:hint="eastAsia"/>
          <w:b/>
          <w:sz w:val="44"/>
          <w:szCs w:val="44"/>
        </w:rPr>
        <w:t>）</w:t>
      </w:r>
    </w:p>
    <w:bookmarkEnd w:id="2"/>
    <w:p w14:paraId="11D316E1">
      <w:pPr>
        <w:widowControl/>
        <w:jc w:val="center"/>
      </w:pPr>
    </w:p>
    <w:p w14:paraId="1A961DEE">
      <w:pPr>
        <w:widowControl/>
        <w:jc w:val="center"/>
      </w:pPr>
      <w:r>
        <w:br w:type="page"/>
      </w:r>
    </w:p>
    <w:p w14:paraId="2DE26C00">
      <w:pPr>
        <w:jc w:val="center"/>
        <w:rPr>
          <w:rFonts w:hint="eastAsia" w:ascii="宋体" w:hAnsi="宋体" w:eastAsia="宋体" w:cs="Times New Roman"/>
          <w:color w:val="FF0000"/>
          <w:szCs w:val="21"/>
        </w:rPr>
      </w:pPr>
      <w:bookmarkStart w:id="3" w:name="_Hlk72218009"/>
      <w:r>
        <w:rPr>
          <w:rFonts w:hint="eastAsia" w:ascii="宋体" w:hAnsi="宋体" w:eastAsia="黑体" w:cs="Times New Roman"/>
          <w:b/>
          <w:bCs/>
          <w:color w:val="FF0000"/>
          <w:kern w:val="44"/>
          <w:sz w:val="28"/>
          <w:szCs w:val="44"/>
        </w:rPr>
        <w:t>警示条款</w:t>
      </w:r>
    </w:p>
    <w:p w14:paraId="346EC0EE">
      <w:pPr>
        <w:ind w:firstLine="400" w:firstLineChars="200"/>
        <w:rPr>
          <w:rFonts w:hint="eastAsia" w:ascii="宋体" w:hAnsi="宋体" w:eastAsia="宋体" w:cs="Times New Roman"/>
          <w:color w:val="FF0000"/>
          <w:sz w:val="20"/>
          <w:szCs w:val="20"/>
        </w:rPr>
      </w:pPr>
    </w:p>
    <w:p w14:paraId="4D5AA0BE">
      <w:pPr>
        <w:ind w:firstLine="400" w:firstLineChars="200"/>
        <w:rPr>
          <w:rFonts w:hint="eastAsia" w:ascii="宋体" w:hAnsi="宋体" w:eastAsia="宋体" w:cs="Times New Roman"/>
          <w:color w:val="FF0000"/>
          <w:sz w:val="20"/>
          <w:szCs w:val="20"/>
          <w:highlight w:val="yellow"/>
        </w:rPr>
      </w:pPr>
      <w:r>
        <w:rPr>
          <w:rFonts w:hint="eastAsia" w:ascii="宋体" w:hAnsi="宋体" w:eastAsia="宋体" w:cs="Times New Roman"/>
          <w:color w:val="FF0000"/>
          <w:sz w:val="20"/>
          <w:szCs w:val="20"/>
          <w:highlight w:val="yellow"/>
        </w:rPr>
        <w:t>本项目参照《深圳经济特区政府采购条例》、《深圳经济特区政府采购条例实施细则》及政府采购其他法律法规，按照采购人内控制度，通过公开招标方式确定中标供应商。</w:t>
      </w:r>
    </w:p>
    <w:p w14:paraId="0318B08C">
      <w:pPr>
        <w:ind w:firstLine="400" w:firstLineChars="200"/>
        <w:rPr>
          <w:rFonts w:hint="eastAsia" w:ascii="宋体" w:hAnsi="宋体" w:eastAsia="宋体" w:cs="Times New Roman"/>
          <w:color w:val="FF0000"/>
          <w:sz w:val="20"/>
          <w:szCs w:val="20"/>
        </w:rPr>
      </w:pPr>
      <w:r>
        <w:rPr>
          <w:rFonts w:hint="eastAsia" w:ascii="宋体" w:hAnsi="宋体" w:eastAsia="宋体" w:cs="Times New Roman"/>
          <w:color w:val="FF0000"/>
          <w:sz w:val="20"/>
          <w:szCs w:val="20"/>
        </w:rPr>
        <w:t>一、</w:t>
      </w:r>
      <w:r>
        <w:rPr>
          <w:rFonts w:hint="eastAsia" w:ascii="宋体" w:hAnsi="宋体" w:eastAsia="宋体" w:cs="Times New Roman"/>
          <w:b/>
          <w:bCs/>
          <w:color w:val="FF0000"/>
          <w:sz w:val="20"/>
          <w:szCs w:val="20"/>
        </w:rPr>
        <w:t>《深圳经济特区政府采购条例》第五十七条</w:t>
      </w:r>
      <w:r>
        <w:rPr>
          <w:rFonts w:hint="eastAsia" w:ascii="宋体" w:hAnsi="宋体" w:eastAsia="宋体" w:cs="Times New Roman"/>
          <w:color w:val="FF0000"/>
          <w:sz w:val="20"/>
          <w:szCs w:val="20"/>
        </w:rPr>
        <w:t xml:space="preserve"> 供应商在政府采购中，有下列行为之一的，一至三年内禁止其参与本市政府采购，并由主管部门记入供应商诚信档案，处采购金额千分之十以上千分之二十以下罚款；情节严重的，取消其参与本市政府采购资格，处采购金额千分之二十以上千分之三十以下罚款，并由市场监管部门依法吊销其营业执照；给他人造成损失的，依法承担赔偿责任；构成犯罪的，依法追究刑事责任：</w:t>
      </w:r>
    </w:p>
    <w:p w14:paraId="532E2F96">
      <w:pPr>
        <w:ind w:firstLine="400" w:firstLineChars="200"/>
        <w:rPr>
          <w:rFonts w:hint="eastAsia" w:ascii="宋体" w:hAnsi="宋体" w:eastAsia="宋体" w:cs="Times New Roman"/>
          <w:color w:val="FF0000"/>
          <w:sz w:val="20"/>
          <w:szCs w:val="20"/>
        </w:rPr>
      </w:pPr>
      <w:r>
        <w:rPr>
          <w:rFonts w:hint="eastAsia" w:ascii="宋体" w:hAnsi="宋体" w:eastAsia="宋体" w:cs="Times New Roman"/>
          <w:color w:val="FF0000"/>
          <w:sz w:val="20"/>
          <w:szCs w:val="20"/>
        </w:rPr>
        <w:t>（一）在采购活动中应当回避而未回避的；</w:t>
      </w:r>
    </w:p>
    <w:p w14:paraId="0252F3DF">
      <w:pPr>
        <w:ind w:firstLine="400" w:firstLineChars="200"/>
        <w:rPr>
          <w:rFonts w:hint="eastAsia" w:ascii="宋体" w:hAnsi="宋体" w:eastAsia="宋体" w:cs="Times New Roman"/>
          <w:color w:val="FF0000"/>
          <w:sz w:val="20"/>
          <w:szCs w:val="20"/>
        </w:rPr>
      </w:pPr>
      <w:r>
        <w:rPr>
          <w:rFonts w:hint="eastAsia" w:ascii="宋体" w:hAnsi="宋体" w:eastAsia="宋体" w:cs="Times New Roman"/>
          <w:color w:val="FF0000"/>
          <w:sz w:val="20"/>
          <w:szCs w:val="20"/>
        </w:rPr>
        <w:t>（二）未按本条例规定签订、履行采购合同，造成严重后果的；</w:t>
      </w:r>
    </w:p>
    <w:p w14:paraId="6D9D1A4D">
      <w:pPr>
        <w:ind w:firstLine="400" w:firstLineChars="200"/>
        <w:rPr>
          <w:rFonts w:hint="eastAsia" w:ascii="宋体" w:hAnsi="宋体" w:eastAsia="宋体" w:cs="Times New Roman"/>
          <w:color w:val="FF0000"/>
          <w:sz w:val="20"/>
          <w:szCs w:val="20"/>
        </w:rPr>
      </w:pPr>
      <w:r>
        <w:rPr>
          <w:rFonts w:hint="eastAsia" w:ascii="宋体" w:hAnsi="宋体" w:eastAsia="宋体" w:cs="Times New Roman"/>
          <w:color w:val="FF0000"/>
          <w:sz w:val="20"/>
          <w:szCs w:val="20"/>
        </w:rPr>
        <w:t>（三）隐瞒真实情况，提供虚假资料的；</w:t>
      </w:r>
    </w:p>
    <w:p w14:paraId="02EAEA7D">
      <w:pPr>
        <w:ind w:firstLine="400" w:firstLineChars="200"/>
        <w:rPr>
          <w:rFonts w:hint="eastAsia" w:ascii="宋体" w:hAnsi="宋体" w:eastAsia="宋体" w:cs="Times New Roman"/>
          <w:color w:val="FF0000"/>
          <w:sz w:val="20"/>
          <w:szCs w:val="20"/>
        </w:rPr>
      </w:pPr>
      <w:r>
        <w:rPr>
          <w:rFonts w:hint="eastAsia" w:ascii="宋体" w:hAnsi="宋体" w:eastAsia="宋体" w:cs="Times New Roman"/>
          <w:color w:val="FF0000"/>
          <w:sz w:val="20"/>
          <w:szCs w:val="20"/>
        </w:rPr>
        <w:t>（四）以非法手段排斥其他供应商参与竞争的；</w:t>
      </w:r>
    </w:p>
    <w:p w14:paraId="2F75A854">
      <w:pPr>
        <w:ind w:firstLine="400" w:firstLineChars="200"/>
        <w:rPr>
          <w:rFonts w:hint="eastAsia" w:ascii="宋体" w:hAnsi="宋体" w:eastAsia="宋体" w:cs="Times New Roman"/>
          <w:color w:val="FF0000"/>
          <w:sz w:val="20"/>
          <w:szCs w:val="20"/>
        </w:rPr>
      </w:pPr>
      <w:r>
        <w:rPr>
          <w:rFonts w:hint="eastAsia" w:ascii="宋体" w:hAnsi="宋体" w:eastAsia="宋体" w:cs="Times New Roman"/>
          <w:color w:val="FF0000"/>
          <w:sz w:val="20"/>
          <w:szCs w:val="20"/>
        </w:rPr>
        <w:t>（五）与其他采购参加人串通投标的；</w:t>
      </w:r>
    </w:p>
    <w:p w14:paraId="475B544F">
      <w:pPr>
        <w:ind w:firstLine="400" w:firstLineChars="200"/>
        <w:rPr>
          <w:rFonts w:hint="eastAsia" w:ascii="宋体" w:hAnsi="宋体" w:eastAsia="宋体" w:cs="Times New Roman"/>
          <w:color w:val="FF0000"/>
          <w:sz w:val="20"/>
          <w:szCs w:val="20"/>
        </w:rPr>
      </w:pPr>
      <w:r>
        <w:rPr>
          <w:rFonts w:hint="eastAsia" w:ascii="宋体" w:hAnsi="宋体" w:eastAsia="宋体" w:cs="Times New Roman"/>
          <w:color w:val="FF0000"/>
          <w:sz w:val="20"/>
          <w:szCs w:val="20"/>
        </w:rPr>
        <w:t>（六）恶意投诉的；</w:t>
      </w:r>
    </w:p>
    <w:p w14:paraId="4F12943C">
      <w:pPr>
        <w:ind w:firstLine="400" w:firstLineChars="200"/>
        <w:rPr>
          <w:rFonts w:hint="eastAsia" w:ascii="宋体" w:hAnsi="宋体" w:eastAsia="宋体" w:cs="Times New Roman"/>
          <w:color w:val="FF0000"/>
          <w:sz w:val="20"/>
          <w:szCs w:val="20"/>
        </w:rPr>
      </w:pPr>
      <w:r>
        <w:rPr>
          <w:rFonts w:hint="eastAsia" w:ascii="宋体" w:hAnsi="宋体" w:eastAsia="宋体" w:cs="Times New Roman"/>
          <w:color w:val="FF0000"/>
          <w:sz w:val="20"/>
          <w:szCs w:val="20"/>
        </w:rPr>
        <w:t>（七）向采购项目相关人行贿或者提供其他不当利益的；</w:t>
      </w:r>
    </w:p>
    <w:p w14:paraId="3074A289">
      <w:pPr>
        <w:ind w:firstLine="400" w:firstLineChars="200"/>
        <w:rPr>
          <w:rFonts w:hint="eastAsia" w:ascii="宋体" w:hAnsi="宋体" w:eastAsia="宋体" w:cs="Times New Roman"/>
          <w:color w:val="FF0000"/>
          <w:sz w:val="20"/>
          <w:szCs w:val="20"/>
        </w:rPr>
      </w:pPr>
      <w:r>
        <w:rPr>
          <w:rFonts w:hint="eastAsia" w:ascii="宋体" w:hAnsi="宋体" w:eastAsia="宋体" w:cs="Times New Roman"/>
          <w:color w:val="FF0000"/>
          <w:sz w:val="20"/>
          <w:szCs w:val="20"/>
        </w:rPr>
        <w:t>（八）阻碍、抗拒主管部门监督检查的；</w:t>
      </w:r>
    </w:p>
    <w:p w14:paraId="01B5DE11">
      <w:pPr>
        <w:ind w:firstLine="400" w:firstLineChars="200"/>
        <w:rPr>
          <w:rFonts w:hint="eastAsia" w:ascii="宋体" w:hAnsi="宋体" w:eastAsia="宋体" w:cs="Times New Roman"/>
          <w:color w:val="FF0000"/>
          <w:sz w:val="20"/>
          <w:szCs w:val="20"/>
        </w:rPr>
      </w:pPr>
      <w:r>
        <w:rPr>
          <w:rFonts w:hint="eastAsia" w:ascii="宋体" w:hAnsi="宋体" w:eastAsia="宋体" w:cs="Times New Roman"/>
          <w:color w:val="FF0000"/>
          <w:sz w:val="20"/>
          <w:szCs w:val="20"/>
        </w:rPr>
        <w:t>（九）其他违反本条例规定的行为。</w:t>
      </w:r>
    </w:p>
    <w:p w14:paraId="36B737A2">
      <w:pPr>
        <w:ind w:firstLine="402" w:firstLineChars="200"/>
        <w:rPr>
          <w:rFonts w:hint="eastAsia" w:ascii="宋体" w:hAnsi="宋体" w:eastAsia="宋体" w:cs="Times New Roman"/>
          <w:color w:val="FF0000"/>
          <w:sz w:val="20"/>
          <w:szCs w:val="20"/>
        </w:rPr>
      </w:pPr>
      <w:r>
        <w:rPr>
          <w:rFonts w:hint="eastAsia" w:ascii="宋体" w:hAnsi="宋体" w:eastAsia="宋体" w:cs="Times New Roman"/>
          <w:b/>
          <w:bCs/>
          <w:color w:val="FF0000"/>
          <w:sz w:val="20"/>
          <w:szCs w:val="20"/>
        </w:rPr>
        <w:t>二、《深圳经济特区政府采购条例实施细则》第七十五条 </w:t>
      </w:r>
      <w:r>
        <w:rPr>
          <w:rFonts w:hint="eastAsia" w:ascii="宋体" w:hAnsi="宋体" w:eastAsia="宋体" w:cs="Times New Roman"/>
          <w:color w:val="FF0000"/>
          <w:sz w:val="20"/>
          <w:szCs w:val="20"/>
        </w:rPr>
        <w:t>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14:paraId="3B68C5D9">
      <w:pPr>
        <w:ind w:firstLine="402" w:firstLineChars="200"/>
        <w:rPr>
          <w:rFonts w:hint="eastAsia" w:ascii="宋体" w:hAnsi="宋体" w:eastAsia="宋体" w:cs="Times New Roman"/>
          <w:color w:val="FF0000"/>
          <w:sz w:val="20"/>
          <w:szCs w:val="20"/>
        </w:rPr>
      </w:pPr>
      <w:r>
        <w:rPr>
          <w:rFonts w:hint="eastAsia" w:ascii="宋体" w:hAnsi="宋体" w:eastAsia="宋体" w:cs="Times New Roman"/>
          <w:b/>
          <w:bCs/>
          <w:color w:val="FF0000"/>
          <w:sz w:val="20"/>
          <w:szCs w:val="20"/>
        </w:rPr>
        <w:t>三、《深圳经济特区政府采购条例实施细则》第七十七条 </w:t>
      </w:r>
      <w:r>
        <w:rPr>
          <w:rFonts w:hint="eastAsia" w:ascii="宋体" w:hAnsi="宋体" w:eastAsia="宋体" w:cs="Times New Roman"/>
          <w:color w:val="FF0000"/>
          <w:sz w:val="20"/>
          <w:szCs w:val="20"/>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5BD6708C">
      <w:pPr>
        <w:ind w:firstLine="400" w:firstLineChars="200"/>
        <w:rPr>
          <w:rFonts w:hint="eastAsia" w:ascii="宋体" w:hAnsi="宋体" w:eastAsia="宋体" w:cs="Times New Roman"/>
          <w:color w:val="FF0000"/>
          <w:sz w:val="20"/>
          <w:szCs w:val="20"/>
        </w:rPr>
      </w:pPr>
      <w:r>
        <w:rPr>
          <w:rFonts w:hint="eastAsia" w:ascii="宋体" w:hAnsi="宋体" w:eastAsia="宋体" w:cs="Times New Roman"/>
          <w:color w:val="FF0000"/>
          <w:sz w:val="20"/>
          <w:szCs w:val="20"/>
        </w:rPr>
        <w:t>投标供应商不能提供项目负责人或者主要技术人员的劳动合同、社会保险等劳动关系证明材料的，视为存在前款第（三）项规定的情形。</w:t>
      </w:r>
    </w:p>
    <w:p w14:paraId="4DF0C2A8">
      <w:pPr>
        <w:ind w:firstLine="422" w:firstLineChars="200"/>
        <w:rPr>
          <w:rFonts w:hint="eastAsia" w:ascii="Times New Roman" w:hAnsi="Times New Roman" w:eastAsia="宋体" w:cs="Times New Roman"/>
          <w:b/>
          <w:color w:val="FF0000"/>
        </w:rPr>
      </w:pPr>
      <w:r>
        <w:rPr>
          <w:rFonts w:hint="eastAsia" w:ascii="Times New Roman" w:hAnsi="Times New Roman" w:eastAsia="宋体" w:cs="Times New Roman"/>
          <w:b/>
          <w:color w:val="FF0000"/>
        </w:rPr>
        <w:t>四、请投标供应商阅读《采购违法行为风险知悉确认书》（内容详见“第四章 投标文件组成要求及格式”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14:paraId="6D942676">
      <w:pPr>
        <w:ind w:firstLine="400" w:firstLineChars="200"/>
        <w:rPr>
          <w:rFonts w:ascii="宋体" w:hAnsi="宋体" w:eastAsia="宋体" w:cs="Times New Roman"/>
          <w:color w:val="FF0000"/>
          <w:sz w:val="20"/>
          <w:szCs w:val="20"/>
        </w:rPr>
      </w:pPr>
      <w:r>
        <w:rPr>
          <w:rFonts w:hint="eastAsia" w:ascii="宋体" w:hAnsi="宋体" w:eastAsia="宋体" w:cs="Times New Roman"/>
          <w:color w:val="FF0000"/>
          <w:sz w:val="20"/>
          <w:szCs w:val="20"/>
        </w:rPr>
        <w:t>五、</w:t>
      </w:r>
      <w:r>
        <w:rPr>
          <w:rFonts w:ascii="宋体" w:hAnsi="宋体" w:eastAsia="宋体" w:cs="Times New Roman"/>
          <w:color w:val="FF0000"/>
          <w:sz w:val="20"/>
          <w:szCs w:val="20"/>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电子秘钥。</w:t>
      </w:r>
    </w:p>
    <w:p w14:paraId="2F9F8C4B">
      <w:pPr>
        <w:rPr>
          <w:rFonts w:ascii="宋体" w:hAnsi="宋体" w:eastAsia="宋体" w:cs="Times New Roman"/>
          <w:color w:val="FF0000"/>
          <w:sz w:val="20"/>
          <w:szCs w:val="20"/>
        </w:rPr>
      </w:pPr>
      <w:r>
        <w:rPr>
          <w:rFonts w:ascii="宋体" w:hAnsi="宋体" w:eastAsia="宋体" w:cs="Times New Roman"/>
          <w:color w:val="FF0000"/>
          <w:sz w:val="20"/>
          <w:szCs w:val="20"/>
        </w:rPr>
        <w:br w:type="page"/>
      </w:r>
    </w:p>
    <w:p w14:paraId="0DD310D1">
      <w:pPr>
        <w:keepNext w:val="0"/>
        <w:keepLines w:val="0"/>
        <w:pageBreakBefore w:val="0"/>
        <w:widowControl w:val="0"/>
        <w:kinsoku/>
        <w:wordWrap/>
        <w:overflowPunct/>
        <w:topLinePunct w:val="0"/>
        <w:autoSpaceDE/>
        <w:autoSpaceDN/>
        <w:bidi w:val="0"/>
        <w:adjustRightInd/>
        <w:snapToGrid/>
        <w:spacing w:before="464" w:beforeLines="100" w:after="464" w:afterLines="100"/>
        <w:jc w:val="center"/>
        <w:textAlignment w:val="auto"/>
        <w:rPr>
          <w:rFonts w:hint="eastAsia" w:ascii="黑体" w:hAnsi="黑体" w:eastAsia="黑体" w:cs="黑体"/>
          <w:b/>
          <w:bCs/>
          <w:sz w:val="28"/>
          <w:szCs w:val="36"/>
        </w:rPr>
      </w:pPr>
      <w:r>
        <w:rPr>
          <w:rFonts w:hint="eastAsia" w:ascii="黑体" w:hAnsi="黑体" w:eastAsia="黑体" w:cs="黑体"/>
          <w:b/>
          <w:bCs/>
          <w:sz w:val="28"/>
          <w:szCs w:val="36"/>
        </w:rPr>
        <w:t>目   录</w:t>
      </w:r>
    </w:p>
    <w:p w14:paraId="67746C3C">
      <w:pPr>
        <w:outlineLvl w:val="0"/>
        <w:rPr>
          <w:b/>
          <w:sz w:val="24"/>
        </w:rPr>
      </w:pPr>
      <w:r>
        <w:rPr>
          <w:rFonts w:hint="eastAsia"/>
          <w:b/>
          <w:sz w:val="24"/>
        </w:rPr>
        <w:t xml:space="preserve">第一册  </w:t>
      </w:r>
      <w:r>
        <w:rPr>
          <w:rFonts w:hint="eastAsia"/>
          <w:b/>
          <w:sz w:val="24"/>
          <w:lang w:val="en-US" w:eastAsia="zh-CN"/>
        </w:rPr>
        <w:t xml:space="preserve">  </w:t>
      </w:r>
      <w:r>
        <w:rPr>
          <w:rFonts w:hint="eastAsia"/>
          <w:b/>
          <w:sz w:val="24"/>
        </w:rPr>
        <w:t>专用条款</w:t>
      </w:r>
    </w:p>
    <w:p w14:paraId="0921EE6E">
      <w:pPr>
        <w:ind w:firstLine="960" w:firstLineChars="400"/>
        <w:rPr>
          <w:sz w:val="24"/>
        </w:rPr>
      </w:pPr>
      <w:r>
        <w:rPr>
          <w:rFonts w:hint="eastAsia"/>
          <w:sz w:val="24"/>
        </w:rPr>
        <w:t>关键信息</w:t>
      </w:r>
    </w:p>
    <w:p w14:paraId="2E5A4135">
      <w:pPr>
        <w:ind w:left="630" w:leftChars="300" w:firstLine="630" w:firstLineChars="300"/>
        <w:rPr>
          <w:rFonts w:ascii="宋体" w:hAnsi="宋体"/>
          <w:szCs w:val="21"/>
        </w:rPr>
      </w:pPr>
      <w:r>
        <w:rPr>
          <w:rFonts w:hint="eastAsia" w:ascii="宋体" w:hAnsi="宋体"/>
          <w:szCs w:val="21"/>
        </w:rPr>
        <w:t>第一章  招标公告</w:t>
      </w:r>
    </w:p>
    <w:p w14:paraId="0A69BD2E">
      <w:pPr>
        <w:ind w:left="630" w:leftChars="300" w:firstLine="630" w:firstLineChars="300"/>
        <w:rPr>
          <w:rFonts w:ascii="宋体" w:hAnsi="宋体"/>
          <w:szCs w:val="21"/>
        </w:rPr>
      </w:pPr>
      <w:r>
        <w:rPr>
          <w:rFonts w:hint="eastAsia" w:ascii="宋体" w:hAnsi="宋体"/>
          <w:szCs w:val="21"/>
        </w:rPr>
        <w:t xml:space="preserve">第二章  </w:t>
      </w:r>
      <w:bookmarkStart w:id="4" w:name="_Hlk71994379"/>
      <w:r>
        <w:rPr>
          <w:rFonts w:hint="eastAsia" w:ascii="宋体" w:hAnsi="宋体"/>
          <w:szCs w:val="21"/>
        </w:rPr>
        <w:t>对通用条款的补充内容及其他关键信息</w:t>
      </w:r>
      <w:bookmarkEnd w:id="4"/>
    </w:p>
    <w:p w14:paraId="7CE6B81D">
      <w:pPr>
        <w:ind w:left="630" w:leftChars="300" w:firstLine="630" w:firstLineChars="300"/>
        <w:rPr>
          <w:rFonts w:ascii="宋体" w:hAnsi="宋体"/>
          <w:szCs w:val="21"/>
        </w:rPr>
      </w:pPr>
      <w:r>
        <w:rPr>
          <w:rFonts w:hint="eastAsia" w:ascii="宋体" w:hAnsi="宋体"/>
          <w:szCs w:val="21"/>
        </w:rPr>
        <w:t xml:space="preserve">第三章 </w:t>
      </w:r>
      <w:r>
        <w:rPr>
          <w:rFonts w:ascii="宋体" w:hAnsi="宋体"/>
          <w:szCs w:val="21"/>
        </w:rPr>
        <w:t xml:space="preserve"> </w:t>
      </w:r>
      <w:r>
        <w:rPr>
          <w:rFonts w:hint="eastAsia" w:ascii="宋体" w:hAnsi="宋体"/>
          <w:szCs w:val="21"/>
        </w:rPr>
        <w:t>用户需求书</w:t>
      </w:r>
    </w:p>
    <w:p w14:paraId="4E5B6EC2">
      <w:pPr>
        <w:ind w:left="630" w:leftChars="300" w:firstLine="630" w:firstLineChars="300"/>
        <w:rPr>
          <w:rFonts w:ascii="宋体" w:hAnsi="宋体"/>
          <w:szCs w:val="21"/>
        </w:rPr>
      </w:pPr>
      <w:r>
        <w:rPr>
          <w:rFonts w:hint="eastAsia" w:ascii="宋体" w:hAnsi="宋体"/>
          <w:szCs w:val="21"/>
        </w:rPr>
        <w:t xml:space="preserve">第四章 </w:t>
      </w:r>
      <w:r>
        <w:rPr>
          <w:rFonts w:ascii="宋体" w:hAnsi="宋体"/>
          <w:szCs w:val="21"/>
        </w:rPr>
        <w:t xml:space="preserve"> </w:t>
      </w:r>
      <w:r>
        <w:rPr>
          <w:rFonts w:hint="eastAsia" w:ascii="宋体" w:hAnsi="宋体"/>
          <w:szCs w:val="21"/>
        </w:rPr>
        <w:t>投标文件组成要求及格式</w:t>
      </w:r>
    </w:p>
    <w:p w14:paraId="401FC1AD">
      <w:pPr>
        <w:ind w:left="630" w:leftChars="300" w:firstLine="630" w:firstLineChars="300"/>
        <w:rPr>
          <w:rFonts w:ascii="宋体" w:hAnsi="宋体"/>
          <w:szCs w:val="21"/>
        </w:rPr>
      </w:pPr>
      <w:r>
        <w:rPr>
          <w:rFonts w:hint="eastAsia" w:ascii="宋体" w:hAnsi="宋体"/>
          <w:szCs w:val="21"/>
        </w:rPr>
        <w:t>第五章  合同条款及格式</w:t>
      </w:r>
    </w:p>
    <w:p w14:paraId="3A4BF76D">
      <w:pPr>
        <w:rPr>
          <w:b/>
          <w:sz w:val="24"/>
        </w:rPr>
      </w:pPr>
    </w:p>
    <w:p w14:paraId="2B72F195">
      <w:pPr>
        <w:outlineLvl w:val="0"/>
        <w:rPr>
          <w:b/>
          <w:sz w:val="24"/>
        </w:rPr>
      </w:pPr>
      <w:r>
        <w:rPr>
          <w:rFonts w:hint="eastAsia"/>
          <w:b/>
          <w:sz w:val="24"/>
        </w:rPr>
        <w:t>第二册</w:t>
      </w:r>
      <w:r>
        <w:rPr>
          <w:rFonts w:hint="eastAsia"/>
          <w:b/>
          <w:sz w:val="24"/>
          <w:lang w:val="en-US" w:eastAsia="zh-CN"/>
        </w:rPr>
        <w:t xml:space="preserve">  </w:t>
      </w:r>
      <w:r>
        <w:rPr>
          <w:rFonts w:hint="eastAsia"/>
          <w:b/>
          <w:sz w:val="24"/>
        </w:rPr>
        <w:t xml:space="preserve">  通用条款</w:t>
      </w:r>
    </w:p>
    <w:p w14:paraId="5C95498F">
      <w:pPr>
        <w:ind w:left="630" w:leftChars="300" w:firstLine="411" w:firstLineChars="196"/>
        <w:rPr>
          <w:rFonts w:ascii="宋体" w:hAnsi="宋体"/>
          <w:szCs w:val="21"/>
        </w:rPr>
      </w:pPr>
      <w:r>
        <w:rPr>
          <w:rFonts w:hint="eastAsia" w:ascii="宋体" w:hAnsi="宋体"/>
          <w:szCs w:val="21"/>
        </w:rPr>
        <w:t>第一章  总则</w:t>
      </w:r>
    </w:p>
    <w:p w14:paraId="256296FC">
      <w:pPr>
        <w:ind w:left="630" w:leftChars="300" w:firstLine="411" w:firstLineChars="196"/>
        <w:rPr>
          <w:rFonts w:ascii="宋体" w:hAnsi="宋体"/>
          <w:szCs w:val="21"/>
        </w:rPr>
      </w:pPr>
      <w:r>
        <w:rPr>
          <w:rFonts w:hint="eastAsia" w:ascii="宋体" w:hAnsi="宋体"/>
          <w:szCs w:val="21"/>
        </w:rPr>
        <w:t>第二章  招标文件</w:t>
      </w:r>
    </w:p>
    <w:p w14:paraId="23FDFA10">
      <w:pPr>
        <w:ind w:left="630" w:leftChars="300" w:firstLine="411" w:firstLineChars="196"/>
        <w:rPr>
          <w:rFonts w:ascii="宋体" w:hAnsi="宋体"/>
          <w:szCs w:val="21"/>
        </w:rPr>
      </w:pPr>
      <w:r>
        <w:rPr>
          <w:rFonts w:hint="eastAsia" w:ascii="宋体" w:hAnsi="宋体"/>
          <w:szCs w:val="21"/>
        </w:rPr>
        <w:t>第三章  投标文件的编制</w:t>
      </w:r>
    </w:p>
    <w:p w14:paraId="351E2D04">
      <w:pPr>
        <w:ind w:left="630" w:leftChars="300" w:firstLine="411" w:firstLineChars="196"/>
        <w:rPr>
          <w:rFonts w:ascii="宋体" w:hAnsi="宋体"/>
          <w:szCs w:val="21"/>
        </w:rPr>
      </w:pPr>
      <w:r>
        <w:rPr>
          <w:rFonts w:hint="eastAsia" w:ascii="宋体" w:hAnsi="宋体"/>
          <w:szCs w:val="21"/>
        </w:rPr>
        <w:t>第四章  投标文件的递交</w:t>
      </w:r>
    </w:p>
    <w:p w14:paraId="0043E19C">
      <w:pPr>
        <w:ind w:left="630" w:leftChars="300" w:firstLine="411" w:firstLineChars="196"/>
        <w:rPr>
          <w:rFonts w:ascii="宋体" w:hAnsi="宋体"/>
          <w:szCs w:val="21"/>
        </w:rPr>
      </w:pPr>
      <w:r>
        <w:rPr>
          <w:rFonts w:hint="eastAsia" w:ascii="宋体" w:hAnsi="宋体"/>
          <w:szCs w:val="21"/>
        </w:rPr>
        <w:t>第五章  开标</w:t>
      </w:r>
    </w:p>
    <w:p w14:paraId="5712B3AC">
      <w:pPr>
        <w:ind w:left="630" w:leftChars="300" w:firstLine="411" w:firstLineChars="196"/>
        <w:rPr>
          <w:rFonts w:ascii="宋体" w:hAnsi="宋体"/>
          <w:szCs w:val="21"/>
        </w:rPr>
      </w:pPr>
      <w:r>
        <w:rPr>
          <w:rFonts w:hint="eastAsia" w:ascii="宋体" w:hAnsi="宋体"/>
          <w:szCs w:val="21"/>
        </w:rPr>
        <w:t>第六章  评审要求</w:t>
      </w:r>
    </w:p>
    <w:p w14:paraId="61CFEC42">
      <w:pPr>
        <w:ind w:left="630" w:leftChars="300" w:firstLine="411" w:firstLineChars="196"/>
        <w:rPr>
          <w:rFonts w:ascii="宋体" w:hAnsi="宋体"/>
          <w:szCs w:val="21"/>
        </w:rPr>
      </w:pPr>
      <w:r>
        <w:rPr>
          <w:rFonts w:hint="eastAsia" w:ascii="宋体" w:hAnsi="宋体"/>
          <w:szCs w:val="21"/>
        </w:rPr>
        <w:t>第七章  评审程序及评审方法</w:t>
      </w:r>
    </w:p>
    <w:p w14:paraId="04FB3E89">
      <w:pPr>
        <w:ind w:left="630" w:leftChars="300" w:firstLine="411" w:firstLineChars="196"/>
        <w:rPr>
          <w:rFonts w:ascii="宋体" w:hAnsi="宋体"/>
          <w:szCs w:val="21"/>
        </w:rPr>
      </w:pPr>
      <w:r>
        <w:rPr>
          <w:rFonts w:hint="eastAsia" w:ascii="宋体" w:hAnsi="宋体"/>
          <w:szCs w:val="21"/>
        </w:rPr>
        <w:t>第八章  定标及公示</w:t>
      </w:r>
    </w:p>
    <w:p w14:paraId="564A7696">
      <w:pPr>
        <w:ind w:left="630" w:leftChars="300" w:firstLine="411" w:firstLineChars="196"/>
        <w:rPr>
          <w:rFonts w:ascii="宋体" w:hAnsi="宋体"/>
          <w:szCs w:val="21"/>
        </w:rPr>
      </w:pPr>
      <w:r>
        <w:rPr>
          <w:rFonts w:hint="eastAsia" w:ascii="宋体" w:hAnsi="宋体"/>
          <w:szCs w:val="21"/>
        </w:rPr>
        <w:t>第九章  公开招标失败的后续处理</w:t>
      </w:r>
    </w:p>
    <w:p w14:paraId="4F22008C">
      <w:pPr>
        <w:ind w:left="630" w:leftChars="300" w:firstLine="411" w:firstLineChars="196"/>
        <w:rPr>
          <w:rFonts w:ascii="宋体" w:hAnsi="宋体"/>
          <w:szCs w:val="21"/>
        </w:rPr>
      </w:pPr>
      <w:r>
        <w:rPr>
          <w:rFonts w:hint="eastAsia" w:ascii="宋体" w:hAnsi="宋体"/>
          <w:szCs w:val="21"/>
        </w:rPr>
        <w:t>第十章  合同的授予与备案</w:t>
      </w:r>
    </w:p>
    <w:p w14:paraId="6080E1A3">
      <w:pPr>
        <w:ind w:firstLine="1050" w:firstLineChars="500"/>
        <w:rPr>
          <w:rFonts w:hint="eastAsia"/>
        </w:rPr>
      </w:pPr>
      <w:r>
        <w:rPr>
          <w:rFonts w:hint="eastAsia"/>
        </w:rPr>
        <w:t>第十一章  质疑处理</w:t>
      </w:r>
    </w:p>
    <w:p w14:paraId="7F49981F">
      <w:pPr>
        <w:pStyle w:val="18"/>
        <w:rPr>
          <w:rFonts w:hint="eastAsia"/>
        </w:rPr>
      </w:pPr>
    </w:p>
    <w:p w14:paraId="68A06141">
      <w:pPr>
        <w:pStyle w:val="37"/>
        <w:rPr>
          <w:rFonts w:hint="eastAsia"/>
        </w:rPr>
      </w:pPr>
    </w:p>
    <w:p w14:paraId="1AD336F7">
      <w:pPr>
        <w:pStyle w:val="37"/>
        <w:rPr>
          <w:rFonts w:hint="eastAsia"/>
        </w:rPr>
      </w:pPr>
    </w:p>
    <w:p w14:paraId="67A9C05F">
      <w:pPr>
        <w:pStyle w:val="18"/>
        <w:rPr>
          <w:rFonts w:hint="eastAsia"/>
        </w:rPr>
        <w:sectPr>
          <w:pgSz w:w="11907" w:h="16840"/>
          <w:pgMar w:top="1440" w:right="1797" w:bottom="1440" w:left="1797" w:header="851" w:footer="992" w:gutter="0"/>
          <w:pgBorders>
            <w:top w:val="none" w:sz="0" w:space="0"/>
            <w:left w:val="none" w:sz="0" w:space="0"/>
            <w:bottom w:val="none" w:sz="0" w:space="0"/>
            <w:right w:val="none" w:sz="0" w:space="0"/>
          </w:pgBorders>
          <w:cols w:space="425" w:num="1"/>
          <w:titlePg/>
          <w:docGrid w:linePitch="462" w:charSpace="0"/>
        </w:sectPr>
      </w:pPr>
    </w:p>
    <w:bookmarkEnd w:id="3"/>
    <w:p w14:paraId="65953843">
      <w:pPr>
        <w:pStyle w:val="2"/>
        <w:rPr>
          <w:color w:val="FF0000"/>
          <w:sz w:val="24"/>
        </w:rPr>
      </w:pPr>
      <w:bookmarkStart w:id="5" w:name="bt投标人情况介绍"/>
      <w:bookmarkEnd w:id="5"/>
      <w:bookmarkStart w:id="6" w:name="bt合同格式"/>
      <w:bookmarkEnd w:id="6"/>
      <w:bookmarkStart w:id="7" w:name="bt投标报价汇总表"/>
      <w:bookmarkEnd w:id="7"/>
      <w:bookmarkStart w:id="8" w:name="bt开标一览表"/>
      <w:bookmarkEnd w:id="8"/>
      <w:bookmarkStart w:id="9" w:name="bt合同条款及格式"/>
      <w:bookmarkEnd w:id="9"/>
      <w:bookmarkStart w:id="10" w:name="bt其他资料2"/>
      <w:bookmarkEnd w:id="10"/>
      <w:bookmarkStart w:id="11" w:name="bt商务标投标文件格式"/>
      <w:bookmarkEnd w:id="11"/>
      <w:bookmarkStart w:id="12" w:name="bt投标文件签署授权委托书"/>
      <w:bookmarkEnd w:id="12"/>
      <w:bookmarkStart w:id="13" w:name="bt项目管理班子配备情况"/>
      <w:bookmarkEnd w:id="13"/>
      <w:bookmarkStart w:id="14" w:name="合同格式"/>
      <w:bookmarkEnd w:id="14"/>
      <w:bookmarkStart w:id="15" w:name="bt投标函"/>
      <w:bookmarkEnd w:id="15"/>
      <w:bookmarkStart w:id="16" w:name="bt其他资料由投标人自定"/>
      <w:bookmarkEnd w:id="16"/>
      <w:bookmarkStart w:id="17" w:name="bt本工程承诺书"/>
      <w:bookmarkEnd w:id="17"/>
      <w:bookmarkStart w:id="18" w:name="bt说明"/>
      <w:bookmarkEnd w:id="18"/>
      <w:bookmarkStart w:id="19" w:name="bt投标人须知"/>
      <w:bookmarkEnd w:id="19"/>
      <w:bookmarkStart w:id="20" w:name="bt合同条款"/>
      <w:bookmarkEnd w:id="20"/>
      <w:bookmarkStart w:id="21" w:name="bt技术标投标文件格式"/>
      <w:bookmarkEnd w:id="21"/>
      <w:r>
        <w:rPr>
          <w:rFonts w:hint="eastAsia"/>
        </w:rPr>
        <w:t>第一册  专用条款</w:t>
      </w:r>
    </w:p>
    <w:p w14:paraId="1E6BBD90">
      <w:pPr>
        <w:pStyle w:val="5"/>
        <w:rPr>
          <w:sz w:val="28"/>
          <w:szCs w:val="28"/>
        </w:rPr>
      </w:pPr>
      <w:r>
        <w:rPr>
          <w:rFonts w:hint="eastAsia"/>
          <w:sz w:val="28"/>
          <w:szCs w:val="28"/>
        </w:rPr>
        <w:t>第一章  招标公告</w:t>
      </w:r>
    </w:p>
    <w:p w14:paraId="336C2AA2">
      <w:pPr>
        <w:spacing w:line="360" w:lineRule="auto"/>
        <w:rPr>
          <w:rFonts w:ascii="宋体" w:hAnsi="宋体" w:cs="宋体"/>
          <w:b/>
          <w:bCs/>
          <w:kern w:val="0"/>
          <w:szCs w:val="21"/>
        </w:rPr>
      </w:pPr>
      <w:r>
        <w:rPr>
          <w:rFonts w:hint="eastAsia" w:ascii="宋体" w:hAnsi="宋体" w:cs="宋体"/>
          <w:b/>
          <w:bCs/>
          <w:kern w:val="0"/>
          <w:szCs w:val="21"/>
        </w:rPr>
        <w:t>申请人的资格要求：</w:t>
      </w:r>
    </w:p>
    <w:p w14:paraId="10C26B81">
      <w:pPr>
        <w:ind w:firstLine="422" w:firstLineChars="200"/>
        <w:rPr>
          <w:rFonts w:hint="default" w:ascii="宋体" w:hAnsi="宋体" w:cs="宋体"/>
          <w:b/>
          <w:bCs/>
          <w:kern w:val="0"/>
          <w:szCs w:val="21"/>
          <w:lang w:val="en-US" w:eastAsia="zh-CN"/>
        </w:rPr>
      </w:pPr>
      <w:r>
        <w:rPr>
          <w:rFonts w:hint="eastAsia" w:ascii="宋体" w:hAnsi="宋体" w:cs="宋体"/>
          <w:b/>
          <w:bCs/>
          <w:kern w:val="0"/>
          <w:szCs w:val="21"/>
          <w:lang w:val="en-US" w:eastAsia="zh-CN"/>
        </w:rPr>
        <w:t>一、一般资格要求</w:t>
      </w:r>
    </w:p>
    <w:p w14:paraId="714E0BCA">
      <w:pPr>
        <w:ind w:firstLine="420" w:firstLineChars="200"/>
        <w:rPr>
          <w:rFonts w:hint="eastAsia" w:ascii="宋体" w:hAnsi="宋体" w:eastAsia="宋体" w:cs="宋体"/>
          <w:kern w:val="0"/>
          <w:szCs w:val="21"/>
          <w:lang w:eastAsia="zh-CN"/>
        </w:rPr>
      </w:pPr>
      <w:r>
        <w:rPr>
          <w:rFonts w:hint="eastAsia" w:ascii="宋体" w:hAnsi="宋体" w:cs="宋体"/>
          <w:kern w:val="0"/>
          <w:szCs w:val="21"/>
        </w:rPr>
        <w:t>1</w:t>
      </w:r>
      <w:r>
        <w:rPr>
          <w:rFonts w:ascii="宋体" w:hAnsi="宋体" w:cs="宋体"/>
          <w:kern w:val="0"/>
          <w:szCs w:val="21"/>
        </w:rPr>
        <w:t>.</w:t>
      </w:r>
      <w:bookmarkStart w:id="22" w:name="_Hlk72162904"/>
      <w:r>
        <w:rPr>
          <w:rFonts w:hint="eastAsia" w:ascii="宋体" w:hAnsi="宋体" w:cs="宋体"/>
          <w:kern w:val="0"/>
          <w:szCs w:val="21"/>
        </w:rPr>
        <w:t>具有独立承担民事责任的能力（提供</w:t>
      </w:r>
      <w:r>
        <w:rPr>
          <w:rFonts w:hint="eastAsia" w:ascii="宋体" w:hAnsi="宋体" w:cs="宋体"/>
          <w:kern w:val="0"/>
          <w:szCs w:val="21"/>
          <w:lang w:val="en-US" w:eastAsia="zh-CN"/>
        </w:rPr>
        <w:t>有效期内的</w:t>
      </w:r>
      <w:r>
        <w:rPr>
          <w:rFonts w:hint="eastAsia" w:ascii="宋体" w:hAnsi="宋体" w:cs="宋体"/>
          <w:kern w:val="0"/>
          <w:szCs w:val="21"/>
        </w:rPr>
        <w:t>营业执照或事业单位法人证书等证明资料扫描件，原件备查，分支机构参与投标的，须同时提供总公司授权文件且授权书载明其民事责任由总公司承担）</w:t>
      </w:r>
      <w:bookmarkEnd w:id="22"/>
      <w:r>
        <w:rPr>
          <w:rFonts w:hint="eastAsia" w:eastAsia="宋体"/>
          <w:lang w:eastAsia="zh-CN"/>
        </w:rPr>
        <w:t>；</w:t>
      </w:r>
    </w:p>
    <w:p w14:paraId="3D073703">
      <w:pPr>
        <w:ind w:firstLine="420" w:firstLineChars="200"/>
        <w:rPr>
          <w:rFonts w:ascii="宋体" w:hAnsi="宋体" w:cs="宋体"/>
          <w:kern w:val="0"/>
          <w:szCs w:val="21"/>
        </w:rPr>
      </w:pPr>
      <w:r>
        <w:rPr>
          <w:rFonts w:hint="eastAsia" w:ascii="宋体" w:hAnsi="宋体" w:cs="宋体"/>
          <w:color w:val="FF0000"/>
          <w:kern w:val="0"/>
          <w:szCs w:val="21"/>
        </w:rPr>
        <w:t>2.本项目不接受联合体投标，不接受分包，不接受投标人选用进口产品参与投标，详见招标文件“第三章 用户需求书”；</w:t>
      </w:r>
    </w:p>
    <w:p w14:paraId="62B8BA50">
      <w:pPr>
        <w:ind w:firstLine="420" w:firstLineChars="200"/>
        <w:rPr>
          <w:rFonts w:ascii="宋体" w:hAnsi="宋体" w:cs="宋体"/>
          <w:kern w:val="0"/>
          <w:szCs w:val="21"/>
        </w:rPr>
      </w:pP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参与本项目采购活动时不存在被有关部门禁止参与采购活动且在有效期内的情况（由供应商在《采购投标及履约承诺函》中作出声明）；</w:t>
      </w:r>
    </w:p>
    <w:p w14:paraId="448F51AE">
      <w:pPr>
        <w:ind w:firstLine="420" w:firstLineChars="200"/>
        <w:rPr>
          <w:rFonts w:ascii="宋体" w:hAnsi="宋体" w:cs="宋体"/>
          <w:kern w:val="0"/>
          <w:szCs w:val="21"/>
        </w:rPr>
      </w:pPr>
      <w:r>
        <w:rPr>
          <w:rFonts w:hint="eastAsia" w:ascii="宋体" w:hAnsi="宋体" w:cs="宋体"/>
          <w:kern w:val="0"/>
          <w:szCs w:val="21"/>
          <w:lang w:val="en-US" w:eastAsia="zh-CN"/>
        </w:rPr>
        <w:t>4</w:t>
      </w:r>
      <w:r>
        <w:rPr>
          <w:rFonts w:ascii="宋体" w:hAnsi="宋体" w:cs="宋体"/>
          <w:kern w:val="0"/>
          <w:szCs w:val="21"/>
        </w:rPr>
        <w:t>.</w:t>
      </w:r>
      <w:r>
        <w:rPr>
          <w:rFonts w:hint="eastAsia" w:ascii="宋体" w:hAnsi="宋体" w:cs="宋体"/>
          <w:kern w:val="0"/>
          <w:szCs w:val="21"/>
        </w:rPr>
        <w:t>具备《中华人民共和国政府采购法》第二十二条第一款的条件（由供应商在《采购投标及履约承诺函》中作出声明）；</w:t>
      </w:r>
    </w:p>
    <w:p w14:paraId="31FE6BD5">
      <w:pPr>
        <w:ind w:firstLine="420" w:firstLineChars="200"/>
        <w:rPr>
          <w:rFonts w:hint="eastAsia" w:ascii="宋体" w:hAnsi="宋体" w:cs="宋体"/>
          <w:kern w:val="0"/>
          <w:szCs w:val="21"/>
          <w:lang w:val="en-US" w:eastAsia="zh-CN"/>
        </w:rPr>
      </w:pPr>
      <w:r>
        <w:rPr>
          <w:rFonts w:hint="eastAsia" w:ascii="宋体" w:hAnsi="宋体" w:cs="宋体"/>
          <w:kern w:val="0"/>
          <w:szCs w:val="21"/>
          <w:lang w:val="en-US" w:eastAsia="zh-CN"/>
        </w:rPr>
        <w:t>5</w:t>
      </w:r>
      <w:r>
        <w:rPr>
          <w:rFonts w:ascii="宋体" w:hAnsi="宋体" w:cs="宋体"/>
          <w:kern w:val="0"/>
          <w:szCs w:val="21"/>
        </w:rPr>
        <w:t>.</w:t>
      </w:r>
      <w:r>
        <w:rPr>
          <w:rFonts w:hint="eastAsia" w:ascii="宋体" w:hAnsi="宋体" w:cs="宋体"/>
          <w:kern w:val="0"/>
          <w:szCs w:val="21"/>
        </w:rPr>
        <w:t>未被列入失信被执行人、重大税收违法案件当事人名单、政府采购严重违法失信行为记录名单（由供应商在《采购投标及履约承诺函》中作出声明）</w:t>
      </w:r>
      <w:r>
        <w:rPr>
          <w:rFonts w:hint="eastAsia" w:ascii="宋体" w:hAnsi="宋体" w:cs="宋体"/>
          <w:kern w:val="0"/>
          <w:szCs w:val="21"/>
          <w:lang w:val="en-US" w:eastAsia="zh-CN"/>
        </w:rPr>
        <w:t>；</w:t>
      </w:r>
    </w:p>
    <w:p w14:paraId="53A50F45">
      <w:pPr>
        <w:ind w:firstLine="420" w:firstLineChars="200"/>
        <w:rPr>
          <w:rFonts w:hint="default" w:ascii="宋体" w:hAnsi="宋体" w:cs="宋体"/>
          <w:color w:val="FF0000"/>
          <w:kern w:val="0"/>
          <w:szCs w:val="21"/>
          <w:lang w:val="en-US" w:eastAsia="zh-CN"/>
        </w:rPr>
      </w:pPr>
      <w:r>
        <w:rPr>
          <w:rFonts w:hint="eastAsia" w:ascii="宋体" w:hAnsi="宋体" w:cs="宋体"/>
          <w:color w:val="FF0000"/>
          <w:kern w:val="0"/>
          <w:szCs w:val="21"/>
          <w:lang w:val="en-US" w:eastAsia="zh-CN"/>
        </w:rPr>
        <w:t>6.不存在《深圳市财政局政府采购供应商信用信息管理办法》（深财规〔2023〕3号）列明的严重违法失信行为</w:t>
      </w:r>
      <w:r>
        <w:rPr>
          <w:rFonts w:hint="eastAsia" w:ascii="宋体" w:hAnsi="宋体" w:cs="宋体"/>
          <w:color w:val="FF0000"/>
          <w:kern w:val="0"/>
          <w:szCs w:val="21"/>
        </w:rPr>
        <w:t>（由供应商在《采购投标及履约承诺函》中作出声明）</w:t>
      </w:r>
      <w:r>
        <w:rPr>
          <w:rFonts w:hint="eastAsia" w:ascii="宋体" w:hAnsi="宋体" w:cs="宋体"/>
          <w:color w:val="FF0000"/>
          <w:kern w:val="0"/>
          <w:szCs w:val="21"/>
          <w:lang w:val="en-US" w:eastAsia="zh-CN"/>
        </w:rPr>
        <w:t>；</w:t>
      </w:r>
    </w:p>
    <w:p w14:paraId="7FA9505B">
      <w:pPr>
        <w:ind w:firstLine="420" w:firstLineChars="200"/>
        <w:rPr>
          <w:rFonts w:hint="eastAsia" w:ascii="宋体" w:hAnsi="宋体" w:cs="宋体"/>
          <w:kern w:val="0"/>
          <w:szCs w:val="21"/>
          <w:lang w:val="en-US" w:eastAsia="zh-CN"/>
        </w:rPr>
      </w:pPr>
      <w:r>
        <w:rPr>
          <w:rFonts w:hint="eastAsia" w:ascii="宋体" w:hAnsi="宋体" w:cs="宋体"/>
          <w:kern w:val="0"/>
          <w:szCs w:val="21"/>
          <w:lang w:val="en-US" w:eastAsia="zh-CN"/>
        </w:rPr>
        <w:t>7</w:t>
      </w:r>
      <w:r>
        <w:rPr>
          <w:rFonts w:hint="eastAsia" w:ascii="宋体" w:hAnsi="宋体" w:cs="宋体"/>
          <w:kern w:val="0"/>
          <w:szCs w:val="21"/>
        </w:rPr>
        <w:t>.为采购项目提供整体设计、规范编制或者项目管理、监理、检测等服务的供应商，不得再参加该采购项目的其他采购活动（由供应商在《采购投标及履约承诺函》中作出声明）</w:t>
      </w:r>
      <w:r>
        <w:rPr>
          <w:rFonts w:hint="eastAsia" w:ascii="宋体" w:hAnsi="宋体" w:cs="宋体"/>
          <w:kern w:val="0"/>
          <w:szCs w:val="21"/>
          <w:lang w:val="en-US" w:eastAsia="zh-CN"/>
        </w:rPr>
        <w:t>；</w:t>
      </w:r>
    </w:p>
    <w:p w14:paraId="19F6BECC">
      <w:pPr>
        <w:pStyle w:val="54"/>
        <w:ind w:firstLine="420" w:firstLineChars="200"/>
        <w:rPr>
          <w:rFonts w:hint="default"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采购活动（由供应商填写《供应商基本情况表》相关信息）</w:t>
      </w:r>
    </w:p>
    <w:p w14:paraId="488005C2">
      <w:pPr>
        <w:ind w:firstLine="420" w:firstLineChars="200"/>
        <w:rPr>
          <w:rFonts w:hint="default" w:ascii="宋体" w:hAnsi="宋体" w:eastAsia="宋体" w:cs="宋体"/>
          <w:kern w:val="0"/>
          <w:szCs w:val="21"/>
          <w:lang w:val="en-US" w:eastAsia="zh-CN"/>
        </w:rPr>
      </w:pPr>
      <w:r>
        <w:rPr>
          <w:rFonts w:hint="eastAsia" w:ascii="宋体" w:hAnsi="宋体" w:cs="宋体"/>
          <w:kern w:val="0"/>
          <w:szCs w:val="21"/>
          <w:lang w:val="en-US" w:eastAsia="zh-CN"/>
        </w:rPr>
        <w:t>9</w:t>
      </w:r>
      <w:r>
        <w:rPr>
          <w:rFonts w:hint="eastAsia" w:ascii="宋体" w:hAnsi="宋体" w:cs="宋体"/>
          <w:kern w:val="0"/>
          <w:szCs w:val="21"/>
        </w:rPr>
        <w:t>.本项目</w:t>
      </w:r>
      <w:r>
        <w:rPr>
          <w:rFonts w:hint="eastAsia" w:ascii="宋体" w:hAnsi="宋体" w:cs="宋体"/>
          <w:kern w:val="0"/>
          <w:szCs w:val="21"/>
          <w:lang w:val="en-US" w:eastAsia="zh-CN"/>
        </w:rPr>
        <w:t>非</w:t>
      </w:r>
      <w:r>
        <w:rPr>
          <w:rFonts w:hint="eastAsia" w:ascii="宋体" w:hAnsi="宋体" w:cs="宋体"/>
          <w:kern w:val="0"/>
          <w:szCs w:val="21"/>
        </w:rPr>
        <w:t>专门面向中小企业采购</w:t>
      </w:r>
      <w:r>
        <w:rPr>
          <w:rFonts w:hint="eastAsia" w:ascii="宋体" w:hAnsi="宋体" w:cs="宋体"/>
          <w:kern w:val="0"/>
          <w:szCs w:val="21"/>
          <w:lang w:eastAsia="zh-CN"/>
        </w:rPr>
        <w:t>；</w:t>
      </w:r>
    </w:p>
    <w:p w14:paraId="1D1D60FB">
      <w:pPr>
        <w:pStyle w:val="3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right="0" w:firstLine="422" w:firstLineChars="200"/>
        <w:jc w:val="left"/>
        <w:textAlignment w:val="auto"/>
        <w:rPr>
          <w:rFonts w:hint="eastAsia" w:ascii="宋体" w:hAnsi="宋体" w:eastAsia="宋体" w:cs="宋体"/>
          <w:b/>
          <w:bCs/>
          <w:sz w:val="21"/>
          <w:szCs w:val="21"/>
          <w:lang w:val="en-US" w:eastAsia="zh-CN"/>
        </w:rPr>
      </w:pPr>
    </w:p>
    <w:p w14:paraId="5C975BBE">
      <w:pPr>
        <w:pStyle w:val="3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right="0" w:firstLine="422" w:firstLineChars="200"/>
        <w:jc w:val="left"/>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二、特殊</w:t>
      </w:r>
      <w:r>
        <w:rPr>
          <w:rFonts w:hint="eastAsia" w:ascii="宋体" w:hAnsi="宋体" w:eastAsia="宋体" w:cs="宋体"/>
          <w:b/>
          <w:bCs/>
          <w:sz w:val="21"/>
          <w:szCs w:val="21"/>
        </w:rPr>
        <w:t>资格要求</w:t>
      </w:r>
    </w:p>
    <w:p w14:paraId="42003E6C">
      <w:pPr>
        <w:pStyle w:val="3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right="0" w:firstLine="422" w:firstLineChars="200"/>
        <w:jc w:val="both"/>
        <w:textAlignment w:val="auto"/>
        <w:rPr>
          <w:rFonts w:hint="default" w:ascii="宋体" w:hAnsi="宋体" w:eastAsia="宋体" w:cs="宋体"/>
          <w:b/>
          <w:bCs/>
          <w:sz w:val="21"/>
          <w:szCs w:val="21"/>
          <w:lang w:val="en-US" w:eastAsia="zh-CN"/>
        </w:rPr>
      </w:pPr>
      <w:r>
        <w:rPr>
          <w:rFonts w:hint="eastAsia" w:ascii="宋体" w:hAnsi="宋体" w:eastAsia="宋体" w:cs="宋体"/>
          <w:b/>
          <w:bCs/>
          <w:sz w:val="21"/>
          <w:szCs w:val="21"/>
        </w:rPr>
        <w:t>1、</w:t>
      </w:r>
      <w:r>
        <w:rPr>
          <w:rFonts w:hint="eastAsia" w:ascii="宋体" w:hAnsi="宋体" w:cs="宋体"/>
          <w:b/>
          <w:bCs/>
          <w:sz w:val="21"/>
          <w:szCs w:val="21"/>
          <w:lang w:val="en-US" w:eastAsia="zh-CN"/>
        </w:rPr>
        <w:t>提供所投产品说明（格式自拟），说明所投产品是否涉及第二、三类医疗器械。如涉及，同时提供以下材料：</w:t>
      </w:r>
    </w:p>
    <w:p w14:paraId="0BA2648B">
      <w:pPr>
        <w:pStyle w:val="3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right="0" w:firstLine="422" w:firstLineChars="200"/>
        <w:jc w:val="both"/>
        <w:textAlignment w:val="auto"/>
        <w:rPr>
          <w:rFonts w:hint="default" w:ascii="宋体" w:hAnsi="宋体" w:eastAsia="宋体" w:cs="宋体"/>
          <w:sz w:val="21"/>
          <w:szCs w:val="21"/>
          <w:lang w:val="en-US" w:eastAsia="zh-CN"/>
        </w:rPr>
      </w:pPr>
      <w:r>
        <w:rPr>
          <w:rFonts w:hint="default" w:ascii="宋体" w:hAnsi="宋体" w:eastAsia="宋体" w:cs="宋体"/>
          <w:b/>
          <w:bCs/>
          <w:sz w:val="21"/>
          <w:szCs w:val="21"/>
          <w:lang w:val="en-US" w:eastAsia="zh-CN"/>
        </w:rPr>
        <w:t>投标供应商若为生产企业：</w:t>
      </w:r>
      <w:r>
        <w:rPr>
          <w:rFonts w:hint="default" w:ascii="宋体" w:hAnsi="宋体" w:eastAsia="宋体" w:cs="宋体"/>
          <w:sz w:val="21"/>
          <w:szCs w:val="21"/>
          <w:lang w:val="en-US" w:eastAsia="zh-CN"/>
        </w:rPr>
        <w:t>所投产品为第二、三类医疗器械的，提供监督管理部门签发的涵盖所</w:t>
      </w:r>
      <w:r>
        <w:rPr>
          <w:rFonts w:hint="eastAsia" w:ascii="宋体" w:hAnsi="宋体" w:eastAsia="宋体" w:cs="宋体"/>
          <w:sz w:val="21"/>
          <w:szCs w:val="21"/>
          <w:lang w:val="en-US" w:eastAsia="zh-CN"/>
        </w:rPr>
        <w:t>投产品</w:t>
      </w:r>
      <w:r>
        <w:rPr>
          <w:rFonts w:hint="default" w:ascii="宋体" w:hAnsi="宋体" w:eastAsia="宋体" w:cs="宋体"/>
          <w:sz w:val="21"/>
          <w:szCs w:val="21"/>
          <w:lang w:val="en-US" w:eastAsia="zh-CN"/>
        </w:rPr>
        <w:t>的《医疗器械生产许可证》(有效期内)扫描件，原件备查。</w:t>
      </w:r>
    </w:p>
    <w:p w14:paraId="4DFB49AF">
      <w:pPr>
        <w:pStyle w:val="3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right="0" w:firstLine="422" w:firstLineChars="200"/>
        <w:jc w:val="both"/>
        <w:textAlignment w:val="auto"/>
        <w:rPr>
          <w:rFonts w:hint="default" w:ascii="宋体" w:hAnsi="宋体" w:eastAsia="宋体" w:cs="宋体"/>
          <w:sz w:val="21"/>
          <w:szCs w:val="21"/>
          <w:lang w:val="en-US" w:eastAsia="zh-CN"/>
        </w:rPr>
      </w:pPr>
      <w:r>
        <w:rPr>
          <w:rFonts w:hint="default" w:ascii="宋体" w:hAnsi="宋体" w:eastAsia="宋体" w:cs="宋体"/>
          <w:b/>
          <w:bCs/>
          <w:sz w:val="21"/>
          <w:szCs w:val="21"/>
          <w:lang w:val="en-US" w:eastAsia="zh-CN"/>
        </w:rPr>
        <w:t>投标供应商如为经销商或代理商：</w:t>
      </w:r>
      <w:r>
        <w:rPr>
          <w:rFonts w:hint="default" w:ascii="宋体" w:hAnsi="宋体" w:eastAsia="宋体" w:cs="宋体"/>
          <w:sz w:val="21"/>
          <w:szCs w:val="21"/>
          <w:lang w:val="en-US" w:eastAsia="zh-CN"/>
        </w:rPr>
        <w:t>所投产品为第二类医疗器械的，提供监督管理部门签发的涵盖所投医疗器械的《医疗器械经营备案凭证》(有效期内)扫描件</w:t>
      </w:r>
      <w:r>
        <w:rPr>
          <w:rFonts w:hint="eastAsia" w:ascii="宋体" w:hAnsi="宋体" w:eastAsia="宋体" w:cs="宋体"/>
          <w:sz w:val="21"/>
          <w:szCs w:val="21"/>
          <w:lang w:val="en-US" w:eastAsia="zh-CN"/>
        </w:rPr>
        <w:t>，或者提供承诺函，承诺中标后、合同签订前取得相关备案凭证</w:t>
      </w:r>
      <w:r>
        <w:rPr>
          <w:rFonts w:hint="default" w:ascii="宋体" w:hAnsi="宋体" w:eastAsia="宋体" w:cs="宋体"/>
          <w:sz w:val="21"/>
          <w:szCs w:val="21"/>
          <w:lang w:val="en-US" w:eastAsia="zh-CN"/>
        </w:rPr>
        <w:t>，原件备查；所投产品为第三类医疗器械的，提供监督管理部门签发的涵盖所投报医疗器械的《医疗器械经营许可证》(有效期内)扫描件，原件备查。</w:t>
      </w:r>
    </w:p>
    <w:p w14:paraId="7617F63A">
      <w:pPr>
        <w:pStyle w:val="3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rPr>
      </w:pPr>
    </w:p>
    <w:p w14:paraId="065AAECD">
      <w:pPr>
        <w:pStyle w:val="3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2、</w:t>
      </w:r>
      <w:r>
        <w:rPr>
          <w:rFonts w:hint="eastAsia" w:ascii="宋体" w:hAnsi="宋体" w:eastAsia="宋体" w:cs="宋体"/>
          <w:b/>
          <w:bCs/>
          <w:sz w:val="21"/>
          <w:szCs w:val="21"/>
          <w:lang w:val="en-US" w:eastAsia="zh-CN"/>
        </w:rPr>
        <w:t>投标</w:t>
      </w:r>
      <w:r>
        <w:rPr>
          <w:rFonts w:hint="eastAsia" w:ascii="宋体" w:hAnsi="宋体" w:eastAsia="宋体" w:cs="宋体"/>
          <w:b/>
          <w:bCs/>
          <w:sz w:val="21"/>
          <w:szCs w:val="21"/>
        </w:rPr>
        <w:t>供应商</w:t>
      </w:r>
      <w:r>
        <w:rPr>
          <w:rFonts w:hint="eastAsia" w:ascii="宋体" w:hAnsi="宋体" w:eastAsia="宋体" w:cs="宋体"/>
          <w:b/>
          <w:bCs/>
          <w:sz w:val="21"/>
          <w:szCs w:val="21"/>
          <w:lang w:val="en-US" w:eastAsia="zh-CN"/>
        </w:rPr>
        <w:t>如为所投产品经销商或代理商</w:t>
      </w:r>
      <w:r>
        <w:rPr>
          <w:rFonts w:hint="eastAsia" w:ascii="宋体" w:hAnsi="宋体" w:eastAsia="宋体" w:cs="宋体"/>
          <w:sz w:val="21"/>
          <w:szCs w:val="21"/>
          <w:lang w:val="en-US" w:eastAsia="zh-CN"/>
        </w:rPr>
        <w:t>：提供承诺函（格式自拟），承诺如中标后，可向采购方提供所投货物的经销或者代理授权材料，</w:t>
      </w:r>
      <w:r>
        <w:rPr>
          <w:rFonts w:hint="eastAsia" w:ascii="宋体" w:hAnsi="宋体" w:eastAsia="宋体" w:cs="宋体"/>
          <w:sz w:val="21"/>
          <w:szCs w:val="21"/>
        </w:rPr>
        <w:t>对有争议的授权，</w:t>
      </w:r>
      <w:r>
        <w:rPr>
          <w:rFonts w:hint="eastAsia" w:ascii="宋体" w:hAnsi="宋体" w:eastAsia="宋体" w:cs="宋体"/>
          <w:sz w:val="21"/>
          <w:szCs w:val="21"/>
          <w:lang w:val="en-US" w:eastAsia="zh-CN"/>
        </w:rPr>
        <w:t>采购方</w:t>
      </w:r>
      <w:r>
        <w:rPr>
          <w:rFonts w:hint="eastAsia" w:ascii="宋体" w:hAnsi="宋体" w:eastAsia="宋体" w:cs="宋体"/>
          <w:sz w:val="21"/>
          <w:szCs w:val="21"/>
        </w:rPr>
        <w:t>有权</w:t>
      </w:r>
      <w:r>
        <w:rPr>
          <w:rFonts w:hint="eastAsia" w:ascii="宋体" w:hAnsi="宋体" w:eastAsia="宋体" w:cs="宋体"/>
          <w:sz w:val="21"/>
          <w:szCs w:val="21"/>
          <w:lang w:val="en-US" w:eastAsia="zh-CN"/>
        </w:rPr>
        <w:t>终止中标资格或者合同</w:t>
      </w:r>
      <w:r>
        <w:rPr>
          <w:rFonts w:hint="eastAsia" w:ascii="宋体" w:hAnsi="宋体" w:eastAsia="宋体" w:cs="宋体"/>
          <w:sz w:val="21"/>
          <w:szCs w:val="21"/>
        </w:rPr>
        <w:t>。</w:t>
      </w:r>
      <w:r>
        <w:rPr>
          <w:rFonts w:hint="eastAsia" w:ascii="宋体" w:hAnsi="宋体" w:eastAsia="宋体" w:cs="宋体"/>
          <w:b/>
          <w:bCs/>
          <w:sz w:val="21"/>
          <w:szCs w:val="21"/>
          <w:lang w:val="en-US" w:eastAsia="zh-CN"/>
        </w:rPr>
        <w:t>投标</w:t>
      </w:r>
      <w:r>
        <w:rPr>
          <w:rFonts w:hint="eastAsia" w:ascii="宋体" w:hAnsi="宋体" w:eastAsia="宋体" w:cs="宋体"/>
          <w:b/>
          <w:bCs/>
          <w:sz w:val="21"/>
          <w:szCs w:val="21"/>
        </w:rPr>
        <w:t>供应商</w:t>
      </w:r>
      <w:r>
        <w:rPr>
          <w:rFonts w:hint="eastAsia" w:ascii="宋体" w:hAnsi="宋体" w:eastAsia="宋体" w:cs="宋体"/>
          <w:b/>
          <w:bCs/>
          <w:sz w:val="21"/>
          <w:szCs w:val="21"/>
          <w:lang w:val="en-US" w:eastAsia="zh-CN"/>
        </w:rPr>
        <w:t>如为所投产品生产企业</w:t>
      </w:r>
      <w:r>
        <w:rPr>
          <w:rFonts w:hint="eastAsia" w:ascii="宋体" w:hAnsi="宋体" w:eastAsia="宋体" w:cs="宋体"/>
          <w:sz w:val="21"/>
          <w:szCs w:val="21"/>
          <w:lang w:val="en-US" w:eastAsia="zh-CN"/>
        </w:rPr>
        <w:t>：提供承诺函（格式自拟），承诺为所投货物的厂商，如中标后，可向采购方提供证明材料，对有争议的，采购方有权终止中标资格或者合同。</w:t>
      </w:r>
    </w:p>
    <w:p w14:paraId="33238298">
      <w:pPr>
        <w:pStyle w:val="3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default" w:ascii="宋体" w:hAnsi="宋体" w:eastAsia="宋体" w:cs="宋体"/>
          <w:sz w:val="21"/>
          <w:szCs w:val="21"/>
          <w:lang w:val="en-US" w:eastAsia="zh-CN"/>
        </w:rPr>
      </w:pPr>
    </w:p>
    <w:p w14:paraId="5F8EF2D4">
      <w:pPr>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宋体" w:hAnsi="宋体" w:cs="宋体"/>
          <w:kern w:val="0"/>
          <w:szCs w:val="21"/>
        </w:rPr>
      </w:pPr>
    </w:p>
    <w:p w14:paraId="3C1DC44A">
      <w:pPr>
        <w:keepNext w:val="0"/>
        <w:keepLines w:val="0"/>
        <w:pageBreakBefore w:val="0"/>
        <w:widowControl w:val="0"/>
        <w:kinsoku/>
        <w:wordWrap w:val="0"/>
        <w:overflowPunct/>
        <w:topLinePunct w:val="0"/>
        <w:autoSpaceDE/>
        <w:autoSpaceDN/>
        <w:bidi w:val="0"/>
        <w:adjustRightInd/>
        <w:snapToGrid/>
        <w:ind w:firstLine="420" w:firstLineChars="200"/>
        <w:textAlignment w:val="auto"/>
        <w:rPr>
          <w:rFonts w:ascii="宋体" w:hAnsi="宋体" w:cs="宋体"/>
          <w:kern w:val="0"/>
          <w:szCs w:val="21"/>
        </w:rPr>
      </w:pPr>
      <w:r>
        <w:rPr>
          <w:rFonts w:hint="eastAsia" w:ascii="宋体" w:hAnsi="宋体" w:cs="宋体"/>
          <w:kern w:val="0"/>
          <w:szCs w:val="21"/>
        </w:rPr>
        <w:t>注：（1）“信用中国”（www.creditchina.gov.cn</w:t>
      </w:r>
      <w:r>
        <w:rPr>
          <w:rFonts w:hint="eastAsia" w:ascii="宋体" w:hAnsi="宋体" w:cs="宋体"/>
          <w:kern w:val="0"/>
          <w:szCs w:val="21"/>
          <w:lang w:eastAsia="zh-CN"/>
        </w:rPr>
        <w:t>，</w:t>
      </w:r>
      <w:r>
        <w:rPr>
          <w:rFonts w:hint="eastAsia" w:ascii="宋体" w:hAnsi="宋体" w:cs="宋体"/>
          <w:kern w:val="0"/>
          <w:szCs w:val="21"/>
          <w:lang w:val="en-US" w:eastAsia="zh-CN"/>
        </w:rPr>
        <w:t>查询</w:t>
      </w:r>
      <w:r>
        <w:rPr>
          <w:rFonts w:hint="eastAsia" w:ascii="宋体" w:hAnsi="宋体" w:cs="宋体"/>
          <w:kern w:val="0"/>
          <w:szCs w:val="21"/>
        </w:rPr>
        <w:t>“信用服务”栏的“重大税收违法失信主体”“失信被执行人”</w:t>
      </w:r>
      <w:r>
        <w:rPr>
          <w:rFonts w:hint="eastAsia" w:ascii="宋体" w:hAnsi="宋体" w:cs="宋体"/>
          <w:kern w:val="0"/>
          <w:szCs w:val="21"/>
          <w:lang w:val="en-US" w:eastAsia="zh-CN"/>
        </w:rPr>
        <w:t>或者下载信用信息报告）</w:t>
      </w:r>
      <w:r>
        <w:rPr>
          <w:rFonts w:hint="eastAsia" w:ascii="宋体" w:hAnsi="宋体" w:cs="宋体"/>
          <w:kern w:val="0"/>
          <w:szCs w:val="21"/>
        </w:rPr>
        <w:t>，“中国政府采购网”（www.ccgp.gov.cn）中的“政府采购严重违法失信行为记录名单”，以及“深圳市政府采购监管网”（http://zfcg.sz.gov.cn）为供应商信用信息的查询渠道，相关信息以开标当日的查询结果为准；</w:t>
      </w:r>
    </w:p>
    <w:p w14:paraId="458CD3D8">
      <w:pPr>
        <w:numPr>
          <w:ilvl w:val="0"/>
          <w:numId w:val="7"/>
        </w:numPr>
        <w:ind w:firstLine="420" w:firstLineChars="200"/>
        <w:rPr>
          <w:rFonts w:hint="eastAsia" w:ascii="宋体" w:hAnsi="宋体"/>
        </w:rPr>
      </w:pPr>
      <w:r>
        <w:rPr>
          <w:rFonts w:hint="eastAsia" w:ascii="宋体" w:hAnsi="宋体"/>
        </w:rPr>
        <w:t>供应商投标（上传投标文件）必须先行办理注册手续，具体操作指引请按照深圳公共资源交易网/交易服务指南/资料下载/深圳政府采购自行采购系统用户操作指引（供应商）相关内容指引办理。</w:t>
      </w:r>
    </w:p>
    <w:p w14:paraId="151DA66C">
      <w:pPr>
        <w:pStyle w:val="18"/>
        <w:numPr>
          <w:ilvl w:val="0"/>
          <w:numId w:val="0"/>
        </w:numPr>
      </w:pPr>
    </w:p>
    <w:p w14:paraId="377A3DB2">
      <w:pPr>
        <w:ind w:firstLine="442" w:firstLineChars="200"/>
        <w:rPr>
          <w:b/>
        </w:rPr>
      </w:pPr>
      <w:r>
        <w:rPr>
          <w:rFonts w:hint="eastAsia"/>
          <w:b/>
          <w:sz w:val="22"/>
          <w:szCs w:val="18"/>
          <w:highlight w:val="none"/>
        </w:rPr>
        <w:t>完整公告内容详见：</w:t>
      </w:r>
      <w:r>
        <w:rPr>
          <w:rFonts w:hint="eastAsia"/>
          <w:b/>
          <w:sz w:val="22"/>
          <w:szCs w:val="18"/>
        </w:rPr>
        <w:t>深圳交易集团有限公司网站（https://www.szexgrp.com/）、深圳政府采购自行采购网站（https://zxcg.szggzy.com/home/index.html）</w:t>
      </w:r>
    </w:p>
    <w:p w14:paraId="6D6AFE5A">
      <w:pPr>
        <w:pStyle w:val="54"/>
      </w:pPr>
    </w:p>
    <w:p w14:paraId="515F09DC">
      <w:pPr>
        <w:rPr>
          <w:sz w:val="24"/>
        </w:rPr>
        <w:sectPr>
          <w:pgSz w:w="11907" w:h="16840"/>
          <w:pgMar w:top="1440" w:right="1797" w:bottom="1440" w:left="1797" w:header="851" w:footer="992" w:gutter="0"/>
          <w:pgBorders>
            <w:top w:val="none" w:sz="0" w:space="0"/>
            <w:left w:val="none" w:sz="0" w:space="0"/>
            <w:bottom w:val="none" w:sz="0" w:space="0"/>
            <w:right w:val="none" w:sz="0" w:space="0"/>
          </w:pgBorders>
          <w:cols w:space="425" w:num="1"/>
          <w:titlePg/>
          <w:docGrid w:linePitch="462" w:charSpace="0"/>
        </w:sectPr>
      </w:pPr>
    </w:p>
    <w:p w14:paraId="4D388DBE">
      <w:pPr>
        <w:pStyle w:val="5"/>
        <w:rPr>
          <w:sz w:val="28"/>
          <w:szCs w:val="28"/>
        </w:rPr>
      </w:pPr>
      <w:r>
        <w:rPr>
          <w:rFonts w:hint="eastAsia"/>
          <w:sz w:val="28"/>
          <w:szCs w:val="28"/>
        </w:rPr>
        <w:t xml:space="preserve">第二章 </w:t>
      </w:r>
      <w:bookmarkStart w:id="23" w:name="_Hlk71926094"/>
      <w:r>
        <w:rPr>
          <w:rFonts w:hint="eastAsia"/>
          <w:sz w:val="28"/>
          <w:szCs w:val="28"/>
        </w:rPr>
        <w:t>对通用条款的补充内容及其他关键信息</w:t>
      </w:r>
      <w:bookmarkEnd w:id="23"/>
    </w:p>
    <w:p w14:paraId="6EAC7BBA">
      <w:pPr>
        <w:pStyle w:val="5"/>
        <w:spacing w:before="120" w:beforeLines="50" w:after="120" w:afterLines="50"/>
        <w:rPr>
          <w:szCs w:val="24"/>
        </w:rPr>
      </w:pPr>
      <w:bookmarkStart w:id="24" w:name="_Toc101074876"/>
      <w:bookmarkStart w:id="25" w:name="_Toc73521547"/>
      <w:bookmarkStart w:id="26" w:name="_Toc73521635"/>
      <w:bookmarkStart w:id="27" w:name="_Toc73518117"/>
      <w:bookmarkStart w:id="28" w:name="_Toc60560625"/>
      <w:bookmarkStart w:id="29" w:name="_Toc73517639"/>
      <w:bookmarkStart w:id="30" w:name="_Toc60631620"/>
      <w:bookmarkStart w:id="31" w:name="_Toc100052364"/>
      <w:r>
        <w:rPr>
          <w:rFonts w:hint="eastAsia"/>
          <w:szCs w:val="24"/>
        </w:rPr>
        <w:t>一、对通用条款的补充内容</w:t>
      </w:r>
    </w:p>
    <w:bookmarkEnd w:id="24"/>
    <w:bookmarkEnd w:id="25"/>
    <w:bookmarkEnd w:id="26"/>
    <w:bookmarkEnd w:id="27"/>
    <w:bookmarkEnd w:id="28"/>
    <w:bookmarkEnd w:id="29"/>
    <w:bookmarkEnd w:id="30"/>
    <w:bookmarkEnd w:id="31"/>
    <w:tbl>
      <w:tblPr>
        <w:tblStyle w:val="44"/>
        <w:tblW w:w="836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78"/>
        <w:gridCol w:w="2409"/>
        <w:gridCol w:w="4980"/>
      </w:tblGrid>
      <w:tr w14:paraId="08A0B3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E642324">
            <w:pPr>
              <w:jc w:val="center"/>
              <w:rPr>
                <w:rFonts w:ascii="宋体" w:hAnsi="宋体"/>
                <w:b/>
                <w:bCs/>
              </w:rPr>
            </w:pPr>
            <w:bookmarkStart w:id="32" w:name="_Hlk72218097"/>
            <w:r>
              <w:rPr>
                <w:rFonts w:hint="eastAsia" w:ascii="宋体" w:hAnsi="宋体"/>
                <w:b/>
                <w:bCs/>
              </w:rPr>
              <w:t>通用条款序号</w:t>
            </w:r>
          </w:p>
        </w:tc>
        <w:tc>
          <w:tcPr>
            <w:tcW w:w="2409" w:type="dxa"/>
            <w:vAlign w:val="center"/>
          </w:tcPr>
          <w:p w14:paraId="1ABE86D9">
            <w:pPr>
              <w:jc w:val="center"/>
              <w:rPr>
                <w:rFonts w:ascii="宋体" w:hAnsi="宋体"/>
                <w:b/>
                <w:bCs/>
              </w:rPr>
            </w:pPr>
            <w:r>
              <w:rPr>
                <w:rFonts w:hint="eastAsia" w:ascii="宋体" w:hAnsi="宋体"/>
                <w:b/>
                <w:bCs/>
              </w:rPr>
              <w:t>涉及事项</w:t>
            </w:r>
          </w:p>
        </w:tc>
        <w:tc>
          <w:tcPr>
            <w:tcW w:w="4980" w:type="dxa"/>
            <w:vAlign w:val="center"/>
          </w:tcPr>
          <w:p w14:paraId="25410086">
            <w:pPr>
              <w:jc w:val="center"/>
              <w:rPr>
                <w:rFonts w:ascii="宋体" w:hAnsi="宋体"/>
                <w:b/>
                <w:bCs/>
              </w:rPr>
            </w:pPr>
            <w:r>
              <w:rPr>
                <w:rFonts w:hint="eastAsia" w:ascii="宋体" w:hAnsi="宋体"/>
                <w:b/>
                <w:bCs/>
              </w:rPr>
              <w:t xml:space="preserve">具 </w:t>
            </w:r>
            <w:r>
              <w:rPr>
                <w:rFonts w:ascii="宋体" w:hAnsi="宋体"/>
                <w:b/>
                <w:bCs/>
              </w:rPr>
              <w:t xml:space="preserve"> </w:t>
            </w:r>
            <w:r>
              <w:rPr>
                <w:rFonts w:hint="eastAsia" w:ascii="宋体" w:hAnsi="宋体"/>
                <w:b/>
                <w:bCs/>
              </w:rPr>
              <w:t xml:space="preserve">体 </w:t>
            </w:r>
            <w:r>
              <w:rPr>
                <w:rFonts w:ascii="宋体" w:hAnsi="宋体"/>
                <w:b/>
                <w:bCs/>
              </w:rPr>
              <w:t xml:space="preserve"> </w:t>
            </w:r>
            <w:r>
              <w:rPr>
                <w:rFonts w:hint="eastAsia" w:ascii="宋体" w:hAnsi="宋体"/>
                <w:b/>
                <w:bCs/>
              </w:rPr>
              <w:t xml:space="preserve">补 </w:t>
            </w:r>
            <w:r>
              <w:rPr>
                <w:rFonts w:ascii="宋体" w:hAnsi="宋体"/>
                <w:b/>
                <w:bCs/>
              </w:rPr>
              <w:t xml:space="preserve"> </w:t>
            </w:r>
            <w:r>
              <w:rPr>
                <w:rFonts w:hint="eastAsia" w:ascii="宋体" w:hAnsi="宋体"/>
                <w:b/>
                <w:bCs/>
              </w:rPr>
              <w:t xml:space="preserve">充 </w:t>
            </w:r>
            <w:r>
              <w:rPr>
                <w:rFonts w:ascii="宋体" w:hAnsi="宋体"/>
                <w:b/>
                <w:bCs/>
              </w:rPr>
              <w:t xml:space="preserve"> </w:t>
            </w:r>
            <w:r>
              <w:rPr>
                <w:rFonts w:hint="eastAsia" w:ascii="宋体" w:hAnsi="宋体"/>
                <w:b/>
                <w:bCs/>
              </w:rPr>
              <w:t xml:space="preserve">内 </w:t>
            </w:r>
            <w:r>
              <w:rPr>
                <w:rFonts w:ascii="宋体" w:hAnsi="宋体"/>
                <w:b/>
                <w:bCs/>
              </w:rPr>
              <w:t xml:space="preserve"> </w:t>
            </w:r>
            <w:r>
              <w:rPr>
                <w:rFonts w:hint="eastAsia" w:ascii="宋体" w:hAnsi="宋体"/>
                <w:b/>
                <w:bCs/>
              </w:rPr>
              <w:t>容</w:t>
            </w:r>
          </w:p>
        </w:tc>
      </w:tr>
      <w:tr w14:paraId="12DB9A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8367" w:type="dxa"/>
            <w:gridSpan w:val="3"/>
            <w:vAlign w:val="center"/>
          </w:tcPr>
          <w:p w14:paraId="3165C50B">
            <w:pPr>
              <w:jc w:val="center"/>
              <w:rPr>
                <w:rFonts w:hint="eastAsia" w:ascii="宋体" w:hAnsi="宋体"/>
                <w:b/>
                <w:bCs/>
              </w:rPr>
            </w:pPr>
            <w:r>
              <w:rPr>
                <w:rFonts w:hint="eastAsia"/>
              </w:rPr>
              <w:t>本项目相关事宜按照招标文件要求及采购单位内控制度执行。</w:t>
            </w:r>
            <w:r>
              <w:rPr>
                <w:rFonts w:hint="eastAsia" w:ascii="Times New Roman" w:eastAsia="宋体"/>
                <w:highlight w:val="yellow"/>
                <w:lang w:val="en-US" w:eastAsia="zh-CN"/>
              </w:rPr>
              <w:t>资格审查主体为评审委员会。</w:t>
            </w:r>
          </w:p>
        </w:tc>
      </w:tr>
      <w:tr w14:paraId="55900B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C1932A2">
            <w:pPr>
              <w:jc w:val="center"/>
              <w:rPr>
                <w:rFonts w:ascii="宋体" w:hAnsi="宋体"/>
              </w:rPr>
            </w:pPr>
            <w:r>
              <w:rPr>
                <w:rFonts w:hint="eastAsia" w:ascii="宋体" w:hAnsi="宋体"/>
              </w:rPr>
              <w:t>3</w:t>
            </w:r>
            <w:r>
              <w:rPr>
                <w:rFonts w:ascii="宋体" w:hAnsi="宋体"/>
              </w:rPr>
              <w:t>.1</w:t>
            </w:r>
          </w:p>
        </w:tc>
        <w:tc>
          <w:tcPr>
            <w:tcW w:w="2409" w:type="dxa"/>
            <w:vAlign w:val="center"/>
          </w:tcPr>
          <w:p w14:paraId="57AC007A">
            <w:pPr>
              <w:jc w:val="center"/>
            </w:pPr>
            <w:r>
              <w:rPr>
                <w:rFonts w:hint="eastAsia"/>
              </w:rPr>
              <w:t>采购人</w:t>
            </w:r>
          </w:p>
        </w:tc>
        <w:tc>
          <w:tcPr>
            <w:tcW w:w="4980" w:type="dxa"/>
            <w:vAlign w:val="center"/>
          </w:tcPr>
          <w:p w14:paraId="4B6E7312">
            <w:pPr>
              <w:jc w:val="center"/>
              <w:rPr>
                <w:rFonts w:ascii="宋体" w:hAnsi="宋体"/>
              </w:rPr>
            </w:pPr>
            <w:r>
              <w:rPr>
                <w:rFonts w:hint="eastAsia" w:ascii="宋体" w:hAnsi="宋体"/>
              </w:rPr>
              <w:t>深圳市龙岗区第二人民医院</w:t>
            </w:r>
          </w:p>
        </w:tc>
      </w:tr>
      <w:tr w14:paraId="6510F4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27FF47F">
            <w:pPr>
              <w:jc w:val="center"/>
              <w:rPr>
                <w:rFonts w:ascii="宋体" w:hAnsi="宋体"/>
              </w:rPr>
            </w:pPr>
            <w:r>
              <w:rPr>
                <w:rFonts w:hint="eastAsia" w:ascii="宋体" w:hAnsi="宋体"/>
              </w:rPr>
              <w:t>3</w:t>
            </w:r>
            <w:r>
              <w:rPr>
                <w:rFonts w:ascii="宋体" w:hAnsi="宋体"/>
              </w:rPr>
              <w:t>.2</w:t>
            </w:r>
          </w:p>
        </w:tc>
        <w:tc>
          <w:tcPr>
            <w:tcW w:w="2409" w:type="dxa"/>
            <w:vAlign w:val="center"/>
          </w:tcPr>
          <w:p w14:paraId="454D7D73">
            <w:pPr>
              <w:jc w:val="center"/>
              <w:rPr>
                <w:rFonts w:ascii="宋体" w:hAnsi="宋体"/>
              </w:rPr>
            </w:pPr>
            <w:r>
              <w:rPr>
                <w:rFonts w:hint="eastAsia" w:ascii="宋体" w:hAnsi="宋体"/>
                <w:lang w:val="en-US" w:eastAsia="zh-CN"/>
              </w:rPr>
              <w:t>采购代理机构</w:t>
            </w:r>
          </w:p>
        </w:tc>
        <w:tc>
          <w:tcPr>
            <w:tcW w:w="4980" w:type="dxa"/>
            <w:vAlign w:val="center"/>
          </w:tcPr>
          <w:p w14:paraId="255C7107">
            <w:pPr>
              <w:jc w:val="center"/>
              <w:rPr>
                <w:rFonts w:ascii="宋体" w:hAnsi="宋体"/>
              </w:rPr>
            </w:pPr>
            <w:r>
              <w:rPr>
                <w:rFonts w:hint="eastAsia" w:ascii="宋体" w:hAnsi="宋体"/>
              </w:rPr>
              <w:t>深圳交易集团有限公司龙岗分公司</w:t>
            </w:r>
          </w:p>
        </w:tc>
      </w:tr>
      <w:tr w14:paraId="768897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5C462F5A">
            <w:pPr>
              <w:jc w:val="center"/>
              <w:rPr>
                <w:rFonts w:ascii="宋体" w:hAnsi="宋体"/>
              </w:rPr>
            </w:pPr>
            <w:r>
              <w:rPr>
                <w:rFonts w:hint="eastAsia" w:ascii="宋体" w:hAnsi="宋体"/>
              </w:rPr>
              <w:t>9</w:t>
            </w:r>
          </w:p>
        </w:tc>
        <w:tc>
          <w:tcPr>
            <w:tcW w:w="2409" w:type="dxa"/>
            <w:vAlign w:val="center"/>
          </w:tcPr>
          <w:p w14:paraId="616FDCFC">
            <w:pPr>
              <w:jc w:val="center"/>
              <w:rPr>
                <w:rFonts w:ascii="宋体" w:hAnsi="宋体"/>
              </w:rPr>
            </w:pPr>
            <w:r>
              <w:rPr>
                <w:rFonts w:hint="eastAsia" w:ascii="宋体" w:hAnsi="宋体"/>
              </w:rPr>
              <w:t>踏勘现场</w:t>
            </w:r>
          </w:p>
        </w:tc>
        <w:tc>
          <w:tcPr>
            <w:tcW w:w="4980" w:type="dxa"/>
            <w:vAlign w:val="center"/>
          </w:tcPr>
          <w:p w14:paraId="28AC24CE">
            <w:pPr>
              <w:jc w:val="center"/>
              <w:rPr>
                <w:rFonts w:ascii="宋体" w:hAnsi="宋体"/>
              </w:rPr>
            </w:pPr>
            <w:r>
              <w:rPr>
                <w:rFonts w:hint="eastAsia" w:ascii="宋体" w:hAnsi="宋体"/>
              </w:rPr>
              <w:t>不组织</w:t>
            </w:r>
          </w:p>
        </w:tc>
      </w:tr>
      <w:tr w14:paraId="788442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76F6FDC">
            <w:pPr>
              <w:jc w:val="center"/>
              <w:rPr>
                <w:rFonts w:ascii="宋体" w:hAnsi="宋体"/>
              </w:rPr>
            </w:pPr>
            <w:r>
              <w:rPr>
                <w:rFonts w:hint="eastAsia" w:ascii="宋体" w:hAnsi="宋体"/>
              </w:rPr>
              <w:t>1</w:t>
            </w:r>
            <w:r>
              <w:rPr>
                <w:rFonts w:ascii="宋体" w:hAnsi="宋体"/>
              </w:rPr>
              <w:t>0</w:t>
            </w:r>
          </w:p>
        </w:tc>
        <w:tc>
          <w:tcPr>
            <w:tcW w:w="2409" w:type="dxa"/>
            <w:vAlign w:val="center"/>
          </w:tcPr>
          <w:p w14:paraId="025764B8">
            <w:pPr>
              <w:jc w:val="center"/>
              <w:rPr>
                <w:rFonts w:ascii="宋体" w:hAnsi="宋体"/>
              </w:rPr>
            </w:pPr>
            <w:r>
              <w:rPr>
                <w:rFonts w:hint="eastAsia" w:ascii="宋体" w:hAnsi="宋体"/>
              </w:rPr>
              <w:t>标前会议</w:t>
            </w:r>
          </w:p>
        </w:tc>
        <w:tc>
          <w:tcPr>
            <w:tcW w:w="4980" w:type="dxa"/>
            <w:vAlign w:val="center"/>
          </w:tcPr>
          <w:p w14:paraId="4DB4CF58">
            <w:pPr>
              <w:jc w:val="center"/>
              <w:rPr>
                <w:rFonts w:ascii="宋体" w:hAnsi="宋体"/>
              </w:rPr>
            </w:pPr>
            <w:r>
              <w:rPr>
                <w:rFonts w:hint="eastAsia" w:ascii="宋体" w:hAnsi="宋体"/>
              </w:rPr>
              <w:t>不组织</w:t>
            </w:r>
          </w:p>
        </w:tc>
      </w:tr>
      <w:tr w14:paraId="669D5E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FA72C2A">
            <w:pPr>
              <w:jc w:val="center"/>
              <w:rPr>
                <w:rFonts w:ascii="宋体" w:hAnsi="宋体"/>
              </w:rPr>
            </w:pPr>
            <w:r>
              <w:rPr>
                <w:rFonts w:hint="eastAsia" w:ascii="宋体" w:hAnsi="宋体"/>
              </w:rPr>
              <w:t>1</w:t>
            </w:r>
            <w:r>
              <w:rPr>
                <w:rFonts w:ascii="宋体" w:hAnsi="宋体"/>
              </w:rPr>
              <w:t>2</w:t>
            </w:r>
            <w:r>
              <w:rPr>
                <w:rFonts w:hint="eastAsia" w:ascii="宋体" w:hAnsi="宋体"/>
              </w:rPr>
              <w:t>/1</w:t>
            </w:r>
            <w:r>
              <w:rPr>
                <w:rFonts w:ascii="宋体" w:hAnsi="宋体"/>
              </w:rPr>
              <w:t>3</w:t>
            </w:r>
          </w:p>
        </w:tc>
        <w:tc>
          <w:tcPr>
            <w:tcW w:w="2409" w:type="dxa"/>
            <w:vAlign w:val="center"/>
          </w:tcPr>
          <w:p w14:paraId="1A54CDEE">
            <w:pPr>
              <w:jc w:val="center"/>
              <w:rPr>
                <w:rFonts w:ascii="宋体" w:hAnsi="宋体"/>
              </w:rPr>
            </w:pPr>
            <w:r>
              <w:rPr>
                <w:rFonts w:hint="eastAsia" w:ascii="宋体" w:hAnsi="宋体"/>
              </w:rPr>
              <w:t>招标文件的澄清和修改</w:t>
            </w:r>
          </w:p>
        </w:tc>
        <w:tc>
          <w:tcPr>
            <w:tcW w:w="4980" w:type="dxa"/>
            <w:vAlign w:val="center"/>
          </w:tcPr>
          <w:p w14:paraId="298F6E3E">
            <w:pPr>
              <w:jc w:val="center"/>
              <w:rPr>
                <w:rFonts w:ascii="宋体" w:hAnsi="宋体"/>
              </w:rPr>
            </w:pPr>
            <w:r>
              <w:rPr>
                <w:rFonts w:hint="eastAsia" w:ascii="宋体" w:hAnsi="宋体"/>
              </w:rPr>
              <w:t>不晚于投标截止日三日前，投标人有义务在招标期间在政府集中采购机构网站浏览与本项目有关的澄清和修改信息</w:t>
            </w:r>
          </w:p>
        </w:tc>
      </w:tr>
      <w:tr w14:paraId="436E73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7A36C7A">
            <w:pPr>
              <w:jc w:val="center"/>
              <w:rPr>
                <w:rFonts w:ascii="宋体" w:hAnsi="宋体"/>
              </w:rPr>
            </w:pPr>
            <w:r>
              <w:rPr>
                <w:rFonts w:hint="eastAsia" w:ascii="宋体" w:hAnsi="宋体"/>
              </w:rPr>
              <w:t>2</w:t>
            </w:r>
            <w:r>
              <w:rPr>
                <w:rFonts w:ascii="宋体" w:hAnsi="宋体"/>
              </w:rPr>
              <w:t>0</w:t>
            </w:r>
          </w:p>
        </w:tc>
        <w:tc>
          <w:tcPr>
            <w:tcW w:w="2409" w:type="dxa"/>
            <w:vAlign w:val="center"/>
          </w:tcPr>
          <w:p w14:paraId="20756C7B">
            <w:pPr>
              <w:jc w:val="center"/>
              <w:rPr>
                <w:rFonts w:ascii="宋体" w:hAnsi="宋体"/>
              </w:rPr>
            </w:pPr>
            <w:r>
              <w:rPr>
                <w:rFonts w:hint="eastAsia" w:ascii="宋体" w:hAnsi="宋体"/>
              </w:rPr>
              <w:t>投标有效期</w:t>
            </w:r>
          </w:p>
        </w:tc>
        <w:tc>
          <w:tcPr>
            <w:tcW w:w="4980" w:type="dxa"/>
            <w:vAlign w:val="center"/>
          </w:tcPr>
          <w:p w14:paraId="42D40522">
            <w:pPr>
              <w:jc w:val="center"/>
              <w:rPr>
                <w:rFonts w:ascii="宋体" w:hAnsi="宋体"/>
              </w:rPr>
            </w:pPr>
            <w:r>
              <w:rPr>
                <w:rFonts w:hint="eastAsia" w:ascii="宋体" w:hAnsi="宋体"/>
              </w:rPr>
              <w:t>120个日历日</w:t>
            </w:r>
          </w:p>
        </w:tc>
      </w:tr>
      <w:tr w14:paraId="5DA694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6C864925">
            <w:pPr>
              <w:jc w:val="center"/>
              <w:rPr>
                <w:rFonts w:ascii="宋体" w:hAnsi="宋体"/>
              </w:rPr>
            </w:pPr>
            <w:r>
              <w:rPr>
                <w:rFonts w:hint="eastAsia" w:ascii="宋体" w:hAnsi="宋体"/>
              </w:rPr>
              <w:t>2</w:t>
            </w:r>
            <w:r>
              <w:rPr>
                <w:rFonts w:ascii="宋体" w:hAnsi="宋体"/>
              </w:rPr>
              <w:t>2</w:t>
            </w:r>
          </w:p>
        </w:tc>
        <w:tc>
          <w:tcPr>
            <w:tcW w:w="2409" w:type="dxa"/>
            <w:vAlign w:val="center"/>
          </w:tcPr>
          <w:p w14:paraId="06CFBAE0">
            <w:pPr>
              <w:jc w:val="center"/>
              <w:rPr>
                <w:rFonts w:ascii="宋体" w:hAnsi="宋体"/>
              </w:rPr>
            </w:pPr>
            <w:r>
              <w:rPr>
                <w:rFonts w:hint="eastAsia" w:ascii="宋体" w:hAnsi="宋体"/>
              </w:rPr>
              <w:t>投标人的替代方案</w:t>
            </w:r>
          </w:p>
        </w:tc>
        <w:tc>
          <w:tcPr>
            <w:tcW w:w="4980" w:type="dxa"/>
            <w:vAlign w:val="center"/>
          </w:tcPr>
          <w:p w14:paraId="5380D251">
            <w:pPr>
              <w:jc w:val="center"/>
              <w:rPr>
                <w:rFonts w:ascii="宋体" w:hAnsi="宋体"/>
              </w:rPr>
            </w:pPr>
            <w:r>
              <w:rPr>
                <w:rFonts w:hint="eastAsia" w:ascii="宋体" w:hAnsi="宋体"/>
              </w:rPr>
              <w:t>不接受</w:t>
            </w:r>
          </w:p>
        </w:tc>
      </w:tr>
      <w:tr w14:paraId="4D3750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09D88B8">
            <w:pPr>
              <w:jc w:val="center"/>
              <w:rPr>
                <w:rFonts w:ascii="宋体" w:hAnsi="宋体"/>
              </w:rPr>
            </w:pPr>
            <w:r>
              <w:rPr>
                <w:rFonts w:hint="eastAsia" w:ascii="宋体" w:hAnsi="宋体"/>
              </w:rPr>
              <w:t>2</w:t>
            </w:r>
            <w:r>
              <w:rPr>
                <w:rFonts w:ascii="宋体" w:hAnsi="宋体"/>
              </w:rPr>
              <w:t>5</w:t>
            </w:r>
          </w:p>
        </w:tc>
        <w:tc>
          <w:tcPr>
            <w:tcW w:w="2409" w:type="dxa"/>
            <w:vAlign w:val="center"/>
          </w:tcPr>
          <w:p w14:paraId="55C45838">
            <w:pPr>
              <w:jc w:val="center"/>
              <w:rPr>
                <w:rFonts w:ascii="宋体" w:hAnsi="宋体"/>
              </w:rPr>
            </w:pPr>
            <w:r>
              <w:rPr>
                <w:rFonts w:hint="eastAsia" w:ascii="宋体" w:hAnsi="宋体"/>
              </w:rPr>
              <w:t>投标文件的大小</w:t>
            </w:r>
          </w:p>
        </w:tc>
        <w:tc>
          <w:tcPr>
            <w:tcW w:w="4980" w:type="dxa"/>
            <w:vAlign w:val="center"/>
          </w:tcPr>
          <w:p w14:paraId="10AD983A">
            <w:pPr>
              <w:jc w:val="center"/>
              <w:rPr>
                <w:rFonts w:ascii="宋体" w:hAnsi="宋体"/>
              </w:rPr>
            </w:pPr>
            <w:r>
              <w:rPr>
                <w:rFonts w:hint="eastAsia" w:ascii="宋体" w:hAnsi="宋体"/>
              </w:rPr>
              <w:t>投标文件大小不得超过100MB</w:t>
            </w:r>
          </w:p>
        </w:tc>
      </w:tr>
      <w:tr w14:paraId="3145CE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E4066FF">
            <w:pPr>
              <w:jc w:val="center"/>
              <w:rPr>
                <w:rFonts w:ascii="宋体" w:hAnsi="宋体"/>
              </w:rPr>
            </w:pPr>
            <w:r>
              <w:rPr>
                <w:rFonts w:hint="eastAsia" w:ascii="宋体" w:hAnsi="宋体"/>
              </w:rPr>
              <w:t>2</w:t>
            </w:r>
            <w:r>
              <w:rPr>
                <w:rFonts w:ascii="宋体" w:hAnsi="宋体"/>
              </w:rPr>
              <w:t>6</w:t>
            </w:r>
          </w:p>
        </w:tc>
        <w:tc>
          <w:tcPr>
            <w:tcW w:w="2409" w:type="dxa"/>
            <w:vAlign w:val="center"/>
          </w:tcPr>
          <w:p w14:paraId="6CD12B10">
            <w:pPr>
              <w:jc w:val="center"/>
              <w:rPr>
                <w:rFonts w:ascii="宋体" w:hAnsi="宋体"/>
              </w:rPr>
            </w:pPr>
            <w:bookmarkStart w:id="33" w:name="_Hlk71664860"/>
            <w:r>
              <w:rPr>
                <w:rFonts w:hint="eastAsia" w:ascii="宋体" w:hAnsi="宋体"/>
              </w:rPr>
              <w:t>样品、现场演示、方案讲解</w:t>
            </w:r>
            <w:bookmarkEnd w:id="33"/>
          </w:p>
        </w:tc>
        <w:tc>
          <w:tcPr>
            <w:tcW w:w="4980" w:type="dxa"/>
            <w:vAlign w:val="center"/>
          </w:tcPr>
          <w:p w14:paraId="6B2CA78D">
            <w:pPr>
              <w:jc w:val="center"/>
              <w:rPr>
                <w:rFonts w:ascii="宋体" w:hAnsi="宋体"/>
              </w:rPr>
            </w:pPr>
            <w:r>
              <w:rPr>
                <w:rFonts w:hint="eastAsia" w:ascii="宋体" w:hAnsi="宋体"/>
              </w:rPr>
              <w:t>无</w:t>
            </w:r>
          </w:p>
        </w:tc>
      </w:tr>
      <w:tr w14:paraId="39C2FF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0504A3A">
            <w:pPr>
              <w:jc w:val="center"/>
              <w:rPr>
                <w:rFonts w:ascii="宋体" w:hAnsi="宋体"/>
              </w:rPr>
            </w:pPr>
            <w:r>
              <w:rPr>
                <w:rFonts w:hint="eastAsia" w:ascii="宋体" w:hAnsi="宋体"/>
              </w:rPr>
              <w:t>3</w:t>
            </w:r>
            <w:r>
              <w:rPr>
                <w:rFonts w:ascii="宋体" w:hAnsi="宋体"/>
              </w:rPr>
              <w:t>7</w:t>
            </w:r>
          </w:p>
        </w:tc>
        <w:tc>
          <w:tcPr>
            <w:tcW w:w="2409" w:type="dxa"/>
            <w:vAlign w:val="center"/>
          </w:tcPr>
          <w:p w14:paraId="19151ADC">
            <w:pPr>
              <w:jc w:val="center"/>
              <w:rPr>
                <w:rFonts w:ascii="宋体" w:hAnsi="宋体"/>
              </w:rPr>
            </w:pPr>
            <w:r>
              <w:rPr>
                <w:rFonts w:hint="eastAsia" w:ascii="宋体" w:hAnsi="宋体"/>
              </w:rPr>
              <w:t>评审方法</w:t>
            </w:r>
          </w:p>
        </w:tc>
        <w:tc>
          <w:tcPr>
            <w:tcW w:w="4980" w:type="dxa"/>
            <w:vAlign w:val="center"/>
          </w:tcPr>
          <w:p w14:paraId="19AA4D77">
            <w:pPr>
              <w:jc w:val="center"/>
              <w:rPr>
                <w:rFonts w:ascii="宋体" w:hAnsi="宋体"/>
              </w:rPr>
            </w:pPr>
            <w:r>
              <w:rPr>
                <w:rFonts w:hint="eastAsia" w:ascii="宋体" w:hAnsi="宋体"/>
              </w:rPr>
              <w:t>综合评分法</w:t>
            </w:r>
          </w:p>
        </w:tc>
      </w:tr>
      <w:tr w14:paraId="57276A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4457042">
            <w:pPr>
              <w:jc w:val="center"/>
              <w:rPr>
                <w:rFonts w:ascii="宋体" w:hAnsi="宋体"/>
              </w:rPr>
            </w:pPr>
            <w:r>
              <w:rPr>
                <w:rFonts w:hint="eastAsia" w:ascii="宋体" w:hAnsi="宋体"/>
              </w:rPr>
              <w:t>3</w:t>
            </w:r>
            <w:r>
              <w:rPr>
                <w:rFonts w:ascii="宋体" w:hAnsi="宋体"/>
              </w:rPr>
              <w:t>8</w:t>
            </w:r>
          </w:p>
        </w:tc>
        <w:tc>
          <w:tcPr>
            <w:tcW w:w="2409" w:type="dxa"/>
            <w:vAlign w:val="center"/>
          </w:tcPr>
          <w:p w14:paraId="29F5C3E6">
            <w:pPr>
              <w:jc w:val="center"/>
              <w:rPr>
                <w:rFonts w:ascii="宋体" w:hAnsi="宋体"/>
              </w:rPr>
            </w:pPr>
            <w:r>
              <w:rPr>
                <w:rFonts w:hint="eastAsia" w:ascii="宋体" w:hAnsi="宋体"/>
              </w:rPr>
              <w:t>定标方法</w:t>
            </w:r>
          </w:p>
        </w:tc>
        <w:tc>
          <w:tcPr>
            <w:tcW w:w="4980" w:type="dxa"/>
            <w:vAlign w:val="center"/>
          </w:tcPr>
          <w:p w14:paraId="15B2A379">
            <w:pPr>
              <w:jc w:val="center"/>
              <w:rPr>
                <w:rFonts w:ascii="宋体" w:hAnsi="宋体"/>
              </w:rPr>
            </w:pPr>
            <w:r>
              <w:rPr>
                <w:rFonts w:hint="eastAsia" w:ascii="宋体" w:hAnsi="宋体"/>
              </w:rPr>
              <w:t>非评定分离</w:t>
            </w:r>
          </w:p>
        </w:tc>
      </w:tr>
      <w:tr w14:paraId="3FEFB4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09840A4">
            <w:pPr>
              <w:jc w:val="center"/>
              <w:rPr>
                <w:rFonts w:ascii="宋体" w:hAnsi="宋体"/>
              </w:rPr>
            </w:pPr>
            <w:r>
              <w:rPr>
                <w:rFonts w:hint="eastAsia" w:ascii="宋体" w:hAnsi="宋体"/>
              </w:rPr>
              <w:t>4</w:t>
            </w:r>
            <w:r>
              <w:rPr>
                <w:rFonts w:ascii="宋体" w:hAnsi="宋体"/>
              </w:rPr>
              <w:t>6</w:t>
            </w:r>
          </w:p>
        </w:tc>
        <w:tc>
          <w:tcPr>
            <w:tcW w:w="2409" w:type="dxa"/>
            <w:vAlign w:val="center"/>
          </w:tcPr>
          <w:p w14:paraId="57438C2E">
            <w:pPr>
              <w:jc w:val="center"/>
              <w:rPr>
                <w:rFonts w:ascii="宋体" w:hAnsi="宋体"/>
              </w:rPr>
            </w:pPr>
            <w:r>
              <w:rPr>
                <w:rFonts w:hint="eastAsia" w:ascii="宋体" w:hAnsi="宋体"/>
              </w:rPr>
              <w:t>履约担保</w:t>
            </w:r>
          </w:p>
        </w:tc>
        <w:tc>
          <w:tcPr>
            <w:tcW w:w="4980" w:type="dxa"/>
            <w:vAlign w:val="center"/>
          </w:tcPr>
          <w:p w14:paraId="0A5502C5">
            <w:pPr>
              <w:jc w:val="center"/>
              <w:rPr>
                <w:rFonts w:ascii="宋体" w:hAnsi="宋体"/>
              </w:rPr>
            </w:pPr>
            <w:r>
              <w:rPr>
                <w:rFonts w:hint="eastAsia" w:ascii="宋体" w:hAnsi="宋体"/>
              </w:rPr>
              <w:t>不需要</w:t>
            </w:r>
          </w:p>
        </w:tc>
      </w:tr>
    </w:tbl>
    <w:p w14:paraId="3A2F7CC5">
      <w:pPr>
        <w:rPr>
          <w:b/>
        </w:rPr>
      </w:pPr>
      <w:r>
        <w:rPr>
          <w:rFonts w:hint="eastAsia"/>
          <w:szCs w:val="21"/>
        </w:rPr>
        <w:t>备注：本表是通用条款相关条款的补充和明确，如与通用条款内容相冲突的，以本表为准。</w:t>
      </w:r>
    </w:p>
    <w:bookmarkEnd w:id="32"/>
    <w:p w14:paraId="0CB28275">
      <w:pPr>
        <w:ind w:firstLine="422" w:firstLineChars="200"/>
        <w:rPr>
          <w:rFonts w:hint="eastAsia"/>
          <w:b/>
        </w:rPr>
      </w:pPr>
      <w:bookmarkStart w:id="34" w:name="_Hlk72579427"/>
      <w:bookmarkStart w:id="35" w:name="_Hlk72218117"/>
    </w:p>
    <w:p w14:paraId="10845DCC">
      <w:pPr>
        <w:pStyle w:val="5"/>
        <w:spacing w:before="120" w:beforeLines="50" w:after="120" w:afterLines="50"/>
        <w:rPr>
          <w:szCs w:val="24"/>
        </w:rPr>
      </w:pPr>
      <w:r>
        <w:rPr>
          <w:rFonts w:hint="eastAsia"/>
          <w:szCs w:val="24"/>
        </w:rPr>
        <w:t>二、其他关键信息</w:t>
      </w:r>
    </w:p>
    <w:p w14:paraId="3516ACE3">
      <w:pPr>
        <w:ind w:firstLine="422" w:firstLineChars="200"/>
        <w:rPr>
          <w:b/>
          <w:bCs/>
        </w:rPr>
      </w:pPr>
      <w:r>
        <w:rPr>
          <w:rFonts w:hint="eastAsia"/>
          <w:b/>
          <w:bCs/>
        </w:rPr>
        <w:t>（一）与“对通用条款的补充内容”章节相关的事项</w:t>
      </w:r>
    </w:p>
    <w:p w14:paraId="07300800">
      <w:pPr>
        <w:ind w:firstLine="422" w:firstLineChars="200"/>
        <w:jc w:val="both"/>
        <w:rPr>
          <w:rFonts w:hint="eastAsia" w:asciiTheme="minorEastAsia" w:hAnsiTheme="minorEastAsia" w:eastAsiaTheme="minorEastAsia"/>
          <w:b/>
          <w:kern w:val="0"/>
          <w:szCs w:val="20"/>
        </w:rPr>
      </w:pPr>
      <w:r>
        <w:rPr>
          <w:rFonts w:hint="eastAsia" w:asciiTheme="minorEastAsia" w:hAnsiTheme="minorEastAsia" w:eastAsiaTheme="minorEastAsia"/>
          <w:b/>
          <w:kern w:val="0"/>
          <w:szCs w:val="20"/>
        </w:rPr>
        <w:t>1、评标定标信息</w:t>
      </w:r>
    </w:p>
    <w:p w14:paraId="13279029">
      <w:pPr>
        <w:ind w:firstLine="422" w:firstLineChars="200"/>
        <w:jc w:val="center"/>
      </w:pPr>
      <w:r>
        <w:rPr>
          <w:rFonts w:hint="eastAsia"/>
          <w:b/>
        </w:rPr>
        <w:t>非评定分离项目</w:t>
      </w:r>
    </w:p>
    <w:tbl>
      <w:tblPr>
        <w:tblStyle w:val="45"/>
        <w:tblW w:w="84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4"/>
        <w:gridCol w:w="5581"/>
      </w:tblGrid>
      <w:tr w14:paraId="37815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14:paraId="06999E63">
            <w:pPr>
              <w:jc w:val="center"/>
            </w:pPr>
            <w:r>
              <w:rPr>
                <w:rFonts w:hint="eastAsia"/>
              </w:rPr>
              <w:t>评标方法</w:t>
            </w:r>
          </w:p>
        </w:tc>
        <w:tc>
          <w:tcPr>
            <w:tcW w:w="5581" w:type="dxa"/>
          </w:tcPr>
          <w:p w14:paraId="60932832">
            <w:pPr>
              <w:jc w:val="center"/>
              <w:rPr>
                <w:rFonts w:hint="default" w:eastAsia="宋体"/>
                <w:lang w:val="en-US" w:eastAsia="zh-CN"/>
              </w:rPr>
            </w:pPr>
            <w:r>
              <w:rPr>
                <w:rFonts w:hint="eastAsia"/>
              </w:rPr>
              <w:t>综合评分法</w:t>
            </w:r>
          </w:p>
        </w:tc>
      </w:tr>
      <w:tr w14:paraId="35E89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14:paraId="1A01A5C0">
            <w:pPr>
              <w:jc w:val="center"/>
            </w:pPr>
            <w:r>
              <w:rPr>
                <w:rFonts w:hint="eastAsia"/>
              </w:rPr>
              <w:t>候选中标供应商家数</w:t>
            </w:r>
          </w:p>
        </w:tc>
        <w:tc>
          <w:tcPr>
            <w:tcW w:w="5581" w:type="dxa"/>
          </w:tcPr>
          <w:p w14:paraId="320B588E">
            <w:pPr>
              <w:jc w:val="center"/>
              <w:rPr>
                <w:rFonts w:hint="eastAsia" w:eastAsia="宋体"/>
                <w:lang w:val="en-US" w:eastAsia="zh-CN"/>
              </w:rPr>
            </w:pPr>
            <w:r>
              <w:rPr>
                <w:rFonts w:hint="eastAsia" w:ascii="Times New Roman" w:eastAsia="宋体"/>
                <w:lang w:val="en-US" w:eastAsia="zh-CN"/>
              </w:rPr>
              <w:t>1</w:t>
            </w:r>
          </w:p>
        </w:tc>
      </w:tr>
      <w:tr w14:paraId="6604F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14:paraId="2B5FA1D1">
            <w:pPr>
              <w:jc w:val="center"/>
            </w:pPr>
            <w:r>
              <w:rPr>
                <w:rFonts w:hint="eastAsia"/>
              </w:rPr>
              <w:t>中标供应商家数</w:t>
            </w:r>
          </w:p>
        </w:tc>
        <w:tc>
          <w:tcPr>
            <w:tcW w:w="5581" w:type="dxa"/>
          </w:tcPr>
          <w:p w14:paraId="007073E0">
            <w:pPr>
              <w:jc w:val="center"/>
            </w:pPr>
            <w:r>
              <w:rPr>
                <w:rFonts w:hint="eastAsia"/>
              </w:rPr>
              <w:t>1</w:t>
            </w:r>
          </w:p>
        </w:tc>
      </w:tr>
    </w:tbl>
    <w:p w14:paraId="6885E2C7">
      <w:pPr>
        <w:ind w:firstLine="0" w:firstLineChars="0"/>
        <w:rPr>
          <w:rFonts w:hint="eastAsia"/>
          <w:b/>
        </w:rPr>
      </w:pPr>
    </w:p>
    <w:p w14:paraId="39B4993A">
      <w:pPr>
        <w:numPr>
          <w:ilvl w:val="-1"/>
          <w:numId w:val="0"/>
        </w:numPr>
        <w:ind w:firstLine="422" w:firstLineChars="200"/>
        <w:rPr>
          <w:rFonts w:hint="eastAsia" w:ascii="Times New Roman" w:hAnsi="Times New Roman" w:eastAsia="宋体" w:cs="Times New Roman"/>
          <w:b/>
          <w:bCs/>
          <w:sz w:val="21"/>
          <w:szCs w:val="24"/>
        </w:rPr>
      </w:pPr>
      <w:r>
        <w:rPr>
          <w:rFonts w:hint="eastAsia" w:cs="Times New Roman"/>
          <w:b/>
          <w:bCs/>
          <w:sz w:val="21"/>
          <w:szCs w:val="24"/>
          <w:lang w:val="en-US" w:eastAsia="zh-CN"/>
        </w:rPr>
        <w:t>2、</w:t>
      </w:r>
      <w:r>
        <w:rPr>
          <w:rFonts w:hint="eastAsia" w:ascii="Times New Roman" w:hAnsi="Times New Roman" w:eastAsia="宋体" w:cs="Times New Roman"/>
          <w:b/>
          <w:bCs/>
          <w:sz w:val="21"/>
          <w:szCs w:val="24"/>
        </w:rPr>
        <w:t>分包表述</w:t>
      </w:r>
    </w:p>
    <w:p w14:paraId="4A014369">
      <w:pPr>
        <w:spacing w:before="0" w:beforeLines="-2147483648" w:after="0" w:afterLines="-2147483648"/>
        <w:ind w:firstLine="420" w:firstLineChars="200"/>
        <w:rPr>
          <w:rFonts w:hint="eastAsia" w:ascii="Times New Roman" w:hAnsi="Times New Roman" w:eastAsia="宋体" w:cs="Times New Roman"/>
          <w:bCs w:val="0"/>
          <w:sz w:val="21"/>
          <w:szCs w:val="24"/>
        </w:rPr>
      </w:pPr>
      <w:r>
        <w:rPr>
          <w:rFonts w:hint="eastAsia" w:ascii="Times New Roman" w:hAnsi="Times New Roman" w:eastAsia="宋体" w:cs="Times New Roman"/>
          <w:bCs w:val="0"/>
          <w:sz w:val="21"/>
          <w:szCs w:val="24"/>
        </w:rPr>
        <w:t>（1）本项目共分为编号为A、B、C</w:t>
      </w:r>
      <w:r>
        <w:rPr>
          <w:rFonts w:hint="eastAsia" w:ascii="Times New Roman" w:hAnsi="Times New Roman" w:eastAsia="宋体" w:cs="Times New Roman"/>
          <w:bCs w:val="0"/>
          <w:sz w:val="21"/>
          <w:szCs w:val="24"/>
          <w:lang w:val="en-US" w:eastAsia="zh-CN"/>
        </w:rPr>
        <w:t>三</w:t>
      </w:r>
      <w:r>
        <w:rPr>
          <w:rFonts w:hint="eastAsia" w:ascii="Times New Roman" w:hAnsi="Times New Roman" w:eastAsia="宋体" w:cs="Times New Roman"/>
          <w:bCs w:val="0"/>
          <w:sz w:val="21"/>
          <w:szCs w:val="24"/>
        </w:rPr>
        <w:t>个包组，将采用综合评分法选择</w:t>
      </w:r>
      <w:r>
        <w:rPr>
          <w:rFonts w:hint="eastAsia" w:ascii="Times New Roman" w:hAnsi="Times New Roman" w:eastAsia="宋体" w:cs="Times New Roman"/>
          <w:bCs w:val="0"/>
          <w:sz w:val="21"/>
          <w:szCs w:val="24"/>
          <w:lang w:val="en-US" w:eastAsia="zh-CN"/>
        </w:rPr>
        <w:t>3</w:t>
      </w:r>
      <w:r>
        <w:rPr>
          <w:rFonts w:hint="eastAsia" w:ascii="Times New Roman" w:hAnsi="Times New Roman" w:eastAsia="宋体" w:cs="Times New Roman"/>
          <w:bCs w:val="0"/>
          <w:sz w:val="21"/>
          <w:szCs w:val="24"/>
        </w:rPr>
        <w:t>家中标单位分别承担A、B、C</w:t>
      </w:r>
      <w:r>
        <w:rPr>
          <w:rFonts w:hint="eastAsia" w:ascii="Times New Roman" w:hAnsi="Times New Roman" w:eastAsia="宋体" w:cs="Times New Roman"/>
          <w:bCs w:val="0"/>
          <w:sz w:val="21"/>
          <w:szCs w:val="24"/>
          <w:lang w:val="en-US" w:eastAsia="zh-CN"/>
        </w:rPr>
        <w:t>三</w:t>
      </w:r>
      <w:r>
        <w:rPr>
          <w:rFonts w:hint="eastAsia" w:ascii="Times New Roman" w:hAnsi="Times New Roman" w:eastAsia="宋体" w:cs="Times New Roman"/>
          <w:bCs w:val="0"/>
          <w:sz w:val="21"/>
          <w:szCs w:val="24"/>
        </w:rPr>
        <w:t>个包组相关任务。本包为</w:t>
      </w:r>
      <w:r>
        <w:rPr>
          <w:rFonts w:hint="eastAsia" w:cs="Times New Roman"/>
          <w:b/>
          <w:bCs/>
          <w:sz w:val="21"/>
          <w:szCs w:val="24"/>
          <w:highlight w:val="yellow"/>
          <w:lang w:val="en-US" w:eastAsia="zh-CN"/>
        </w:rPr>
        <w:t>B</w:t>
      </w:r>
      <w:r>
        <w:rPr>
          <w:rFonts w:hint="eastAsia" w:ascii="Times New Roman" w:hAnsi="Times New Roman" w:eastAsia="宋体" w:cs="Times New Roman"/>
          <w:b/>
          <w:bCs/>
          <w:sz w:val="21"/>
          <w:szCs w:val="24"/>
          <w:highlight w:val="yellow"/>
        </w:rPr>
        <w:t>包</w:t>
      </w:r>
      <w:r>
        <w:rPr>
          <w:rFonts w:hint="eastAsia" w:ascii="Times New Roman" w:hAnsi="Times New Roman" w:eastAsia="宋体" w:cs="Times New Roman"/>
          <w:bCs w:val="0"/>
          <w:sz w:val="21"/>
          <w:szCs w:val="24"/>
        </w:rPr>
        <w:t>（标的内容详见本文件</w:t>
      </w:r>
      <w:r>
        <w:rPr>
          <w:rFonts w:hint="eastAsia" w:ascii="Times New Roman" w:hAnsi="Times New Roman" w:eastAsia="宋体" w:cs="Times New Roman"/>
          <w:bCs w:val="0"/>
          <w:sz w:val="21"/>
          <w:szCs w:val="24"/>
          <w:lang w:eastAsia="zh-CN"/>
        </w:rPr>
        <w:t>“</w:t>
      </w:r>
      <w:r>
        <w:rPr>
          <w:rFonts w:hint="eastAsia" w:ascii="Times New Roman" w:hAnsi="Times New Roman" w:eastAsia="宋体" w:cs="Times New Roman"/>
          <w:bCs w:val="0"/>
          <w:sz w:val="21"/>
          <w:szCs w:val="24"/>
        </w:rPr>
        <w:t>第三章 用户需求书</w:t>
      </w:r>
      <w:r>
        <w:rPr>
          <w:rFonts w:hint="eastAsia" w:ascii="Times New Roman" w:hAnsi="Times New Roman" w:eastAsia="宋体" w:cs="Times New Roman"/>
          <w:bCs w:val="0"/>
          <w:sz w:val="21"/>
          <w:szCs w:val="24"/>
          <w:lang w:eastAsia="zh-CN"/>
        </w:rPr>
        <w:t>”</w:t>
      </w:r>
      <w:r>
        <w:rPr>
          <w:rFonts w:hint="eastAsia" w:ascii="Times New Roman" w:hAnsi="Times New Roman" w:eastAsia="宋体" w:cs="Times New Roman"/>
          <w:bCs w:val="0"/>
          <w:sz w:val="21"/>
          <w:szCs w:val="24"/>
        </w:rPr>
        <w:t>）。</w:t>
      </w:r>
    </w:p>
    <w:p w14:paraId="6ECF44D1">
      <w:pPr>
        <w:spacing w:before="0" w:beforeLines="-2147483648" w:after="0" w:afterLines="-2147483648"/>
        <w:ind w:firstLine="420" w:firstLineChars="200"/>
        <w:rPr>
          <w:rFonts w:hint="eastAsia" w:ascii="Times New Roman" w:hAnsi="Times New Roman" w:eastAsia="宋体" w:cs="Times New Roman"/>
          <w:bCs w:val="0"/>
          <w:sz w:val="21"/>
          <w:szCs w:val="24"/>
        </w:rPr>
      </w:pPr>
      <w:r>
        <w:rPr>
          <w:rFonts w:hint="eastAsia" w:ascii="Times New Roman" w:hAnsi="Times New Roman" w:eastAsia="宋体" w:cs="Times New Roman"/>
          <w:bCs w:val="0"/>
          <w:sz w:val="21"/>
          <w:szCs w:val="24"/>
        </w:rPr>
        <w:t>（2）投标原则：投标人可以选择投其中1个包组或多个包组，每个包组</w:t>
      </w:r>
      <w:r>
        <w:rPr>
          <w:rFonts w:hint="eastAsia" w:ascii="Times New Roman" w:hAnsi="Times New Roman" w:eastAsia="宋体" w:cs="Times New Roman"/>
          <w:bCs w:val="0"/>
          <w:sz w:val="21"/>
          <w:szCs w:val="24"/>
          <w:lang w:val="en-US" w:eastAsia="zh-CN"/>
        </w:rPr>
        <w:t>均</w:t>
      </w:r>
      <w:r>
        <w:rPr>
          <w:rFonts w:hint="eastAsia" w:ascii="Times New Roman" w:hAnsi="Times New Roman" w:eastAsia="宋体" w:cs="Times New Roman"/>
          <w:bCs w:val="0"/>
          <w:sz w:val="21"/>
          <w:szCs w:val="24"/>
        </w:rPr>
        <w:t>需要独立制作1份投标文件，并按所投包号上传投标文件。</w:t>
      </w:r>
    </w:p>
    <w:p w14:paraId="2CD2EF3A">
      <w:pPr>
        <w:spacing w:before="0" w:beforeLines="-2147483648" w:after="0" w:afterLines="-2147483648"/>
        <w:ind w:firstLine="420" w:firstLineChars="200"/>
        <w:rPr>
          <w:rFonts w:hint="eastAsia" w:ascii="Times New Roman" w:hAnsi="Times New Roman" w:eastAsia="宋体" w:cs="Times New Roman"/>
          <w:bCs w:val="0"/>
          <w:sz w:val="21"/>
          <w:szCs w:val="24"/>
        </w:rPr>
      </w:pPr>
      <w:r>
        <w:rPr>
          <w:rFonts w:hint="eastAsia" w:ascii="Times New Roman" w:hAnsi="Times New Roman" w:eastAsia="宋体" w:cs="Times New Roman"/>
          <w:bCs w:val="0"/>
          <w:sz w:val="21"/>
          <w:szCs w:val="24"/>
        </w:rPr>
        <w:t>（3）中标原则：本项目按A-</w:t>
      </w:r>
      <w:r>
        <w:rPr>
          <w:rFonts w:hint="eastAsia" w:ascii="Times New Roman" w:hAnsi="Times New Roman" w:eastAsia="宋体" w:cs="Times New Roman"/>
          <w:bCs w:val="0"/>
          <w:sz w:val="21"/>
          <w:szCs w:val="24"/>
          <w:lang w:val="en-US" w:eastAsia="zh-CN"/>
        </w:rPr>
        <w:t>C</w:t>
      </w:r>
      <w:r>
        <w:rPr>
          <w:rFonts w:hint="eastAsia" w:ascii="Times New Roman" w:hAnsi="Times New Roman" w:eastAsia="宋体" w:cs="Times New Roman"/>
          <w:bCs w:val="0"/>
          <w:sz w:val="21"/>
          <w:szCs w:val="24"/>
        </w:rPr>
        <w:t>的顺序对</w:t>
      </w:r>
      <w:r>
        <w:rPr>
          <w:rFonts w:hint="eastAsia" w:ascii="Times New Roman" w:hAnsi="Times New Roman" w:eastAsia="宋体" w:cs="Times New Roman"/>
          <w:bCs w:val="0"/>
          <w:sz w:val="21"/>
          <w:szCs w:val="24"/>
          <w:lang w:val="en-US" w:eastAsia="zh-CN"/>
        </w:rPr>
        <w:t>三</w:t>
      </w:r>
      <w:r>
        <w:rPr>
          <w:rFonts w:hint="eastAsia" w:ascii="Times New Roman" w:hAnsi="Times New Roman" w:eastAsia="宋体" w:cs="Times New Roman"/>
          <w:bCs w:val="0"/>
          <w:sz w:val="21"/>
          <w:szCs w:val="24"/>
        </w:rPr>
        <w:t>个分包组进行评审，每个包组均取排名第一名者为该包组的候选中标供应商。各投标人可同时对多个包组进行投标，但最多只能中一个包</w:t>
      </w:r>
      <w:r>
        <w:rPr>
          <w:rFonts w:hint="eastAsia" w:ascii="Times New Roman" w:hAnsi="Times New Roman" w:eastAsia="宋体" w:cs="Times New Roman"/>
          <w:b w:val="0"/>
          <w:sz w:val="21"/>
          <w:szCs w:val="24"/>
        </w:rPr>
        <w:t>（</w:t>
      </w:r>
      <w:r>
        <w:rPr>
          <w:rFonts w:hint="eastAsia" w:ascii="Times New Roman" w:hAnsi="Times New Roman" w:eastAsia="宋体" w:cs="Times New Roman"/>
          <w:b w:val="0"/>
          <w:sz w:val="21"/>
          <w:szCs w:val="24"/>
          <w:lang w:val="en-US" w:eastAsia="zh-CN"/>
        </w:rPr>
        <w:t>即</w:t>
      </w:r>
      <w:r>
        <w:rPr>
          <w:rFonts w:hint="eastAsia" w:ascii="Times New Roman" w:hAnsi="Times New Roman" w:eastAsia="宋体" w:cs="Times New Roman"/>
          <w:b w:val="0"/>
          <w:sz w:val="21"/>
          <w:szCs w:val="24"/>
        </w:rPr>
        <w:t>可兼投，不可兼中）</w:t>
      </w:r>
      <w:r>
        <w:rPr>
          <w:rFonts w:hint="eastAsia" w:ascii="Times New Roman" w:hAnsi="Times New Roman" w:eastAsia="宋体" w:cs="Times New Roman"/>
          <w:bCs w:val="0"/>
          <w:sz w:val="21"/>
          <w:szCs w:val="24"/>
        </w:rPr>
        <w:t>，当某一投标人已在前一个包</w:t>
      </w:r>
      <w:r>
        <w:rPr>
          <w:rFonts w:hint="eastAsia" w:ascii="Times New Roman" w:hAnsi="Times New Roman" w:eastAsia="宋体" w:cs="Times New Roman"/>
          <w:bCs w:val="0"/>
          <w:sz w:val="21"/>
          <w:szCs w:val="24"/>
          <w:lang w:val="en-US" w:eastAsia="zh-CN"/>
        </w:rPr>
        <w:t>组</w:t>
      </w:r>
      <w:r>
        <w:rPr>
          <w:rFonts w:hint="eastAsia" w:ascii="Times New Roman" w:hAnsi="Times New Roman" w:eastAsia="宋体" w:cs="Times New Roman"/>
          <w:bCs w:val="0"/>
          <w:sz w:val="21"/>
          <w:szCs w:val="24"/>
        </w:rPr>
        <w:t>中综合得分排名第一时，则该投标人不得参与下一个包号评审（</w:t>
      </w:r>
      <w:r>
        <w:rPr>
          <w:rFonts w:hint="eastAsia" w:ascii="Times New Roman" w:hAnsi="Times New Roman" w:eastAsia="宋体" w:cs="Times New Roman"/>
          <w:bCs w:val="0"/>
          <w:sz w:val="21"/>
          <w:szCs w:val="24"/>
          <w:lang w:val="en-US" w:eastAsia="zh-CN"/>
        </w:rPr>
        <w:t>即</w:t>
      </w:r>
      <w:r>
        <w:rPr>
          <w:rFonts w:hint="eastAsia" w:ascii="Times New Roman" w:hAnsi="Times New Roman" w:eastAsia="宋体" w:cs="Times New Roman"/>
          <w:bCs w:val="0"/>
          <w:sz w:val="21"/>
          <w:szCs w:val="24"/>
        </w:rPr>
        <w:t>符合性审查“法律、法规、规章、规范性文件规定的其他情形。”条款不通过）。所有包组有效投标人均必须达到法定数量（三家或以上）方可开标，有效投标人未达到法定数量的包组作废标处理</w:t>
      </w:r>
      <w:r>
        <w:rPr>
          <w:rFonts w:hint="eastAsia" w:ascii="Times New Roman" w:hAnsi="Times New Roman" w:eastAsia="宋体" w:cs="Times New Roman"/>
          <w:bCs w:val="0"/>
          <w:sz w:val="21"/>
          <w:szCs w:val="24"/>
          <w:lang w:eastAsia="zh-CN"/>
        </w:rPr>
        <w:t>，</w:t>
      </w:r>
      <w:r>
        <w:rPr>
          <w:rFonts w:hint="eastAsia" w:ascii="Times New Roman" w:hAnsi="Times New Roman" w:eastAsia="宋体" w:cs="Times New Roman"/>
          <w:bCs w:val="0"/>
          <w:sz w:val="21"/>
          <w:szCs w:val="24"/>
          <w:lang w:val="en-US" w:eastAsia="zh-CN"/>
        </w:rPr>
        <w:t>不影响其余包组</w:t>
      </w:r>
      <w:r>
        <w:rPr>
          <w:rFonts w:hint="eastAsia" w:ascii="Times New Roman" w:hAnsi="Times New Roman" w:eastAsia="宋体" w:cs="Times New Roman"/>
          <w:bCs w:val="0"/>
          <w:sz w:val="21"/>
          <w:szCs w:val="24"/>
        </w:rPr>
        <w:t>进行评审。</w:t>
      </w:r>
    </w:p>
    <w:p w14:paraId="3251B3FC">
      <w:pPr>
        <w:spacing w:before="0" w:beforeLines="-2147483648" w:after="0" w:afterLines="-2147483648"/>
        <w:ind w:firstLine="420" w:firstLineChars="200"/>
        <w:rPr>
          <w:rFonts w:hint="eastAsia" w:ascii="Times New Roman" w:hAnsi="Times New Roman" w:eastAsia="宋体" w:cs="Times New Roman"/>
          <w:bCs w:val="0"/>
          <w:sz w:val="21"/>
          <w:szCs w:val="24"/>
        </w:rPr>
      </w:pPr>
      <w:r>
        <w:rPr>
          <w:rFonts w:hint="eastAsia" w:ascii="Times New Roman" w:hAnsi="Times New Roman" w:eastAsia="宋体" w:cs="Times New Roman"/>
          <w:bCs w:val="0"/>
          <w:sz w:val="21"/>
          <w:szCs w:val="24"/>
        </w:rPr>
        <w:t>举例：供应商甲同时投标</w:t>
      </w:r>
      <w:r>
        <w:rPr>
          <w:rFonts w:hint="eastAsia" w:ascii="Times New Roman" w:hAnsi="Times New Roman" w:eastAsia="宋体" w:cs="Times New Roman"/>
          <w:bCs w:val="0"/>
          <w:sz w:val="21"/>
          <w:szCs w:val="24"/>
          <w:lang w:val="en-US" w:eastAsia="zh-CN"/>
        </w:rPr>
        <w:t>三</w:t>
      </w:r>
      <w:r>
        <w:rPr>
          <w:rFonts w:hint="eastAsia" w:ascii="Times New Roman" w:hAnsi="Times New Roman" w:eastAsia="宋体" w:cs="Times New Roman"/>
          <w:bCs w:val="0"/>
          <w:sz w:val="21"/>
          <w:szCs w:val="24"/>
        </w:rPr>
        <w:t>个包组（A、B、C），且通过综合评分，在A包评审中综合得分排名第一时，则</w:t>
      </w:r>
      <w:r>
        <w:rPr>
          <w:rFonts w:hint="eastAsia" w:ascii="Times New Roman" w:hAnsi="Times New Roman" w:eastAsia="宋体" w:cs="Times New Roman"/>
          <w:bCs w:val="0"/>
          <w:sz w:val="21"/>
          <w:szCs w:val="24"/>
          <w:lang w:val="en-US" w:eastAsia="zh-CN"/>
        </w:rPr>
        <w:t>不得</w:t>
      </w:r>
      <w:r>
        <w:rPr>
          <w:rFonts w:hint="eastAsia" w:ascii="Times New Roman" w:hAnsi="Times New Roman" w:eastAsia="宋体" w:cs="Times New Roman"/>
          <w:bCs w:val="0"/>
          <w:sz w:val="21"/>
          <w:szCs w:val="24"/>
        </w:rPr>
        <w:t>参与B、C包的评审。</w:t>
      </w:r>
    </w:p>
    <w:p w14:paraId="03E757A7">
      <w:pPr>
        <w:pStyle w:val="54"/>
        <w:ind w:firstLine="420" w:firstLineChars="200"/>
        <w:rPr>
          <w:rFonts w:hint="eastAsia"/>
        </w:rPr>
      </w:pPr>
      <w:r>
        <w:rPr>
          <w:rFonts w:hint="eastAsia" w:ascii="Times New Roman" w:hAnsi="Times New Roman" w:eastAsia="宋体" w:cs="Times New Roman"/>
          <w:bCs w:val="0"/>
          <w:sz w:val="21"/>
          <w:szCs w:val="24"/>
          <w:lang w:val="en-US" w:eastAsia="zh-CN"/>
        </w:rPr>
        <w:t>注：本项目候选中标供应商家数为1家，</w:t>
      </w:r>
      <w:r>
        <w:rPr>
          <w:rFonts w:hint="eastAsia" w:ascii="Times New Roman" w:hAnsi="Times New Roman" w:eastAsia="宋体" w:cs="Times New Roman"/>
          <w:bCs w:val="0"/>
          <w:sz w:val="21"/>
          <w:szCs w:val="24"/>
        </w:rPr>
        <w:t>如其中某一个包组因质疑、投诉或其他原因</w:t>
      </w:r>
      <w:r>
        <w:rPr>
          <w:rFonts w:hint="eastAsia" w:ascii="Times New Roman" w:hAnsi="Times New Roman" w:eastAsia="宋体" w:cs="Times New Roman"/>
          <w:bCs w:val="0"/>
          <w:sz w:val="21"/>
          <w:szCs w:val="24"/>
          <w:lang w:eastAsia="zh-CN"/>
        </w:rPr>
        <w:t>，</w:t>
      </w:r>
      <w:r>
        <w:rPr>
          <w:rFonts w:hint="eastAsia" w:ascii="Times New Roman" w:hAnsi="Times New Roman" w:eastAsia="宋体" w:cs="Times New Roman"/>
          <w:bCs w:val="0"/>
          <w:sz w:val="21"/>
          <w:szCs w:val="24"/>
        </w:rPr>
        <w:t>导致</w:t>
      </w:r>
      <w:r>
        <w:rPr>
          <w:rFonts w:hint="eastAsia" w:ascii="Times New Roman" w:hAnsi="Times New Roman" w:eastAsia="宋体" w:cs="Times New Roman"/>
          <w:bCs w:val="0"/>
          <w:sz w:val="21"/>
          <w:szCs w:val="24"/>
          <w:lang w:val="en-US" w:eastAsia="zh-CN"/>
        </w:rPr>
        <w:t>候选中标供应商被认定投标（中标）资格无效或者</w:t>
      </w:r>
      <w:r>
        <w:rPr>
          <w:rFonts w:hint="eastAsia" w:ascii="Times New Roman" w:hAnsi="Times New Roman" w:eastAsia="宋体" w:cs="Times New Roman"/>
          <w:bCs w:val="0"/>
          <w:sz w:val="21"/>
          <w:szCs w:val="24"/>
        </w:rPr>
        <w:t>中标结果发生变化，该包组重新</w:t>
      </w:r>
      <w:r>
        <w:rPr>
          <w:rFonts w:hint="eastAsia" w:ascii="Times New Roman" w:hAnsi="Times New Roman" w:eastAsia="宋体" w:cs="Times New Roman"/>
          <w:bCs w:val="0"/>
          <w:sz w:val="21"/>
          <w:szCs w:val="24"/>
          <w:lang w:val="en-US" w:eastAsia="zh-CN"/>
        </w:rPr>
        <w:t>采购</w:t>
      </w:r>
      <w:r>
        <w:rPr>
          <w:rFonts w:hint="eastAsia" w:ascii="Times New Roman" w:hAnsi="Times New Roman" w:eastAsia="宋体" w:cs="Times New Roman"/>
          <w:bCs w:val="0"/>
          <w:sz w:val="21"/>
          <w:szCs w:val="24"/>
        </w:rPr>
        <w:t>，相关情况不影响其它包组的</w:t>
      </w:r>
      <w:r>
        <w:rPr>
          <w:rFonts w:hint="eastAsia" w:ascii="Times New Roman" w:hAnsi="Times New Roman" w:eastAsia="宋体" w:cs="Times New Roman"/>
          <w:bCs w:val="0"/>
          <w:sz w:val="21"/>
          <w:szCs w:val="24"/>
          <w:lang w:val="en-US" w:eastAsia="zh-CN"/>
        </w:rPr>
        <w:t>采购程序及采购</w:t>
      </w:r>
      <w:r>
        <w:rPr>
          <w:rFonts w:hint="eastAsia" w:ascii="Times New Roman" w:hAnsi="Times New Roman" w:eastAsia="宋体" w:cs="Times New Roman"/>
          <w:bCs w:val="0"/>
          <w:sz w:val="21"/>
          <w:szCs w:val="24"/>
        </w:rPr>
        <w:t>结果。</w:t>
      </w:r>
    </w:p>
    <w:p w14:paraId="4AEC19DF">
      <w:pPr>
        <w:pStyle w:val="54"/>
        <w:rPr>
          <w:rFonts w:hint="eastAsia"/>
        </w:rPr>
      </w:pPr>
    </w:p>
    <w:p w14:paraId="2B961667">
      <w:pPr>
        <w:ind w:firstLine="422" w:firstLineChars="200"/>
        <w:rPr>
          <w:b/>
        </w:rPr>
      </w:pPr>
      <w:r>
        <w:rPr>
          <w:rFonts w:hint="eastAsia"/>
          <w:b/>
        </w:rPr>
        <w:t>（二）其他事项</w:t>
      </w:r>
      <w:bookmarkEnd w:id="34"/>
    </w:p>
    <w:p w14:paraId="024585E9">
      <w:pPr>
        <w:ind w:firstLine="422" w:firstLineChars="200"/>
        <w:rPr>
          <w:rFonts w:hint="default" w:eastAsia="宋体"/>
          <w:b/>
          <w:bCs/>
          <w:lang w:val="en-US" w:eastAsia="zh-CN"/>
        </w:rPr>
      </w:pPr>
      <w:r>
        <w:rPr>
          <w:b/>
          <w:bCs/>
        </w:rPr>
        <w:t>1</w:t>
      </w:r>
      <w:r>
        <w:rPr>
          <w:rFonts w:hint="eastAsia"/>
          <w:b/>
          <w:bCs/>
        </w:rPr>
        <w:t>、</w:t>
      </w:r>
      <w:r>
        <w:rPr>
          <w:rFonts w:hint="eastAsia"/>
          <w:b/>
          <w:bCs/>
          <w:lang w:val="en-US" w:eastAsia="zh-CN"/>
        </w:rPr>
        <w:t>关于享受</w:t>
      </w:r>
      <w:r>
        <w:rPr>
          <w:rFonts w:hint="eastAsia"/>
          <w:b/>
          <w:bCs/>
        </w:rPr>
        <w:t>优惠政策的主体</w:t>
      </w:r>
      <w:r>
        <w:rPr>
          <w:rFonts w:hint="eastAsia"/>
          <w:b/>
          <w:bCs/>
          <w:lang w:eastAsia="zh-CN"/>
        </w:rPr>
        <w:t>、</w:t>
      </w:r>
      <w:r>
        <w:rPr>
          <w:rFonts w:hint="eastAsia"/>
          <w:b/>
          <w:bCs/>
        </w:rPr>
        <w:t>价格扣除比例</w:t>
      </w:r>
      <w:r>
        <w:rPr>
          <w:rFonts w:hint="eastAsia"/>
          <w:b/>
          <w:bCs/>
          <w:lang w:val="en-US" w:eastAsia="zh-CN"/>
        </w:rPr>
        <w:t>及采购标的所属行业的说明</w:t>
      </w:r>
    </w:p>
    <w:p w14:paraId="4AF6717B">
      <w:pPr>
        <w:ind w:firstLine="420" w:firstLineChars="200"/>
        <w:rPr>
          <w:rFonts w:hint="default" w:eastAsia="宋体"/>
          <w:lang w:val="en-US" w:eastAsia="zh-CN"/>
        </w:rPr>
      </w:pPr>
      <w:r>
        <w:rPr>
          <w:rFonts w:hint="eastAsia"/>
        </w:rPr>
        <w:t>（1）</w:t>
      </w:r>
      <w:r>
        <w:rPr>
          <w:rFonts w:hint="eastAsia"/>
          <w:lang w:val="en-US" w:eastAsia="zh-CN"/>
        </w:rPr>
        <w:t>专门面向中小企业采购的项目，不再执行价格扣除比例。</w:t>
      </w:r>
    </w:p>
    <w:p w14:paraId="7F95CBB6">
      <w:pPr>
        <w:ind w:firstLine="420" w:firstLineChars="200"/>
      </w:pPr>
      <w:r>
        <w:rPr>
          <w:rFonts w:hint="eastAsia"/>
          <w:lang w:eastAsia="zh-CN"/>
        </w:rPr>
        <w:t>（</w:t>
      </w:r>
      <w:r>
        <w:rPr>
          <w:rFonts w:hint="eastAsia"/>
          <w:lang w:val="en-US" w:eastAsia="zh-CN"/>
        </w:rPr>
        <w:t>2</w:t>
      </w:r>
      <w:r>
        <w:rPr>
          <w:rFonts w:hint="eastAsia"/>
          <w:lang w:eastAsia="zh-CN"/>
        </w:rPr>
        <w:t>）</w:t>
      </w:r>
      <w:r>
        <w:rPr>
          <w:rFonts w:hint="eastAsia"/>
          <w:lang w:val="en-US" w:eastAsia="zh-CN"/>
        </w:rPr>
        <w:t>非</w:t>
      </w:r>
      <w:r>
        <w:rPr>
          <w:rFonts w:hint="eastAsia" w:ascii="Times New Roman" w:eastAsia="宋体"/>
          <w:lang w:val="en-US" w:eastAsia="zh-CN"/>
        </w:rPr>
        <w:t>专门面向中小企业采购的项目，</w:t>
      </w:r>
      <w:r>
        <w:rPr>
          <w:rFonts w:hint="eastAsia"/>
          <w:lang w:val="en-US" w:eastAsia="zh-CN"/>
        </w:rPr>
        <w:t>应</w:t>
      </w:r>
      <w:r>
        <w:rPr>
          <w:rFonts w:hint="eastAsia" w:ascii="Times New Roman" w:eastAsia="宋体"/>
          <w:lang w:val="en-US" w:eastAsia="zh-CN"/>
        </w:rPr>
        <w:t>执行价格扣除比例</w:t>
      </w:r>
      <w:r>
        <w:rPr>
          <w:rFonts w:hint="eastAsia"/>
          <w:lang w:val="en-US" w:eastAsia="zh-CN"/>
        </w:rPr>
        <w:t>：</w:t>
      </w:r>
      <w:r>
        <w:rPr>
          <w:rFonts w:hint="eastAsia"/>
        </w:rPr>
        <w:t>投标人提供的货物（以招标文件用户需求书“货物清单明细”的“货物名称”一栏为准）全部均由优惠主体制造，则对其投标总价给予</w:t>
      </w:r>
      <w:r>
        <w:rPr>
          <w:color w:val="FF0000"/>
          <w:u w:val="single"/>
        </w:rPr>
        <w:t xml:space="preserve">  </w:t>
      </w:r>
      <w:r>
        <w:rPr>
          <w:rFonts w:hint="eastAsia"/>
          <w:color w:val="FF0000"/>
          <w:u w:val="single"/>
          <w:lang w:val="en-US" w:eastAsia="zh-CN"/>
        </w:rPr>
        <w:t xml:space="preserve">  10</w:t>
      </w:r>
      <w:r>
        <w:rPr>
          <w:color w:val="FF0000"/>
          <w:u w:val="single"/>
        </w:rPr>
        <w:t xml:space="preserve">  </w:t>
      </w:r>
      <w:r>
        <w:rPr>
          <w:rFonts w:hint="eastAsia"/>
          <w:color w:val="FF0000"/>
          <w:u w:val="single"/>
          <w:lang w:val="en-US" w:eastAsia="zh-CN"/>
        </w:rPr>
        <w:t xml:space="preserve"> </w:t>
      </w:r>
      <w:r>
        <w:rPr>
          <w:rFonts w:hint="eastAsia"/>
          <w:color w:val="FF0000"/>
          <w:u w:val="none"/>
          <w:lang w:val="en-US" w:eastAsia="zh-CN"/>
        </w:rPr>
        <w:t xml:space="preserve"> </w:t>
      </w:r>
      <w:r>
        <w:rPr>
          <w:color w:val="FF0000"/>
          <w:u w:val="none"/>
        </w:rPr>
        <w:t>%</w:t>
      </w:r>
      <w:r>
        <w:rPr>
          <w:rFonts w:hint="eastAsia"/>
        </w:rPr>
        <w:t>的扣除，用扣除后的价格参与评审。满足多项优惠政策的</w:t>
      </w:r>
      <w:r>
        <w:rPr>
          <w:rFonts w:hint="eastAsia"/>
          <w:lang w:val="en-US" w:eastAsia="zh-CN"/>
        </w:rPr>
        <w:t>供应商</w:t>
      </w:r>
      <w:r>
        <w:rPr>
          <w:rFonts w:hint="eastAsia"/>
        </w:rPr>
        <w:t>，不重复享受多项价格扣除政策。</w:t>
      </w:r>
    </w:p>
    <w:p w14:paraId="7B98CB1C">
      <w:pPr>
        <w:ind w:firstLine="420" w:firstLineChars="200"/>
      </w:pPr>
      <w:r>
        <w:rPr>
          <w:rFonts w:hint="eastAsia"/>
        </w:rPr>
        <w:t>备注：（a）</w:t>
      </w:r>
      <w:r>
        <w:rPr>
          <w:rFonts w:hint="eastAsia"/>
          <w:lang w:val="en-US" w:eastAsia="zh-CN"/>
        </w:rPr>
        <w:t>享受价格扣除</w:t>
      </w:r>
      <w:r>
        <w:rPr>
          <w:rFonts w:hint="eastAsia"/>
        </w:rPr>
        <w:t>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w:t>
      </w:r>
      <w:r>
        <w:rPr>
          <w:rFonts w:hint="eastAsia" w:ascii="宋体" w:hAnsi="宋体" w:cs="宋体"/>
          <w:szCs w:val="21"/>
        </w:rPr>
        <w:t>、自行采购</w:t>
      </w:r>
      <w:r>
        <w:rPr>
          <w:rFonts w:hint="eastAsia"/>
        </w:rPr>
        <w:t>活动中视同中小企业；(</w:t>
      </w:r>
      <w:r>
        <w:t>b)</w:t>
      </w:r>
      <w:r>
        <w:rPr>
          <w:rFonts w:hint="eastAsia"/>
        </w:rPr>
        <w:t>优惠主体制造是指货物由优惠主体生产且使用该优惠主体商号或者注册商标；投标人提供的货物既有优惠主体制造货物，又有非优惠主体制造货物的，不给予价格扣除。</w:t>
      </w:r>
    </w:p>
    <w:p w14:paraId="42E9F88E">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w:t>
      </w:r>
      <w:bookmarkStart w:id="36" w:name="_Hlk71970739"/>
      <w:r>
        <w:rPr>
          <w:rFonts w:hint="eastAsia" w:asciiTheme="minorEastAsia" w:hAnsiTheme="minorEastAsia" w:eastAsiaTheme="minorEastAsia" w:cstheme="minorEastAsia"/>
          <w:sz w:val="21"/>
          <w:szCs w:val="21"/>
        </w:rPr>
        <w:t>中小企业参加政府采购</w:t>
      </w:r>
      <w:r>
        <w:rPr>
          <w:rFonts w:hint="eastAsia" w:ascii="宋体" w:hAnsi="宋体" w:cs="宋体"/>
          <w:szCs w:val="21"/>
        </w:rPr>
        <w:t>、自行采购</w:t>
      </w:r>
      <w:r>
        <w:rPr>
          <w:rFonts w:hint="eastAsia" w:asciiTheme="minorEastAsia" w:hAnsiTheme="minorEastAsia" w:eastAsiaTheme="minorEastAsia" w:cstheme="minorEastAsia"/>
          <w:sz w:val="21"/>
          <w:szCs w:val="21"/>
        </w:rPr>
        <w:t>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hint="eastAsia" w:asciiTheme="minorEastAsia" w:hAnsiTheme="minorEastAsia" w:eastAsiaTheme="minorEastAsia" w:cstheme="minorEastAsia"/>
          <w:b/>
          <w:bCs/>
          <w:color w:val="FF0000"/>
          <w:sz w:val="21"/>
          <w:szCs w:val="21"/>
        </w:rPr>
        <w:t>《中小企业声明函》中相关企业</w:t>
      </w:r>
      <w:r>
        <w:rPr>
          <w:rFonts w:hint="eastAsia" w:asciiTheme="minorEastAsia" w:hAnsiTheme="minorEastAsia" w:eastAsiaTheme="minorEastAsia" w:cstheme="minorEastAsia"/>
          <w:b/>
          <w:bCs/>
          <w:color w:val="FF0000"/>
          <w:sz w:val="21"/>
          <w:szCs w:val="21"/>
          <w:lang w:eastAsia="zh-CN"/>
        </w:rPr>
        <w:t>（</w:t>
      </w:r>
      <w:r>
        <w:rPr>
          <w:rFonts w:hint="eastAsia" w:asciiTheme="minorEastAsia" w:hAnsiTheme="minorEastAsia" w:eastAsiaTheme="minorEastAsia" w:cstheme="minorEastAsia"/>
          <w:b/>
          <w:bCs/>
          <w:color w:val="FF0000"/>
          <w:sz w:val="21"/>
          <w:szCs w:val="21"/>
          <w:lang w:val="en-US" w:eastAsia="zh-CN"/>
        </w:rPr>
        <w:t>货物制造商</w:t>
      </w:r>
      <w:r>
        <w:rPr>
          <w:rFonts w:hint="eastAsia" w:asciiTheme="minorEastAsia" w:hAnsiTheme="minorEastAsia" w:eastAsiaTheme="minorEastAsia" w:cstheme="minorEastAsia"/>
          <w:b/>
          <w:bCs/>
          <w:color w:val="FF0000"/>
          <w:sz w:val="21"/>
          <w:szCs w:val="21"/>
          <w:lang w:eastAsia="zh-CN"/>
        </w:rPr>
        <w:t>）</w:t>
      </w:r>
      <w:r>
        <w:rPr>
          <w:rFonts w:hint="eastAsia" w:asciiTheme="minorEastAsia" w:hAnsiTheme="minorEastAsia" w:eastAsiaTheme="minorEastAsia" w:cstheme="minorEastAsia"/>
          <w:b/>
          <w:bCs/>
          <w:color w:val="FF0000"/>
          <w:sz w:val="21"/>
          <w:szCs w:val="21"/>
        </w:rPr>
        <w:t>所属行业应当与采购标的所属行业相一致</w:t>
      </w:r>
      <w:r>
        <w:rPr>
          <w:rFonts w:hint="eastAsia" w:asciiTheme="minorEastAsia" w:hAnsiTheme="minorEastAsia" w:eastAsiaTheme="minorEastAsia" w:cstheme="minorEastAsia"/>
          <w:b/>
          <w:bCs/>
          <w:color w:val="FF0000"/>
          <w:sz w:val="21"/>
          <w:szCs w:val="21"/>
          <w:lang w:eastAsia="zh-CN"/>
        </w:rPr>
        <w:t>，</w:t>
      </w:r>
      <w:r>
        <w:rPr>
          <w:rFonts w:hint="eastAsia"/>
          <w:b/>
          <w:bCs/>
          <w:color w:val="FF0000"/>
        </w:rPr>
        <w:t>标的所属行业</w:t>
      </w:r>
      <w:r>
        <w:rPr>
          <w:rFonts w:hint="eastAsia" w:ascii="Times New Roman" w:eastAsia="宋体"/>
          <w:b/>
          <w:bCs/>
          <w:color w:val="FF0000"/>
          <w:lang w:val="en-US" w:eastAsia="zh-CN"/>
        </w:rPr>
        <w:t>以招标文件第一册第三章用户需求书“货物</w:t>
      </w:r>
      <w:r>
        <w:rPr>
          <w:rFonts w:hint="eastAsia"/>
          <w:b/>
          <w:bCs/>
          <w:color w:val="FF0000"/>
          <w:lang w:val="en-US" w:eastAsia="zh-CN"/>
        </w:rPr>
        <w:t>清单</w:t>
      </w:r>
      <w:r>
        <w:rPr>
          <w:rFonts w:hint="eastAsia" w:ascii="Times New Roman" w:eastAsia="宋体"/>
          <w:b/>
          <w:bCs/>
          <w:color w:val="FF0000"/>
          <w:lang w:val="en-US" w:eastAsia="zh-CN"/>
        </w:rPr>
        <w:t>明细”的“标的所属行业”一栏为准</w:t>
      </w:r>
      <w:r>
        <w:rPr>
          <w:rFonts w:hint="eastAsia" w:asciiTheme="minorEastAsia" w:hAnsiTheme="minorEastAsia" w:eastAsiaTheme="minorEastAsia" w:cstheme="minorEastAsia"/>
          <w:b/>
          <w:bCs/>
          <w:color w:val="FF0000"/>
          <w:sz w:val="21"/>
          <w:szCs w:val="21"/>
        </w:rPr>
        <w:t>。</w:t>
      </w:r>
      <w:bookmarkEnd w:id="36"/>
    </w:p>
    <w:p w14:paraId="5E276CFD">
      <w:pPr>
        <w:ind w:firstLine="420" w:firstLineChars="200"/>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）小型企业、微型企业、残疾人福利性单位作为优惠主体的认定资料为《中小企业声明函》、《残疾人福利性单</w:t>
      </w:r>
      <w:r>
        <w:rPr>
          <w:rFonts w:hint="eastAsia"/>
        </w:rPr>
        <w:t>位声明函》；监狱企业作为优惠主体的认定资料为省级以上监狱管理局、戒毒管理局出具的监狱企业证明文件。声明函样式见本招标文件第一册专用条款第</w:t>
      </w:r>
      <w:r>
        <w:rPr>
          <w:rFonts w:hint="eastAsia" w:ascii="Times New Roman" w:eastAsia="宋体"/>
          <w:lang w:val="en-US" w:eastAsia="zh-CN"/>
        </w:rPr>
        <w:t>四</w:t>
      </w:r>
      <w:r>
        <w:rPr>
          <w:rFonts w:hint="eastAsia"/>
        </w:rPr>
        <w:t>章“投标文件组成要求及格式”中“</w:t>
      </w:r>
      <w:r>
        <w:rPr>
          <w:rFonts w:hint="eastAsia" w:ascii="Times New Roman" w:eastAsia="宋体"/>
          <w:lang w:val="en-US" w:eastAsia="zh-CN"/>
        </w:rPr>
        <w:t>三、</w:t>
      </w:r>
      <w:r>
        <w:rPr>
          <w:rFonts w:hint="eastAsia"/>
        </w:rPr>
        <w:t>投标人情况及资格证明文件”章节提供的格式）。</w:t>
      </w:r>
    </w:p>
    <w:p w14:paraId="7F33C217">
      <w:pPr>
        <w:ind w:firstLine="420" w:firstLineChars="200"/>
        <w:rPr>
          <w:color w:val="FF0000"/>
        </w:rPr>
      </w:pPr>
      <w:r>
        <w:rPr>
          <w:rFonts w:hint="eastAsia"/>
        </w:rPr>
        <w:t>（</w:t>
      </w:r>
      <w:r>
        <w:rPr>
          <w:rFonts w:hint="eastAsia"/>
          <w:lang w:val="en-US" w:eastAsia="zh-CN"/>
        </w:rPr>
        <w:t>5</w:t>
      </w:r>
      <w:r>
        <w:rPr>
          <w:rFonts w:hint="eastAsia"/>
        </w:rPr>
        <w:t>）享受价格扣除获得采购合同的，小微企业不得将合同分包给大中型企业。</w:t>
      </w:r>
    </w:p>
    <w:p w14:paraId="109A50BD">
      <w:pPr>
        <w:ind w:firstLine="422" w:firstLineChars="200"/>
        <w:rPr>
          <w:rFonts w:hint="eastAsia"/>
          <w:b/>
          <w:bCs/>
          <w:lang w:val="en-US" w:eastAsia="zh-CN"/>
        </w:rPr>
      </w:pPr>
    </w:p>
    <w:p w14:paraId="3BBA3EF0">
      <w:pPr>
        <w:ind w:firstLine="422" w:firstLineChars="200"/>
        <w:rPr>
          <w:rFonts w:hint="eastAsia"/>
          <w:b/>
          <w:bCs/>
          <w:lang w:val="en-US" w:eastAsia="zh-CN"/>
        </w:rPr>
      </w:pPr>
      <w:r>
        <w:rPr>
          <w:rFonts w:hint="eastAsia"/>
          <w:b/>
          <w:bCs/>
          <w:lang w:val="en-US" w:eastAsia="zh-CN"/>
        </w:rPr>
        <w:t>2、本项目为代理服务项目，将向中标（成交）供应商收取代理服务费。</w:t>
      </w:r>
    </w:p>
    <w:p w14:paraId="41E80ED7">
      <w:pPr>
        <w:ind w:firstLine="420" w:firstLineChars="200"/>
      </w:pPr>
      <w:r>
        <w:rPr>
          <w:rFonts w:hint="eastAsia"/>
        </w:rPr>
        <w:t>中标</w:t>
      </w:r>
      <w:r>
        <w:rPr>
          <w:rFonts w:hint="eastAsia"/>
          <w:lang w:eastAsia="zh-CN"/>
        </w:rPr>
        <w:t>（</w:t>
      </w:r>
      <w:r>
        <w:rPr>
          <w:rFonts w:hint="eastAsia"/>
          <w:lang w:val="en-US" w:eastAsia="zh-CN"/>
        </w:rPr>
        <w:t>成交</w:t>
      </w:r>
      <w:r>
        <w:rPr>
          <w:rFonts w:hint="eastAsia"/>
          <w:lang w:eastAsia="zh-CN"/>
        </w:rPr>
        <w:t>）</w:t>
      </w:r>
      <w:r>
        <w:rPr>
          <w:rFonts w:hint="eastAsia"/>
        </w:rPr>
        <w:t>供应商在领取《中标</w:t>
      </w:r>
      <w:r>
        <w:rPr>
          <w:rFonts w:hint="eastAsia"/>
          <w:lang w:eastAsia="zh-CN"/>
        </w:rPr>
        <w:t>（</w:t>
      </w:r>
      <w:r>
        <w:rPr>
          <w:rFonts w:hint="eastAsia"/>
          <w:lang w:val="en-US" w:eastAsia="zh-CN"/>
        </w:rPr>
        <w:t>成交</w:t>
      </w:r>
      <w:r>
        <w:rPr>
          <w:rFonts w:hint="eastAsia"/>
          <w:lang w:eastAsia="zh-CN"/>
        </w:rPr>
        <w:t>）</w:t>
      </w:r>
      <w:r>
        <w:rPr>
          <w:rFonts w:hint="eastAsia"/>
        </w:rPr>
        <w:t>通知书》之前须向深圳公共资源交易中心（深圳交易集团有限公司</w:t>
      </w:r>
      <w:r>
        <w:rPr>
          <w:rFonts w:hint="eastAsia"/>
          <w:lang w:val="en-US" w:eastAsia="zh-CN"/>
        </w:rPr>
        <w:t>龙岗</w:t>
      </w:r>
      <w:r>
        <w:rPr>
          <w:rFonts w:hint="eastAsia"/>
        </w:rPr>
        <w:t>分公司）交纳代理服务费。若因中标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供应商交纳代理服务费所产生的时间影响到合同签订的，由中标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供应商自行承担责任。代理服务费标准参照</w:t>
      </w:r>
      <w:r>
        <w:rPr>
          <w:rFonts w:hint="eastAsia"/>
          <w:lang w:val="en-US" w:eastAsia="zh-CN"/>
        </w:rPr>
        <w:t>下列</w:t>
      </w:r>
      <w:r>
        <w:rPr>
          <w:rFonts w:hint="eastAsia"/>
        </w:rPr>
        <w:t>标准收取。</w:t>
      </w:r>
      <w:r>
        <w:rPr>
          <w:rFonts w:hint="eastAsia"/>
          <w:b/>
          <w:color w:val="FF0000"/>
        </w:rPr>
        <w:t>本项目类型为货物采购：</w:t>
      </w:r>
    </w:p>
    <w:p w14:paraId="18207604">
      <w:pPr>
        <w:ind w:firstLine="420" w:firstLineChars="200"/>
      </w:pPr>
      <w:r>
        <w:rPr>
          <w:rFonts w:hint="eastAsia"/>
        </w:rPr>
        <w:t>（</w:t>
      </w:r>
      <w:r>
        <w:rPr>
          <w:rFonts w:hint="eastAsia"/>
          <w:lang w:val="en-US" w:eastAsia="zh-CN"/>
        </w:rPr>
        <w:t>1</w:t>
      </w:r>
      <w:r>
        <w:rPr>
          <w:rFonts w:hint="eastAsia"/>
        </w:rPr>
        <w:t>）代理服务费以《中标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通知书》确定的</w:t>
      </w:r>
      <w:r>
        <w:rPr>
          <w:rFonts w:hint="eastAsia"/>
          <w:lang w:val="en-US" w:eastAsia="zh-CN"/>
        </w:rPr>
        <w:t>中标（</w:t>
      </w:r>
      <w:r>
        <w:rPr>
          <w:rFonts w:hint="eastAsia"/>
        </w:rPr>
        <w:t>成交</w:t>
      </w:r>
      <w:r>
        <w:rPr>
          <w:rFonts w:hint="eastAsia"/>
          <w:lang w:eastAsia="zh-CN"/>
        </w:rPr>
        <w:t>）</w:t>
      </w:r>
      <w:r>
        <w:rPr>
          <w:rFonts w:hint="eastAsia"/>
        </w:rPr>
        <w:t>金额作为计算基数，按差额定率累进法计算。</w:t>
      </w:r>
    </w:p>
    <w:p w14:paraId="7AF670AF">
      <w:pPr>
        <w:ind w:firstLine="420" w:firstLineChars="200"/>
      </w:pPr>
      <w:r>
        <w:rPr>
          <w:rFonts w:hint="eastAsia"/>
        </w:rPr>
        <w:t>（</w:t>
      </w:r>
      <w:r>
        <w:rPr>
          <w:rFonts w:hint="eastAsia"/>
          <w:lang w:val="en-US" w:eastAsia="zh-CN"/>
        </w:rPr>
        <w:t>2</w:t>
      </w:r>
      <w:r>
        <w:rPr>
          <w:rFonts w:hint="eastAsia"/>
        </w:rPr>
        <w:t>）中标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金额的各部分费率如下表：</w:t>
      </w:r>
    </w:p>
    <w:tbl>
      <w:tblPr>
        <w:tblStyle w:val="4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5"/>
        <w:gridCol w:w="1799"/>
        <w:gridCol w:w="1799"/>
        <w:gridCol w:w="1799"/>
      </w:tblGrid>
      <w:tr w14:paraId="10389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14:paraId="7096033A">
            <w:pPr>
              <w:widowControl/>
              <w:spacing w:line="360" w:lineRule="auto"/>
              <w:jc w:val="center"/>
            </w:pPr>
            <w:r>
              <w:rPr>
                <w:rFonts w:hint="eastAsia"/>
                <w:lang w:val="en-US" w:eastAsia="zh-CN"/>
              </w:rPr>
              <w:t>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金额</w:t>
            </w:r>
          </w:p>
        </w:tc>
        <w:tc>
          <w:tcPr>
            <w:tcW w:w="1799" w:type="dxa"/>
            <w:vAlign w:val="center"/>
          </w:tcPr>
          <w:p w14:paraId="42F6C6EB">
            <w:pPr>
              <w:widowControl/>
              <w:spacing w:line="360" w:lineRule="auto"/>
              <w:jc w:val="center"/>
            </w:pPr>
            <w:r>
              <w:rPr>
                <w:rFonts w:hint="eastAsia"/>
              </w:rPr>
              <w:t>货物采购</w:t>
            </w:r>
          </w:p>
        </w:tc>
        <w:tc>
          <w:tcPr>
            <w:tcW w:w="1799" w:type="dxa"/>
            <w:vAlign w:val="center"/>
          </w:tcPr>
          <w:p w14:paraId="7BF06ED3">
            <w:pPr>
              <w:widowControl/>
              <w:spacing w:line="360" w:lineRule="auto"/>
              <w:jc w:val="center"/>
            </w:pPr>
            <w:r>
              <w:rPr>
                <w:rFonts w:hint="eastAsia"/>
              </w:rPr>
              <w:t>服务采购</w:t>
            </w:r>
          </w:p>
        </w:tc>
        <w:tc>
          <w:tcPr>
            <w:tcW w:w="1799" w:type="dxa"/>
            <w:vAlign w:val="center"/>
          </w:tcPr>
          <w:p w14:paraId="2E089D89">
            <w:pPr>
              <w:widowControl/>
              <w:spacing w:line="360" w:lineRule="auto"/>
              <w:jc w:val="center"/>
            </w:pPr>
            <w:r>
              <w:rPr>
                <w:rFonts w:hint="eastAsia"/>
              </w:rPr>
              <w:t>工程采购</w:t>
            </w:r>
          </w:p>
        </w:tc>
      </w:tr>
      <w:tr w14:paraId="58565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3B4466DB">
            <w:pPr>
              <w:widowControl/>
              <w:spacing w:line="360" w:lineRule="auto"/>
              <w:jc w:val="center"/>
            </w:pPr>
            <w:r>
              <w:rPr>
                <w:rFonts w:hint="eastAsia"/>
              </w:rPr>
              <w:t>100万元以下</w:t>
            </w:r>
          </w:p>
        </w:tc>
        <w:tc>
          <w:tcPr>
            <w:tcW w:w="1799" w:type="dxa"/>
            <w:vAlign w:val="center"/>
          </w:tcPr>
          <w:p w14:paraId="3A04E00A">
            <w:pPr>
              <w:widowControl/>
              <w:spacing w:line="360" w:lineRule="auto"/>
              <w:jc w:val="center"/>
            </w:pPr>
            <w:r>
              <w:rPr>
                <w:rFonts w:hint="eastAsia"/>
              </w:rPr>
              <w:t>1.5%</w:t>
            </w:r>
          </w:p>
        </w:tc>
        <w:tc>
          <w:tcPr>
            <w:tcW w:w="1799" w:type="dxa"/>
            <w:vAlign w:val="center"/>
          </w:tcPr>
          <w:p w14:paraId="323CD51E">
            <w:pPr>
              <w:widowControl/>
              <w:spacing w:line="360" w:lineRule="auto"/>
              <w:jc w:val="center"/>
            </w:pPr>
            <w:r>
              <w:rPr>
                <w:rFonts w:hint="eastAsia"/>
              </w:rPr>
              <w:t>1.5%</w:t>
            </w:r>
          </w:p>
        </w:tc>
        <w:tc>
          <w:tcPr>
            <w:tcW w:w="1799" w:type="dxa"/>
            <w:vAlign w:val="center"/>
          </w:tcPr>
          <w:p w14:paraId="578E9179">
            <w:pPr>
              <w:widowControl/>
              <w:spacing w:line="360" w:lineRule="auto"/>
              <w:jc w:val="center"/>
            </w:pPr>
            <w:r>
              <w:rPr>
                <w:rFonts w:hint="eastAsia"/>
              </w:rPr>
              <w:t>1.0%</w:t>
            </w:r>
          </w:p>
        </w:tc>
      </w:tr>
      <w:tr w14:paraId="13C75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6DD74A96">
            <w:pPr>
              <w:widowControl/>
              <w:spacing w:line="360" w:lineRule="auto"/>
              <w:jc w:val="center"/>
            </w:pPr>
            <w:r>
              <w:rPr>
                <w:rFonts w:hint="eastAsia"/>
              </w:rPr>
              <w:t>100万元（含）-500万元</w:t>
            </w:r>
          </w:p>
        </w:tc>
        <w:tc>
          <w:tcPr>
            <w:tcW w:w="1799" w:type="dxa"/>
            <w:vAlign w:val="center"/>
          </w:tcPr>
          <w:p w14:paraId="7C8567EA">
            <w:pPr>
              <w:widowControl/>
              <w:spacing w:line="360" w:lineRule="auto"/>
              <w:jc w:val="center"/>
            </w:pPr>
            <w:r>
              <w:rPr>
                <w:rFonts w:hint="eastAsia"/>
              </w:rPr>
              <w:t>1.1%</w:t>
            </w:r>
          </w:p>
        </w:tc>
        <w:tc>
          <w:tcPr>
            <w:tcW w:w="1799" w:type="dxa"/>
            <w:vAlign w:val="center"/>
          </w:tcPr>
          <w:p w14:paraId="4EADCEA8">
            <w:pPr>
              <w:widowControl/>
              <w:spacing w:line="360" w:lineRule="auto"/>
              <w:jc w:val="center"/>
            </w:pPr>
            <w:r>
              <w:rPr>
                <w:rFonts w:hint="eastAsia"/>
              </w:rPr>
              <w:t>0.8%</w:t>
            </w:r>
          </w:p>
        </w:tc>
        <w:tc>
          <w:tcPr>
            <w:tcW w:w="1799" w:type="dxa"/>
            <w:vAlign w:val="center"/>
          </w:tcPr>
          <w:p w14:paraId="2B230290">
            <w:pPr>
              <w:widowControl/>
              <w:spacing w:line="360" w:lineRule="auto"/>
              <w:jc w:val="center"/>
            </w:pPr>
            <w:r>
              <w:rPr>
                <w:rFonts w:hint="eastAsia"/>
              </w:rPr>
              <w:t>0.7%</w:t>
            </w:r>
          </w:p>
        </w:tc>
      </w:tr>
      <w:tr w14:paraId="00AEE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786B8EF8">
            <w:pPr>
              <w:widowControl/>
              <w:spacing w:line="360" w:lineRule="auto"/>
              <w:jc w:val="center"/>
            </w:pPr>
            <w:r>
              <w:rPr>
                <w:rFonts w:hint="eastAsia"/>
              </w:rPr>
              <w:t>500万元（含）-1000万元</w:t>
            </w:r>
          </w:p>
        </w:tc>
        <w:tc>
          <w:tcPr>
            <w:tcW w:w="1799" w:type="dxa"/>
            <w:vAlign w:val="center"/>
          </w:tcPr>
          <w:p w14:paraId="3EF94F82">
            <w:pPr>
              <w:widowControl/>
              <w:spacing w:line="360" w:lineRule="auto"/>
              <w:jc w:val="center"/>
            </w:pPr>
            <w:r>
              <w:rPr>
                <w:rFonts w:hint="eastAsia"/>
              </w:rPr>
              <w:t>0.8%</w:t>
            </w:r>
          </w:p>
        </w:tc>
        <w:tc>
          <w:tcPr>
            <w:tcW w:w="1799" w:type="dxa"/>
            <w:vAlign w:val="center"/>
          </w:tcPr>
          <w:p w14:paraId="2412875A">
            <w:pPr>
              <w:widowControl/>
              <w:spacing w:line="360" w:lineRule="auto"/>
              <w:jc w:val="center"/>
            </w:pPr>
            <w:r>
              <w:rPr>
                <w:rFonts w:hint="eastAsia"/>
              </w:rPr>
              <w:t>0.45%</w:t>
            </w:r>
          </w:p>
        </w:tc>
        <w:tc>
          <w:tcPr>
            <w:tcW w:w="1799" w:type="dxa"/>
            <w:vAlign w:val="center"/>
          </w:tcPr>
          <w:p w14:paraId="7A7F349F">
            <w:pPr>
              <w:widowControl/>
              <w:spacing w:line="360" w:lineRule="auto"/>
              <w:jc w:val="center"/>
            </w:pPr>
            <w:r>
              <w:rPr>
                <w:rFonts w:hint="eastAsia"/>
              </w:rPr>
              <w:t>0.55%</w:t>
            </w:r>
          </w:p>
        </w:tc>
      </w:tr>
      <w:tr w14:paraId="68496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5DFCC358">
            <w:pPr>
              <w:widowControl/>
              <w:spacing w:line="360" w:lineRule="auto"/>
              <w:jc w:val="center"/>
            </w:pPr>
            <w:r>
              <w:rPr>
                <w:rFonts w:hint="eastAsia"/>
              </w:rPr>
              <w:t>1000万元（含）-5000万元</w:t>
            </w:r>
          </w:p>
        </w:tc>
        <w:tc>
          <w:tcPr>
            <w:tcW w:w="1799" w:type="dxa"/>
            <w:vAlign w:val="center"/>
          </w:tcPr>
          <w:p w14:paraId="43A47FFA">
            <w:pPr>
              <w:widowControl/>
              <w:spacing w:line="360" w:lineRule="auto"/>
              <w:jc w:val="center"/>
            </w:pPr>
            <w:r>
              <w:rPr>
                <w:rFonts w:hint="eastAsia"/>
              </w:rPr>
              <w:t>0.5%</w:t>
            </w:r>
          </w:p>
        </w:tc>
        <w:tc>
          <w:tcPr>
            <w:tcW w:w="1799" w:type="dxa"/>
            <w:vAlign w:val="center"/>
          </w:tcPr>
          <w:p w14:paraId="6752E92E">
            <w:pPr>
              <w:widowControl/>
              <w:spacing w:line="360" w:lineRule="auto"/>
              <w:jc w:val="center"/>
            </w:pPr>
            <w:r>
              <w:rPr>
                <w:rFonts w:hint="eastAsia"/>
              </w:rPr>
              <w:t>0.25%</w:t>
            </w:r>
          </w:p>
        </w:tc>
        <w:tc>
          <w:tcPr>
            <w:tcW w:w="1799" w:type="dxa"/>
            <w:vAlign w:val="center"/>
          </w:tcPr>
          <w:p w14:paraId="54F36AC8">
            <w:pPr>
              <w:widowControl/>
              <w:spacing w:line="360" w:lineRule="auto"/>
              <w:jc w:val="center"/>
            </w:pPr>
            <w:r>
              <w:rPr>
                <w:rFonts w:hint="eastAsia"/>
              </w:rPr>
              <w:t>0.35%</w:t>
            </w:r>
          </w:p>
        </w:tc>
      </w:tr>
      <w:tr w14:paraId="4E9CC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319F1007">
            <w:pPr>
              <w:widowControl/>
              <w:spacing w:line="360" w:lineRule="auto"/>
              <w:jc w:val="center"/>
            </w:pPr>
            <w:r>
              <w:rPr>
                <w:rFonts w:hint="eastAsia"/>
              </w:rPr>
              <w:t>5000万元（含）-1亿元</w:t>
            </w:r>
          </w:p>
        </w:tc>
        <w:tc>
          <w:tcPr>
            <w:tcW w:w="1799" w:type="dxa"/>
            <w:vAlign w:val="center"/>
          </w:tcPr>
          <w:p w14:paraId="0A02330D">
            <w:pPr>
              <w:widowControl/>
              <w:spacing w:line="360" w:lineRule="auto"/>
              <w:jc w:val="center"/>
            </w:pPr>
            <w:r>
              <w:rPr>
                <w:rFonts w:hint="eastAsia"/>
              </w:rPr>
              <w:t>0.25%</w:t>
            </w:r>
          </w:p>
        </w:tc>
        <w:tc>
          <w:tcPr>
            <w:tcW w:w="1799" w:type="dxa"/>
            <w:vAlign w:val="center"/>
          </w:tcPr>
          <w:p w14:paraId="00D7BFB3">
            <w:pPr>
              <w:widowControl/>
              <w:spacing w:line="360" w:lineRule="auto"/>
              <w:jc w:val="center"/>
            </w:pPr>
            <w:r>
              <w:rPr>
                <w:rFonts w:hint="eastAsia"/>
              </w:rPr>
              <w:t>0.1%</w:t>
            </w:r>
          </w:p>
        </w:tc>
        <w:tc>
          <w:tcPr>
            <w:tcW w:w="1799" w:type="dxa"/>
            <w:vAlign w:val="center"/>
          </w:tcPr>
          <w:p w14:paraId="01EE36C2">
            <w:pPr>
              <w:widowControl/>
              <w:spacing w:line="360" w:lineRule="auto"/>
              <w:jc w:val="center"/>
            </w:pPr>
            <w:r>
              <w:rPr>
                <w:rFonts w:hint="eastAsia"/>
              </w:rPr>
              <w:t>0.2%</w:t>
            </w:r>
          </w:p>
        </w:tc>
      </w:tr>
      <w:tr w14:paraId="4C050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642B5291">
            <w:pPr>
              <w:widowControl/>
              <w:spacing w:line="360" w:lineRule="auto"/>
              <w:jc w:val="center"/>
            </w:pPr>
            <w:r>
              <w:rPr>
                <w:rFonts w:hint="eastAsia"/>
              </w:rPr>
              <w:t>1亿元（含）-5亿元</w:t>
            </w:r>
          </w:p>
        </w:tc>
        <w:tc>
          <w:tcPr>
            <w:tcW w:w="1799" w:type="dxa"/>
            <w:vAlign w:val="center"/>
          </w:tcPr>
          <w:p w14:paraId="47F73FC7">
            <w:pPr>
              <w:widowControl/>
              <w:spacing w:line="360" w:lineRule="auto"/>
              <w:jc w:val="center"/>
            </w:pPr>
            <w:r>
              <w:rPr>
                <w:rFonts w:hint="eastAsia"/>
              </w:rPr>
              <w:t>0.05%</w:t>
            </w:r>
          </w:p>
        </w:tc>
        <w:tc>
          <w:tcPr>
            <w:tcW w:w="1799" w:type="dxa"/>
            <w:vAlign w:val="center"/>
          </w:tcPr>
          <w:p w14:paraId="7F4ED132">
            <w:pPr>
              <w:widowControl/>
              <w:spacing w:line="360" w:lineRule="auto"/>
              <w:jc w:val="center"/>
            </w:pPr>
            <w:r>
              <w:rPr>
                <w:rFonts w:hint="eastAsia"/>
              </w:rPr>
              <w:t>0.05%</w:t>
            </w:r>
          </w:p>
        </w:tc>
        <w:tc>
          <w:tcPr>
            <w:tcW w:w="1799" w:type="dxa"/>
            <w:vAlign w:val="center"/>
          </w:tcPr>
          <w:p w14:paraId="3C15CF2B">
            <w:pPr>
              <w:widowControl/>
              <w:spacing w:line="360" w:lineRule="auto"/>
              <w:jc w:val="center"/>
            </w:pPr>
            <w:r>
              <w:rPr>
                <w:rFonts w:hint="eastAsia"/>
              </w:rPr>
              <w:t>0.05%</w:t>
            </w:r>
          </w:p>
        </w:tc>
      </w:tr>
      <w:tr w14:paraId="02C0F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7085CDC">
            <w:pPr>
              <w:widowControl/>
              <w:spacing w:line="360" w:lineRule="auto"/>
              <w:jc w:val="center"/>
            </w:pPr>
            <w:r>
              <w:rPr>
                <w:rFonts w:hint="eastAsia"/>
              </w:rPr>
              <w:t>5亿元（含）-10亿元</w:t>
            </w:r>
          </w:p>
        </w:tc>
        <w:tc>
          <w:tcPr>
            <w:tcW w:w="1799" w:type="dxa"/>
            <w:vAlign w:val="center"/>
          </w:tcPr>
          <w:p w14:paraId="2611B594">
            <w:pPr>
              <w:widowControl/>
              <w:spacing w:line="360" w:lineRule="auto"/>
              <w:jc w:val="center"/>
            </w:pPr>
            <w:r>
              <w:rPr>
                <w:rFonts w:hint="eastAsia"/>
              </w:rPr>
              <w:t>0.035%</w:t>
            </w:r>
          </w:p>
        </w:tc>
        <w:tc>
          <w:tcPr>
            <w:tcW w:w="1799" w:type="dxa"/>
            <w:vAlign w:val="center"/>
          </w:tcPr>
          <w:p w14:paraId="0A6AC9D3">
            <w:pPr>
              <w:widowControl/>
              <w:spacing w:line="360" w:lineRule="auto"/>
              <w:jc w:val="center"/>
            </w:pPr>
            <w:r>
              <w:rPr>
                <w:rFonts w:hint="eastAsia"/>
              </w:rPr>
              <w:t>0.035%</w:t>
            </w:r>
          </w:p>
        </w:tc>
        <w:tc>
          <w:tcPr>
            <w:tcW w:w="1799" w:type="dxa"/>
            <w:vAlign w:val="center"/>
          </w:tcPr>
          <w:p w14:paraId="324087A5">
            <w:pPr>
              <w:widowControl/>
              <w:spacing w:line="360" w:lineRule="auto"/>
              <w:jc w:val="center"/>
            </w:pPr>
            <w:r>
              <w:rPr>
                <w:rFonts w:hint="eastAsia"/>
              </w:rPr>
              <w:t>0.035%</w:t>
            </w:r>
          </w:p>
        </w:tc>
      </w:tr>
      <w:tr w14:paraId="33127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25" w:type="dxa"/>
            <w:vAlign w:val="center"/>
          </w:tcPr>
          <w:p w14:paraId="0AEB37ED">
            <w:pPr>
              <w:widowControl/>
              <w:spacing w:line="360" w:lineRule="auto"/>
              <w:jc w:val="center"/>
            </w:pPr>
            <w:r>
              <w:rPr>
                <w:rFonts w:hint="eastAsia"/>
              </w:rPr>
              <w:t>10亿元（含）-50亿元</w:t>
            </w:r>
          </w:p>
        </w:tc>
        <w:tc>
          <w:tcPr>
            <w:tcW w:w="1799" w:type="dxa"/>
            <w:vAlign w:val="center"/>
          </w:tcPr>
          <w:p w14:paraId="6DC05A17">
            <w:pPr>
              <w:widowControl/>
              <w:spacing w:line="360" w:lineRule="auto"/>
              <w:jc w:val="center"/>
            </w:pPr>
            <w:r>
              <w:rPr>
                <w:rFonts w:hint="eastAsia"/>
              </w:rPr>
              <w:t>0.008%</w:t>
            </w:r>
          </w:p>
        </w:tc>
        <w:tc>
          <w:tcPr>
            <w:tcW w:w="1799" w:type="dxa"/>
            <w:vAlign w:val="center"/>
          </w:tcPr>
          <w:p w14:paraId="18A1BFA6">
            <w:pPr>
              <w:widowControl/>
              <w:spacing w:line="360" w:lineRule="auto"/>
              <w:jc w:val="center"/>
            </w:pPr>
            <w:r>
              <w:rPr>
                <w:rFonts w:hint="eastAsia"/>
              </w:rPr>
              <w:t>0.008%</w:t>
            </w:r>
          </w:p>
        </w:tc>
        <w:tc>
          <w:tcPr>
            <w:tcW w:w="1799" w:type="dxa"/>
            <w:vAlign w:val="center"/>
          </w:tcPr>
          <w:p w14:paraId="6F9FCBEC">
            <w:pPr>
              <w:widowControl/>
              <w:spacing w:line="360" w:lineRule="auto"/>
              <w:jc w:val="center"/>
            </w:pPr>
            <w:r>
              <w:rPr>
                <w:rFonts w:hint="eastAsia"/>
              </w:rPr>
              <w:t>0.008%</w:t>
            </w:r>
          </w:p>
        </w:tc>
      </w:tr>
      <w:tr w14:paraId="03EC3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1E4784A">
            <w:pPr>
              <w:widowControl/>
              <w:spacing w:line="360" w:lineRule="auto"/>
              <w:jc w:val="center"/>
            </w:pPr>
            <w:r>
              <w:rPr>
                <w:rFonts w:hint="eastAsia"/>
              </w:rPr>
              <w:t>50亿元（含）-100亿元</w:t>
            </w:r>
          </w:p>
        </w:tc>
        <w:tc>
          <w:tcPr>
            <w:tcW w:w="1799" w:type="dxa"/>
            <w:vAlign w:val="center"/>
          </w:tcPr>
          <w:p w14:paraId="40D71A66">
            <w:pPr>
              <w:widowControl/>
              <w:spacing w:line="360" w:lineRule="auto"/>
              <w:jc w:val="center"/>
            </w:pPr>
            <w:r>
              <w:rPr>
                <w:rFonts w:hint="eastAsia"/>
              </w:rPr>
              <w:t>0.006%</w:t>
            </w:r>
          </w:p>
        </w:tc>
        <w:tc>
          <w:tcPr>
            <w:tcW w:w="1799" w:type="dxa"/>
            <w:vAlign w:val="center"/>
          </w:tcPr>
          <w:p w14:paraId="6AC24F7B">
            <w:pPr>
              <w:widowControl/>
              <w:spacing w:line="360" w:lineRule="auto"/>
              <w:jc w:val="center"/>
            </w:pPr>
            <w:r>
              <w:rPr>
                <w:rFonts w:hint="eastAsia"/>
              </w:rPr>
              <w:t>0.006%</w:t>
            </w:r>
          </w:p>
        </w:tc>
        <w:tc>
          <w:tcPr>
            <w:tcW w:w="1799" w:type="dxa"/>
            <w:vAlign w:val="center"/>
          </w:tcPr>
          <w:p w14:paraId="2E88C768">
            <w:pPr>
              <w:widowControl/>
              <w:spacing w:line="360" w:lineRule="auto"/>
              <w:jc w:val="center"/>
            </w:pPr>
            <w:r>
              <w:rPr>
                <w:rFonts w:hint="eastAsia"/>
              </w:rPr>
              <w:t>0.006%</w:t>
            </w:r>
          </w:p>
        </w:tc>
      </w:tr>
      <w:tr w14:paraId="25FB6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4DAA928F">
            <w:pPr>
              <w:widowControl/>
              <w:spacing w:line="360" w:lineRule="auto"/>
              <w:jc w:val="center"/>
            </w:pPr>
            <w:r>
              <w:rPr>
                <w:rFonts w:hint="eastAsia"/>
              </w:rPr>
              <w:t>100亿元（含）以上</w:t>
            </w:r>
          </w:p>
        </w:tc>
        <w:tc>
          <w:tcPr>
            <w:tcW w:w="1799" w:type="dxa"/>
            <w:vAlign w:val="center"/>
          </w:tcPr>
          <w:p w14:paraId="347FDDE3">
            <w:pPr>
              <w:widowControl/>
              <w:spacing w:line="360" w:lineRule="auto"/>
              <w:jc w:val="center"/>
            </w:pPr>
            <w:r>
              <w:rPr>
                <w:rFonts w:hint="eastAsia"/>
              </w:rPr>
              <w:t>0.004%</w:t>
            </w:r>
          </w:p>
        </w:tc>
        <w:tc>
          <w:tcPr>
            <w:tcW w:w="1799" w:type="dxa"/>
            <w:vAlign w:val="center"/>
          </w:tcPr>
          <w:p w14:paraId="0F4E03D8">
            <w:pPr>
              <w:widowControl/>
              <w:spacing w:line="360" w:lineRule="auto"/>
              <w:jc w:val="center"/>
            </w:pPr>
            <w:r>
              <w:rPr>
                <w:rFonts w:hint="eastAsia"/>
              </w:rPr>
              <w:t>0.004%</w:t>
            </w:r>
          </w:p>
        </w:tc>
        <w:tc>
          <w:tcPr>
            <w:tcW w:w="1799" w:type="dxa"/>
            <w:vAlign w:val="center"/>
          </w:tcPr>
          <w:p w14:paraId="57374CE0">
            <w:pPr>
              <w:widowControl/>
              <w:spacing w:line="360" w:lineRule="auto"/>
              <w:jc w:val="center"/>
            </w:pPr>
            <w:r>
              <w:rPr>
                <w:rFonts w:hint="eastAsia"/>
              </w:rPr>
              <w:t>0.004%</w:t>
            </w:r>
          </w:p>
        </w:tc>
      </w:tr>
    </w:tbl>
    <w:p w14:paraId="2469DD85">
      <w:pPr>
        <w:ind w:firstLine="420" w:firstLineChars="200"/>
      </w:pPr>
      <w:r>
        <w:rPr>
          <w:rFonts w:hint="eastAsia"/>
        </w:rPr>
        <w:t xml:space="preserve">备注：1.每宗交易代理服务费不低于 </w:t>
      </w:r>
      <w:r>
        <w:rPr>
          <w:rFonts w:hint="eastAsia"/>
          <w:lang w:val="en-US" w:eastAsia="zh-CN"/>
        </w:rPr>
        <w:t>5</w:t>
      </w:r>
      <w:r>
        <w:rPr>
          <w:rFonts w:hint="eastAsia"/>
        </w:rPr>
        <w:t>000 元；</w:t>
      </w:r>
    </w:p>
    <w:p w14:paraId="40350AEE">
      <w:pPr>
        <w:ind w:firstLine="420" w:firstLineChars="200"/>
        <w:rPr>
          <w:rFonts w:hint="eastAsia" w:eastAsia="宋体"/>
          <w:lang w:eastAsia="zh-CN"/>
        </w:rPr>
      </w:pPr>
      <w:r>
        <w:rPr>
          <w:rFonts w:hint="eastAsia"/>
        </w:rPr>
        <w:t>2.对于报总价的采购类项目，中标</w:t>
      </w:r>
      <w:r>
        <w:rPr>
          <w:rFonts w:hint="eastAsia"/>
          <w:lang w:eastAsia="zh-CN"/>
        </w:rPr>
        <w:t>（</w:t>
      </w:r>
      <w:r>
        <w:rPr>
          <w:rFonts w:hint="eastAsia"/>
          <w:lang w:val="en-US" w:eastAsia="zh-CN"/>
        </w:rPr>
        <w:t>成交</w:t>
      </w:r>
      <w:r>
        <w:rPr>
          <w:rFonts w:hint="eastAsia"/>
          <w:lang w:eastAsia="zh-CN"/>
        </w:rPr>
        <w:t>）</w:t>
      </w:r>
      <w:r>
        <w:rPr>
          <w:rFonts w:hint="eastAsia"/>
        </w:rPr>
        <w:t>价为中标（成交）金额；对于报单价、折扣或费率的采购类项目，中标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价为预算上限金额或经委托方与代理方确定的支付上限金额；</w:t>
      </w:r>
    </w:p>
    <w:p w14:paraId="759F31DB">
      <w:pPr>
        <w:ind w:firstLine="420" w:firstLineChars="200"/>
      </w:pPr>
    </w:p>
    <w:p w14:paraId="7F42D481">
      <w:pPr>
        <w:ind w:firstLine="420" w:firstLineChars="200"/>
      </w:pPr>
      <w:r>
        <w:rPr>
          <w:rFonts w:hint="eastAsia"/>
        </w:rPr>
        <w:t>如某货物采购项目，中标（成交）金额为600万元，总共交纳的代理服务费的具体计算过程如下：</w:t>
      </w:r>
    </w:p>
    <w:p w14:paraId="43D78BDF">
      <w:pPr>
        <w:ind w:firstLine="420" w:firstLineChars="200"/>
      </w:pPr>
      <w:r>
        <w:rPr>
          <w:rFonts w:hint="eastAsia"/>
        </w:rPr>
        <w:t>标准代理服务费＝（100万以下部分的代理服务费）+（100万～500万部分的代理服务费）+（500万～600万部分的代理服务费）＝100万元×1.5%+（500-100）万元×1.1%+（600-500）万元×0.8%=1.5万元+4.4万元+0.8万元＝6.7万元</w:t>
      </w:r>
    </w:p>
    <w:p w14:paraId="0BB90DE9">
      <w:pPr>
        <w:ind w:firstLine="420" w:firstLineChars="200"/>
        <w:rPr>
          <w:rFonts w:hint="eastAsia"/>
        </w:rPr>
      </w:pPr>
      <w:r>
        <w:rPr>
          <w:rFonts w:hint="eastAsia"/>
        </w:rPr>
        <w:t>（</w:t>
      </w:r>
      <w:r>
        <w:rPr>
          <w:rFonts w:hint="eastAsia"/>
          <w:lang w:val="en-US" w:eastAsia="zh-CN"/>
        </w:rPr>
        <w:t>3</w:t>
      </w:r>
      <w:r>
        <w:rPr>
          <w:rFonts w:hint="eastAsia"/>
        </w:rPr>
        <w:t>）中标（成交）供应商中标（成交）后，必须按规定采用银行对公转账方式向深圳交易集团有限公司直接交纳代理服务费，交纳信息及要求按照缴款</w:t>
      </w:r>
      <w:r>
        <w:rPr>
          <w:rFonts w:hint="eastAsia"/>
          <w:lang w:eastAsia="zh-CN"/>
        </w:rPr>
        <w:t>（</w:t>
      </w:r>
      <w:r>
        <w:rPr>
          <w:rFonts w:hint="eastAsia"/>
          <w:lang w:val="en-US" w:eastAsia="zh-CN"/>
        </w:rPr>
        <w:t>付款</w:t>
      </w:r>
      <w:r>
        <w:rPr>
          <w:rFonts w:hint="eastAsia"/>
          <w:lang w:eastAsia="zh-CN"/>
        </w:rPr>
        <w:t>）</w:t>
      </w:r>
      <w:r>
        <w:rPr>
          <w:rFonts w:hint="eastAsia"/>
        </w:rPr>
        <w:t>通知书执行。</w:t>
      </w:r>
    </w:p>
    <w:p w14:paraId="1BDAB543">
      <w:pPr>
        <w:ind w:firstLine="420" w:firstLineChars="200"/>
        <w:rPr>
          <w:rFonts w:hint="eastAsia"/>
        </w:rPr>
      </w:pPr>
      <w:r>
        <w:rPr>
          <w:rFonts w:hint="eastAsia"/>
        </w:rPr>
        <w:t>（4）本项目代理服务费在以上收费标准的基础上下浮20%进行计算，每宗交易代理服务费不低于 5000 元。</w:t>
      </w:r>
    </w:p>
    <w:p w14:paraId="1214D69D">
      <w:pPr>
        <w:pStyle w:val="37"/>
        <w:tabs>
          <w:tab w:val="left" w:pos="2286"/>
        </w:tabs>
        <w:rPr>
          <w:rFonts w:hint="eastAsia" w:eastAsia="宋体"/>
          <w:b/>
          <w:lang w:eastAsia="zh-CN"/>
        </w:rPr>
        <w:sectPr>
          <w:pgSz w:w="11907" w:h="16840"/>
          <w:pgMar w:top="1440" w:right="1797" w:bottom="1440" w:left="1797" w:header="851" w:footer="992" w:gutter="0"/>
          <w:pgBorders>
            <w:top w:val="none" w:sz="0" w:space="0"/>
            <w:left w:val="none" w:sz="0" w:space="0"/>
            <w:bottom w:val="none" w:sz="0" w:space="0"/>
            <w:right w:val="none" w:sz="0" w:space="0"/>
          </w:pgBorders>
          <w:cols w:space="425" w:num="1"/>
          <w:titlePg/>
          <w:docGrid w:linePitch="462" w:charSpace="0"/>
        </w:sectPr>
      </w:pPr>
    </w:p>
    <w:bookmarkEnd w:id="35"/>
    <w:p w14:paraId="4D711D9A">
      <w:pPr>
        <w:pStyle w:val="5"/>
        <w:rPr>
          <w:sz w:val="28"/>
          <w:szCs w:val="28"/>
        </w:rPr>
      </w:pPr>
      <w:r>
        <w:rPr>
          <w:rFonts w:hint="eastAsia"/>
          <w:sz w:val="28"/>
          <w:szCs w:val="28"/>
        </w:rPr>
        <w:t>第三章 用户需求书</w:t>
      </w:r>
    </w:p>
    <w:p w14:paraId="2F674251">
      <w:pPr>
        <w:pStyle w:val="5"/>
        <w:spacing w:before="120" w:beforeLines="50" w:after="120" w:afterLines="50"/>
        <w:rPr>
          <w:szCs w:val="24"/>
        </w:rPr>
      </w:pPr>
      <w:r>
        <w:rPr>
          <w:rFonts w:hint="eastAsia"/>
          <w:szCs w:val="24"/>
        </w:rPr>
        <w:t>一、项目基本信息</w:t>
      </w:r>
    </w:p>
    <w:p w14:paraId="1C30ED7E">
      <w:pPr>
        <w:outlineLvl w:val="0"/>
        <w:rPr>
          <w:rFonts w:ascii="宋体" w:hAnsi="宋体"/>
          <w:b/>
          <w:color w:val="FF0000"/>
          <w:szCs w:val="21"/>
        </w:rPr>
      </w:pPr>
    </w:p>
    <w:tbl>
      <w:tblPr>
        <w:tblStyle w:val="4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1"/>
        <w:gridCol w:w="3142"/>
        <w:gridCol w:w="2456"/>
        <w:gridCol w:w="2457"/>
      </w:tblGrid>
      <w:tr w14:paraId="0347E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76" w:type="pct"/>
            <w:vAlign w:val="center"/>
          </w:tcPr>
          <w:p w14:paraId="63EB8639">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序号</w:t>
            </w:r>
          </w:p>
        </w:tc>
        <w:tc>
          <w:tcPr>
            <w:tcW w:w="1842" w:type="pct"/>
            <w:vAlign w:val="center"/>
          </w:tcPr>
          <w:p w14:paraId="63BA0ECC">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采购项目名称</w:t>
            </w:r>
          </w:p>
        </w:tc>
        <w:tc>
          <w:tcPr>
            <w:tcW w:w="1440" w:type="pct"/>
            <w:vAlign w:val="center"/>
          </w:tcPr>
          <w:p w14:paraId="65812D02">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包组</w:t>
            </w:r>
          </w:p>
        </w:tc>
        <w:tc>
          <w:tcPr>
            <w:tcW w:w="1440" w:type="pct"/>
            <w:vAlign w:val="center"/>
          </w:tcPr>
          <w:p w14:paraId="5F922BE2">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b/>
                <w:bCs/>
                <w:color w:val="FF0000"/>
                <w:sz w:val="21"/>
                <w:szCs w:val="21"/>
              </w:rPr>
            </w:pPr>
            <w:r>
              <w:rPr>
                <w:rFonts w:hint="eastAsia" w:asciiTheme="minorEastAsia" w:hAnsiTheme="minorEastAsia" w:eastAsiaTheme="minorEastAsia" w:cstheme="minorEastAsia"/>
                <w:b/>
                <w:bCs/>
                <w:color w:val="FF0000"/>
                <w:sz w:val="21"/>
                <w:szCs w:val="21"/>
              </w:rPr>
              <w:t>预算限额（元）</w:t>
            </w:r>
          </w:p>
        </w:tc>
      </w:tr>
      <w:tr w14:paraId="076E4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76" w:type="pct"/>
            <w:vAlign w:val="center"/>
          </w:tcPr>
          <w:p w14:paraId="4B41FE17">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bCs/>
                <w:color w:val="FF0000"/>
                <w:sz w:val="21"/>
                <w:szCs w:val="21"/>
              </w:rPr>
            </w:pPr>
            <w:r>
              <w:rPr>
                <w:rFonts w:hint="eastAsia" w:asciiTheme="minorEastAsia" w:hAnsiTheme="minorEastAsia" w:eastAsiaTheme="minorEastAsia" w:cstheme="minorEastAsia"/>
                <w:bCs/>
                <w:color w:val="FF0000"/>
                <w:sz w:val="21"/>
                <w:szCs w:val="21"/>
              </w:rPr>
              <w:t>1</w:t>
            </w:r>
          </w:p>
        </w:tc>
        <w:tc>
          <w:tcPr>
            <w:tcW w:w="1842" w:type="pct"/>
            <w:vAlign w:val="center"/>
          </w:tcPr>
          <w:p w14:paraId="5E691515">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b/>
                <w:bCs/>
                <w:color w:val="FF0000"/>
                <w:sz w:val="21"/>
                <w:szCs w:val="21"/>
                <w:lang w:eastAsia="zh-CN"/>
              </w:rPr>
            </w:pPr>
            <w:r>
              <w:rPr>
                <w:rFonts w:hint="eastAsia" w:asciiTheme="minorEastAsia" w:hAnsiTheme="minorEastAsia" w:eastAsiaTheme="minorEastAsia" w:cstheme="minorEastAsia"/>
                <w:b/>
                <w:bCs/>
                <w:color w:val="FF0000"/>
                <w:sz w:val="21"/>
                <w:szCs w:val="21"/>
              </w:rPr>
              <w:t>深圳市龙岗区第二人民医院新院区检验科试剂耗材及配套设备采购项目</w:t>
            </w:r>
          </w:p>
        </w:tc>
        <w:tc>
          <w:tcPr>
            <w:tcW w:w="1440" w:type="pct"/>
            <w:vAlign w:val="center"/>
          </w:tcPr>
          <w:p w14:paraId="5DFB26D1">
            <w:pPr>
              <w:keepNext w:val="0"/>
              <w:keepLines w:val="0"/>
              <w:pageBreakBefore w:val="0"/>
              <w:widowControl w:val="0"/>
              <w:kinsoku/>
              <w:wordWrap/>
              <w:overflowPunct/>
              <w:topLinePunct w:val="0"/>
              <w:autoSpaceDE/>
              <w:autoSpaceDN/>
              <w:bidi w:val="0"/>
              <w:adjustRightInd/>
              <w:snapToGrid/>
              <w:jc w:val="center"/>
              <w:textAlignment w:val="auto"/>
              <w:rPr>
                <w:rFonts w:hint="default" w:asciiTheme="minorEastAsia" w:hAnsiTheme="minorEastAsia" w:eastAsiaTheme="minorEastAsia" w:cstheme="minorEastAsia"/>
                <w:b/>
                <w:bCs/>
                <w:color w:val="FF0000"/>
                <w:sz w:val="21"/>
                <w:szCs w:val="21"/>
                <w:lang w:val="en-US" w:eastAsia="zh-CN"/>
              </w:rPr>
            </w:pPr>
            <w:r>
              <w:rPr>
                <w:rFonts w:hint="eastAsia" w:asciiTheme="minorEastAsia" w:hAnsiTheme="minorEastAsia" w:eastAsiaTheme="minorEastAsia" w:cstheme="minorEastAsia"/>
                <w:b/>
                <w:bCs/>
                <w:color w:val="FF0000"/>
                <w:sz w:val="21"/>
                <w:szCs w:val="21"/>
                <w:lang w:val="en-US" w:eastAsia="zh-CN"/>
              </w:rPr>
              <w:t>B包</w:t>
            </w:r>
          </w:p>
        </w:tc>
        <w:tc>
          <w:tcPr>
            <w:tcW w:w="1440" w:type="pct"/>
            <w:vAlign w:val="center"/>
          </w:tcPr>
          <w:p w14:paraId="37DA76FF">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bCs/>
                <w:color w:val="FF0000"/>
                <w:sz w:val="21"/>
                <w:szCs w:val="21"/>
                <w:lang w:val="en-US" w:eastAsia="zh-CN"/>
              </w:rPr>
            </w:pPr>
            <w:r>
              <w:rPr>
                <w:rFonts w:hint="eastAsia" w:asciiTheme="minorEastAsia" w:hAnsiTheme="minorEastAsia" w:eastAsiaTheme="minorEastAsia" w:cstheme="minorEastAsia"/>
                <w:bCs/>
                <w:color w:val="FF0000"/>
                <w:sz w:val="21"/>
                <w:szCs w:val="21"/>
                <w:lang w:val="en-US" w:eastAsia="zh-CN"/>
              </w:rPr>
              <w:t>4,775,000</w:t>
            </w:r>
          </w:p>
        </w:tc>
      </w:tr>
    </w:tbl>
    <w:p w14:paraId="2A6BF9FA">
      <w:pPr>
        <w:rPr>
          <w:rFonts w:hint="eastAsia"/>
          <w:szCs w:val="24"/>
        </w:rPr>
      </w:pPr>
      <w:r>
        <w:rPr>
          <w:rFonts w:hint="eastAsia" w:ascii="宋体" w:hAnsi="宋体"/>
          <w:b/>
          <w:color w:val="FF0000"/>
          <w:szCs w:val="21"/>
          <w:lang w:val="en-US" w:eastAsia="zh-CN"/>
        </w:rPr>
        <w:t>注：</w:t>
      </w:r>
      <w:r>
        <w:rPr>
          <w:rFonts w:hint="eastAsia" w:ascii="宋体" w:hAnsi="宋体" w:eastAsia="宋体" w:cs="Times New Roman"/>
          <w:b/>
          <w:bCs w:val="0"/>
          <w:i w:val="0"/>
          <w:iCs w:val="0"/>
          <w:caps w:val="0"/>
          <w:color w:val="FF0000"/>
          <w:spacing w:val="0"/>
          <w:sz w:val="21"/>
          <w:szCs w:val="21"/>
          <w:shd w:val="clear" w:fill="auto"/>
        </w:rPr>
        <w:t>深圳医用耗材阳光交易和监管平台</w:t>
      </w:r>
      <w:r>
        <w:rPr>
          <w:rFonts w:hint="eastAsia" w:ascii="宋体" w:hAnsi="宋体"/>
          <w:b/>
          <w:color w:val="FF0000"/>
          <w:szCs w:val="21"/>
          <w:lang w:val="en-US" w:eastAsia="zh-CN"/>
        </w:rPr>
        <w:t>线上采购标的金额预估规模为：4,250,000元，线下采购标的金额预估规模为：525,000元</w:t>
      </w:r>
      <w:bookmarkStart w:id="37" w:name="_Hlk72258617"/>
      <w:r>
        <w:rPr>
          <w:rFonts w:hint="eastAsia" w:ascii="宋体" w:hAnsi="宋体"/>
          <w:b/>
          <w:color w:val="FF0000"/>
          <w:szCs w:val="21"/>
          <w:lang w:val="en-US" w:eastAsia="zh-CN"/>
        </w:rPr>
        <w:t>。</w:t>
      </w:r>
    </w:p>
    <w:p w14:paraId="7F4A778B">
      <w:pPr>
        <w:pStyle w:val="5"/>
        <w:spacing w:before="120" w:beforeLines="50" w:after="120" w:afterLines="50"/>
        <w:rPr>
          <w:rFonts w:hint="eastAsia"/>
          <w:szCs w:val="24"/>
        </w:rPr>
      </w:pPr>
    </w:p>
    <w:p w14:paraId="08ABFA32">
      <w:pPr>
        <w:pStyle w:val="5"/>
        <w:numPr>
          <w:ilvl w:val="0"/>
          <w:numId w:val="8"/>
        </w:numPr>
        <w:spacing w:before="120" w:beforeLines="50" w:after="120" w:afterLines="50"/>
        <w:rPr>
          <w:rFonts w:hint="eastAsia"/>
          <w:szCs w:val="24"/>
        </w:rPr>
      </w:pPr>
      <w:bookmarkStart w:id="38" w:name="_Hlk72073432"/>
      <w:r>
        <w:rPr>
          <w:rFonts w:hint="eastAsia"/>
          <w:szCs w:val="24"/>
        </w:rPr>
        <w:t>货物</w:t>
      </w:r>
      <w:r>
        <w:rPr>
          <w:rFonts w:hint="eastAsia"/>
          <w:szCs w:val="24"/>
          <w:lang w:val="en-US" w:eastAsia="zh-CN"/>
        </w:rPr>
        <w:t>清单</w:t>
      </w:r>
      <w:r>
        <w:rPr>
          <w:rFonts w:hint="eastAsia"/>
          <w:szCs w:val="24"/>
        </w:rPr>
        <w:t>明细</w:t>
      </w:r>
      <w:bookmarkEnd w:id="38"/>
    </w:p>
    <w:p w14:paraId="10469B4C">
      <w:pPr>
        <w:widowControl/>
        <w:jc w:val="center"/>
        <w:textAlignment w:val="center"/>
        <w:rPr>
          <w:rFonts w:hint="eastAsia"/>
          <w:lang w:val="en-US" w:eastAsia="zh-CN"/>
        </w:rPr>
      </w:pPr>
      <w:r>
        <w:rPr>
          <w:rFonts w:hint="eastAsia"/>
          <w:lang w:val="en-US" w:eastAsia="zh-CN"/>
        </w:rPr>
        <w:t>注：深圳医用耗材阳光交易和监管平台，以下简称“阳光平台”。</w:t>
      </w:r>
    </w:p>
    <w:tbl>
      <w:tblPr>
        <w:tblStyle w:val="44"/>
        <w:tblpPr w:leftFromText="180" w:rightFromText="180" w:vertAnchor="text" w:horzAnchor="page" w:tblpX="1854" w:tblpY="654"/>
        <w:tblOverlap w:val="never"/>
        <w:tblW w:w="8204" w:type="dxa"/>
        <w:tblInd w:w="0" w:type="dxa"/>
        <w:tblLayout w:type="fixed"/>
        <w:tblCellMar>
          <w:top w:w="0" w:type="dxa"/>
          <w:left w:w="108" w:type="dxa"/>
          <w:bottom w:w="0" w:type="dxa"/>
          <w:right w:w="108" w:type="dxa"/>
        </w:tblCellMar>
      </w:tblPr>
      <w:tblGrid>
        <w:gridCol w:w="681"/>
        <w:gridCol w:w="2431"/>
        <w:gridCol w:w="1054"/>
        <w:gridCol w:w="1281"/>
        <w:gridCol w:w="1249"/>
        <w:gridCol w:w="1508"/>
      </w:tblGrid>
      <w:tr w14:paraId="6BDF8BF7">
        <w:tblPrEx>
          <w:tblCellMar>
            <w:top w:w="0" w:type="dxa"/>
            <w:left w:w="108" w:type="dxa"/>
            <w:bottom w:w="0" w:type="dxa"/>
            <w:right w:w="108" w:type="dxa"/>
          </w:tblCellMar>
        </w:tblPrEx>
        <w:trPr>
          <w:trHeight w:val="924"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85E4A">
            <w:pPr>
              <w:widowControl/>
              <w:jc w:val="center"/>
              <w:textAlignment w:val="center"/>
              <w:rPr>
                <w:rFonts w:hint="eastAsia" w:asciiTheme="minorEastAsia" w:hAnsiTheme="minorEastAsia" w:eastAsiaTheme="minorEastAsia" w:cstheme="minorEastAsia"/>
                <w:b/>
                <w:bCs/>
                <w:color w:val="000000"/>
                <w:szCs w:val="21"/>
              </w:rPr>
            </w:pPr>
            <w:r>
              <w:rPr>
                <w:rFonts w:hint="eastAsia" w:asciiTheme="minorEastAsia" w:hAnsiTheme="minorEastAsia" w:eastAsiaTheme="minorEastAsia" w:cstheme="minorEastAsia"/>
                <w:b/>
                <w:bCs/>
                <w:color w:val="000000"/>
                <w:kern w:val="0"/>
                <w:szCs w:val="21"/>
              </w:rPr>
              <w:t>序号</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B024E">
            <w:pPr>
              <w:widowControl/>
              <w:jc w:val="center"/>
              <w:textAlignment w:val="center"/>
              <w:rPr>
                <w:rFonts w:hint="eastAsia" w:asciiTheme="minorEastAsia" w:hAnsiTheme="minorEastAsia" w:eastAsiaTheme="minorEastAsia" w:cstheme="minorEastAsia"/>
                <w:b/>
                <w:bCs/>
                <w:color w:val="000000"/>
                <w:szCs w:val="21"/>
                <w:lang w:val="en-US" w:eastAsia="zh-CN"/>
              </w:rPr>
            </w:pPr>
            <w:r>
              <w:rPr>
                <w:rFonts w:hint="eastAsia" w:asciiTheme="minorEastAsia" w:hAnsiTheme="minorEastAsia" w:eastAsiaTheme="minorEastAsia" w:cstheme="minorEastAsia"/>
                <w:b/>
                <w:bCs/>
                <w:color w:val="000000"/>
                <w:szCs w:val="21"/>
                <w:lang w:val="en-US" w:eastAsia="zh-CN"/>
              </w:rPr>
              <w:t>名称</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6BDE5">
            <w:pPr>
              <w:widowControl/>
              <w:jc w:val="center"/>
              <w:textAlignment w:val="center"/>
              <w:rPr>
                <w:rFonts w:hint="eastAsia" w:asciiTheme="minorEastAsia" w:hAnsiTheme="minorEastAsia" w:eastAsiaTheme="minorEastAsia" w:cstheme="minorEastAsia"/>
                <w:b/>
                <w:bCs/>
                <w:color w:val="000000"/>
                <w:kern w:val="2"/>
                <w:sz w:val="21"/>
                <w:szCs w:val="21"/>
                <w:lang w:val="en-US" w:eastAsia="zh-CN" w:bidi="ar-SA"/>
              </w:rPr>
            </w:pPr>
            <w:r>
              <w:rPr>
                <w:rFonts w:hint="eastAsia" w:asciiTheme="minorEastAsia" w:hAnsiTheme="minorEastAsia" w:eastAsiaTheme="minorEastAsia" w:cstheme="minorEastAsia"/>
                <w:b/>
                <w:bCs/>
                <w:color w:val="000000"/>
                <w:kern w:val="2"/>
                <w:sz w:val="21"/>
                <w:szCs w:val="21"/>
                <w:lang w:val="en-US" w:eastAsia="zh-CN" w:bidi="ar-SA"/>
              </w:rPr>
              <w:t>最小计量单位</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D25D1">
            <w:pPr>
              <w:widowControl/>
              <w:jc w:val="center"/>
              <w:textAlignment w:val="center"/>
              <w:rPr>
                <w:rFonts w:hint="eastAsia" w:asciiTheme="minorEastAsia" w:hAnsiTheme="minorEastAsia" w:eastAsiaTheme="minorEastAsia" w:cstheme="minorEastAsia"/>
                <w:b/>
                <w:bCs/>
                <w:color w:val="000000"/>
                <w:kern w:val="2"/>
                <w:sz w:val="21"/>
                <w:szCs w:val="21"/>
                <w:lang w:val="en-US" w:eastAsia="zh-CN" w:bidi="ar-SA"/>
              </w:rPr>
            </w:pPr>
            <w:r>
              <w:rPr>
                <w:rFonts w:hint="eastAsia" w:asciiTheme="minorEastAsia" w:hAnsiTheme="minorEastAsia" w:eastAsiaTheme="minorEastAsia" w:cstheme="minorEastAsia"/>
                <w:b/>
                <w:bCs/>
                <w:color w:val="000000"/>
                <w:sz w:val="21"/>
                <w:szCs w:val="21"/>
                <w:lang w:val="en-US" w:eastAsia="zh-CN"/>
              </w:rPr>
              <w:t>预计采购数量</w:t>
            </w:r>
          </w:p>
        </w:tc>
        <w:tc>
          <w:tcPr>
            <w:tcW w:w="12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42D08D">
            <w:pPr>
              <w:jc w:val="center"/>
              <w:rPr>
                <w:rFonts w:hint="eastAsia" w:asciiTheme="minorEastAsia" w:hAnsiTheme="minorEastAsia" w:eastAsiaTheme="minorEastAsia" w:cstheme="minorEastAsia"/>
                <w:b/>
                <w:bCs/>
                <w:color w:val="000000"/>
                <w:kern w:val="2"/>
                <w:sz w:val="21"/>
                <w:szCs w:val="21"/>
                <w:lang w:val="en-US" w:eastAsia="zh-CN" w:bidi="ar-SA"/>
              </w:rPr>
            </w:pPr>
            <w:r>
              <w:rPr>
                <w:rFonts w:hint="eastAsia" w:asciiTheme="minorEastAsia" w:hAnsiTheme="minorEastAsia" w:eastAsiaTheme="minorEastAsia" w:cstheme="minorEastAsia"/>
                <w:b/>
                <w:bCs/>
                <w:sz w:val="21"/>
                <w:szCs w:val="21"/>
                <w:lang w:val="en-US" w:eastAsia="zh-CN"/>
              </w:rPr>
              <w:t>最小计量单位</w:t>
            </w:r>
            <w:r>
              <w:rPr>
                <w:rFonts w:hint="eastAsia" w:asciiTheme="minorEastAsia" w:hAnsiTheme="minorEastAsia" w:eastAsiaTheme="minorEastAsia" w:cstheme="minorEastAsia"/>
                <w:b/>
                <w:bCs/>
                <w:sz w:val="21"/>
                <w:szCs w:val="21"/>
              </w:rPr>
              <w:t>单价</w:t>
            </w:r>
            <w:r>
              <w:rPr>
                <w:rFonts w:hint="eastAsia" w:asciiTheme="minorEastAsia" w:hAnsiTheme="minorEastAsia" w:eastAsiaTheme="minorEastAsia" w:cstheme="minorEastAsia"/>
                <w:b/>
                <w:bCs/>
                <w:sz w:val="21"/>
                <w:szCs w:val="21"/>
                <w:lang w:val="en-US" w:eastAsia="zh-CN"/>
              </w:rPr>
              <w:t>最高限价</w:t>
            </w:r>
            <w:r>
              <w:rPr>
                <w:rFonts w:hint="eastAsia" w:asciiTheme="minorEastAsia" w:hAnsiTheme="minorEastAsia" w:eastAsiaTheme="minorEastAsia" w:cstheme="minorEastAsia"/>
                <w:b/>
                <w:bCs/>
                <w:sz w:val="21"/>
                <w:szCs w:val="21"/>
              </w:rPr>
              <w:t>（元）</w:t>
            </w:r>
          </w:p>
        </w:tc>
        <w:tc>
          <w:tcPr>
            <w:tcW w:w="15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A887A">
            <w:pPr>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val="en-US" w:eastAsia="zh-CN"/>
              </w:rPr>
              <w:t>备注</w:t>
            </w:r>
          </w:p>
        </w:tc>
      </w:tr>
      <w:tr w14:paraId="0C9CD45D">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4F6C5">
            <w:pPr>
              <w:widowControl/>
              <w:numPr>
                <w:ilvl w:val="0"/>
                <w:numId w:val="0"/>
              </w:numPr>
              <w:ind w:left="425" w:leftChars="0" w:hanging="425" w:firstLineChars="0"/>
              <w:jc w:val="center"/>
              <w:textAlignment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1.</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ACFF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癌抗原125测定（化学发光法）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2099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6C47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3500人份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3701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BA34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15BA9F8F">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C1D58">
            <w:pPr>
              <w:widowControl/>
              <w:numPr>
                <w:ilvl w:val="0"/>
                <w:numId w:val="0"/>
              </w:numPr>
              <w:ind w:left="425" w:leftChars="0" w:hanging="425" w:firstLineChars="0"/>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2"/>
                <w:sz w:val="21"/>
                <w:szCs w:val="21"/>
                <w:lang w:val="en-US" w:eastAsia="zh-CN" w:bidi="ar-SA"/>
              </w:rPr>
              <w:t>2.</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7504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癌抗原15-3测定（化学发光法）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9234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4B51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8905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F1E4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5CA7D4A3">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B25CD">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3.</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EDF3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癌抗原72-4测定（化学发光法）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CBC8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4B23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E639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57D7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79E450E4">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C0DFD">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4.</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E53D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癌胚抗原测定（化学发光法）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0B07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AA83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12500人份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B089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6.29</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4D76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7FEE3584">
        <w:tblPrEx>
          <w:tblCellMar>
            <w:top w:w="0" w:type="dxa"/>
            <w:left w:w="108" w:type="dxa"/>
            <w:bottom w:w="0" w:type="dxa"/>
            <w:right w:w="108" w:type="dxa"/>
          </w:tblCellMar>
        </w:tblPrEx>
        <w:trPr>
          <w:trHeight w:val="4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A2463">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5.</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0EFC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甲胎蛋白测定（化学发光法）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80DF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C09E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15000人份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4ED8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6.73</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80C4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5BC04DFF">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01669">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6.</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C1F0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鳞状上皮细胞癌抗原测定（化学发光法）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BA45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292F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4500人份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A1F8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E44E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7CCCC4E4">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5EE8F">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7.</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FB68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人附睾蛋白4测定（化学发光法）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0458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6DA6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2500人份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56C7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32</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03C7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169D1BE2">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A15CE">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8.</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B06D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神经元特异性烯醇化酶测定（化学发光法）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0B62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BF5C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4500人份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462F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7C99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5384AEBC">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9F247">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9.</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46F7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糖类抗原19-9测定（化学发光法）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67EF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999F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4800人份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EE63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9374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78BFC7BC">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F4B0F">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10.</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53E6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糖类抗原242测定（化学发光法）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5451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A503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C6C2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393A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34440CD8">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7030A">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11.</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3203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糖类抗原50测定（化学发光法）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3697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B5FD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2F75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27BB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5850A315">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A5C3A">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12.</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F282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胃蛋白酶原II测定（化学发光法）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3BFB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B369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D11D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22</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73B2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3AB86544">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CAFF1">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13.</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58E0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胃蛋白酶原I测定（化学发光法）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5D91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1568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D5A9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22</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9BFD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68EF03E0">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218F6">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14.</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93A0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胃泌素17测定（化学发光法）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5DFF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6761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7D96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20.16</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0C48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7795F309">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136AE">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15.</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6C0C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胃泌素释放肽前体测定（化学发光法）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53D2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79EF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7AA7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3A3C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0B8F8073">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17F5B">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16.</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AF06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细胞角蛋白19片段测定（化学发光法）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9C10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7CFA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BD2C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3E4B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7D68B105">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34B6F">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17.</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9452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游离前列腺特异性抗原测定（化学发光法）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48B6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4230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3500</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AC56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1C35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31EF6B41">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7A11D">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18.</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8DA3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总前列腺特异性抗原测定（化学发光法）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DF64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D293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3600人份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8E0B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E6FE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775C756B">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7061A">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19.</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AC97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单纯疱疹病毒Ⅰ型IgG抗体检测（化学发光法）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B627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07ED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728C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14.5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4961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52C60C2E">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E8C55">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20.</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165A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单纯疱疹病毒Ⅰ型IgM抗体检测（化学发光法）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BF8E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2502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2100人份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25A3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13.9</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011D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2F3A461F">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8A9A0">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21.</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F0EB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单纯疱疹病毒Ⅱ型IgG抗体检测（化学发光法）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3EE2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4171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55D2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14.5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8812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363BE4AC">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CE91F">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22.</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2958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单纯疱疹病毒Ⅱ型IgM抗体检测（化学发光法）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A066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F081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2100人份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DABF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13.9</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3917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599C824B">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37BD5">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23.</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018C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风疹病毒IgG测定（化学发光法）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26B5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002B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AB78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13.65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3AF6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16014E02">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9B7ED">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24.</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2C79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风疹病毒IgM抗体检测（化学发光法）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CEFA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C8E6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2100人份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F449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13.65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56C5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6D1E5A95">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B3C24">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25.</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370E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弓形虫IgG抗体测定（化学发光法）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8957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CD51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900F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13.65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57B4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550AF223">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A3A70">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26.</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09EB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弓形虫IgM抗体检测（化学发光法）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49C7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E825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bidi="ar"/>
              </w:rPr>
              <w:t>2100人份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44F8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bidi="ar"/>
              </w:rPr>
              <w:t>13.65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80C6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32301A87">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E2B03">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27.</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DA92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巨细胞病毒IgG检测（化学发光法）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D90C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6EDA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2DDE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13.5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D2D4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72D236DD">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C17F9">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28.</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4109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巨细胞病毒IgM抗体检测（化学发光法）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876A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1664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2100人份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B814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13.65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BA0C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5A72220F">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5DF51">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29.</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6BC6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白介素6测定(化学发光法)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DF31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FE9D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3F9E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24</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35DC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3C74C87A">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9763A">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30.</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5898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N末端—脑钠肽前体测定（化学发光法）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D733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0F57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3F86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87.5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1791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7DE7C911">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194DE">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31.</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3407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C肽测定（化学发光法）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0590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FE9F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0B0B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D4D3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0473B6DD">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B9E39">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32.</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742B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胰岛素测定（化学发光法）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D8DD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488A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4500人份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517F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12.47</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4658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3316884A">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40A94">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33.</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1445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非结合雌三醇测定（化学发光法）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6C9B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7A25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2000人份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4FB2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15.24</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3EA3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26C3881F">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2785C">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34.</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3985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妊娠相关蛋白A测定（化学发光法）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31C8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18B2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2000人份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F0A9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33.8</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82EF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3C4BBE40">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AC5EC">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35.</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DE6B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丙型肝炎病毒IgG抗体检测（化学发光法）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DBC2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B38C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4DA9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15.2</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0B26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67EE8C91">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8311F">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36.</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5D32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梅毒螺旋体抗体检测（化学发光法）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060C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7E65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C3F9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13.2</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B772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7F6BF320">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5C4D8">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37.</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85E3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人类免疫缺陷病毒抗原抗体检测（化学发光法）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AF32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3DCF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11CC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13.86</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EBF8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4A0EAD08">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D334E">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38.</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8603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乙型肝炎病毒e抗体检测（化学发光法）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DDBA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0BB4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3600人份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9594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7.18</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513D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79DA65E3">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88BFB">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39.</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36E5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乙型肝炎病毒e抗原检测（化学发光法）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A502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F29C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3600人份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A3DE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7.18</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F74B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342BE58E">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FA6BF">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40.</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94DF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乙型肝炎病毒表面抗体测定（化学发光法）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AFE2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2485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3600人份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A784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7.18</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4F77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216C0A60">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8663C">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41.</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0269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乙型肝炎病毒表面抗原测定（化学发光法）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F577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8870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3600人份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A648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CFB6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38B5C8E9">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1F93C">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42.</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9072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乙型肝炎病毒核心抗体检测（化学发光法）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B030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DC3F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3600人份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69A0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7.18</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4757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09E25462">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5EEF7">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43.</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334F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泌乳素测定（化学发光法）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0A86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CFDD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6000人份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0012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10.49</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647E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549D65AE">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87BA6">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44.</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6830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雌二醇测定（化学发光法）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2FC8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87A2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6000人份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43FB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10.66</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C4DB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7007C580">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C3A38">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45.</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ED6D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促黄体生成素测定（化学发光法）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B7DF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6BCE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6000人份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C4C7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10.33</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2B09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7E8812D7">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19835">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46.</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3A12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促卵泡生成素测定（化学发光法）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7C41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AF9A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6000人份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EE20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10.49</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E26A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71A4002B">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193A6">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47.</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4A65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睾酮测定（化学发光法）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323D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0ACF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6000人份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C6C5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10.33</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1989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48E19BC4">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665FB">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48.</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7BC9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抗缪勒氏管激素测定（化学发光法）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733F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98F8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2500人份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E6F9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87.3</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21BC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4EBCEDFF">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BA531">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49.</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F46D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人绒毛膜促性腺激素测定（化学发光法）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A231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ADE5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2000人份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C551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10.33</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A760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700FDFDF">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A127F">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50.</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2811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游离β-绒毛膜促性腺激素测定（化学发光法）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0CB4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E068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2000人份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C3EF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10.16</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CA66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75D263EF">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DD785">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51.</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A5D2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孕酮测定（化学发光法）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5BED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D1A6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0645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10.89</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40E3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075ACE56">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58981">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52.</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6E0F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降钙素原测定（化学发光法）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3497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14D8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D77D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44</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0A46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67353314">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50734">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53.</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2073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铁蛋白测定（化学发光法）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2089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4C1A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10000人份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2A88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9.8</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403F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180D6753">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D4C8A">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54.</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AB14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维生素B₁₂测定（化学发光法）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BAB0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C103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6FAE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DBDF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45527915">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53C92">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55.</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1D43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叶酸测定（化学发光法）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2A89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92B5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900人份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FCD2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15.8</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DDB1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505D5CEB">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450BB">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56.</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C4FD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促甲状腺激素测定（化学发光法）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CB55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06A8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30000人份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94F9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8.88</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8900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630227CC">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F8E03">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57.</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E774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促甲状腺激素受体抗体测定（化学发光法）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381A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283D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967A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16.08</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2002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1984445F">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A6A29">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58.</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749F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抗甲状腺过氧化物酶抗体测定（化学发光法）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022A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7710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6500人份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F08F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16</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7AF9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17D112AD">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4916B">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59.</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76F7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抗甲状腺球蛋白抗体测定（化学发光法）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988D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0415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ABA5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14.47</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95DC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3113915A">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C6794">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60.</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A4FB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游离甲状腺素测定（化学发光法）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6EBB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45E8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25000人份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BE34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8.88</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CF30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273F2653">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B92AF">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61.</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1115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游离三碘甲状腺原氨酸测定（化学发光法）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E7E4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4306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25000人份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4235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10.24</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4206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36F8DE5F">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1DF81">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62.</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465A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总甲状腺素测定（化学发光法）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8165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FEDA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10000人份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29D2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8.46</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0505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355C8D56">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21C17">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63.</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E56E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总三碘甲状腺原氨酸测定（化学发光法）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9F4E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5012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10000人份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8E96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8.88</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E840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41984C5E">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78D4F">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64.</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A2F4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25-羟基维生素D测定（化学发光法）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5C2A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E315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5500人份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29AA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23.4</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3BD1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137FFEF2">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C4D6F">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65.</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0A56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Ⅲ型前胶原N端肽测定（化学发光法）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B1E2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47DB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2BCA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17.55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AF74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12853B50">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449C0">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66.</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973C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Ⅳ型胶原测定（化学发光法）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4370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C23A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B0D9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8.46</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75D5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62A9BB42">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CDB9B">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67.</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9714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层粘连蛋白测定（化学发光法）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C226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DF5D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004B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12.8</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14C6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30E668B4">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A8264">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68.</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9E39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透明质酸测定（化学发光法）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39F3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5A00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15E2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13.7145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A678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52B03564">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C1057">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69.</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D986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抗核抗体测定（化学发光法）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3644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C9FA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FB2F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17.95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0111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6179DCA2">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B5E0D">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70.</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22BF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抗双链DNA抗体IgG测定（化学发光法）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3157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0A07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4B33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17.01</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A348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55188476">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DEA2E">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71.</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58C3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抗谷氨酸脱羧酶抗体IgG测定(化学发光法)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20D0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533A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1D05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16</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1519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2CE29D89">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D7235">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72.</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A7AB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抗胰岛素抗体检测（化学发光法）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6EE7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132F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5D7E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993C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4D4279B3">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CA422">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73.</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5318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抗酪氨酸磷酸酶抗体测定（化学发光法）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42CD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CBDF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E8EF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23.75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F911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76D47049">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954B1">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74.</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48A9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抗胰岛细胞抗体检测（化学发光法）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3687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7455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2737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14.3</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D251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16103377">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7BE80">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75.</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4E42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EB病毒核心抗原IgG抗体检测（化学发光法）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6087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E2EC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390F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927D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4DA76E85">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1D8F1">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76.</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DD5C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EB病毒核心抗原IgA检测（化学发光法）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724E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F4AA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59F4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15.12</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1FE0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7B859CED">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D0F64">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77.</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8D1F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EB病毒衣壳抗原IgG抗体检测（化学发光法）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ED54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E10D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B9F9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0CB9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34FFEF91">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B1314">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78.</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FC56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EB病毒衣壳抗原IgM抗体检测（化学发光法）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AF60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A6C2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6C98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62DB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400728AE">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A0067">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79.</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DAC6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EB病毒衣壳抗原IgA抗体检测（化学发光法）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CA05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23BA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82BE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15.21</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0A59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2B9CA506">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95DA2">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80.</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0895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eastAsia="zh-CN" w:bidi="ar"/>
              </w:rPr>
              <w:t>肾素测定</w:t>
            </w:r>
            <w:r>
              <w:rPr>
                <w:rFonts w:hint="eastAsia" w:asciiTheme="minorEastAsia" w:hAnsiTheme="minorEastAsia" w:eastAsiaTheme="minorEastAsia" w:cstheme="minorEastAsia"/>
                <w:color w:val="000000"/>
                <w:kern w:val="0"/>
                <w:sz w:val="21"/>
                <w:szCs w:val="21"/>
                <w:highlight w:val="none"/>
                <w:u w:val="none"/>
                <w:lang w:bidi="ar"/>
              </w:rPr>
              <w:t>（化学发光法）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DAE0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BEF2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09F4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15.24</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8188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013A6493">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CE221">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81.</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AD7A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肺炎支原体IgG检测（化学发光法）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0B14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C135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4668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43D8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0D1EB00C">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F469A">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82.</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F31A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肺炎支原体IgM检测（化学发光法）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DE27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66BD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989A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15.2</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266A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30DA70F8">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DF19B">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83.</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69F8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肺炎衣原体IgG抗体检测（化学发光法）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712C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DE7D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104C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16</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8947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7D1FB7F7">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589EE">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84.</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6383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肺炎衣原体IgM抗体检测（化学发光法）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9183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DF74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6F93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15.39</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0C3E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71D7CF95">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A0DC9">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85.</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9E5E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肌钙蛋白I测定（化学发光法）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B892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3B1F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BF8E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18</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F4B5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3EF7EEA3">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890D9">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86.</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2152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肌酸激酶同工酶测定（化学发光法）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7CF5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DC80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BCC0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17.4</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54C9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67013FA8">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62349">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87.</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FAF0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肌红蛋白测定（化学发光法）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50C0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AE9B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7A32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24.5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D5C4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3CE0F46B">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750A8">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88.</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3108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B型脑钠肽测定（化学发光法）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AD13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E9ED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B886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54</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B5D8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04324C76">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39746">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89.</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C9A7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高敏肌钙蛋白I测定（化学发光法）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9E2D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DE13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F0A1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20</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E86F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25ECC979">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DC4AF">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90.</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98DE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抑制素A测定（化学发光法）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5F8E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4347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6DCF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33.01</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D8BA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634E1FDC">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0C0D0">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91.</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CFCB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配套检测设备</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49A8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套</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8E4C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1套</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BFE5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1500</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4A8C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bidi="ar"/>
              </w:rPr>
            </w:pPr>
            <w:r>
              <w:rPr>
                <w:rFonts w:hint="eastAsia" w:ascii="宋体" w:hAnsi="宋体" w:cs="宋体"/>
                <w:i w:val="0"/>
                <w:iCs w:val="0"/>
                <w:color w:val="000000"/>
                <w:kern w:val="0"/>
                <w:sz w:val="21"/>
                <w:szCs w:val="21"/>
                <w:u w:val="none"/>
                <w:lang w:val="en-US" w:eastAsia="zh-CN" w:bidi="ar"/>
              </w:rPr>
              <w:t>需要报价，但不参与价格分评审。</w:t>
            </w:r>
          </w:p>
        </w:tc>
      </w:tr>
      <w:tr w14:paraId="48309352">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71849">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92.</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A355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发光的配套校准品、质控品及其他耗材</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B03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BC6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73037">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0"/>
                <w:sz w:val="21"/>
                <w:szCs w:val="21"/>
                <w:highlight w:val="yellow"/>
                <w:lang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8E800">
            <w:pPr>
              <w:widowControl/>
              <w:spacing w:beforeLines="0" w:afterLines="0"/>
              <w:jc w:val="both"/>
              <w:textAlignment w:val="center"/>
              <w:rPr>
                <w:rFonts w:hint="eastAsia" w:asciiTheme="minorEastAsia" w:hAnsiTheme="minorEastAsia" w:eastAsiaTheme="minorEastAsia" w:cstheme="minorEastAsia"/>
                <w:color w:val="000000" w:themeColor="text1"/>
                <w:kern w:val="0"/>
                <w:sz w:val="21"/>
                <w:szCs w:val="21"/>
                <w:highlight w:val="yellow"/>
                <w:lang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投标商可自行增减相关检测项目的校准品、质控品及其他耗材</w:t>
            </w:r>
            <w:r>
              <w:rPr>
                <w:rFonts w:hint="eastAsia" w:ascii="宋体" w:hAnsi="宋体" w:cs="宋体"/>
                <w:i w:val="0"/>
                <w:iCs w:val="0"/>
                <w:color w:val="000000"/>
                <w:kern w:val="0"/>
                <w:sz w:val="21"/>
                <w:szCs w:val="21"/>
                <w:u w:val="none"/>
                <w:lang w:val="en-US" w:eastAsia="zh-CN" w:bidi="ar"/>
              </w:rPr>
              <w:t>，需要报价，但不参与价格分评审。</w:t>
            </w:r>
          </w:p>
        </w:tc>
      </w:tr>
      <w:tr w14:paraId="3C2ED291">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2A434">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93.</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761A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白蛋白检测 (溴甲酚绿法)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5CA1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3103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30966人份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0AC4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0.0228</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53F7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50C79F16">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B6D51">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94.</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8FC4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碱性磷酸酶检测（连续监测法)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3937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3B42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30966人份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9316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0.0417</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4AA0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50EEA026">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35C34">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95.</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7953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丙氨酸氨基转移酶检测(酶学速率法)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3153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9B15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66220人份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F808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0.0376</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907D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351CC723">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3E35C">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96.</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A172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天门冬氨酸氨基转移酶检测（酶学速率法)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34FB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B6B8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75960人份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C238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0.0386</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6BC8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6F42034D">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50BDA">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97.</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DB3C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胆固醇检测（氧化酶法）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5C80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7A45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31820人份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98EE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0.0334</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111B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1E47A902">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5C11C">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98.</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50CA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胆碱酯酶检测(连续监测法)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6FEC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9483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1214人份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D266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0.1706</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6EFB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2F494E62">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DAC40">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99.</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F7B3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直接胆红素检测（SCR氧化法）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92DB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2354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30966人份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837B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0.0757</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3D88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2B0C2381">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2A6A7">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100.</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DD63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高密度脂蛋白胆固醇检测（一步法）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4315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F99C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31820人份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4D31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0.3489</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BF70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5EEE48BB">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01BA2">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101.</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091B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低密度脂蛋白胆固醇检测（一步法）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EB1A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EB3E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31820人份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D136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0.5233</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C2FE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2C27B9B4">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C12F8">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102.</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61DE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总胆红素检测（SCR氧化法）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0001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C72F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30966人份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9FE4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0.0692</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8F4D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197EB3B5">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76324">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103.</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77E6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总蛋白检测 (双缩脲反应法)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3C55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C85D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30966人份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BF6E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0.0164</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5145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2170D3E1">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F82A6">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104.</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B9A7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甘油三酯检测（酶法)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40F8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976B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31820人份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9D06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0.1199</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6765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43E87F89">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BBC3C">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105.</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4C09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微量白蛋白检测（免疫浊度法）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8231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B801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3843人份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A4E5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3.5619</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5767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5FD1D644">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F6977">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106.</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DC35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葡萄糖检测（己糖激酶法）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CDE5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903B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44620人份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1ADF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0.2005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00EC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359D1C3F">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4E1FA">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107.</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3D8C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尿素氮检测(酶学速率法)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83A0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A1ED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36492人份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F00E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0.3368</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4305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496DCF8A">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95C07">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108.</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2E9E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尿酸检测（酶法)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E4DE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35BB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35812人份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FBCC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0.5553</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71E2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6B57E691">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09A9D">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109.</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F03A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微量总蛋白测定（焦酚红法）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7A30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274D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204人份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616C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1.4227</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45F3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2BFFDD13">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6C62B">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110.</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F3CB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肌酐检测（酶法）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6B39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805E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36492人份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781A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1.4028</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CF22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119BC853">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BB854">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111.</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8227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胱氨酸蛋白酶抑制剂C检测（免疫浊度法）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1262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355F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3431人份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26A5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7.975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05D1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62025397">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0EE4B">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112.</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E5AB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葡萄糖-6-磷酸脱氢酶测定（葡萄糖-6-磷酸底物法）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03D3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446E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2642人份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626A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3.0063</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7EEE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6C6303C9">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E746F">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113.</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6F45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抗链球菌溶血素O检测（胶乳增强免疫比浊法）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90FC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D6F4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2228人份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BE79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4.943</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AE00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233ED688">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187F5">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114.</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6127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C反应蛋白检测（胶乳增强免疫比浊法）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3E32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2459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3863人份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E58E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3.095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9EA2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3F4C81D5">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77484">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115.</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2852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类风湿因子检测（胶乳增强免疫比浊法）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54A0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E8DA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2068人份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9B66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2.9469</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1EAA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5D8DDB66">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48285">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116.</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30CC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补体C3检测（免疫浊度法）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82FB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380A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1184人份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F0B6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2.8617</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DF81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29D408B8">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A09E2">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117.</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D8D0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补体C4检测（免疫浊度法）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2E8A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2F53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1184人份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E135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2.8352</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5E13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5026D328">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A814B">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118.</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774F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免疫球蛋白IgA检测（免疫浊度法）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2E91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9B3D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1184人份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DA21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2.9242</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5356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151E29A1">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6348F">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119.</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5177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免疫球蛋白IgG检测（免疫浊度法）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ACF7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099D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1184人份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B84A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2.9412</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6EDE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1087EF6B">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C4DA2">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120.</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D36E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免疫球蛋白IgM检测（免疫浊度法）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6AEE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CB70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1184人份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ED6A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2.8688</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D66B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15AA28B2">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AD448">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121.</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5A2F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载脂蛋白A1检测（免疫透射比浊法）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F7D6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A49F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986人份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37A1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2.2864</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DE12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7C6BCF0B">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79896">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122.</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9C70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载脂蛋白B检测（免疫透射比浊法）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BE17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2AC6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986人份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A170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2.286</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C6E2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4E7DBFC1">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095B7">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123.</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5087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同型半胱氨酸检测（循环酶法）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692C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FA20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11332人份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D65B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15.22</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86BF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3B8548E1">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C45DD">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124.</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0697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肌酸激酶检测 (N-乙酰半胱氨酸法）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1312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A480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3746人份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34B6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0.7742</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9279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6CF59811">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5B231">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125.</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7EFD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α-羟丁酸脱氢酶检测（连续监测法）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878B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2CBF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3746人份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D1BC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1.138</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86E0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78E5C7CB">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6CFF4">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126.</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18B2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肌酸激酶同工酶检测（NAC-免疫抑制法）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C1BD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CA0D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3322人份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77AB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4.5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A96B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26A1CCE6">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B2087">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127.</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738A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淀粉酶检测 (CNP-G3法)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0F4A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4F86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939人份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FBCE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1.49</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3980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0C31F2DA">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996FC">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128.</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86C3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二氧化碳检测（酶法）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9F0E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C8DF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7257人份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07C4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1.4486</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712A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3FE13B0C">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614EA">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129.</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1A5B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钙测定（偶氮砷III法）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0916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C144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11140人份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F1A8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0.3607</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B6AD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2BE77148">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53D54">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130.</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47FC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磷测定（磷钼酸盐法）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B6B5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2DFD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6359人份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C51A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0.1871</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F8FE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6286AD18">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452EB">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131.</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9563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总胆汁酸检测（酶循环法）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E620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EECC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4280人份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B4E8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0.5393</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B467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5A040ED8">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49803">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132.</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BFCD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乳酸脱氢酶检测（乳酸法）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6E9A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1F09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3765人份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159A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0.0761</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5422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5499DD78">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5753F">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133.</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D1E7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γ-谷氨酰基转移酶检测（速率法）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2796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E6C2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2595人份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DFE8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0.0798</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7672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6C579943">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ECFAC">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134.</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9706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腺苷脱氨酶检测（酶比色法）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325C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F61A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1486人份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AA58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0.8333</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D3F5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39B8DDCA">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725FA">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135.</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870B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α-L-岩藻糖苷酶检测（速率法）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5C6F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2E6E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3685人份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761C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0.8136</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F176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1D8FDC59">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92106">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136.</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8C05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甘胆酸检测（胶乳增强免疫比浊法）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F2C5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9970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462人份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F0BF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1.6672</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3DBF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3045EBC4">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D1D1A">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137.</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A61C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5’-核糖核苷酸水解酶检测（酶速率法）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5E4A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6E19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1113人份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F42E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0.6516</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7476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2F854E83">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6C7E7">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138.</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74B1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谷氨酸脱氢酶检测(α-酮戊二酸底物法)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5AF9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49AF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1843人份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ECF5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0.4238</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3F86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7ABC4BB0">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8F5B7">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139.</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5D38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亮氨酸氨基转肽酶检测 （速率法）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211A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7881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1488人份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DE32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0.446</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FDC3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35FA3F95">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E934F">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140.</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38A2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视黄醇结合蛋白检测（胶乳增强免疫比浊法）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67BC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6E60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1185人份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E9EB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3.5588</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F60D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3373B62B">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9FDDD">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141.</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73E0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β-羟丁酸检测（β-羟丁酸脱氢酶法）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9EA8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F96F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1152人份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E6C9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3.6</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6DC9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2C0A5637">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D8478">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142.</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02B3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缺血修饰白蛋白检测（游离钴比色法）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F231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3440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932人份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AAAC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11.1</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724E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0BF285DF">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AE1B7">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143.</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7609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抗环瓜氨酸肽抗体检测(胶乳增强免疫比浊法）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98DB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B9A5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1592人份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B1FA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24.1</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599C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3FEA61E6">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8AD87">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144.</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47FB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幽门螺杆菌抗体检测（胶乳增强免疫比浊法）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C1C5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B5FB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2111人份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8A7F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12</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72E9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33C38F41">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18716">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145.</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B828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胃蛋白酶原I检测（胶乳增强免疫比浊法）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3B6F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F216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772人份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51E9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29.14</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A068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1D9143D5">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76583">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146.</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56A0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胃蛋白酶原II检测（胶乳增强免疫比浊法）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A3C4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9FB8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772人份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440B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23.7</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8E71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4B2B3572">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9DEED">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147.</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ABFE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谷胱甘肽还原酶检测（GSSG底物法）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A51C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F153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8524人份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2E11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4.516</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726B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46A7DC4A">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FB62E">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148.</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BEE5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小而密低密度脂蛋白胆固醇检测（过氧化物酶法）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6B90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58CD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6792人份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54AA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BE9D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153BD0F6">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1A00E">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149.</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A523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超氧化物歧化酶检验（比色法）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7548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D84C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4630人份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A98E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2.401</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AA59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6673AFC1">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F22CC">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150.</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16A4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免疫球蛋白E测定（胶乳免疫比浊法）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1EF2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D92F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B324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13.42839</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C066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2A8EC1C3">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8DE16">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151.</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8364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乳酸检测（酶比色法）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7E45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749B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55AB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3.3558</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5329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70CB612E">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85FCD">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152.</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BD02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脂肪酶检测（酶比色法）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AADD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B601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C735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4.5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F246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74CDB2D0">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2DB94">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153.</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358C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镁测定（二甲苯胺蓝法）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EAF1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8796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19FE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0.465</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8565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4B086241">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72347">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154.</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C1E2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前白蛋白检测（免疫透射比浊法）</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5FD7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F5FE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150人份</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B58B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0.3736</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7319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cs="宋体"/>
                <w:i w:val="0"/>
                <w:iCs w:val="0"/>
                <w:color w:val="000000"/>
                <w:kern w:val="0"/>
                <w:sz w:val="21"/>
                <w:szCs w:val="21"/>
                <w:u w:val="none"/>
                <w:lang w:val="en-US" w:eastAsia="zh-CN" w:bidi="ar"/>
              </w:rPr>
              <w:t>必须</w:t>
            </w:r>
            <w:r>
              <w:rPr>
                <w:rFonts w:hint="eastAsia" w:ascii="宋体" w:hAnsi="宋体" w:eastAsia="宋体" w:cs="宋体"/>
                <w:i w:val="0"/>
                <w:iCs w:val="0"/>
                <w:color w:val="000000"/>
                <w:kern w:val="0"/>
                <w:sz w:val="21"/>
                <w:szCs w:val="21"/>
                <w:u w:val="none"/>
                <w:lang w:val="en-US" w:eastAsia="zh-CN" w:bidi="ar"/>
              </w:rPr>
              <w:t>阳光平台采购</w:t>
            </w:r>
          </w:p>
        </w:tc>
      </w:tr>
      <w:tr w14:paraId="19F69F2B">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3CA3F">
            <w:pPr>
              <w:numPr>
                <w:ilvl w:val="0"/>
                <w:numId w:val="0"/>
              </w:numPr>
              <w:ind w:left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szCs w:val="21"/>
                <w:lang w:val="en-US" w:eastAsia="zh-CN"/>
              </w:rPr>
              <w:t>155.</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3DF9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配套检测设备</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E0DB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套</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C518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1套</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F308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1500</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0293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val="en-US" w:eastAsia="zh-CN" w:bidi="ar"/>
              </w:rPr>
              <w:t>需要报价，但不参与价格分评审。</w:t>
            </w:r>
          </w:p>
        </w:tc>
      </w:tr>
      <w:tr w14:paraId="1A6FB9C4">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911F2">
            <w:pPr>
              <w:numPr>
                <w:ilvl w:val="0"/>
                <w:numId w:val="0"/>
              </w:numPr>
              <w:ind w:leftChars="0"/>
              <w:jc w:val="left"/>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szCs w:val="21"/>
                <w:lang w:val="en-US" w:eastAsia="zh-CN"/>
              </w:rPr>
              <w:t>156</w:t>
            </w:r>
          </w:p>
        </w:tc>
        <w:tc>
          <w:tcPr>
            <w:tcW w:w="2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2A9CE">
            <w:pPr>
              <w:widowControl/>
              <w:spacing w:beforeLines="0" w:afterLines="0"/>
              <w:jc w:val="center"/>
              <w:textAlignment w:val="center"/>
              <w:rPr>
                <w:rFonts w:hint="eastAsia" w:asciiTheme="minorEastAsia" w:hAnsiTheme="minorEastAsia" w:eastAsiaTheme="minorEastAsia" w:cstheme="minorEastAsia"/>
                <w:color w:val="auto"/>
                <w:kern w:val="0"/>
                <w:sz w:val="21"/>
                <w:szCs w:val="21"/>
                <w:highlight w:val="yellow"/>
                <w:lang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生化的配套校准品、质控品及其他耗材</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60873">
            <w:pPr>
              <w:widowControl/>
              <w:spacing w:beforeLines="-2147483648" w:afterLines="-2147483648"/>
              <w:jc w:val="center"/>
              <w:textAlignment w:val="center"/>
              <w:rPr>
                <w:rFonts w:hint="eastAsia" w:asciiTheme="minorEastAsia" w:hAnsiTheme="minorEastAsia" w:eastAsiaTheme="minorEastAsia" w:cstheme="minorEastAsia"/>
                <w:color w:val="000000"/>
                <w:kern w:val="0"/>
                <w:sz w:val="21"/>
                <w:szCs w:val="21"/>
                <w:lang w:eastAsia="zh-CN" w:bidi="ar"/>
              </w:rPr>
            </w:pPr>
            <w:r>
              <w:rPr>
                <w:rFonts w:hint="eastAsia" w:ascii="宋体" w:hAnsi="宋体" w:eastAsia="宋体" w:cs="宋体"/>
                <w:i w:val="0"/>
                <w:iCs w:val="0"/>
                <w:color w:val="000000"/>
                <w:kern w:val="2"/>
                <w:sz w:val="21"/>
                <w:szCs w:val="21"/>
                <w:u w:val="none"/>
                <w:lang w:val="en-US" w:eastAsia="zh-CN" w:bidi="ar-SA"/>
              </w:rPr>
              <w:t>/</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34364">
            <w:pPr>
              <w:widowControl/>
              <w:spacing w:beforeLines="-2147483648" w:afterLines="-2147483648"/>
              <w:jc w:val="center"/>
              <w:textAlignment w:val="center"/>
              <w:rPr>
                <w:rFonts w:hint="eastAsia" w:asciiTheme="minorEastAsia" w:hAnsiTheme="minorEastAsia" w:eastAsiaTheme="minorEastAsia" w:cstheme="minorEastAsia"/>
                <w:color w:val="000000"/>
                <w:kern w:val="0"/>
                <w:sz w:val="21"/>
                <w:szCs w:val="21"/>
                <w:lang w:eastAsia="zh-CN" w:bidi="ar"/>
              </w:rPr>
            </w:pPr>
            <w:r>
              <w:rPr>
                <w:rFonts w:hint="eastAsia" w:ascii="宋体" w:hAnsi="宋体" w:eastAsia="宋体" w:cs="宋体"/>
                <w:i w:val="0"/>
                <w:iCs w:val="0"/>
                <w:color w:val="000000"/>
                <w:kern w:val="2"/>
                <w:sz w:val="21"/>
                <w:szCs w:val="21"/>
                <w:u w:val="none"/>
                <w:lang w:val="en-US" w:eastAsia="zh-CN" w:bidi="ar-SA"/>
              </w:rPr>
              <w:t>/</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1030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eastAsia="宋体" w:cs="宋体"/>
                <w:i w:val="0"/>
                <w:iCs w:val="0"/>
                <w:color w:val="000000"/>
                <w:kern w:val="0"/>
                <w:sz w:val="21"/>
                <w:szCs w:val="21"/>
                <w:u w:val="none"/>
                <w:lang w:val="en-US" w:eastAsia="zh-CN" w:bidi="ar"/>
              </w:rPr>
              <w:t>/</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B2D5A">
            <w:pPr>
              <w:widowControl/>
              <w:spacing w:beforeLines="0" w:afterLines="0"/>
              <w:jc w:val="both"/>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eastAsia="宋体" w:cs="宋体"/>
                <w:i w:val="0"/>
                <w:iCs w:val="0"/>
                <w:color w:val="000000"/>
                <w:kern w:val="0"/>
                <w:sz w:val="21"/>
                <w:szCs w:val="21"/>
                <w:u w:val="none"/>
                <w:lang w:val="en-US" w:eastAsia="zh-CN" w:bidi="ar"/>
              </w:rPr>
              <w:t>投标商可自行增减相关检测项目的校准品、质控品及其他耗材</w:t>
            </w:r>
            <w:r>
              <w:rPr>
                <w:rFonts w:hint="eastAsia" w:ascii="宋体" w:hAnsi="宋体" w:cs="宋体"/>
                <w:i w:val="0"/>
                <w:iCs w:val="0"/>
                <w:color w:val="000000"/>
                <w:kern w:val="0"/>
                <w:sz w:val="21"/>
                <w:szCs w:val="21"/>
                <w:u w:val="none"/>
                <w:lang w:val="en-US" w:eastAsia="zh-CN" w:bidi="ar"/>
              </w:rPr>
              <w:t>，需要报价，但不参与价格分评审。</w:t>
            </w:r>
          </w:p>
        </w:tc>
      </w:tr>
    </w:tbl>
    <w:p w14:paraId="6C94737B">
      <w:pPr>
        <w:ind w:firstLine="422" w:firstLineChars="200"/>
        <w:rPr>
          <w:rFonts w:hint="eastAsia" w:ascii="宋体" w:hAnsi="宋体"/>
          <w:b/>
          <w:color w:val="FF0000"/>
          <w:szCs w:val="21"/>
          <w:lang w:val="en-US" w:eastAsia="zh-CN"/>
        </w:rPr>
      </w:pPr>
      <w:r>
        <w:rPr>
          <w:rFonts w:hint="eastAsia" w:ascii="宋体" w:hAnsi="宋体"/>
          <w:b/>
          <w:color w:val="FF0000"/>
          <w:szCs w:val="21"/>
        </w:rPr>
        <w:t>备注：1.</w:t>
      </w:r>
      <w:r>
        <w:rPr>
          <w:rFonts w:hint="eastAsia" w:ascii="宋体" w:hAnsi="宋体"/>
          <w:b/>
          <w:color w:val="FF0000"/>
          <w:szCs w:val="21"/>
          <w:lang w:val="en-US" w:eastAsia="zh-CN"/>
        </w:rPr>
        <w:t>本项目所有货物不接受进口、不专门面向中小企业，标的所属行业为批发业。</w:t>
      </w:r>
    </w:p>
    <w:p w14:paraId="486CECFD">
      <w:pPr>
        <w:ind w:firstLine="422" w:firstLineChars="200"/>
        <w:rPr>
          <w:rFonts w:ascii="宋体" w:hAnsi="宋体"/>
          <w:b/>
          <w:color w:val="FF0000"/>
          <w:szCs w:val="21"/>
        </w:rPr>
      </w:pPr>
      <w:r>
        <w:rPr>
          <w:rFonts w:hint="eastAsia" w:ascii="宋体" w:hAnsi="宋体"/>
          <w:b/>
          <w:color w:val="FF0000"/>
          <w:szCs w:val="21"/>
          <w:lang w:val="en-US" w:eastAsia="zh-CN"/>
        </w:rPr>
        <w:t>2</w:t>
      </w:r>
      <w:r>
        <w:rPr>
          <w:rFonts w:hint="eastAsia" w:ascii="宋体" w:hAnsi="宋体"/>
          <w:b/>
          <w:color w:val="FF0000"/>
          <w:szCs w:val="21"/>
        </w:rPr>
        <w:t>、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14:paraId="67EE3EDF">
      <w:pPr>
        <w:ind w:firstLine="422" w:firstLineChars="200"/>
        <w:rPr>
          <w:rFonts w:hint="eastAsia" w:ascii="宋体" w:hAnsi="宋体" w:cs="Times New Roman"/>
          <w:b/>
          <w:i w:val="0"/>
          <w:iCs w:val="0"/>
          <w:color w:val="FF0000"/>
          <w:kern w:val="2"/>
          <w:sz w:val="21"/>
          <w:szCs w:val="21"/>
          <w:u w:val="none"/>
          <w:lang w:val="en-US" w:eastAsia="zh-CN" w:bidi="ar"/>
        </w:rPr>
      </w:pPr>
      <w:r>
        <w:rPr>
          <w:rFonts w:hint="eastAsia" w:ascii="宋体" w:hAnsi="宋体"/>
          <w:b/>
          <w:color w:val="FF0000"/>
          <w:szCs w:val="21"/>
          <w:lang w:val="en-US" w:eastAsia="zh-CN"/>
        </w:rPr>
        <w:t>3</w:t>
      </w:r>
      <w:r>
        <w:rPr>
          <w:rFonts w:hint="eastAsia" w:ascii="宋体" w:hAnsi="宋体"/>
          <w:b/>
          <w:color w:val="FF0000"/>
          <w:szCs w:val="21"/>
        </w:rPr>
        <w:t>、本项目核心产品为：</w:t>
      </w:r>
    </w:p>
    <w:p w14:paraId="1907CE27">
      <w:pPr>
        <w:ind w:firstLine="422" w:firstLineChars="200"/>
        <w:rPr>
          <w:rFonts w:hint="eastAsia" w:ascii="宋体" w:hAnsi="宋体" w:cs="Times New Roman"/>
          <w:b/>
          <w:i w:val="0"/>
          <w:iCs w:val="0"/>
          <w:color w:val="FF0000"/>
          <w:kern w:val="2"/>
          <w:sz w:val="21"/>
          <w:szCs w:val="21"/>
          <w:u w:val="none"/>
          <w:lang w:val="en-US" w:eastAsia="zh-CN" w:bidi="ar"/>
        </w:rPr>
      </w:pPr>
      <w:r>
        <w:rPr>
          <w:rFonts w:hint="eastAsia" w:ascii="宋体" w:hAnsi="宋体" w:cs="Times New Roman"/>
          <w:b/>
          <w:i w:val="0"/>
          <w:iCs w:val="0"/>
          <w:color w:val="FF0000"/>
          <w:kern w:val="2"/>
          <w:sz w:val="21"/>
          <w:szCs w:val="21"/>
          <w:u w:val="none"/>
          <w:lang w:val="en-US" w:eastAsia="zh-CN" w:bidi="ar"/>
        </w:rPr>
        <w:t>自身免疫糖尿病四项(抗谷氨酸脱羚酶抗体IgG测定、抗胰岛素抗体检测、抗酪氨酸磷酸酶抗体测定、抗胰岛细胞抗体检测，即“二、货物清单明细”中序号71、序号72、序号73、序号74的货物)。</w:t>
      </w:r>
    </w:p>
    <w:p w14:paraId="0CB6A76F">
      <w:pPr>
        <w:ind w:firstLine="422" w:firstLineChars="200"/>
        <w:rPr>
          <w:rFonts w:hint="eastAsia" w:ascii="宋体" w:hAnsi="宋体" w:cs="Times New Roman"/>
          <w:b/>
          <w:i w:val="0"/>
          <w:iCs w:val="0"/>
          <w:color w:val="FF0000"/>
          <w:kern w:val="2"/>
          <w:sz w:val="21"/>
          <w:szCs w:val="21"/>
          <w:u w:val="none"/>
          <w:lang w:val="en-US" w:eastAsia="zh-CN" w:bidi="ar"/>
        </w:rPr>
      </w:pPr>
      <w:r>
        <w:rPr>
          <w:rFonts w:hint="eastAsia" w:ascii="宋体" w:hAnsi="宋体" w:cs="Times New Roman"/>
          <w:b/>
          <w:i w:val="0"/>
          <w:iCs w:val="0"/>
          <w:color w:val="FF0000"/>
          <w:kern w:val="2"/>
          <w:sz w:val="21"/>
          <w:szCs w:val="21"/>
          <w:u w:val="none"/>
          <w:lang w:val="en-US" w:eastAsia="zh-CN" w:bidi="ar"/>
        </w:rPr>
        <w:t>唐氏筛查五项（抑制素A、妊娠相关蛋白A、非结合雌三醇、游离β绒毛膜促性腺激素、甲胎蛋白，即“二、货物清单明细”中序号90、序号34、序号33、序号50、序号5的货物）。</w:t>
      </w:r>
    </w:p>
    <w:p w14:paraId="440953F2">
      <w:pPr>
        <w:ind w:firstLine="422" w:firstLineChars="200"/>
        <w:rPr>
          <w:rFonts w:hint="eastAsia" w:ascii="宋体" w:hAnsi="宋体" w:cs="Times New Roman"/>
          <w:b/>
          <w:i w:val="0"/>
          <w:iCs w:val="0"/>
          <w:color w:val="FF0000"/>
          <w:kern w:val="2"/>
          <w:sz w:val="21"/>
          <w:szCs w:val="21"/>
          <w:u w:val="none"/>
          <w:lang w:val="en-US" w:eastAsia="zh-CN" w:bidi="ar"/>
        </w:rPr>
      </w:pPr>
      <w:r>
        <w:rPr>
          <w:rFonts w:hint="eastAsia" w:ascii="宋体" w:hAnsi="宋体" w:cs="Times New Roman"/>
          <w:b/>
          <w:i w:val="0"/>
          <w:iCs w:val="0"/>
          <w:color w:val="FF0000"/>
          <w:kern w:val="2"/>
          <w:sz w:val="21"/>
          <w:szCs w:val="21"/>
          <w:u w:val="none"/>
          <w:lang w:val="en-US" w:eastAsia="zh-CN" w:bidi="ar"/>
        </w:rPr>
        <w:t>EB病毒衣壳抗原IgA抗体检测，即“二、货物清单明细”中序号79的货物。</w:t>
      </w:r>
    </w:p>
    <w:p w14:paraId="6F809DDF">
      <w:pPr>
        <w:ind w:firstLine="422" w:firstLineChars="200"/>
        <w:rPr>
          <w:rFonts w:hint="eastAsia" w:ascii="宋体" w:hAnsi="宋体" w:cs="Times New Roman"/>
          <w:b/>
          <w:i w:val="0"/>
          <w:iCs w:val="0"/>
          <w:color w:val="FF0000"/>
          <w:kern w:val="2"/>
          <w:sz w:val="21"/>
          <w:szCs w:val="21"/>
          <w:u w:val="none"/>
          <w:lang w:val="en-US" w:eastAsia="zh-CN" w:bidi="ar"/>
        </w:rPr>
      </w:pPr>
      <w:r>
        <w:rPr>
          <w:rFonts w:hint="eastAsia" w:ascii="宋体" w:hAnsi="宋体"/>
          <w:b/>
          <w:color w:val="FF0000"/>
          <w:szCs w:val="21"/>
          <w:u w:val="none"/>
          <w:lang w:val="en-US" w:eastAsia="zh-CN" w:bidi="ar"/>
        </w:rPr>
        <w:t>4、“</w:t>
      </w:r>
      <w:r>
        <w:rPr>
          <w:rFonts w:hint="eastAsia" w:ascii="宋体" w:hAnsi="宋体"/>
          <w:b/>
          <w:color w:val="FF0000"/>
          <w:szCs w:val="21"/>
          <w:u w:val="none"/>
          <w:lang w:eastAsia="zh-CN" w:bidi="ar"/>
        </w:rPr>
        <w:t>二、货物清单明细”中序号</w:t>
      </w:r>
      <w:r>
        <w:rPr>
          <w:rFonts w:hint="eastAsia" w:ascii="宋体" w:hAnsi="宋体"/>
          <w:b/>
          <w:color w:val="FF0000"/>
          <w:szCs w:val="21"/>
          <w:u w:val="none"/>
          <w:lang w:val="en-US" w:eastAsia="zh-CN" w:bidi="ar"/>
        </w:rPr>
        <w:t>93</w:t>
      </w:r>
      <w:r>
        <w:rPr>
          <w:rFonts w:hint="eastAsia" w:ascii="宋体" w:hAnsi="宋体"/>
          <w:b/>
          <w:color w:val="FF0000"/>
          <w:szCs w:val="21"/>
          <w:u w:val="none"/>
          <w:lang w:eastAsia="zh-CN" w:bidi="ar"/>
        </w:rPr>
        <w:t>至</w:t>
      </w:r>
      <w:r>
        <w:rPr>
          <w:rFonts w:hint="eastAsia" w:ascii="宋体" w:hAnsi="宋体"/>
          <w:b/>
          <w:color w:val="FF0000"/>
          <w:szCs w:val="21"/>
          <w:u w:val="none"/>
          <w:lang w:val="en-US" w:eastAsia="zh-CN" w:bidi="ar"/>
        </w:rPr>
        <w:t>154的货物除括号内的检测方法学外，也可接受其他的检测方法学。</w:t>
      </w:r>
    </w:p>
    <w:bookmarkEnd w:id="37"/>
    <w:p w14:paraId="6BDFDC73">
      <w:pPr>
        <w:rPr>
          <w:rFonts w:ascii="宋体" w:hAnsi="宋体"/>
          <w:b/>
          <w:color w:val="FF0000"/>
          <w:szCs w:val="21"/>
        </w:rPr>
      </w:pPr>
    </w:p>
    <w:p w14:paraId="6DF8C60E">
      <w:pPr>
        <w:pStyle w:val="18"/>
      </w:pPr>
    </w:p>
    <w:p w14:paraId="49C8DD44">
      <w:pPr>
        <w:pStyle w:val="5"/>
        <w:spacing w:before="120" w:beforeLines="50" w:after="120" w:afterLines="50"/>
        <w:rPr>
          <w:sz w:val="28"/>
          <w:szCs w:val="28"/>
        </w:rPr>
      </w:pPr>
      <w:bookmarkStart w:id="39" w:name="_Toc128884461"/>
      <w:r>
        <w:rPr>
          <w:rFonts w:hint="eastAsia"/>
          <w:sz w:val="28"/>
          <w:szCs w:val="28"/>
        </w:rPr>
        <w:t>三、实质性条款</w:t>
      </w:r>
    </w:p>
    <w:tbl>
      <w:tblPr>
        <w:tblStyle w:val="44"/>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7282"/>
      </w:tblGrid>
      <w:tr w14:paraId="10C19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vAlign w:val="center"/>
          </w:tcPr>
          <w:p w14:paraId="54CAE813">
            <w:pPr>
              <w:adjustRightInd w:val="0"/>
              <w:snapToGrid w:val="0"/>
              <w:spacing w:line="360" w:lineRule="auto"/>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序号</w:t>
            </w:r>
          </w:p>
        </w:tc>
        <w:tc>
          <w:tcPr>
            <w:tcW w:w="7282" w:type="dxa"/>
            <w:vAlign w:val="center"/>
          </w:tcPr>
          <w:p w14:paraId="6DA96B42">
            <w:pPr>
              <w:adjustRightInd w:val="0"/>
              <w:snapToGrid w:val="0"/>
              <w:spacing w:line="360" w:lineRule="auto"/>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实质性条款具体内容</w:t>
            </w:r>
          </w:p>
        </w:tc>
      </w:tr>
      <w:tr w14:paraId="47C38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 w:type="dxa"/>
            <w:vAlign w:val="center"/>
          </w:tcPr>
          <w:p w14:paraId="01E48EA8">
            <w:pPr>
              <w:adjustRightInd w:val="0"/>
              <w:snapToGrid w:val="0"/>
              <w:spacing w:line="240" w:lineRule="auto"/>
              <w:jc w:val="left"/>
              <w:rPr>
                <w:rFonts w:hint="eastAsia" w:asciiTheme="minorEastAsia" w:hAnsiTheme="minorEastAsia" w:eastAsiaTheme="minorEastAsia" w:cstheme="minorEastAsia"/>
                <w:kern w:val="0"/>
                <w:sz w:val="21"/>
                <w:szCs w:val="21"/>
              </w:rPr>
            </w:pPr>
            <w:r>
              <w:rPr>
                <w:rFonts w:hint="eastAsia" w:ascii="宋体" w:hAnsi="宋体"/>
                <w:color w:val="auto"/>
                <w:kern w:val="0"/>
                <w:szCs w:val="21"/>
              </w:rPr>
              <w:t>1</w:t>
            </w:r>
          </w:p>
        </w:tc>
        <w:tc>
          <w:tcPr>
            <w:tcW w:w="7282" w:type="dxa"/>
            <w:vAlign w:val="center"/>
          </w:tcPr>
          <w:p w14:paraId="0CF2306A">
            <w:pPr>
              <w:widowControl/>
              <w:adjustRightInd w:val="0"/>
              <w:snapToGrid w:val="0"/>
              <w:spacing w:beforeLines="-2147483648" w:afterLines="-2147483648"/>
              <w:jc w:val="left"/>
              <w:textAlignment w:val="auto"/>
              <w:rPr>
                <w:rFonts w:hint="eastAsia" w:asciiTheme="minorEastAsia" w:hAnsiTheme="minorEastAsia" w:eastAsiaTheme="minorEastAsia" w:cstheme="minorEastAsia"/>
                <w:color w:val="000000"/>
                <w:kern w:val="0"/>
                <w:sz w:val="21"/>
                <w:szCs w:val="21"/>
                <w:lang w:val="en-US" w:eastAsia="zh-CN" w:bidi="ar"/>
              </w:rPr>
            </w:pPr>
            <w:r>
              <w:rPr>
                <w:rFonts w:hint="eastAsia" w:ascii="宋体" w:hAnsi="宋体"/>
                <w:color w:val="auto"/>
                <w:kern w:val="0"/>
                <w:szCs w:val="21"/>
              </w:rPr>
              <w:t>★所投产品</w:t>
            </w:r>
            <w:r>
              <w:rPr>
                <w:rFonts w:hint="eastAsia" w:ascii="宋体" w:hAnsi="宋体"/>
                <w:color w:val="auto"/>
                <w:kern w:val="0"/>
                <w:szCs w:val="21"/>
                <w:lang w:eastAsia="zh-CN"/>
              </w:rPr>
              <w:t>【“二、货物清单明细”中序号</w:t>
            </w:r>
            <w:r>
              <w:rPr>
                <w:rFonts w:hint="eastAsia" w:ascii="宋体" w:hAnsi="宋体"/>
                <w:color w:val="auto"/>
                <w:kern w:val="0"/>
                <w:szCs w:val="21"/>
                <w:lang w:val="en-US" w:eastAsia="zh-CN"/>
              </w:rPr>
              <w:t>92</w:t>
            </w:r>
            <w:r>
              <w:rPr>
                <w:rFonts w:hint="eastAsia" w:ascii="宋体" w:hAnsi="宋体"/>
                <w:color w:val="auto"/>
                <w:kern w:val="0"/>
                <w:szCs w:val="21"/>
                <w:lang w:eastAsia="zh-CN"/>
              </w:rPr>
              <w:t>、序号</w:t>
            </w:r>
            <w:r>
              <w:rPr>
                <w:rFonts w:hint="eastAsia" w:ascii="宋体" w:hAnsi="宋体"/>
                <w:color w:val="auto"/>
                <w:kern w:val="0"/>
                <w:szCs w:val="21"/>
                <w:lang w:val="en-US" w:eastAsia="zh-CN"/>
              </w:rPr>
              <w:t>156</w:t>
            </w:r>
            <w:r>
              <w:rPr>
                <w:rFonts w:hint="eastAsia" w:ascii="宋体" w:hAnsi="宋体"/>
                <w:color w:val="auto"/>
                <w:kern w:val="0"/>
                <w:szCs w:val="21"/>
                <w:lang w:eastAsia="zh-CN"/>
              </w:rPr>
              <w:t>的货物</w:t>
            </w:r>
            <w:r>
              <w:rPr>
                <w:rFonts w:hint="eastAsia" w:ascii="宋体" w:hAnsi="宋体"/>
                <w:color w:val="auto"/>
                <w:kern w:val="0"/>
                <w:szCs w:val="21"/>
                <w:lang w:val="en-US" w:eastAsia="zh-CN"/>
              </w:rPr>
              <w:t>除外</w:t>
            </w:r>
            <w:r>
              <w:rPr>
                <w:rFonts w:hint="eastAsia" w:ascii="宋体" w:hAnsi="宋体"/>
                <w:color w:val="auto"/>
                <w:kern w:val="0"/>
                <w:szCs w:val="21"/>
                <w:lang w:eastAsia="zh-CN"/>
              </w:rPr>
              <w:t>】</w:t>
            </w:r>
            <w:r>
              <w:rPr>
                <w:rFonts w:hint="eastAsia" w:ascii="宋体" w:hAnsi="宋体"/>
                <w:color w:val="auto"/>
                <w:kern w:val="0"/>
                <w:szCs w:val="21"/>
              </w:rPr>
              <w:t>必须具备有效期内的《医疗器械注册（备案）证》（投标人须提供上述证书的扫描件，原件备查。）</w:t>
            </w:r>
          </w:p>
        </w:tc>
      </w:tr>
      <w:tr w14:paraId="14FD8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906" w:type="dxa"/>
            <w:vAlign w:val="center"/>
          </w:tcPr>
          <w:p w14:paraId="5C5A47D7">
            <w:pPr>
              <w:adjustRightInd w:val="0"/>
              <w:snapToGrid w:val="0"/>
              <w:spacing w:line="240" w:lineRule="auto"/>
              <w:jc w:val="left"/>
              <w:rPr>
                <w:rFonts w:hint="eastAsia" w:asciiTheme="minorEastAsia" w:hAnsiTheme="minorEastAsia" w:eastAsiaTheme="minorEastAsia" w:cstheme="minorEastAsia"/>
                <w:kern w:val="0"/>
                <w:sz w:val="21"/>
                <w:szCs w:val="21"/>
                <w:lang w:val="en-US"/>
              </w:rPr>
            </w:pPr>
            <w:r>
              <w:rPr>
                <w:rFonts w:hint="eastAsia" w:ascii="宋体" w:hAnsi="宋体"/>
                <w:color w:val="auto"/>
                <w:kern w:val="0"/>
                <w:szCs w:val="21"/>
              </w:rPr>
              <w:t>2</w:t>
            </w:r>
          </w:p>
        </w:tc>
        <w:tc>
          <w:tcPr>
            <w:tcW w:w="7282" w:type="dxa"/>
            <w:vAlign w:val="center"/>
          </w:tcPr>
          <w:p w14:paraId="679557B8">
            <w:pPr>
              <w:widowControl/>
              <w:adjustRightInd w:val="0"/>
              <w:snapToGrid w:val="0"/>
              <w:spacing w:beforeLines="-2147483648" w:afterLines="-2147483648"/>
              <w:jc w:val="left"/>
              <w:textAlignment w:val="auto"/>
              <w:rPr>
                <w:rFonts w:hint="eastAsia" w:asciiTheme="minorEastAsia" w:hAnsiTheme="minorEastAsia" w:eastAsiaTheme="minorEastAsia" w:cstheme="minorEastAsia"/>
                <w:color w:val="000000"/>
                <w:kern w:val="0"/>
                <w:sz w:val="21"/>
                <w:szCs w:val="21"/>
                <w:lang w:val="en-US" w:eastAsia="zh-CN" w:bidi="ar"/>
              </w:rPr>
            </w:pPr>
            <w:r>
              <w:rPr>
                <w:rFonts w:hint="default" w:ascii="宋体" w:hAnsi="宋体"/>
                <w:color w:val="auto"/>
                <w:kern w:val="0"/>
                <w:szCs w:val="21"/>
                <w:lang w:val="en-US" w:eastAsia="zh-CN"/>
              </w:rPr>
              <w:t>★投标供应商提供承诺函（格式自拟），承诺如投标产品是在深圳医用耗材阳光交易和监管平台挂网的产品，如中标，将按要求在深圳医用耗材阳光交易和监管平台签订购销合同。</w:t>
            </w:r>
          </w:p>
        </w:tc>
      </w:tr>
      <w:tr w14:paraId="42D06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906" w:type="dxa"/>
            <w:vAlign w:val="center"/>
          </w:tcPr>
          <w:p w14:paraId="61F8AF6E">
            <w:pPr>
              <w:adjustRightInd w:val="0"/>
              <w:snapToGrid w:val="0"/>
              <w:spacing w:line="240" w:lineRule="auto"/>
              <w:jc w:val="left"/>
              <w:rPr>
                <w:rFonts w:hint="eastAsia" w:asciiTheme="minorEastAsia" w:hAnsiTheme="minorEastAsia" w:eastAsiaTheme="minorEastAsia" w:cstheme="minorEastAsia"/>
                <w:kern w:val="0"/>
                <w:sz w:val="21"/>
                <w:szCs w:val="21"/>
                <w:lang w:val="en-US" w:eastAsia="zh-CN"/>
              </w:rPr>
            </w:pPr>
            <w:r>
              <w:rPr>
                <w:rFonts w:hint="eastAsia" w:ascii="宋体" w:hAnsi="宋体"/>
                <w:color w:val="auto"/>
                <w:kern w:val="0"/>
                <w:szCs w:val="21"/>
                <w:lang w:val="en-US" w:eastAsia="zh-CN"/>
              </w:rPr>
              <w:t>3</w:t>
            </w:r>
          </w:p>
        </w:tc>
        <w:tc>
          <w:tcPr>
            <w:tcW w:w="7282" w:type="dxa"/>
            <w:vAlign w:val="center"/>
          </w:tcPr>
          <w:p w14:paraId="10322197">
            <w:pPr>
              <w:widowControl/>
              <w:adjustRightInd w:val="0"/>
              <w:snapToGrid w:val="0"/>
              <w:spacing w:beforeLines="-2147483648" w:afterLines="-2147483648"/>
              <w:jc w:val="left"/>
              <w:textAlignment w:val="auto"/>
              <w:rPr>
                <w:rFonts w:hint="default" w:ascii="宋体" w:hAnsi="宋体"/>
                <w:color w:val="auto"/>
                <w:kern w:val="0"/>
                <w:szCs w:val="21"/>
                <w:lang w:val="en-US" w:eastAsia="zh-CN"/>
              </w:rPr>
            </w:pPr>
            <w:r>
              <w:rPr>
                <w:rFonts w:hint="default" w:ascii="宋体" w:hAnsi="宋体"/>
                <w:color w:val="auto"/>
                <w:kern w:val="0"/>
                <w:szCs w:val="21"/>
                <w:lang w:val="en-US" w:eastAsia="zh-CN"/>
              </w:rPr>
              <w:t>“★五、商务要求”的全部内容。</w:t>
            </w:r>
          </w:p>
          <w:p w14:paraId="2F28C139">
            <w:pPr>
              <w:widowControl/>
              <w:adjustRightInd w:val="0"/>
              <w:snapToGrid w:val="0"/>
              <w:spacing w:beforeLines="-2147483648" w:afterLines="-2147483648"/>
              <w:jc w:val="left"/>
              <w:textAlignment w:val="auto"/>
              <w:rPr>
                <w:rFonts w:hint="default" w:asciiTheme="minorEastAsia" w:hAnsiTheme="minorEastAsia" w:eastAsiaTheme="minorEastAsia" w:cstheme="minorEastAsia"/>
                <w:color w:val="000000"/>
                <w:kern w:val="0"/>
                <w:sz w:val="21"/>
                <w:szCs w:val="21"/>
                <w:lang w:val="en-US" w:eastAsia="zh-CN" w:bidi="ar"/>
              </w:rPr>
            </w:pPr>
            <w:r>
              <w:rPr>
                <w:rFonts w:hint="default" w:ascii="宋体" w:hAnsi="宋体"/>
                <w:color w:val="auto"/>
                <w:kern w:val="0"/>
                <w:szCs w:val="21"/>
                <w:lang w:val="en-US" w:eastAsia="zh-CN"/>
              </w:rPr>
              <w:t>【要求提供证明材料的内容：投标人须承诺中标后在本地（深圳市）设有产品库，在合同有效期内，保证货源充足，如果设备出现故障，无法修复，需无偿提供配套器械，提供承诺函，格式自拟。】</w:t>
            </w:r>
          </w:p>
        </w:tc>
      </w:tr>
    </w:tbl>
    <w:p w14:paraId="2F3C360F">
      <w:pPr>
        <w:rPr>
          <w:b/>
        </w:rPr>
      </w:pPr>
      <w:r>
        <w:rPr>
          <w:rFonts w:hint="eastAsia"/>
          <w:b/>
        </w:rPr>
        <w:t>注：上表所列内容为不可负偏离条款</w:t>
      </w:r>
      <w:bookmarkEnd w:id="39"/>
      <w:r>
        <w:rPr>
          <w:rFonts w:hint="eastAsia"/>
          <w:b/>
        </w:rPr>
        <w:t>，负偏离将视为未实质性满足招标文件要求作投标无效处理。</w:t>
      </w:r>
    </w:p>
    <w:p w14:paraId="21765D87">
      <w:pPr>
        <w:pStyle w:val="5"/>
        <w:spacing w:before="120" w:beforeLines="50" w:after="120" w:afterLines="50"/>
        <w:rPr>
          <w:sz w:val="28"/>
          <w:szCs w:val="28"/>
        </w:rPr>
      </w:pPr>
      <w:r>
        <w:rPr>
          <w:rFonts w:hint="eastAsia"/>
          <w:sz w:val="28"/>
          <w:szCs w:val="28"/>
        </w:rPr>
        <w:t>四、技术要求</w:t>
      </w:r>
    </w:p>
    <w:p w14:paraId="1458D199">
      <w:pPr>
        <w:widowControl w:val="0"/>
        <w:adjustRightInd w:val="0"/>
        <w:spacing w:before="120" w:beforeLines="50" w:after="120" w:afterLines="50"/>
        <w:jc w:val="center"/>
        <w:textAlignment w:val="baseline"/>
        <w:outlineLvl w:val="1"/>
        <w:rPr>
          <w:rFonts w:hint="eastAsia" w:ascii="Times New Roman" w:hAnsi="Times New Roman" w:eastAsia="宋体" w:cs="Times New Roman"/>
          <w:kern w:val="0"/>
          <w:sz w:val="28"/>
          <w:szCs w:val="28"/>
          <w:lang w:val="en-US" w:eastAsia="zh-CN" w:bidi="ar-SA"/>
        </w:rPr>
      </w:pPr>
      <w:r>
        <w:rPr>
          <w:rFonts w:hint="eastAsia" w:ascii="Times New Roman" w:hAnsi="Times New Roman" w:eastAsia="宋体" w:cs="Times New Roman"/>
          <w:b/>
          <w:kern w:val="0"/>
          <w:sz w:val="24"/>
          <w:szCs w:val="21"/>
          <w:lang w:val="en-US" w:eastAsia="zh-CN" w:bidi="ar-SA"/>
        </w:rPr>
        <w:t>说明：带★号条款为不可偏离条款，不作为评分准则中的评分内容，如未响应或出现负偏离的，将作投标无效处理。</w:t>
      </w:r>
    </w:p>
    <w:p w14:paraId="2DBFDC72">
      <w:pPr>
        <w:pStyle w:val="7"/>
        <w:rPr>
          <w:rFonts w:hint="eastAsia"/>
          <w:sz w:val="21"/>
          <w:szCs w:val="21"/>
          <w:lang w:eastAsia="zh-CN"/>
        </w:rPr>
      </w:pPr>
    </w:p>
    <w:p w14:paraId="5872A9E3">
      <w:pPr>
        <w:pStyle w:val="7"/>
        <w:rPr>
          <w:rFonts w:hint="eastAsia"/>
          <w:sz w:val="21"/>
          <w:szCs w:val="21"/>
          <w:lang w:eastAsia="zh-CN"/>
        </w:rPr>
      </w:pPr>
      <w:r>
        <w:rPr>
          <w:rFonts w:hint="eastAsia"/>
          <w:sz w:val="21"/>
          <w:szCs w:val="21"/>
          <w:lang w:eastAsia="zh-CN"/>
        </w:rPr>
        <w:t>★所投产品【“二、货物清单明细”中序号</w:t>
      </w:r>
      <w:r>
        <w:rPr>
          <w:rFonts w:hint="eastAsia"/>
          <w:sz w:val="21"/>
          <w:szCs w:val="21"/>
          <w:lang w:val="en-US" w:eastAsia="zh-CN"/>
        </w:rPr>
        <w:t>92</w:t>
      </w:r>
      <w:r>
        <w:rPr>
          <w:rFonts w:hint="eastAsia"/>
          <w:sz w:val="21"/>
          <w:szCs w:val="21"/>
          <w:lang w:eastAsia="zh-CN"/>
        </w:rPr>
        <w:t>、序号</w:t>
      </w:r>
      <w:r>
        <w:rPr>
          <w:rFonts w:hint="eastAsia"/>
          <w:sz w:val="21"/>
          <w:szCs w:val="21"/>
          <w:lang w:val="en-US" w:eastAsia="zh-CN"/>
        </w:rPr>
        <w:t>156</w:t>
      </w:r>
      <w:r>
        <w:rPr>
          <w:rFonts w:hint="eastAsia"/>
          <w:sz w:val="21"/>
          <w:szCs w:val="21"/>
          <w:lang w:eastAsia="zh-CN"/>
        </w:rPr>
        <w:t>的货物</w:t>
      </w:r>
      <w:r>
        <w:rPr>
          <w:rFonts w:hint="eastAsia"/>
          <w:sz w:val="21"/>
          <w:szCs w:val="21"/>
          <w:lang w:val="en-US" w:eastAsia="zh-CN"/>
        </w:rPr>
        <w:t>除外</w:t>
      </w:r>
      <w:r>
        <w:rPr>
          <w:rFonts w:hint="eastAsia"/>
          <w:sz w:val="21"/>
          <w:szCs w:val="21"/>
          <w:lang w:eastAsia="zh-CN"/>
        </w:rPr>
        <w:t>】必须具备有效期内的《医疗器械注册（备案）证》（投标人须提供上述证书的扫描件，原件备查。）</w:t>
      </w:r>
    </w:p>
    <w:p w14:paraId="7D58F9B1">
      <w:pPr>
        <w:pStyle w:val="7"/>
        <w:rPr>
          <w:rFonts w:hint="eastAsia"/>
          <w:sz w:val="21"/>
          <w:szCs w:val="21"/>
          <w:lang w:eastAsia="zh-CN"/>
        </w:rPr>
      </w:pPr>
      <w:r>
        <w:rPr>
          <w:rFonts w:hint="eastAsia"/>
          <w:sz w:val="21"/>
          <w:szCs w:val="21"/>
          <w:lang w:eastAsia="zh-CN"/>
        </w:rPr>
        <w:t>★投标供应商提供承诺函（格式自拟），承诺如投标产品是在深圳医用耗材阳光交易和监管平台挂网的产品，如中标，将按要求在深圳医用耗材阳光交易和监管平台签订购销合同。</w:t>
      </w:r>
    </w:p>
    <w:p w14:paraId="35EDB0B3">
      <w:pPr>
        <w:widowControl w:val="0"/>
        <w:adjustRightInd w:val="0"/>
        <w:spacing w:before="120" w:beforeLines="50" w:after="120" w:afterLines="50"/>
        <w:jc w:val="center"/>
        <w:textAlignment w:val="baseline"/>
        <w:outlineLvl w:val="1"/>
        <w:rPr>
          <w:rFonts w:ascii="Times New Roman" w:hAnsi="Times New Roman" w:eastAsia="宋体" w:cs="Times New Roman"/>
          <w:kern w:val="0"/>
          <w:sz w:val="28"/>
          <w:szCs w:val="28"/>
          <w:lang w:val="en-US" w:eastAsia="zh-CN" w:bidi="ar-SA"/>
        </w:rPr>
      </w:pPr>
      <w:r>
        <w:rPr>
          <w:rFonts w:hint="eastAsia" w:ascii="Times New Roman" w:hAnsi="Times New Roman" w:eastAsia="宋体" w:cs="Times New Roman"/>
          <w:kern w:val="0"/>
          <w:sz w:val="28"/>
          <w:szCs w:val="28"/>
          <w:lang w:val="en-US" w:eastAsia="zh-CN" w:bidi="ar-SA"/>
        </w:rPr>
        <w:t>★五、商务要求</w:t>
      </w:r>
    </w:p>
    <w:p w14:paraId="716F6A3A">
      <w:pPr>
        <w:widowControl w:val="0"/>
        <w:adjustRightInd w:val="0"/>
        <w:spacing w:before="120" w:beforeLines="50" w:after="120" w:afterLines="50"/>
        <w:jc w:val="center"/>
        <w:textAlignment w:val="baseline"/>
        <w:outlineLvl w:val="1"/>
        <w:rPr>
          <w:rFonts w:hint="eastAsia" w:ascii="Times New Roman" w:hAnsi="Times New Roman" w:eastAsia="宋体" w:cs="Times New Roman"/>
          <w:kern w:val="0"/>
          <w:sz w:val="28"/>
          <w:szCs w:val="28"/>
          <w:lang w:val="en-US" w:eastAsia="zh-CN" w:bidi="ar-SA"/>
        </w:rPr>
      </w:pPr>
      <w:r>
        <w:rPr>
          <w:rFonts w:hint="eastAsia" w:ascii="Times New Roman" w:hAnsi="Times New Roman" w:eastAsia="宋体" w:cs="Times New Roman"/>
          <w:b/>
          <w:kern w:val="0"/>
          <w:sz w:val="24"/>
          <w:szCs w:val="21"/>
          <w:lang w:val="en-US" w:eastAsia="zh-CN" w:bidi="ar-SA"/>
        </w:rPr>
        <w:t>说明：带★号条款为不可偏离条款，不作为评分准则中的评分内容，如未响应或出现负偏离的，将作投标无效处理。</w:t>
      </w:r>
    </w:p>
    <w:p w14:paraId="1880191A">
      <w:pPr>
        <w:widowControl w:val="0"/>
        <w:adjustRightInd w:val="0"/>
        <w:spacing w:before="120" w:beforeLines="50" w:after="120" w:afterLines="50"/>
        <w:jc w:val="center"/>
        <w:textAlignment w:val="baseline"/>
        <w:outlineLvl w:val="1"/>
        <w:rPr>
          <w:rFonts w:hint="default" w:ascii="Times New Roman" w:hAnsi="Times New Roman" w:eastAsia="宋体" w:cs="Times New Roman"/>
          <w:kern w:val="0"/>
          <w:sz w:val="28"/>
          <w:szCs w:val="28"/>
          <w:lang w:val="en-US" w:eastAsia="zh-CN" w:bidi="ar-SA"/>
        </w:rPr>
      </w:pPr>
    </w:p>
    <w:p w14:paraId="35A2F257">
      <w:pPr>
        <w:ind w:firstLine="422" w:firstLineChars="200"/>
        <w:rPr>
          <w:rFonts w:hint="eastAsia" w:ascii="Times New Roman" w:hAnsi="Times New Roman" w:eastAsia="宋体" w:cs="Times New Roman"/>
          <w:b/>
          <w:bCs w:val="0"/>
          <w:kern w:val="2"/>
          <w:sz w:val="21"/>
          <w:szCs w:val="21"/>
          <w:lang w:val="en-US" w:eastAsia="zh-CN" w:bidi="ar-SA"/>
        </w:rPr>
      </w:pPr>
      <w:r>
        <w:rPr>
          <w:rFonts w:hint="eastAsia" w:ascii="Times New Roman" w:hAnsi="Times New Roman" w:eastAsia="宋体" w:cs="Times New Roman"/>
          <w:b/>
          <w:bCs w:val="0"/>
          <w:kern w:val="2"/>
          <w:sz w:val="21"/>
          <w:szCs w:val="21"/>
          <w:lang w:val="en-US" w:eastAsia="zh-CN" w:bidi="ar-SA"/>
        </w:rPr>
        <w:t>一、报价要求</w:t>
      </w:r>
    </w:p>
    <w:p w14:paraId="231CFF44">
      <w:pPr>
        <w:ind w:firstLine="420" w:firstLineChars="200"/>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1）投标人所报价格为含税、配送商费用等的全包价。投标人按“二、货物清单明细”中的序号1至90、序号93至154的货物（共152项货物）参与价格分评审，参与评分的货物以“预计采购数量”乘以“最小计量单位单价最高限价（元）”作为投标总价进行价格分评审。</w:t>
      </w:r>
    </w:p>
    <w:p w14:paraId="40F0A096">
      <w:pPr>
        <w:ind w:firstLine="420" w:firstLineChars="200"/>
        <w:rPr>
          <w:rFonts w:hint="default" w:ascii="Times New Roman" w:hAnsi="Times New Roman" w:eastAsia="宋体" w:cs="Times New Roman"/>
          <w:bCs/>
          <w:kern w:val="2"/>
          <w:sz w:val="21"/>
          <w:szCs w:val="21"/>
          <w:highlight w:val="yellow"/>
          <w:lang w:val="en-US" w:eastAsia="zh-CN" w:bidi="ar-SA"/>
        </w:rPr>
      </w:pPr>
      <w:r>
        <w:rPr>
          <w:rFonts w:hint="eastAsia" w:cs="Times New Roman"/>
          <w:bCs/>
          <w:kern w:val="2"/>
          <w:sz w:val="21"/>
          <w:szCs w:val="21"/>
          <w:highlight w:val="yellow"/>
          <w:lang w:val="en-US" w:eastAsia="zh-CN" w:bidi="ar-SA"/>
        </w:rPr>
        <w:t>即投标人在《开标一览表》以及《分项报价表》中的“投标总价”只需汇总计算参与价格分评审的货物。</w:t>
      </w:r>
    </w:p>
    <w:p w14:paraId="5F33F6C9">
      <w:pPr>
        <w:ind w:firstLine="420" w:firstLineChars="200"/>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2）作为医疗器械管理的产品，货物为深圳医用耗材阳光交易和监管平台采购标的，供应商所报价格高于以上平台最低价格的，执行平台最低价格进行结算；供应商所报价格低于以上平台价格的，按供应商所报价格执行且必须在以上平台采购。</w:t>
      </w:r>
    </w:p>
    <w:p w14:paraId="05201BED">
      <w:pPr>
        <w:ind w:firstLine="422" w:firstLineChars="200"/>
        <w:rPr>
          <w:rFonts w:hint="eastAsia" w:ascii="Times New Roman" w:hAnsi="Times New Roman" w:eastAsia="宋体" w:cs="Times New Roman"/>
          <w:b/>
          <w:bCs w:val="0"/>
          <w:kern w:val="2"/>
          <w:sz w:val="21"/>
          <w:szCs w:val="21"/>
          <w:lang w:val="en-US" w:eastAsia="zh-CN" w:bidi="ar-SA"/>
        </w:rPr>
      </w:pPr>
      <w:r>
        <w:rPr>
          <w:rFonts w:hint="eastAsia" w:ascii="Times New Roman" w:hAnsi="Times New Roman" w:eastAsia="宋体" w:cs="Times New Roman"/>
          <w:b/>
          <w:bCs w:val="0"/>
          <w:kern w:val="2"/>
          <w:sz w:val="21"/>
          <w:szCs w:val="21"/>
          <w:lang w:val="en-US" w:eastAsia="zh-CN" w:bidi="ar-SA"/>
        </w:rPr>
        <w:t>二、付款方式</w:t>
      </w:r>
    </w:p>
    <w:p w14:paraId="52ED0F5C">
      <w:pPr>
        <w:ind w:firstLine="420" w:firstLineChars="200"/>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（1）以实际采购需求为准，先供货后付款，按月结算。</w:t>
      </w:r>
    </w:p>
    <w:p w14:paraId="75188482">
      <w:pPr>
        <w:ind w:firstLine="420" w:firstLineChars="200"/>
        <w:rPr>
          <w:rFonts w:hint="eastAsia" w:ascii="Times New Roman" w:hAnsi="Times New Roman" w:eastAsia="宋体" w:cs="Times New Roman"/>
          <w:b/>
        </w:rPr>
      </w:pPr>
      <w:r>
        <w:rPr>
          <w:rFonts w:hint="eastAsia" w:ascii="Times New Roman" w:hAnsi="Times New Roman" w:eastAsia="宋体" w:cs="Times New Roman"/>
          <w:bCs/>
          <w:kern w:val="2"/>
          <w:sz w:val="21"/>
          <w:szCs w:val="21"/>
          <w:lang w:val="en-US" w:eastAsia="zh-CN" w:bidi="ar-SA"/>
        </w:rPr>
        <w:t>（2）供应商及时定期向采购人提供上月供货量的对账单及验收资料，经采购人确认无误后，供应商根据对账结果出具合法有效的发票，采购人收到发票及经审核确认的结算资料后按照内部支付流程以转账方式付款。若因财政审核等原因导致的逾期支付不视为采购人违约。</w:t>
      </w:r>
    </w:p>
    <w:p w14:paraId="2943E0D1">
      <w:pPr>
        <w:ind w:firstLine="422" w:firstLineChars="200"/>
        <w:rPr>
          <w:rFonts w:hint="eastAsia" w:ascii="Times New Roman" w:hAnsi="Times New Roman" w:eastAsia="宋体" w:cs="Times New Roman"/>
          <w:b/>
          <w:bCs w:val="0"/>
          <w:kern w:val="2"/>
          <w:sz w:val="21"/>
          <w:szCs w:val="21"/>
          <w:lang w:val="en-US" w:eastAsia="zh-CN" w:bidi="ar-SA"/>
        </w:rPr>
      </w:pPr>
      <w:r>
        <w:rPr>
          <w:rFonts w:hint="eastAsia" w:ascii="Times New Roman" w:hAnsi="Times New Roman" w:eastAsia="宋体" w:cs="Times New Roman"/>
          <w:b/>
          <w:bCs w:val="0"/>
          <w:kern w:val="2"/>
          <w:sz w:val="21"/>
          <w:szCs w:val="21"/>
          <w:lang w:val="en-US" w:eastAsia="zh-CN" w:bidi="ar-SA"/>
        </w:rPr>
        <w:t>三、服务期</w:t>
      </w:r>
    </w:p>
    <w:p w14:paraId="75D0F63B">
      <w:pPr>
        <w:ind w:firstLine="420" w:firstLineChars="200"/>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自合同签订之日起1年。（合同期满后，采购人根据中标单位的履约情况可选择是否续签下一个年度合同，合同履行期限最长不超过24个月。如因政策调整或其他原因，采购人保留不续签的权利。）</w:t>
      </w:r>
    </w:p>
    <w:p w14:paraId="697EBD35">
      <w:pPr>
        <w:ind w:firstLine="422" w:firstLineChars="200"/>
        <w:rPr>
          <w:rFonts w:hint="eastAsia" w:ascii="Times New Roman" w:hAnsi="Times New Roman" w:eastAsia="宋体" w:cs="Times New Roman"/>
          <w:b/>
          <w:bCs w:val="0"/>
          <w:kern w:val="2"/>
          <w:sz w:val="21"/>
          <w:szCs w:val="21"/>
          <w:lang w:val="en-US" w:eastAsia="zh-CN" w:bidi="ar-SA"/>
        </w:rPr>
      </w:pPr>
      <w:r>
        <w:rPr>
          <w:rFonts w:hint="eastAsia" w:ascii="Times New Roman" w:hAnsi="Times New Roman" w:eastAsia="宋体" w:cs="Times New Roman"/>
          <w:b/>
          <w:bCs w:val="0"/>
          <w:kern w:val="2"/>
          <w:sz w:val="21"/>
          <w:szCs w:val="21"/>
          <w:lang w:val="en-US" w:eastAsia="zh-CN" w:bidi="ar-SA"/>
        </w:rPr>
        <w:t>四、配送时间（货物类）</w:t>
      </w:r>
    </w:p>
    <w:p w14:paraId="7362D3F2">
      <w:pPr>
        <w:ind w:firstLine="420" w:firstLineChars="200"/>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1）中标人应在接到采购人订单后72小时内完成配送，确保货物或服务按时到达指定地点。</w:t>
      </w:r>
    </w:p>
    <w:p w14:paraId="4A29C22F">
      <w:pPr>
        <w:ind w:firstLine="420" w:firstLineChars="200"/>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2）对于紧急订单，中标人应在接到通知后4小时内完成配送。</w:t>
      </w:r>
    </w:p>
    <w:p w14:paraId="60FA86EC">
      <w:pPr>
        <w:ind w:firstLine="420" w:firstLineChars="200"/>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3）如遇特殊情况（如自然灾害、交通管制等不可抗力因素），中标人应及时通知采购人，并与采购人协商确定新的配送时间。</w:t>
      </w:r>
    </w:p>
    <w:p w14:paraId="291B238D">
      <w:pPr>
        <w:ind w:firstLine="422" w:firstLineChars="200"/>
        <w:rPr>
          <w:rFonts w:hint="default" w:ascii="Times New Roman" w:hAnsi="Times New Roman" w:eastAsia="宋体" w:cs="Times New Roman"/>
          <w:b/>
          <w:bCs w:val="0"/>
          <w:kern w:val="2"/>
          <w:sz w:val="21"/>
          <w:szCs w:val="21"/>
          <w:lang w:val="en-US" w:eastAsia="zh-CN" w:bidi="ar-SA"/>
        </w:rPr>
      </w:pPr>
      <w:r>
        <w:rPr>
          <w:rFonts w:hint="eastAsia" w:ascii="Times New Roman" w:hAnsi="Times New Roman" w:eastAsia="宋体" w:cs="Times New Roman"/>
          <w:b/>
          <w:bCs w:val="0"/>
          <w:kern w:val="2"/>
          <w:sz w:val="21"/>
          <w:szCs w:val="21"/>
          <w:lang w:val="en-US" w:eastAsia="zh-CN" w:bidi="ar-SA"/>
        </w:rPr>
        <w:t>三、</w:t>
      </w:r>
      <w:r>
        <w:rPr>
          <w:rFonts w:hint="default" w:ascii="Times New Roman" w:hAnsi="Times New Roman" w:eastAsia="宋体" w:cs="Times New Roman"/>
          <w:b/>
          <w:bCs w:val="0"/>
          <w:kern w:val="2"/>
          <w:sz w:val="21"/>
          <w:szCs w:val="21"/>
          <w:lang w:val="en-US" w:eastAsia="zh-CN" w:bidi="ar-SA"/>
        </w:rPr>
        <w:t>运输及包装方式的要求</w:t>
      </w:r>
    </w:p>
    <w:p w14:paraId="706A4B05">
      <w:pPr>
        <w:ind w:firstLine="420" w:firstLineChars="200"/>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kern w:val="2"/>
          <w:sz w:val="21"/>
          <w:szCs w:val="21"/>
          <w:lang w:val="en-US" w:eastAsia="zh-CN" w:bidi="ar-SA"/>
        </w:rPr>
        <w:t>中标供应商应按照其投标时承诺的时间和协议中约定的时间配送产品或提供伴随服务。合同中所有的商品均须由中标人自行运往采购人指定地点，不论商品从何处购置、采用何种方式运输，采购人不承担任何责任及相关费用。中标人应自行处理商品质量和数量短缺等问题。</w:t>
      </w:r>
    </w:p>
    <w:p w14:paraId="3E139820">
      <w:pPr>
        <w:ind w:firstLine="422" w:firstLineChars="200"/>
        <w:rPr>
          <w:rFonts w:hint="default" w:ascii="Times New Roman" w:hAnsi="Times New Roman" w:eastAsia="宋体" w:cs="Times New Roman"/>
          <w:b/>
          <w:bCs w:val="0"/>
          <w:kern w:val="2"/>
          <w:sz w:val="21"/>
          <w:szCs w:val="21"/>
          <w:lang w:val="en-US" w:eastAsia="zh-CN" w:bidi="ar-SA"/>
        </w:rPr>
      </w:pPr>
      <w:r>
        <w:rPr>
          <w:rFonts w:hint="eastAsia" w:ascii="Times New Roman" w:hAnsi="Times New Roman" w:eastAsia="宋体" w:cs="Times New Roman"/>
          <w:b/>
          <w:bCs w:val="0"/>
          <w:kern w:val="2"/>
          <w:sz w:val="21"/>
          <w:szCs w:val="21"/>
          <w:lang w:val="en-US" w:eastAsia="zh-CN" w:bidi="ar-SA"/>
        </w:rPr>
        <w:t>四、</w:t>
      </w:r>
      <w:r>
        <w:rPr>
          <w:rFonts w:hint="default" w:ascii="Times New Roman" w:hAnsi="Times New Roman" w:eastAsia="宋体" w:cs="Times New Roman"/>
          <w:b/>
          <w:bCs w:val="0"/>
          <w:kern w:val="2"/>
          <w:sz w:val="21"/>
          <w:szCs w:val="21"/>
          <w:lang w:val="en-US" w:eastAsia="zh-CN" w:bidi="ar-SA"/>
        </w:rPr>
        <w:t>验收要求</w:t>
      </w:r>
    </w:p>
    <w:p w14:paraId="60A19926">
      <w:pPr>
        <w:ind w:firstLine="420" w:firstLineChars="200"/>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按照合同以及需求科室使用要求验收，形成验收报告，由验收参与方签字确认。</w:t>
      </w:r>
    </w:p>
    <w:p w14:paraId="0539B6F5">
      <w:pPr>
        <w:ind w:firstLine="420" w:firstLineChars="200"/>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1.成立3人验收小组，包含使用科室负责人、仓库管理人员和采购验收人员。</w:t>
      </w:r>
    </w:p>
    <w:p w14:paraId="1DEF7380">
      <w:pPr>
        <w:ind w:firstLine="420" w:firstLineChars="200"/>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2.货物抵达指定地点后，验收小组指定验收人员根据采购计划内容的实际情况，查验各项随货单据、送货单/备货单、产品使用说明书等是否齐全，验收员在验收过程中应进行外观检查，查看是否存在受潮、进水、破损、变形、污染等问题。如发现配件不全、数量不符、破损时，应当及时替换处理。查验合格后由验收员在送货单上签名并签章，送货单应有一联留存备查。</w:t>
      </w:r>
    </w:p>
    <w:p w14:paraId="6BFDF825">
      <w:pPr>
        <w:ind w:firstLine="420" w:firstLineChars="200"/>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3.按合同约定一次性结算且有安装施工条目的项目，支付款项申请前，应进行履约验收。验收人员按照国家、行业标准,以及招标文件和采购合同约定的时限和要求，对供应商履约情况组织履约验收，填写验收单，记录验收情况，明确验收结论（合格/不合格）对于不符合合同约定的，采购人应如实记录，并追踪整改落实情况，待整改完成后进行最终确认。验收人员可将验收不合格的情况列入合同违约条款，要求其承担相应的责任。</w:t>
      </w:r>
    </w:p>
    <w:p w14:paraId="7F200A0B">
      <w:pPr>
        <w:ind w:firstLine="422" w:firstLineChars="200"/>
        <w:rPr>
          <w:rFonts w:hint="default" w:ascii="Times New Roman" w:hAnsi="Times New Roman" w:eastAsia="宋体" w:cs="Times New Roman"/>
          <w:b/>
          <w:bCs w:val="0"/>
          <w:kern w:val="2"/>
          <w:sz w:val="21"/>
          <w:szCs w:val="21"/>
          <w:lang w:val="en-US" w:eastAsia="zh-CN" w:bidi="ar-SA"/>
        </w:rPr>
      </w:pPr>
      <w:r>
        <w:rPr>
          <w:rFonts w:hint="eastAsia" w:ascii="Times New Roman" w:hAnsi="Times New Roman" w:eastAsia="宋体" w:cs="Times New Roman"/>
          <w:b/>
          <w:bCs w:val="0"/>
          <w:kern w:val="2"/>
          <w:sz w:val="21"/>
          <w:szCs w:val="21"/>
          <w:lang w:val="en-US" w:eastAsia="zh-CN" w:bidi="ar-SA"/>
        </w:rPr>
        <w:t>五、</w:t>
      </w:r>
      <w:r>
        <w:rPr>
          <w:rFonts w:hint="default" w:ascii="Times New Roman" w:hAnsi="Times New Roman" w:eastAsia="宋体" w:cs="Times New Roman"/>
          <w:b/>
          <w:bCs w:val="0"/>
          <w:kern w:val="2"/>
          <w:sz w:val="21"/>
          <w:szCs w:val="21"/>
          <w:lang w:val="en-US" w:eastAsia="zh-CN" w:bidi="ar-SA"/>
        </w:rPr>
        <w:t>售后服务</w:t>
      </w:r>
    </w:p>
    <w:p w14:paraId="69AA4FB3">
      <w:pPr>
        <w:ind w:firstLine="420" w:firstLineChars="200"/>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1.供应商可能被要求提供下列服务中的一项或全部服务。</w:t>
      </w:r>
    </w:p>
    <w:p w14:paraId="4213DCEA">
      <w:pPr>
        <w:ind w:firstLine="420" w:firstLineChars="200"/>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（1）产品的现场搬运或入库；</w:t>
      </w:r>
    </w:p>
    <w:p w14:paraId="742CEE72">
      <w:pPr>
        <w:ind w:firstLine="420" w:firstLineChars="200"/>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（2）提供产品开箱或分装的用具；</w:t>
      </w:r>
    </w:p>
    <w:p w14:paraId="553FF158">
      <w:pPr>
        <w:ind w:firstLine="420" w:firstLineChars="200"/>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（3）对开箱时发现的破损、近有效期产品或其他不合格包装产品无条件及时更换；</w:t>
      </w:r>
    </w:p>
    <w:p w14:paraId="6BCC9986">
      <w:pPr>
        <w:ind w:firstLine="420" w:firstLineChars="200"/>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（4）在采购人指定地点为所供产品的临床应用进行现场讲解或培训；</w:t>
      </w:r>
    </w:p>
    <w:p w14:paraId="16245A99">
      <w:pPr>
        <w:ind w:firstLine="420" w:firstLineChars="200"/>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（5）其他供应商应提供的相关服务项目。</w:t>
      </w:r>
    </w:p>
    <w:p w14:paraId="798A5F48">
      <w:pPr>
        <w:ind w:firstLine="420" w:firstLineChars="200"/>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2.供应商应具备解决紧急问题的能力，如采购人在使用货物的过程中发现问题，供应商应及时到采购人现场解决。供应商下单后需及时送货，不得无故推迟。</w:t>
      </w:r>
    </w:p>
    <w:p w14:paraId="25BB9A36">
      <w:pPr>
        <w:ind w:firstLine="420" w:firstLineChars="200"/>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3.其他约定：对于接近有效期的产品（有效期3个月或以内的），保证无条件更换新批号且有效期在半年以上的产品。</w:t>
      </w:r>
    </w:p>
    <w:p w14:paraId="53E07B29">
      <w:pPr>
        <w:ind w:firstLine="422" w:firstLineChars="200"/>
        <w:rPr>
          <w:rFonts w:hint="eastAsia" w:ascii="Times New Roman" w:hAnsi="Times New Roman" w:eastAsia="宋体" w:cs="Times New Roman"/>
          <w:b/>
          <w:bCs w:val="0"/>
          <w:kern w:val="2"/>
          <w:sz w:val="21"/>
          <w:szCs w:val="21"/>
          <w:lang w:val="en-US" w:eastAsia="zh-CN" w:bidi="ar-SA"/>
        </w:rPr>
      </w:pPr>
      <w:r>
        <w:rPr>
          <w:rFonts w:hint="eastAsia" w:ascii="Times New Roman" w:hAnsi="Times New Roman" w:eastAsia="宋体" w:cs="Times New Roman"/>
          <w:b/>
          <w:bCs w:val="0"/>
          <w:kern w:val="2"/>
          <w:sz w:val="21"/>
          <w:szCs w:val="21"/>
          <w:lang w:val="en-US" w:eastAsia="zh-CN" w:bidi="ar-SA"/>
        </w:rPr>
        <w:t>六、违约责任</w:t>
      </w:r>
    </w:p>
    <w:p w14:paraId="3E6AC341">
      <w:pPr>
        <w:ind w:firstLine="420" w:firstLineChars="200"/>
        <w:rPr>
          <w:rFonts w:hint="eastAsia" w:ascii="Times New Roman" w:hAnsi="Times New Roman" w:eastAsia="宋体" w:cs="Times New Roman"/>
          <w:bCs/>
          <w:kern w:val="2"/>
          <w:sz w:val="21"/>
          <w:szCs w:val="21"/>
          <w:lang w:val="zh-CN" w:eastAsia="zh-CN" w:bidi="ar-SA"/>
        </w:rPr>
      </w:pPr>
      <w:r>
        <w:rPr>
          <w:rFonts w:hint="eastAsia" w:ascii="Times New Roman" w:hAnsi="Times New Roman" w:eastAsia="宋体" w:cs="Times New Roman"/>
          <w:bCs/>
          <w:kern w:val="2"/>
          <w:sz w:val="21"/>
          <w:szCs w:val="21"/>
          <w:lang w:val="zh-CN" w:eastAsia="zh-CN" w:bidi="ar-SA"/>
        </w:rPr>
        <w:t>1.供应商未按照投标文件中承诺的时间交货或提供服务，供应商应承担延期交货和延期服务的违约责任，并赔偿采购人因此造成的实际经济损失。</w:t>
      </w:r>
    </w:p>
    <w:p w14:paraId="72418FBC">
      <w:pPr>
        <w:ind w:firstLine="420" w:firstLineChars="200"/>
        <w:rPr>
          <w:rFonts w:hint="eastAsia" w:ascii="Times New Roman" w:hAnsi="Times New Roman" w:eastAsia="宋体" w:cs="Times New Roman"/>
          <w:bCs/>
          <w:kern w:val="2"/>
          <w:sz w:val="21"/>
          <w:szCs w:val="21"/>
          <w:lang w:val="zh-CN" w:eastAsia="zh-CN" w:bidi="ar-SA"/>
        </w:rPr>
      </w:pPr>
      <w:r>
        <w:rPr>
          <w:rFonts w:hint="eastAsia" w:ascii="Times New Roman" w:hAnsi="Times New Roman" w:eastAsia="宋体" w:cs="Times New Roman"/>
          <w:bCs/>
          <w:kern w:val="2"/>
          <w:sz w:val="21"/>
          <w:szCs w:val="21"/>
          <w:lang w:val="zh-CN" w:eastAsia="zh-CN" w:bidi="ar-SA"/>
        </w:rPr>
        <w:t>2.在履行合同的过程中，如供应商遇到妨碍按时配送产品和提供伴随服务的情况时，应及时以书面形式将拖延的事实、可能拖延的时间和原因通知采购人。采购人收到供应商通知后，应尽快对情况进行核实，并由采购人确定是否酌情延长交货时间以及是否收取违约金或终止合同。</w:t>
      </w:r>
    </w:p>
    <w:p w14:paraId="6F514BAD">
      <w:pPr>
        <w:ind w:firstLine="420" w:firstLineChars="200"/>
        <w:rPr>
          <w:rFonts w:hint="eastAsia" w:ascii="Times New Roman" w:hAnsi="Times New Roman" w:eastAsia="宋体" w:cs="Times New Roman"/>
          <w:bCs/>
          <w:kern w:val="2"/>
          <w:sz w:val="21"/>
          <w:szCs w:val="21"/>
          <w:lang w:val="zh-CN" w:eastAsia="zh-CN" w:bidi="ar-SA"/>
        </w:rPr>
      </w:pPr>
      <w:r>
        <w:rPr>
          <w:rFonts w:hint="eastAsia" w:ascii="Times New Roman" w:hAnsi="Times New Roman" w:eastAsia="宋体" w:cs="Times New Roman"/>
          <w:bCs/>
          <w:kern w:val="2"/>
          <w:sz w:val="21"/>
          <w:szCs w:val="21"/>
          <w:lang w:val="en-US" w:eastAsia="zh-CN" w:bidi="ar-SA"/>
        </w:rPr>
        <w:t>3.</w:t>
      </w:r>
      <w:r>
        <w:rPr>
          <w:rFonts w:hint="eastAsia" w:ascii="Times New Roman" w:hAnsi="Times New Roman" w:eastAsia="宋体" w:cs="Times New Roman"/>
          <w:bCs/>
          <w:kern w:val="2"/>
          <w:sz w:val="21"/>
          <w:szCs w:val="21"/>
          <w:lang w:val="zh-CN" w:eastAsia="zh-CN" w:bidi="ar-SA"/>
        </w:rPr>
        <w:t>供应商所提供耗材或试剂的品种、型号、规格、质量、技术参数等方面不能实质性满足遴选文件要约的，采购人有权拒绝收货，供应商向采购人偿付项目采购金额（</w:t>
      </w:r>
      <w:r>
        <w:rPr>
          <w:rFonts w:hint="eastAsia" w:ascii="Times New Roman" w:hAnsi="Times New Roman" w:eastAsia="宋体" w:cs="Times New Roman"/>
          <w:bCs/>
          <w:kern w:val="2"/>
          <w:sz w:val="21"/>
          <w:szCs w:val="21"/>
          <w:lang w:val="en-US" w:eastAsia="zh-CN" w:bidi="ar-SA"/>
        </w:rPr>
        <w:t>10</w:t>
      </w:r>
      <w:r>
        <w:rPr>
          <w:rFonts w:hint="eastAsia" w:ascii="Times New Roman" w:hAnsi="Times New Roman" w:eastAsia="宋体" w:cs="Times New Roman"/>
          <w:bCs/>
          <w:kern w:val="2"/>
          <w:sz w:val="21"/>
          <w:szCs w:val="21"/>
          <w:lang w:val="zh-CN" w:eastAsia="zh-CN" w:bidi="ar-SA"/>
        </w:rPr>
        <w:t>）%的违约金；造成严重后果的，根据《深圳经济特区政府采购条例》第五十七条第（二）款规定，由主管部门对供应商进行处罚。</w:t>
      </w:r>
    </w:p>
    <w:p w14:paraId="51F5C046">
      <w:pPr>
        <w:ind w:firstLine="420" w:firstLineChars="200"/>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4.如供应商无正当理由拖延交货，按逾期交货部分货款计算，应向采购人偿付每日（0.5）‰的违约金，供应商逾期交货超过 30 日，采购人有权解除合同，并由供应商承担采购人因此所受的损失费用。</w:t>
      </w:r>
    </w:p>
    <w:p w14:paraId="091873E7">
      <w:pPr>
        <w:ind w:firstLine="420" w:firstLineChars="200"/>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5.材料有效期须符合订货周期需要，如提供有效期短，则采购人可根据情况提出退货或换货，供应商必须按采购人要求给予退货或换货。</w:t>
      </w:r>
    </w:p>
    <w:p w14:paraId="614CA95A">
      <w:pPr>
        <w:ind w:firstLine="420" w:firstLineChars="200"/>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6.供应商在供货期间，产品出现质量等问题，经上级相关部门认定结果造成医院及患者的损失，由供应商负全责，包括采购人因此产生纠纷的任何费用开支、患者的赔偿金，包括但不限于诉讼费、律师费、鉴定费等相关费用。</w:t>
      </w:r>
    </w:p>
    <w:p w14:paraId="192A8E72">
      <w:pPr>
        <w:ind w:firstLine="420" w:firstLineChars="200"/>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7.供应商在合同期内超过3次未按时交货，或未按时到现场对接采购人工作人员的，给予诫勉谈话，超过5次履约不合格的，采购人有权终止合同。</w:t>
      </w:r>
    </w:p>
    <w:p w14:paraId="4CAC96A8">
      <w:pPr>
        <w:ind w:firstLine="420" w:firstLineChars="200"/>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8.在合同期内，如出现用户单位对协议供货、服务等投诉问题，经调查属实，将追究供应商的责任。</w:t>
      </w:r>
    </w:p>
    <w:p w14:paraId="74EDAE76">
      <w:pPr>
        <w:ind w:firstLine="420" w:firstLineChars="200"/>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9.在重大突发公共事件、应急抢险救灾事件或节假日期间，采购人急需采购应急物资，供应商需无条件响应，全力配合采购人做好采购工作，供应商在此情况下推脱2次以上未按时交货的，采购人有权终止合同，向第三方采购。</w:t>
      </w:r>
    </w:p>
    <w:p w14:paraId="0DA711F5">
      <w:pPr>
        <w:ind w:firstLine="420" w:firstLineChars="200"/>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10.未列入以上条款的其他违规事项，则按照《中华人民共和国招标投标法》法律责任条款处理。</w:t>
      </w:r>
    </w:p>
    <w:p w14:paraId="18F7D69F">
      <w:pPr>
        <w:ind w:firstLine="422" w:firstLineChars="200"/>
        <w:rPr>
          <w:rFonts w:hint="eastAsia" w:ascii="Times New Roman" w:hAnsi="Times New Roman" w:eastAsia="宋体" w:cs="Times New Roman"/>
          <w:b/>
          <w:bCs w:val="0"/>
          <w:kern w:val="2"/>
          <w:sz w:val="21"/>
          <w:szCs w:val="21"/>
          <w:lang w:val="en-US" w:eastAsia="zh-CN" w:bidi="ar-SA"/>
        </w:rPr>
      </w:pPr>
      <w:r>
        <w:rPr>
          <w:rFonts w:hint="eastAsia" w:ascii="Times New Roman" w:hAnsi="Times New Roman" w:eastAsia="宋体" w:cs="Times New Roman"/>
          <w:b/>
          <w:bCs w:val="0"/>
          <w:kern w:val="2"/>
          <w:sz w:val="21"/>
          <w:szCs w:val="21"/>
          <w:lang w:val="en-US" w:eastAsia="zh-CN" w:bidi="ar-SA"/>
        </w:rPr>
        <w:t>七、注意事项</w:t>
      </w:r>
    </w:p>
    <w:p w14:paraId="2E4C1E80">
      <w:pPr>
        <w:ind w:firstLine="420" w:firstLineChars="200"/>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（一）中标人不得将项目非法分包或转包给任何单位和个人。否则，采购单位有权即刻终止合同，并要求中标人赔偿相应损失。</w:t>
      </w:r>
    </w:p>
    <w:p w14:paraId="35AEE54D">
      <w:pPr>
        <w:ind w:firstLine="420" w:firstLineChars="200"/>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（二）投标人若认为招标文件的技术要求或其他要求有倾向性或不公正性，可在招标答疑阶段提出，以维护招标行为的公平、公正。</w:t>
      </w:r>
    </w:p>
    <w:p w14:paraId="4E0D075C">
      <w:pPr>
        <w:ind w:firstLine="420" w:firstLineChars="200"/>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（三）如投标人提交伪造资质证书、合同文件等投标文件的，一经发现将报主管部门依法依规处置。</w:t>
      </w:r>
    </w:p>
    <w:p w14:paraId="67F1A96C">
      <w:pPr>
        <w:widowControl w:val="0"/>
        <w:spacing w:line="360" w:lineRule="auto"/>
        <w:ind w:left="-85" w:right="-244" w:firstLine="435"/>
        <w:jc w:val="both"/>
        <w:rPr>
          <w:rFonts w:hint="eastAsia" w:ascii="Times New Roman" w:hAnsi="Times New Roman" w:eastAsia="宋体" w:cs="Times New Roman"/>
          <w:kern w:val="2"/>
          <w:sz w:val="21"/>
          <w:szCs w:val="24"/>
          <w:lang w:val="en-US" w:eastAsia="zh-CN" w:bidi="ar-SA"/>
        </w:rPr>
      </w:pP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8"/>
        <w:gridCol w:w="5601"/>
        <w:gridCol w:w="2212"/>
      </w:tblGrid>
      <w:tr w14:paraId="463D2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0" w:type="auto"/>
            <w:gridSpan w:val="3"/>
            <w:shd w:val="clear" w:color="auto" w:fill="auto"/>
            <w:noWrap/>
            <w:vAlign w:val="center"/>
          </w:tcPr>
          <w:p w14:paraId="271AAB13">
            <w:pPr>
              <w:widowControl/>
              <w:snapToGrid w:val="0"/>
              <w:spacing w:before="100" w:beforeAutospacing="1" w:after="100" w:afterAutospacing="1"/>
              <w:ind w:firstLine="422" w:firstLineChars="200"/>
              <w:jc w:val="left"/>
              <w:rPr>
                <w:rFonts w:hint="eastAsia" w:ascii="宋体" w:hAnsi="宋体" w:eastAsia="宋体" w:cs="宋体"/>
                <w:b/>
                <w:bCs/>
                <w:color w:val="auto"/>
                <w:kern w:val="0"/>
                <w:sz w:val="28"/>
                <w:szCs w:val="28"/>
              </w:rPr>
            </w:pPr>
            <w:r>
              <w:rPr>
                <w:rFonts w:hint="eastAsia" w:ascii="Times New Roman" w:hAnsi="Times New Roman" w:eastAsia="宋体" w:cs="Times New Roman"/>
                <w:b/>
                <w:bCs w:val="0"/>
                <w:kern w:val="2"/>
                <w:sz w:val="21"/>
                <w:szCs w:val="21"/>
                <w:lang w:val="en-US" w:eastAsia="zh-CN" w:bidi="ar-SA"/>
              </w:rPr>
              <w:t>八、售后服务响应表</w:t>
            </w:r>
          </w:p>
        </w:tc>
      </w:tr>
      <w:tr w14:paraId="1D36B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0" w:type="auto"/>
            <w:shd w:val="clear" w:color="auto" w:fill="auto"/>
            <w:vAlign w:val="center"/>
          </w:tcPr>
          <w:p w14:paraId="3DF64A35">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序号</w:t>
            </w:r>
          </w:p>
        </w:tc>
        <w:tc>
          <w:tcPr>
            <w:tcW w:w="5601" w:type="dxa"/>
            <w:shd w:val="clear" w:color="auto" w:fill="auto"/>
            <w:vAlign w:val="center"/>
          </w:tcPr>
          <w:p w14:paraId="7EBFCF7B">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服务条款</w:t>
            </w:r>
          </w:p>
        </w:tc>
        <w:tc>
          <w:tcPr>
            <w:tcW w:w="2212" w:type="dxa"/>
            <w:shd w:val="clear" w:color="auto" w:fill="auto"/>
            <w:vAlign w:val="center"/>
          </w:tcPr>
          <w:p w14:paraId="6B7B8A27">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说明</w:t>
            </w:r>
          </w:p>
        </w:tc>
      </w:tr>
      <w:tr w14:paraId="4F2C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0" w:type="auto"/>
            <w:shd w:val="clear" w:color="auto" w:fill="auto"/>
            <w:vAlign w:val="center"/>
          </w:tcPr>
          <w:p w14:paraId="4BB9692C">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1</w:t>
            </w:r>
          </w:p>
        </w:tc>
        <w:tc>
          <w:tcPr>
            <w:tcW w:w="0" w:type="auto"/>
            <w:gridSpan w:val="2"/>
            <w:shd w:val="clear" w:color="auto" w:fill="auto"/>
            <w:vAlign w:val="center"/>
          </w:tcPr>
          <w:p w14:paraId="57C92222">
            <w:pPr>
              <w:widowControl/>
              <w:jc w:val="left"/>
              <w:rPr>
                <w:rFonts w:hint="eastAsia" w:ascii="宋体" w:hAnsi="宋体" w:eastAsia="宋体" w:cs="宋体"/>
                <w:b/>
                <w:bCs/>
                <w:kern w:val="0"/>
                <w:sz w:val="20"/>
                <w:szCs w:val="20"/>
              </w:rPr>
            </w:pPr>
            <w:r>
              <w:rPr>
                <w:rFonts w:hint="eastAsia" w:ascii="宋体" w:hAnsi="宋体" w:eastAsia="宋体" w:cs="宋体"/>
                <w:b/>
                <w:bCs/>
                <w:kern w:val="0"/>
                <w:sz w:val="20"/>
                <w:szCs w:val="20"/>
              </w:rPr>
              <w:t>送货及库存：</w:t>
            </w:r>
          </w:p>
        </w:tc>
      </w:tr>
      <w:tr w14:paraId="625E5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0" w:type="auto"/>
            <w:shd w:val="clear" w:color="auto" w:fill="auto"/>
            <w:vAlign w:val="center"/>
          </w:tcPr>
          <w:p w14:paraId="74CE80A3">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1.1</w:t>
            </w:r>
          </w:p>
        </w:tc>
        <w:tc>
          <w:tcPr>
            <w:tcW w:w="5601" w:type="dxa"/>
            <w:shd w:val="clear" w:color="auto" w:fill="auto"/>
            <w:vAlign w:val="center"/>
          </w:tcPr>
          <w:p w14:paraId="65C92A89">
            <w:pPr>
              <w:widowControl/>
              <w:jc w:val="both"/>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在本地（深圳市）设有产品库，在合同有效期内，保证货源充足，如果设备出现故障，无法修复，需无偿提供配套器械。</w:t>
            </w:r>
          </w:p>
        </w:tc>
        <w:tc>
          <w:tcPr>
            <w:tcW w:w="2212" w:type="dxa"/>
            <w:shd w:val="clear" w:color="auto" w:fill="auto"/>
            <w:vAlign w:val="center"/>
          </w:tcPr>
          <w:p w14:paraId="5952B763">
            <w:pPr>
              <w:widowControl/>
              <w:jc w:val="both"/>
              <w:rPr>
                <w:rFonts w:hint="eastAsia" w:ascii="宋体" w:hAnsi="宋体" w:eastAsia="宋体" w:cs="宋体"/>
                <w:b/>
                <w:bCs/>
                <w:kern w:val="0"/>
                <w:sz w:val="20"/>
                <w:szCs w:val="20"/>
              </w:rPr>
            </w:pPr>
            <w:r>
              <w:rPr>
                <w:rFonts w:hint="eastAsia" w:ascii="Times New Roman" w:hAnsi="Times New Roman" w:eastAsia="宋体" w:cs="Times New Roman"/>
                <w:b/>
                <w:bCs/>
                <w:color w:val="FF0000"/>
                <w:lang w:val="en-US" w:eastAsia="zh-CN"/>
              </w:rPr>
              <w:t>投标人须承诺</w:t>
            </w:r>
            <w:r>
              <w:rPr>
                <w:rFonts w:hint="eastAsia" w:cs="Times New Roman"/>
                <w:b/>
                <w:bCs/>
                <w:color w:val="FF0000"/>
                <w:lang w:val="en-US" w:eastAsia="zh-CN"/>
              </w:rPr>
              <w:t>中标后</w:t>
            </w:r>
            <w:r>
              <w:rPr>
                <w:rFonts w:hint="eastAsia" w:ascii="Times New Roman" w:hAnsi="Times New Roman" w:eastAsia="宋体" w:cs="Times New Roman"/>
                <w:b/>
                <w:bCs/>
                <w:color w:val="FF0000"/>
                <w:lang w:val="en-US" w:eastAsia="zh-CN"/>
              </w:rPr>
              <w:t>在本地（深圳市）设有产品库，在合同有效期内，保证货源充足，如果设备出现故障，无法修复，需无偿提供配套器械</w:t>
            </w:r>
            <w:r>
              <w:rPr>
                <w:rFonts w:hint="eastAsia" w:ascii="Times New Roman" w:hAnsi="Times New Roman" w:eastAsia="宋体" w:cs="宋体"/>
                <w:b/>
                <w:bCs/>
                <w:i w:val="0"/>
                <w:color w:val="FF0000"/>
                <w:kern w:val="0"/>
                <w:sz w:val="20"/>
                <w:szCs w:val="20"/>
                <w:u w:val="none"/>
                <w:lang w:val="en-US" w:eastAsia="zh-CN" w:bidi="ar"/>
              </w:rPr>
              <w:t>，提供承诺函，格式自拟</w:t>
            </w:r>
            <w:r>
              <w:rPr>
                <w:rFonts w:hint="eastAsia" w:cs="宋体"/>
                <w:b/>
                <w:bCs/>
                <w:i w:val="0"/>
                <w:color w:val="FF0000"/>
                <w:kern w:val="0"/>
                <w:sz w:val="20"/>
                <w:szCs w:val="20"/>
                <w:u w:val="none"/>
                <w:lang w:val="en-US" w:eastAsia="zh-CN" w:bidi="ar"/>
              </w:rPr>
              <w:t>。</w:t>
            </w:r>
          </w:p>
        </w:tc>
      </w:tr>
      <w:tr w14:paraId="1FE26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0" w:type="auto"/>
            <w:shd w:val="clear" w:color="auto" w:fill="auto"/>
            <w:vAlign w:val="center"/>
          </w:tcPr>
          <w:p w14:paraId="183F6E7B">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w:t>
            </w:r>
          </w:p>
        </w:tc>
        <w:tc>
          <w:tcPr>
            <w:tcW w:w="5601" w:type="dxa"/>
            <w:shd w:val="clear" w:color="auto" w:fill="auto"/>
            <w:vAlign w:val="center"/>
          </w:tcPr>
          <w:p w14:paraId="7B65912A">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保证按照医院指定地点和时间准时送货上门（不分节假日），</w:t>
            </w:r>
            <w:r>
              <w:rPr>
                <w:rFonts w:hint="eastAsia" w:ascii="宋体" w:hAnsi="宋体" w:cs="宋体"/>
                <w:color w:val="auto"/>
                <w:kern w:val="0"/>
                <w:sz w:val="20"/>
                <w:szCs w:val="20"/>
                <w:lang w:val="en-US" w:eastAsia="zh-CN"/>
              </w:rPr>
              <w:t>供应商</w:t>
            </w:r>
            <w:r>
              <w:rPr>
                <w:rFonts w:hint="eastAsia" w:ascii="宋体" w:hAnsi="宋体" w:eastAsia="宋体" w:cs="宋体"/>
                <w:color w:val="auto"/>
                <w:kern w:val="0"/>
                <w:sz w:val="20"/>
                <w:szCs w:val="20"/>
              </w:rPr>
              <w:t>承担全部运费且到达前的损失由</w:t>
            </w:r>
            <w:r>
              <w:rPr>
                <w:rFonts w:hint="eastAsia" w:ascii="宋体" w:hAnsi="宋体" w:cs="宋体"/>
                <w:color w:val="auto"/>
                <w:kern w:val="0"/>
                <w:sz w:val="20"/>
                <w:szCs w:val="20"/>
                <w:lang w:val="en-US" w:eastAsia="zh-CN"/>
              </w:rPr>
              <w:t>供应商</w:t>
            </w:r>
            <w:r>
              <w:rPr>
                <w:rFonts w:hint="eastAsia" w:ascii="宋体" w:hAnsi="宋体" w:eastAsia="宋体" w:cs="宋体"/>
                <w:color w:val="auto"/>
                <w:kern w:val="0"/>
                <w:sz w:val="20"/>
                <w:szCs w:val="20"/>
              </w:rPr>
              <w:t>承担。</w:t>
            </w:r>
          </w:p>
        </w:tc>
        <w:tc>
          <w:tcPr>
            <w:tcW w:w="2212" w:type="dxa"/>
            <w:shd w:val="clear" w:color="auto" w:fill="auto"/>
            <w:vAlign w:val="center"/>
          </w:tcPr>
          <w:p w14:paraId="69B5EF1E">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　</w:t>
            </w:r>
          </w:p>
          <w:p w14:paraId="16E24B16">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　</w:t>
            </w:r>
          </w:p>
        </w:tc>
      </w:tr>
      <w:tr w14:paraId="72242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0" w:type="auto"/>
            <w:shd w:val="clear" w:color="auto" w:fill="auto"/>
            <w:vAlign w:val="center"/>
          </w:tcPr>
          <w:p w14:paraId="66EC9A2A">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1.3</w:t>
            </w:r>
          </w:p>
        </w:tc>
        <w:tc>
          <w:tcPr>
            <w:tcW w:w="5601" w:type="dxa"/>
            <w:shd w:val="clear" w:color="auto" w:fill="auto"/>
            <w:vAlign w:val="center"/>
          </w:tcPr>
          <w:p w14:paraId="06CCD645">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紧急配送保证</w:t>
            </w:r>
            <w:r>
              <w:rPr>
                <w:rFonts w:hint="eastAsia" w:ascii="宋体" w:hAnsi="宋体" w:cs="宋体"/>
                <w:color w:val="auto"/>
                <w:kern w:val="0"/>
                <w:sz w:val="20"/>
                <w:szCs w:val="20"/>
                <w:lang w:val="en-US" w:eastAsia="zh-CN"/>
              </w:rPr>
              <w:t>2</w:t>
            </w:r>
            <w:r>
              <w:rPr>
                <w:rFonts w:hint="eastAsia" w:ascii="宋体" w:hAnsi="宋体" w:eastAsia="宋体" w:cs="宋体"/>
                <w:color w:val="auto"/>
                <w:kern w:val="0"/>
                <w:sz w:val="20"/>
                <w:szCs w:val="20"/>
              </w:rPr>
              <w:t>小时内送达。</w:t>
            </w:r>
          </w:p>
        </w:tc>
        <w:tc>
          <w:tcPr>
            <w:tcW w:w="2212" w:type="dxa"/>
            <w:shd w:val="clear" w:color="auto" w:fill="auto"/>
            <w:vAlign w:val="center"/>
          </w:tcPr>
          <w:p w14:paraId="69B0C75A">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　</w:t>
            </w:r>
          </w:p>
          <w:p w14:paraId="7B549FA6">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　</w:t>
            </w:r>
          </w:p>
        </w:tc>
      </w:tr>
      <w:tr w14:paraId="52148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0" w:type="auto"/>
            <w:shd w:val="clear" w:color="auto" w:fill="auto"/>
            <w:vAlign w:val="center"/>
          </w:tcPr>
          <w:p w14:paraId="4064ECC7">
            <w:pPr>
              <w:widowControl/>
              <w:jc w:val="center"/>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w:t>
            </w:r>
            <w:r>
              <w:rPr>
                <w:rFonts w:hint="eastAsia" w:ascii="宋体" w:hAnsi="宋体" w:cs="宋体"/>
                <w:color w:val="auto"/>
                <w:kern w:val="0"/>
                <w:sz w:val="20"/>
                <w:szCs w:val="20"/>
                <w:lang w:val="en-US" w:eastAsia="zh-CN"/>
              </w:rPr>
              <w:t>4</w:t>
            </w:r>
          </w:p>
        </w:tc>
        <w:tc>
          <w:tcPr>
            <w:tcW w:w="5601" w:type="dxa"/>
            <w:shd w:val="clear" w:color="auto" w:fill="auto"/>
            <w:vAlign w:val="center"/>
          </w:tcPr>
          <w:p w14:paraId="5AD3E6B1">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产品可紧急进行市外调货，以满足医院临床要求。</w:t>
            </w:r>
          </w:p>
        </w:tc>
        <w:tc>
          <w:tcPr>
            <w:tcW w:w="2212" w:type="dxa"/>
            <w:shd w:val="clear" w:color="auto" w:fill="auto"/>
            <w:vAlign w:val="center"/>
          </w:tcPr>
          <w:p w14:paraId="0E5E7EA5">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　</w:t>
            </w:r>
          </w:p>
          <w:p w14:paraId="4EA1C9BC">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　</w:t>
            </w:r>
          </w:p>
        </w:tc>
      </w:tr>
      <w:tr w14:paraId="590D5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shd w:val="clear" w:color="auto" w:fill="auto"/>
            <w:vAlign w:val="center"/>
          </w:tcPr>
          <w:p w14:paraId="2A0FEA3C">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2</w:t>
            </w:r>
          </w:p>
        </w:tc>
        <w:tc>
          <w:tcPr>
            <w:tcW w:w="0" w:type="auto"/>
            <w:gridSpan w:val="2"/>
            <w:shd w:val="clear" w:color="auto" w:fill="auto"/>
            <w:vAlign w:val="center"/>
          </w:tcPr>
          <w:p w14:paraId="77E326AC">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退换货：</w:t>
            </w:r>
          </w:p>
        </w:tc>
      </w:tr>
      <w:tr w14:paraId="49906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0" w:type="auto"/>
            <w:shd w:val="clear" w:color="auto" w:fill="auto"/>
            <w:vAlign w:val="center"/>
          </w:tcPr>
          <w:p w14:paraId="341C608F">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2.1</w:t>
            </w:r>
          </w:p>
        </w:tc>
        <w:tc>
          <w:tcPr>
            <w:tcW w:w="5601" w:type="dxa"/>
            <w:shd w:val="clear" w:color="auto" w:fill="auto"/>
            <w:vAlign w:val="center"/>
          </w:tcPr>
          <w:p w14:paraId="054727B4">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医院接受货物后若有疑义或使用前发现不宜使用的现象，</w:t>
            </w:r>
            <w:r>
              <w:rPr>
                <w:rFonts w:hint="eastAsia" w:ascii="宋体" w:hAnsi="宋体" w:cs="宋体"/>
                <w:color w:val="auto"/>
                <w:kern w:val="0"/>
                <w:sz w:val="20"/>
                <w:szCs w:val="20"/>
                <w:lang w:val="en-US" w:eastAsia="zh-CN"/>
              </w:rPr>
              <w:t>供应商</w:t>
            </w:r>
            <w:r>
              <w:rPr>
                <w:rFonts w:hint="eastAsia" w:ascii="宋体" w:hAnsi="宋体" w:eastAsia="宋体" w:cs="宋体"/>
                <w:color w:val="auto"/>
                <w:kern w:val="0"/>
                <w:sz w:val="20"/>
                <w:szCs w:val="20"/>
              </w:rPr>
              <w:t>随时提供免费退换货服务。</w:t>
            </w:r>
          </w:p>
        </w:tc>
        <w:tc>
          <w:tcPr>
            <w:tcW w:w="2212" w:type="dxa"/>
            <w:shd w:val="clear" w:color="auto" w:fill="auto"/>
            <w:vAlign w:val="center"/>
          </w:tcPr>
          <w:p w14:paraId="30BA6990">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　</w:t>
            </w:r>
          </w:p>
          <w:p w14:paraId="54C8AE6E">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　</w:t>
            </w:r>
          </w:p>
        </w:tc>
      </w:tr>
      <w:tr w14:paraId="2675A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0" w:type="auto"/>
            <w:shd w:val="clear" w:color="auto" w:fill="auto"/>
            <w:vAlign w:val="center"/>
          </w:tcPr>
          <w:p w14:paraId="2DDFB53C">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2.2</w:t>
            </w:r>
          </w:p>
        </w:tc>
        <w:tc>
          <w:tcPr>
            <w:tcW w:w="5601" w:type="dxa"/>
            <w:shd w:val="clear" w:color="auto" w:fill="auto"/>
            <w:vAlign w:val="center"/>
          </w:tcPr>
          <w:p w14:paraId="546C59FE">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近效期退换：对于接近有效期的产品（近效期3个月或以上的），中标人保证无条件更换新批号且效期在半年以上的产品。保证供货产品的实际品牌、规格型号、生产厂家、质量与投标文件内所投产品描述一致；供货产品确保最新生产批号，绝不提供过期或即将过期的产品。</w:t>
            </w:r>
          </w:p>
        </w:tc>
        <w:tc>
          <w:tcPr>
            <w:tcW w:w="2212" w:type="dxa"/>
            <w:shd w:val="clear" w:color="auto" w:fill="auto"/>
            <w:vAlign w:val="center"/>
          </w:tcPr>
          <w:p w14:paraId="0A4856D1">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　</w:t>
            </w:r>
          </w:p>
          <w:p w14:paraId="6084B717">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　</w:t>
            </w:r>
          </w:p>
        </w:tc>
      </w:tr>
      <w:tr w14:paraId="0FC5B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0" w:type="auto"/>
            <w:shd w:val="clear" w:color="auto" w:fill="auto"/>
            <w:vAlign w:val="center"/>
          </w:tcPr>
          <w:p w14:paraId="76441BB0">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3</w:t>
            </w:r>
          </w:p>
        </w:tc>
        <w:tc>
          <w:tcPr>
            <w:tcW w:w="0" w:type="auto"/>
            <w:gridSpan w:val="2"/>
            <w:shd w:val="clear" w:color="auto" w:fill="auto"/>
            <w:vAlign w:val="center"/>
          </w:tcPr>
          <w:p w14:paraId="009201EE">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技术支持：</w:t>
            </w:r>
          </w:p>
        </w:tc>
      </w:tr>
      <w:tr w14:paraId="2FDC1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0" w:type="auto"/>
            <w:shd w:val="clear" w:color="auto" w:fill="auto"/>
            <w:vAlign w:val="center"/>
          </w:tcPr>
          <w:p w14:paraId="50334269">
            <w:pPr>
              <w:widowControl/>
              <w:jc w:val="center"/>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w:t>
            </w:r>
            <w:r>
              <w:rPr>
                <w:rFonts w:hint="eastAsia" w:ascii="宋体" w:hAnsi="宋体" w:cs="宋体"/>
                <w:color w:val="auto"/>
                <w:kern w:val="0"/>
                <w:sz w:val="20"/>
                <w:szCs w:val="20"/>
                <w:lang w:val="en-US" w:eastAsia="zh-CN"/>
              </w:rPr>
              <w:t>1</w:t>
            </w:r>
          </w:p>
        </w:tc>
        <w:tc>
          <w:tcPr>
            <w:tcW w:w="5601" w:type="dxa"/>
            <w:shd w:val="clear" w:color="auto" w:fill="auto"/>
            <w:vAlign w:val="center"/>
          </w:tcPr>
          <w:p w14:paraId="3D602B61">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免费提供产品的售后技术培训与医用支持，定期配合医院免费为临床医护人员提供新技术培训，确保我院医护人员能够有效和安全</w:t>
            </w:r>
            <w:r>
              <w:rPr>
                <w:rFonts w:hint="eastAsia" w:ascii="宋体" w:hAnsi="宋体" w:eastAsia="宋体" w:cs="宋体"/>
                <w:color w:val="auto"/>
                <w:kern w:val="0"/>
                <w:sz w:val="20"/>
                <w:szCs w:val="20"/>
                <w:lang w:val="en-US" w:eastAsia="zh-CN"/>
              </w:rPr>
              <w:t>地</w:t>
            </w:r>
            <w:r>
              <w:rPr>
                <w:rFonts w:hint="eastAsia" w:ascii="宋体" w:hAnsi="宋体" w:eastAsia="宋体" w:cs="宋体"/>
                <w:color w:val="auto"/>
                <w:kern w:val="0"/>
                <w:sz w:val="20"/>
                <w:szCs w:val="20"/>
              </w:rPr>
              <w:t>使用产品和配套的仪器。</w:t>
            </w:r>
          </w:p>
        </w:tc>
        <w:tc>
          <w:tcPr>
            <w:tcW w:w="2212" w:type="dxa"/>
            <w:shd w:val="clear" w:color="auto" w:fill="auto"/>
            <w:vAlign w:val="center"/>
          </w:tcPr>
          <w:p w14:paraId="6CE91093">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　</w:t>
            </w:r>
          </w:p>
          <w:p w14:paraId="5C47C260">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　</w:t>
            </w:r>
          </w:p>
        </w:tc>
      </w:tr>
      <w:tr w14:paraId="1ADE9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0" w:type="auto"/>
            <w:shd w:val="clear" w:color="auto" w:fill="auto"/>
            <w:vAlign w:val="center"/>
          </w:tcPr>
          <w:p w14:paraId="1C5106E6">
            <w:pPr>
              <w:widowControl/>
              <w:jc w:val="center"/>
              <w:rPr>
                <w:rFonts w:hint="eastAsia" w:ascii="宋体" w:hAnsi="宋体" w:eastAsia="宋体" w:cs="宋体"/>
                <w:b/>
                <w:bCs/>
                <w:kern w:val="0"/>
                <w:sz w:val="20"/>
                <w:szCs w:val="20"/>
                <w:lang w:eastAsia="zh-CN"/>
              </w:rPr>
            </w:pPr>
            <w:r>
              <w:rPr>
                <w:rFonts w:hint="eastAsia" w:ascii="宋体" w:hAnsi="宋体" w:cs="宋体"/>
                <w:b/>
                <w:bCs/>
                <w:kern w:val="0"/>
                <w:sz w:val="20"/>
                <w:szCs w:val="20"/>
                <w:lang w:val="en-US" w:eastAsia="zh-CN"/>
              </w:rPr>
              <w:t>4</w:t>
            </w:r>
          </w:p>
        </w:tc>
        <w:tc>
          <w:tcPr>
            <w:tcW w:w="0" w:type="auto"/>
            <w:gridSpan w:val="2"/>
            <w:shd w:val="clear" w:color="auto" w:fill="auto"/>
            <w:vAlign w:val="center"/>
          </w:tcPr>
          <w:p w14:paraId="268E818D">
            <w:pPr>
              <w:widowControl/>
              <w:jc w:val="left"/>
              <w:rPr>
                <w:rFonts w:hint="eastAsia" w:ascii="宋体" w:hAnsi="宋体" w:eastAsia="宋体" w:cs="宋体"/>
                <w:b/>
                <w:bCs/>
                <w:kern w:val="0"/>
                <w:sz w:val="20"/>
                <w:szCs w:val="20"/>
              </w:rPr>
            </w:pPr>
            <w:r>
              <w:rPr>
                <w:rFonts w:hint="eastAsia" w:ascii="宋体" w:hAnsi="宋体" w:eastAsia="宋体" w:cs="宋体"/>
                <w:b/>
                <w:bCs/>
                <w:kern w:val="0"/>
                <w:sz w:val="20"/>
                <w:szCs w:val="20"/>
              </w:rPr>
              <w:t>不良反应：</w:t>
            </w:r>
          </w:p>
        </w:tc>
      </w:tr>
      <w:tr w14:paraId="3B01F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0" w:type="auto"/>
            <w:shd w:val="clear" w:color="auto" w:fill="auto"/>
            <w:vAlign w:val="center"/>
          </w:tcPr>
          <w:p w14:paraId="700B7248">
            <w:pPr>
              <w:widowControl/>
              <w:jc w:val="center"/>
              <w:rPr>
                <w:rFonts w:hint="eastAsia" w:ascii="宋体" w:hAnsi="宋体" w:eastAsia="宋体" w:cs="宋体"/>
                <w:kern w:val="0"/>
                <w:sz w:val="20"/>
                <w:szCs w:val="20"/>
              </w:rPr>
            </w:pPr>
            <w:r>
              <w:rPr>
                <w:rFonts w:hint="eastAsia" w:ascii="宋体" w:hAnsi="宋体" w:cs="宋体"/>
                <w:kern w:val="0"/>
                <w:sz w:val="20"/>
                <w:szCs w:val="20"/>
                <w:lang w:val="en-US" w:eastAsia="zh-CN"/>
              </w:rPr>
              <w:t>4</w:t>
            </w:r>
            <w:r>
              <w:rPr>
                <w:rFonts w:hint="eastAsia" w:ascii="宋体" w:hAnsi="宋体" w:eastAsia="宋体" w:cs="宋体"/>
                <w:kern w:val="0"/>
                <w:sz w:val="20"/>
                <w:szCs w:val="20"/>
              </w:rPr>
              <w:t>.1</w:t>
            </w:r>
          </w:p>
        </w:tc>
        <w:tc>
          <w:tcPr>
            <w:tcW w:w="5601" w:type="dxa"/>
            <w:shd w:val="clear" w:color="auto" w:fill="auto"/>
            <w:vAlign w:val="center"/>
          </w:tcPr>
          <w:p w14:paraId="5895E864">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一旦发生质量问题，</w:t>
            </w:r>
            <w:r>
              <w:rPr>
                <w:rFonts w:hint="eastAsia" w:ascii="宋体" w:hAnsi="宋体" w:cs="宋体"/>
                <w:kern w:val="0"/>
                <w:sz w:val="20"/>
                <w:szCs w:val="20"/>
                <w:lang w:val="en-US" w:eastAsia="zh-CN"/>
              </w:rPr>
              <w:t>供应商</w:t>
            </w:r>
            <w:r>
              <w:rPr>
                <w:rFonts w:hint="eastAsia" w:ascii="宋体" w:hAnsi="宋体" w:eastAsia="宋体" w:cs="宋体"/>
                <w:kern w:val="0"/>
                <w:sz w:val="20"/>
                <w:szCs w:val="20"/>
              </w:rPr>
              <w:t>保证接到通知后半小时内响应，两小时内赶到现场。</w:t>
            </w:r>
          </w:p>
        </w:tc>
        <w:tc>
          <w:tcPr>
            <w:tcW w:w="2212" w:type="dxa"/>
            <w:shd w:val="clear" w:color="auto" w:fill="auto"/>
            <w:vAlign w:val="center"/>
          </w:tcPr>
          <w:p w14:paraId="3AF6A19C">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　</w:t>
            </w:r>
          </w:p>
          <w:p w14:paraId="4A7F1ED0">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　</w:t>
            </w:r>
          </w:p>
        </w:tc>
      </w:tr>
      <w:tr w14:paraId="6CF91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0" w:type="auto"/>
            <w:shd w:val="clear" w:color="auto" w:fill="auto"/>
            <w:vAlign w:val="center"/>
          </w:tcPr>
          <w:p w14:paraId="2F062414">
            <w:pPr>
              <w:widowControl/>
              <w:jc w:val="center"/>
              <w:rPr>
                <w:rFonts w:hint="eastAsia" w:ascii="宋体" w:hAnsi="宋体" w:eastAsia="宋体" w:cs="宋体"/>
                <w:kern w:val="0"/>
                <w:sz w:val="20"/>
                <w:szCs w:val="20"/>
              </w:rPr>
            </w:pPr>
            <w:r>
              <w:rPr>
                <w:rFonts w:hint="eastAsia" w:ascii="宋体" w:hAnsi="宋体" w:cs="宋体"/>
                <w:kern w:val="0"/>
                <w:sz w:val="20"/>
                <w:szCs w:val="20"/>
                <w:lang w:val="en-US" w:eastAsia="zh-CN"/>
              </w:rPr>
              <w:t>4</w:t>
            </w:r>
            <w:r>
              <w:rPr>
                <w:rFonts w:hint="eastAsia" w:ascii="宋体" w:hAnsi="宋体" w:eastAsia="宋体" w:cs="宋体"/>
                <w:kern w:val="0"/>
                <w:sz w:val="20"/>
                <w:szCs w:val="20"/>
              </w:rPr>
              <w:t>.2</w:t>
            </w:r>
          </w:p>
        </w:tc>
        <w:tc>
          <w:tcPr>
            <w:tcW w:w="5601" w:type="dxa"/>
            <w:shd w:val="clear" w:color="auto" w:fill="auto"/>
            <w:vAlign w:val="center"/>
          </w:tcPr>
          <w:p w14:paraId="1E234563">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在临床使用中若出现不良医疗反应现象，经国家相关质量监察部门鉴定后，确实属于产品质量问题的，</w:t>
            </w:r>
            <w:r>
              <w:rPr>
                <w:rFonts w:hint="eastAsia" w:ascii="宋体" w:hAnsi="宋体" w:cs="宋体"/>
                <w:kern w:val="0"/>
                <w:sz w:val="20"/>
                <w:szCs w:val="20"/>
                <w:lang w:val="en-US" w:eastAsia="zh-CN"/>
              </w:rPr>
              <w:t>供应商</w:t>
            </w:r>
            <w:r>
              <w:rPr>
                <w:rFonts w:hint="eastAsia" w:ascii="宋体" w:hAnsi="宋体" w:eastAsia="宋体" w:cs="宋体"/>
                <w:kern w:val="0"/>
                <w:sz w:val="20"/>
                <w:szCs w:val="20"/>
              </w:rPr>
              <w:t>承担全部责任。</w:t>
            </w:r>
          </w:p>
        </w:tc>
        <w:tc>
          <w:tcPr>
            <w:tcW w:w="2212" w:type="dxa"/>
            <w:shd w:val="clear" w:color="auto" w:fill="auto"/>
            <w:vAlign w:val="center"/>
          </w:tcPr>
          <w:p w14:paraId="7F81AD86">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　</w:t>
            </w:r>
          </w:p>
          <w:p w14:paraId="167AE879">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　</w:t>
            </w:r>
          </w:p>
        </w:tc>
      </w:tr>
      <w:tr w14:paraId="21312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0" w:type="auto"/>
            <w:shd w:val="clear" w:color="auto" w:fill="auto"/>
            <w:vAlign w:val="center"/>
          </w:tcPr>
          <w:p w14:paraId="21EE8462">
            <w:pPr>
              <w:widowControl/>
              <w:jc w:val="center"/>
              <w:rPr>
                <w:rFonts w:hint="eastAsia" w:ascii="宋体" w:hAnsi="宋体" w:eastAsia="宋体" w:cs="宋体"/>
                <w:kern w:val="0"/>
                <w:sz w:val="20"/>
                <w:szCs w:val="20"/>
              </w:rPr>
            </w:pPr>
            <w:r>
              <w:rPr>
                <w:rFonts w:hint="eastAsia" w:ascii="宋体" w:hAnsi="宋体" w:cs="宋体"/>
                <w:kern w:val="0"/>
                <w:sz w:val="20"/>
                <w:szCs w:val="20"/>
                <w:lang w:val="en-US" w:eastAsia="zh-CN"/>
              </w:rPr>
              <w:t>4</w:t>
            </w:r>
            <w:r>
              <w:rPr>
                <w:rFonts w:hint="eastAsia" w:ascii="宋体" w:hAnsi="宋体" w:eastAsia="宋体" w:cs="宋体"/>
                <w:kern w:val="0"/>
                <w:sz w:val="20"/>
                <w:szCs w:val="20"/>
              </w:rPr>
              <w:t>.3</w:t>
            </w:r>
          </w:p>
        </w:tc>
        <w:tc>
          <w:tcPr>
            <w:tcW w:w="5601" w:type="dxa"/>
            <w:shd w:val="clear" w:color="auto" w:fill="auto"/>
            <w:vAlign w:val="center"/>
          </w:tcPr>
          <w:p w14:paraId="644BBA2F">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若医院发生与产品相关的事故，不论是否与产品质量有关，</w:t>
            </w:r>
            <w:r>
              <w:rPr>
                <w:rFonts w:hint="eastAsia" w:ascii="宋体" w:hAnsi="宋体" w:cs="宋体"/>
                <w:kern w:val="0"/>
                <w:sz w:val="20"/>
                <w:szCs w:val="20"/>
                <w:lang w:val="en-US" w:eastAsia="zh-CN"/>
              </w:rPr>
              <w:t>供应商</w:t>
            </w:r>
            <w:r>
              <w:rPr>
                <w:rFonts w:hint="eastAsia" w:ascii="宋体" w:hAnsi="宋体" w:eastAsia="宋体" w:cs="宋体"/>
                <w:kern w:val="0"/>
                <w:sz w:val="20"/>
                <w:szCs w:val="20"/>
              </w:rPr>
              <w:t>必须积极参与医院事故的处理。</w:t>
            </w:r>
          </w:p>
        </w:tc>
        <w:tc>
          <w:tcPr>
            <w:tcW w:w="2212" w:type="dxa"/>
            <w:shd w:val="clear" w:color="auto" w:fill="auto"/>
            <w:vAlign w:val="center"/>
          </w:tcPr>
          <w:p w14:paraId="31E312B1">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　</w:t>
            </w:r>
          </w:p>
          <w:p w14:paraId="1744A51D">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　</w:t>
            </w:r>
          </w:p>
        </w:tc>
      </w:tr>
      <w:tr w14:paraId="2F1B4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0" w:type="auto"/>
            <w:shd w:val="clear" w:color="auto" w:fill="auto"/>
            <w:vAlign w:val="center"/>
          </w:tcPr>
          <w:p w14:paraId="37FD9282">
            <w:pPr>
              <w:widowControl/>
              <w:jc w:val="center"/>
              <w:rPr>
                <w:rFonts w:hint="eastAsia" w:ascii="宋体" w:hAnsi="宋体" w:eastAsia="宋体" w:cs="宋体"/>
                <w:b/>
                <w:bCs/>
                <w:kern w:val="0"/>
                <w:sz w:val="20"/>
                <w:szCs w:val="20"/>
                <w:lang w:eastAsia="zh-CN"/>
              </w:rPr>
            </w:pPr>
            <w:r>
              <w:rPr>
                <w:rFonts w:hint="eastAsia" w:ascii="宋体" w:hAnsi="宋体" w:cs="宋体"/>
                <w:b/>
                <w:bCs/>
                <w:kern w:val="0"/>
                <w:sz w:val="20"/>
                <w:szCs w:val="20"/>
                <w:lang w:val="en-US" w:eastAsia="zh-CN"/>
              </w:rPr>
              <w:t>5</w:t>
            </w:r>
          </w:p>
        </w:tc>
        <w:tc>
          <w:tcPr>
            <w:tcW w:w="0" w:type="auto"/>
            <w:gridSpan w:val="2"/>
            <w:shd w:val="clear" w:color="auto" w:fill="auto"/>
            <w:vAlign w:val="center"/>
          </w:tcPr>
          <w:p w14:paraId="6FCBF862">
            <w:pPr>
              <w:widowControl/>
              <w:jc w:val="left"/>
              <w:rPr>
                <w:rFonts w:hint="eastAsia" w:ascii="宋体" w:hAnsi="宋体" w:eastAsia="宋体" w:cs="宋体"/>
                <w:b/>
                <w:bCs/>
                <w:kern w:val="0"/>
                <w:sz w:val="20"/>
                <w:szCs w:val="20"/>
              </w:rPr>
            </w:pPr>
            <w:r>
              <w:rPr>
                <w:rFonts w:hint="eastAsia" w:ascii="宋体" w:hAnsi="宋体" w:eastAsia="宋体" w:cs="宋体"/>
                <w:b/>
                <w:bCs/>
                <w:kern w:val="0"/>
                <w:sz w:val="20"/>
                <w:szCs w:val="20"/>
              </w:rPr>
              <w:t>质量保证：</w:t>
            </w:r>
          </w:p>
        </w:tc>
      </w:tr>
      <w:tr w14:paraId="637E3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0" w:type="auto"/>
            <w:shd w:val="clear" w:color="auto" w:fill="auto"/>
            <w:vAlign w:val="center"/>
          </w:tcPr>
          <w:p w14:paraId="52098DF7">
            <w:pPr>
              <w:widowControl/>
              <w:jc w:val="center"/>
              <w:rPr>
                <w:rFonts w:hint="eastAsia" w:ascii="宋体" w:hAnsi="宋体" w:eastAsia="宋体" w:cs="宋体"/>
                <w:kern w:val="0"/>
                <w:sz w:val="20"/>
                <w:szCs w:val="20"/>
              </w:rPr>
            </w:pPr>
            <w:r>
              <w:rPr>
                <w:rFonts w:hint="eastAsia" w:ascii="宋体" w:hAnsi="宋体" w:cs="宋体"/>
                <w:kern w:val="0"/>
                <w:sz w:val="20"/>
                <w:szCs w:val="20"/>
                <w:lang w:val="en-US" w:eastAsia="zh-CN"/>
              </w:rPr>
              <w:t>5</w:t>
            </w:r>
            <w:r>
              <w:rPr>
                <w:rFonts w:hint="eastAsia" w:ascii="宋体" w:hAnsi="宋体" w:eastAsia="宋体" w:cs="宋体"/>
                <w:kern w:val="0"/>
                <w:sz w:val="20"/>
                <w:szCs w:val="20"/>
              </w:rPr>
              <w:t>.1</w:t>
            </w:r>
          </w:p>
        </w:tc>
        <w:tc>
          <w:tcPr>
            <w:tcW w:w="5601" w:type="dxa"/>
            <w:shd w:val="clear" w:color="auto" w:fill="auto"/>
            <w:vAlign w:val="center"/>
          </w:tcPr>
          <w:p w14:paraId="218A88EB">
            <w:pPr>
              <w:widowControl/>
              <w:jc w:val="left"/>
              <w:rPr>
                <w:rFonts w:hint="eastAsia" w:ascii="宋体" w:hAnsi="宋体" w:eastAsia="宋体" w:cs="宋体"/>
                <w:kern w:val="0"/>
                <w:sz w:val="20"/>
                <w:szCs w:val="20"/>
              </w:rPr>
            </w:pPr>
            <w:r>
              <w:rPr>
                <w:rFonts w:hint="eastAsia" w:ascii="宋体" w:hAnsi="宋体" w:cs="宋体"/>
                <w:kern w:val="0"/>
                <w:sz w:val="20"/>
                <w:szCs w:val="20"/>
                <w:lang w:val="en-US" w:eastAsia="zh-CN"/>
              </w:rPr>
              <w:t>标的配送企业</w:t>
            </w:r>
            <w:r>
              <w:rPr>
                <w:rFonts w:hint="eastAsia" w:ascii="宋体" w:hAnsi="宋体" w:eastAsia="宋体" w:cs="宋体"/>
                <w:kern w:val="0"/>
                <w:sz w:val="20"/>
                <w:szCs w:val="20"/>
              </w:rPr>
              <w:t>具有合法的</w:t>
            </w:r>
            <w:r>
              <w:rPr>
                <w:rFonts w:hint="eastAsia" w:ascii="宋体" w:hAnsi="宋体" w:cs="宋体"/>
                <w:kern w:val="0"/>
                <w:sz w:val="20"/>
                <w:szCs w:val="20"/>
                <w:lang w:val="en-US" w:eastAsia="zh-CN"/>
              </w:rPr>
              <w:t>资质要求</w:t>
            </w:r>
            <w:r>
              <w:rPr>
                <w:rFonts w:hint="eastAsia" w:ascii="宋体" w:hAnsi="宋体" w:eastAsia="宋体" w:cs="宋体"/>
                <w:kern w:val="0"/>
                <w:sz w:val="20"/>
                <w:szCs w:val="20"/>
              </w:rPr>
              <w:t>，严格按照采购方的要求，及时供货并提供全面完善的服务</w:t>
            </w:r>
          </w:p>
        </w:tc>
        <w:tc>
          <w:tcPr>
            <w:tcW w:w="2212" w:type="dxa"/>
            <w:shd w:val="clear" w:color="auto" w:fill="auto"/>
            <w:vAlign w:val="center"/>
          </w:tcPr>
          <w:p w14:paraId="2F287CA7">
            <w:pPr>
              <w:widowControl/>
              <w:jc w:val="center"/>
              <w:rPr>
                <w:rFonts w:hint="eastAsia" w:ascii="宋体" w:hAnsi="宋体" w:eastAsia="宋体" w:cs="宋体"/>
                <w:b/>
                <w:bCs/>
                <w:kern w:val="0"/>
                <w:sz w:val="20"/>
                <w:szCs w:val="20"/>
              </w:rPr>
            </w:pPr>
          </w:p>
        </w:tc>
      </w:tr>
      <w:tr w14:paraId="0A131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0" w:type="auto"/>
            <w:shd w:val="clear" w:color="auto" w:fill="auto"/>
            <w:vAlign w:val="center"/>
          </w:tcPr>
          <w:p w14:paraId="54B738BC">
            <w:pPr>
              <w:widowControl/>
              <w:jc w:val="center"/>
              <w:rPr>
                <w:rFonts w:hint="eastAsia" w:ascii="宋体" w:hAnsi="宋体" w:eastAsia="宋体" w:cs="宋体"/>
                <w:kern w:val="0"/>
                <w:sz w:val="20"/>
                <w:szCs w:val="20"/>
              </w:rPr>
            </w:pPr>
            <w:r>
              <w:rPr>
                <w:rFonts w:hint="eastAsia" w:ascii="宋体" w:hAnsi="宋体" w:cs="宋体"/>
                <w:kern w:val="0"/>
                <w:sz w:val="20"/>
                <w:szCs w:val="20"/>
                <w:lang w:val="en-US" w:eastAsia="zh-CN"/>
              </w:rPr>
              <w:t>5</w:t>
            </w:r>
            <w:r>
              <w:rPr>
                <w:rFonts w:hint="eastAsia" w:ascii="宋体" w:hAnsi="宋体" w:eastAsia="宋体" w:cs="宋体"/>
                <w:kern w:val="0"/>
                <w:sz w:val="20"/>
                <w:szCs w:val="20"/>
              </w:rPr>
              <w:t>.2</w:t>
            </w:r>
          </w:p>
        </w:tc>
        <w:tc>
          <w:tcPr>
            <w:tcW w:w="5601" w:type="dxa"/>
            <w:shd w:val="clear" w:color="auto" w:fill="auto"/>
            <w:vAlign w:val="center"/>
          </w:tcPr>
          <w:p w14:paraId="6DA031F9">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产品质量符合国家和国际承认的相应标准。</w:t>
            </w:r>
          </w:p>
        </w:tc>
        <w:tc>
          <w:tcPr>
            <w:tcW w:w="2212" w:type="dxa"/>
            <w:shd w:val="clear" w:color="auto" w:fill="auto"/>
            <w:vAlign w:val="center"/>
          </w:tcPr>
          <w:p w14:paraId="6B3933D2">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　</w:t>
            </w:r>
          </w:p>
          <w:p w14:paraId="05BDD8E6">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　</w:t>
            </w:r>
          </w:p>
        </w:tc>
      </w:tr>
      <w:tr w14:paraId="47E73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0" w:type="auto"/>
            <w:shd w:val="clear" w:color="auto" w:fill="auto"/>
            <w:vAlign w:val="center"/>
          </w:tcPr>
          <w:p w14:paraId="4276A252">
            <w:pPr>
              <w:widowControl/>
              <w:jc w:val="center"/>
              <w:rPr>
                <w:rFonts w:hint="eastAsia" w:ascii="宋体" w:hAnsi="宋体" w:eastAsia="宋体" w:cs="宋体"/>
                <w:kern w:val="0"/>
                <w:sz w:val="20"/>
                <w:szCs w:val="20"/>
              </w:rPr>
            </w:pPr>
            <w:r>
              <w:rPr>
                <w:rFonts w:hint="eastAsia" w:ascii="宋体" w:hAnsi="宋体" w:cs="宋体"/>
                <w:kern w:val="0"/>
                <w:sz w:val="20"/>
                <w:szCs w:val="20"/>
                <w:lang w:val="en-US" w:eastAsia="zh-CN"/>
              </w:rPr>
              <w:t>5</w:t>
            </w:r>
            <w:r>
              <w:rPr>
                <w:rFonts w:hint="eastAsia" w:ascii="宋体" w:hAnsi="宋体" w:eastAsia="宋体" w:cs="宋体"/>
                <w:kern w:val="0"/>
                <w:sz w:val="20"/>
                <w:szCs w:val="20"/>
              </w:rPr>
              <w:t>.3</w:t>
            </w:r>
          </w:p>
        </w:tc>
        <w:tc>
          <w:tcPr>
            <w:tcW w:w="5601" w:type="dxa"/>
            <w:shd w:val="clear" w:color="auto" w:fill="auto"/>
            <w:vAlign w:val="center"/>
          </w:tcPr>
          <w:p w14:paraId="2C7FF28E">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产品的包装及相关资料证件严格符合医院要求。</w:t>
            </w:r>
          </w:p>
        </w:tc>
        <w:tc>
          <w:tcPr>
            <w:tcW w:w="2212" w:type="dxa"/>
            <w:shd w:val="clear" w:color="auto" w:fill="auto"/>
            <w:vAlign w:val="center"/>
          </w:tcPr>
          <w:p w14:paraId="1ED82E7A">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　</w:t>
            </w:r>
          </w:p>
          <w:p w14:paraId="73B09A42">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　</w:t>
            </w:r>
          </w:p>
        </w:tc>
      </w:tr>
      <w:tr w14:paraId="65C04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vAlign w:val="center"/>
          </w:tcPr>
          <w:p w14:paraId="792FB0B8">
            <w:pPr>
              <w:widowControl/>
              <w:jc w:val="center"/>
              <w:rPr>
                <w:rFonts w:hint="eastAsia" w:ascii="宋体" w:hAnsi="宋体" w:eastAsia="宋体" w:cs="宋体"/>
                <w:kern w:val="0"/>
                <w:sz w:val="20"/>
                <w:szCs w:val="20"/>
                <w:lang w:eastAsia="zh-CN"/>
              </w:rPr>
            </w:pPr>
            <w:r>
              <w:rPr>
                <w:rFonts w:hint="eastAsia" w:ascii="宋体" w:hAnsi="宋体" w:cs="宋体"/>
                <w:kern w:val="0"/>
                <w:sz w:val="20"/>
                <w:szCs w:val="20"/>
                <w:lang w:val="en-US" w:eastAsia="zh-CN"/>
              </w:rPr>
              <w:t>5</w:t>
            </w:r>
            <w:r>
              <w:rPr>
                <w:rFonts w:hint="eastAsia" w:ascii="宋体" w:hAnsi="宋体" w:eastAsia="宋体" w:cs="宋体"/>
                <w:kern w:val="0"/>
                <w:sz w:val="20"/>
                <w:szCs w:val="20"/>
              </w:rPr>
              <w:t>.</w:t>
            </w:r>
            <w:r>
              <w:rPr>
                <w:rFonts w:hint="eastAsia" w:ascii="宋体" w:hAnsi="宋体" w:cs="宋体"/>
                <w:kern w:val="0"/>
                <w:sz w:val="20"/>
                <w:szCs w:val="20"/>
                <w:lang w:val="en-US" w:eastAsia="zh-CN"/>
              </w:rPr>
              <w:t>4</w:t>
            </w:r>
          </w:p>
        </w:tc>
        <w:tc>
          <w:tcPr>
            <w:tcW w:w="5601" w:type="dxa"/>
            <w:shd w:val="clear" w:color="auto" w:fill="auto"/>
            <w:vAlign w:val="center"/>
          </w:tcPr>
          <w:p w14:paraId="6E9DCC25">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保证产品的严格消毒灭菌，</w:t>
            </w:r>
            <w:r>
              <w:rPr>
                <w:rFonts w:hint="eastAsia" w:ascii="宋体" w:hAnsi="宋体" w:cs="宋体"/>
                <w:kern w:val="0"/>
                <w:sz w:val="20"/>
                <w:szCs w:val="20"/>
                <w:lang w:val="en-US" w:eastAsia="zh-CN"/>
              </w:rPr>
              <w:t>无</w:t>
            </w:r>
            <w:r>
              <w:rPr>
                <w:rFonts w:hint="eastAsia" w:ascii="宋体" w:hAnsi="宋体" w:eastAsia="宋体" w:cs="宋体"/>
                <w:kern w:val="0"/>
                <w:sz w:val="20"/>
                <w:szCs w:val="20"/>
              </w:rPr>
              <w:t>感染</w:t>
            </w:r>
            <w:r>
              <w:rPr>
                <w:rFonts w:hint="eastAsia" w:ascii="宋体" w:hAnsi="宋体" w:cs="宋体"/>
                <w:kern w:val="0"/>
                <w:sz w:val="20"/>
                <w:szCs w:val="20"/>
                <w:lang w:val="en-US" w:eastAsia="zh-CN"/>
              </w:rPr>
              <w:t>性</w:t>
            </w:r>
            <w:r>
              <w:rPr>
                <w:rFonts w:hint="eastAsia" w:ascii="宋体" w:hAnsi="宋体" w:eastAsia="宋体" w:cs="宋体"/>
                <w:kern w:val="0"/>
                <w:sz w:val="20"/>
                <w:szCs w:val="20"/>
              </w:rPr>
              <w:t>。</w:t>
            </w:r>
          </w:p>
        </w:tc>
        <w:tc>
          <w:tcPr>
            <w:tcW w:w="2212" w:type="dxa"/>
            <w:shd w:val="clear" w:color="auto" w:fill="auto"/>
            <w:vAlign w:val="center"/>
          </w:tcPr>
          <w:p w14:paraId="3F841B2B">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　</w:t>
            </w:r>
          </w:p>
          <w:p w14:paraId="322DA2D3">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　</w:t>
            </w:r>
          </w:p>
        </w:tc>
      </w:tr>
      <w:tr w14:paraId="7EB65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0" w:type="auto"/>
            <w:shd w:val="clear" w:color="auto" w:fill="auto"/>
            <w:vAlign w:val="center"/>
          </w:tcPr>
          <w:p w14:paraId="11566B65">
            <w:pPr>
              <w:widowControl/>
              <w:jc w:val="center"/>
              <w:rPr>
                <w:rFonts w:hint="eastAsia" w:ascii="宋体" w:hAnsi="宋体" w:eastAsia="宋体" w:cs="宋体"/>
                <w:b/>
                <w:bCs/>
                <w:kern w:val="0"/>
                <w:sz w:val="20"/>
                <w:szCs w:val="20"/>
                <w:lang w:eastAsia="zh-CN"/>
              </w:rPr>
            </w:pPr>
            <w:r>
              <w:rPr>
                <w:rFonts w:hint="eastAsia" w:ascii="宋体" w:hAnsi="宋体" w:cs="宋体"/>
                <w:b/>
                <w:bCs/>
                <w:kern w:val="0"/>
                <w:sz w:val="20"/>
                <w:szCs w:val="20"/>
                <w:lang w:val="en-US" w:eastAsia="zh-CN"/>
              </w:rPr>
              <w:t>6</w:t>
            </w:r>
          </w:p>
        </w:tc>
        <w:tc>
          <w:tcPr>
            <w:tcW w:w="0" w:type="auto"/>
            <w:gridSpan w:val="2"/>
            <w:shd w:val="clear" w:color="auto" w:fill="auto"/>
            <w:vAlign w:val="center"/>
          </w:tcPr>
          <w:p w14:paraId="33C39CFC">
            <w:pPr>
              <w:widowControl/>
              <w:jc w:val="left"/>
              <w:rPr>
                <w:rFonts w:hint="eastAsia" w:ascii="宋体" w:hAnsi="宋体" w:eastAsia="宋体" w:cs="宋体"/>
                <w:b/>
                <w:bCs/>
                <w:kern w:val="0"/>
                <w:sz w:val="20"/>
                <w:szCs w:val="20"/>
              </w:rPr>
            </w:pPr>
            <w:r>
              <w:rPr>
                <w:rFonts w:hint="eastAsia" w:ascii="宋体" w:hAnsi="宋体" w:eastAsia="宋体" w:cs="宋体"/>
                <w:b/>
                <w:bCs/>
                <w:kern w:val="0"/>
                <w:sz w:val="20"/>
                <w:szCs w:val="20"/>
              </w:rPr>
              <w:t>对意外事故的保险处理：</w:t>
            </w:r>
          </w:p>
        </w:tc>
      </w:tr>
      <w:tr w14:paraId="69159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0" w:type="auto"/>
            <w:shd w:val="clear" w:color="auto" w:fill="auto"/>
            <w:vAlign w:val="center"/>
          </w:tcPr>
          <w:p w14:paraId="79ACD73B">
            <w:pPr>
              <w:widowControl/>
              <w:jc w:val="center"/>
              <w:rPr>
                <w:rFonts w:hint="eastAsia" w:ascii="宋体" w:hAnsi="宋体" w:eastAsia="宋体" w:cs="宋体"/>
                <w:kern w:val="0"/>
                <w:sz w:val="20"/>
                <w:szCs w:val="20"/>
              </w:rPr>
            </w:pPr>
            <w:r>
              <w:rPr>
                <w:rFonts w:hint="eastAsia" w:ascii="宋体" w:hAnsi="宋体" w:cs="宋体"/>
                <w:kern w:val="0"/>
                <w:sz w:val="20"/>
                <w:szCs w:val="20"/>
                <w:lang w:val="en-US" w:eastAsia="zh-CN"/>
              </w:rPr>
              <w:t>6</w:t>
            </w:r>
            <w:r>
              <w:rPr>
                <w:rFonts w:hint="eastAsia" w:ascii="宋体" w:hAnsi="宋体" w:eastAsia="宋体" w:cs="宋体"/>
                <w:kern w:val="0"/>
                <w:sz w:val="20"/>
                <w:szCs w:val="20"/>
              </w:rPr>
              <w:t>.1</w:t>
            </w:r>
          </w:p>
        </w:tc>
        <w:tc>
          <w:tcPr>
            <w:tcW w:w="5601" w:type="dxa"/>
            <w:shd w:val="clear" w:color="auto" w:fill="auto"/>
            <w:vAlign w:val="center"/>
          </w:tcPr>
          <w:p w14:paraId="28B280E4">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有相关的质量保险和赔付</w:t>
            </w:r>
            <w:r>
              <w:rPr>
                <w:rFonts w:hint="eastAsia" w:ascii="宋体" w:hAnsi="宋体" w:cs="宋体"/>
                <w:kern w:val="0"/>
                <w:sz w:val="20"/>
                <w:szCs w:val="20"/>
                <w:lang w:val="en-US" w:eastAsia="zh-CN"/>
              </w:rPr>
              <w:t>机制</w:t>
            </w:r>
            <w:r>
              <w:rPr>
                <w:rFonts w:hint="eastAsia" w:eastAsia="宋体"/>
                <w:lang w:eastAsia="zh-CN"/>
              </w:rPr>
              <w:t>，出现意外事故均由中标方负责。</w:t>
            </w:r>
          </w:p>
        </w:tc>
        <w:tc>
          <w:tcPr>
            <w:tcW w:w="2212" w:type="dxa"/>
            <w:shd w:val="clear" w:color="auto" w:fill="auto"/>
            <w:vAlign w:val="center"/>
          </w:tcPr>
          <w:p w14:paraId="4B7C36F2">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　</w:t>
            </w:r>
          </w:p>
          <w:p w14:paraId="26B3AF9F">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　</w:t>
            </w:r>
          </w:p>
        </w:tc>
      </w:tr>
      <w:tr w14:paraId="67EB1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0" w:type="auto"/>
            <w:shd w:val="clear" w:color="auto" w:fill="auto"/>
            <w:vAlign w:val="center"/>
          </w:tcPr>
          <w:p w14:paraId="16AEBEAA">
            <w:pPr>
              <w:widowControl/>
              <w:jc w:val="center"/>
              <w:rPr>
                <w:rFonts w:hint="eastAsia" w:ascii="宋体" w:hAnsi="宋体" w:eastAsia="宋体" w:cs="宋体"/>
                <w:b/>
                <w:bCs/>
                <w:kern w:val="0"/>
                <w:sz w:val="20"/>
                <w:szCs w:val="20"/>
                <w:lang w:eastAsia="zh-CN"/>
              </w:rPr>
            </w:pPr>
            <w:r>
              <w:rPr>
                <w:rFonts w:hint="eastAsia" w:ascii="宋体" w:hAnsi="宋体" w:cs="宋体"/>
                <w:b/>
                <w:bCs/>
                <w:kern w:val="0"/>
                <w:sz w:val="20"/>
                <w:szCs w:val="20"/>
                <w:lang w:val="en-US" w:eastAsia="zh-CN"/>
              </w:rPr>
              <w:t>7</w:t>
            </w:r>
          </w:p>
        </w:tc>
        <w:tc>
          <w:tcPr>
            <w:tcW w:w="0" w:type="auto"/>
            <w:gridSpan w:val="2"/>
            <w:shd w:val="clear" w:color="auto" w:fill="auto"/>
            <w:vAlign w:val="center"/>
          </w:tcPr>
          <w:p w14:paraId="4D1A2449">
            <w:pPr>
              <w:widowControl/>
              <w:jc w:val="left"/>
              <w:rPr>
                <w:rFonts w:hint="eastAsia" w:ascii="宋体" w:hAnsi="宋体" w:eastAsia="宋体" w:cs="宋体"/>
                <w:b/>
                <w:bCs/>
                <w:kern w:val="0"/>
                <w:sz w:val="20"/>
                <w:szCs w:val="20"/>
              </w:rPr>
            </w:pPr>
            <w:r>
              <w:rPr>
                <w:rFonts w:hint="eastAsia" w:ascii="宋体" w:hAnsi="宋体" w:eastAsia="宋体" w:cs="宋体"/>
                <w:b/>
                <w:bCs/>
                <w:kern w:val="0"/>
                <w:sz w:val="20"/>
                <w:szCs w:val="20"/>
              </w:rPr>
              <w:t>保证：</w:t>
            </w:r>
          </w:p>
        </w:tc>
      </w:tr>
      <w:tr w14:paraId="2B7A5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0" w:type="auto"/>
            <w:shd w:val="clear" w:color="auto" w:fill="auto"/>
            <w:vAlign w:val="center"/>
          </w:tcPr>
          <w:p w14:paraId="47421FB8">
            <w:pPr>
              <w:widowControl/>
              <w:jc w:val="center"/>
              <w:rPr>
                <w:rFonts w:hint="eastAsia" w:ascii="宋体" w:hAnsi="宋体" w:eastAsia="宋体" w:cs="宋体"/>
                <w:kern w:val="0"/>
                <w:sz w:val="20"/>
                <w:szCs w:val="20"/>
              </w:rPr>
            </w:pPr>
            <w:r>
              <w:rPr>
                <w:rFonts w:hint="eastAsia" w:ascii="宋体" w:hAnsi="宋体" w:cs="宋体"/>
                <w:kern w:val="0"/>
                <w:sz w:val="20"/>
                <w:szCs w:val="20"/>
                <w:lang w:val="en-US" w:eastAsia="zh-CN"/>
              </w:rPr>
              <w:t>7</w:t>
            </w:r>
            <w:r>
              <w:rPr>
                <w:rFonts w:hint="eastAsia" w:ascii="宋体" w:hAnsi="宋体" w:eastAsia="宋体" w:cs="宋体"/>
                <w:kern w:val="0"/>
                <w:sz w:val="20"/>
                <w:szCs w:val="20"/>
              </w:rPr>
              <w:t>.1</w:t>
            </w:r>
          </w:p>
        </w:tc>
        <w:tc>
          <w:tcPr>
            <w:tcW w:w="5601" w:type="dxa"/>
            <w:shd w:val="clear" w:color="auto" w:fill="auto"/>
            <w:vAlign w:val="center"/>
          </w:tcPr>
          <w:p w14:paraId="76B2B82B">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保证不向临床人员及职能部门提供礼品、回扣等，保证合法经营，不参加不良竞争。</w:t>
            </w:r>
          </w:p>
        </w:tc>
        <w:tc>
          <w:tcPr>
            <w:tcW w:w="2212" w:type="dxa"/>
            <w:shd w:val="clear" w:color="auto" w:fill="auto"/>
            <w:vAlign w:val="center"/>
          </w:tcPr>
          <w:p w14:paraId="06D49379">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　</w:t>
            </w:r>
          </w:p>
          <w:p w14:paraId="0157D62B">
            <w:pPr>
              <w:widowControl/>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　</w:t>
            </w:r>
          </w:p>
        </w:tc>
      </w:tr>
      <w:tr w14:paraId="39DA2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0" w:type="auto"/>
            <w:shd w:val="clear" w:color="auto" w:fill="auto"/>
            <w:vAlign w:val="center"/>
          </w:tcPr>
          <w:p w14:paraId="4F853F2C">
            <w:pPr>
              <w:widowControl/>
              <w:jc w:val="center"/>
              <w:rPr>
                <w:rFonts w:hint="eastAsia" w:ascii="宋体" w:hAnsi="宋体" w:eastAsia="宋体" w:cs="宋体"/>
                <w:b w:val="0"/>
                <w:bCs w:val="0"/>
                <w:color w:val="auto"/>
                <w:kern w:val="0"/>
                <w:sz w:val="20"/>
                <w:szCs w:val="20"/>
                <w:lang w:val="en-US" w:eastAsia="zh-CN" w:bidi="ar-SA"/>
              </w:rPr>
            </w:pPr>
            <w:r>
              <w:rPr>
                <w:rFonts w:hint="eastAsia" w:ascii="宋体" w:hAnsi="宋体" w:cs="宋体"/>
                <w:b w:val="0"/>
                <w:bCs w:val="0"/>
                <w:color w:val="auto"/>
                <w:kern w:val="0"/>
                <w:sz w:val="20"/>
                <w:szCs w:val="20"/>
                <w:lang w:val="en-US" w:eastAsia="zh-CN"/>
              </w:rPr>
              <w:t>7</w:t>
            </w: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2</w:t>
            </w:r>
          </w:p>
        </w:tc>
        <w:tc>
          <w:tcPr>
            <w:tcW w:w="5601" w:type="dxa"/>
            <w:shd w:val="clear" w:color="auto" w:fill="auto"/>
            <w:vAlign w:val="center"/>
          </w:tcPr>
          <w:p w14:paraId="3A5B95D5">
            <w:pPr>
              <w:widowControl/>
              <w:jc w:val="left"/>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rPr>
              <w:t>可收费的医用耗材必须提供国家医保编码，如供货后无法提供国家医保编码将不予结算。</w:t>
            </w:r>
          </w:p>
        </w:tc>
        <w:tc>
          <w:tcPr>
            <w:tcW w:w="2212" w:type="dxa"/>
            <w:shd w:val="clear" w:color="auto" w:fill="auto"/>
            <w:vAlign w:val="center"/>
          </w:tcPr>
          <w:p w14:paraId="1D0959C5">
            <w:pPr>
              <w:widowControl/>
              <w:jc w:val="center"/>
              <w:rPr>
                <w:rFonts w:hint="eastAsia" w:ascii="宋体" w:hAnsi="宋体" w:eastAsia="宋体" w:cs="宋体"/>
                <w:b/>
                <w:bCs/>
                <w:kern w:val="0"/>
                <w:sz w:val="20"/>
                <w:szCs w:val="20"/>
              </w:rPr>
            </w:pPr>
          </w:p>
        </w:tc>
      </w:tr>
      <w:tr w14:paraId="41DB4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0" w:type="auto"/>
            <w:shd w:val="clear" w:color="auto" w:fill="auto"/>
            <w:vAlign w:val="center"/>
          </w:tcPr>
          <w:p w14:paraId="52276178">
            <w:pPr>
              <w:widowControl/>
              <w:jc w:val="center"/>
              <w:rPr>
                <w:rFonts w:hint="default" w:ascii="宋体" w:hAnsi="宋体" w:eastAsia="宋体" w:cs="宋体"/>
                <w:b w:val="0"/>
                <w:bCs w:val="0"/>
                <w:color w:val="auto"/>
                <w:kern w:val="0"/>
                <w:sz w:val="20"/>
                <w:szCs w:val="20"/>
                <w:lang w:val="en-US" w:eastAsia="zh-CN"/>
              </w:rPr>
            </w:pPr>
            <w:r>
              <w:rPr>
                <w:rFonts w:hint="eastAsia" w:ascii="宋体" w:hAnsi="宋体" w:cs="宋体"/>
                <w:b w:val="0"/>
                <w:bCs w:val="0"/>
                <w:color w:val="auto"/>
                <w:kern w:val="0"/>
                <w:sz w:val="20"/>
                <w:szCs w:val="20"/>
                <w:lang w:val="en-US" w:eastAsia="zh-CN"/>
              </w:rPr>
              <w:t>7.3</w:t>
            </w:r>
          </w:p>
        </w:tc>
        <w:tc>
          <w:tcPr>
            <w:tcW w:w="5601" w:type="dxa"/>
            <w:shd w:val="clear" w:color="auto" w:fill="auto"/>
            <w:vAlign w:val="center"/>
          </w:tcPr>
          <w:p w14:paraId="6B837E73">
            <w:pPr>
              <w:widowControl/>
              <w:jc w:val="left"/>
              <w:rPr>
                <w:rFonts w:hint="eastAsia" w:ascii="宋体" w:hAnsi="宋体" w:eastAsia="宋体" w:cs="宋体"/>
                <w:b w:val="0"/>
                <w:bCs w:val="0"/>
                <w:color w:val="auto"/>
                <w:kern w:val="0"/>
                <w:sz w:val="20"/>
                <w:szCs w:val="20"/>
                <w:lang w:val="en-US" w:eastAsia="zh-CN"/>
              </w:rPr>
            </w:pPr>
            <w:r>
              <w:rPr>
                <w:rFonts w:hint="eastAsia" w:ascii="宋体" w:hAnsi="宋体" w:eastAsia="宋体" w:cs="宋体"/>
                <w:b w:val="0"/>
                <w:bCs w:val="0"/>
                <w:color w:val="auto"/>
                <w:kern w:val="0"/>
                <w:sz w:val="20"/>
                <w:szCs w:val="20"/>
                <w:lang w:val="en-US" w:eastAsia="zh-CN"/>
              </w:rPr>
              <w:t>此次中标价为协议价格，如在合同执行期间平台货物价格在深圳医用耗材阳光交易和监管平台上显示为红色区域，中标供应商需无条件配合调价至绿区最低价，否则，采购方有权终止合同。</w:t>
            </w:r>
          </w:p>
        </w:tc>
        <w:tc>
          <w:tcPr>
            <w:tcW w:w="2212" w:type="dxa"/>
            <w:shd w:val="clear" w:color="auto" w:fill="auto"/>
            <w:vAlign w:val="center"/>
          </w:tcPr>
          <w:p w14:paraId="741748C8">
            <w:pPr>
              <w:widowControl/>
              <w:jc w:val="center"/>
              <w:rPr>
                <w:rFonts w:hint="eastAsia" w:ascii="宋体" w:hAnsi="宋体" w:eastAsia="宋体" w:cs="宋体"/>
                <w:b/>
                <w:bCs/>
                <w:kern w:val="0"/>
                <w:sz w:val="20"/>
                <w:szCs w:val="20"/>
              </w:rPr>
            </w:pPr>
          </w:p>
        </w:tc>
      </w:tr>
    </w:tbl>
    <w:p w14:paraId="0D1034A6">
      <w:pPr>
        <w:pStyle w:val="18"/>
      </w:pPr>
    </w:p>
    <w:p w14:paraId="6B66628A">
      <w:pPr>
        <w:pStyle w:val="5"/>
        <w:spacing w:before="120" w:beforeLines="50" w:after="120" w:afterLines="50"/>
        <w:rPr>
          <w:sz w:val="28"/>
          <w:szCs w:val="28"/>
        </w:rPr>
      </w:pPr>
      <w:r>
        <w:rPr>
          <w:rFonts w:hint="eastAsia"/>
          <w:sz w:val="28"/>
          <w:szCs w:val="28"/>
          <w:lang w:val="en-US" w:eastAsia="zh-CN"/>
        </w:rPr>
        <w:t>六</w:t>
      </w:r>
      <w:r>
        <w:rPr>
          <w:rFonts w:hint="eastAsia"/>
          <w:sz w:val="28"/>
          <w:szCs w:val="28"/>
        </w:rPr>
        <w:t>、其他重要条款</w:t>
      </w:r>
    </w:p>
    <w:p w14:paraId="284CD030">
      <w:pPr>
        <w:ind w:firstLine="420" w:firstLineChars="200"/>
        <w:rPr>
          <w:bCs/>
          <w:szCs w:val="21"/>
        </w:rPr>
      </w:pPr>
      <w:r>
        <w:rPr>
          <w:rFonts w:hint="eastAsia"/>
          <w:bCs/>
          <w:szCs w:val="21"/>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14:paraId="5121E990">
      <w:pPr>
        <w:pStyle w:val="7"/>
        <w:spacing w:before="60" w:beforeLines="25" w:after="60" w:afterLines="25"/>
        <w:ind w:firstLine="392" w:firstLineChars="187"/>
        <w:rPr>
          <w:rFonts w:ascii="宋体" w:hAnsi="宋体"/>
          <w:szCs w:val="21"/>
        </w:rPr>
      </w:pPr>
      <w:r>
        <w:rPr>
          <w:bCs/>
          <w:szCs w:val="21"/>
        </w:rPr>
        <w:t>2</w:t>
      </w:r>
      <w:r>
        <w:rPr>
          <w:rFonts w:hint="eastAsia"/>
          <w:bCs/>
          <w:szCs w:val="21"/>
        </w:rPr>
        <w:t>、投标人应充分了解项目的位置、情况、道路及任何其它足以影响投标报价的情况，任何因忽视或误解项目情况而导致的索赔或服务期限延长申请将不获批准。</w:t>
      </w:r>
    </w:p>
    <w:p w14:paraId="5CBC47A4">
      <w:pPr>
        <w:ind w:firstLine="420" w:firstLineChars="200"/>
        <w:rPr>
          <w:bCs/>
          <w:szCs w:val="21"/>
        </w:rPr>
      </w:pPr>
      <w:r>
        <w:rPr>
          <w:bCs/>
          <w:szCs w:val="21"/>
        </w:rPr>
        <w:t>3</w:t>
      </w:r>
      <w:r>
        <w:rPr>
          <w:rFonts w:hint="eastAsia"/>
          <w:bCs/>
          <w:szCs w:val="21"/>
        </w:rPr>
        <w:t>、投标人不得期望通过索赔等方式获取补偿，否则，除可能遭到拒绝外，还可能将被作为不良行为记录在案，并可能影响其以后参加政府采购的项目投标。各投标人在投标报价时，应充分考虑投标报价的风险。</w:t>
      </w:r>
    </w:p>
    <w:p w14:paraId="23AFD8A7">
      <w:pPr>
        <w:ind w:firstLine="420" w:firstLineChars="200"/>
        <w:rPr>
          <w:bCs/>
          <w:szCs w:val="21"/>
        </w:rPr>
      </w:pPr>
      <w:r>
        <w:rPr>
          <w:rFonts w:hint="eastAsia"/>
          <w:bCs/>
          <w:szCs w:val="21"/>
          <w:lang w:val="en-US" w:eastAsia="zh-CN"/>
        </w:rPr>
        <w:t>4</w:t>
      </w:r>
      <w:r>
        <w:rPr>
          <w:rFonts w:hint="eastAsia"/>
          <w:bCs/>
          <w:szCs w:val="21"/>
        </w:rPr>
        <w:t>、除采购合同继续履行将损害国家利益和社会公共利益外，双方当事人不得擅自变更、中止或者终止合同。</w:t>
      </w:r>
    </w:p>
    <w:p w14:paraId="042EE328">
      <w:pPr>
        <w:ind w:firstLine="420" w:firstLineChars="200"/>
        <w:rPr>
          <w:rFonts w:hint="eastAsia"/>
          <w:bCs/>
          <w:szCs w:val="21"/>
          <w:lang w:val="en-US" w:eastAsia="zh-CN"/>
        </w:rPr>
      </w:pPr>
      <w:r>
        <w:rPr>
          <w:rFonts w:hint="eastAsia"/>
          <w:bCs/>
          <w:szCs w:val="21"/>
          <w:lang w:val="en-US" w:eastAsia="zh-CN"/>
        </w:rPr>
        <w:t>5</w:t>
      </w:r>
      <w:r>
        <w:rPr>
          <w:rFonts w:hint="eastAsia"/>
          <w:bCs/>
          <w:szCs w:val="21"/>
        </w:rPr>
        <w:t>、“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r>
        <w:rPr>
          <w:rFonts w:hint="eastAsia"/>
          <w:bCs/>
          <w:szCs w:val="21"/>
          <w:lang w:val="en-US" w:eastAsia="zh-CN"/>
        </w:rPr>
        <w:t>。</w:t>
      </w:r>
    </w:p>
    <w:p w14:paraId="70FAEEB0">
      <w:pPr>
        <w:ind w:firstLine="0" w:firstLineChars="0"/>
        <w:rPr>
          <w:rFonts w:hint="eastAsia"/>
          <w:bCs/>
          <w:szCs w:val="21"/>
          <w:lang w:val="en-US" w:eastAsia="zh-CN"/>
        </w:rPr>
      </w:pPr>
      <w:r>
        <w:rPr>
          <w:rFonts w:hint="eastAsia"/>
          <w:bCs/>
          <w:szCs w:val="21"/>
          <w:lang w:val="en-US" w:eastAsia="zh-CN"/>
        </w:rPr>
        <w:br w:type="page"/>
      </w:r>
    </w:p>
    <w:p w14:paraId="69A39405">
      <w:pPr>
        <w:jc w:val="center"/>
        <w:rPr>
          <w:rFonts w:hint="eastAsia" w:ascii="Times New Roman" w:hAnsi="Times New Roman" w:eastAsia="宋体" w:cs="Times New Roman"/>
          <w:sz w:val="28"/>
          <w:szCs w:val="28"/>
        </w:rPr>
      </w:pPr>
      <w:r>
        <w:rPr>
          <w:rFonts w:hint="eastAsia" w:ascii="Times New Roman" w:hAnsi="Times New Roman" w:eastAsia="宋体" w:cs="Times New Roman"/>
          <w:sz w:val="28"/>
          <w:szCs w:val="28"/>
        </w:rPr>
        <w:t>第四章  投标文件组成要求及格式</w:t>
      </w:r>
    </w:p>
    <w:p w14:paraId="4454BD30">
      <w:pPr>
        <w:rPr>
          <w:rFonts w:hint="eastAsia" w:ascii="Times New Roman" w:hAnsi="Times New Roman" w:eastAsia="宋体" w:cs="Times New Roman"/>
          <w:sz w:val="28"/>
          <w:szCs w:val="28"/>
        </w:rPr>
      </w:pPr>
    </w:p>
    <w:p w14:paraId="4A98F934">
      <w:pPr>
        <w:rPr>
          <w:rFonts w:ascii="Times New Roman" w:hAnsi="Times New Roman" w:eastAsia="宋体" w:cs="Times New Roman"/>
        </w:rPr>
      </w:pPr>
      <w:r>
        <w:rPr>
          <w:rFonts w:hint="eastAsia" w:ascii="Times New Roman" w:hAnsi="Times New Roman" w:eastAsia="宋体" w:cs="Times New Roman"/>
        </w:rPr>
        <w:t>投标文件组成</w:t>
      </w:r>
      <w:bookmarkStart w:id="40" w:name="_Hlk72257253"/>
      <w:r>
        <w:rPr>
          <w:rFonts w:hint="eastAsia" w:ascii="Times New Roman" w:hAnsi="Times New Roman" w:eastAsia="宋体" w:cs="Times New Roman"/>
        </w:rPr>
        <w:t>主要包括以下内容：</w:t>
      </w:r>
    </w:p>
    <w:p w14:paraId="455359CC">
      <w:pPr>
        <w:ind w:left="718" w:leftChars="342" w:firstLine="1417" w:firstLineChars="675"/>
        <w:rPr>
          <w:rFonts w:ascii="Times New Roman" w:hAnsi="Times New Roman" w:eastAsia="宋体" w:cs="Times New Roman"/>
          <w:szCs w:val="21"/>
        </w:rPr>
      </w:pPr>
      <w:r>
        <w:rPr>
          <w:rFonts w:hint="eastAsia" w:ascii="Times New Roman" w:hAnsi="Times New Roman" w:eastAsia="宋体" w:cs="Times New Roman"/>
          <w:szCs w:val="21"/>
        </w:rPr>
        <w:t>（1）</w:t>
      </w:r>
      <w:bookmarkStart w:id="41" w:name="_Hlk72070784"/>
      <w:r>
        <w:rPr>
          <w:rFonts w:hint="eastAsia" w:ascii="Times New Roman" w:hAnsi="Times New Roman" w:eastAsia="宋体" w:cs="Times New Roman"/>
          <w:szCs w:val="21"/>
        </w:rPr>
        <w:t>投标函</w:t>
      </w:r>
      <w:bookmarkEnd w:id="41"/>
    </w:p>
    <w:p w14:paraId="59AEB000">
      <w:pPr>
        <w:ind w:left="718" w:leftChars="342" w:firstLine="1417" w:firstLineChars="675"/>
        <w:rPr>
          <w:rFonts w:ascii="Times New Roman" w:hAnsi="Times New Roman" w:eastAsia="宋体" w:cs="Times New Roman"/>
          <w:szCs w:val="21"/>
        </w:rPr>
      </w:pPr>
      <w:r>
        <w:rPr>
          <w:rFonts w:hint="eastAsia" w:ascii="Times New Roman" w:hAnsi="Times New Roman" w:eastAsia="宋体" w:cs="Times New Roman"/>
          <w:szCs w:val="21"/>
        </w:rPr>
        <w:t>（2）</w:t>
      </w:r>
      <w:bookmarkStart w:id="42" w:name="_Hlk72062521"/>
      <w:r>
        <w:rPr>
          <w:rFonts w:hint="eastAsia" w:ascii="Times New Roman" w:hAnsi="Times New Roman" w:eastAsia="宋体" w:cs="Times New Roman"/>
          <w:szCs w:val="21"/>
        </w:rPr>
        <w:t>采购投标及履约承诺函</w:t>
      </w:r>
      <w:bookmarkEnd w:id="42"/>
    </w:p>
    <w:p w14:paraId="7A020787">
      <w:pPr>
        <w:ind w:left="718" w:leftChars="342" w:firstLine="1417" w:firstLineChars="675"/>
        <w:rPr>
          <w:rFonts w:ascii="Times New Roman" w:hAnsi="Times New Roman" w:eastAsia="宋体" w:cs="Times New Roman"/>
          <w:szCs w:val="21"/>
        </w:rPr>
      </w:pPr>
      <w:r>
        <w:rPr>
          <w:rFonts w:hint="eastAsia" w:ascii="Times New Roman" w:hAnsi="Times New Roman" w:eastAsia="宋体" w:cs="Times New Roman"/>
          <w:szCs w:val="21"/>
        </w:rPr>
        <w:t>（</w:t>
      </w:r>
      <w:r>
        <w:rPr>
          <w:rFonts w:ascii="Times New Roman" w:hAnsi="Times New Roman" w:eastAsia="宋体" w:cs="Times New Roman"/>
          <w:szCs w:val="21"/>
        </w:rPr>
        <w:t>3</w:t>
      </w:r>
      <w:r>
        <w:rPr>
          <w:rFonts w:hint="eastAsia" w:ascii="Times New Roman" w:hAnsi="Times New Roman" w:eastAsia="宋体" w:cs="Times New Roman"/>
          <w:szCs w:val="21"/>
        </w:rPr>
        <w:t>）投标人情况及资格证明文件</w:t>
      </w:r>
    </w:p>
    <w:p w14:paraId="1A61DFAF">
      <w:pPr>
        <w:ind w:left="718" w:leftChars="342" w:firstLine="1417" w:firstLineChars="675"/>
        <w:rPr>
          <w:rFonts w:ascii="Times New Roman" w:hAnsi="Times New Roman" w:eastAsia="宋体" w:cs="Times New Roman"/>
          <w:szCs w:val="21"/>
        </w:rPr>
      </w:pPr>
      <w:bookmarkStart w:id="43" w:name="_Hlk72257201"/>
      <w:r>
        <w:rPr>
          <w:rFonts w:hint="eastAsia" w:ascii="Times New Roman" w:hAnsi="Times New Roman" w:eastAsia="宋体" w:cs="Times New Roman"/>
          <w:szCs w:val="21"/>
        </w:rPr>
        <w:t>（</w:t>
      </w:r>
      <w:r>
        <w:rPr>
          <w:rFonts w:ascii="Times New Roman" w:hAnsi="Times New Roman" w:eastAsia="宋体" w:cs="Times New Roman"/>
          <w:szCs w:val="21"/>
        </w:rPr>
        <w:t>4</w:t>
      </w:r>
      <w:r>
        <w:rPr>
          <w:rFonts w:hint="eastAsia" w:ascii="Times New Roman" w:hAnsi="Times New Roman" w:eastAsia="宋体" w:cs="Times New Roman"/>
          <w:szCs w:val="21"/>
        </w:rPr>
        <w:t>）项目详细报价</w:t>
      </w:r>
    </w:p>
    <w:bookmarkEnd w:id="43"/>
    <w:p w14:paraId="742F04AA">
      <w:pPr>
        <w:ind w:firstLine="2100" w:firstLineChars="1000"/>
        <w:rPr>
          <w:rFonts w:ascii="Times New Roman" w:hAnsi="Times New Roman" w:eastAsia="宋体" w:cs="Times New Roman"/>
          <w:szCs w:val="21"/>
        </w:rPr>
      </w:pPr>
      <w:r>
        <w:rPr>
          <w:rFonts w:hint="eastAsia" w:ascii="Times New Roman" w:hAnsi="Times New Roman" w:eastAsia="宋体" w:cs="Times New Roman"/>
          <w:szCs w:val="21"/>
        </w:rPr>
        <w:t>（5）供应商基本情况表</w:t>
      </w:r>
    </w:p>
    <w:p w14:paraId="7857DFCD">
      <w:pPr>
        <w:ind w:firstLine="2100" w:firstLineChars="1000"/>
        <w:rPr>
          <w:rFonts w:ascii="Times New Roman" w:hAnsi="Times New Roman" w:eastAsia="宋体" w:cs="Times New Roman"/>
          <w:szCs w:val="21"/>
        </w:rPr>
      </w:pPr>
      <w:r>
        <w:rPr>
          <w:rFonts w:hint="eastAsia" w:ascii="Times New Roman" w:hAnsi="Times New Roman" w:eastAsia="宋体" w:cs="Times New Roman"/>
          <w:szCs w:val="21"/>
        </w:rPr>
        <w:t>（6）法定代表人（负责人）证明书</w:t>
      </w:r>
    </w:p>
    <w:p w14:paraId="1372F3D7">
      <w:pPr>
        <w:ind w:left="718" w:leftChars="342" w:firstLine="1417" w:firstLineChars="675"/>
        <w:rPr>
          <w:rFonts w:ascii="Times New Roman" w:hAnsi="Times New Roman" w:eastAsia="宋体" w:cs="Times New Roman"/>
          <w:szCs w:val="21"/>
        </w:rPr>
      </w:pPr>
      <w:r>
        <w:rPr>
          <w:rFonts w:hint="eastAsia" w:ascii="Times New Roman" w:hAnsi="Times New Roman" w:eastAsia="宋体" w:cs="Times New Roman"/>
          <w:szCs w:val="21"/>
        </w:rPr>
        <w:t>（7）投标文件签署授权委托书</w:t>
      </w:r>
    </w:p>
    <w:p w14:paraId="3013674F">
      <w:pPr>
        <w:ind w:left="718" w:leftChars="342" w:firstLine="1417" w:firstLineChars="675"/>
        <w:rPr>
          <w:rFonts w:ascii="Times New Roman" w:hAnsi="Times New Roman" w:eastAsia="宋体" w:cs="Times New Roman"/>
          <w:szCs w:val="21"/>
        </w:rPr>
      </w:pPr>
      <w:r>
        <w:rPr>
          <w:rFonts w:hint="eastAsia" w:ascii="Times New Roman" w:hAnsi="Times New Roman" w:eastAsia="宋体" w:cs="Times New Roman"/>
          <w:szCs w:val="21"/>
        </w:rPr>
        <w:t>（8）实质性条款响应情况表</w:t>
      </w:r>
    </w:p>
    <w:p w14:paraId="6A1A6DA1">
      <w:pPr>
        <w:ind w:left="718" w:leftChars="342" w:firstLine="1417" w:firstLineChars="675"/>
        <w:rPr>
          <w:rFonts w:hint="eastAsia" w:ascii="Times New Roman" w:hAnsi="Times New Roman" w:eastAsia="宋体" w:cs="Times New Roman"/>
          <w:szCs w:val="21"/>
          <w:lang w:eastAsia="zh-CN"/>
        </w:rPr>
      </w:pPr>
      <w:r>
        <w:rPr>
          <w:rFonts w:hint="eastAsia" w:ascii="Times New Roman" w:hAnsi="Times New Roman" w:eastAsia="宋体" w:cs="Times New Roman"/>
          <w:szCs w:val="21"/>
        </w:rPr>
        <w:t>（9）产品质量</w:t>
      </w:r>
    </w:p>
    <w:p w14:paraId="06B9362D">
      <w:pPr>
        <w:ind w:left="718" w:leftChars="342" w:firstLine="1417" w:firstLineChars="675"/>
        <w:rPr>
          <w:rFonts w:hint="eastAsia" w:ascii="Times New Roman" w:hAnsi="Times New Roman" w:eastAsia="宋体" w:cs="Times New Roman"/>
          <w:szCs w:val="21"/>
        </w:rPr>
      </w:pPr>
      <w:r>
        <w:rPr>
          <w:rFonts w:hint="eastAsia" w:ascii="Times New Roman" w:hAnsi="Times New Roman" w:eastAsia="宋体" w:cs="Times New Roman"/>
          <w:szCs w:val="21"/>
        </w:rPr>
        <w:t>（10）产品响应方案</w:t>
      </w:r>
    </w:p>
    <w:p w14:paraId="3062A482">
      <w:pPr>
        <w:ind w:left="718" w:leftChars="342" w:firstLine="1417" w:firstLineChars="675"/>
        <w:rPr>
          <w:rFonts w:hint="eastAsia" w:ascii="Times New Roman" w:hAnsi="Times New Roman" w:eastAsia="宋体" w:cs="Times New Roman"/>
          <w:szCs w:val="21"/>
        </w:rPr>
      </w:pPr>
      <w:r>
        <w:rPr>
          <w:rFonts w:hint="eastAsia" w:ascii="Times New Roman" w:hAnsi="Times New Roman" w:eastAsia="宋体" w:cs="Times New Roman"/>
          <w:szCs w:val="21"/>
        </w:rPr>
        <w:t>（1</w:t>
      </w:r>
      <w:r>
        <w:rPr>
          <w:rFonts w:hint="eastAsia" w:ascii="Times New Roman" w:hAnsi="Times New Roman" w:eastAsia="宋体" w:cs="Times New Roman"/>
          <w:szCs w:val="21"/>
          <w:lang w:val="en-US" w:eastAsia="zh-CN"/>
        </w:rPr>
        <w:t>1</w:t>
      </w:r>
      <w:r>
        <w:rPr>
          <w:rFonts w:hint="eastAsia" w:ascii="Times New Roman" w:hAnsi="Times New Roman" w:eastAsia="宋体" w:cs="Times New Roman"/>
          <w:szCs w:val="21"/>
        </w:rPr>
        <w:t>）市场占有率</w:t>
      </w:r>
    </w:p>
    <w:p w14:paraId="3738CA01">
      <w:pPr>
        <w:ind w:left="718" w:leftChars="342" w:firstLine="1417" w:firstLineChars="675"/>
        <w:rPr>
          <w:rFonts w:hint="eastAsia" w:ascii="Times New Roman" w:hAnsi="Times New Roman" w:eastAsia="宋体" w:cs="Times New Roman"/>
          <w:szCs w:val="21"/>
        </w:rPr>
      </w:pPr>
      <w:r>
        <w:rPr>
          <w:rFonts w:hint="eastAsia" w:ascii="Times New Roman" w:hAnsi="Times New Roman" w:eastAsia="宋体" w:cs="Times New Roman"/>
          <w:szCs w:val="21"/>
        </w:rPr>
        <w:t>（1</w:t>
      </w:r>
      <w:r>
        <w:rPr>
          <w:rFonts w:hint="eastAsia" w:ascii="Times New Roman" w:hAnsi="Times New Roman" w:eastAsia="宋体" w:cs="Times New Roman"/>
          <w:szCs w:val="21"/>
          <w:lang w:val="en-US" w:eastAsia="zh-CN"/>
        </w:rPr>
        <w:t>2</w:t>
      </w:r>
      <w:r>
        <w:rPr>
          <w:rFonts w:hint="eastAsia" w:ascii="Times New Roman" w:hAnsi="Times New Roman" w:eastAsia="宋体" w:cs="Times New Roman"/>
          <w:szCs w:val="21"/>
        </w:rPr>
        <w:t>）服务能力</w:t>
      </w:r>
    </w:p>
    <w:p w14:paraId="15B99BC8">
      <w:pPr>
        <w:ind w:left="718" w:leftChars="342" w:firstLine="1417" w:firstLineChars="675"/>
        <w:rPr>
          <w:rFonts w:ascii="Times New Roman" w:hAnsi="Times New Roman" w:eastAsia="宋体" w:cs="Times New Roman"/>
          <w:szCs w:val="21"/>
        </w:rPr>
      </w:pPr>
      <w:r>
        <w:rPr>
          <w:rFonts w:hint="eastAsia" w:ascii="Times New Roman" w:hAnsi="Times New Roman" w:eastAsia="宋体" w:cs="Times New Roman"/>
          <w:szCs w:val="21"/>
        </w:rPr>
        <w:t>（1</w:t>
      </w:r>
      <w:r>
        <w:rPr>
          <w:rFonts w:hint="eastAsia" w:ascii="Times New Roman" w:hAnsi="Times New Roman" w:eastAsia="宋体" w:cs="Times New Roman"/>
          <w:szCs w:val="21"/>
          <w:lang w:val="en-US" w:eastAsia="zh-CN"/>
        </w:rPr>
        <w:t>3</w:t>
      </w:r>
      <w:r>
        <w:rPr>
          <w:rFonts w:hint="eastAsia" w:ascii="Times New Roman" w:hAnsi="Times New Roman" w:eastAsia="宋体" w:cs="Times New Roman"/>
          <w:szCs w:val="21"/>
        </w:rPr>
        <w:t>）投标人认为需要加以说明的其他内容</w:t>
      </w:r>
    </w:p>
    <w:p w14:paraId="1F8073A7">
      <w:pPr>
        <w:widowControl w:val="0"/>
        <w:spacing w:line="360" w:lineRule="auto"/>
        <w:jc w:val="both"/>
        <w:rPr>
          <w:rFonts w:ascii="Times New Roman" w:hAnsi="Times New Roman" w:eastAsia="宋体" w:cs="Times New Roman"/>
          <w:b/>
          <w:bCs/>
          <w:kern w:val="2"/>
          <w:sz w:val="24"/>
          <w:szCs w:val="24"/>
          <w:lang w:val="en-US" w:eastAsia="zh-CN" w:bidi="ar-SA"/>
        </w:rPr>
      </w:pPr>
    </w:p>
    <w:bookmarkEnd w:id="40"/>
    <w:p w14:paraId="37A032EE">
      <w:pPr>
        <w:ind w:left="718" w:leftChars="342" w:firstLine="1417" w:firstLineChars="675"/>
        <w:rPr>
          <w:rFonts w:ascii="Times New Roman" w:hAnsi="Times New Roman" w:eastAsia="宋体" w:cs="Times New Roman"/>
          <w:szCs w:val="21"/>
        </w:rPr>
      </w:pPr>
    </w:p>
    <w:p w14:paraId="4AA28CB7">
      <w:pPr>
        <w:ind w:firstLine="426" w:firstLineChars="202"/>
        <w:rPr>
          <w:rFonts w:hint="eastAsia" w:ascii="宋体" w:hAnsi="宋体" w:eastAsia="宋体" w:cs="Times New Roman"/>
          <w:b/>
          <w:szCs w:val="21"/>
        </w:rPr>
      </w:pPr>
      <w:bookmarkStart w:id="44" w:name="_Hlk72257771"/>
      <w:r>
        <w:rPr>
          <w:rFonts w:hint="eastAsia" w:ascii="宋体" w:hAnsi="宋体" w:eastAsia="宋体" w:cs="Times New Roman"/>
          <w:b/>
          <w:szCs w:val="21"/>
        </w:rPr>
        <w:t>备注：</w:t>
      </w:r>
    </w:p>
    <w:p w14:paraId="6025E50E">
      <w:pPr>
        <w:ind w:firstLine="426" w:firstLineChars="202"/>
        <w:rPr>
          <w:rFonts w:hint="eastAsia" w:ascii="宋体" w:hAnsi="宋体" w:eastAsia="宋体" w:cs="Times New Roman"/>
          <w:b/>
          <w:szCs w:val="21"/>
        </w:rPr>
      </w:pPr>
      <w:r>
        <w:rPr>
          <w:rFonts w:hint="eastAsia" w:ascii="宋体" w:hAnsi="宋体" w:eastAsia="宋体" w:cs="Times New Roman"/>
          <w:b/>
          <w:szCs w:val="21"/>
        </w:rPr>
        <w:t>1.本项目为网上电子投标项目，投标文件不需法人或授权委托人另行签字，无需加盖单位公章，招标文件另有规定的除外。</w:t>
      </w:r>
    </w:p>
    <w:p w14:paraId="3475CF42">
      <w:pPr>
        <w:ind w:firstLine="422" w:firstLineChars="200"/>
        <w:rPr>
          <w:rFonts w:hint="eastAsia" w:ascii="宋体" w:hAnsi="宋体" w:eastAsia="宋体" w:cs="Times New Roman"/>
          <w:b/>
          <w:szCs w:val="21"/>
        </w:rPr>
      </w:pPr>
      <w:bookmarkStart w:id="45" w:name="_Hlk72263559"/>
      <w:r>
        <w:rPr>
          <w:rFonts w:hint="eastAsia" w:ascii="宋体" w:hAnsi="宋体" w:eastAsia="宋体" w:cs="Times New Roman"/>
          <w:b/>
          <w:szCs w:val="21"/>
        </w:rPr>
        <w:t>2.关于填写“开标一览表”的说明：“开标一览表”中除“投标总价”外，其他信息不作评审依据。</w:t>
      </w:r>
      <w:bookmarkEnd w:id="44"/>
      <w:bookmarkEnd w:id="45"/>
    </w:p>
    <w:p w14:paraId="31C3D7D2">
      <w:pPr>
        <w:rPr>
          <w:rFonts w:hint="eastAsia" w:ascii="宋体" w:hAnsi="宋体" w:eastAsia="宋体" w:cs="Times New Roman"/>
          <w:b/>
          <w:szCs w:val="21"/>
        </w:rPr>
      </w:pPr>
      <w:r>
        <w:rPr>
          <w:rFonts w:hint="eastAsia" w:ascii="宋体" w:hAnsi="宋体" w:eastAsia="宋体" w:cs="Times New Roman"/>
          <w:b/>
          <w:szCs w:val="21"/>
        </w:rPr>
        <w:br w:type="page"/>
      </w:r>
    </w:p>
    <w:p w14:paraId="40D47881">
      <w:pPr>
        <w:keepNext/>
        <w:keepLines/>
        <w:widowControl w:val="0"/>
        <w:spacing w:before="260" w:after="260" w:line="240" w:lineRule="auto"/>
        <w:jc w:val="center"/>
        <w:outlineLvl w:val="2"/>
        <w:rPr>
          <w:rFonts w:hint="eastAsia" w:ascii="黑体" w:hAnsi="宋体" w:eastAsia="黑体" w:cs="Times New Roman"/>
          <w:b w:val="0"/>
          <w:bCs/>
          <w:kern w:val="2"/>
          <w:sz w:val="24"/>
          <w:szCs w:val="32"/>
          <w:lang w:val="en-US" w:eastAsia="zh-CN" w:bidi="ar-SA"/>
        </w:rPr>
      </w:pPr>
      <w:r>
        <w:rPr>
          <w:rFonts w:hint="eastAsia" w:ascii="黑体" w:hAnsi="宋体" w:eastAsia="黑体" w:cs="Times New Roman"/>
          <w:b w:val="0"/>
          <w:bCs/>
          <w:kern w:val="2"/>
          <w:sz w:val="24"/>
          <w:szCs w:val="32"/>
          <w:lang w:val="en-US" w:eastAsia="zh-CN" w:bidi="ar-SA"/>
        </w:rPr>
        <w:t>一、投标函</w:t>
      </w:r>
    </w:p>
    <w:p w14:paraId="216AC101">
      <w:pPr>
        <w:spacing w:line="360" w:lineRule="auto"/>
        <w:rPr>
          <w:rFonts w:hint="eastAsia" w:ascii="宋体" w:hAnsi="宋体" w:eastAsia="宋体" w:cs="Times New Roman"/>
          <w:szCs w:val="21"/>
        </w:rPr>
      </w:pPr>
      <w:bookmarkStart w:id="46" w:name="_Hlk72257506"/>
      <w:r>
        <w:rPr>
          <w:rFonts w:hint="eastAsia" w:ascii="宋体" w:hAnsi="宋体" w:eastAsia="宋体" w:cs="Times New Roman"/>
          <w:szCs w:val="21"/>
        </w:rPr>
        <w:t>致：</w:t>
      </w:r>
      <w:r>
        <w:rPr>
          <w:rFonts w:hint="eastAsia" w:ascii="宋体" w:hAnsi="宋体" w:eastAsia="宋体" w:cs="Times New Roman"/>
          <w:szCs w:val="21"/>
          <w:u w:val="single"/>
        </w:rPr>
        <w:t>深圳交易集团有限公司龙岗分公司</w:t>
      </w:r>
      <w:r>
        <w:rPr>
          <w:rFonts w:hint="eastAsia" w:ascii="宋体" w:hAnsi="宋体" w:eastAsia="宋体" w:cs="Times New Roman"/>
          <w:szCs w:val="21"/>
          <w:u w:val="single"/>
          <w:lang w:eastAsia="zh-CN"/>
        </w:rPr>
        <w:t>、深圳市龙岗区第二人民医院</w:t>
      </w:r>
      <w:r>
        <w:rPr>
          <w:rFonts w:hint="eastAsia" w:ascii="宋体" w:hAnsi="宋体" w:eastAsia="宋体" w:cs="Times New Roman"/>
          <w:szCs w:val="21"/>
          <w:u w:val="single"/>
        </w:rPr>
        <w:t xml:space="preserve"> </w:t>
      </w:r>
    </w:p>
    <w:p w14:paraId="1A7022D3">
      <w:pPr>
        <w:ind w:firstLine="420" w:firstLineChars="200"/>
        <w:rPr>
          <w:rFonts w:hint="eastAsia" w:ascii="宋体" w:hAnsi="宋体" w:eastAsia="宋体" w:cs="Times New Roman"/>
          <w:szCs w:val="21"/>
        </w:rPr>
      </w:pPr>
      <w:bookmarkStart w:id="47" w:name="_Hlk73818812"/>
      <w:r>
        <w:rPr>
          <w:rFonts w:hint="eastAsia" w:ascii="Times New Roman" w:hAnsi="Times New Roman" w:eastAsia="宋体" w:cs="Times New Roman"/>
          <w:szCs w:val="21"/>
        </w:rPr>
        <w:t>1、根据已收到贵单位的项目编号为</w:t>
      </w:r>
      <w:r>
        <w:rPr>
          <w:rFonts w:hint="eastAsia" w:ascii="Times New Roman" w:hAnsi="Times New Roman" w:eastAsia="宋体" w:cs="Times New Roman"/>
          <w:szCs w:val="21"/>
          <w:u w:val="thick"/>
        </w:rPr>
        <w:t xml:space="preserve">                 </w:t>
      </w:r>
      <w:r>
        <w:rPr>
          <w:rFonts w:hint="eastAsia" w:ascii="Times New Roman" w:hAnsi="Times New Roman" w:eastAsia="宋体" w:cs="Times New Roman"/>
          <w:szCs w:val="21"/>
        </w:rPr>
        <w:t>的</w:t>
      </w:r>
      <w:r>
        <w:rPr>
          <w:rFonts w:hint="eastAsia" w:ascii="Times New Roman" w:hAnsi="Times New Roman" w:eastAsia="宋体" w:cs="Times New Roman"/>
          <w:szCs w:val="21"/>
          <w:u w:val="thick"/>
        </w:rPr>
        <w:t xml:space="preserve">       （项目名称）          </w:t>
      </w:r>
      <w:r>
        <w:rPr>
          <w:rFonts w:hint="eastAsia" w:ascii="Times New Roman" w:hAnsi="Times New Roman" w:eastAsia="宋体" w:cs="Times New Roman"/>
          <w:szCs w:val="21"/>
        </w:rPr>
        <w:t>项目的招标文件，遵照《深圳经济特区政府采购条例》和《深圳网上政府采购管理暂行办法》等有关规定，我单位经研究上述招标文件的专用条款及通用条款后，</w:t>
      </w:r>
      <w:bookmarkStart w:id="48" w:name="_Hlk72263588"/>
      <w:r>
        <w:rPr>
          <w:rFonts w:hint="eastAsia" w:ascii="Times New Roman" w:hAnsi="Times New Roman" w:eastAsia="宋体" w:cs="Times New Roman"/>
          <w:szCs w:val="21"/>
        </w:rPr>
        <w:t>愿意按照招标文件要求承包上述项目并修补其任何缺陷。</w:t>
      </w:r>
      <w:bookmarkEnd w:id="48"/>
    </w:p>
    <w:p w14:paraId="51BF2135">
      <w:pPr>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w:t>
      </w:r>
      <w:bookmarkStart w:id="49" w:name="_Hlk73819847"/>
      <w:r>
        <w:rPr>
          <w:rFonts w:hint="eastAsia" w:ascii="宋体" w:hAnsi="宋体" w:eastAsia="宋体" w:cs="Times New Roman"/>
          <w:szCs w:val="21"/>
        </w:rPr>
        <w:t>投标价格见</w:t>
      </w:r>
      <w:r>
        <w:rPr>
          <w:rFonts w:hint="eastAsia" w:ascii="Times New Roman" w:hAnsi="Times New Roman" w:eastAsia="宋体" w:cs="Times New Roman"/>
          <w:szCs w:val="21"/>
        </w:rPr>
        <w:t>投标书编制软件中填写的投标报价。</w:t>
      </w:r>
      <w:bookmarkEnd w:id="49"/>
    </w:p>
    <w:p w14:paraId="1244E38E">
      <w:pPr>
        <w:ind w:firstLine="420" w:firstLineChars="200"/>
        <w:rPr>
          <w:rFonts w:hint="eastAsia" w:ascii="宋体" w:hAnsi="宋体" w:eastAsia="宋体" w:cs="Times New Roman"/>
          <w:szCs w:val="21"/>
        </w:rPr>
      </w:pPr>
      <w:r>
        <w:rPr>
          <w:rFonts w:hint="eastAsia" w:ascii="宋体" w:hAnsi="宋体" w:eastAsia="宋体" w:cs="Times New Roman"/>
          <w:szCs w:val="21"/>
        </w:rPr>
        <w:t>3、如果我单位中标，我单位将按照招标文件的要求足额提交履约担保。</w:t>
      </w:r>
    </w:p>
    <w:p w14:paraId="5BF20638">
      <w:pPr>
        <w:ind w:firstLine="420" w:firstLineChars="200"/>
        <w:rPr>
          <w:rFonts w:hint="eastAsia" w:ascii="宋体" w:hAnsi="宋体" w:eastAsia="宋体" w:cs="Times New Roman"/>
          <w:szCs w:val="21"/>
        </w:rPr>
      </w:pPr>
      <w:r>
        <w:rPr>
          <w:rFonts w:hint="eastAsia" w:ascii="宋体" w:hAnsi="宋体" w:eastAsia="宋体" w:cs="Times New Roman"/>
          <w:szCs w:val="21"/>
        </w:rPr>
        <w:t>4、我单位同意所递交的投标文件在“对通用条款的补充内容”中明确的投标有效期内有效，在此期间内我单位的投标有可能中标，我方将受此约束。</w:t>
      </w:r>
    </w:p>
    <w:p w14:paraId="3FDE15B5">
      <w:pPr>
        <w:ind w:firstLine="420" w:firstLineChars="200"/>
        <w:rPr>
          <w:rFonts w:hint="eastAsia" w:ascii="宋体" w:hAnsi="宋体" w:eastAsia="宋体" w:cs="Times New Roman"/>
          <w:szCs w:val="21"/>
        </w:rPr>
      </w:pPr>
      <w:r>
        <w:rPr>
          <w:rFonts w:hint="eastAsia" w:ascii="宋体" w:hAnsi="宋体" w:eastAsia="宋体" w:cs="Times New Roman"/>
          <w:szCs w:val="21"/>
        </w:rPr>
        <w:t>5、除非另外达成协议并生效，贵单位的中标通知书和本投标文件将构成合同的重要内容。</w:t>
      </w:r>
    </w:p>
    <w:p w14:paraId="41ED141C">
      <w:pPr>
        <w:ind w:firstLine="420" w:firstLineChars="200"/>
        <w:rPr>
          <w:rFonts w:hint="eastAsia" w:ascii="宋体" w:hAnsi="宋体" w:eastAsia="宋体" w:cs="Times New Roman"/>
          <w:szCs w:val="21"/>
        </w:rPr>
      </w:pPr>
      <w:r>
        <w:rPr>
          <w:rFonts w:hint="eastAsia" w:ascii="宋体" w:hAnsi="宋体" w:eastAsia="宋体" w:cs="Times New Roman"/>
          <w:szCs w:val="21"/>
        </w:rPr>
        <w:t>6、我单位理解贵单位将不受必须接受所收到的最低报价或其它任何投标文件的约束</w:t>
      </w:r>
      <w:bookmarkEnd w:id="47"/>
      <w:r>
        <w:rPr>
          <w:rFonts w:hint="eastAsia" w:ascii="宋体" w:hAnsi="宋体" w:eastAsia="宋体" w:cs="Times New Roman"/>
          <w:szCs w:val="21"/>
        </w:rPr>
        <w:t>。</w:t>
      </w:r>
    </w:p>
    <w:p w14:paraId="48208126">
      <w:pPr>
        <w:ind w:firstLine="422" w:firstLineChars="200"/>
        <w:rPr>
          <w:rFonts w:hint="eastAsia" w:ascii="宋体" w:hAnsi="宋体" w:eastAsia="宋体" w:cs="Times New Roman"/>
          <w:b/>
          <w:szCs w:val="21"/>
        </w:rPr>
      </w:pPr>
      <w:r>
        <w:rPr>
          <w:rFonts w:hint="eastAsia" w:ascii="宋体" w:hAnsi="宋体" w:eastAsia="宋体" w:cs="Times New Roman"/>
          <w:b/>
          <w:szCs w:val="21"/>
        </w:rPr>
        <w:t>7</w:t>
      </w:r>
      <w:r>
        <w:rPr>
          <w:rFonts w:ascii="宋体" w:hAnsi="宋体" w:eastAsia="宋体" w:cs="Times New Roman"/>
          <w:b/>
          <w:szCs w:val="21"/>
        </w:rPr>
        <w:t>、如我单位提交样品，且未在规定时间内取回样品的，视同放弃取回，同意</w:t>
      </w:r>
      <w:r>
        <w:rPr>
          <w:rFonts w:hint="eastAsia" w:ascii="宋体" w:hAnsi="宋体" w:eastAsia="宋体" w:cs="Times New Roman"/>
          <w:b/>
          <w:szCs w:val="21"/>
        </w:rPr>
        <w:t>深圳交易集团有限公司龙岗分公司</w:t>
      </w:r>
      <w:r>
        <w:rPr>
          <w:rFonts w:ascii="宋体" w:hAnsi="宋体" w:eastAsia="宋体" w:cs="Times New Roman"/>
          <w:b/>
          <w:szCs w:val="21"/>
        </w:rPr>
        <w:t>对我单位提交的样品进行清理。</w:t>
      </w:r>
    </w:p>
    <w:p w14:paraId="4D886429">
      <w:pPr>
        <w:ind w:left="420" w:leftChars="200" w:firstLine="210" w:firstLineChars="100"/>
        <w:rPr>
          <w:rFonts w:ascii="Times New Roman" w:hAnsi="Times New Roman" w:eastAsia="宋体" w:cs="Times New Roman"/>
          <w:szCs w:val="21"/>
        </w:rPr>
      </w:pPr>
    </w:p>
    <w:p w14:paraId="7B4E6A3B">
      <w:pPr>
        <w:ind w:left="420" w:leftChars="200" w:firstLine="210" w:firstLineChars="100"/>
        <w:rPr>
          <w:rFonts w:ascii="Times New Roman" w:hAnsi="Times New Roman" w:eastAsia="宋体" w:cs="Times New Roman"/>
          <w:szCs w:val="21"/>
        </w:rPr>
      </w:pPr>
      <w:r>
        <w:rPr>
          <w:rFonts w:hint="eastAsia" w:ascii="Times New Roman" w:hAnsi="Times New Roman" w:eastAsia="宋体" w:cs="Times New Roman"/>
          <w:szCs w:val="21"/>
        </w:rPr>
        <w:t>投标人：</w:t>
      </w:r>
      <w:r>
        <w:rPr>
          <w:rFonts w:hint="eastAsia" w:ascii="Times New Roman" w:hAnsi="Times New Roman" w:eastAsia="宋体" w:cs="Times New Roman"/>
          <w:szCs w:val="21"/>
          <w:u w:val="thick"/>
        </w:rPr>
        <w:t xml:space="preserve">                   </w:t>
      </w:r>
      <w:r>
        <w:rPr>
          <w:rFonts w:hint="eastAsia" w:ascii="Times New Roman" w:hAnsi="Times New Roman" w:eastAsia="宋体" w:cs="Times New Roman"/>
          <w:szCs w:val="21"/>
        </w:rPr>
        <w:t xml:space="preserve">  ；  单位地址：</w:t>
      </w:r>
      <w:r>
        <w:rPr>
          <w:rFonts w:hint="eastAsia" w:ascii="Times New Roman" w:hAnsi="Times New Roman" w:eastAsia="宋体" w:cs="Times New Roman"/>
          <w:szCs w:val="21"/>
          <w:u w:val="thick"/>
        </w:rPr>
        <w:t xml:space="preserve">                                            </w:t>
      </w:r>
      <w:r>
        <w:rPr>
          <w:rFonts w:hint="eastAsia" w:ascii="Times New Roman" w:hAnsi="Times New Roman" w:eastAsia="宋体" w:cs="Times New Roman"/>
          <w:szCs w:val="21"/>
        </w:rPr>
        <w:t>；</w:t>
      </w:r>
    </w:p>
    <w:p w14:paraId="072759C8">
      <w:pPr>
        <w:ind w:left="420" w:leftChars="200" w:firstLine="210" w:firstLineChars="100"/>
        <w:rPr>
          <w:rFonts w:ascii="Times New Roman" w:hAnsi="Times New Roman" w:eastAsia="宋体" w:cs="Times New Roman"/>
          <w:szCs w:val="21"/>
        </w:rPr>
      </w:pPr>
      <w:r>
        <w:rPr>
          <w:rFonts w:hint="eastAsia" w:ascii="Times New Roman" w:hAnsi="Times New Roman" w:eastAsia="宋体" w:cs="Times New Roman"/>
          <w:szCs w:val="21"/>
        </w:rPr>
        <w:t>法定代表人（负责人）或其授权委托代理人：</w:t>
      </w:r>
      <w:r>
        <w:rPr>
          <w:rFonts w:hint="eastAsia" w:ascii="Times New Roman" w:hAnsi="Times New Roman" w:eastAsia="宋体" w:cs="Times New Roman"/>
          <w:szCs w:val="21"/>
          <w:u w:val="thick"/>
        </w:rPr>
        <w:t xml:space="preserve">                       </w:t>
      </w:r>
      <w:r>
        <w:rPr>
          <w:rFonts w:hint="eastAsia" w:ascii="Times New Roman" w:hAnsi="Times New Roman" w:eastAsia="宋体" w:cs="Times New Roman"/>
          <w:szCs w:val="21"/>
        </w:rPr>
        <w:t>；</w:t>
      </w:r>
    </w:p>
    <w:p w14:paraId="71B5D25A">
      <w:pPr>
        <w:ind w:left="420" w:leftChars="200" w:firstLine="210" w:firstLineChars="100"/>
        <w:rPr>
          <w:rFonts w:ascii="Times New Roman" w:hAnsi="Times New Roman" w:eastAsia="宋体" w:cs="Times New Roman"/>
          <w:szCs w:val="21"/>
        </w:rPr>
      </w:pPr>
      <w:r>
        <w:rPr>
          <w:rFonts w:hint="eastAsia" w:ascii="Times New Roman" w:hAnsi="Times New Roman" w:eastAsia="宋体" w:cs="Times New Roman"/>
          <w:szCs w:val="21"/>
        </w:rPr>
        <w:t>电话：</w:t>
      </w:r>
      <w:r>
        <w:rPr>
          <w:rFonts w:hint="eastAsia" w:ascii="Times New Roman" w:hAnsi="Times New Roman" w:eastAsia="宋体" w:cs="Times New Roman"/>
          <w:szCs w:val="21"/>
          <w:u w:val="thick"/>
        </w:rPr>
        <w:t xml:space="preserve">                            </w:t>
      </w:r>
      <w:r>
        <w:rPr>
          <w:rFonts w:hint="eastAsia" w:ascii="Times New Roman" w:hAnsi="Times New Roman" w:eastAsia="宋体" w:cs="Times New Roman"/>
          <w:szCs w:val="21"/>
        </w:rPr>
        <w:t xml:space="preserve">；     </w:t>
      </w:r>
    </w:p>
    <w:p w14:paraId="0F3A700D">
      <w:pPr>
        <w:ind w:left="420" w:leftChars="200" w:firstLine="210" w:firstLineChars="100"/>
        <w:rPr>
          <w:rFonts w:ascii="Times New Roman" w:hAnsi="Times New Roman" w:eastAsia="宋体" w:cs="Times New Roman"/>
          <w:sz w:val="24"/>
        </w:rPr>
      </w:pPr>
      <w:r>
        <w:rPr>
          <w:rFonts w:hint="eastAsia" w:ascii="宋体" w:hAnsi="宋体" w:eastAsia="宋体" w:cs="Times New Roman"/>
          <w:szCs w:val="21"/>
        </w:rPr>
        <w:t>日期：</w:t>
      </w:r>
      <w:r>
        <w:rPr>
          <w:rFonts w:hint="eastAsia" w:ascii="宋体" w:hAnsi="宋体" w:eastAsia="宋体" w:cs="Times New Roman"/>
          <w:szCs w:val="21"/>
          <w:u w:val="thick"/>
        </w:rPr>
        <w:t xml:space="preserve">       </w:t>
      </w:r>
      <w:r>
        <w:rPr>
          <w:rFonts w:hint="eastAsia" w:ascii="宋体" w:hAnsi="宋体" w:eastAsia="宋体" w:cs="Times New Roman"/>
          <w:szCs w:val="21"/>
        </w:rPr>
        <w:t>年</w:t>
      </w:r>
      <w:r>
        <w:rPr>
          <w:rFonts w:hint="eastAsia" w:ascii="宋体" w:hAnsi="宋体" w:eastAsia="宋体" w:cs="Times New Roman"/>
          <w:szCs w:val="21"/>
          <w:u w:val="thick"/>
        </w:rPr>
        <w:t xml:space="preserve">     </w:t>
      </w:r>
      <w:r>
        <w:rPr>
          <w:rFonts w:hint="eastAsia" w:ascii="宋体" w:hAnsi="宋体" w:eastAsia="宋体" w:cs="Times New Roman"/>
          <w:szCs w:val="21"/>
        </w:rPr>
        <w:t>月</w:t>
      </w:r>
      <w:r>
        <w:rPr>
          <w:rFonts w:hint="eastAsia" w:ascii="宋体" w:hAnsi="宋体" w:eastAsia="宋体" w:cs="Times New Roman"/>
          <w:szCs w:val="21"/>
          <w:u w:val="thick"/>
        </w:rPr>
        <w:t xml:space="preserve">    </w:t>
      </w:r>
      <w:r>
        <w:rPr>
          <w:rFonts w:hint="eastAsia" w:ascii="宋体" w:hAnsi="宋体" w:eastAsia="宋体" w:cs="Times New Roman"/>
          <w:szCs w:val="21"/>
        </w:rPr>
        <w:t>日</w:t>
      </w:r>
      <w:r>
        <w:rPr>
          <w:rFonts w:hint="eastAsia" w:ascii="Times New Roman" w:hAnsi="Times New Roman" w:eastAsia="宋体" w:cs="Times New Roman"/>
          <w:sz w:val="24"/>
        </w:rPr>
        <w:t xml:space="preserve">                                </w:t>
      </w:r>
    </w:p>
    <w:p w14:paraId="4B34A147">
      <w:pPr>
        <w:rPr>
          <w:rFonts w:hint="eastAsia" w:ascii="黑体" w:hAnsi="宋体" w:eastAsia="黑体" w:cs="Times New Roman"/>
        </w:rPr>
      </w:pPr>
    </w:p>
    <w:p w14:paraId="5A700964">
      <w:pPr>
        <w:rPr>
          <w:rFonts w:hint="eastAsia" w:ascii="黑体" w:hAnsi="宋体" w:eastAsia="黑体" w:cs="Times New Roman"/>
        </w:rPr>
      </w:pPr>
    </w:p>
    <w:bookmarkEnd w:id="46"/>
    <w:p w14:paraId="49604664">
      <w:pPr>
        <w:keepNext/>
        <w:keepLines/>
        <w:widowControl w:val="0"/>
        <w:spacing w:before="260" w:after="260" w:line="240" w:lineRule="auto"/>
        <w:jc w:val="center"/>
        <w:outlineLvl w:val="2"/>
        <w:rPr>
          <w:rFonts w:hint="eastAsia" w:ascii="黑体" w:hAnsi="宋体" w:eastAsia="黑体" w:cs="Times New Roman"/>
          <w:b w:val="0"/>
          <w:bCs/>
          <w:kern w:val="2"/>
          <w:sz w:val="24"/>
          <w:szCs w:val="32"/>
          <w:lang w:val="en-US" w:eastAsia="zh-CN" w:bidi="ar-SA"/>
        </w:rPr>
      </w:pPr>
      <w:r>
        <w:rPr>
          <w:rFonts w:hint="eastAsia" w:ascii="黑体" w:hAnsi="宋体" w:eastAsia="黑体" w:cs="Times New Roman"/>
          <w:b w:val="0"/>
          <w:bCs/>
          <w:kern w:val="2"/>
          <w:sz w:val="24"/>
          <w:szCs w:val="32"/>
          <w:lang w:val="en-US" w:eastAsia="zh-CN" w:bidi="ar-SA"/>
        </w:rPr>
        <w:t>二、采购投标及履约承诺函</w:t>
      </w:r>
    </w:p>
    <w:p w14:paraId="2C4E87B4">
      <w:pPr>
        <w:rPr>
          <w:rFonts w:hint="eastAsia" w:ascii="宋体" w:hAnsi="宋体" w:eastAsia="宋体" w:cs="Times New Roman"/>
          <w:color w:val="FF0000"/>
          <w:szCs w:val="21"/>
        </w:rPr>
      </w:pPr>
      <w:bookmarkStart w:id="50" w:name="_Hlk72257530"/>
      <w:r>
        <w:rPr>
          <w:rFonts w:hint="eastAsia" w:ascii="宋体" w:hAnsi="宋体" w:eastAsia="宋体" w:cs="Times New Roman"/>
          <w:color w:val="FF0000"/>
          <w:szCs w:val="21"/>
        </w:rPr>
        <w:t>致：</w:t>
      </w:r>
      <w:r>
        <w:rPr>
          <w:rFonts w:hint="eastAsia" w:ascii="宋体" w:hAnsi="宋体" w:eastAsia="宋体" w:cs="Times New Roman"/>
          <w:color w:val="FF0000"/>
          <w:szCs w:val="21"/>
          <w:u w:val="single"/>
        </w:rPr>
        <w:t>深圳交易集团有限公司龙岗分公司、深圳市龙岗区第二人民医院</w:t>
      </w:r>
    </w:p>
    <w:p w14:paraId="692A8383">
      <w:pPr>
        <w:ind w:right="-815" w:firstLine="420" w:firstLineChars="200"/>
        <w:rPr>
          <w:rFonts w:hint="eastAsia" w:ascii="宋体" w:hAnsi="宋体" w:eastAsia="宋体" w:cs="Times New Roman"/>
          <w:szCs w:val="21"/>
        </w:rPr>
      </w:pPr>
      <w:r>
        <w:rPr>
          <w:rFonts w:hint="eastAsia" w:ascii="宋体" w:hAnsi="宋体" w:eastAsia="宋体" w:cs="Times New Roman"/>
          <w:szCs w:val="21"/>
        </w:rPr>
        <w:t>我单位承诺：</w:t>
      </w:r>
    </w:p>
    <w:p w14:paraId="718E8DE1">
      <w:pPr>
        <w:ind w:firstLine="420" w:firstLineChars="200"/>
        <w:rPr>
          <w:rFonts w:hint="eastAsia" w:ascii="宋体" w:hAnsi="宋体" w:eastAsia="宋体" w:cs="Times New Roman"/>
          <w:b/>
          <w:szCs w:val="21"/>
        </w:rPr>
      </w:pPr>
      <w:r>
        <w:rPr>
          <w:rFonts w:hint="eastAsia" w:ascii="宋体" w:hAnsi="宋体" w:eastAsia="宋体" w:cs="Times New Roman"/>
          <w:bCs/>
          <w:szCs w:val="21"/>
        </w:rPr>
        <w:t>1.我单位参与本项目所投标（响应）的货物、工程或服务，不存在侵犯知识产权的情况。</w:t>
      </w:r>
    </w:p>
    <w:p w14:paraId="30D9D31A">
      <w:pPr>
        <w:ind w:firstLine="420" w:firstLineChars="200"/>
        <w:rPr>
          <w:rFonts w:hint="eastAsia" w:ascii="宋体" w:hAnsi="宋体" w:eastAsia="宋体" w:cs="Times New Roman"/>
          <w:szCs w:val="21"/>
        </w:rPr>
      </w:pPr>
      <w:r>
        <w:rPr>
          <w:rFonts w:hint="eastAsia" w:ascii="宋体" w:hAnsi="宋体" w:eastAsia="宋体" w:cs="Times New Roman"/>
          <w:szCs w:val="21"/>
        </w:rPr>
        <w:t>2.我单位参与本项目</w:t>
      </w:r>
      <w:r>
        <w:rPr>
          <w:rFonts w:hint="eastAsia" w:ascii="Times New Roman" w:hAnsi="Times New Roman" w:eastAsia="宋体" w:cs="Times New Roman"/>
        </w:rPr>
        <w:t>采购活动时不存在被有关部门禁止参与采购活动且在有效期内的情况。</w:t>
      </w:r>
    </w:p>
    <w:p w14:paraId="1F4E276D">
      <w:pPr>
        <w:ind w:firstLine="420" w:firstLineChars="200"/>
        <w:rPr>
          <w:rFonts w:hint="eastAsia" w:ascii="宋体" w:hAnsi="宋体" w:eastAsia="宋体" w:cs="Times New Roman"/>
          <w:szCs w:val="21"/>
        </w:rPr>
      </w:pPr>
      <w:r>
        <w:rPr>
          <w:rFonts w:hint="eastAsia" w:ascii="宋体" w:hAnsi="宋体" w:eastAsia="宋体" w:cs="Times New Roman"/>
          <w:szCs w:val="21"/>
        </w:rPr>
        <w:t>3.我单位具备《中华人民共和国政府采购法》第二十二条第一款规定的六项条件。</w:t>
      </w:r>
    </w:p>
    <w:p w14:paraId="2796D335">
      <w:pPr>
        <w:ind w:firstLine="420" w:firstLineChars="200"/>
        <w:rPr>
          <w:rFonts w:ascii="Times New Roman" w:hAnsi="Times New Roman" w:eastAsia="宋体" w:cs="Times New Roman"/>
        </w:rPr>
      </w:pPr>
      <w:r>
        <w:rPr>
          <w:rFonts w:hint="eastAsia" w:ascii="宋体" w:hAnsi="宋体" w:eastAsia="宋体" w:cs="Times New Roman"/>
          <w:szCs w:val="21"/>
        </w:rPr>
        <w:t>4.我单位</w:t>
      </w:r>
      <w:r>
        <w:rPr>
          <w:rFonts w:hint="eastAsia" w:ascii="Times New Roman" w:hAnsi="Times New Roman" w:eastAsia="宋体" w:cs="Times New Roman"/>
        </w:rPr>
        <w:t>未被列入失信被执行人、重大税收违法案件当事人名单、政府采购严重违法失信行为记录名单。</w:t>
      </w:r>
    </w:p>
    <w:p w14:paraId="19C78D1C">
      <w:pPr>
        <w:ind w:firstLine="420" w:firstLineChars="200"/>
        <w:rPr>
          <w:rFonts w:ascii="Times New Roman" w:hAnsi="Times New Roman" w:eastAsia="宋体" w:cs="Times New Roman"/>
          <w:color w:val="FF0000"/>
        </w:rPr>
      </w:pPr>
      <w:r>
        <w:rPr>
          <w:rFonts w:hint="eastAsia" w:ascii="Times New Roman" w:hAnsi="Times New Roman" w:eastAsia="宋体" w:cs="Times New Roman"/>
          <w:color w:val="FF0000"/>
        </w:rPr>
        <w:t>5.我单位不存在《深圳市财政局政府采购供应商信用信息管理办法》（深财规〔2023〕3号）列明的严重违法失信行为。</w:t>
      </w:r>
    </w:p>
    <w:p w14:paraId="479DDF88">
      <w:pPr>
        <w:ind w:firstLine="420" w:firstLineChars="200"/>
        <w:rPr>
          <w:rFonts w:hint="eastAsia" w:ascii="宋体" w:hAnsi="宋体" w:eastAsia="宋体" w:cs="Times New Roman"/>
          <w:szCs w:val="21"/>
        </w:rPr>
      </w:pPr>
      <w:r>
        <w:rPr>
          <w:rFonts w:hint="eastAsia" w:ascii="宋体" w:hAnsi="宋体" w:eastAsia="宋体" w:cs="Times New Roman"/>
          <w:szCs w:val="21"/>
        </w:rPr>
        <w:t>6.</w:t>
      </w:r>
      <w:bookmarkStart w:id="51" w:name="_Hlk72587269"/>
      <w:bookmarkStart w:id="52" w:name="_Hlk72587299"/>
      <w:r>
        <w:rPr>
          <w:rFonts w:hint="eastAsia" w:ascii="宋体" w:hAnsi="宋体" w:eastAsia="宋体" w:cs="Times New Roman"/>
          <w:szCs w:val="21"/>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bookmarkEnd w:id="51"/>
      <w:r>
        <w:rPr>
          <w:rFonts w:hint="eastAsia" w:ascii="宋体" w:hAnsi="宋体" w:eastAsia="宋体" w:cs="Times New Roman"/>
          <w:szCs w:val="21"/>
        </w:rPr>
        <w:t>。</w:t>
      </w:r>
    </w:p>
    <w:bookmarkEnd w:id="52"/>
    <w:p w14:paraId="79ADF2EC">
      <w:pPr>
        <w:ind w:firstLine="420" w:firstLineChars="200"/>
        <w:rPr>
          <w:rFonts w:hint="eastAsia" w:ascii="宋体" w:hAnsi="宋体" w:eastAsia="宋体" w:cs="Times New Roman"/>
          <w:szCs w:val="21"/>
        </w:rPr>
      </w:pPr>
      <w:r>
        <w:rPr>
          <w:rFonts w:hint="eastAsia" w:ascii="宋体" w:hAnsi="宋体" w:eastAsia="宋体" w:cs="Times New Roman"/>
          <w:szCs w:val="21"/>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37F56FFD">
      <w:pPr>
        <w:ind w:firstLine="420" w:firstLineChars="200"/>
        <w:rPr>
          <w:rFonts w:hint="eastAsia" w:ascii="宋体" w:hAnsi="宋体" w:eastAsia="宋体" w:cs="Times New Roman"/>
          <w:szCs w:val="21"/>
        </w:rPr>
      </w:pPr>
      <w:r>
        <w:rPr>
          <w:rFonts w:hint="eastAsia" w:ascii="宋体" w:hAnsi="宋体" w:eastAsia="宋体" w:cs="Times New Roman"/>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41C4702B">
      <w:pPr>
        <w:ind w:firstLine="420" w:firstLineChars="200"/>
        <w:rPr>
          <w:rFonts w:hint="eastAsia" w:ascii="宋体" w:hAnsi="宋体" w:eastAsia="宋体" w:cs="Times New Roman"/>
          <w:szCs w:val="21"/>
        </w:rPr>
      </w:pPr>
      <w:r>
        <w:rPr>
          <w:rFonts w:hint="eastAsia" w:ascii="宋体" w:hAnsi="宋体" w:eastAsia="宋体" w:cs="Times New Roman"/>
          <w:szCs w:val="21"/>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03FA72E2">
      <w:pPr>
        <w:ind w:firstLine="420" w:firstLineChars="200"/>
        <w:rPr>
          <w:rFonts w:hint="eastAsia" w:ascii="宋体" w:hAnsi="宋体" w:eastAsia="宋体" w:cs="Times New Roman"/>
          <w:szCs w:val="21"/>
        </w:rPr>
      </w:pPr>
      <w:r>
        <w:rPr>
          <w:rFonts w:hint="eastAsia" w:ascii="宋体" w:hAnsi="宋体" w:eastAsia="宋体" w:cs="Times New Roman"/>
          <w:szCs w:val="21"/>
        </w:rPr>
        <w:t>9.我单位承诺中标后项目不转包，未经采购人同意不进行分包。</w:t>
      </w:r>
    </w:p>
    <w:p w14:paraId="0D0EEB4E">
      <w:pPr>
        <w:ind w:firstLine="420" w:firstLineChars="200"/>
        <w:rPr>
          <w:rFonts w:hint="eastAsia" w:ascii="宋体" w:hAnsi="宋体" w:eastAsia="宋体" w:cs="Times New Roman"/>
        </w:rPr>
      </w:pPr>
      <w:r>
        <w:rPr>
          <w:rFonts w:hint="eastAsia" w:ascii="宋体" w:hAnsi="宋体" w:eastAsia="宋体" w:cs="Times New Roman"/>
          <w:szCs w:val="21"/>
        </w:rPr>
        <w:t>10</w:t>
      </w:r>
      <w:r>
        <w:rPr>
          <w:rFonts w:ascii="宋体" w:hAnsi="宋体" w:eastAsia="宋体" w:cs="Times New Roman"/>
          <w:szCs w:val="21"/>
        </w:rPr>
        <w:t>.</w:t>
      </w:r>
      <w:r>
        <w:rPr>
          <w:rFonts w:hint="eastAsia" w:ascii="宋体" w:hAnsi="宋体" w:eastAsia="宋体" w:cs="Times New Roman"/>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56EFFB82">
      <w:pPr>
        <w:ind w:firstLine="420" w:firstLineChars="200"/>
        <w:rPr>
          <w:rFonts w:hint="eastAsia" w:ascii="宋体" w:hAnsi="宋体" w:eastAsia="宋体" w:cs="Times New Roman"/>
        </w:rPr>
      </w:pPr>
      <w:r>
        <w:rPr>
          <w:rFonts w:hint="eastAsia" w:ascii="宋体" w:hAnsi="宋体" w:eastAsia="宋体" w:cs="Times New Roman"/>
        </w:rPr>
        <w:t>11</w:t>
      </w:r>
      <w:r>
        <w:rPr>
          <w:rFonts w:ascii="宋体" w:hAnsi="宋体" w:eastAsia="宋体" w:cs="Times New Roman"/>
        </w:rPr>
        <w:t>.</w:t>
      </w:r>
      <w:r>
        <w:rPr>
          <w:rFonts w:hint="eastAsia" w:ascii="宋体" w:hAnsi="宋体" w:eastAsia="宋体" w:cs="Times New Roman"/>
        </w:rPr>
        <w:t>我单位保证，若所投货物涉及</w:t>
      </w:r>
      <w:r>
        <w:rPr>
          <w:rFonts w:ascii="宋体" w:hAnsi="宋体" w:eastAsia="宋体" w:cs="Times New Roman"/>
        </w:rPr>
        <w:t>《</w:t>
      </w:r>
      <w:r>
        <w:rPr>
          <w:rFonts w:hint="eastAsia" w:ascii="宋体" w:hAnsi="宋体" w:eastAsia="宋体" w:cs="Times New Roman"/>
        </w:rPr>
        <w:t>财政部生态环境部关于印发节能产品政府采购品目清单的通知》（财库〔20</w:t>
      </w:r>
      <w:r>
        <w:rPr>
          <w:rFonts w:ascii="宋体" w:hAnsi="宋体" w:eastAsia="宋体" w:cs="Times New Roman"/>
        </w:rPr>
        <w:t>19</w:t>
      </w:r>
      <w:r>
        <w:rPr>
          <w:rFonts w:hint="eastAsia" w:ascii="宋体" w:hAnsi="宋体" w:eastAsia="宋体" w:cs="Times New Roman"/>
        </w:rPr>
        <w:t>〕</w:t>
      </w:r>
      <w:r>
        <w:rPr>
          <w:rFonts w:ascii="宋体" w:hAnsi="宋体" w:eastAsia="宋体" w:cs="Times New Roman"/>
        </w:rPr>
        <w:t>19</w:t>
      </w:r>
      <w:r>
        <w:rPr>
          <w:rFonts w:hint="eastAsia" w:ascii="宋体" w:hAnsi="宋体" w:eastAsia="宋体" w:cs="Times New Roman"/>
        </w:rPr>
        <w:t>号）列明的政府采购强制产品，则所投该产品符合节能产品的认证要求。若所投产品包括数据中心相关设备的，应满足</w:t>
      </w:r>
      <w:r>
        <w:rPr>
          <w:rFonts w:hint="eastAsia" w:ascii="Times New Roman" w:hAnsi="Times New Roman" w:eastAsia="宋体" w:cs="Times New Roman"/>
        </w:rPr>
        <w:t>《财政部 生态环境部 工业和信息化部关于印发&lt;绿色数据中心政府采购需求标准（试行）&gt;的通知》（财库〔2023〕7号）要求。若所投产品涉及国家强制性标准的，所投产品应符合国家强制性标准相关要求。</w:t>
      </w:r>
    </w:p>
    <w:p w14:paraId="1B0F8706">
      <w:pPr>
        <w:ind w:firstLine="420" w:firstLineChars="200"/>
        <w:rPr>
          <w:rFonts w:hint="eastAsia" w:ascii="宋体" w:hAnsi="宋体" w:eastAsia="宋体" w:cs="Times New Roman"/>
          <w:bCs/>
        </w:rPr>
      </w:pPr>
      <w:r>
        <w:rPr>
          <w:rFonts w:hint="eastAsia" w:ascii="宋体" w:hAnsi="宋体" w:eastAsia="宋体" w:cs="宋体"/>
          <w:bCs/>
          <w:kern w:val="0"/>
          <w:szCs w:val="21"/>
        </w:rPr>
        <w:t>12.</w:t>
      </w:r>
      <w:r>
        <w:rPr>
          <w:rFonts w:hint="eastAsia" w:ascii="宋体" w:hAnsi="宋体" w:eastAsia="宋体" w:cs="Times New Roman"/>
          <w:bCs/>
        </w:rPr>
        <w:t>我单位已知悉并同意中标（成交）结果信息公示（公开）的内容。</w:t>
      </w:r>
    </w:p>
    <w:p w14:paraId="5584DCEC">
      <w:pPr>
        <w:ind w:firstLine="420" w:firstLineChars="200"/>
        <w:rPr>
          <w:rFonts w:hint="eastAsia" w:ascii="宋体" w:hAnsi="宋体" w:eastAsia="宋体" w:cs="宋体"/>
          <w:b/>
          <w:color w:val="FF0000"/>
          <w:kern w:val="0"/>
          <w:szCs w:val="21"/>
        </w:rPr>
      </w:pPr>
      <w:r>
        <w:rPr>
          <w:rFonts w:hint="eastAsia" w:ascii="宋体" w:hAnsi="宋体" w:eastAsia="宋体" w:cs="Times New Roman"/>
          <w:bCs/>
        </w:rPr>
        <w:t>13</w:t>
      </w:r>
      <w:r>
        <w:rPr>
          <w:rFonts w:ascii="宋体" w:hAnsi="宋体" w:eastAsia="宋体" w:cs="Times New Roman"/>
          <w:bCs/>
        </w:rPr>
        <w:t>.我单位保证，符合《中华人民共和国政府采购法实施条例》第十八条规定，与其他投标供应商不存在单位负责人为同一人或者存在直接控股、管理关系；</w:t>
      </w:r>
      <w:r>
        <w:rPr>
          <w:rFonts w:hint="eastAsia" w:ascii="宋体" w:hAnsi="宋体" w:eastAsia="宋体" w:cs="Times New Roman"/>
          <w:bCs/>
        </w:rPr>
        <w:t>不存在为</w:t>
      </w:r>
      <w:r>
        <w:rPr>
          <w:rFonts w:ascii="宋体" w:hAnsi="宋体" w:eastAsia="宋体" w:cs="Times New Roman"/>
          <w:bCs/>
        </w:rPr>
        <w:t>本次采购项目提供整体设计、规范编制或者项目管理、监理、检测等服务的情形。</w:t>
      </w:r>
      <w:r>
        <w:rPr>
          <w:rFonts w:hint="eastAsia" w:ascii="宋体" w:hAnsi="宋体" w:eastAsia="宋体" w:cs="Times New Roman"/>
          <w:bCs/>
        </w:rPr>
        <w:t>若存在“不同供应商的董事、股东或其他高级管理人员为同一人的”情形的，我单位保证不存在串通投标、恶意串通或者视为串通投标的情形。</w:t>
      </w:r>
    </w:p>
    <w:p w14:paraId="0068CC77">
      <w:pPr>
        <w:ind w:firstLine="420" w:firstLineChars="200"/>
        <w:rPr>
          <w:rFonts w:hint="eastAsia" w:ascii="宋体" w:hAnsi="宋体" w:eastAsia="宋体" w:cs="Times New Roman"/>
        </w:rPr>
      </w:pPr>
    </w:p>
    <w:p w14:paraId="5E4F5B54">
      <w:pPr>
        <w:ind w:firstLine="420" w:firstLineChars="200"/>
        <w:rPr>
          <w:rFonts w:hint="eastAsia" w:ascii="宋体" w:hAnsi="宋体" w:eastAsia="宋体" w:cs="Times New Roman"/>
          <w:szCs w:val="21"/>
        </w:rPr>
      </w:pPr>
      <w:r>
        <w:rPr>
          <w:rFonts w:hint="eastAsia" w:ascii="宋体" w:hAnsi="宋体" w:eastAsia="宋体" w:cs="Times New Roman"/>
          <w:szCs w:val="21"/>
        </w:rPr>
        <w:t>以上承诺，如有违反，愿依照国家相关法律法规处理，并承担由此给采购人带来的损失。</w:t>
      </w:r>
    </w:p>
    <w:p w14:paraId="1A77EE39">
      <w:pPr>
        <w:spacing w:before="60" w:beforeLines="25" w:after="60" w:afterLines="25"/>
        <w:ind w:firstLine="5460" w:firstLineChars="2600"/>
        <w:rPr>
          <w:rFonts w:hint="eastAsia" w:ascii="宋体" w:hAnsi="宋体" w:eastAsia="宋体" w:cs="Times New Roman"/>
          <w:szCs w:val="21"/>
        </w:rPr>
      </w:pPr>
      <w:r>
        <w:rPr>
          <w:rFonts w:hint="eastAsia" w:ascii="宋体" w:hAnsi="宋体" w:eastAsia="宋体" w:cs="Times New Roman"/>
          <w:szCs w:val="21"/>
        </w:rPr>
        <w:t xml:space="preserve">                                    </w:t>
      </w:r>
    </w:p>
    <w:bookmarkEnd w:id="50"/>
    <w:p w14:paraId="53392261">
      <w:pPr>
        <w:spacing w:before="60" w:beforeLines="25" w:after="60" w:afterLines="25"/>
        <w:ind w:firstLine="5460" w:firstLineChars="2600"/>
        <w:rPr>
          <w:rFonts w:ascii="Times New Roman" w:hAnsi="Times New Roman" w:eastAsia="宋体" w:cs="Times New Roman"/>
          <w:color w:val="FF0000"/>
        </w:rPr>
      </w:pPr>
      <w:r>
        <w:rPr>
          <w:rFonts w:hint="eastAsia" w:ascii="Times New Roman" w:hAnsi="Times New Roman" w:eastAsia="宋体" w:cs="Times New Roman"/>
          <w:color w:val="FF0000"/>
          <w:szCs w:val="21"/>
        </w:rPr>
        <w:t>投标人：</w:t>
      </w:r>
      <w:r>
        <w:rPr>
          <w:rFonts w:hint="eastAsia" w:ascii="Times New Roman" w:hAnsi="Times New Roman" w:eastAsia="宋体" w:cs="Times New Roman"/>
          <w:color w:val="FF0000"/>
          <w:szCs w:val="21"/>
          <w:u w:val="thick"/>
        </w:rPr>
        <w:t xml:space="preserve">                           </w:t>
      </w:r>
      <w:r>
        <w:rPr>
          <w:rFonts w:hint="eastAsia" w:ascii="Times New Roman" w:hAnsi="Times New Roman" w:eastAsia="宋体" w:cs="Times New Roman"/>
          <w:color w:val="FF0000"/>
          <w:szCs w:val="21"/>
        </w:rPr>
        <w:t>.</w:t>
      </w:r>
    </w:p>
    <w:p w14:paraId="2F9E9E94">
      <w:pPr>
        <w:ind w:firstLine="645"/>
        <w:rPr>
          <w:rFonts w:hint="eastAsia" w:ascii="宋体" w:hAnsi="宋体" w:eastAsia="宋体" w:cs="Times New Roman"/>
          <w:color w:val="FF0000"/>
          <w:szCs w:val="21"/>
        </w:rPr>
      </w:pPr>
      <w:r>
        <w:rPr>
          <w:rFonts w:hint="eastAsia" w:ascii="宋体" w:hAnsi="宋体" w:eastAsia="宋体" w:cs="Times New Roman"/>
          <w:color w:val="FF0000"/>
          <w:szCs w:val="21"/>
        </w:rPr>
        <w:t xml:space="preserve">                                              日期：</w:t>
      </w:r>
      <w:r>
        <w:rPr>
          <w:rFonts w:hint="eastAsia" w:ascii="Times New Roman" w:hAnsi="Times New Roman" w:eastAsia="宋体" w:cs="Times New Roman"/>
          <w:color w:val="FF0000"/>
          <w:szCs w:val="21"/>
          <w:u w:val="thick"/>
        </w:rPr>
        <w:t xml:space="preserve">        </w:t>
      </w:r>
      <w:r>
        <w:rPr>
          <w:rFonts w:hint="eastAsia" w:ascii="宋体" w:hAnsi="宋体" w:eastAsia="宋体" w:cs="Times New Roman"/>
          <w:color w:val="FF0000"/>
          <w:szCs w:val="21"/>
        </w:rPr>
        <w:t>年</w:t>
      </w:r>
      <w:r>
        <w:rPr>
          <w:rFonts w:hint="eastAsia" w:ascii="Times New Roman" w:hAnsi="Times New Roman" w:eastAsia="宋体" w:cs="Times New Roman"/>
          <w:color w:val="FF0000"/>
          <w:szCs w:val="21"/>
          <w:u w:val="thick"/>
        </w:rPr>
        <w:t xml:space="preserve">       </w:t>
      </w:r>
      <w:r>
        <w:rPr>
          <w:rFonts w:hint="eastAsia" w:ascii="宋体" w:hAnsi="宋体" w:eastAsia="宋体" w:cs="Times New Roman"/>
          <w:color w:val="FF0000"/>
          <w:szCs w:val="21"/>
        </w:rPr>
        <w:t>月</w:t>
      </w:r>
      <w:r>
        <w:rPr>
          <w:rFonts w:hint="eastAsia" w:ascii="Times New Roman" w:hAnsi="Times New Roman" w:eastAsia="宋体" w:cs="Times New Roman"/>
          <w:color w:val="FF0000"/>
          <w:szCs w:val="21"/>
          <w:u w:val="thick"/>
        </w:rPr>
        <w:t xml:space="preserve">       </w:t>
      </w:r>
      <w:r>
        <w:rPr>
          <w:rFonts w:hint="eastAsia" w:ascii="宋体" w:hAnsi="宋体" w:eastAsia="宋体" w:cs="Times New Roman"/>
          <w:color w:val="FF0000"/>
          <w:szCs w:val="21"/>
        </w:rPr>
        <w:t>日</w:t>
      </w:r>
    </w:p>
    <w:p w14:paraId="226EA41C">
      <w:pPr>
        <w:ind w:firstLine="645"/>
        <w:rPr>
          <w:rFonts w:hint="eastAsia" w:ascii="宋体" w:hAnsi="宋体" w:eastAsia="宋体" w:cs="Times New Roman"/>
          <w:szCs w:val="21"/>
        </w:rPr>
      </w:pPr>
    </w:p>
    <w:p w14:paraId="036FAA77">
      <w:pPr>
        <w:rPr>
          <w:rFonts w:ascii="宋体" w:hAnsi="Times New Roman" w:eastAsia="宋体" w:cs="Times New Roman"/>
          <w:b/>
          <w:szCs w:val="21"/>
        </w:rPr>
      </w:pPr>
    </w:p>
    <w:p w14:paraId="333C91CB">
      <w:pPr>
        <w:ind w:firstLine="482" w:firstLineChars="200"/>
        <w:jc w:val="center"/>
        <w:rPr>
          <w:rFonts w:hint="eastAsia" w:ascii="Times New Roman" w:hAnsi="宋体" w:eastAsia="宋体" w:cs="Times New Roman"/>
          <w:b/>
          <w:bCs/>
          <w:sz w:val="24"/>
        </w:rPr>
      </w:pPr>
    </w:p>
    <w:p w14:paraId="2C370E00">
      <w:pPr>
        <w:keepNext/>
        <w:keepLines/>
        <w:widowControl w:val="0"/>
        <w:spacing w:before="260" w:after="260" w:line="240" w:lineRule="auto"/>
        <w:jc w:val="center"/>
        <w:outlineLvl w:val="2"/>
        <w:rPr>
          <w:rFonts w:hint="eastAsia" w:ascii="黑体" w:hAnsi="宋体" w:eastAsia="黑体" w:cs="Times New Roman"/>
          <w:b w:val="0"/>
          <w:bCs/>
          <w:kern w:val="2"/>
          <w:sz w:val="24"/>
          <w:szCs w:val="24"/>
          <w:lang w:val="en-US" w:eastAsia="zh-CN" w:bidi="ar-SA"/>
        </w:rPr>
      </w:pPr>
      <w:r>
        <w:rPr>
          <w:rFonts w:hint="eastAsia" w:ascii="黑体" w:hAnsi="宋体" w:eastAsia="黑体" w:cs="Times New Roman"/>
          <w:b w:val="0"/>
          <w:bCs/>
          <w:kern w:val="2"/>
          <w:sz w:val="24"/>
          <w:szCs w:val="24"/>
          <w:lang w:val="en-US" w:eastAsia="zh-CN" w:bidi="ar-SA"/>
        </w:rPr>
        <w:t>三、投标人情况及资格证明文件</w:t>
      </w:r>
    </w:p>
    <w:p w14:paraId="6A4A8D00">
      <w:pPr>
        <w:rPr>
          <w:rFonts w:ascii="Times New Roman" w:hAnsi="Times New Roman" w:eastAsia="宋体" w:cs="Times New Roman"/>
          <w:b/>
          <w:bCs/>
          <w:sz w:val="24"/>
        </w:rPr>
      </w:pPr>
    </w:p>
    <w:p w14:paraId="473C3577">
      <w:pPr>
        <w:ind w:firstLine="2640" w:firstLineChars="1100"/>
        <w:outlineLvl w:val="3"/>
        <w:rPr>
          <w:rFonts w:hint="eastAsia" w:ascii="黑体" w:hAnsi="宋体" w:eastAsia="黑体" w:cs="Times New Roman"/>
          <w:bCs/>
          <w:kern w:val="0"/>
          <w:sz w:val="24"/>
          <w:szCs w:val="32"/>
        </w:rPr>
      </w:pPr>
      <w:bookmarkStart w:id="53" w:name="_Hlk72257590"/>
      <w:r>
        <w:rPr>
          <w:rFonts w:hint="eastAsia" w:ascii="黑体" w:hAnsi="宋体" w:eastAsia="黑体" w:cs="Times New Roman"/>
          <w:bCs/>
          <w:kern w:val="0"/>
          <w:sz w:val="24"/>
          <w:szCs w:val="32"/>
        </w:rPr>
        <w:t>（一）投标人资格证明文件</w:t>
      </w:r>
    </w:p>
    <w:p w14:paraId="22653867">
      <w:pPr>
        <w:spacing w:before="120" w:beforeLines="50"/>
        <w:ind w:firstLine="422" w:firstLineChars="200"/>
        <w:rPr>
          <w:rFonts w:ascii="Times New Roman" w:hAnsi="Times New Roman" w:eastAsia="宋体" w:cs="Times New Roman"/>
          <w:b/>
          <w:bCs/>
          <w:highlight w:val="yellow"/>
        </w:rPr>
      </w:pPr>
      <w:r>
        <w:rPr>
          <w:rFonts w:hint="eastAsia" w:ascii="Times New Roman" w:hAnsi="Times New Roman" w:eastAsia="宋体" w:cs="Times New Roman"/>
          <w:b/>
          <w:bCs/>
          <w:highlight w:val="yellow"/>
        </w:rPr>
        <w:t>（特别提示：投标人须按本招标文件第一册第一章招标公告“申请人的资格要求”（即投标人资格要求）提供相关的资格证明资料，未提供或提供不完整、不符合要求的，将作投标无效处理，其中要求提供《采购投标及履约承诺函》《供应商基本情况表》且已在规定章节中提供的，此处不重复提供。）</w:t>
      </w:r>
    </w:p>
    <w:p w14:paraId="425BF126">
      <w:pPr>
        <w:rPr>
          <w:rFonts w:ascii="Times New Roman" w:hAnsi="Times New Roman" w:eastAsia="宋体" w:cs="Times New Roman"/>
          <w:b/>
          <w:bCs/>
          <w:sz w:val="24"/>
          <w:highlight w:val="yellow"/>
        </w:rPr>
      </w:pPr>
    </w:p>
    <w:p w14:paraId="603FED00">
      <w:pPr>
        <w:ind w:firstLine="480" w:firstLineChars="200"/>
        <w:outlineLvl w:val="3"/>
        <w:rPr>
          <w:rFonts w:hint="eastAsia" w:ascii="黑体" w:hAnsi="宋体" w:eastAsia="黑体" w:cs="Times New Roman"/>
          <w:bCs/>
          <w:kern w:val="0"/>
          <w:sz w:val="24"/>
          <w:szCs w:val="32"/>
        </w:rPr>
      </w:pPr>
      <w:bookmarkStart w:id="54" w:name="_Hlk72257908"/>
      <w:r>
        <w:rPr>
          <w:rFonts w:hint="eastAsia" w:ascii="黑体" w:hAnsi="宋体" w:eastAsia="黑体" w:cs="Times New Roman"/>
          <w:bCs/>
          <w:kern w:val="0"/>
          <w:sz w:val="24"/>
          <w:szCs w:val="32"/>
        </w:rPr>
        <w:t>（二）中小企业声明函、残疾人福利性单位声明函及监狱企业声明函</w:t>
      </w:r>
    </w:p>
    <w:bookmarkEnd w:id="53"/>
    <w:p w14:paraId="27CE7135">
      <w:pPr>
        <w:jc w:val="left"/>
        <w:rPr>
          <w:rFonts w:hint="eastAsia" w:ascii="黑体" w:hAnsi="宋体" w:eastAsia="黑体" w:cs="Times New Roman"/>
          <w:bCs/>
          <w:kern w:val="0"/>
          <w:sz w:val="24"/>
          <w:szCs w:val="32"/>
        </w:rPr>
      </w:pPr>
    </w:p>
    <w:p w14:paraId="4F067BEA">
      <w:pPr>
        <w:ind w:firstLine="420" w:firstLineChars="200"/>
        <w:rPr>
          <w:rFonts w:hint="eastAsia" w:ascii="黑体" w:hAnsi="宋体" w:eastAsia="黑体" w:cs="Times New Roman"/>
          <w:bCs/>
          <w:kern w:val="0"/>
          <w:szCs w:val="21"/>
          <w:highlight w:val="yellow"/>
        </w:rPr>
      </w:pPr>
      <w:r>
        <w:rPr>
          <w:rFonts w:hint="eastAsia" w:ascii="黑体" w:hAnsi="宋体" w:eastAsia="黑体" w:cs="Times New Roman"/>
          <w:bCs/>
          <w:kern w:val="0"/>
          <w:szCs w:val="21"/>
          <w:highlight w:val="yellow"/>
        </w:rPr>
        <w:t>填写指引：</w:t>
      </w:r>
    </w:p>
    <w:p w14:paraId="69C63D5C">
      <w:pPr>
        <w:ind w:firstLine="420" w:firstLineChars="200"/>
        <w:rPr>
          <w:rFonts w:hint="eastAsia" w:ascii="黑体" w:hAnsi="黑体" w:eastAsia="黑体" w:cs="Times New Roman"/>
          <w:szCs w:val="21"/>
          <w:highlight w:val="yellow"/>
        </w:rPr>
      </w:pPr>
      <w:r>
        <w:rPr>
          <w:rFonts w:hint="eastAsia" w:ascii="黑体" w:hAnsi="宋体" w:eastAsia="黑体" w:cs="Times New Roman"/>
          <w:bCs/>
          <w:kern w:val="0"/>
          <w:szCs w:val="21"/>
          <w:highlight w:val="yellow"/>
        </w:rPr>
        <w:t>1、该部分内容由投标人根据自身实际情况填写，不符合要求的投标人可以不填写或直接删除相应的声明函。</w:t>
      </w:r>
      <w:r>
        <w:rPr>
          <w:rFonts w:hint="eastAsia" w:ascii="黑体" w:hAnsi="黑体" w:eastAsia="黑体" w:cs="Times New Roman"/>
          <w:szCs w:val="21"/>
          <w:highlight w:val="yellow"/>
        </w:rPr>
        <w:t>投标人提供的声明函不属实的，属于提供虚假资料谋取中标，依照《中华人民共和国政府采购法》等国家有关规定追究相应责任。</w:t>
      </w:r>
    </w:p>
    <w:p w14:paraId="45FECE2B">
      <w:pPr>
        <w:ind w:firstLine="420" w:firstLineChars="200"/>
        <w:rPr>
          <w:rFonts w:hint="eastAsia" w:ascii="黑体" w:hAnsi="黑体" w:eastAsia="黑体" w:cs="Times New Roman"/>
          <w:szCs w:val="21"/>
          <w:highlight w:val="yellow"/>
        </w:rPr>
      </w:pPr>
      <w:r>
        <w:rPr>
          <w:rFonts w:hint="eastAsia" w:ascii="黑体" w:hAnsi="黑体" w:eastAsia="黑体" w:cs="Times New Roman"/>
          <w:szCs w:val="21"/>
          <w:highlight w:val="yellow"/>
        </w:rPr>
        <w:t>2、该部分内容填写需要参考的相关文件：</w:t>
      </w:r>
    </w:p>
    <w:p w14:paraId="5BF8652D">
      <w:pPr>
        <w:ind w:firstLine="420" w:firstLineChars="200"/>
        <w:rPr>
          <w:rFonts w:hint="eastAsia" w:ascii="黑体" w:hAnsi="黑体" w:eastAsia="黑体" w:cs="Times New Roman"/>
          <w:szCs w:val="21"/>
          <w:highlight w:val="yellow"/>
        </w:rPr>
      </w:pPr>
      <w:r>
        <w:rPr>
          <w:rFonts w:hint="eastAsia" w:ascii="黑体" w:hAnsi="黑体" w:eastAsia="黑体" w:cs="Times New Roman"/>
          <w:szCs w:val="21"/>
          <w:highlight w:val="yellow"/>
        </w:rPr>
        <w:t>(</w:t>
      </w:r>
      <w:r>
        <w:rPr>
          <w:rFonts w:ascii="黑体" w:hAnsi="黑体" w:eastAsia="黑体" w:cs="Times New Roman"/>
          <w:szCs w:val="21"/>
          <w:highlight w:val="yellow"/>
        </w:rPr>
        <w:t>1</w:t>
      </w:r>
      <w:r>
        <w:rPr>
          <w:rFonts w:hint="eastAsia" w:ascii="黑体" w:hAnsi="黑体" w:eastAsia="黑体" w:cs="Times New Roman"/>
          <w:szCs w:val="21"/>
          <w:highlight w:val="yellow"/>
        </w:rPr>
        <w:t>)财政部《政府采购促进中小企业发展管理办法》（财库〔2020〕46号）；</w:t>
      </w:r>
    </w:p>
    <w:p w14:paraId="3648D070">
      <w:pPr>
        <w:ind w:firstLine="420" w:firstLineChars="200"/>
        <w:rPr>
          <w:rFonts w:hint="eastAsia" w:ascii="黑体" w:hAnsi="黑体" w:eastAsia="黑体" w:cs="Times New Roman"/>
          <w:szCs w:val="21"/>
          <w:highlight w:val="yellow"/>
        </w:rPr>
      </w:pPr>
      <w:r>
        <w:rPr>
          <w:rFonts w:hint="eastAsia" w:ascii="黑体" w:hAnsi="黑体" w:eastAsia="黑体" w:cs="Times New Roman"/>
          <w:szCs w:val="21"/>
          <w:highlight w:val="yellow"/>
        </w:rPr>
        <w:t>(</w:t>
      </w:r>
      <w:r>
        <w:rPr>
          <w:rFonts w:ascii="黑体" w:hAnsi="黑体" w:eastAsia="黑体" w:cs="Times New Roman"/>
          <w:szCs w:val="21"/>
          <w:highlight w:val="yellow"/>
        </w:rPr>
        <w:t>2</w:t>
      </w:r>
      <w:r>
        <w:rPr>
          <w:rFonts w:hint="eastAsia" w:ascii="黑体" w:hAnsi="黑体" w:eastAsia="黑体" w:cs="Times New Roman"/>
          <w:szCs w:val="21"/>
          <w:highlight w:val="yellow"/>
        </w:rPr>
        <w:t>)《工业和信息化部、国家统计局、国家发展和改革委员会、财政部关于印发中小企业划型标准规定的通知》（工信部联企业〔2011〕300号）；</w:t>
      </w:r>
    </w:p>
    <w:p w14:paraId="522D438E">
      <w:pPr>
        <w:ind w:firstLine="420" w:firstLineChars="200"/>
        <w:rPr>
          <w:rFonts w:hint="eastAsia" w:ascii="黑体" w:hAnsi="黑体" w:eastAsia="黑体" w:cs="Times New Roman"/>
          <w:szCs w:val="21"/>
          <w:highlight w:val="yellow"/>
        </w:rPr>
      </w:pPr>
      <w:r>
        <w:rPr>
          <w:rFonts w:hint="eastAsia" w:ascii="黑体" w:hAnsi="黑体" w:eastAsia="黑体" w:cs="Times New Roman"/>
          <w:szCs w:val="21"/>
          <w:highlight w:val="yellow"/>
        </w:rPr>
        <w:t>(3)《统计上大中小微型企业划分办法(2017)》（国统字〔2017〕213号）；</w:t>
      </w:r>
    </w:p>
    <w:p w14:paraId="1CFBA61C">
      <w:pPr>
        <w:ind w:firstLine="420" w:firstLineChars="200"/>
        <w:rPr>
          <w:rFonts w:hint="eastAsia" w:ascii="黑体" w:hAnsi="黑体" w:eastAsia="黑体" w:cs="Times New Roman"/>
          <w:szCs w:val="21"/>
          <w:highlight w:val="yellow"/>
        </w:rPr>
      </w:pPr>
      <w:r>
        <w:rPr>
          <w:rFonts w:hint="eastAsia" w:ascii="黑体" w:hAnsi="黑体" w:eastAsia="黑体" w:cs="Times New Roman"/>
          <w:szCs w:val="21"/>
          <w:highlight w:val="yellow"/>
        </w:rPr>
        <w:t>(4)《关于促进残疾人就业政府采购政策的通知》（财库〔2017〕141号）；</w:t>
      </w:r>
    </w:p>
    <w:p w14:paraId="5D6C44D9">
      <w:pPr>
        <w:ind w:firstLine="420" w:firstLineChars="200"/>
        <w:rPr>
          <w:rFonts w:hint="eastAsia" w:ascii="黑体" w:hAnsi="黑体" w:eastAsia="黑体" w:cs="Times New Roman"/>
          <w:szCs w:val="21"/>
          <w:highlight w:val="yellow"/>
        </w:rPr>
      </w:pPr>
      <w:r>
        <w:rPr>
          <w:rFonts w:hint="eastAsia" w:ascii="黑体" w:hAnsi="黑体" w:eastAsia="黑体" w:cs="Times New Roman"/>
          <w:szCs w:val="21"/>
          <w:highlight w:val="yellow"/>
        </w:rPr>
        <w:t>(5)《关于政府采购支持监狱企业发展有关问题的通知》（财库〔2014〕68号）</w:t>
      </w:r>
    </w:p>
    <w:p w14:paraId="5B78CE07">
      <w:pPr>
        <w:ind w:firstLine="420" w:firstLineChars="200"/>
        <w:rPr>
          <w:rFonts w:hint="eastAsia" w:ascii="黑体" w:hAnsi="宋体" w:eastAsia="黑体" w:cs="Times New Roman"/>
          <w:bCs/>
          <w:kern w:val="0"/>
          <w:szCs w:val="21"/>
          <w:highlight w:val="yellow"/>
        </w:rPr>
      </w:pPr>
      <w:r>
        <w:rPr>
          <w:rFonts w:hint="eastAsia" w:ascii="黑体" w:hAnsi="宋体" w:eastAsia="黑体" w:cs="Times New Roman"/>
          <w:bCs/>
          <w:kern w:val="0"/>
          <w:szCs w:val="21"/>
          <w:highlight w:val="yellow"/>
        </w:rPr>
        <w:t>3、请依照提供的格式和内容填写声明函，不要随意变更格式；声明函不需要盖章或签字；</w:t>
      </w:r>
      <w:r>
        <w:rPr>
          <w:rFonts w:hint="eastAsia" w:ascii="黑体" w:hAnsi="黑体" w:eastAsia="黑体" w:cs="Times New Roman"/>
          <w:szCs w:val="21"/>
          <w:highlight w:val="yellow"/>
        </w:rPr>
        <w:t>满足多项优惠政策的投标人，不重复享受多项价格扣除政策。</w:t>
      </w:r>
    </w:p>
    <w:p w14:paraId="682B2E20">
      <w:pPr>
        <w:ind w:firstLine="420" w:firstLineChars="200"/>
        <w:rPr>
          <w:rFonts w:hint="eastAsia" w:ascii="黑体" w:hAnsi="宋体" w:eastAsia="黑体" w:cs="Times New Roman"/>
          <w:bCs/>
          <w:kern w:val="0"/>
          <w:szCs w:val="21"/>
          <w:highlight w:val="yellow"/>
        </w:rPr>
      </w:pPr>
      <w:r>
        <w:rPr>
          <w:rFonts w:hint="eastAsia" w:ascii="黑体" w:hAnsi="宋体" w:eastAsia="黑体" w:cs="Times New Roman"/>
          <w:bCs/>
          <w:kern w:val="0"/>
          <w:szCs w:val="21"/>
          <w:highlight w:val="yellow"/>
        </w:rPr>
        <w:t>4、声明函具体填写要求：</w:t>
      </w:r>
    </w:p>
    <w:p w14:paraId="2E5DD3DF">
      <w:pPr>
        <w:ind w:firstLine="420" w:firstLineChars="200"/>
        <w:rPr>
          <w:rFonts w:hint="eastAsia" w:ascii="黑体" w:hAnsi="宋体" w:eastAsia="黑体" w:cs="Times New Roman"/>
          <w:bCs/>
          <w:kern w:val="0"/>
          <w:szCs w:val="21"/>
          <w:highlight w:val="yellow"/>
        </w:rPr>
      </w:pPr>
      <w:r>
        <w:rPr>
          <w:rFonts w:hint="eastAsia" w:ascii="黑体" w:hAnsi="宋体" w:eastAsia="黑体" w:cs="Times New Roman"/>
          <w:bCs/>
          <w:kern w:val="0"/>
          <w:szCs w:val="21"/>
          <w:highlight w:val="yellow"/>
        </w:rPr>
        <w:t>（1）声明是中小企业须填写《中小企业声明函》的以下内容：</w:t>
      </w:r>
    </w:p>
    <w:p w14:paraId="0FCE7C9C">
      <w:pPr>
        <w:ind w:firstLine="420" w:firstLineChars="200"/>
        <w:rPr>
          <w:rFonts w:hint="eastAsia" w:ascii="黑体" w:hAnsi="宋体" w:eastAsia="黑体" w:cs="Times New Roman"/>
          <w:bCs/>
          <w:kern w:val="0"/>
          <w:szCs w:val="21"/>
          <w:highlight w:val="yellow"/>
        </w:rPr>
      </w:pPr>
      <w:r>
        <w:rPr>
          <w:rFonts w:hint="eastAsia" w:ascii="黑体" w:hAnsi="宋体" w:eastAsia="黑体" w:cs="Times New Roman"/>
          <w:bCs/>
          <w:kern w:val="0"/>
          <w:szCs w:val="21"/>
          <w:highlight w:val="yellow"/>
        </w:rPr>
        <w:t>第一处，在“单位名称”下划线处如实填写采购人名称（深圳公共资源交易中心不是本项目的采购人，而是组织实施机构）；</w:t>
      </w:r>
    </w:p>
    <w:p w14:paraId="519A9D22">
      <w:pPr>
        <w:ind w:firstLine="420" w:firstLineChars="200"/>
        <w:rPr>
          <w:rFonts w:hint="eastAsia" w:ascii="黑体" w:hAnsi="宋体" w:eastAsia="黑体" w:cs="Times New Roman"/>
          <w:bCs/>
          <w:kern w:val="0"/>
          <w:szCs w:val="21"/>
          <w:highlight w:val="yellow"/>
        </w:rPr>
      </w:pPr>
      <w:r>
        <w:rPr>
          <w:rFonts w:hint="eastAsia" w:ascii="黑体" w:hAnsi="宋体" w:eastAsia="黑体" w:cs="Times New Roman"/>
          <w:bCs/>
          <w:kern w:val="0"/>
          <w:szCs w:val="21"/>
          <w:highlight w:val="yellow"/>
        </w:rPr>
        <w:t>第二处，在“项目名称”下划线处如实填写采购文件中确定的项目名称。对于分包方式面向中小企业采购的项目，应标明中小企业的具体分包内容；对于以联合体方式面向中小企业采购的项目，应标明联合体中中小企业所承担的具体内容；</w:t>
      </w:r>
    </w:p>
    <w:p w14:paraId="7032692D">
      <w:pPr>
        <w:ind w:firstLine="420" w:firstLineChars="200"/>
        <w:rPr>
          <w:rFonts w:hint="eastAsia" w:ascii="黑体" w:hAnsi="宋体" w:eastAsia="黑体" w:cs="Times New Roman"/>
          <w:bCs/>
          <w:kern w:val="0"/>
          <w:szCs w:val="21"/>
          <w:highlight w:val="yellow"/>
        </w:rPr>
      </w:pPr>
      <w:r>
        <w:rPr>
          <w:rFonts w:hint="eastAsia" w:ascii="黑体" w:hAnsi="宋体" w:eastAsia="黑体" w:cs="Times New Roman"/>
          <w:bCs/>
          <w:kern w:val="0"/>
          <w:szCs w:val="21"/>
          <w:highlight w:val="yellow"/>
        </w:rPr>
        <w:t>第三处，在“标的名称”下划线处填写所采购货物（标的）的具体名称（以招标文件第一册第三章用户需求书“</w:t>
      </w:r>
      <w:r>
        <w:rPr>
          <w:rFonts w:hint="eastAsia" w:ascii="黑体" w:hAnsi="宋体" w:eastAsia="黑体" w:cs="Times New Roman"/>
          <w:bCs/>
          <w:kern w:val="0"/>
          <w:szCs w:val="21"/>
          <w:highlight w:val="yellow"/>
          <w:lang w:eastAsia="zh-CN"/>
        </w:rPr>
        <w:t>货物清单明细</w:t>
      </w:r>
      <w:r>
        <w:rPr>
          <w:rFonts w:hint="eastAsia" w:ascii="黑体" w:hAnsi="宋体" w:eastAsia="黑体" w:cs="Times New Roman"/>
          <w:bCs/>
          <w:kern w:val="0"/>
          <w:szCs w:val="21"/>
          <w:highlight w:val="yellow"/>
        </w:rPr>
        <w:t>”的“货物名称”一栏为准）；如果涉及多项货物（标的）为同一企业制造，“标的名称”下划线处可以如实填写多项货物；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14:paraId="7ECE904B">
      <w:pPr>
        <w:ind w:firstLine="420" w:firstLineChars="200"/>
        <w:rPr>
          <w:rFonts w:hint="eastAsia" w:ascii="黑体" w:hAnsi="宋体" w:eastAsia="黑体" w:cs="Times New Roman"/>
          <w:bCs/>
          <w:kern w:val="0"/>
          <w:szCs w:val="21"/>
          <w:highlight w:val="yellow"/>
        </w:rPr>
      </w:pPr>
      <w:r>
        <w:rPr>
          <w:rFonts w:hint="eastAsia" w:ascii="黑体" w:hAnsi="宋体" w:eastAsia="黑体" w:cs="Times New Roman"/>
          <w:bCs/>
          <w:kern w:val="0"/>
          <w:szCs w:val="21"/>
          <w:highlight w:val="yellow"/>
        </w:rPr>
        <w:t>第四处，在“采购文件中明确的所属行业”下划线处填写采购标的对应的中小企业划分标准所属行业（所属行业以招标文件第一册第三章用户需求书“货物清单明细”的“标的所属行业”一栏为准），并应确保与采购标的涉及的货物制造商本身的所属行业保持一致。对于分包方式面向中小企业采购的项目，“采购文件中明确的所属行业”应按照采购文件中注明的分包给中小企业的采购标的所属行业填写，并应确保与该分包部分采购标的涉及的货物制造商本身的所属行业保持一致；对于以联合体方式面向中小企业采购的项目，“采购文件中明确的所属行业”应按照采购文件中注明的联合体中中小企业承担的采购标的所属行业填写，并应确保与该分包部分采购标的涉及的货物制造商本身的所属行业保持一致；</w:t>
      </w:r>
    </w:p>
    <w:p w14:paraId="12B0E14B">
      <w:pPr>
        <w:ind w:firstLine="420" w:firstLineChars="200"/>
        <w:rPr>
          <w:rFonts w:hint="eastAsia" w:ascii="黑体" w:hAnsi="宋体" w:eastAsia="黑体" w:cs="Times New Roman"/>
          <w:bCs/>
          <w:kern w:val="0"/>
          <w:szCs w:val="21"/>
          <w:highlight w:val="yellow"/>
        </w:rPr>
      </w:pPr>
      <w:r>
        <w:rPr>
          <w:rFonts w:hint="eastAsia" w:ascii="黑体" w:hAnsi="宋体" w:eastAsia="黑体" w:cs="Times New Roman"/>
          <w:bCs/>
          <w:kern w:val="0"/>
          <w:szCs w:val="21"/>
          <w:highlight w:val="yellow"/>
        </w:rPr>
        <w:t>第五处，在“企业名称”下划线处如实填写</w:t>
      </w:r>
      <w:r>
        <w:rPr>
          <w:rFonts w:hint="eastAsia" w:ascii="黑体" w:hAnsi="宋体" w:eastAsia="黑体" w:cs="Times New Roman"/>
          <w:b/>
          <w:kern w:val="0"/>
          <w:szCs w:val="21"/>
          <w:highlight w:val="yellow"/>
        </w:rPr>
        <w:t>货物制造商名称。</w:t>
      </w:r>
      <w:r>
        <w:rPr>
          <w:rFonts w:hint="eastAsia" w:ascii="黑体" w:hAnsi="宋体" w:eastAsia="黑体" w:cs="Times New Roman"/>
          <w:bCs/>
          <w:kern w:val="0"/>
          <w:szCs w:val="21"/>
          <w:highlight w:val="yellow"/>
        </w:rPr>
        <w:t>对于分包方式面向中小企业采购的项目，“企业名称”应填写分包部分采购标的对应的货物制造商；对于以联合体方式面向中小企业采购的项目，“企业名称”应填写联合体中中小企业承担采购标的对应的货物制造商；</w:t>
      </w:r>
    </w:p>
    <w:p w14:paraId="3D877063">
      <w:pPr>
        <w:ind w:firstLine="420" w:firstLineChars="200"/>
        <w:rPr>
          <w:rFonts w:hint="eastAsia" w:ascii="黑体" w:hAnsi="宋体" w:eastAsia="黑体" w:cs="Times New Roman"/>
          <w:bCs/>
          <w:kern w:val="0"/>
          <w:szCs w:val="21"/>
          <w:highlight w:val="yellow"/>
        </w:rPr>
      </w:pPr>
      <w:r>
        <w:rPr>
          <w:rFonts w:hint="eastAsia" w:ascii="黑体" w:hAnsi="宋体" w:eastAsia="黑体" w:cs="Times New Roman"/>
          <w:bCs/>
          <w:kern w:val="0"/>
          <w:szCs w:val="21"/>
          <w:highlight w:val="yellow"/>
        </w:rPr>
        <w:t>第六、七、八处，在“从业人员”、“营业收入”、“资产总额”下划线处如实填写从业人员、营业收入、资产总额。从业人员、资产总额指标以上年度末数据为依据，营业收入指标以上年度累计数据为依据。无上年度数据的新成立企业可不填报。</w:t>
      </w:r>
    </w:p>
    <w:p w14:paraId="192316DD">
      <w:pPr>
        <w:ind w:firstLine="420" w:firstLineChars="200"/>
        <w:rPr>
          <w:rFonts w:hint="eastAsia" w:ascii="黑体" w:hAnsi="宋体" w:eastAsia="黑体" w:cs="Times New Roman"/>
          <w:bCs/>
          <w:kern w:val="0"/>
          <w:szCs w:val="21"/>
          <w:highlight w:val="yellow"/>
        </w:rPr>
      </w:pPr>
      <w:r>
        <w:rPr>
          <w:rFonts w:hint="eastAsia" w:ascii="黑体" w:hAnsi="宋体" w:eastAsia="黑体" w:cs="Times New Roman"/>
          <w:bCs/>
          <w:kern w:val="0"/>
          <w:szCs w:val="21"/>
          <w:highlight w:val="yellow"/>
        </w:rPr>
        <w:t>第九处，在“中型企业、小型企业、微型企业”下划线处应依据企业上年度从业人员、营业收入、资产总额等指标，按照《中小企业划型标准规定》（工信部联企业〔2011〕300号）、《金融业企业划型标准规定》（银发〔2015〕309号），判断《中小企业声明函》载明的货物制造商是否属于采购文件所属行业的中型企业/小型企业/微型企业。</w:t>
      </w:r>
    </w:p>
    <w:p w14:paraId="4D8400D0">
      <w:pPr>
        <w:widowControl w:val="0"/>
        <w:ind w:firstLine="420" w:firstLineChars="200"/>
        <w:jc w:val="both"/>
        <w:rPr>
          <w:rFonts w:hint="eastAsia" w:ascii="黑体" w:hAnsi="宋体" w:eastAsia="黑体" w:cs="Times New Roman"/>
          <w:bCs/>
          <w:kern w:val="0"/>
          <w:sz w:val="21"/>
          <w:szCs w:val="21"/>
          <w:highlight w:val="yellow"/>
          <w:lang w:val="en-US" w:eastAsia="zh-CN" w:bidi="ar-SA"/>
        </w:rPr>
      </w:pPr>
      <w:r>
        <w:rPr>
          <w:rFonts w:hint="eastAsia" w:ascii="黑体" w:hAnsi="宋体" w:eastAsia="黑体" w:cs="Times New Roman"/>
          <w:bCs/>
          <w:kern w:val="0"/>
          <w:sz w:val="21"/>
          <w:szCs w:val="21"/>
          <w:highlight w:val="yellow"/>
          <w:lang w:val="en-US" w:eastAsia="zh-CN" w:bidi="ar-SA"/>
        </w:rPr>
        <w:t>（2）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14:paraId="028678E6">
      <w:pPr>
        <w:ind w:firstLine="420" w:firstLineChars="200"/>
        <w:rPr>
          <w:rFonts w:hint="eastAsia" w:ascii="黑体" w:hAnsi="宋体" w:eastAsia="黑体" w:cs="Times New Roman"/>
          <w:bCs/>
          <w:kern w:val="0"/>
          <w:szCs w:val="21"/>
          <w:highlight w:val="yellow"/>
        </w:rPr>
      </w:pPr>
      <w:r>
        <w:rPr>
          <w:rFonts w:hint="eastAsia" w:ascii="黑体" w:hAnsi="宋体" w:eastAsia="黑体" w:cs="Times New Roman"/>
          <w:bCs/>
          <w:kern w:val="0"/>
          <w:szCs w:val="21"/>
          <w:highlight w:val="yellow"/>
        </w:rPr>
        <w:t>（3）事业单位、社会组织等非企业主体不享受中小企业扶持政策，但事业单位、社会组织等非企业主体提供全部由中小企业制造的货物参加货物采购项目的除外。</w:t>
      </w:r>
    </w:p>
    <w:p w14:paraId="1947DF1B">
      <w:pPr>
        <w:ind w:firstLine="420" w:firstLineChars="200"/>
        <w:rPr>
          <w:rFonts w:hint="eastAsia" w:ascii="黑体" w:hAnsi="宋体" w:eastAsia="黑体" w:cs="Times New Roman"/>
          <w:bCs/>
          <w:kern w:val="0"/>
          <w:szCs w:val="21"/>
          <w:highlight w:val="yellow"/>
        </w:rPr>
      </w:pPr>
      <w:r>
        <w:rPr>
          <w:rFonts w:hint="eastAsia" w:ascii="黑体" w:hAnsi="宋体" w:eastAsia="黑体" w:cs="Times New Roman"/>
          <w:bCs/>
          <w:kern w:val="0"/>
          <w:szCs w:val="21"/>
          <w:highlight w:val="yellow"/>
        </w:rPr>
        <w:t>（4）声明是残疾人福利性单位须填写《残疾人福利性单位声明函》的相关内容，具体参照以上《中小企业声明函》填写要求执行。</w:t>
      </w:r>
    </w:p>
    <w:p w14:paraId="114F818A">
      <w:pPr>
        <w:ind w:firstLine="420" w:firstLineChars="200"/>
        <w:rPr>
          <w:rFonts w:hint="eastAsia" w:ascii="黑体" w:hAnsi="宋体" w:eastAsia="黑体" w:cs="Times New Roman"/>
          <w:bCs/>
          <w:kern w:val="0"/>
          <w:szCs w:val="21"/>
          <w:highlight w:val="yellow"/>
        </w:rPr>
      </w:pPr>
      <w:r>
        <w:rPr>
          <w:rFonts w:hint="eastAsia" w:ascii="黑体" w:hAnsi="宋体" w:eastAsia="黑体" w:cs="Times New Roman"/>
          <w:bCs/>
          <w:kern w:val="0"/>
          <w:szCs w:val="21"/>
          <w:highlight w:val="yellow"/>
        </w:rPr>
        <w:t>（5）声明是监狱企业须填写《监狱企业声明函》的三项内容（填写位置的字体已加粗），具体参照以上《中小企业声明函》填写要求执行。</w:t>
      </w:r>
    </w:p>
    <w:p w14:paraId="54A42A5C">
      <w:pPr>
        <w:ind w:firstLine="420" w:firstLineChars="200"/>
        <w:rPr>
          <w:rFonts w:hint="eastAsia" w:ascii="黑体" w:hAnsi="宋体" w:eastAsia="黑体" w:cs="Times New Roman"/>
          <w:bCs/>
          <w:kern w:val="0"/>
          <w:szCs w:val="21"/>
          <w:highlight w:val="yellow"/>
        </w:rPr>
      </w:pPr>
      <w:r>
        <w:rPr>
          <w:rFonts w:hint="eastAsia" w:ascii="黑体" w:hAnsi="宋体" w:eastAsia="黑体" w:cs="Times New Roman"/>
          <w:bCs/>
          <w:kern w:val="0"/>
          <w:szCs w:val="21"/>
          <w:highlight w:val="yellow"/>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76DDF8AC">
      <w:pPr>
        <w:widowControl w:val="0"/>
        <w:ind w:firstLine="420" w:firstLineChars="200"/>
        <w:jc w:val="both"/>
        <w:rPr>
          <w:rFonts w:ascii="Calibri" w:hAnsi="Calibri" w:eastAsia="黑体" w:cs="Times New Roman"/>
          <w:kern w:val="2"/>
          <w:sz w:val="21"/>
          <w:szCs w:val="22"/>
          <w:highlight w:val="yellow"/>
          <w:lang w:val="en-US" w:eastAsia="zh-CN" w:bidi="ar-SA"/>
        </w:rPr>
      </w:pPr>
      <w:r>
        <w:rPr>
          <w:rFonts w:hint="eastAsia" w:ascii="黑体" w:hAnsi="宋体" w:eastAsia="黑体" w:cs="Times New Roman"/>
          <w:bCs/>
          <w:kern w:val="0"/>
          <w:sz w:val="21"/>
          <w:szCs w:val="21"/>
          <w:highlight w:val="yellow"/>
          <w:lang w:val="en-US" w:eastAsia="zh-CN" w:bidi="ar-SA"/>
        </w:rPr>
        <w:t>6、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14:paraId="2DB12F21">
      <w:pPr>
        <w:ind w:firstLine="420" w:firstLineChars="200"/>
        <w:rPr>
          <w:rFonts w:ascii="Times New Roman" w:hAnsi="Times New Roman" w:eastAsia="宋体" w:cs="Times New Roman"/>
        </w:rPr>
      </w:pPr>
    </w:p>
    <w:p w14:paraId="1B6F2867">
      <w:pPr>
        <w:numPr>
          <w:ilvl w:val="0"/>
          <w:numId w:val="9"/>
        </w:numPr>
        <w:jc w:val="center"/>
        <w:rPr>
          <w:rFonts w:ascii="Times New Roman" w:hAnsi="Times New Roman" w:eastAsia="宋体" w:cs="Times New Roman"/>
          <w:b/>
          <w:sz w:val="24"/>
        </w:rPr>
      </w:pPr>
      <w:r>
        <w:rPr>
          <w:rFonts w:ascii="Times New Roman" w:hAnsi="Times New Roman" w:eastAsia="宋体" w:cs="Times New Roman"/>
          <w:b/>
          <w:sz w:val="24"/>
        </w:rPr>
        <w:t>中小企业声明函（货物）</w:t>
      </w:r>
    </w:p>
    <w:p w14:paraId="7E75F20B">
      <w:pPr>
        <w:widowControl w:val="0"/>
        <w:spacing w:line="360" w:lineRule="auto"/>
        <w:jc w:val="both"/>
        <w:rPr>
          <w:rFonts w:ascii="Times New Roman" w:hAnsi="Times New Roman" w:eastAsia="宋体" w:cs="Times New Roman"/>
          <w:b/>
          <w:bCs/>
          <w:kern w:val="2"/>
          <w:sz w:val="24"/>
          <w:szCs w:val="24"/>
          <w:lang w:val="en-US" w:eastAsia="zh-CN" w:bidi="ar-SA"/>
        </w:rPr>
      </w:pPr>
    </w:p>
    <w:p w14:paraId="18D0136F">
      <w:pPr>
        <w:widowControl w:val="0"/>
        <w:spacing w:line="360" w:lineRule="auto"/>
        <w:ind w:firstLine="420" w:firstLineChars="200"/>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本公司（联合体）郑重声明，根据《政府采购促进中小企业发展管理办法》（财库﹝2020﹞46号）的规定，本公司（联合体）参加</w:t>
      </w:r>
      <w:r>
        <w:rPr>
          <w:rFonts w:hint="eastAsia" w:asciiTheme="minorEastAsia" w:hAnsiTheme="minorEastAsia" w:eastAsiaTheme="minorEastAsia" w:cstheme="minorEastAsia"/>
          <w:b/>
          <w:bCs/>
          <w:i/>
          <w:iCs/>
          <w:kern w:val="2"/>
          <w:sz w:val="21"/>
          <w:szCs w:val="21"/>
          <w:u w:val="single"/>
          <w:lang w:val="en-US" w:eastAsia="zh-CN" w:bidi="ar-SA"/>
        </w:rPr>
        <w:t xml:space="preserve">    （单位名称）    </w:t>
      </w:r>
      <w:r>
        <w:rPr>
          <w:rFonts w:hint="eastAsia" w:asciiTheme="minorEastAsia" w:hAnsiTheme="minorEastAsia" w:eastAsiaTheme="minorEastAsia" w:cstheme="minorEastAsia"/>
          <w:kern w:val="2"/>
          <w:sz w:val="21"/>
          <w:szCs w:val="21"/>
          <w:lang w:val="en-US" w:eastAsia="zh-CN" w:bidi="ar-SA"/>
        </w:rPr>
        <w:t>的</w:t>
      </w:r>
      <w:r>
        <w:rPr>
          <w:rFonts w:hint="eastAsia" w:asciiTheme="minorEastAsia" w:hAnsiTheme="minorEastAsia" w:eastAsiaTheme="minorEastAsia" w:cstheme="minorEastAsia"/>
          <w:b/>
          <w:bCs/>
          <w:i/>
          <w:iCs/>
          <w:kern w:val="2"/>
          <w:sz w:val="21"/>
          <w:szCs w:val="21"/>
          <w:u w:val="single"/>
          <w:lang w:val="en-US" w:eastAsia="zh-CN" w:bidi="ar-SA"/>
        </w:rPr>
        <w:t xml:space="preserve">    （项目名称）    </w:t>
      </w:r>
      <w:r>
        <w:rPr>
          <w:rFonts w:hint="eastAsia" w:asciiTheme="minorEastAsia" w:hAnsiTheme="minorEastAsia" w:eastAsiaTheme="minorEastAsia" w:cstheme="minorEastAsia"/>
          <w:kern w:val="2"/>
          <w:sz w:val="21"/>
          <w:szCs w:val="21"/>
          <w:lang w:val="en-US" w:eastAsia="zh-CN" w:bidi="ar-SA"/>
        </w:rPr>
        <w:t>采购活动，提供的货物全部由符合政策要求的中小企业制造。相关企业（含联合体中的中小企业、签订分包意向协议的中小企业）的具体情况如下：</w:t>
      </w:r>
    </w:p>
    <w:p w14:paraId="539743AE">
      <w:pPr>
        <w:widowControl w:val="0"/>
        <w:spacing w:line="360" w:lineRule="auto"/>
        <w:ind w:firstLine="420" w:firstLineChars="200"/>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w:t>
      </w:r>
      <w:r>
        <w:rPr>
          <w:rFonts w:hint="eastAsia" w:asciiTheme="minorEastAsia" w:hAnsiTheme="minorEastAsia" w:eastAsiaTheme="minorEastAsia" w:cstheme="minorEastAsia"/>
          <w:b/>
          <w:bCs/>
          <w:i/>
          <w:iCs/>
          <w:kern w:val="2"/>
          <w:sz w:val="21"/>
          <w:szCs w:val="21"/>
          <w:u w:val="single"/>
          <w:lang w:val="en-US" w:eastAsia="zh-CN" w:bidi="ar-SA"/>
        </w:rPr>
        <w:t xml:space="preserve">    （标的名称）     </w:t>
      </w:r>
      <w:r>
        <w:rPr>
          <w:rFonts w:hint="eastAsia" w:asciiTheme="minorEastAsia" w:hAnsiTheme="minorEastAsia" w:eastAsiaTheme="minorEastAsia" w:cstheme="minorEastAsia"/>
          <w:kern w:val="2"/>
          <w:sz w:val="21"/>
          <w:szCs w:val="21"/>
          <w:lang w:val="en-US" w:eastAsia="zh-CN" w:bidi="ar-SA"/>
        </w:rPr>
        <w:t>，属于</w:t>
      </w:r>
      <w:r>
        <w:rPr>
          <w:rFonts w:hint="eastAsia" w:asciiTheme="minorEastAsia" w:hAnsiTheme="minorEastAsia" w:eastAsiaTheme="minorEastAsia" w:cstheme="minorEastAsia"/>
          <w:b/>
          <w:bCs/>
          <w:i/>
          <w:iCs/>
          <w:kern w:val="2"/>
          <w:sz w:val="21"/>
          <w:szCs w:val="21"/>
          <w:u w:val="single"/>
          <w:lang w:val="en-US" w:eastAsia="zh-CN" w:bidi="ar-SA"/>
        </w:rPr>
        <w:t xml:space="preserve">    （采购文件中明确的所属行业）    </w:t>
      </w:r>
      <w:r>
        <w:rPr>
          <w:rFonts w:hint="eastAsia" w:asciiTheme="minorEastAsia" w:hAnsiTheme="minorEastAsia" w:eastAsiaTheme="minorEastAsia" w:cstheme="minorEastAsia"/>
          <w:kern w:val="2"/>
          <w:sz w:val="21"/>
          <w:szCs w:val="21"/>
          <w:lang w:val="en-US" w:eastAsia="zh-CN" w:bidi="ar-SA"/>
        </w:rPr>
        <w:t>行业；制造商为</w:t>
      </w:r>
      <w:r>
        <w:rPr>
          <w:rFonts w:hint="eastAsia" w:asciiTheme="minorEastAsia" w:hAnsiTheme="minorEastAsia" w:eastAsiaTheme="minorEastAsia" w:cstheme="minorEastAsia"/>
          <w:b/>
          <w:bCs/>
          <w:i/>
          <w:iCs/>
          <w:kern w:val="2"/>
          <w:sz w:val="21"/>
          <w:szCs w:val="21"/>
          <w:u w:val="single"/>
          <w:lang w:val="en-US" w:eastAsia="zh-CN" w:bidi="ar-SA"/>
        </w:rPr>
        <w:t xml:space="preserve">    （企业名称，要求制造商本身所属行业应当与招标文件要求的行业相一致）    </w:t>
      </w:r>
      <w:r>
        <w:rPr>
          <w:rFonts w:hint="eastAsia" w:asciiTheme="minorEastAsia" w:hAnsiTheme="minorEastAsia" w:eastAsiaTheme="minorEastAsia" w:cstheme="minorEastAsia"/>
          <w:kern w:val="2"/>
          <w:sz w:val="21"/>
          <w:szCs w:val="21"/>
          <w:lang w:val="en-US" w:eastAsia="zh-CN" w:bidi="ar-SA"/>
        </w:rPr>
        <w:t>，从业人员</w:t>
      </w:r>
      <w:r>
        <w:rPr>
          <w:rFonts w:hint="eastAsia" w:asciiTheme="minorEastAsia" w:hAnsiTheme="minorEastAsia" w:eastAsiaTheme="minorEastAsia" w:cstheme="minorEastAsia"/>
          <w:b/>
          <w:bCs/>
          <w:i/>
          <w:iCs/>
          <w:kern w:val="2"/>
          <w:sz w:val="21"/>
          <w:szCs w:val="21"/>
          <w:u w:val="single"/>
          <w:lang w:val="en-US" w:eastAsia="zh-CN" w:bidi="ar-SA"/>
        </w:rPr>
        <w:t xml:space="preserve">        </w:t>
      </w:r>
      <w:r>
        <w:rPr>
          <w:rFonts w:hint="eastAsia" w:asciiTheme="minorEastAsia" w:hAnsiTheme="minorEastAsia" w:eastAsiaTheme="minorEastAsia" w:cstheme="minorEastAsia"/>
          <w:kern w:val="2"/>
          <w:sz w:val="21"/>
          <w:szCs w:val="21"/>
          <w:lang w:val="en-US" w:eastAsia="zh-CN" w:bidi="ar-SA"/>
        </w:rPr>
        <w:t>人，营业收入为</w:t>
      </w:r>
      <w:r>
        <w:rPr>
          <w:rFonts w:hint="eastAsia" w:asciiTheme="minorEastAsia" w:hAnsiTheme="minorEastAsia" w:eastAsiaTheme="minorEastAsia" w:cstheme="minorEastAsia"/>
          <w:b/>
          <w:bCs/>
          <w:i/>
          <w:iCs/>
          <w:kern w:val="2"/>
          <w:sz w:val="21"/>
          <w:szCs w:val="21"/>
          <w:u w:val="single"/>
          <w:lang w:val="en-US" w:eastAsia="zh-CN" w:bidi="ar-SA"/>
        </w:rPr>
        <w:t xml:space="preserve">         </w:t>
      </w:r>
      <w:r>
        <w:rPr>
          <w:rFonts w:hint="eastAsia" w:asciiTheme="minorEastAsia" w:hAnsiTheme="minorEastAsia" w:eastAsiaTheme="minorEastAsia" w:cstheme="minorEastAsia"/>
          <w:kern w:val="2"/>
          <w:sz w:val="21"/>
          <w:szCs w:val="21"/>
          <w:lang w:val="en-US" w:eastAsia="zh-CN" w:bidi="ar-SA"/>
        </w:rPr>
        <w:t>万元，资产总额为</w:t>
      </w:r>
      <w:r>
        <w:rPr>
          <w:rFonts w:hint="eastAsia" w:asciiTheme="minorEastAsia" w:hAnsiTheme="minorEastAsia" w:eastAsiaTheme="minorEastAsia" w:cstheme="minorEastAsia"/>
          <w:b/>
          <w:bCs/>
          <w:i/>
          <w:iCs/>
          <w:kern w:val="2"/>
          <w:sz w:val="21"/>
          <w:szCs w:val="21"/>
          <w:u w:val="single"/>
          <w:lang w:val="en-US" w:eastAsia="zh-CN" w:bidi="ar-SA"/>
        </w:rPr>
        <w:t xml:space="preserve">         </w:t>
      </w:r>
      <w:r>
        <w:rPr>
          <w:rFonts w:hint="eastAsia" w:asciiTheme="minorEastAsia" w:hAnsiTheme="minorEastAsia" w:eastAsiaTheme="minorEastAsia" w:cstheme="minorEastAsia"/>
          <w:kern w:val="2"/>
          <w:sz w:val="21"/>
          <w:szCs w:val="21"/>
          <w:lang w:val="en-US" w:eastAsia="zh-CN" w:bidi="ar-SA"/>
        </w:rPr>
        <w:t>万元，属于</w:t>
      </w:r>
      <w:r>
        <w:rPr>
          <w:rFonts w:hint="eastAsia" w:asciiTheme="minorEastAsia" w:hAnsiTheme="minorEastAsia" w:eastAsiaTheme="minorEastAsia" w:cstheme="minorEastAsia"/>
          <w:b/>
          <w:bCs/>
          <w:i/>
          <w:iCs/>
          <w:kern w:val="2"/>
          <w:sz w:val="21"/>
          <w:szCs w:val="21"/>
          <w:u w:val="single"/>
          <w:lang w:val="en-US" w:eastAsia="zh-CN" w:bidi="ar-SA"/>
        </w:rPr>
        <w:t xml:space="preserve">    （中型企业、小型企业、微型企业）    </w:t>
      </w:r>
      <w:r>
        <w:rPr>
          <w:rFonts w:hint="eastAsia" w:asciiTheme="minorEastAsia" w:hAnsiTheme="minorEastAsia" w:eastAsiaTheme="minorEastAsia" w:cstheme="minorEastAsia"/>
          <w:kern w:val="2"/>
          <w:sz w:val="21"/>
          <w:szCs w:val="21"/>
          <w:lang w:val="en-US" w:eastAsia="zh-CN" w:bidi="ar-SA"/>
        </w:rPr>
        <w:t>；</w:t>
      </w:r>
    </w:p>
    <w:p w14:paraId="786605CE">
      <w:pPr>
        <w:widowControl w:val="0"/>
        <w:spacing w:line="360" w:lineRule="auto"/>
        <w:ind w:firstLine="420" w:firstLineChars="200"/>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2.</w:t>
      </w:r>
      <w:r>
        <w:rPr>
          <w:rFonts w:hint="eastAsia" w:asciiTheme="minorEastAsia" w:hAnsiTheme="minorEastAsia" w:eastAsiaTheme="minorEastAsia" w:cstheme="minorEastAsia"/>
          <w:b/>
          <w:bCs/>
          <w:i/>
          <w:iCs/>
          <w:kern w:val="2"/>
          <w:sz w:val="21"/>
          <w:szCs w:val="21"/>
          <w:u w:val="single"/>
          <w:lang w:val="en-US" w:eastAsia="zh-CN" w:bidi="ar-SA"/>
        </w:rPr>
        <w:t xml:space="preserve">    （标的名称）     </w:t>
      </w:r>
      <w:r>
        <w:rPr>
          <w:rFonts w:hint="eastAsia" w:asciiTheme="minorEastAsia" w:hAnsiTheme="minorEastAsia" w:eastAsiaTheme="minorEastAsia" w:cstheme="minorEastAsia"/>
          <w:kern w:val="2"/>
          <w:sz w:val="21"/>
          <w:szCs w:val="21"/>
          <w:lang w:val="en-US" w:eastAsia="zh-CN" w:bidi="ar-SA"/>
        </w:rPr>
        <w:t>，属于</w:t>
      </w:r>
      <w:r>
        <w:rPr>
          <w:rFonts w:hint="eastAsia" w:asciiTheme="minorEastAsia" w:hAnsiTheme="minorEastAsia" w:eastAsiaTheme="minorEastAsia" w:cstheme="minorEastAsia"/>
          <w:b/>
          <w:bCs/>
          <w:i/>
          <w:iCs/>
          <w:kern w:val="2"/>
          <w:sz w:val="21"/>
          <w:szCs w:val="21"/>
          <w:u w:val="single"/>
          <w:lang w:val="en-US" w:eastAsia="zh-CN" w:bidi="ar-SA"/>
        </w:rPr>
        <w:t xml:space="preserve">    （采购文件中明确的所属行业）    </w:t>
      </w:r>
      <w:r>
        <w:rPr>
          <w:rFonts w:hint="eastAsia" w:asciiTheme="minorEastAsia" w:hAnsiTheme="minorEastAsia" w:eastAsiaTheme="minorEastAsia" w:cstheme="minorEastAsia"/>
          <w:kern w:val="2"/>
          <w:sz w:val="21"/>
          <w:szCs w:val="21"/>
          <w:lang w:val="en-US" w:eastAsia="zh-CN" w:bidi="ar-SA"/>
        </w:rPr>
        <w:t>行业；制造商为</w:t>
      </w:r>
      <w:r>
        <w:rPr>
          <w:rFonts w:hint="eastAsia" w:asciiTheme="minorEastAsia" w:hAnsiTheme="minorEastAsia" w:eastAsiaTheme="minorEastAsia" w:cstheme="minorEastAsia"/>
          <w:b/>
          <w:bCs/>
          <w:i/>
          <w:iCs/>
          <w:kern w:val="2"/>
          <w:sz w:val="21"/>
          <w:szCs w:val="21"/>
          <w:u w:val="single"/>
          <w:lang w:val="en-US" w:eastAsia="zh-CN" w:bidi="ar-SA"/>
        </w:rPr>
        <w:t xml:space="preserve">    （企业名称，要求制造商本身所属行业应当与招标文件要求的行业相一致）    </w:t>
      </w:r>
      <w:r>
        <w:rPr>
          <w:rFonts w:hint="eastAsia" w:asciiTheme="minorEastAsia" w:hAnsiTheme="minorEastAsia" w:eastAsiaTheme="minorEastAsia" w:cstheme="minorEastAsia"/>
          <w:kern w:val="2"/>
          <w:sz w:val="21"/>
          <w:szCs w:val="21"/>
          <w:lang w:val="en-US" w:eastAsia="zh-CN" w:bidi="ar-SA"/>
        </w:rPr>
        <w:t>，从业人员</w:t>
      </w:r>
      <w:r>
        <w:rPr>
          <w:rFonts w:hint="eastAsia" w:asciiTheme="minorEastAsia" w:hAnsiTheme="minorEastAsia" w:eastAsiaTheme="minorEastAsia" w:cstheme="minorEastAsia"/>
          <w:b/>
          <w:bCs/>
          <w:i/>
          <w:iCs/>
          <w:kern w:val="2"/>
          <w:sz w:val="21"/>
          <w:szCs w:val="21"/>
          <w:u w:val="single"/>
          <w:lang w:val="en-US" w:eastAsia="zh-CN" w:bidi="ar-SA"/>
        </w:rPr>
        <w:t xml:space="preserve">        </w:t>
      </w:r>
      <w:r>
        <w:rPr>
          <w:rFonts w:hint="eastAsia" w:asciiTheme="minorEastAsia" w:hAnsiTheme="minorEastAsia" w:eastAsiaTheme="minorEastAsia" w:cstheme="minorEastAsia"/>
          <w:kern w:val="2"/>
          <w:sz w:val="21"/>
          <w:szCs w:val="21"/>
          <w:lang w:val="en-US" w:eastAsia="zh-CN" w:bidi="ar-SA"/>
        </w:rPr>
        <w:t>人，营业收入为</w:t>
      </w:r>
      <w:r>
        <w:rPr>
          <w:rFonts w:hint="eastAsia" w:asciiTheme="minorEastAsia" w:hAnsiTheme="minorEastAsia" w:eastAsiaTheme="minorEastAsia" w:cstheme="minorEastAsia"/>
          <w:b/>
          <w:bCs/>
          <w:i/>
          <w:iCs/>
          <w:kern w:val="2"/>
          <w:sz w:val="21"/>
          <w:szCs w:val="21"/>
          <w:u w:val="single"/>
          <w:lang w:val="en-US" w:eastAsia="zh-CN" w:bidi="ar-SA"/>
        </w:rPr>
        <w:t xml:space="preserve">         </w:t>
      </w:r>
      <w:r>
        <w:rPr>
          <w:rFonts w:hint="eastAsia" w:asciiTheme="minorEastAsia" w:hAnsiTheme="minorEastAsia" w:eastAsiaTheme="minorEastAsia" w:cstheme="minorEastAsia"/>
          <w:kern w:val="2"/>
          <w:sz w:val="21"/>
          <w:szCs w:val="21"/>
          <w:lang w:val="en-US" w:eastAsia="zh-CN" w:bidi="ar-SA"/>
        </w:rPr>
        <w:t>万元，资产总额为</w:t>
      </w:r>
      <w:r>
        <w:rPr>
          <w:rFonts w:hint="eastAsia" w:asciiTheme="minorEastAsia" w:hAnsiTheme="minorEastAsia" w:eastAsiaTheme="minorEastAsia" w:cstheme="minorEastAsia"/>
          <w:b/>
          <w:bCs/>
          <w:i/>
          <w:iCs/>
          <w:kern w:val="2"/>
          <w:sz w:val="21"/>
          <w:szCs w:val="21"/>
          <w:u w:val="single"/>
          <w:lang w:val="en-US" w:eastAsia="zh-CN" w:bidi="ar-SA"/>
        </w:rPr>
        <w:t xml:space="preserve">         </w:t>
      </w:r>
      <w:r>
        <w:rPr>
          <w:rFonts w:hint="eastAsia" w:asciiTheme="minorEastAsia" w:hAnsiTheme="minorEastAsia" w:eastAsiaTheme="minorEastAsia" w:cstheme="minorEastAsia"/>
          <w:kern w:val="2"/>
          <w:sz w:val="21"/>
          <w:szCs w:val="21"/>
          <w:lang w:val="en-US" w:eastAsia="zh-CN" w:bidi="ar-SA"/>
        </w:rPr>
        <w:t>万元，属于</w:t>
      </w:r>
      <w:r>
        <w:rPr>
          <w:rFonts w:hint="eastAsia" w:asciiTheme="minorEastAsia" w:hAnsiTheme="minorEastAsia" w:eastAsiaTheme="minorEastAsia" w:cstheme="minorEastAsia"/>
          <w:b/>
          <w:bCs/>
          <w:i/>
          <w:iCs/>
          <w:kern w:val="2"/>
          <w:sz w:val="21"/>
          <w:szCs w:val="21"/>
          <w:u w:val="single"/>
          <w:lang w:val="en-US" w:eastAsia="zh-CN" w:bidi="ar-SA"/>
        </w:rPr>
        <w:t xml:space="preserve">    （中型企业、小型企业、微型企业）    </w:t>
      </w:r>
      <w:r>
        <w:rPr>
          <w:rFonts w:hint="eastAsia" w:asciiTheme="minorEastAsia" w:hAnsiTheme="minorEastAsia" w:eastAsiaTheme="minorEastAsia" w:cstheme="minorEastAsia"/>
          <w:kern w:val="2"/>
          <w:sz w:val="21"/>
          <w:szCs w:val="21"/>
          <w:lang w:val="en-US" w:eastAsia="zh-CN" w:bidi="ar-SA"/>
        </w:rPr>
        <w:t>；</w:t>
      </w:r>
    </w:p>
    <w:p w14:paraId="31D6BDBB">
      <w:pPr>
        <w:widowControl w:val="0"/>
        <w:spacing w:line="360" w:lineRule="auto"/>
        <w:ind w:firstLine="420" w:firstLineChars="200"/>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w:t>
      </w:r>
    </w:p>
    <w:p w14:paraId="23371BCF">
      <w:pPr>
        <w:widowControl w:val="0"/>
        <w:spacing w:line="360" w:lineRule="auto"/>
        <w:ind w:firstLine="420" w:firstLineChars="200"/>
        <w:jc w:val="both"/>
        <w:rPr>
          <w:rFonts w:hint="eastAsia" w:asciiTheme="minorEastAsia" w:hAnsiTheme="minorEastAsia" w:eastAsiaTheme="minorEastAsia" w:cstheme="minorEastAsia"/>
          <w:kern w:val="2"/>
          <w:sz w:val="21"/>
          <w:szCs w:val="21"/>
          <w:lang w:val="en-US" w:eastAsia="zh-CN" w:bidi="ar-SA"/>
        </w:rPr>
      </w:pPr>
    </w:p>
    <w:p w14:paraId="7AFCC2A0">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以上企业，不属于大企业的分支机构，不存在控股股东为大企业的情形，也不存在与大企业的负责人为同一人的情形。</w:t>
      </w:r>
    </w:p>
    <w:p w14:paraId="1AD11DA2">
      <w:pPr>
        <w:spacing w:line="360" w:lineRule="auto"/>
        <w:ind w:firstLine="420" w:firstLineChars="200"/>
        <w:rPr>
          <w:rFonts w:hint="eastAsia" w:asciiTheme="minorEastAsia" w:hAnsiTheme="minorEastAsia" w:eastAsiaTheme="minorEastAsia" w:cstheme="minorEastAsia"/>
          <w:szCs w:val="21"/>
        </w:rPr>
      </w:pPr>
      <w:bookmarkStart w:id="55" w:name="_Hlk73562203"/>
      <w:r>
        <w:rPr>
          <w:rFonts w:hint="eastAsia" w:asciiTheme="minorEastAsia" w:hAnsiTheme="minorEastAsia" w:eastAsiaTheme="minorEastAsia" w:cstheme="minorEastAsia"/>
          <w:szCs w:val="21"/>
        </w:rPr>
        <w:t>本投标人对上述声明内容的真实性负责。如有虚假，将依法承担相应责任。</w:t>
      </w:r>
    </w:p>
    <w:p w14:paraId="7FB79CA0">
      <w:pPr>
        <w:spacing w:line="360" w:lineRule="auto"/>
        <w:ind w:firstLine="420" w:firstLineChars="200"/>
        <w:rPr>
          <w:rFonts w:ascii="Times New Roman" w:hAnsi="Times New Roman" w:eastAsia="宋体" w:cs="Times New Roman"/>
          <w:sz w:val="24"/>
        </w:rPr>
      </w:pPr>
      <w:r>
        <w:rPr>
          <w:rFonts w:hint="eastAsia" w:asciiTheme="minorEastAsia" w:hAnsiTheme="minorEastAsia" w:eastAsiaTheme="minorEastAsia" w:cstheme="minorEastAsia"/>
          <w:szCs w:val="21"/>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55"/>
    </w:p>
    <w:p w14:paraId="5FA52F3C">
      <w:pPr>
        <w:ind w:firstLine="420" w:firstLineChars="200"/>
        <w:rPr>
          <w:rFonts w:hint="eastAsia" w:ascii="宋体" w:hAnsi="宋体" w:eastAsia="宋体" w:cs="Times New Roman"/>
          <w:bCs/>
          <w:color w:val="FF0000"/>
          <w:kern w:val="0"/>
          <w:szCs w:val="21"/>
        </w:rPr>
      </w:pPr>
    </w:p>
    <w:p w14:paraId="07AB3500">
      <w:pPr>
        <w:rPr>
          <w:rFonts w:ascii="Times New Roman" w:hAnsi="Times New Roman" w:eastAsia="宋体" w:cs="Times New Roman"/>
        </w:rPr>
      </w:pPr>
    </w:p>
    <w:p w14:paraId="03F13126">
      <w:pPr>
        <w:ind w:firstLine="420" w:firstLineChars="200"/>
        <w:rPr>
          <w:rFonts w:ascii="Times New Roman" w:hAnsi="Times New Roman" w:eastAsia="宋体" w:cs="Times New Roman"/>
        </w:rPr>
      </w:pPr>
    </w:p>
    <w:p w14:paraId="04B6808B">
      <w:pPr>
        <w:jc w:val="center"/>
        <w:rPr>
          <w:rFonts w:ascii="Times New Roman" w:hAnsi="Times New Roman" w:eastAsia="宋体" w:cs="Times New Roman"/>
          <w:b/>
          <w:sz w:val="24"/>
        </w:rPr>
      </w:pPr>
      <w:r>
        <w:rPr>
          <w:rFonts w:hint="eastAsia" w:ascii="Times New Roman" w:hAnsi="Times New Roman" w:eastAsia="宋体" w:cs="Times New Roman"/>
          <w:b/>
          <w:sz w:val="24"/>
        </w:rPr>
        <w:t>2、残疾人福利性单位声明函（货物类）</w:t>
      </w:r>
    </w:p>
    <w:p w14:paraId="075C79FB">
      <w:pPr>
        <w:rPr>
          <w:rFonts w:ascii="Times New Roman" w:hAnsi="Times New Roman" w:eastAsia="宋体" w:cs="Times New Roman"/>
          <w:b/>
          <w:bCs/>
        </w:rPr>
      </w:pPr>
    </w:p>
    <w:p w14:paraId="1904933E">
      <w:pPr>
        <w:spacing w:line="360" w:lineRule="auto"/>
        <w:ind w:firstLine="420" w:firstLineChars="200"/>
        <w:rPr>
          <w:rFonts w:hint="eastAsia" w:asciiTheme="minorEastAsia" w:hAnsiTheme="minorEastAsia" w:eastAsiaTheme="minorEastAsia" w:cstheme="minorEastAsia"/>
          <w:szCs w:val="21"/>
        </w:rPr>
      </w:pPr>
      <w:bookmarkStart w:id="56" w:name="_Hlk73562331"/>
      <w:bookmarkStart w:id="57" w:name="_Hlk73562245"/>
      <w:r>
        <w:rPr>
          <w:rFonts w:hint="eastAsia" w:asciiTheme="minorEastAsia" w:hAnsiTheme="minorEastAsia" w:eastAsiaTheme="minorEastAsia" w:cstheme="minorEastAsia"/>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b/>
          <w:bCs/>
          <w:i/>
          <w:iCs/>
          <w:szCs w:val="21"/>
          <w:u w:val="single"/>
        </w:rPr>
        <w:t xml:space="preserve">    （单位名称）    </w:t>
      </w:r>
      <w:r>
        <w:rPr>
          <w:rFonts w:hint="eastAsia" w:asciiTheme="minorEastAsia" w:hAnsiTheme="minorEastAsia" w:eastAsiaTheme="minorEastAsia" w:cstheme="minorEastAsia"/>
          <w:szCs w:val="21"/>
        </w:rPr>
        <w:t>单位的</w:t>
      </w:r>
      <w:r>
        <w:rPr>
          <w:rFonts w:hint="eastAsia" w:asciiTheme="minorEastAsia" w:hAnsiTheme="minorEastAsia" w:eastAsiaTheme="minorEastAsia" w:cstheme="minorEastAsia"/>
          <w:b/>
          <w:bCs/>
          <w:i/>
          <w:iCs/>
          <w:szCs w:val="21"/>
          <w:u w:val="single"/>
        </w:rPr>
        <w:t xml:space="preserve">    （项目名称）    </w:t>
      </w:r>
      <w:r>
        <w:rPr>
          <w:rFonts w:hint="eastAsia" w:asciiTheme="minorEastAsia" w:hAnsiTheme="minorEastAsia" w:eastAsiaTheme="minorEastAsia" w:cstheme="minorEastAsia"/>
          <w:szCs w:val="21"/>
        </w:rPr>
        <w:t>项目采购活动提供本单位制造的货物（由本单位承担工程/提供服务），或者提供其他残疾人福利性单位制造的货物（不包括使用非残疾人福利性单位注册商标的货物）。</w:t>
      </w:r>
    </w:p>
    <w:p w14:paraId="0992C160">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本单位对上述声明的真实性负责。如有虚假，将依法承担相应责任。</w:t>
      </w:r>
    </w:p>
    <w:p w14:paraId="1E409964">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本投标人已知悉《财政部民政部中国残疾人联合会关于促进残疾人就业政府采购政策的通知》（财库〔2017〕141号）的规定，承诺提供的声明函内容是真实的，如提供声明函内容不实，则依法追究相关法律责任。</w:t>
      </w:r>
      <w:bookmarkEnd w:id="56"/>
    </w:p>
    <w:bookmarkEnd w:id="57"/>
    <w:p w14:paraId="4F717E1E">
      <w:pPr>
        <w:ind w:firstLine="420" w:firstLineChars="200"/>
        <w:rPr>
          <w:rFonts w:hint="eastAsia" w:ascii="宋体" w:hAnsi="宋体" w:eastAsia="宋体" w:cs="Times New Roman"/>
          <w:szCs w:val="21"/>
        </w:rPr>
      </w:pPr>
    </w:p>
    <w:p w14:paraId="040B7576">
      <w:pPr>
        <w:ind w:firstLine="420" w:firstLineChars="200"/>
        <w:rPr>
          <w:rFonts w:hint="eastAsia" w:ascii="宋体" w:hAnsi="宋体" w:eastAsia="宋体" w:cs="Times New Roman"/>
          <w:szCs w:val="21"/>
        </w:rPr>
      </w:pPr>
    </w:p>
    <w:p w14:paraId="627422E7">
      <w:pPr>
        <w:jc w:val="center"/>
        <w:rPr>
          <w:rFonts w:ascii="Times New Roman" w:hAnsi="Times New Roman" w:eastAsia="宋体" w:cs="Times New Roman"/>
          <w:b/>
          <w:sz w:val="24"/>
        </w:rPr>
      </w:pPr>
      <w:r>
        <w:rPr>
          <w:rFonts w:hint="eastAsia" w:ascii="Times New Roman" w:hAnsi="Times New Roman" w:eastAsia="宋体" w:cs="Times New Roman"/>
          <w:b/>
          <w:sz w:val="24"/>
        </w:rPr>
        <w:t>3、监狱企业声明函【货物类，提供监狱企业货物的供应商如需享受优惠政策，还须另行提供省级以上监狱管理局、戒毒管理局（含新疆生产建设兵团）出具的监狱企业证明文件】</w:t>
      </w:r>
    </w:p>
    <w:p w14:paraId="60CB0388">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本投标人郑重声明，根据《财政部司法部关于政府采购支持监狱企业发展有关问题的通知》（财库〔</w:t>
      </w:r>
      <w:r>
        <w:rPr>
          <w:rFonts w:ascii="宋体" w:hAnsi="宋体" w:eastAsia="宋体" w:cs="Times New Roman"/>
          <w:szCs w:val="21"/>
        </w:rPr>
        <w:t>2014</w:t>
      </w:r>
      <w:r>
        <w:rPr>
          <w:rFonts w:hint="eastAsia" w:ascii="宋体" w:hAnsi="宋体" w:eastAsia="宋体" w:cs="Times New Roman"/>
          <w:szCs w:val="21"/>
        </w:rPr>
        <w:t>〕</w:t>
      </w:r>
      <w:r>
        <w:rPr>
          <w:rFonts w:ascii="宋体" w:hAnsi="宋体" w:eastAsia="宋体" w:cs="Times New Roman"/>
          <w:szCs w:val="21"/>
        </w:rPr>
        <w:t>68</w:t>
      </w:r>
      <w:r>
        <w:rPr>
          <w:rFonts w:hint="eastAsia" w:ascii="宋体" w:hAnsi="宋体" w:eastAsia="宋体" w:cs="Times New Roman"/>
          <w:szCs w:val="21"/>
        </w:rPr>
        <w:t>号）的规定，本投标人</w:t>
      </w:r>
      <w:r>
        <w:rPr>
          <w:rFonts w:ascii="宋体" w:hAnsi="宋体" w:eastAsia="宋体" w:cstheme="minorBidi"/>
          <w:szCs w:val="21"/>
        </w:rPr>
        <w:t>参加</w:t>
      </w:r>
      <w:r>
        <w:rPr>
          <w:rFonts w:ascii="宋体" w:hAnsi="宋体" w:eastAsia="宋体" w:cs="Times New Roman"/>
          <w:b/>
          <w:bCs/>
          <w:i/>
          <w:iCs/>
          <w:szCs w:val="21"/>
          <w:u w:val="single"/>
        </w:rPr>
        <w:t>（</w:t>
      </w:r>
      <w:r>
        <w:rPr>
          <w:rFonts w:hint="eastAsia" w:ascii="宋体" w:hAnsi="宋体" w:eastAsia="宋体" w:cs="Times New Roman"/>
          <w:b/>
          <w:bCs/>
          <w:i/>
          <w:iCs/>
          <w:szCs w:val="21"/>
          <w:u w:val="single"/>
        </w:rPr>
        <w:t>采购人</w:t>
      </w:r>
      <w:r>
        <w:rPr>
          <w:rFonts w:ascii="宋体" w:hAnsi="宋体" w:eastAsia="宋体" w:cs="Times New Roman"/>
          <w:b/>
          <w:bCs/>
          <w:i/>
          <w:iCs/>
          <w:szCs w:val="21"/>
          <w:u w:val="single"/>
        </w:rPr>
        <w:t>名称）</w:t>
      </w:r>
      <w:r>
        <w:rPr>
          <w:rFonts w:ascii="宋体" w:hAnsi="宋体" w:eastAsia="宋体" w:cs="Times New Roman"/>
          <w:szCs w:val="21"/>
        </w:rPr>
        <w:t>的</w:t>
      </w:r>
      <w:r>
        <w:rPr>
          <w:rFonts w:ascii="宋体" w:hAnsi="宋体" w:eastAsia="宋体" w:cs="Times New Roman"/>
          <w:b/>
          <w:bCs/>
          <w:i/>
          <w:iCs/>
          <w:szCs w:val="21"/>
          <w:u w:val="single"/>
        </w:rPr>
        <w:t>（项目名称）</w:t>
      </w:r>
      <w:r>
        <w:rPr>
          <w:rFonts w:ascii="宋体" w:hAnsi="宋体" w:eastAsia="宋体" w:cs="Times New Roman"/>
          <w:szCs w:val="21"/>
        </w:rPr>
        <w:t>采购活动，提供的货物全部由符合政策要求的</w:t>
      </w:r>
      <w:r>
        <w:rPr>
          <w:rFonts w:hint="eastAsia" w:ascii="宋体" w:hAnsi="宋体" w:eastAsia="宋体" w:cs="Times New Roman"/>
          <w:szCs w:val="21"/>
        </w:rPr>
        <w:t>监狱企业</w:t>
      </w:r>
      <w:r>
        <w:rPr>
          <w:rFonts w:ascii="宋体" w:hAnsi="宋体" w:eastAsia="宋体" w:cs="Times New Roman"/>
          <w:szCs w:val="21"/>
        </w:rPr>
        <w:t>制造。相关</w:t>
      </w:r>
      <w:r>
        <w:rPr>
          <w:rFonts w:hint="eastAsia" w:ascii="宋体" w:hAnsi="宋体" w:eastAsia="宋体" w:cs="Times New Roman"/>
          <w:szCs w:val="21"/>
        </w:rPr>
        <w:t>监狱企业</w:t>
      </w:r>
      <w:r>
        <w:rPr>
          <w:rFonts w:ascii="宋体" w:hAnsi="宋体" w:eastAsia="宋体" w:cs="Times New Roman"/>
          <w:szCs w:val="21"/>
        </w:rPr>
        <w:t>的具体情况如下：</w:t>
      </w:r>
    </w:p>
    <w:p w14:paraId="077124D0">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1.</w:t>
      </w:r>
      <w:r>
        <w:rPr>
          <w:rFonts w:ascii="宋体" w:hAnsi="宋体" w:eastAsia="宋体" w:cs="Times New Roman"/>
          <w:b/>
          <w:bCs/>
          <w:i/>
          <w:iCs/>
          <w:szCs w:val="21"/>
          <w:u w:val="single"/>
        </w:rPr>
        <w:t xml:space="preserve"> </w:t>
      </w:r>
      <w:r>
        <w:rPr>
          <w:rFonts w:hint="eastAsia" w:ascii="宋体" w:hAnsi="宋体" w:eastAsia="宋体" w:cs="Times New Roman"/>
          <w:b/>
          <w:bCs/>
          <w:i/>
          <w:iCs/>
          <w:szCs w:val="21"/>
          <w:u w:val="single"/>
        </w:rPr>
        <w:t xml:space="preserve">   </w:t>
      </w:r>
      <w:r>
        <w:rPr>
          <w:rFonts w:ascii="宋体" w:hAnsi="宋体" w:eastAsia="宋体" w:cs="Times New Roman"/>
          <w:b/>
          <w:bCs/>
          <w:i/>
          <w:iCs/>
          <w:szCs w:val="21"/>
          <w:u w:val="single"/>
        </w:rPr>
        <w:t>（标的名称）</w:t>
      </w:r>
      <w:r>
        <w:rPr>
          <w:rFonts w:hint="eastAsia" w:ascii="宋体" w:hAnsi="宋体" w:eastAsia="宋体" w:cs="Times New Roman"/>
          <w:b/>
          <w:bCs/>
          <w:i/>
          <w:iCs/>
          <w:szCs w:val="21"/>
          <w:u w:val="single"/>
        </w:rPr>
        <w:t xml:space="preserve">    </w:t>
      </w:r>
      <w:r>
        <w:rPr>
          <w:rFonts w:hint="eastAsia" w:ascii="宋体" w:hAnsi="宋体" w:eastAsia="宋体" w:cs="Times New Roman"/>
          <w:szCs w:val="21"/>
        </w:rPr>
        <w:t>，</w:t>
      </w:r>
      <w:r>
        <w:rPr>
          <w:rFonts w:ascii="宋体" w:hAnsi="宋体" w:eastAsia="宋体" w:cs="Times New Roman"/>
          <w:szCs w:val="21"/>
        </w:rPr>
        <w:t>制造商为</w:t>
      </w:r>
      <w:r>
        <w:rPr>
          <w:rFonts w:hint="eastAsia" w:ascii="宋体" w:hAnsi="宋体" w:eastAsia="宋体" w:cs="Times New Roman"/>
          <w:szCs w:val="21"/>
          <w:u w:val="single"/>
        </w:rPr>
        <w:t xml:space="preserve">    </w:t>
      </w:r>
      <w:r>
        <w:rPr>
          <w:rFonts w:ascii="宋体" w:hAnsi="宋体" w:eastAsia="宋体" w:cs="Times New Roman"/>
          <w:b/>
          <w:bCs/>
          <w:i/>
          <w:iCs/>
          <w:szCs w:val="21"/>
          <w:u w:val="single"/>
        </w:rPr>
        <w:t>（</w:t>
      </w:r>
      <w:r>
        <w:rPr>
          <w:rFonts w:hint="eastAsia" w:ascii="宋体" w:hAnsi="宋体" w:eastAsia="宋体" w:cs="Times New Roman"/>
          <w:b/>
          <w:bCs/>
          <w:i/>
          <w:iCs/>
          <w:szCs w:val="21"/>
          <w:u w:val="single"/>
        </w:rPr>
        <w:t>企业</w:t>
      </w:r>
      <w:r>
        <w:rPr>
          <w:rFonts w:ascii="宋体" w:hAnsi="宋体" w:eastAsia="宋体" w:cs="Times New Roman"/>
          <w:b/>
          <w:bCs/>
          <w:i/>
          <w:iCs/>
          <w:szCs w:val="21"/>
          <w:u w:val="single"/>
        </w:rPr>
        <w:t>名称）</w:t>
      </w:r>
      <w:r>
        <w:rPr>
          <w:rFonts w:hint="eastAsia" w:ascii="宋体" w:hAnsi="宋体" w:eastAsia="宋体" w:cs="Times New Roman"/>
          <w:b/>
          <w:bCs/>
          <w:i/>
          <w:iCs/>
          <w:szCs w:val="21"/>
          <w:u w:val="single"/>
        </w:rPr>
        <w:t xml:space="preserve">    </w:t>
      </w:r>
      <w:r>
        <w:rPr>
          <w:rFonts w:ascii="宋体" w:hAnsi="宋体" w:eastAsia="宋体" w:cs="Times New Roman"/>
          <w:szCs w:val="21"/>
        </w:rPr>
        <w:t>，属于</w:t>
      </w:r>
      <w:r>
        <w:rPr>
          <w:rFonts w:hint="eastAsia" w:ascii="宋体" w:hAnsi="宋体" w:eastAsia="宋体" w:cs="Times New Roman"/>
          <w:szCs w:val="21"/>
          <w:u w:val="single"/>
        </w:rPr>
        <w:t xml:space="preserve">  </w:t>
      </w:r>
      <w:r>
        <w:rPr>
          <w:rFonts w:hint="eastAsia" w:ascii="宋体" w:hAnsi="宋体" w:eastAsia="宋体" w:cs="Times New Roman"/>
          <w:b/>
          <w:bCs/>
          <w:szCs w:val="21"/>
          <w:u w:val="single"/>
        </w:rPr>
        <w:t xml:space="preserve">监狱企业  </w:t>
      </w:r>
      <w:r>
        <w:rPr>
          <w:rFonts w:ascii="宋体" w:hAnsi="宋体" w:eastAsia="宋体" w:cs="Times New Roman"/>
          <w:szCs w:val="21"/>
        </w:rPr>
        <w:t>；</w:t>
      </w:r>
    </w:p>
    <w:p w14:paraId="02714016">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ascii="宋体" w:hAnsi="宋体" w:eastAsia="宋体" w:cs="Times New Roman"/>
          <w:b/>
          <w:bCs/>
          <w:i/>
          <w:iCs/>
          <w:szCs w:val="21"/>
          <w:u w:val="single"/>
        </w:rPr>
        <w:t xml:space="preserve"> </w:t>
      </w:r>
      <w:r>
        <w:rPr>
          <w:rFonts w:hint="eastAsia" w:ascii="宋体" w:hAnsi="宋体" w:eastAsia="宋体" w:cs="Times New Roman"/>
          <w:b/>
          <w:bCs/>
          <w:i/>
          <w:iCs/>
          <w:szCs w:val="21"/>
          <w:u w:val="single"/>
        </w:rPr>
        <w:t xml:space="preserve">   </w:t>
      </w:r>
      <w:r>
        <w:rPr>
          <w:rFonts w:ascii="宋体" w:hAnsi="宋体" w:eastAsia="宋体" w:cs="Times New Roman"/>
          <w:b/>
          <w:bCs/>
          <w:i/>
          <w:iCs/>
          <w:szCs w:val="21"/>
          <w:u w:val="single"/>
        </w:rPr>
        <w:t>（标的名称）</w:t>
      </w:r>
      <w:r>
        <w:rPr>
          <w:rFonts w:hint="eastAsia" w:ascii="宋体" w:hAnsi="宋体" w:eastAsia="宋体" w:cs="Times New Roman"/>
          <w:b/>
          <w:bCs/>
          <w:i/>
          <w:iCs/>
          <w:szCs w:val="21"/>
          <w:u w:val="single"/>
        </w:rPr>
        <w:t xml:space="preserve">    </w:t>
      </w:r>
      <w:r>
        <w:rPr>
          <w:rFonts w:hint="eastAsia" w:ascii="宋体" w:hAnsi="宋体" w:eastAsia="宋体" w:cs="Times New Roman"/>
          <w:szCs w:val="21"/>
        </w:rPr>
        <w:t>，</w:t>
      </w:r>
      <w:r>
        <w:rPr>
          <w:rFonts w:ascii="宋体" w:hAnsi="宋体" w:eastAsia="宋体" w:cs="Times New Roman"/>
          <w:szCs w:val="21"/>
        </w:rPr>
        <w:t>制造商为</w:t>
      </w:r>
      <w:r>
        <w:rPr>
          <w:rFonts w:hint="eastAsia" w:ascii="宋体" w:hAnsi="宋体" w:eastAsia="宋体" w:cs="Times New Roman"/>
          <w:szCs w:val="21"/>
          <w:u w:val="single"/>
        </w:rPr>
        <w:t xml:space="preserve">    </w:t>
      </w:r>
      <w:r>
        <w:rPr>
          <w:rFonts w:ascii="宋体" w:hAnsi="宋体" w:eastAsia="宋体" w:cs="Times New Roman"/>
          <w:b/>
          <w:bCs/>
          <w:i/>
          <w:iCs/>
          <w:szCs w:val="21"/>
          <w:u w:val="single"/>
        </w:rPr>
        <w:t>（</w:t>
      </w:r>
      <w:r>
        <w:rPr>
          <w:rFonts w:hint="eastAsia" w:ascii="宋体" w:hAnsi="宋体" w:eastAsia="宋体" w:cs="Times New Roman"/>
          <w:b/>
          <w:bCs/>
          <w:i/>
          <w:iCs/>
          <w:szCs w:val="21"/>
          <w:u w:val="single"/>
        </w:rPr>
        <w:t>企业</w:t>
      </w:r>
      <w:r>
        <w:rPr>
          <w:rFonts w:ascii="宋体" w:hAnsi="宋体" w:eastAsia="宋体" w:cs="Times New Roman"/>
          <w:b/>
          <w:bCs/>
          <w:i/>
          <w:iCs/>
          <w:szCs w:val="21"/>
          <w:u w:val="single"/>
        </w:rPr>
        <w:t>名称）</w:t>
      </w:r>
      <w:r>
        <w:rPr>
          <w:rFonts w:hint="eastAsia" w:ascii="宋体" w:hAnsi="宋体" w:eastAsia="宋体" w:cs="Times New Roman"/>
          <w:b/>
          <w:bCs/>
          <w:i/>
          <w:iCs/>
          <w:szCs w:val="21"/>
          <w:u w:val="single"/>
        </w:rPr>
        <w:t xml:space="preserve">    </w:t>
      </w:r>
      <w:r>
        <w:rPr>
          <w:rFonts w:ascii="宋体" w:hAnsi="宋体" w:eastAsia="宋体" w:cs="Times New Roman"/>
          <w:szCs w:val="21"/>
        </w:rPr>
        <w:t>，属于</w:t>
      </w:r>
      <w:r>
        <w:rPr>
          <w:rFonts w:hint="eastAsia" w:ascii="宋体" w:hAnsi="宋体" w:eastAsia="宋体" w:cs="Times New Roman"/>
          <w:szCs w:val="21"/>
          <w:u w:val="single"/>
        </w:rPr>
        <w:t xml:space="preserve">  </w:t>
      </w:r>
      <w:r>
        <w:rPr>
          <w:rFonts w:hint="eastAsia" w:ascii="宋体" w:hAnsi="宋体" w:eastAsia="宋体" w:cs="Times New Roman"/>
          <w:b/>
          <w:bCs/>
          <w:szCs w:val="21"/>
          <w:u w:val="single"/>
        </w:rPr>
        <w:t xml:space="preserve">监狱企业  </w:t>
      </w:r>
      <w:r>
        <w:rPr>
          <w:rFonts w:hint="eastAsia" w:ascii="宋体" w:hAnsi="宋体" w:eastAsia="宋体" w:cs="Times New Roman"/>
          <w:szCs w:val="21"/>
        </w:rPr>
        <w:t>。</w:t>
      </w:r>
    </w:p>
    <w:p w14:paraId="4767E9DC">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 xml:space="preserve">…… </w:t>
      </w:r>
    </w:p>
    <w:p w14:paraId="64D7BEC8">
      <w:pPr>
        <w:spacing w:line="360" w:lineRule="auto"/>
        <w:ind w:firstLine="420" w:firstLineChars="200"/>
        <w:rPr>
          <w:rFonts w:hint="eastAsia" w:ascii="宋体" w:hAnsi="宋体" w:eastAsia="宋体" w:cs="Times New Roman"/>
          <w:szCs w:val="21"/>
        </w:rPr>
      </w:pPr>
      <w:r>
        <w:rPr>
          <w:rFonts w:ascii="宋体" w:hAnsi="宋体" w:eastAsia="宋体" w:cstheme="minorBidi"/>
          <w:szCs w:val="21"/>
        </w:rPr>
        <w:t>本</w:t>
      </w:r>
      <w:r>
        <w:rPr>
          <w:rFonts w:hint="eastAsia" w:ascii="宋体" w:hAnsi="宋体" w:eastAsia="宋体" w:cstheme="minorBidi"/>
          <w:szCs w:val="21"/>
        </w:rPr>
        <w:t>投标人</w:t>
      </w:r>
      <w:r>
        <w:rPr>
          <w:rFonts w:ascii="宋体" w:hAnsi="宋体" w:eastAsia="宋体" w:cs="Times New Roman"/>
          <w:szCs w:val="21"/>
        </w:rPr>
        <w:t>对上述声明内容的真实性负责。如有虚假，将依法承担相应责任。</w:t>
      </w:r>
    </w:p>
    <w:p w14:paraId="17DCCD18">
      <w:pPr>
        <w:spacing w:line="360" w:lineRule="auto"/>
        <w:ind w:firstLine="420" w:firstLineChars="200"/>
        <w:rPr>
          <w:rFonts w:ascii="Times New Roman" w:hAnsi="Times New Roman" w:eastAsia="宋体" w:cs="Times New Roman"/>
          <w:b/>
          <w:bCs/>
          <w:color w:val="FF0000"/>
          <w:szCs w:val="21"/>
        </w:rPr>
      </w:pPr>
      <w:r>
        <w:rPr>
          <w:rFonts w:hint="eastAsia" w:ascii="宋体" w:hAnsi="宋体" w:eastAsia="宋体" w:cs="Times New Roman"/>
          <w:szCs w:val="21"/>
        </w:rPr>
        <w:t>附：省级以上监狱管理局、戒毒管理局（含新疆生产建设兵团）出具的监狱企业证明文件。</w:t>
      </w:r>
      <w:bookmarkEnd w:id="54"/>
    </w:p>
    <w:p w14:paraId="703BA727">
      <w:pPr>
        <w:keepNext/>
        <w:keepLines/>
        <w:widowControl w:val="0"/>
        <w:spacing w:before="260" w:after="260" w:line="240" w:lineRule="auto"/>
        <w:jc w:val="center"/>
        <w:outlineLvl w:val="2"/>
        <w:rPr>
          <w:rFonts w:hint="eastAsia" w:ascii="黑体" w:hAnsi="宋体" w:eastAsia="黑体" w:cs="Times New Roman"/>
          <w:b w:val="0"/>
          <w:bCs/>
          <w:kern w:val="2"/>
          <w:sz w:val="24"/>
          <w:szCs w:val="24"/>
          <w:lang w:val="en-US" w:eastAsia="zh-CN" w:bidi="ar-SA"/>
        </w:rPr>
      </w:pPr>
      <w:bookmarkStart w:id="58" w:name="_Hlk72259976"/>
      <w:r>
        <w:rPr>
          <w:rFonts w:hint="eastAsia" w:ascii="黑体" w:hAnsi="宋体" w:eastAsia="黑体" w:cs="Times New Roman"/>
          <w:b w:val="0"/>
          <w:bCs/>
          <w:kern w:val="2"/>
          <w:sz w:val="24"/>
          <w:szCs w:val="24"/>
          <w:lang w:val="en-US" w:eastAsia="zh-CN" w:bidi="ar-SA"/>
        </w:rPr>
        <w:t>四、项目详细报价</w:t>
      </w:r>
    </w:p>
    <w:p w14:paraId="0A22DC2F">
      <w:pPr>
        <w:tabs>
          <w:tab w:val="left" w:pos="720"/>
        </w:tabs>
        <w:ind w:firstLine="3132" w:firstLineChars="1300"/>
        <w:rPr>
          <w:rFonts w:hint="eastAsia" w:ascii="宋体" w:hAnsi="宋体" w:eastAsia="宋体" w:cs="Times New Roman"/>
          <w:b/>
          <w:sz w:val="24"/>
        </w:rPr>
      </w:pPr>
      <w:r>
        <w:rPr>
          <w:rFonts w:hint="eastAsia" w:ascii="Times New Roman" w:hAnsi="Times New Roman" w:eastAsia="宋体" w:cs="Times New Roman"/>
          <w:b/>
          <w:sz w:val="24"/>
        </w:rPr>
        <w:t>（一）分项报价表</w:t>
      </w:r>
    </w:p>
    <w:tbl>
      <w:tblPr>
        <w:tblStyle w:val="44"/>
        <w:tblpPr w:leftFromText="180" w:rightFromText="180" w:vertAnchor="text" w:horzAnchor="page" w:tblpX="1854" w:tblpY="654"/>
        <w:tblOverlap w:val="never"/>
        <w:tblW w:w="8242" w:type="dxa"/>
        <w:tblInd w:w="0" w:type="dxa"/>
        <w:tblLayout w:type="fixed"/>
        <w:tblCellMar>
          <w:top w:w="0" w:type="dxa"/>
          <w:left w:w="108" w:type="dxa"/>
          <w:bottom w:w="0" w:type="dxa"/>
          <w:right w:w="108" w:type="dxa"/>
        </w:tblCellMar>
      </w:tblPr>
      <w:tblGrid>
        <w:gridCol w:w="681"/>
        <w:gridCol w:w="1605"/>
        <w:gridCol w:w="886"/>
        <w:gridCol w:w="828"/>
        <w:gridCol w:w="1329"/>
        <w:gridCol w:w="414"/>
        <w:gridCol w:w="471"/>
        <w:gridCol w:w="615"/>
        <w:gridCol w:w="471"/>
        <w:gridCol w:w="471"/>
        <w:gridCol w:w="471"/>
      </w:tblGrid>
      <w:tr w14:paraId="44B5D529">
        <w:tblPrEx>
          <w:tblCellMar>
            <w:top w:w="0" w:type="dxa"/>
            <w:left w:w="108" w:type="dxa"/>
            <w:bottom w:w="0" w:type="dxa"/>
            <w:right w:w="108" w:type="dxa"/>
          </w:tblCellMar>
        </w:tblPrEx>
        <w:trPr>
          <w:trHeight w:val="924"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04EC8">
            <w:pPr>
              <w:widowControl/>
              <w:jc w:val="both"/>
              <w:textAlignment w:val="center"/>
              <w:rPr>
                <w:rFonts w:hint="eastAsia" w:asciiTheme="minorEastAsia" w:hAnsiTheme="minorEastAsia" w:eastAsiaTheme="minorEastAsia" w:cstheme="minorEastAsia"/>
                <w:b/>
                <w:bCs/>
                <w:color w:val="000000"/>
                <w:szCs w:val="21"/>
              </w:rPr>
            </w:pPr>
            <w:r>
              <w:rPr>
                <w:rFonts w:hint="eastAsia" w:asciiTheme="minorEastAsia" w:hAnsiTheme="minorEastAsia" w:eastAsiaTheme="minorEastAsia" w:cstheme="minorEastAsia"/>
                <w:b/>
                <w:bCs/>
                <w:color w:val="000000"/>
                <w:kern w:val="0"/>
                <w:szCs w:val="21"/>
              </w:rPr>
              <w:t>序号</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CDFFD">
            <w:pPr>
              <w:widowControl/>
              <w:jc w:val="center"/>
              <w:textAlignment w:val="center"/>
              <w:rPr>
                <w:rFonts w:hint="eastAsia" w:asciiTheme="minorEastAsia" w:hAnsiTheme="minorEastAsia" w:eastAsiaTheme="minorEastAsia" w:cstheme="minorEastAsia"/>
                <w:b/>
                <w:bCs/>
                <w:color w:val="000000"/>
                <w:szCs w:val="21"/>
                <w:lang w:val="en-US" w:eastAsia="zh-CN"/>
              </w:rPr>
            </w:pPr>
            <w:r>
              <w:rPr>
                <w:rFonts w:hint="eastAsia" w:asciiTheme="minorEastAsia" w:hAnsiTheme="minorEastAsia" w:eastAsiaTheme="minorEastAsia" w:cstheme="minorEastAsia"/>
                <w:b/>
                <w:bCs/>
                <w:color w:val="000000"/>
                <w:szCs w:val="21"/>
                <w:lang w:val="en-US" w:eastAsia="zh-CN"/>
              </w:rPr>
              <w:t>名称</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0BB0E">
            <w:pPr>
              <w:widowControl/>
              <w:jc w:val="center"/>
              <w:textAlignment w:val="center"/>
              <w:rPr>
                <w:rFonts w:hint="eastAsia" w:asciiTheme="minorEastAsia" w:hAnsiTheme="minorEastAsia" w:eastAsiaTheme="minorEastAsia" w:cstheme="minorEastAsia"/>
                <w:b/>
                <w:bCs/>
                <w:color w:val="000000"/>
                <w:kern w:val="2"/>
                <w:sz w:val="21"/>
                <w:szCs w:val="21"/>
                <w:lang w:val="en-US" w:eastAsia="zh-CN" w:bidi="ar-SA"/>
              </w:rPr>
            </w:pPr>
            <w:r>
              <w:rPr>
                <w:rFonts w:hint="eastAsia" w:asciiTheme="minorEastAsia" w:hAnsiTheme="minorEastAsia" w:eastAsiaTheme="minorEastAsia" w:cstheme="minorEastAsia"/>
                <w:b/>
                <w:bCs/>
                <w:color w:val="000000"/>
                <w:kern w:val="2"/>
                <w:sz w:val="21"/>
                <w:szCs w:val="21"/>
                <w:lang w:val="en-US" w:eastAsia="zh-CN" w:bidi="ar-SA"/>
              </w:rPr>
              <w:t>最小计量单位</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EC174">
            <w:pPr>
              <w:widowControl/>
              <w:jc w:val="center"/>
              <w:textAlignment w:val="center"/>
              <w:rPr>
                <w:rFonts w:hint="eastAsia" w:asciiTheme="minorEastAsia" w:hAnsiTheme="minorEastAsia" w:eastAsiaTheme="minorEastAsia" w:cstheme="minorEastAsia"/>
                <w:b/>
                <w:bCs/>
                <w:color w:val="000000"/>
                <w:kern w:val="2"/>
                <w:sz w:val="21"/>
                <w:szCs w:val="21"/>
                <w:lang w:val="en-US" w:eastAsia="zh-CN" w:bidi="ar-SA"/>
              </w:rPr>
            </w:pPr>
            <w:r>
              <w:rPr>
                <w:rFonts w:hint="eastAsia" w:asciiTheme="minorEastAsia" w:hAnsiTheme="minorEastAsia" w:eastAsiaTheme="minorEastAsia" w:cstheme="minorEastAsia"/>
                <w:b/>
                <w:bCs/>
                <w:color w:val="000000"/>
                <w:sz w:val="21"/>
                <w:szCs w:val="21"/>
                <w:lang w:val="en-US" w:eastAsia="zh-CN"/>
              </w:rPr>
              <w:t>预计采购数量</w:t>
            </w:r>
          </w:p>
        </w:tc>
        <w:tc>
          <w:tcPr>
            <w:tcW w:w="13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9637D5">
            <w:pPr>
              <w:jc w:val="center"/>
              <w:rPr>
                <w:rFonts w:hint="eastAsia" w:asciiTheme="minorEastAsia" w:hAnsiTheme="minorEastAsia" w:eastAsiaTheme="minorEastAsia" w:cstheme="minorEastAsia"/>
                <w:b/>
                <w:bCs/>
                <w:color w:val="000000"/>
                <w:kern w:val="2"/>
                <w:sz w:val="21"/>
                <w:szCs w:val="21"/>
                <w:lang w:val="en-US" w:eastAsia="zh-CN" w:bidi="ar-SA"/>
              </w:rPr>
            </w:pPr>
            <w:r>
              <w:rPr>
                <w:rFonts w:hint="eastAsia" w:asciiTheme="minorEastAsia" w:hAnsiTheme="minorEastAsia" w:eastAsiaTheme="minorEastAsia" w:cstheme="minorEastAsia"/>
                <w:b/>
                <w:bCs/>
                <w:sz w:val="21"/>
                <w:szCs w:val="21"/>
                <w:lang w:val="en-US" w:eastAsia="zh-CN"/>
              </w:rPr>
              <w:t>最小计量单位</w:t>
            </w:r>
            <w:r>
              <w:rPr>
                <w:rFonts w:hint="eastAsia" w:asciiTheme="minorEastAsia" w:hAnsiTheme="minorEastAsia" w:eastAsiaTheme="minorEastAsia" w:cstheme="minorEastAsia"/>
                <w:b/>
                <w:bCs/>
                <w:sz w:val="21"/>
                <w:szCs w:val="21"/>
              </w:rPr>
              <w:t>单价</w:t>
            </w:r>
            <w:r>
              <w:rPr>
                <w:rFonts w:hint="eastAsia" w:asciiTheme="minorEastAsia" w:hAnsiTheme="minorEastAsia" w:eastAsiaTheme="minorEastAsia" w:cstheme="minorEastAsia"/>
                <w:b/>
                <w:bCs/>
                <w:sz w:val="21"/>
                <w:szCs w:val="21"/>
                <w:lang w:val="en-US" w:eastAsia="zh-CN"/>
              </w:rPr>
              <w:t>最高限价</w:t>
            </w:r>
            <w:r>
              <w:rPr>
                <w:rFonts w:hint="eastAsia" w:asciiTheme="minorEastAsia" w:hAnsiTheme="minorEastAsia" w:eastAsiaTheme="minorEastAsia" w:cstheme="minorEastAsia"/>
                <w:b/>
                <w:bCs/>
                <w:sz w:val="21"/>
                <w:szCs w:val="21"/>
              </w:rPr>
              <w:t>（元）</w:t>
            </w:r>
          </w:p>
        </w:tc>
        <w:tc>
          <w:tcPr>
            <w:tcW w:w="4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F9BA8E">
            <w:pPr>
              <w:jc w:val="center"/>
              <w:rPr>
                <w:rFonts w:hint="eastAsia" w:asciiTheme="minorEastAsia" w:hAnsiTheme="minorEastAsia" w:eastAsiaTheme="minorEastAsia" w:cstheme="minorEastAsia"/>
                <w:b/>
                <w:bCs/>
                <w:sz w:val="21"/>
                <w:szCs w:val="21"/>
              </w:rPr>
            </w:pPr>
            <w:r>
              <w:rPr>
                <w:rFonts w:hint="eastAsia"/>
                <w:b/>
                <w:bCs/>
              </w:rPr>
              <w:t>品牌</w:t>
            </w:r>
          </w:p>
        </w:tc>
        <w:tc>
          <w:tcPr>
            <w:tcW w:w="4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B641AF">
            <w:pPr>
              <w:jc w:val="center"/>
              <w:rPr>
                <w:rFonts w:hint="eastAsia" w:asciiTheme="minorEastAsia" w:hAnsiTheme="minorEastAsia" w:eastAsiaTheme="minorEastAsia" w:cstheme="minorEastAsia"/>
                <w:b/>
                <w:bCs/>
                <w:sz w:val="21"/>
                <w:szCs w:val="21"/>
              </w:rPr>
            </w:pPr>
            <w:r>
              <w:rPr>
                <w:rFonts w:hint="eastAsia"/>
                <w:b/>
                <w:bCs/>
              </w:rPr>
              <w:t>规格/型号</w:t>
            </w: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46CCFF">
            <w:pPr>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原产地</w:t>
            </w:r>
          </w:p>
        </w:tc>
        <w:tc>
          <w:tcPr>
            <w:tcW w:w="4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CEA32">
            <w:pPr>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制造商名称</w:t>
            </w:r>
          </w:p>
        </w:tc>
        <w:tc>
          <w:tcPr>
            <w:tcW w:w="4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2C59FD">
            <w:pPr>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单价(元)</w:t>
            </w:r>
          </w:p>
        </w:tc>
        <w:tc>
          <w:tcPr>
            <w:tcW w:w="4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AD4E40">
            <w:pPr>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合价(元)</w:t>
            </w:r>
          </w:p>
        </w:tc>
      </w:tr>
      <w:tr w14:paraId="198C0868">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F34D3">
            <w:pPr>
              <w:widowControl/>
              <w:numPr>
                <w:ilvl w:val="0"/>
                <w:numId w:val="0"/>
              </w:numPr>
              <w:ind w:left="425" w:leftChars="0" w:hanging="425" w:firstLineChars="0"/>
              <w:jc w:val="center"/>
              <w:textAlignment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1.</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54DD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癌抗原125测定（化学发光法）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AB86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6CF4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3500人份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CC4C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AD2D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6CA9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B497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B288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1695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4896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35B7740A">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A2B14">
            <w:pPr>
              <w:widowControl/>
              <w:numPr>
                <w:ilvl w:val="0"/>
                <w:numId w:val="0"/>
              </w:numPr>
              <w:ind w:left="425" w:leftChars="0" w:hanging="425" w:firstLineChars="0"/>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2"/>
                <w:sz w:val="21"/>
                <w:szCs w:val="21"/>
                <w:lang w:val="en-US" w:eastAsia="zh-CN" w:bidi="ar-SA"/>
              </w:rPr>
              <w:t>2.</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E206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癌抗原15-3测定（化学发光法）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2FE5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E3E5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226D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EDE0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EB6E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EE6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9903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7FD7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928B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4028A5A8">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4AB42">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3.</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C113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癌抗原72-4测定（化学发光法）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7423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BE27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DD42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EA7C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41B9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883F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D0A6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1C62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11EA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740251B4">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AE1D2">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4.</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5277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癌胚抗原测定（化学发光法）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A2A8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EBD9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12500人份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F3D8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6.29</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E383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B437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CB29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5890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A3F6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AB9D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0FB7027E">
        <w:tblPrEx>
          <w:tblCellMar>
            <w:top w:w="0" w:type="dxa"/>
            <w:left w:w="108" w:type="dxa"/>
            <w:bottom w:w="0" w:type="dxa"/>
            <w:right w:w="108" w:type="dxa"/>
          </w:tblCellMar>
        </w:tblPrEx>
        <w:trPr>
          <w:trHeight w:val="43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08739">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5.</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B790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甲胎蛋白测定（化学发光法）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1F6C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CEA7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15000人份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972B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6.73</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1928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31EF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3F99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DBE5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00AF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8C37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5BC8BA02">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7E914">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6.</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D5DB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鳞状上皮细胞癌抗原测定（化学发光法）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D152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8113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4500人份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93C6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933F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D022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7069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21EC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E613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7D9C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41CCF60D">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C36BA">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7.</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59E3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人附睾蛋白4测定（化学发光法）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43FB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6C0D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2500人份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A56C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32</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7F08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1445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8AF2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478F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A160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7EE8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6230202F">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938CB">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8.</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3CB2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神经元特异性烯醇化酶测定（化学发光法）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E615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B0B1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4500人份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784C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B080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9B60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0BAB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C05B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B863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9C2E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74F9E856">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72C74">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9.</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9E4B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糖类抗原19-9测定（化学发光法）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917A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7B98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4800人份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B1D6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DD52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4670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FA33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4A8E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9B36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189B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65C50D2C">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05039">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10.</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D3CF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糖类抗原242测定（化学发光法）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2BAD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CA8B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6821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1D37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10B4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E586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3E28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A4DF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F120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26ABBC81">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20BEB">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11.</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535D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糖类抗原50测定（化学发光法）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3D51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C32C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9FA5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009A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C61A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F897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05BF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B002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365B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69B4E797">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25B6A">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12.</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A6A6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胃蛋白酶原II测定（化学发光法）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22D8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F728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3C51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22</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6DD9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05BE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89C7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95E9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0443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2A67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7F0155CF">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D54DC">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13.</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3F47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胃蛋白酶原I测定（化学发光法）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D28A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50B7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981B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22</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7B5A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BC39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5ED6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B85E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D259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2D34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12F625DF">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423BB">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14.</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B902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胃泌素17测定（化学发光法）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AA81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3B80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9C3C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20.16</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F31C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BBEF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BA11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43BA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0360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DD3B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2B648676">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4F58D">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15.</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3418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胃泌素释放肽前体测定（化学发光法）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05FF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1F28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95BD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301D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955B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6179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83E0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E787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A12F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02CAC372">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F9E4A">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16.</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850C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细胞角蛋白19片段测定（化学发光法）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38AD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A245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D45D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A7A7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145B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B539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3DC6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79AF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F7EC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60355DA3">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E57C4">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17.</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3438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游离前列腺特异性抗原测定（化学发光法）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5B15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144D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3500</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F04E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FD43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C136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DA79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E7B7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91C3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22E8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37EF348B">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4F0C4">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18.</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8BA6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总前列腺特异性抗原测定（化学发光法）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56DF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DCC0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3600人份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998C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DED5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27A5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C407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97CE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ACD2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BCD1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7C0107E7">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4D717">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19.</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0CB0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单纯疱疹病毒Ⅰ型IgG抗体检测（化学发光法）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264F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64C0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0F0A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14.5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2599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C5F9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3365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CFBA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32CB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0B2C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4EE7CE3D">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E3D0C">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20.</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F740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单纯疱疹病毒Ⅰ型IgM抗体检测（化学发光法）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D199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5CF7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2100人份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198F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13.9</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611A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9DD1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9A78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BE94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44AD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E4D6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61A43FF1">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C4609">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21.</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4D0F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单纯疱疹病毒Ⅱ型IgG抗体检测（化学发光法）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7FF8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3B37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29A5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14.5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D88C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6224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C44C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8ECB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6074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D533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7828F1DF">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A7266">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22.</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C37B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单纯疱疹病毒Ⅱ型IgM抗体检测（化学发光法）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0FB5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251F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2100人份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6715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13.9</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54A9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A502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C5CF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7578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3EFA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FA1B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14879AAA">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4E928">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23.</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C63A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风疹病毒IgG测定（化学发光法）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EA2C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BA79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88FC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13.65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63AD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78B8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E0AC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3410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1339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443B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1A59EB62">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7CC92">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24.</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28EB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风疹病毒IgM抗体检测（化学发光法）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4990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9221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2100人份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0E8B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13.65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CAE9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730C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5033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BAC8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CDA0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9479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5B523DE6">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7083F">
            <w:pPr>
              <w:numPr>
                <w:ilvl w:val="0"/>
                <w:numId w:val="0"/>
              </w:numPr>
              <w:ind w:left="425" w:leftChars="0" w:hanging="425" w:firstLine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kern w:val="2"/>
                <w:sz w:val="21"/>
                <w:szCs w:val="21"/>
                <w:lang w:val="en-US" w:eastAsia="zh-CN" w:bidi="ar-SA"/>
              </w:rPr>
              <w:t>25.</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2DEC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弓形虫IgG抗体测定（化学发光法）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08E5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1A1B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7D69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13.65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A05C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A75C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0B6A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B3F0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2E8E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033F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2BB9D2E6">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A2083">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26.</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5B5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弓形虫IgM抗体检测（化学发光法）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C3FF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EB35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bidi="ar"/>
              </w:rPr>
              <w:t>2100人份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0DAA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bidi="ar"/>
              </w:rPr>
              <w:t>13.65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8AA5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FF9C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6AD4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7354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6CCA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2F8F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1034D4E8">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4B9CC">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27.</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2B86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巨细胞病毒IgG检测（化学发光法）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8A0B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F9E1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02D9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13.5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CC96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A100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63BA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0A34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F4D0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8195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3BE0D961">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63A1F">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28.</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7CA9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巨细胞病毒IgM抗体检测（化学发光法）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445C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7E3D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2100人份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50F3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13.65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02D5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8D68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FE50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AC5B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A19D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01B5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089AD1F5">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54EA3">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29.</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F110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白介素6测定(化学发光法)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0962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B3AD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8DEE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24</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6931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F86F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16D5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857F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CBFF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A951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68BC422D">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E7A5E">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30.</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C390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N末端—脑钠肽前体测定（化学发光法）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DD41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F2F0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0813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87.5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D8E0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7AF8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19E8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CC43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B6E3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E1C6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418E5A50">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4B9E1">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31.</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AB0C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C肽测定（化学发光法）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B7C0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91AF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A369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A624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756A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6799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67DF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DC28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8961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1508392E">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69116">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32.</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B008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胰岛素测定（化学发光法）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57B6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629C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4500人份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63F5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12.47</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3E66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ED07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91AE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BEDE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7B0F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005A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18A414DE">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3396E">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33.</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1340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非结合雌三醇测定（化学发光法）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C668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5739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2000人份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EF30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15.24</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C54D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D3E2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8071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5B12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6B64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0C9B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3068CC75">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3D61D">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34.</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1E68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妊娠相关蛋白A测定（化学发光法）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75F7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AA48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2000人份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A0B6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33.8</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1862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EC64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31BE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5A14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897C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3841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6695B0E5">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09119">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35.</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ED0E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丙型肝炎病毒IgG抗体检测（化学发光法）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4398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5EA5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1EBC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15.2</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CB48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0FC4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5CB5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D808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D261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B8A6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50D19701">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D4123">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36.</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76FC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梅毒螺旋体抗体检测（化学发光法）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1F37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C330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057A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13.2</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9FB4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A24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520C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456D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31C1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1188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42FEF5C4">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C8981">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37.</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1537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人类免疫缺陷病毒抗原抗体检测（化学发光法）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B223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AD45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F3A8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13.86</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0C50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696C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5745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BD37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AB49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1D9D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37C072D0">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B0623">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38.</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E798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乙型肝炎病毒e抗体检测（化学发光法）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D232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6881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3600人份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252C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7.18</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6C5F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66B2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8F00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43CE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29E6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AB0C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1B3B68F0">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F568C">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39.</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D774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乙型肝炎病毒e抗原检测（化学发光法）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A2D4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FAEC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3600人份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8AC2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7.18</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F3CF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9F25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CCD4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1CDB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A5B8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DF6D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7170AF7A">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9CB69">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40.</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8C14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乙型肝炎病毒表面抗体测定（化学发光法）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0D0A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7CE0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3600人份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0B20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7.18</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ECCC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A640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3D16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C0BC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A0DF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5525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7650D674">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5C490">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41.</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CA08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乙型肝炎病毒表面抗原测定（化学发光法）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FB82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1BE8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3600人份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B90F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58C9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B24E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D0C0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C9C9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A5D4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B8E9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7F7A1021">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09164">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42.</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BD53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乙型肝炎病毒核心抗体检测（化学发光法）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5959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3D67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3600人份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4F58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7.18</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2891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2991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E763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6DB3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0A47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53C7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477F7E67">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17295">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43.</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3615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泌乳素测定（化学发光法）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3CA2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D9FD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6000人份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B08E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10.49</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CB36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39E7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75C8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5F63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6020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334C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6BF8CA29">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5705E">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44.</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16A9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雌二醇测定（化学发光法）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9567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CD3B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6000人份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2F57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10.66</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04A2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E972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7B17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40A6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73EA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B1B7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60B5D48C">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BA806">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45.</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27D9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促黄体生成素测定（化学发光法）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3CBC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0AB2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6000人份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58A9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10.33</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6943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91B9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5A2D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1A43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3AAA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392E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0EDA4813">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59240">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46.</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58CD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促卵泡生成素测定（化学发光法）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1AB1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B98E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6000人份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656B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10.49</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3D7D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27B1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C654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599B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5EE7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90F2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304F4549">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B7528">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47.</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0CAD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睾酮测定（化学发光法）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5900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9AEF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6000人份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27A6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10.33</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824B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CEE3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4B60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5B7D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353D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2401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0FB3686F">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CFF56">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48.</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985C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抗缪勒氏管激素测定（化学发光法）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6B57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C495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2500人份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4B29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87.3</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6D59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039F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7A35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7056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F9B3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C143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5767DEB3">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12829">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49.</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A8AA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人绒毛膜促性腺激素测定（化学发光法）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8BF1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8FBD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2000人份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6B5D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10.33</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521E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0FE5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B9D6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289A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BA0C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C755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7F538B56">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2F72E">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50.</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3747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游离β-绒毛膜促性腺激素测定（化学发光法）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F916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4A1A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2000人份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1B15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10.16</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302C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DB19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0CB3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F059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3BEC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765E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237FCD56">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437E0">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51.</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75ED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孕酮测定（化学发光法）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6F2A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6F63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F59E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10.89</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EC5F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2C95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C880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0631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18A6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5697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1D14180C">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D1187">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52.</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66DB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降钙素原测定（化学发光法）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FA18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E902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3B89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44</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0561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1C6F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8105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92A3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5693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76E7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7E31D7F6">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FA142">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53.</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1DFF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铁蛋白测定（化学发光法）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8499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E0AE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10000人份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262C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9.8</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6826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F963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E568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CAB1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1EE3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7329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61BB48A0">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C5364">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54.</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F995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维生素B₁₂测定（化学发光法）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A3E3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5886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7D5A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CF77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02BF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F47F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5186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2888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AF82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4A70AE0F">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7D0E1">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55.</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B2E7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叶酸测定（化学发光法）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B665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A488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900人份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16AD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15.8</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ACC5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20EC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ED49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EB73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9264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6BA2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1A345653">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B772D">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56.</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AF0A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促甲状腺激素测定（化学发光法）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3F90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95EC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30000人份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56F6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8.88</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8C00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C8AF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D73E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CE77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D7E0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0BB2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11820BB0">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D6A35">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57.</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B57D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促甲状腺激素受体抗体测定（化学发光法）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8327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7796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700C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16.08</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6B97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C875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B1A3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F681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39E9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EA30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30B97BCE">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C4D87">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58.</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0C27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抗甲状腺过氧化物酶抗体测定（化学发光法）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F8FD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7ED3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6500人份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C0C2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16</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2EE7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DCAA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F573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2F97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7EAD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FB7B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7FFF2156">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518F5">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59.</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124E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抗甲状腺球蛋白抗体测定（化学发光法）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1C44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F293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C70E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14.47</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951B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CB0B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5D6F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44FC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9F29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571F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036FE61B">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D4802">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60.</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2220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游离甲状腺素测定（化学发光法）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C926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47D2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25000人份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4F41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8.88</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9FC6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8AEF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AF3C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1A32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F823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ACAD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56A2F7F5">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6B5A9">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61.</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6762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游离三碘甲状腺原氨酸测定（化学发光法）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7BC9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2A7D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25000人份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9077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10.24</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6267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91E6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F7FA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F1C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4D18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E196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7103874C">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272CB">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62.</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56A4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总甲状腺素测定（化学发光法）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DC7C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7A8C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10000人份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3EF7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8.46</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E04F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0142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EF93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423D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FE4B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BEEA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631F4EF4">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4D35D">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63.</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B08B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总三碘甲状腺原氨酸测定（化学发光法）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75CA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BFE9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10000人份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7AE4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8.88</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37AF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4108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EF1B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7B1A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D628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B8D6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502E090A">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BDCB7">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64.</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CD55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25-羟基维生素D测定（化学发光法）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D8E1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3179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5500人份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5807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23.4</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A826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B30B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9B63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357D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AC8A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0722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14580150">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5D9EE">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65.</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C58E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Ⅲ型前胶原N端肽测定（化学发光法）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F8F4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29EE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D0BB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17.55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26EA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2B06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07C5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9763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296F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626B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6C7BCF29">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DED19">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66.</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7837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Ⅳ型胶原测定（化学发光法）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2DBB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E0BE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0E11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8.46</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61F8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AD5D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4D42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AC3E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2DDF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3A9B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21280DF2">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B37A8">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67.</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884E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层粘连蛋白测定（化学发光法）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05CC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297F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6B33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12.8</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815E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EA67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E22B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9486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B891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D4F3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371DB1D0">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0C52F">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68.</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63BC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透明质酸测定（化学发光法）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8669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C09C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BBB8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13.7145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9A4C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DEE1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7EC0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F85B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46DF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2966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762DCF4D">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35D34">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69.</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4921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抗核抗体测定（化学发光法）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BA6B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503E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65D7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17.95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C5A8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484D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558E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7344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F311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E5A8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4F528EBB">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59D69">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70.</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27E7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抗双链DNA抗体IgG测定（化学发光法）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6FAE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68D9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0749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17.01</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2B59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79B9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732B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39FE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F970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5833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6985742B">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0D81A">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71.</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824F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抗谷氨酸脱羧酶抗体IgG测定(化学发光法)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448F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34CA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1E4A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16</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9E94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5F71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E64C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4EA8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7AAE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3DBA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79B9A8E9">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6C913">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72.</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9C93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抗胰岛素抗体检测（化学发光法）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6C05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94A4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76F4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C509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E305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DE3B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F4D7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90C8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1206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7C38CAF1">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B0389">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73.</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3039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抗酪氨酸磷酸酶抗体测定（化学发光法）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D121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0D0D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D7F6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23.75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57B7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5D95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CE03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A03F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D13D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17B5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774AA0DE">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1E17D">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74.</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B7AB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抗胰岛细胞抗体检测（化学发光法）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0F28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2E3D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97EC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14.3</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1A33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EB2F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5ED1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CCEF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28B3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D95A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1A782725">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C8A98">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75.</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E100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EB病毒核心抗原IgG抗体检测（化学发光法）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FBE3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8D5D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2568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2C58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0F6A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F2B6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2C12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29B1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7FB2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39DABCF1">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21335">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76.</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E84B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EB病毒核心抗原IgA检测（化学发光法）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645D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CA27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BB4D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15.12</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97B7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492E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7F97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14B2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26F6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BEE7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36156C12">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E62CA">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77.</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AB75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EB病毒衣壳抗原IgG抗体检测（化学发光法）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72F7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14F2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B2DF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0767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B8AB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E8E9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3926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851D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096B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665FED14">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89905">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78.</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ED7F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EB病毒衣壳抗原IgM抗体检测（化学发光法）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9ED9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A9BC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A5DB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D579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06A6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CDC5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D969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4F6D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53C2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3D79B088">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53F22">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79.</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9CF8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EB病毒衣壳抗原IgA抗体检测（化学发光法）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5CE6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5611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9453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15.21</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AA19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B62D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3037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A44C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11B1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C52F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6F040E84">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B161C">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80.</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8B863">
            <w:pPr>
              <w:widowControl/>
              <w:spacing w:beforeLines="0" w:afterLines="0"/>
              <w:jc w:val="both"/>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eastAsia="zh-CN" w:bidi="ar"/>
              </w:rPr>
              <w:t>肾素测定</w:t>
            </w:r>
            <w:r>
              <w:rPr>
                <w:rFonts w:hint="eastAsia" w:asciiTheme="minorEastAsia" w:hAnsiTheme="minorEastAsia" w:eastAsiaTheme="minorEastAsia" w:cstheme="minorEastAsia"/>
                <w:color w:val="000000"/>
                <w:kern w:val="0"/>
                <w:sz w:val="21"/>
                <w:szCs w:val="21"/>
                <w:highlight w:val="none"/>
                <w:u w:val="none"/>
                <w:lang w:bidi="ar"/>
              </w:rPr>
              <w:t>（化学发光法）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4BB2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2D75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A105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15.24</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6992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DA7F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A4C1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9B79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511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2C6F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1026D0BE">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B0D89">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81.</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CEC7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肺炎支原体IgG检测（化学发光法）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F098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2EC6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4BFE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AA1A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2FE9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B405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222B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8B30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E19C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2204B245">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FCB2E">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82.</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24FF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肺炎支原体IgM检测（化学发光法）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928E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F8F4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9E13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15.2</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A494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4E0C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E642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FDBD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2862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7A64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36994E77">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01EF3">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83.</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2D99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肺炎衣原体IgG抗体检测（化学发光法）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7BF5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F6CD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C109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16</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2EC0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9535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2DB1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6E11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8189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1E47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00BC96F2">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B265C">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84.</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972D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肺炎衣原体IgM抗体检测（化学发光法）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148B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8F58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43E1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15.39</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041E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8588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5B47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CE71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D0F7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06C3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2CECB510">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7263F">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85.</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9138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肌钙蛋白I测定（化学发光法）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D603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AFC0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8AA8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18</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6AD5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BF58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AF26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D7F6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7D81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14E0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5EED1DC8">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3EA7E">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86.</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5936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肌酸激酶同工酶测定（化学发光法）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C151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0D99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F4EE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17.4</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A1D4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F13F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49E6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C8CC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696E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43B5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3BF76494">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B3212">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87.</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82B0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肌红蛋白测定（化学发光法）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AF20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7F9F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1B9D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24.5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52E2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7092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9E2F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A58C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C0B0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6747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461254CD">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68712">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88.</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FD49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B型脑钠肽测定（化学发光法）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2606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9DB6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2BBC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54</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CCDD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D3C1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2DE6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5358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2047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2211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285704D5">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24005">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89.</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FCCC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高敏肌钙蛋白I测定（化学发光法）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6592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1D85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767D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20</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9388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5FD5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DFDB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6872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CB33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9045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16BBD6F0">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DA356">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90.</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A21A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抑制素A测定（化学发光法）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7C4E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ECB6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50人份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8679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33.01</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A9EA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9E61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FC14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0C4C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AD99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E2FE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5EAE7593">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13DF7">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91.</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6F67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配套检测设备</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BD71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套</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5505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1套</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8D90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1500</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6FE8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9951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F2B7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BE1F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D511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0227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bidi="ar"/>
              </w:rPr>
            </w:pPr>
          </w:p>
        </w:tc>
      </w:tr>
      <w:tr w14:paraId="25425662">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84832">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92.</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3B8A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发光的配套校准品、质控品及其他耗材</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415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38C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2B2A8">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0"/>
                <w:sz w:val="21"/>
                <w:szCs w:val="21"/>
                <w:highlight w:val="yellow"/>
                <w:lang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11968">
            <w:pPr>
              <w:widowControl/>
              <w:spacing w:beforeLines="0" w:afterLines="0"/>
              <w:jc w:val="both"/>
              <w:textAlignment w:val="center"/>
              <w:rPr>
                <w:rFonts w:hint="eastAsia" w:asciiTheme="minorEastAsia" w:hAnsiTheme="minorEastAsia" w:eastAsiaTheme="minorEastAsia" w:cstheme="minorEastAsia"/>
                <w:color w:val="000000" w:themeColor="text1"/>
                <w:kern w:val="0"/>
                <w:sz w:val="21"/>
                <w:szCs w:val="21"/>
                <w:highlight w:val="yellow"/>
                <w:lang w:bidi="ar"/>
                <w14:textFill>
                  <w14:solidFill>
                    <w14:schemeClr w14:val="tx1"/>
                  </w14:solidFill>
                </w14:textFill>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7494C">
            <w:pPr>
              <w:widowControl/>
              <w:spacing w:beforeLines="0" w:afterLines="0"/>
              <w:jc w:val="both"/>
              <w:textAlignment w:val="center"/>
              <w:rPr>
                <w:rFonts w:hint="eastAsia" w:asciiTheme="minorEastAsia" w:hAnsiTheme="minorEastAsia" w:eastAsiaTheme="minorEastAsia" w:cstheme="minorEastAsia"/>
                <w:color w:val="000000" w:themeColor="text1"/>
                <w:kern w:val="0"/>
                <w:sz w:val="21"/>
                <w:szCs w:val="21"/>
                <w:highlight w:val="yellow"/>
                <w:lang w:bidi="ar"/>
                <w14:textFill>
                  <w14:solidFill>
                    <w14:schemeClr w14:val="tx1"/>
                  </w14:solidFill>
                </w14:textFill>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467A0">
            <w:pPr>
              <w:widowControl/>
              <w:spacing w:beforeLines="0" w:afterLines="0"/>
              <w:jc w:val="both"/>
              <w:textAlignment w:val="center"/>
              <w:rPr>
                <w:rFonts w:hint="eastAsia" w:asciiTheme="minorEastAsia" w:hAnsiTheme="minorEastAsia" w:eastAsiaTheme="minorEastAsia" w:cstheme="minorEastAsia"/>
                <w:color w:val="000000" w:themeColor="text1"/>
                <w:kern w:val="0"/>
                <w:sz w:val="21"/>
                <w:szCs w:val="21"/>
                <w:highlight w:val="yellow"/>
                <w:lang w:bidi="ar"/>
                <w14:textFill>
                  <w14:solidFill>
                    <w14:schemeClr w14:val="tx1"/>
                  </w14:solidFill>
                </w14:textFill>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9CDBD">
            <w:pPr>
              <w:widowControl/>
              <w:spacing w:beforeLines="0" w:afterLines="0"/>
              <w:jc w:val="both"/>
              <w:textAlignment w:val="center"/>
              <w:rPr>
                <w:rFonts w:hint="eastAsia" w:asciiTheme="minorEastAsia" w:hAnsiTheme="minorEastAsia" w:eastAsiaTheme="minorEastAsia" w:cstheme="minorEastAsia"/>
                <w:color w:val="000000" w:themeColor="text1"/>
                <w:kern w:val="0"/>
                <w:sz w:val="21"/>
                <w:szCs w:val="21"/>
                <w:highlight w:val="yellow"/>
                <w:lang w:bidi="ar"/>
                <w14:textFill>
                  <w14:solidFill>
                    <w14:schemeClr w14:val="tx1"/>
                  </w14:solidFill>
                </w14:textFill>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0A9A7">
            <w:pPr>
              <w:widowControl/>
              <w:spacing w:beforeLines="0" w:afterLines="0"/>
              <w:jc w:val="both"/>
              <w:textAlignment w:val="center"/>
              <w:rPr>
                <w:rFonts w:hint="eastAsia" w:asciiTheme="minorEastAsia" w:hAnsiTheme="minorEastAsia" w:eastAsiaTheme="minorEastAsia" w:cstheme="minorEastAsia"/>
                <w:color w:val="000000" w:themeColor="text1"/>
                <w:kern w:val="0"/>
                <w:sz w:val="21"/>
                <w:szCs w:val="21"/>
                <w:highlight w:val="yellow"/>
                <w:lang w:bidi="ar"/>
                <w14:textFill>
                  <w14:solidFill>
                    <w14:schemeClr w14:val="tx1"/>
                  </w14:solidFill>
                </w14:textFill>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AA1F9">
            <w:pPr>
              <w:widowControl/>
              <w:spacing w:beforeLines="0" w:afterLines="0"/>
              <w:jc w:val="both"/>
              <w:textAlignment w:val="center"/>
              <w:rPr>
                <w:rFonts w:hint="eastAsia" w:asciiTheme="minorEastAsia" w:hAnsiTheme="minorEastAsia" w:eastAsiaTheme="minorEastAsia" w:cstheme="minorEastAsia"/>
                <w:color w:val="000000" w:themeColor="text1"/>
                <w:kern w:val="0"/>
                <w:sz w:val="21"/>
                <w:szCs w:val="21"/>
                <w:highlight w:val="yellow"/>
                <w:lang w:bidi="ar"/>
                <w14:textFill>
                  <w14:solidFill>
                    <w14:schemeClr w14:val="tx1"/>
                  </w14:solidFill>
                </w14:textFill>
              </w:rPr>
            </w:pPr>
          </w:p>
        </w:tc>
      </w:tr>
      <w:tr w14:paraId="2F284CB4">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A3807">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93.</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C5A9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白蛋白检测 (溴甲酚绿法)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6589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8016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30966人份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7632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0.0228</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4B4D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D72F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DEB9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5DD9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7395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E344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03342E80">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E0209">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94.</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B60E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碱性磷酸酶检测（连续监测法)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921B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8F3D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30966人份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A3B3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0.0417</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B50F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1F39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8AAD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EB09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F9E6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44AF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2D4C6FFF">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CB989">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95.</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F695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丙氨酸氨基转移酶检测(酶学速率法)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D8FB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59E6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66220人份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DECF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0.0376</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6B6C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D13C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4993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B9F3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598A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84D8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37A87A61">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FC773">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96.</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1541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天门冬氨酸氨基转移酶检测（酶学速率法)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5818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EDD6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75960人份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11E5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0.0386</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B749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7E68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EAA0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E9FD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4940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C3B6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36C2615B">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5AB43">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97.</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5DF6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胆固醇检测（氧化酶法）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1383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21E7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31820人份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95AC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0.0334</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EBCD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33A8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9226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A54B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583B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90F2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2808729C">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FB927">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98.</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4C4C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胆碱酯酶检测(连续监测法)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24B5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C88F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1214人份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B1D4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0.1706</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EBEB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4AB4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49DB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4F32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1C68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609A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43611705">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45BBC">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99.</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0FB9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直接胆红素检测（SCR氧化法）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3773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4B4C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30966人份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B2BD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0.0757</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7F1D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63C9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8FB0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18C2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7603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B1FB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03A803F4">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25A2F">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100.</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7C8D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高密度脂蛋白胆固醇检测（一步法）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BE84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490A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31820人份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4DDE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0.3489</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9144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BDD3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0789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7822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D00B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CB1F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6B46AA95">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8593B">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101.</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8F3D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低密度脂蛋白胆固醇检测（一步法）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7D04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E06C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31820人份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80C5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0.5233</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B962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1CFD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BE87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9DC2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F4CF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0EE7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5EDCBFA1">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7D51A">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102.</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BD51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总胆红素检测（SCR氧化法）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B372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0F6F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30966人份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C151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0.0692</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8797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8033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ACB2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A4AC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F97E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FE81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5B530773">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6BE39">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103.</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45D4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总蛋白检测 (双缩脲反应法)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F9BE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5F2C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30966人份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1A80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0.0164</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326E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B60C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8DA2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962B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1A40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B51C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1AC3D944">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A96A7">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104.</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3235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甘油三酯检测（酶法)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180A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CDBA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31820人份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1F9D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0.1199</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3A79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88D7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F924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296D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AD8D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9051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0C95B23C">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73C28">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105.</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925F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微量白蛋白检测（免疫浊度法）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B7E4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AA9F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3843人份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3158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3.5619</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E0DB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3566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4988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0040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4FC5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5837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64DDB9A6">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D6938">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106.</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5204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葡萄糖检测（己糖激酶法）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0EC6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CB10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44620人份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6CB8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0.2005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343D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6277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041E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3209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9313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424A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3C218593">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97411">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107.</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0364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尿素氮检测(酶学速率法)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0700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62B1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36492人份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5578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0.3368</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936D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C13E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1A90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FC4A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1E68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D7BC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2F410FF5">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E9BBF">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108.</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36B4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尿酸检测（酶法)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31A0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DB1D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35812人份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EF1B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0.5553</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5BC7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1B31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BE91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F1E3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E60C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AFDD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6E9BC949">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91E3F">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109.</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C258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微量总蛋白测定（焦酚红法）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D606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80B3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204人份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F43B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1.4227</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A085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B46D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139A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9AF4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6EFA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BAD8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1E33A3D9">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81871">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110.</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A3AA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肌酐检测（酶法）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7F24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C2BB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36492人份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CD25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1.4028</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8370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9691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B86E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8151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C7C7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F62E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7C24671F">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AA495">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111.</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73F1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胱氨酸蛋白酶抑制剂C检测（免疫浊度法）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0B10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53EF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3431人份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08D5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7.975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9AEA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1BA9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4761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5825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EF7B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97EF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5081DF2F">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CF34B">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112.</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E16C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葡萄糖-6-磷酸脱氢酶测定（葡萄糖-6-磷酸底物法）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2D80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9E81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2642人份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5CCA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3.0063</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FC28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8258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6EAF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5F51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64C7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2FEB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577F5D36">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E4C0D">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113.</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06E6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抗链球菌溶血素O检测（胶乳增强免疫比浊法）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65AC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4197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2228人份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E0A9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4.943</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6181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5BFC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4330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CC71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356C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1A5B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2C90C425">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F9F1A">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114.</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4B46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C反应蛋白检测（胶乳增强免疫比浊法）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67E4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2AC5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3863人份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FA2E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3.095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9535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FD46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B29D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C928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F347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7814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4A1A153E">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22289">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115.</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C17E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类风湿因子检测（胶乳增强免疫比浊法）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F4F3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D711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2068人份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78E9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2.9469</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F2F9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0C12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933D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7974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21BE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F461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5BFA43E6">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4FDFB">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116.</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0869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补体C3检测（免疫浊度法）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48D1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E003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1184人份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715F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2.8617</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A4BF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E986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A52F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7E06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7B2C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37CE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7C51DF38">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76D91">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117.</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991A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补体C4检测（免疫浊度法）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D80B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7BBB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1184人份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6632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2.8352</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DF19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AA85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1A31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85F6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42BA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38B1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49F2297A">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820AB">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118.</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842F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免疫球蛋白IgA检测（免疫浊度法）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30EC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974C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1184人份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F8F7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2.9242</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1767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014D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E65B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1491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475D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C0A6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0064F9D9">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B316A">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119.</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416B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免疫球蛋白IgG检测（免疫浊度法）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C933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990F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1184人份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BBED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2.9412</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70C1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DF3A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D9D9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F90E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8737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55E7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351DFD64">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B7FBC">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120.</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74A5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免疫球蛋白IgM检测（免疫浊度法）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7DD7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7D30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1184人份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E742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2.8688</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F3D8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273B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5731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B83D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E173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09B9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4A51049A">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E7AAE">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121.</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D21A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载脂蛋白A1检测（免疫透射比浊法）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45D0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16B3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986人份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DB74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2.2864</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0098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EA81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3364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2766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8DD4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6B46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5DA2AD9D">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8DE1E">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122.</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4D74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载脂蛋白B检测（免疫透射比浊法）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A47C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A62E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986人份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3C27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2.286</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5519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6B3F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493C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5F31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AEA0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9D0D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7061F560">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35E9E">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123.</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8878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同型半胱氨酸检测（循环酶法）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D3E8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F959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11332人份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17FD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15.22</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EF4F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D3FC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06E5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4CF0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95A6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E57A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0284A097">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10D19">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124.</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EB97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肌酸激酶检测 (N-乙酰半胱氨酸法）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CD8D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F733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3746人份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FB8D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0.7742</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BC3A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328E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61FC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6580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6A80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A75B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70DF0551">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13B93">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125.</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7856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α-羟丁酸脱氢酶检测（连续监测法）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4382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508D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3746人份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13D5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1.138</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E0BA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F1AF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DDE5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A058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4BEF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CCC1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2EC846B6">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3A236">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126.</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589C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肌酸激酶同工酶检测（NAC-免疫抑制法）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8039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3F7D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3322人份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F535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4.5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368D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ACB1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0A16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2651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9254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AA7D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6FFCF2F9">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F1ECD">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127.</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0093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淀粉酶检测 (CNP-G3法)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130A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148F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939人份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356D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1.49</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A2F9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4F20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870C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E610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80E3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7BD5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46EC4552">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24991">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128.</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A18A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二氧化碳检测（酶法）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2754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F003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7257人份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67BC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1.4486</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1E7C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6478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DCAE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A498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73FC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866F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05E78059">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D83A4">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129.</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7FA1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钙测定（偶氮砷III法）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3A9D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C194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11140人份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FBE5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0.3607</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8735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C4F7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4AD3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4A83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8B57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CB20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7CF9EED3">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62D13">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130.</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BDF2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磷测定（磷钼酸盐法）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F47D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5983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6359人份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6190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0.1871</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32CB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6C28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C23C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D58C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7CB0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8ED9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52AA1550">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689A8">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131.</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20DF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总胆汁酸检测（酶循环法）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1D1A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A8F3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4280人份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3C0C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0.5393</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7627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DC9F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B28C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9575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AE72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4D34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2258D8AD">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BCC39">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132.</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E2E7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乳酸脱氢酶检测（乳酸法）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9D45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DF77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3765人份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2969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0.0761</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5AC5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3867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4134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CDFB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0154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BACE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3671A0DE">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2944A">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133.</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65EF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γ-谷氨酰基转移酶检测（速率法）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3D07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2AFA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2595人份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BC7A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0.0798</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014F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5226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D023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36D0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B1E4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CBCB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53B62FB2">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6DCB4">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134.</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E7BF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腺苷脱氨酶检测（酶比色法）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EBB8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785F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1486人份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E6F1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0.8333</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3809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A87D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88F5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511C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A4F7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C5AF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169AA222">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13571">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135.</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A1C1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α-L-岩藻糖苷酶检测（速率法）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75DE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A85E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3685人份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6465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0.8136</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5D25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95A3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6259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ECB0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2E75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5089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3ECFB5CA">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014F5">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136.</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BE16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甘胆酸检测（胶乳增强免疫比浊法）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AC18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EEE5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462人份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95B7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1.6672</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51F2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CF2B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74E2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289F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CF79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34CB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4ECF8394">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F8C7B">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137.</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AAD4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5’-核糖核苷酸水解酶检测（酶速率法）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8F84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B9E4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1113人份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9B32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0.6516</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531E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5FA3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1347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59F5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00D9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FF93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4BF7EB63">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04807">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138.</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299E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谷氨酸脱氢酶检测(α-酮戊二酸底物法)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A981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C324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1843人份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A73D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0.4238</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6F48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56A5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F193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DB3C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129C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13D3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3C1F4082">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A9062">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139.</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AA84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亮氨酸氨基转肽酶检测 （速率法）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0981C">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55BE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1488人份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9D56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0.446</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B71F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7CF2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0E2E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F817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DDF2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18A6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76B535C8">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9DE01">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140.</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85AA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视黄醇结合蛋白检测（胶乳增强免疫比浊法）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BF34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6B05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1185人份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6F55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3.5588</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4470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9158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CFF1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BFD4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8C5C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5006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74E3065A">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879C0">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141.</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D336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β-羟丁酸检测（β-羟丁酸脱氢酶法）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FF5F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D473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1152人份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C2D3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3.6</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5EF5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36DF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E79D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65C8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3845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1EF3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38C74D10">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2A4D5">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142.</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B3F8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缺血修饰白蛋白检测（游离钴比色法）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16BE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4DE7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932人份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2537E">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11.1</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16B3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81C2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D7F7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76C5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AE48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FBA6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2540062E">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4B34C">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143.</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B1A5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抗环瓜氨酸肽抗体检测(胶乳增强免疫比浊法）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4E14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BDAC3">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1592人份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B052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24.1</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01C8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6FA6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BE11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B56E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954D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690A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3818C81A">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4DF54">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144.</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A681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幽门螺杆菌抗体检测（胶乳增强免疫比浊法）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397A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E4B8B">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2111人份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EBFF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12</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0DFA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41F7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2D1C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25A4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4BED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846F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128DD955">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3AAE5">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145.</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4F2A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胃蛋白酶原I检测（胶乳增强免疫比浊法）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A87A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9E36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772人份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F0AF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29.14</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04BC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1D1E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E4AE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915D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9BD8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14C5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1411B6DA">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4195B">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146.</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8AD7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胃蛋白酶原II检测（胶乳增强免疫比浊法）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47A6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8C0E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772人份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64C91">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23.7</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1FF0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BEA8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19AB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161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2B68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E09E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21D9DBE8">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6B8AA">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147.</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5955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谷胱甘肽还原酶检测（GSSG底物法）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49EB9">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DEE2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8524人份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D588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4.516</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7E5E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3044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2C9F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7C55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35F8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D56C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4B0F0ABD">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7166F">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148.</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9355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小而密低密度脂蛋白胆固醇检测（过氧化物酶法）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EF81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0B30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6792人份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038B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28D0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E9E3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E785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2A97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AA10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618F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50EE8728">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8F8D3">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149.</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7131F">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超氧化物歧化酶检验（比色法）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2ED7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DDAB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4630人份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3C25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2.401</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6B5B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CCC7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1F41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9F76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F2E0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45D5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5507AA9A">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00A85">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150.</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EA67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免疫球蛋白E测定（胶乳免疫比浊法）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018F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7354F">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600人份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2207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13.42839</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3A2D8">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E9A2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60EB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57CE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DB5E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8D8F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04017DC2">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9C9B4">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151.</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97E5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乳酸检测（酶比色法）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BB70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90AC6">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4648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3.3558</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805F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63052">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CB29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3700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702E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6CF2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4B3A9235">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4C78D">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152.</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7D17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脂肪酶检测（酶比色法）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F151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4931D">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86522">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4.5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C0AB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1672E">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F028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977A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9C4E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E710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3AFD1A70">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82A07">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153.</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AF5BD">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镁测定（二甲苯胺蓝法）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CA92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C7F3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100人份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0C417">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0.465</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89AE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E500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94E0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302E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BE1CA">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1D28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2B004553">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4AD40">
            <w:pPr>
              <w:numPr>
                <w:ilvl w:val="0"/>
                <w:numId w:val="0"/>
              </w:numPr>
              <w:ind w:left="425" w:leftChars="0" w:hanging="425" w:firstLineChars="0"/>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154.</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7E785">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前白蛋白检测（免疫透射比浊法）</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351DA">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人份</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FCE65">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150人份</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F21C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0.3736</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88E2B">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8CAD7">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BAE3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A38D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66B4C">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A77B1">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3E564C30">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48DB1">
            <w:pPr>
              <w:numPr>
                <w:ilvl w:val="0"/>
                <w:numId w:val="0"/>
              </w:numPr>
              <w:ind w:leftChars="0"/>
              <w:jc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szCs w:val="21"/>
                <w:lang w:val="en-US" w:eastAsia="zh-CN"/>
              </w:rPr>
              <w:t>155.</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61D1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kern w:val="0"/>
                <w:sz w:val="21"/>
                <w:szCs w:val="21"/>
                <w:highlight w:val="none"/>
                <w:u w:val="none"/>
                <w:lang w:bidi="ar"/>
              </w:rPr>
              <w:t>配套检测设备</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CF254">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套</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01458">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1套</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14A50">
            <w:pPr>
              <w:widowControl/>
              <w:spacing w:beforeLines="0" w:afterLines="0"/>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1500</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C6CB9">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0031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33F54">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CD003">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B1A4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08B80">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p>
        </w:tc>
      </w:tr>
      <w:tr w14:paraId="2E6BE23C">
        <w:tblPrEx>
          <w:tblCellMar>
            <w:top w:w="0" w:type="dxa"/>
            <w:left w:w="108" w:type="dxa"/>
            <w:bottom w:w="0" w:type="dxa"/>
            <w:right w:w="108" w:type="dxa"/>
          </w:tblCellMar>
        </w:tblPrEx>
        <w:trPr>
          <w:trHeight w:val="41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0B43C">
            <w:pPr>
              <w:numPr>
                <w:ilvl w:val="0"/>
                <w:numId w:val="0"/>
              </w:numPr>
              <w:ind w:leftChars="0"/>
              <w:jc w:val="left"/>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szCs w:val="21"/>
                <w:lang w:val="en-US" w:eastAsia="zh-CN"/>
              </w:rPr>
              <w:t>156</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328BC">
            <w:pPr>
              <w:widowControl/>
              <w:spacing w:beforeLines="0" w:afterLines="0"/>
              <w:jc w:val="center"/>
              <w:textAlignment w:val="center"/>
              <w:rPr>
                <w:rFonts w:hint="eastAsia" w:asciiTheme="minorEastAsia" w:hAnsiTheme="minorEastAsia" w:eastAsiaTheme="minorEastAsia" w:cstheme="minorEastAsia"/>
                <w:color w:val="auto"/>
                <w:kern w:val="0"/>
                <w:sz w:val="21"/>
                <w:szCs w:val="21"/>
                <w:highlight w:val="yellow"/>
                <w:lang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生化的配套校准品、质控品及其他耗材</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6EB48">
            <w:pPr>
              <w:widowControl/>
              <w:spacing w:beforeLines="-2147483648" w:afterLines="-2147483648"/>
              <w:jc w:val="center"/>
              <w:textAlignment w:val="center"/>
              <w:rPr>
                <w:rFonts w:hint="eastAsia" w:asciiTheme="minorEastAsia" w:hAnsiTheme="minorEastAsia" w:eastAsiaTheme="minorEastAsia" w:cstheme="minorEastAsia"/>
                <w:color w:val="000000"/>
                <w:kern w:val="0"/>
                <w:sz w:val="21"/>
                <w:szCs w:val="21"/>
                <w:lang w:eastAsia="zh-CN" w:bidi="ar"/>
              </w:rPr>
            </w:pPr>
            <w:r>
              <w:rPr>
                <w:rFonts w:hint="eastAsia" w:ascii="宋体" w:hAnsi="宋体" w:eastAsia="宋体" w:cs="宋体"/>
                <w:i w:val="0"/>
                <w:iCs w:val="0"/>
                <w:color w:val="000000"/>
                <w:kern w:val="2"/>
                <w:sz w:val="21"/>
                <w:szCs w:val="21"/>
                <w:u w:val="none"/>
                <w:lang w:val="en-US" w:eastAsia="zh-CN" w:bidi="ar-SA"/>
              </w:rPr>
              <w:t>/</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08FB4">
            <w:pPr>
              <w:widowControl/>
              <w:spacing w:beforeLines="-2147483648" w:afterLines="-2147483648"/>
              <w:jc w:val="center"/>
              <w:textAlignment w:val="center"/>
              <w:rPr>
                <w:rFonts w:hint="eastAsia" w:asciiTheme="minorEastAsia" w:hAnsiTheme="minorEastAsia" w:eastAsiaTheme="minorEastAsia" w:cstheme="minorEastAsia"/>
                <w:color w:val="000000"/>
                <w:kern w:val="0"/>
                <w:sz w:val="21"/>
                <w:szCs w:val="21"/>
                <w:lang w:eastAsia="zh-CN" w:bidi="ar"/>
              </w:rPr>
            </w:pPr>
            <w:r>
              <w:rPr>
                <w:rFonts w:hint="eastAsia" w:ascii="宋体" w:hAnsi="宋体" w:eastAsia="宋体" w:cs="宋体"/>
                <w:i w:val="0"/>
                <w:iCs w:val="0"/>
                <w:color w:val="000000"/>
                <w:kern w:val="2"/>
                <w:sz w:val="21"/>
                <w:szCs w:val="21"/>
                <w:u w:val="none"/>
                <w:lang w:val="en-US" w:eastAsia="zh-CN" w:bidi="ar-SA"/>
              </w:rPr>
              <w:t>/</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EA8C6">
            <w:pPr>
              <w:widowControl/>
              <w:spacing w:beforeLines="0" w:afterLines="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宋体" w:hAnsi="宋体" w:eastAsia="宋体" w:cs="宋体"/>
                <w:i w:val="0"/>
                <w:iCs w:val="0"/>
                <w:color w:val="000000"/>
                <w:kern w:val="0"/>
                <w:sz w:val="21"/>
                <w:szCs w:val="21"/>
                <w:u w:val="none"/>
                <w:lang w:val="en-US" w:eastAsia="zh-CN" w:bidi="ar"/>
              </w:rPr>
              <w:t>/</w:t>
            </w:r>
          </w:p>
        </w:tc>
        <w:tc>
          <w:tcPr>
            <w:tcW w:w="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35813">
            <w:pPr>
              <w:widowControl/>
              <w:spacing w:beforeLines="0" w:afterLines="0"/>
              <w:jc w:val="both"/>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C5CA8">
            <w:pPr>
              <w:widowControl/>
              <w:spacing w:beforeLines="0" w:afterLines="0"/>
              <w:jc w:val="both"/>
              <w:textAlignment w:val="center"/>
              <w:rPr>
                <w:rFonts w:hint="eastAsia" w:asciiTheme="minorEastAsia" w:hAnsiTheme="minorEastAsia" w:eastAsiaTheme="minorEastAsia" w:cstheme="minorEastAsia"/>
                <w:color w:val="000000"/>
                <w:kern w:val="0"/>
                <w:sz w:val="21"/>
                <w:szCs w:val="21"/>
                <w:lang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D625A">
            <w:pPr>
              <w:widowControl/>
              <w:spacing w:beforeLines="0" w:afterLines="0"/>
              <w:jc w:val="both"/>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F8143">
            <w:pPr>
              <w:widowControl/>
              <w:spacing w:beforeLines="0" w:afterLines="0"/>
              <w:jc w:val="both"/>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D882D">
            <w:pPr>
              <w:widowControl/>
              <w:spacing w:beforeLines="0" w:afterLines="0"/>
              <w:jc w:val="both"/>
              <w:textAlignment w:val="center"/>
              <w:rPr>
                <w:rFonts w:hint="eastAsia" w:asciiTheme="minorEastAsia" w:hAnsiTheme="minorEastAsia" w:eastAsiaTheme="minorEastAsia" w:cstheme="minorEastAsia"/>
                <w:color w:val="000000"/>
                <w:kern w:val="0"/>
                <w:sz w:val="21"/>
                <w:szCs w:val="21"/>
                <w:lang w:bidi="ar"/>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8491E">
            <w:pPr>
              <w:widowControl/>
              <w:spacing w:beforeLines="0" w:afterLines="0"/>
              <w:jc w:val="both"/>
              <w:textAlignment w:val="center"/>
              <w:rPr>
                <w:rFonts w:hint="eastAsia" w:asciiTheme="minorEastAsia" w:hAnsiTheme="minorEastAsia" w:eastAsiaTheme="minorEastAsia" w:cstheme="minorEastAsia"/>
                <w:color w:val="000000"/>
                <w:kern w:val="0"/>
                <w:sz w:val="21"/>
                <w:szCs w:val="21"/>
                <w:lang w:bidi="ar"/>
              </w:rPr>
            </w:pPr>
          </w:p>
        </w:tc>
      </w:tr>
      <w:tr w14:paraId="04B7EE01">
        <w:tblPrEx>
          <w:tblCellMar>
            <w:top w:w="0" w:type="dxa"/>
            <w:left w:w="108" w:type="dxa"/>
            <w:bottom w:w="0" w:type="dxa"/>
            <w:right w:w="108" w:type="dxa"/>
          </w:tblCellMar>
        </w:tblPrEx>
        <w:trPr>
          <w:trHeight w:val="416" w:hRule="atLeast"/>
        </w:trPr>
        <w:tc>
          <w:tcPr>
            <w:tcW w:w="8242"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87300">
            <w:pPr>
              <w:widowControl/>
              <w:spacing w:beforeLines="0" w:afterLines="0"/>
              <w:jc w:val="both"/>
              <w:textAlignment w:val="center"/>
              <w:rPr>
                <w:rFonts w:hint="eastAsia" w:asciiTheme="minorEastAsia" w:hAnsiTheme="minorEastAsia" w:eastAsiaTheme="minorEastAsia" w:cstheme="minorEastAsia"/>
                <w:color w:val="000000"/>
                <w:kern w:val="0"/>
                <w:sz w:val="21"/>
                <w:szCs w:val="21"/>
                <w:lang w:bidi="ar"/>
              </w:rPr>
            </w:pPr>
            <w:r>
              <w:rPr>
                <w:rFonts w:hint="eastAsia"/>
              </w:rPr>
              <w:t>预算限额（元）：4,775,000元</w:t>
            </w:r>
          </w:p>
        </w:tc>
      </w:tr>
      <w:tr w14:paraId="5FECB9F7">
        <w:tblPrEx>
          <w:tblCellMar>
            <w:top w:w="0" w:type="dxa"/>
            <w:left w:w="108" w:type="dxa"/>
            <w:bottom w:w="0" w:type="dxa"/>
            <w:right w:w="108" w:type="dxa"/>
          </w:tblCellMar>
        </w:tblPrEx>
        <w:trPr>
          <w:trHeight w:val="416" w:hRule="atLeast"/>
        </w:trPr>
        <w:tc>
          <w:tcPr>
            <w:tcW w:w="8242"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E16D2">
            <w:pPr>
              <w:widowControl/>
              <w:spacing w:beforeLines="0" w:afterLines="0"/>
              <w:jc w:val="both"/>
              <w:textAlignment w:val="center"/>
              <w:rPr>
                <w:rFonts w:hint="eastAsia"/>
              </w:rPr>
            </w:pPr>
            <w:r>
              <w:rPr>
                <w:rFonts w:hint="eastAsia"/>
              </w:rPr>
              <w:t>合计（即</w:t>
            </w:r>
            <w:r>
              <w:rPr>
                <w:rFonts w:hint="eastAsia"/>
                <w:highlight w:val="yellow"/>
              </w:rPr>
              <w:t>投标总价</w:t>
            </w:r>
            <w:r>
              <w:rPr>
                <w:rFonts w:hint="eastAsia"/>
              </w:rPr>
              <w:t>；币种：人民币；单位：元</w:t>
            </w:r>
            <w:r>
              <w:rPr>
                <w:rFonts w:hint="eastAsia"/>
                <w:lang w:eastAsia="zh-CN"/>
              </w:rPr>
              <w:t>；</w:t>
            </w:r>
            <w:r>
              <w:rPr>
                <w:rFonts w:hint="eastAsia"/>
                <w:highlight w:val="yellow"/>
                <w:lang w:val="en-US" w:eastAsia="zh-CN"/>
              </w:rPr>
              <w:t>只需填写</w:t>
            </w:r>
            <w:r>
              <w:rPr>
                <w:rFonts w:hint="eastAsia"/>
                <w:highlight w:val="yellow"/>
                <w:lang w:eastAsia="zh-CN"/>
              </w:rPr>
              <w:t>“二、货物清单明细”中的序号1至90、序号93至154的货物（共152项货物）</w:t>
            </w:r>
            <w:r>
              <w:rPr>
                <w:rFonts w:hint="eastAsia"/>
                <w:highlight w:val="yellow"/>
                <w:lang w:val="en-US" w:eastAsia="zh-CN"/>
              </w:rPr>
              <w:t>的</w:t>
            </w:r>
            <w:r>
              <w:rPr>
                <w:rFonts w:hint="eastAsia"/>
                <w:highlight w:val="yellow"/>
                <w:lang w:eastAsia="zh-CN"/>
              </w:rPr>
              <w:t>投标总价</w:t>
            </w:r>
            <w:r>
              <w:rPr>
                <w:rFonts w:hint="eastAsia"/>
              </w:rPr>
              <w:t>） 小写：            大写：</w:t>
            </w:r>
          </w:p>
          <w:p w14:paraId="0A315E44">
            <w:pPr>
              <w:widowControl/>
              <w:spacing w:beforeLines="0" w:afterLines="0"/>
              <w:jc w:val="both"/>
              <w:textAlignment w:val="center"/>
              <w:rPr>
                <w:rFonts w:hint="eastAsia"/>
              </w:rPr>
            </w:pPr>
          </w:p>
          <w:p w14:paraId="08837ABF">
            <w:pPr>
              <w:widowControl/>
              <w:spacing w:beforeLines="0" w:afterLines="0"/>
              <w:jc w:val="both"/>
              <w:textAlignment w:val="center"/>
              <w:rPr>
                <w:rFonts w:hint="default" w:eastAsia="宋体"/>
                <w:highlight w:val="yellow"/>
                <w:lang w:val="en-US" w:eastAsia="zh-CN"/>
              </w:rPr>
            </w:pPr>
            <w:r>
              <w:rPr>
                <w:rFonts w:hint="eastAsia"/>
                <w:highlight w:val="yellow"/>
                <w:lang w:val="en-US" w:eastAsia="zh-CN"/>
              </w:rPr>
              <w:t>注：</w:t>
            </w:r>
            <w:r>
              <w:rPr>
                <w:rFonts w:hint="eastAsia"/>
                <w:highlight w:val="yellow"/>
              </w:rPr>
              <w:t>投标人所报价格为含税、配送商费用等的全包价。投标人按“二、货物清单明细”中的序号1至90、序号93至154的货物（共152项货物）参与价格分评审，参与评分的货物以“预计采购数量”乘以“最小计量单位单价最高限价（元）”作为投标总价进行价格分评审。</w:t>
            </w:r>
          </w:p>
        </w:tc>
      </w:tr>
    </w:tbl>
    <w:p w14:paraId="782D92A4">
      <w:pPr>
        <w:rPr>
          <w:rFonts w:hint="eastAsia" w:ascii="宋体" w:hAnsi="宋体" w:eastAsia="宋体" w:cs="Times New Roman"/>
          <w:b/>
          <w:sz w:val="24"/>
        </w:rPr>
      </w:pPr>
    </w:p>
    <w:p w14:paraId="285F3C13">
      <w:pPr>
        <w:ind w:firstLine="482" w:firstLineChars="200"/>
        <w:rPr>
          <w:rFonts w:hint="eastAsia" w:ascii="宋体" w:hAnsi="宋体" w:eastAsia="宋体" w:cs="Times New Roman"/>
          <w:b/>
          <w:sz w:val="24"/>
        </w:rPr>
      </w:pPr>
    </w:p>
    <w:p w14:paraId="31F54577">
      <w:pPr>
        <w:ind w:firstLine="482" w:firstLineChars="200"/>
        <w:rPr>
          <w:rFonts w:hint="eastAsia" w:ascii="宋体" w:hAnsi="宋体" w:eastAsia="宋体" w:cs="Times New Roman"/>
          <w:b/>
          <w:sz w:val="24"/>
        </w:rPr>
      </w:pPr>
    </w:p>
    <w:p w14:paraId="13163A59">
      <w:pPr>
        <w:ind w:firstLine="482" w:firstLineChars="200"/>
        <w:rPr>
          <w:rFonts w:hint="eastAsia" w:ascii="宋体" w:hAnsi="宋体" w:eastAsia="宋体" w:cs="Times New Roman"/>
          <w:b/>
          <w:sz w:val="24"/>
        </w:rPr>
      </w:pPr>
      <w:r>
        <w:rPr>
          <w:rFonts w:hint="eastAsia" w:ascii="宋体" w:hAnsi="宋体" w:eastAsia="宋体" w:cs="Times New Roman"/>
          <w:b/>
          <w:sz w:val="24"/>
        </w:rPr>
        <w:t>注：1.本表可按同样格式扩展。</w:t>
      </w:r>
    </w:p>
    <w:p w14:paraId="612EC58A">
      <w:pPr>
        <w:ind w:firstLine="472" w:firstLineChars="196"/>
        <w:rPr>
          <w:rFonts w:hint="eastAsia" w:ascii="宋体" w:hAnsi="宋体" w:eastAsia="宋体" w:cs="Times New Roman"/>
          <w:b/>
          <w:sz w:val="24"/>
        </w:rPr>
      </w:pPr>
      <w:r>
        <w:rPr>
          <w:rFonts w:hint="eastAsia" w:ascii="宋体" w:hAnsi="宋体" w:eastAsia="宋体" w:cs="Times New Roman"/>
          <w:b/>
          <w:sz w:val="24"/>
        </w:rPr>
        <w:t>2</w:t>
      </w:r>
      <w:r>
        <w:rPr>
          <w:rFonts w:ascii="宋体" w:hAnsi="宋体" w:eastAsia="宋体" w:cs="Times New Roman"/>
          <w:b/>
          <w:sz w:val="24"/>
        </w:rPr>
        <w:t>.</w:t>
      </w:r>
      <w:r>
        <w:rPr>
          <w:rFonts w:hint="eastAsia" w:ascii="宋体" w:hAnsi="宋体" w:eastAsia="宋体" w:cs="Times New Roman"/>
          <w:b/>
          <w:sz w:val="24"/>
        </w:rPr>
        <w:t>“品牌”可以与商标一致，也可以填写便于区分其他公司商品的制造商简称或者制造商认可的品牌名称。此类填写错误或缺漏的不利后果由供应商承担。经评审委员会认定，在使用综合评分法的项目中一项此类填写错误或缺漏将按照一项普通招标技术要求（一般参数/普通参数）负偏离扣分处理。</w:t>
      </w:r>
    </w:p>
    <w:p w14:paraId="53DADC0C">
      <w:pPr>
        <w:ind w:firstLine="472" w:firstLineChars="196"/>
        <w:rPr>
          <w:rFonts w:ascii="Times New Roman" w:hAnsi="Times New Roman" w:eastAsia="宋体" w:cs="Times New Roman"/>
          <w:b/>
          <w:sz w:val="24"/>
        </w:rPr>
      </w:pPr>
      <w:r>
        <w:rPr>
          <w:rFonts w:hint="eastAsia" w:ascii="宋体" w:hAnsi="宋体" w:eastAsia="宋体" w:cs="Times New Roman"/>
          <w:b/>
          <w:sz w:val="24"/>
        </w:rPr>
        <w:t>3.如所投货物属于定制类的非量产货物或无具体型号的货物，可以在“规格/型号”栏目仅填写规格信息而不填型号信息（型号信息用“定制”描述即可）；</w:t>
      </w:r>
      <w:bookmarkStart w:id="59" w:name="_Hlk73646428"/>
      <w:r>
        <w:rPr>
          <w:rFonts w:hint="eastAsia" w:ascii="宋体" w:hAnsi="宋体" w:eastAsia="宋体" w:cs="Times New Roman"/>
          <w:b/>
          <w:sz w:val="24"/>
        </w:rPr>
        <w:t>此类填写错误或缺漏（所投货物为定制类的非量产货物但供应商却错误填报了型号）的不利后果</w:t>
      </w:r>
      <w:r>
        <w:rPr>
          <w:rFonts w:hint="eastAsia" w:ascii="Times New Roman" w:hAnsi="Times New Roman" w:eastAsia="宋体" w:cs="Times New Roman"/>
          <w:b/>
          <w:sz w:val="24"/>
        </w:rPr>
        <w:t>由供应商承担。经评审委员会认定，在使用综合评分法的项目中一项此类填写错误或缺漏将按照一项普通招标技术要求（一般参数/普通参数）负偏离扣分处理。</w:t>
      </w:r>
      <w:bookmarkEnd w:id="59"/>
    </w:p>
    <w:p w14:paraId="5887DFA4">
      <w:pPr>
        <w:ind w:firstLine="472" w:firstLineChars="196"/>
        <w:rPr>
          <w:rFonts w:hint="eastAsia" w:ascii="宋体" w:hAnsi="宋体" w:eastAsia="宋体" w:cs="Times New Roman"/>
          <w:b/>
          <w:sz w:val="24"/>
        </w:rPr>
      </w:pPr>
      <w:r>
        <w:rPr>
          <w:rFonts w:ascii="宋体" w:hAnsi="宋体" w:eastAsia="宋体" w:cs="Times New Roman"/>
          <w:b/>
          <w:sz w:val="24"/>
        </w:rPr>
        <w:t>3</w:t>
      </w:r>
      <w:r>
        <w:rPr>
          <w:rFonts w:hint="eastAsia" w:ascii="宋体" w:hAnsi="宋体" w:eastAsia="宋体" w:cs="Times New Roman"/>
          <w:b/>
          <w:sz w:val="24"/>
        </w:rPr>
        <w:t>.“原产地”是指货物的实际生产加工地，非品牌所在地</w:t>
      </w:r>
    </w:p>
    <w:p w14:paraId="6E1D1425">
      <w:pPr>
        <w:ind w:firstLine="472" w:firstLineChars="196"/>
        <w:rPr>
          <w:rFonts w:hint="eastAsia" w:ascii="宋体" w:hAnsi="宋体" w:eastAsia="宋体" w:cs="Times New Roman"/>
          <w:b/>
          <w:sz w:val="24"/>
        </w:rPr>
      </w:pPr>
      <w:r>
        <w:rPr>
          <w:rFonts w:ascii="宋体" w:hAnsi="宋体" w:eastAsia="宋体" w:cs="Times New Roman"/>
          <w:b/>
          <w:sz w:val="24"/>
        </w:rPr>
        <w:t>4</w:t>
      </w:r>
      <w:r>
        <w:rPr>
          <w:rFonts w:hint="eastAsia" w:ascii="宋体" w:hAnsi="宋体" w:eastAsia="宋体" w:cs="Times New Roman"/>
          <w:b/>
          <w:sz w:val="24"/>
        </w:rPr>
        <w:t>.所投货物均应填写制造商名称，“制造商”是指产品品牌厂商，产品代工制造的，应填写接受委托生产制造的制造商。</w:t>
      </w:r>
    </w:p>
    <w:p w14:paraId="71588703">
      <w:pPr>
        <w:ind w:firstLine="482" w:firstLineChars="200"/>
        <w:rPr>
          <w:rFonts w:hint="eastAsia" w:ascii="宋体" w:hAnsi="宋体" w:eastAsia="宋体" w:cs="Times New Roman"/>
          <w:b/>
          <w:sz w:val="24"/>
        </w:rPr>
      </w:pPr>
      <w:r>
        <w:rPr>
          <w:rFonts w:ascii="宋体" w:hAnsi="宋体" w:eastAsia="宋体" w:cs="Times New Roman"/>
          <w:b/>
          <w:sz w:val="24"/>
        </w:rPr>
        <w:t>5</w:t>
      </w:r>
      <w:r>
        <w:rPr>
          <w:rFonts w:hint="eastAsia" w:ascii="宋体" w:hAnsi="宋体" w:eastAsia="宋体" w:cs="Times New Roman"/>
          <w:b/>
          <w:sz w:val="24"/>
        </w:rPr>
        <w:t>.单价、合价和投标总价为包干价，即三者均应包含货物的价款、包装、运输、装卸、安装、调试、技术指导、培训、咨询、服务、保险、税费、检测、验收合格交付使用之前以及技术和售后服务等其他各项有关费用。</w:t>
      </w:r>
    </w:p>
    <w:p w14:paraId="7442582D">
      <w:pPr>
        <w:ind w:firstLine="482" w:firstLineChars="200"/>
        <w:rPr>
          <w:rFonts w:hint="eastAsia" w:ascii="宋体" w:hAnsi="宋体" w:eastAsia="宋体" w:cs="Times New Roman"/>
          <w:b/>
          <w:sz w:val="24"/>
        </w:rPr>
      </w:pPr>
      <w:r>
        <w:rPr>
          <w:rFonts w:ascii="宋体" w:hAnsi="宋体" w:eastAsia="宋体" w:cs="Times New Roman"/>
          <w:b/>
          <w:sz w:val="24"/>
        </w:rPr>
        <w:t>7</w:t>
      </w:r>
      <w:r>
        <w:rPr>
          <w:rFonts w:hint="eastAsia" w:ascii="宋体" w:hAnsi="宋体" w:eastAsia="宋体" w:cs="Times New Roman"/>
          <w:b/>
          <w:sz w:val="24"/>
        </w:rPr>
        <w:t>.所有价格应按“招标文件”中规定的货币单位填写；投标总价和项目报价表中单个采购预算条目报价均不得超过对应的限额，否则将导致投标无效。</w:t>
      </w:r>
    </w:p>
    <w:p w14:paraId="0ED65789">
      <w:pPr>
        <w:ind w:firstLine="482" w:firstLineChars="200"/>
        <w:rPr>
          <w:rFonts w:hint="eastAsia" w:ascii="宋体" w:hAnsi="宋体" w:eastAsia="宋体" w:cs="Times New Roman"/>
          <w:b/>
          <w:color w:val="FF0000"/>
          <w:sz w:val="24"/>
        </w:rPr>
      </w:pPr>
    </w:p>
    <w:p w14:paraId="329F4449">
      <w:pPr>
        <w:ind w:firstLine="482" w:firstLineChars="200"/>
        <w:rPr>
          <w:rFonts w:hint="eastAsia" w:ascii="宋体" w:hAnsi="宋体" w:eastAsia="宋体" w:cs="Times New Roman"/>
          <w:b/>
          <w:color w:val="FF0000"/>
          <w:sz w:val="24"/>
        </w:rPr>
      </w:pPr>
    </w:p>
    <w:p w14:paraId="07E2A04E">
      <w:pPr>
        <w:tabs>
          <w:tab w:val="left" w:pos="720"/>
        </w:tabs>
        <w:jc w:val="center"/>
        <w:rPr>
          <w:rFonts w:ascii="Times New Roman" w:hAnsi="Times New Roman" w:eastAsia="宋体" w:cs="Times New Roman"/>
          <w:b/>
          <w:sz w:val="24"/>
        </w:rPr>
      </w:pPr>
      <w:r>
        <w:rPr>
          <w:rFonts w:hint="eastAsia" w:ascii="Times New Roman" w:hAnsi="Times New Roman" w:eastAsia="宋体" w:cs="Times New Roman"/>
          <w:b/>
          <w:sz w:val="24"/>
        </w:rPr>
        <w:t>（二）核心产品品牌</w:t>
      </w:r>
    </w:p>
    <w:p w14:paraId="29B258E4">
      <w:pPr>
        <w:ind w:firstLine="482" w:firstLineChars="200"/>
        <w:rPr>
          <w:rFonts w:hint="eastAsia" w:ascii="宋体" w:hAnsi="宋体" w:eastAsia="宋体" w:cs="Times New Roman"/>
          <w:b/>
          <w:color w:val="FF0000"/>
          <w:sz w:val="24"/>
        </w:rPr>
      </w:pPr>
    </w:p>
    <w:p w14:paraId="557C4B37">
      <w:pPr>
        <w:ind w:firstLine="482" w:firstLineChars="200"/>
        <w:rPr>
          <w:rFonts w:hint="eastAsia" w:ascii="宋体" w:hAnsi="宋体" w:eastAsia="宋体" w:cs="Times New Roman"/>
          <w:b/>
          <w:sz w:val="24"/>
        </w:rPr>
      </w:pPr>
      <w:r>
        <w:rPr>
          <w:rFonts w:hint="eastAsia" w:ascii="Times New Roman" w:hAnsi="Times New Roman" w:eastAsia="宋体" w:cs="Times New Roman"/>
          <w:b/>
          <w:sz w:val="24"/>
        </w:rPr>
        <w:t>我单位所投核心产品</w:t>
      </w:r>
      <w:r>
        <w:rPr>
          <w:rFonts w:hint="eastAsia" w:ascii="Times New Roman" w:hAnsi="Times New Roman" w:eastAsia="宋体" w:cs="Times New Roman"/>
          <w:b/>
          <w:sz w:val="24"/>
          <w:u w:val="single"/>
        </w:rPr>
        <w:t xml:space="preserve">               </w:t>
      </w:r>
      <w:r>
        <w:rPr>
          <w:rFonts w:hint="eastAsia" w:ascii="Times New Roman" w:hAnsi="Times New Roman" w:eastAsia="宋体" w:cs="Times New Roman"/>
          <w:b/>
          <w:sz w:val="24"/>
        </w:rPr>
        <w:t>的品牌为：</w:t>
      </w:r>
      <w:r>
        <w:rPr>
          <w:rFonts w:hint="eastAsia" w:ascii="Times New Roman" w:hAnsi="Times New Roman" w:eastAsia="宋体" w:cs="Times New Roman"/>
          <w:b/>
          <w:sz w:val="24"/>
          <w:u w:val="single"/>
        </w:rPr>
        <w:t xml:space="preserve">               </w:t>
      </w:r>
      <w:r>
        <w:rPr>
          <w:rFonts w:hint="eastAsia" w:ascii="Times New Roman" w:hAnsi="Times New Roman" w:eastAsia="宋体" w:cs="Times New Roman"/>
          <w:b/>
          <w:sz w:val="24"/>
        </w:rPr>
        <w:t>。</w:t>
      </w:r>
    </w:p>
    <w:p w14:paraId="4D66B8E3">
      <w:pPr>
        <w:ind w:firstLine="482" w:firstLineChars="200"/>
        <w:rPr>
          <w:rFonts w:hint="eastAsia" w:ascii="宋体" w:hAnsi="宋体" w:eastAsia="宋体" w:cs="Times New Roman"/>
          <w:b/>
          <w:sz w:val="24"/>
        </w:rPr>
      </w:pPr>
      <w:r>
        <w:rPr>
          <w:rFonts w:hint="eastAsia" w:ascii="Times New Roman" w:hAnsi="Times New Roman" w:eastAsia="宋体" w:cs="Times New Roman"/>
          <w:b/>
          <w:sz w:val="24"/>
        </w:rPr>
        <w:t>我单位所投核心产品</w:t>
      </w:r>
      <w:r>
        <w:rPr>
          <w:rFonts w:hint="eastAsia" w:ascii="Times New Roman" w:hAnsi="Times New Roman" w:eastAsia="宋体" w:cs="Times New Roman"/>
          <w:b/>
          <w:sz w:val="24"/>
          <w:u w:val="single"/>
        </w:rPr>
        <w:t xml:space="preserve">               </w:t>
      </w:r>
      <w:r>
        <w:rPr>
          <w:rFonts w:hint="eastAsia" w:ascii="Times New Roman" w:hAnsi="Times New Roman" w:eastAsia="宋体" w:cs="Times New Roman"/>
          <w:b/>
          <w:sz w:val="24"/>
        </w:rPr>
        <w:t>的品牌为：</w:t>
      </w:r>
      <w:r>
        <w:rPr>
          <w:rFonts w:hint="eastAsia" w:ascii="Times New Roman" w:hAnsi="Times New Roman" w:eastAsia="宋体" w:cs="Times New Roman"/>
          <w:b/>
          <w:sz w:val="24"/>
          <w:u w:val="single"/>
        </w:rPr>
        <w:t xml:space="preserve">               </w:t>
      </w:r>
      <w:r>
        <w:rPr>
          <w:rFonts w:hint="eastAsia" w:ascii="Times New Roman" w:hAnsi="Times New Roman" w:eastAsia="宋体" w:cs="Times New Roman"/>
          <w:b/>
          <w:sz w:val="24"/>
        </w:rPr>
        <w:t>。</w:t>
      </w:r>
    </w:p>
    <w:p w14:paraId="2C219B5D">
      <w:pPr>
        <w:ind w:firstLine="482" w:firstLineChars="200"/>
        <w:rPr>
          <w:rFonts w:hint="eastAsia" w:ascii="宋体" w:hAnsi="宋体" w:eastAsia="宋体" w:cs="Times New Roman"/>
          <w:b/>
          <w:sz w:val="24"/>
        </w:rPr>
      </w:pPr>
      <w:r>
        <w:rPr>
          <w:rFonts w:hint="eastAsia" w:ascii="Times New Roman" w:hAnsi="Times New Roman" w:eastAsia="宋体" w:cs="Times New Roman"/>
          <w:b/>
          <w:sz w:val="24"/>
        </w:rPr>
        <w:t>我单位所投核心产品</w:t>
      </w:r>
      <w:r>
        <w:rPr>
          <w:rFonts w:hint="eastAsia" w:ascii="Times New Roman" w:hAnsi="Times New Roman" w:eastAsia="宋体" w:cs="Times New Roman"/>
          <w:b/>
          <w:sz w:val="24"/>
          <w:u w:val="single"/>
        </w:rPr>
        <w:t xml:space="preserve">               </w:t>
      </w:r>
      <w:r>
        <w:rPr>
          <w:rFonts w:hint="eastAsia" w:ascii="Times New Roman" w:hAnsi="Times New Roman" w:eastAsia="宋体" w:cs="Times New Roman"/>
          <w:b/>
          <w:sz w:val="24"/>
        </w:rPr>
        <w:t>的品牌为：</w:t>
      </w:r>
      <w:r>
        <w:rPr>
          <w:rFonts w:hint="eastAsia" w:ascii="Times New Roman" w:hAnsi="Times New Roman" w:eastAsia="宋体" w:cs="Times New Roman"/>
          <w:b/>
          <w:sz w:val="24"/>
          <w:u w:val="single"/>
        </w:rPr>
        <w:t xml:space="preserve">               </w:t>
      </w:r>
      <w:r>
        <w:rPr>
          <w:rFonts w:hint="eastAsia" w:ascii="Times New Roman" w:hAnsi="Times New Roman" w:eastAsia="宋体" w:cs="Times New Roman"/>
          <w:b/>
          <w:sz w:val="24"/>
        </w:rPr>
        <w:t>。</w:t>
      </w:r>
    </w:p>
    <w:p w14:paraId="65F1C643">
      <w:pPr>
        <w:ind w:firstLine="482" w:firstLineChars="200"/>
        <w:rPr>
          <w:rFonts w:hint="eastAsia" w:ascii="宋体" w:hAnsi="宋体" w:eastAsia="宋体" w:cs="Times New Roman"/>
          <w:b/>
          <w:color w:val="FF0000"/>
          <w:sz w:val="24"/>
          <w:lang w:val="en-US" w:eastAsia="zh-CN"/>
        </w:rPr>
      </w:pPr>
      <w:r>
        <w:rPr>
          <w:rFonts w:hint="eastAsia" w:ascii="宋体" w:hAnsi="宋体" w:eastAsia="宋体" w:cs="Times New Roman"/>
          <w:b/>
          <w:color w:val="FF0000"/>
          <w:sz w:val="24"/>
          <w:lang w:val="en-US" w:eastAsia="zh-CN"/>
        </w:rPr>
        <w:t>……</w:t>
      </w:r>
    </w:p>
    <w:p w14:paraId="3CC714A2">
      <w:pPr>
        <w:ind w:firstLine="480" w:firstLineChars="200"/>
        <w:rPr>
          <w:rFonts w:hint="eastAsia" w:ascii="宋体" w:hAnsi="宋体" w:eastAsia="宋体" w:cs="Times New Roman"/>
          <w:sz w:val="24"/>
        </w:rPr>
      </w:pPr>
      <w:r>
        <w:rPr>
          <w:rFonts w:hint="eastAsia" w:ascii="宋体" w:hAnsi="宋体" w:eastAsia="宋体" w:cs="Times New Roman"/>
          <w:sz w:val="24"/>
        </w:rPr>
        <w:t>备注：可按同样格式扩展</w:t>
      </w:r>
      <w:r>
        <w:rPr>
          <w:rFonts w:hint="eastAsia" w:ascii="宋体" w:hAnsi="宋体" w:eastAsia="宋体" w:cs="Times New Roman"/>
          <w:sz w:val="24"/>
          <w:lang w:val="en-US" w:eastAsia="zh-CN"/>
        </w:rPr>
        <w:t>表述</w:t>
      </w:r>
      <w:r>
        <w:rPr>
          <w:rFonts w:hint="eastAsia" w:ascii="宋体" w:hAnsi="宋体" w:eastAsia="宋体" w:cs="Times New Roman"/>
          <w:sz w:val="24"/>
        </w:rPr>
        <w:t>。单一产品采购项目，核心产品即为该单一产品。</w:t>
      </w:r>
    </w:p>
    <w:p w14:paraId="1D3FE3C4">
      <w:pPr>
        <w:ind w:firstLine="482" w:firstLineChars="200"/>
        <w:rPr>
          <w:rFonts w:hint="eastAsia" w:ascii="宋体" w:hAnsi="宋体" w:eastAsia="宋体" w:cs="Times New Roman"/>
          <w:b/>
          <w:color w:val="FF0000"/>
          <w:sz w:val="24"/>
        </w:rPr>
      </w:pPr>
    </w:p>
    <w:p w14:paraId="5CF43CFB">
      <w:pPr>
        <w:ind w:firstLine="482" w:firstLineChars="200"/>
        <w:rPr>
          <w:rFonts w:hint="eastAsia" w:ascii="宋体" w:hAnsi="宋体" w:eastAsia="宋体" w:cs="Times New Roman"/>
          <w:b/>
          <w:color w:val="FF0000"/>
          <w:sz w:val="24"/>
        </w:rPr>
      </w:pPr>
    </w:p>
    <w:p w14:paraId="62A84F37">
      <w:pPr>
        <w:rPr>
          <w:rFonts w:ascii="Times New Roman" w:hAnsi="Times New Roman" w:eastAsia="宋体" w:cs="Times New Roman"/>
          <w:b/>
          <w:sz w:val="24"/>
        </w:rPr>
      </w:pPr>
    </w:p>
    <w:p w14:paraId="75595B0A">
      <w:pPr>
        <w:tabs>
          <w:tab w:val="left" w:pos="720"/>
        </w:tabs>
        <w:ind w:firstLine="1928" w:firstLineChars="800"/>
        <w:rPr>
          <w:rFonts w:ascii="Times New Roman" w:hAnsi="Times New Roman" w:eastAsia="宋体" w:cs="Times New Roman"/>
          <w:b/>
          <w:sz w:val="24"/>
        </w:rPr>
      </w:pPr>
      <w:r>
        <w:rPr>
          <w:rFonts w:hint="eastAsia" w:ascii="Times New Roman" w:hAnsi="Times New Roman" w:eastAsia="宋体" w:cs="Times New Roman"/>
          <w:b/>
          <w:sz w:val="24"/>
        </w:rPr>
        <w:t>（三）可选配件报价清单（不包括在总报价内）</w:t>
      </w:r>
    </w:p>
    <w:p w14:paraId="6FFA06D1">
      <w:pPr>
        <w:ind w:firstLine="422" w:firstLineChars="200"/>
        <w:rPr>
          <w:rFonts w:hint="eastAsia" w:ascii="Times New Roman" w:hAnsi="宋体" w:eastAsia="宋体" w:cs="Times New Roman"/>
          <w:b/>
          <w:bCs/>
          <w:szCs w:val="21"/>
        </w:rPr>
      </w:pPr>
      <w:r>
        <w:rPr>
          <w:rFonts w:hint="eastAsia" w:ascii="Times New Roman" w:hAnsi="宋体" w:eastAsia="宋体" w:cs="Times New Roman"/>
          <w:b/>
          <w:bCs/>
          <w:szCs w:val="21"/>
        </w:rPr>
        <w:t>注：格式可以参照《（一）分项报价表》表格，并提供相应的品牌/规格/型号、原产地、制造商信息（没有品牌、型号的，用“定制”描述即可）、单价等详细信息</w:t>
      </w:r>
    </w:p>
    <w:p w14:paraId="5718B271">
      <w:pPr>
        <w:ind w:firstLine="482" w:firstLineChars="200"/>
        <w:rPr>
          <w:rFonts w:hint="eastAsia" w:ascii="Times New Roman" w:hAnsi="宋体" w:eastAsia="宋体" w:cs="Times New Roman"/>
          <w:b/>
          <w:bCs/>
          <w:sz w:val="24"/>
        </w:rPr>
      </w:pPr>
    </w:p>
    <w:p w14:paraId="6FA7B602">
      <w:pPr>
        <w:ind w:firstLine="482" w:firstLineChars="200"/>
        <w:rPr>
          <w:rFonts w:hint="eastAsia" w:ascii="Times New Roman" w:hAnsi="宋体" w:eastAsia="宋体" w:cs="Times New Roman"/>
          <w:b/>
          <w:bCs/>
          <w:sz w:val="24"/>
        </w:rPr>
      </w:pPr>
    </w:p>
    <w:p w14:paraId="1AC9BD0B">
      <w:pPr>
        <w:tabs>
          <w:tab w:val="left" w:pos="720"/>
        </w:tabs>
        <w:jc w:val="center"/>
        <w:rPr>
          <w:rFonts w:ascii="Times New Roman" w:hAnsi="Times New Roman" w:eastAsia="宋体" w:cs="Times New Roman"/>
          <w:b/>
          <w:sz w:val="24"/>
        </w:rPr>
      </w:pPr>
      <w:r>
        <w:rPr>
          <w:rFonts w:hint="eastAsia" w:ascii="Times New Roman" w:hAnsi="Times New Roman" w:eastAsia="宋体" w:cs="Times New Roman"/>
          <w:b/>
          <w:sz w:val="24"/>
        </w:rPr>
        <w:t>（四）</w:t>
      </w:r>
      <w:bookmarkStart w:id="60" w:name="_Hlk72073235"/>
      <w:r>
        <w:rPr>
          <w:rFonts w:hint="eastAsia" w:ascii="Times New Roman" w:hAnsi="Times New Roman" w:eastAsia="宋体" w:cs="Times New Roman"/>
          <w:b/>
          <w:sz w:val="24"/>
        </w:rPr>
        <w:t>投标人认为需要涉及的其他内容报价清单</w:t>
      </w:r>
      <w:bookmarkEnd w:id="60"/>
    </w:p>
    <w:p w14:paraId="64D29C09">
      <w:pPr>
        <w:rPr>
          <w:rFonts w:ascii="Times New Roman" w:hAnsi="Times New Roman" w:eastAsia="宋体" w:cs="Times New Roman"/>
          <w:b/>
          <w:bCs/>
        </w:rPr>
      </w:pPr>
    </w:p>
    <w:bookmarkEnd w:id="58"/>
    <w:p w14:paraId="7C1F26D2">
      <w:pPr>
        <w:rPr>
          <w:rFonts w:ascii="Times New Roman" w:hAnsi="Times New Roman" w:eastAsia="宋体" w:cs="Times New Roman"/>
        </w:rPr>
      </w:pPr>
      <w:r>
        <w:rPr>
          <w:rFonts w:ascii="Times New Roman" w:hAnsi="Times New Roman" w:eastAsia="宋体" w:cs="Times New Roman"/>
        </w:rPr>
        <w:br w:type="page"/>
      </w:r>
    </w:p>
    <w:p w14:paraId="38A2D639">
      <w:pPr>
        <w:snapToGrid w:val="0"/>
        <w:jc w:val="center"/>
        <w:outlineLvl w:val="2"/>
        <w:rPr>
          <w:rFonts w:hint="eastAsia" w:ascii="黑体" w:hAnsi="宋体" w:eastAsia="黑体" w:cs="Times New Roman"/>
          <w:bCs/>
          <w:sz w:val="24"/>
          <w:szCs w:val="32"/>
        </w:rPr>
      </w:pPr>
      <w:bookmarkStart w:id="61" w:name="_Hlk72260530"/>
      <w:r>
        <w:rPr>
          <w:rFonts w:hint="eastAsia" w:ascii="黑体" w:hAnsi="宋体" w:eastAsia="黑体" w:cs="Times New Roman"/>
          <w:bCs/>
          <w:sz w:val="24"/>
          <w:szCs w:val="32"/>
        </w:rPr>
        <w:t>五、供应商基本情况表</w:t>
      </w:r>
    </w:p>
    <w:tbl>
      <w:tblPr>
        <w:tblStyle w:val="4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645"/>
        <w:gridCol w:w="1530"/>
        <w:gridCol w:w="904"/>
        <w:gridCol w:w="752"/>
        <w:gridCol w:w="1146"/>
        <w:gridCol w:w="1429"/>
        <w:gridCol w:w="1420"/>
      </w:tblGrid>
      <w:tr w14:paraId="693BE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pct"/>
            <w:gridSpan w:val="2"/>
            <w:vAlign w:val="center"/>
          </w:tcPr>
          <w:p w14:paraId="08E9F665">
            <w:pPr>
              <w:rPr>
                <w:rFonts w:hint="eastAsia" w:ascii="宋体" w:hAnsi="宋体" w:eastAsia="宋体" w:cs="宋体"/>
                <w:szCs w:val="21"/>
              </w:rPr>
            </w:pPr>
            <w:r>
              <w:rPr>
                <w:rFonts w:hint="eastAsia" w:ascii="宋体" w:hAnsi="宋体" w:eastAsia="宋体" w:cs="宋体"/>
                <w:szCs w:val="21"/>
              </w:rPr>
              <w:t>投标（响应）供应商</w:t>
            </w:r>
          </w:p>
        </w:tc>
        <w:tc>
          <w:tcPr>
            <w:tcW w:w="1427" w:type="pct"/>
            <w:gridSpan w:val="2"/>
            <w:vAlign w:val="center"/>
          </w:tcPr>
          <w:p w14:paraId="1B4066A9">
            <w:pPr>
              <w:jc w:val="center"/>
              <w:rPr>
                <w:rFonts w:hint="eastAsia" w:ascii="宋体" w:hAnsi="宋体" w:eastAsia="宋体" w:cs="宋体"/>
                <w:szCs w:val="21"/>
              </w:rPr>
            </w:pPr>
          </w:p>
        </w:tc>
        <w:tc>
          <w:tcPr>
            <w:tcW w:w="1113" w:type="pct"/>
            <w:gridSpan w:val="2"/>
            <w:vAlign w:val="center"/>
          </w:tcPr>
          <w:p w14:paraId="1D3DCC33">
            <w:pPr>
              <w:jc w:val="center"/>
              <w:rPr>
                <w:rFonts w:hint="eastAsia" w:ascii="宋体" w:hAnsi="宋体" w:eastAsia="宋体" w:cs="宋体"/>
                <w:szCs w:val="21"/>
              </w:rPr>
            </w:pPr>
            <w:r>
              <w:rPr>
                <w:rFonts w:hint="eastAsia" w:ascii="宋体" w:hAnsi="宋体" w:eastAsia="宋体" w:cs="宋体"/>
                <w:szCs w:val="21"/>
              </w:rPr>
              <w:t>项目名称及编号</w:t>
            </w:r>
          </w:p>
        </w:tc>
        <w:tc>
          <w:tcPr>
            <w:tcW w:w="1669" w:type="pct"/>
            <w:gridSpan w:val="2"/>
            <w:vAlign w:val="center"/>
          </w:tcPr>
          <w:p w14:paraId="791AF257">
            <w:pPr>
              <w:jc w:val="center"/>
              <w:rPr>
                <w:rFonts w:hint="eastAsia" w:ascii="宋体" w:hAnsi="宋体" w:eastAsia="宋体" w:cs="宋体"/>
                <w:szCs w:val="21"/>
              </w:rPr>
            </w:pPr>
          </w:p>
        </w:tc>
      </w:tr>
      <w:tr w14:paraId="5A062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vAlign w:val="center"/>
          </w:tcPr>
          <w:p w14:paraId="3EF4F5D5">
            <w:pPr>
              <w:jc w:val="center"/>
              <w:rPr>
                <w:rFonts w:hint="eastAsia" w:ascii="宋体" w:hAnsi="宋体" w:eastAsia="宋体" w:cs="宋体"/>
                <w:szCs w:val="21"/>
              </w:rPr>
            </w:pPr>
            <w:r>
              <w:rPr>
                <w:rFonts w:hint="eastAsia" w:ascii="宋体" w:hAnsi="宋体" w:eastAsia="宋体" w:cs="宋体"/>
                <w:b/>
                <w:bCs/>
                <w:szCs w:val="21"/>
              </w:rPr>
              <w:t>投标（响应）供应商相关人员情况</w:t>
            </w:r>
          </w:p>
        </w:tc>
      </w:tr>
      <w:tr w14:paraId="2C55A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vAlign w:val="center"/>
          </w:tcPr>
          <w:p w14:paraId="3AC99CE0">
            <w:pPr>
              <w:snapToGrid w:val="0"/>
              <w:jc w:val="center"/>
              <w:rPr>
                <w:rFonts w:hint="eastAsia" w:ascii="宋体" w:hAnsi="宋体" w:eastAsia="宋体" w:cs="宋体"/>
                <w:szCs w:val="21"/>
              </w:rPr>
            </w:pPr>
            <w:r>
              <w:rPr>
                <w:rFonts w:hint="eastAsia" w:ascii="宋体" w:hAnsi="宋体" w:eastAsia="宋体" w:cs="宋体"/>
                <w:szCs w:val="21"/>
              </w:rPr>
              <w:t>序号</w:t>
            </w:r>
          </w:p>
        </w:tc>
        <w:tc>
          <w:tcPr>
            <w:tcW w:w="1275" w:type="pct"/>
            <w:gridSpan w:val="2"/>
            <w:tcBorders>
              <w:bottom w:val="single" w:color="auto" w:sz="4" w:space="0"/>
            </w:tcBorders>
            <w:vAlign w:val="center"/>
          </w:tcPr>
          <w:p w14:paraId="04CB38AD">
            <w:pPr>
              <w:jc w:val="center"/>
              <w:rPr>
                <w:rFonts w:hint="eastAsia" w:ascii="宋体" w:hAnsi="宋体" w:eastAsia="宋体" w:cs="宋体"/>
                <w:szCs w:val="21"/>
              </w:rPr>
            </w:pPr>
            <w:r>
              <w:rPr>
                <w:rFonts w:hint="eastAsia" w:ascii="宋体" w:hAnsi="宋体" w:eastAsia="宋体" w:cs="宋体"/>
                <w:szCs w:val="21"/>
              </w:rPr>
              <w:t>职务</w:t>
            </w:r>
          </w:p>
        </w:tc>
        <w:tc>
          <w:tcPr>
            <w:tcW w:w="529" w:type="pct"/>
            <w:tcBorders>
              <w:bottom w:val="single" w:color="auto" w:sz="4" w:space="0"/>
            </w:tcBorders>
            <w:vAlign w:val="center"/>
          </w:tcPr>
          <w:p w14:paraId="2A017A8C">
            <w:pPr>
              <w:jc w:val="center"/>
              <w:rPr>
                <w:rFonts w:hint="eastAsia" w:ascii="宋体" w:hAnsi="宋体" w:eastAsia="宋体" w:cs="宋体"/>
                <w:szCs w:val="21"/>
              </w:rPr>
            </w:pPr>
            <w:r>
              <w:rPr>
                <w:rFonts w:hint="eastAsia" w:ascii="宋体" w:hAnsi="宋体" w:eastAsia="宋体" w:cs="宋体"/>
                <w:szCs w:val="21"/>
              </w:rPr>
              <w:t>姓名</w:t>
            </w:r>
          </w:p>
        </w:tc>
        <w:tc>
          <w:tcPr>
            <w:tcW w:w="1113" w:type="pct"/>
            <w:gridSpan w:val="2"/>
            <w:tcBorders>
              <w:bottom w:val="single" w:color="auto" w:sz="4" w:space="0"/>
            </w:tcBorders>
            <w:vAlign w:val="center"/>
          </w:tcPr>
          <w:p w14:paraId="40632052">
            <w:pPr>
              <w:jc w:val="center"/>
              <w:rPr>
                <w:rFonts w:hint="eastAsia" w:ascii="宋体" w:hAnsi="宋体" w:eastAsia="宋体" w:cs="宋体"/>
                <w:szCs w:val="21"/>
              </w:rPr>
            </w:pPr>
            <w:r>
              <w:rPr>
                <w:rFonts w:hint="eastAsia" w:ascii="宋体" w:hAnsi="宋体" w:eastAsia="宋体" w:cs="宋体"/>
                <w:szCs w:val="21"/>
              </w:rPr>
              <w:t>身份证号码</w:t>
            </w:r>
          </w:p>
        </w:tc>
        <w:tc>
          <w:tcPr>
            <w:tcW w:w="838" w:type="pct"/>
            <w:tcBorders>
              <w:bottom w:val="single" w:color="auto" w:sz="4" w:space="0"/>
            </w:tcBorders>
            <w:vAlign w:val="center"/>
          </w:tcPr>
          <w:p w14:paraId="01FFDA23">
            <w:pPr>
              <w:snapToGrid w:val="0"/>
              <w:jc w:val="center"/>
              <w:rPr>
                <w:rFonts w:hint="eastAsia" w:ascii="宋体" w:hAnsi="宋体" w:eastAsia="宋体" w:cs="宋体"/>
                <w:szCs w:val="21"/>
              </w:rPr>
            </w:pPr>
            <w:r>
              <w:rPr>
                <w:rFonts w:hint="eastAsia" w:ascii="宋体" w:hAnsi="宋体" w:eastAsia="宋体" w:cs="宋体"/>
                <w:szCs w:val="21"/>
              </w:rPr>
              <w:t>劳动合同</w:t>
            </w:r>
          </w:p>
          <w:p w14:paraId="716CB630">
            <w:pPr>
              <w:snapToGrid w:val="0"/>
              <w:jc w:val="center"/>
              <w:rPr>
                <w:rFonts w:hint="eastAsia" w:ascii="宋体" w:hAnsi="宋体" w:eastAsia="宋体" w:cs="宋体"/>
                <w:szCs w:val="21"/>
              </w:rPr>
            </w:pPr>
            <w:r>
              <w:rPr>
                <w:rFonts w:hint="eastAsia" w:ascii="宋体" w:hAnsi="宋体" w:eastAsia="宋体" w:cs="宋体"/>
                <w:szCs w:val="21"/>
              </w:rPr>
              <w:t>关系单位</w:t>
            </w:r>
          </w:p>
        </w:tc>
        <w:tc>
          <w:tcPr>
            <w:tcW w:w="830" w:type="pct"/>
            <w:tcBorders>
              <w:bottom w:val="single" w:color="auto" w:sz="4" w:space="0"/>
            </w:tcBorders>
            <w:vAlign w:val="center"/>
          </w:tcPr>
          <w:p w14:paraId="172DB4AC">
            <w:pPr>
              <w:snapToGrid w:val="0"/>
              <w:jc w:val="center"/>
              <w:rPr>
                <w:rFonts w:hint="eastAsia" w:ascii="宋体" w:hAnsi="宋体" w:eastAsia="宋体" w:cs="宋体"/>
                <w:szCs w:val="21"/>
              </w:rPr>
            </w:pPr>
            <w:r>
              <w:rPr>
                <w:rFonts w:hint="eastAsia" w:ascii="宋体" w:hAnsi="宋体" w:eastAsia="宋体" w:cs="宋体"/>
                <w:szCs w:val="21"/>
              </w:rPr>
              <w:t>缴纳社会</w:t>
            </w:r>
          </w:p>
          <w:p w14:paraId="09A63314">
            <w:pPr>
              <w:snapToGrid w:val="0"/>
              <w:jc w:val="center"/>
              <w:rPr>
                <w:rFonts w:hint="eastAsia" w:ascii="宋体" w:hAnsi="宋体" w:eastAsia="宋体" w:cs="宋体"/>
                <w:szCs w:val="21"/>
              </w:rPr>
            </w:pPr>
            <w:r>
              <w:rPr>
                <w:rFonts w:hint="eastAsia" w:ascii="宋体" w:hAnsi="宋体" w:eastAsia="宋体" w:cs="宋体"/>
                <w:szCs w:val="21"/>
              </w:rPr>
              <w:t>保险单位</w:t>
            </w:r>
          </w:p>
        </w:tc>
      </w:tr>
      <w:tr w14:paraId="4B24D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vAlign w:val="center"/>
          </w:tcPr>
          <w:p w14:paraId="0AB2880F">
            <w:pPr>
              <w:jc w:val="center"/>
              <w:rPr>
                <w:rFonts w:hint="eastAsia" w:ascii="宋体" w:hAnsi="宋体" w:eastAsia="宋体" w:cs="宋体"/>
                <w:szCs w:val="21"/>
              </w:rPr>
            </w:pPr>
            <w:r>
              <w:rPr>
                <w:rFonts w:hint="eastAsia" w:ascii="宋体" w:hAnsi="宋体" w:eastAsia="宋体" w:cs="宋体"/>
                <w:szCs w:val="21"/>
              </w:rPr>
              <w:t>1</w:t>
            </w:r>
          </w:p>
        </w:tc>
        <w:tc>
          <w:tcPr>
            <w:tcW w:w="1275" w:type="pct"/>
            <w:gridSpan w:val="2"/>
            <w:tcBorders>
              <w:top w:val="single" w:color="auto" w:sz="4" w:space="0"/>
              <w:left w:val="single" w:color="auto" w:sz="4" w:space="0"/>
              <w:bottom w:val="single" w:color="auto" w:sz="4" w:space="0"/>
              <w:right w:val="single" w:color="auto" w:sz="4" w:space="0"/>
            </w:tcBorders>
            <w:vAlign w:val="center"/>
          </w:tcPr>
          <w:p w14:paraId="49A57F79">
            <w:pPr>
              <w:spacing w:line="460" w:lineRule="exact"/>
              <w:jc w:val="center"/>
              <w:rPr>
                <w:rFonts w:hint="eastAsia" w:ascii="宋体" w:hAnsi="宋体" w:eastAsia="宋体" w:cs="宋体"/>
                <w:szCs w:val="21"/>
              </w:rPr>
            </w:pPr>
            <w:r>
              <w:rPr>
                <w:rFonts w:hint="eastAsia" w:ascii="宋体" w:hAnsi="宋体" w:eastAsia="宋体" w:cs="宋体"/>
                <w:szCs w:val="21"/>
              </w:rPr>
              <w:t>法定代表人/单位负责人/主要经营负责人</w:t>
            </w:r>
          </w:p>
        </w:tc>
        <w:tc>
          <w:tcPr>
            <w:tcW w:w="529" w:type="pct"/>
            <w:tcBorders>
              <w:top w:val="single" w:color="auto" w:sz="4" w:space="0"/>
              <w:left w:val="single" w:color="auto" w:sz="4" w:space="0"/>
              <w:bottom w:val="single" w:color="auto" w:sz="4" w:space="0"/>
              <w:right w:val="single" w:color="auto" w:sz="4" w:space="0"/>
            </w:tcBorders>
            <w:vAlign w:val="center"/>
          </w:tcPr>
          <w:p w14:paraId="6D65CEC3">
            <w:pPr>
              <w:jc w:val="center"/>
              <w:rPr>
                <w:rFonts w:hint="eastAsia" w:ascii="宋体" w:hAnsi="宋体" w:eastAsia="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1E7DD166">
            <w:pPr>
              <w:jc w:val="center"/>
              <w:rPr>
                <w:rFonts w:hint="eastAsia" w:ascii="宋体" w:hAnsi="宋体" w:eastAsia="宋体" w:cs="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14:paraId="6F243602">
            <w:pPr>
              <w:jc w:val="center"/>
              <w:rPr>
                <w:rFonts w:hint="eastAsia" w:ascii="宋体" w:hAnsi="宋体" w:eastAsia="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192424B8">
            <w:pPr>
              <w:jc w:val="center"/>
              <w:rPr>
                <w:rFonts w:hint="eastAsia" w:ascii="宋体" w:hAnsi="宋体" w:eastAsia="宋体" w:cs="宋体"/>
                <w:szCs w:val="21"/>
              </w:rPr>
            </w:pPr>
          </w:p>
        </w:tc>
      </w:tr>
      <w:tr w14:paraId="44F85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vAlign w:val="center"/>
          </w:tcPr>
          <w:p w14:paraId="18907B68">
            <w:pPr>
              <w:jc w:val="center"/>
              <w:rPr>
                <w:rFonts w:hint="eastAsia" w:ascii="宋体" w:hAnsi="宋体" w:eastAsia="宋体" w:cs="宋体"/>
                <w:szCs w:val="21"/>
              </w:rPr>
            </w:pPr>
            <w:r>
              <w:rPr>
                <w:rFonts w:hint="eastAsia" w:ascii="宋体" w:hAnsi="宋体" w:eastAsia="宋体" w:cs="宋体"/>
                <w:szCs w:val="21"/>
              </w:rPr>
              <w:t>2</w:t>
            </w:r>
          </w:p>
        </w:tc>
        <w:tc>
          <w:tcPr>
            <w:tcW w:w="1275" w:type="pct"/>
            <w:gridSpan w:val="2"/>
            <w:tcBorders>
              <w:top w:val="single" w:color="auto" w:sz="4" w:space="0"/>
              <w:left w:val="single" w:color="auto" w:sz="4" w:space="0"/>
              <w:bottom w:val="single" w:color="auto" w:sz="4" w:space="0"/>
              <w:right w:val="single" w:color="auto" w:sz="4" w:space="0"/>
            </w:tcBorders>
            <w:vAlign w:val="center"/>
          </w:tcPr>
          <w:p w14:paraId="3F2C4C24">
            <w:pPr>
              <w:jc w:val="center"/>
              <w:rPr>
                <w:rFonts w:hint="eastAsia" w:ascii="宋体" w:hAnsi="宋体" w:eastAsia="宋体" w:cs="宋体"/>
                <w:szCs w:val="21"/>
              </w:rPr>
            </w:pPr>
            <w:r>
              <w:rPr>
                <w:rFonts w:hint="eastAsia" w:ascii="宋体" w:hAnsi="宋体" w:eastAsia="宋体" w:cs="宋体"/>
                <w:szCs w:val="21"/>
              </w:rPr>
              <w:t>项目投标授权代表人</w:t>
            </w:r>
          </w:p>
        </w:tc>
        <w:tc>
          <w:tcPr>
            <w:tcW w:w="529" w:type="pct"/>
            <w:tcBorders>
              <w:top w:val="single" w:color="auto" w:sz="4" w:space="0"/>
              <w:left w:val="single" w:color="auto" w:sz="4" w:space="0"/>
              <w:bottom w:val="single" w:color="auto" w:sz="4" w:space="0"/>
              <w:right w:val="single" w:color="auto" w:sz="4" w:space="0"/>
            </w:tcBorders>
            <w:vAlign w:val="center"/>
          </w:tcPr>
          <w:p w14:paraId="526D4518">
            <w:pPr>
              <w:jc w:val="center"/>
              <w:rPr>
                <w:rFonts w:hint="eastAsia" w:ascii="宋体" w:hAnsi="宋体" w:eastAsia="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3AE69A84">
            <w:pPr>
              <w:jc w:val="center"/>
              <w:rPr>
                <w:rFonts w:hint="eastAsia" w:ascii="宋体" w:hAnsi="宋体" w:eastAsia="宋体" w:cs="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14:paraId="095AF595">
            <w:pPr>
              <w:jc w:val="center"/>
              <w:rPr>
                <w:rFonts w:hint="eastAsia" w:ascii="宋体" w:hAnsi="宋体" w:eastAsia="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62E75736">
            <w:pPr>
              <w:jc w:val="center"/>
              <w:rPr>
                <w:rFonts w:hint="eastAsia" w:ascii="宋体" w:hAnsi="宋体" w:eastAsia="宋体" w:cs="宋体"/>
                <w:szCs w:val="21"/>
              </w:rPr>
            </w:pPr>
          </w:p>
        </w:tc>
      </w:tr>
      <w:tr w14:paraId="45551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tcBorders>
            <w:vAlign w:val="center"/>
          </w:tcPr>
          <w:p w14:paraId="08322C18">
            <w:pPr>
              <w:jc w:val="center"/>
              <w:rPr>
                <w:rFonts w:hint="eastAsia" w:ascii="宋体" w:hAnsi="宋体" w:eastAsia="宋体" w:cs="宋体"/>
                <w:szCs w:val="21"/>
              </w:rPr>
            </w:pPr>
            <w:r>
              <w:rPr>
                <w:rFonts w:hint="eastAsia" w:ascii="宋体" w:hAnsi="宋体" w:eastAsia="宋体" w:cs="宋体"/>
                <w:szCs w:val="21"/>
                <w:lang w:bidi="ar"/>
              </w:rPr>
              <w:t>3</w:t>
            </w:r>
          </w:p>
        </w:tc>
        <w:tc>
          <w:tcPr>
            <w:tcW w:w="1275" w:type="pct"/>
            <w:gridSpan w:val="2"/>
            <w:tcBorders>
              <w:top w:val="single" w:color="auto" w:sz="4" w:space="0"/>
            </w:tcBorders>
            <w:vAlign w:val="center"/>
          </w:tcPr>
          <w:p w14:paraId="74272B51">
            <w:pPr>
              <w:jc w:val="center"/>
              <w:rPr>
                <w:rFonts w:hint="eastAsia" w:ascii="宋体" w:hAnsi="宋体" w:eastAsia="宋体" w:cs="宋体"/>
                <w:szCs w:val="21"/>
              </w:rPr>
            </w:pPr>
            <w:r>
              <w:rPr>
                <w:rFonts w:hint="eastAsia" w:ascii="宋体" w:hAnsi="宋体" w:eastAsia="宋体" w:cs="宋体"/>
                <w:szCs w:val="21"/>
              </w:rPr>
              <w:t>项目负责人</w:t>
            </w:r>
          </w:p>
        </w:tc>
        <w:tc>
          <w:tcPr>
            <w:tcW w:w="529" w:type="pct"/>
            <w:tcBorders>
              <w:top w:val="single" w:color="auto" w:sz="4" w:space="0"/>
            </w:tcBorders>
            <w:vAlign w:val="center"/>
          </w:tcPr>
          <w:p w14:paraId="53BFC9E2">
            <w:pPr>
              <w:jc w:val="center"/>
              <w:rPr>
                <w:rFonts w:hint="eastAsia" w:ascii="宋体" w:hAnsi="宋体" w:eastAsia="宋体" w:cs="宋体"/>
                <w:szCs w:val="21"/>
              </w:rPr>
            </w:pPr>
          </w:p>
        </w:tc>
        <w:tc>
          <w:tcPr>
            <w:tcW w:w="1113" w:type="pct"/>
            <w:gridSpan w:val="2"/>
            <w:tcBorders>
              <w:top w:val="single" w:color="auto" w:sz="4" w:space="0"/>
            </w:tcBorders>
            <w:vAlign w:val="center"/>
          </w:tcPr>
          <w:p w14:paraId="0D1CB063">
            <w:pPr>
              <w:jc w:val="center"/>
              <w:rPr>
                <w:rFonts w:hint="eastAsia" w:ascii="宋体" w:hAnsi="宋体" w:eastAsia="宋体" w:cs="宋体"/>
                <w:szCs w:val="21"/>
              </w:rPr>
            </w:pPr>
          </w:p>
        </w:tc>
        <w:tc>
          <w:tcPr>
            <w:tcW w:w="838" w:type="pct"/>
            <w:tcBorders>
              <w:top w:val="single" w:color="auto" w:sz="4" w:space="0"/>
            </w:tcBorders>
            <w:vAlign w:val="center"/>
          </w:tcPr>
          <w:p w14:paraId="61D87B4E">
            <w:pPr>
              <w:jc w:val="center"/>
              <w:rPr>
                <w:rFonts w:hint="eastAsia" w:ascii="宋体" w:hAnsi="宋体" w:eastAsia="宋体" w:cs="宋体"/>
                <w:szCs w:val="21"/>
              </w:rPr>
            </w:pPr>
          </w:p>
        </w:tc>
        <w:tc>
          <w:tcPr>
            <w:tcW w:w="830" w:type="pct"/>
            <w:tcBorders>
              <w:top w:val="single" w:color="auto" w:sz="4" w:space="0"/>
            </w:tcBorders>
            <w:vAlign w:val="center"/>
          </w:tcPr>
          <w:p w14:paraId="431E8E80">
            <w:pPr>
              <w:jc w:val="center"/>
              <w:rPr>
                <w:rFonts w:hint="eastAsia" w:ascii="宋体" w:hAnsi="宋体" w:eastAsia="宋体" w:cs="宋体"/>
                <w:szCs w:val="21"/>
              </w:rPr>
            </w:pPr>
          </w:p>
        </w:tc>
      </w:tr>
      <w:tr w14:paraId="6F406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vAlign w:val="center"/>
          </w:tcPr>
          <w:p w14:paraId="10089E59">
            <w:pPr>
              <w:jc w:val="center"/>
              <w:rPr>
                <w:rFonts w:hint="eastAsia" w:ascii="宋体" w:hAnsi="宋体" w:eastAsia="宋体" w:cs="宋体"/>
                <w:szCs w:val="21"/>
              </w:rPr>
            </w:pPr>
            <w:r>
              <w:rPr>
                <w:rFonts w:hint="eastAsia" w:ascii="宋体" w:hAnsi="宋体" w:eastAsia="宋体" w:cs="宋体"/>
                <w:szCs w:val="21"/>
                <w:lang w:bidi="ar"/>
              </w:rPr>
              <w:t>4</w:t>
            </w:r>
          </w:p>
        </w:tc>
        <w:tc>
          <w:tcPr>
            <w:tcW w:w="1275" w:type="pct"/>
            <w:gridSpan w:val="2"/>
            <w:vAlign w:val="center"/>
          </w:tcPr>
          <w:p w14:paraId="4ECDAD40">
            <w:pPr>
              <w:jc w:val="center"/>
              <w:rPr>
                <w:rFonts w:hint="eastAsia" w:ascii="宋体" w:hAnsi="宋体" w:eastAsia="宋体" w:cs="宋体"/>
                <w:szCs w:val="21"/>
              </w:rPr>
            </w:pPr>
            <w:r>
              <w:rPr>
                <w:rFonts w:hint="eastAsia" w:ascii="宋体" w:hAnsi="宋体" w:eastAsia="宋体" w:cs="宋体"/>
                <w:szCs w:val="21"/>
              </w:rPr>
              <w:t>主要技术人员</w:t>
            </w:r>
          </w:p>
        </w:tc>
        <w:tc>
          <w:tcPr>
            <w:tcW w:w="529" w:type="pct"/>
            <w:vAlign w:val="center"/>
          </w:tcPr>
          <w:p w14:paraId="01292E76">
            <w:pPr>
              <w:jc w:val="center"/>
              <w:rPr>
                <w:rFonts w:hint="eastAsia" w:ascii="宋体" w:hAnsi="宋体" w:eastAsia="宋体" w:cs="宋体"/>
                <w:szCs w:val="21"/>
              </w:rPr>
            </w:pPr>
          </w:p>
        </w:tc>
        <w:tc>
          <w:tcPr>
            <w:tcW w:w="1113" w:type="pct"/>
            <w:gridSpan w:val="2"/>
            <w:vAlign w:val="center"/>
          </w:tcPr>
          <w:p w14:paraId="679AAF70">
            <w:pPr>
              <w:jc w:val="center"/>
              <w:rPr>
                <w:rFonts w:hint="eastAsia" w:ascii="宋体" w:hAnsi="宋体" w:eastAsia="宋体" w:cs="宋体"/>
                <w:szCs w:val="21"/>
              </w:rPr>
            </w:pPr>
          </w:p>
        </w:tc>
        <w:tc>
          <w:tcPr>
            <w:tcW w:w="838" w:type="pct"/>
            <w:vAlign w:val="center"/>
          </w:tcPr>
          <w:p w14:paraId="481974CA">
            <w:pPr>
              <w:jc w:val="center"/>
              <w:rPr>
                <w:rFonts w:hint="eastAsia" w:ascii="宋体" w:hAnsi="宋体" w:eastAsia="宋体" w:cs="宋体"/>
                <w:szCs w:val="21"/>
              </w:rPr>
            </w:pPr>
          </w:p>
        </w:tc>
        <w:tc>
          <w:tcPr>
            <w:tcW w:w="830" w:type="pct"/>
            <w:vAlign w:val="center"/>
          </w:tcPr>
          <w:p w14:paraId="1DB87F8D">
            <w:pPr>
              <w:jc w:val="center"/>
              <w:rPr>
                <w:rFonts w:hint="eastAsia" w:ascii="宋体" w:hAnsi="宋体" w:eastAsia="宋体" w:cs="宋体"/>
                <w:szCs w:val="21"/>
              </w:rPr>
            </w:pPr>
          </w:p>
        </w:tc>
      </w:tr>
      <w:tr w14:paraId="3A943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vAlign w:val="center"/>
          </w:tcPr>
          <w:p w14:paraId="19F441D4">
            <w:pPr>
              <w:jc w:val="center"/>
              <w:rPr>
                <w:rFonts w:hint="eastAsia" w:ascii="宋体" w:hAnsi="宋体" w:eastAsia="宋体" w:cs="宋体"/>
                <w:szCs w:val="21"/>
              </w:rPr>
            </w:pPr>
            <w:r>
              <w:rPr>
                <w:rFonts w:hint="eastAsia" w:ascii="宋体" w:hAnsi="宋体" w:eastAsia="宋体" w:cs="宋体"/>
                <w:szCs w:val="21"/>
                <w:lang w:bidi="ar"/>
              </w:rPr>
              <w:t>5</w:t>
            </w:r>
          </w:p>
        </w:tc>
        <w:tc>
          <w:tcPr>
            <w:tcW w:w="1275" w:type="pct"/>
            <w:gridSpan w:val="2"/>
            <w:vAlign w:val="center"/>
          </w:tcPr>
          <w:p w14:paraId="1C116B6E">
            <w:pPr>
              <w:snapToGrid w:val="0"/>
              <w:jc w:val="center"/>
              <w:rPr>
                <w:rFonts w:hint="eastAsia" w:ascii="宋体" w:hAnsi="宋体" w:eastAsia="宋体" w:cs="宋体"/>
                <w:szCs w:val="21"/>
              </w:rPr>
            </w:pPr>
            <w:r>
              <w:rPr>
                <w:rFonts w:hint="eastAsia" w:ascii="宋体" w:hAnsi="宋体" w:eastAsia="宋体" w:cs="宋体"/>
                <w:szCs w:val="21"/>
              </w:rPr>
              <w:t>投标文件编制人员</w:t>
            </w:r>
          </w:p>
        </w:tc>
        <w:tc>
          <w:tcPr>
            <w:tcW w:w="529" w:type="pct"/>
            <w:vAlign w:val="center"/>
          </w:tcPr>
          <w:p w14:paraId="09559C1F">
            <w:pPr>
              <w:jc w:val="center"/>
              <w:rPr>
                <w:rFonts w:hint="eastAsia" w:ascii="宋体" w:hAnsi="宋体" w:eastAsia="宋体" w:cs="宋体"/>
                <w:szCs w:val="21"/>
              </w:rPr>
            </w:pPr>
          </w:p>
        </w:tc>
        <w:tc>
          <w:tcPr>
            <w:tcW w:w="1113" w:type="pct"/>
            <w:gridSpan w:val="2"/>
            <w:vAlign w:val="center"/>
          </w:tcPr>
          <w:p w14:paraId="0DB37802">
            <w:pPr>
              <w:jc w:val="center"/>
              <w:rPr>
                <w:rFonts w:hint="eastAsia" w:ascii="宋体" w:hAnsi="宋体" w:eastAsia="宋体" w:cs="宋体"/>
                <w:szCs w:val="21"/>
              </w:rPr>
            </w:pPr>
          </w:p>
        </w:tc>
        <w:tc>
          <w:tcPr>
            <w:tcW w:w="838" w:type="pct"/>
            <w:vAlign w:val="center"/>
          </w:tcPr>
          <w:p w14:paraId="2B5C5C21">
            <w:pPr>
              <w:jc w:val="center"/>
              <w:rPr>
                <w:rFonts w:hint="eastAsia" w:ascii="宋体" w:hAnsi="宋体" w:eastAsia="宋体" w:cs="宋体"/>
                <w:szCs w:val="21"/>
              </w:rPr>
            </w:pPr>
          </w:p>
        </w:tc>
        <w:tc>
          <w:tcPr>
            <w:tcW w:w="830" w:type="pct"/>
            <w:vAlign w:val="center"/>
          </w:tcPr>
          <w:p w14:paraId="642E584F">
            <w:pPr>
              <w:jc w:val="center"/>
              <w:rPr>
                <w:rFonts w:hint="eastAsia" w:ascii="宋体" w:hAnsi="宋体" w:eastAsia="宋体" w:cs="宋体"/>
                <w:szCs w:val="21"/>
              </w:rPr>
            </w:pPr>
          </w:p>
        </w:tc>
      </w:tr>
      <w:tr w14:paraId="4A1ED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vAlign w:val="center"/>
          </w:tcPr>
          <w:p w14:paraId="058EC5E8">
            <w:pPr>
              <w:rPr>
                <w:rFonts w:hint="eastAsia" w:ascii="宋体" w:hAnsi="宋体" w:eastAsia="宋体" w:cs="宋体"/>
                <w:szCs w:val="21"/>
              </w:rPr>
            </w:pPr>
            <w:r>
              <w:rPr>
                <w:rFonts w:hint="eastAsia" w:ascii="宋体" w:hAnsi="宋体" w:eastAsia="宋体" w:cs="宋体"/>
                <w:b/>
                <w:bCs/>
                <w:szCs w:val="21"/>
              </w:rPr>
              <w:t>说明：同一职务有多人担任（如主要技术人员），应分行填写。</w:t>
            </w:r>
          </w:p>
        </w:tc>
      </w:tr>
      <w:tr w14:paraId="5E749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000" w:type="pct"/>
            <w:gridSpan w:val="8"/>
            <w:vAlign w:val="center"/>
          </w:tcPr>
          <w:p w14:paraId="5A981EDD">
            <w:pPr>
              <w:jc w:val="center"/>
              <w:rPr>
                <w:rFonts w:hint="eastAsia" w:ascii="宋体" w:hAnsi="宋体" w:eastAsia="宋体" w:cs="宋体"/>
                <w:b/>
                <w:bCs/>
                <w:szCs w:val="21"/>
              </w:rPr>
            </w:pPr>
            <w:r>
              <w:rPr>
                <w:rFonts w:hint="eastAsia" w:ascii="宋体" w:hAnsi="宋体" w:eastAsia="宋体" w:cs="宋体"/>
                <w:b/>
                <w:bCs/>
                <w:szCs w:val="21"/>
              </w:rPr>
              <w:t>投标（响应）供应商关联关系情况</w:t>
            </w:r>
          </w:p>
        </w:tc>
      </w:tr>
      <w:tr w14:paraId="5FFA5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vAlign w:val="center"/>
          </w:tcPr>
          <w:p w14:paraId="310424FD">
            <w:pPr>
              <w:jc w:val="center"/>
              <w:rPr>
                <w:rFonts w:hint="eastAsia" w:ascii="宋体" w:hAnsi="宋体" w:eastAsia="宋体" w:cs="宋体"/>
                <w:szCs w:val="21"/>
                <w:lang w:bidi="ar"/>
              </w:rPr>
            </w:pPr>
            <w:r>
              <w:rPr>
                <w:rFonts w:hint="eastAsia" w:ascii="宋体" w:hAnsi="宋体" w:eastAsia="宋体" w:cs="宋体"/>
                <w:szCs w:val="21"/>
                <w:lang w:bidi="ar"/>
              </w:rPr>
              <w:t>序号</w:t>
            </w:r>
          </w:p>
        </w:tc>
        <w:tc>
          <w:tcPr>
            <w:tcW w:w="1275" w:type="pct"/>
            <w:gridSpan w:val="2"/>
            <w:tcBorders>
              <w:bottom w:val="single" w:color="auto" w:sz="4" w:space="0"/>
            </w:tcBorders>
            <w:vAlign w:val="center"/>
          </w:tcPr>
          <w:p w14:paraId="6AAF83C3">
            <w:pPr>
              <w:jc w:val="center"/>
              <w:rPr>
                <w:rFonts w:hint="eastAsia" w:ascii="宋体" w:hAnsi="宋体" w:eastAsia="宋体" w:cs="宋体"/>
                <w:szCs w:val="21"/>
              </w:rPr>
            </w:pPr>
            <w:r>
              <w:rPr>
                <w:rFonts w:hint="eastAsia" w:ascii="宋体" w:hAnsi="宋体" w:eastAsia="宋体" w:cs="宋体"/>
                <w:szCs w:val="21"/>
              </w:rPr>
              <w:t>关联关系类型</w:t>
            </w:r>
          </w:p>
        </w:tc>
        <w:tc>
          <w:tcPr>
            <w:tcW w:w="971" w:type="pct"/>
            <w:gridSpan w:val="2"/>
            <w:tcBorders>
              <w:bottom w:val="single" w:color="auto" w:sz="4" w:space="0"/>
            </w:tcBorders>
            <w:vAlign w:val="center"/>
          </w:tcPr>
          <w:p w14:paraId="58F36F83">
            <w:pPr>
              <w:jc w:val="center"/>
              <w:rPr>
                <w:rFonts w:hint="eastAsia" w:ascii="宋体" w:hAnsi="宋体" w:eastAsia="宋体" w:cs="宋体"/>
                <w:szCs w:val="21"/>
              </w:rPr>
            </w:pPr>
            <w:r>
              <w:rPr>
                <w:rFonts w:hint="eastAsia" w:ascii="宋体" w:hAnsi="宋体" w:eastAsia="宋体" w:cs="宋体"/>
                <w:szCs w:val="21"/>
              </w:rPr>
              <w:t>关联主体名称</w:t>
            </w:r>
          </w:p>
        </w:tc>
        <w:tc>
          <w:tcPr>
            <w:tcW w:w="2340" w:type="pct"/>
            <w:gridSpan w:val="3"/>
            <w:tcBorders>
              <w:bottom w:val="single" w:color="auto" w:sz="4" w:space="0"/>
            </w:tcBorders>
            <w:vAlign w:val="center"/>
          </w:tcPr>
          <w:p w14:paraId="1222E25C">
            <w:pPr>
              <w:jc w:val="center"/>
              <w:rPr>
                <w:rFonts w:hint="eastAsia" w:ascii="宋体" w:hAnsi="宋体" w:eastAsia="宋体" w:cs="宋体"/>
                <w:szCs w:val="21"/>
              </w:rPr>
            </w:pPr>
            <w:r>
              <w:rPr>
                <w:rFonts w:hint="eastAsia" w:ascii="宋体" w:hAnsi="宋体" w:eastAsia="宋体" w:cs="宋体"/>
                <w:szCs w:val="21"/>
              </w:rPr>
              <w:t>备注</w:t>
            </w:r>
          </w:p>
        </w:tc>
      </w:tr>
      <w:tr w14:paraId="75D15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vAlign w:val="center"/>
          </w:tcPr>
          <w:p w14:paraId="67F86E74">
            <w:pPr>
              <w:jc w:val="center"/>
              <w:rPr>
                <w:rFonts w:hint="eastAsia" w:ascii="宋体" w:hAnsi="宋体" w:eastAsia="宋体" w:cs="宋体"/>
                <w:szCs w:val="21"/>
                <w:lang w:bidi="ar"/>
              </w:rPr>
            </w:pPr>
            <w:r>
              <w:rPr>
                <w:rFonts w:hint="eastAsia" w:ascii="宋体" w:hAnsi="宋体" w:eastAsia="宋体" w:cs="宋体"/>
                <w:szCs w:val="21"/>
                <w:lang w:bidi="ar"/>
              </w:rPr>
              <w:t>1</w:t>
            </w:r>
          </w:p>
        </w:tc>
        <w:tc>
          <w:tcPr>
            <w:tcW w:w="1275" w:type="pct"/>
            <w:gridSpan w:val="2"/>
            <w:tcBorders>
              <w:top w:val="single" w:color="auto" w:sz="4" w:space="0"/>
              <w:left w:val="single" w:color="auto" w:sz="4" w:space="0"/>
              <w:bottom w:val="single" w:color="auto" w:sz="4" w:space="0"/>
              <w:right w:val="single" w:color="auto" w:sz="4" w:space="0"/>
            </w:tcBorders>
            <w:vAlign w:val="center"/>
          </w:tcPr>
          <w:p w14:paraId="73B5C98C">
            <w:pPr>
              <w:jc w:val="center"/>
              <w:rPr>
                <w:rFonts w:hint="eastAsia" w:ascii="宋体" w:hAnsi="宋体" w:eastAsia="宋体" w:cs="宋体"/>
                <w:szCs w:val="21"/>
              </w:rPr>
            </w:pPr>
            <w:r>
              <w:rPr>
                <w:rFonts w:hint="eastAsia" w:ascii="宋体" w:hAnsi="宋体" w:eastAsia="宋体" w:cs="宋体"/>
                <w:szCs w:val="21"/>
              </w:rPr>
              <w:t>控股股东</w:t>
            </w:r>
          </w:p>
        </w:tc>
        <w:tc>
          <w:tcPr>
            <w:tcW w:w="971" w:type="pct"/>
            <w:gridSpan w:val="2"/>
            <w:tcBorders>
              <w:top w:val="single" w:color="auto" w:sz="4" w:space="0"/>
              <w:left w:val="single" w:color="auto" w:sz="4" w:space="0"/>
              <w:bottom w:val="single" w:color="auto" w:sz="4" w:space="0"/>
              <w:right w:val="single" w:color="auto" w:sz="4" w:space="0"/>
            </w:tcBorders>
            <w:vAlign w:val="center"/>
          </w:tcPr>
          <w:p w14:paraId="16286BA8">
            <w:pPr>
              <w:jc w:val="center"/>
              <w:rPr>
                <w:rFonts w:hint="eastAsia" w:ascii="宋体" w:hAnsi="宋体" w:eastAsia="宋体" w:cs="宋体"/>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14:paraId="48349EDF">
            <w:pPr>
              <w:snapToGrid w:val="0"/>
              <w:rPr>
                <w:rFonts w:hint="eastAsia" w:ascii="宋体" w:hAnsi="宋体" w:eastAsia="宋体" w:cs="宋体"/>
                <w:szCs w:val="21"/>
              </w:rPr>
            </w:pPr>
            <w:r>
              <w:rPr>
                <w:rFonts w:hint="eastAsia" w:ascii="宋体" w:hAnsi="宋体" w:eastAsia="宋体" w:cs="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6CA5E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411" w:type="pct"/>
            <w:tcBorders>
              <w:top w:val="single" w:color="auto" w:sz="4" w:space="0"/>
              <w:left w:val="single" w:color="auto" w:sz="4" w:space="0"/>
              <w:bottom w:val="single" w:color="auto" w:sz="4" w:space="0"/>
              <w:right w:val="single" w:color="auto" w:sz="4" w:space="0"/>
            </w:tcBorders>
            <w:vAlign w:val="center"/>
          </w:tcPr>
          <w:p w14:paraId="2FF49C5E">
            <w:pPr>
              <w:jc w:val="center"/>
              <w:rPr>
                <w:rFonts w:hint="eastAsia" w:ascii="宋体" w:hAnsi="宋体" w:eastAsia="宋体" w:cs="宋体"/>
                <w:szCs w:val="21"/>
                <w:lang w:bidi="ar"/>
              </w:rPr>
            </w:pPr>
            <w:r>
              <w:rPr>
                <w:rFonts w:hint="eastAsia" w:ascii="宋体" w:hAnsi="宋体" w:eastAsia="宋体" w:cs="宋体"/>
                <w:szCs w:val="21"/>
                <w:lang w:bidi="ar"/>
              </w:rPr>
              <w:t>2</w:t>
            </w:r>
          </w:p>
        </w:tc>
        <w:tc>
          <w:tcPr>
            <w:tcW w:w="1275" w:type="pct"/>
            <w:gridSpan w:val="2"/>
            <w:tcBorders>
              <w:top w:val="single" w:color="auto" w:sz="4" w:space="0"/>
              <w:left w:val="single" w:color="auto" w:sz="4" w:space="0"/>
              <w:bottom w:val="single" w:color="auto" w:sz="4" w:space="0"/>
              <w:right w:val="single" w:color="auto" w:sz="4" w:space="0"/>
            </w:tcBorders>
            <w:vAlign w:val="center"/>
          </w:tcPr>
          <w:p w14:paraId="0136625D">
            <w:pPr>
              <w:jc w:val="center"/>
              <w:rPr>
                <w:rFonts w:hint="eastAsia" w:ascii="宋体" w:hAnsi="宋体" w:eastAsia="宋体" w:cs="宋体"/>
                <w:szCs w:val="21"/>
              </w:rPr>
            </w:pPr>
            <w:r>
              <w:rPr>
                <w:rFonts w:hint="eastAsia" w:ascii="宋体" w:hAnsi="宋体" w:eastAsia="宋体" w:cs="宋体"/>
                <w:szCs w:val="21"/>
              </w:rPr>
              <w:t>管理关系</w:t>
            </w:r>
          </w:p>
        </w:tc>
        <w:tc>
          <w:tcPr>
            <w:tcW w:w="971" w:type="pct"/>
            <w:gridSpan w:val="2"/>
            <w:tcBorders>
              <w:top w:val="single" w:color="auto" w:sz="4" w:space="0"/>
              <w:left w:val="single" w:color="auto" w:sz="4" w:space="0"/>
              <w:bottom w:val="single" w:color="auto" w:sz="4" w:space="0"/>
              <w:right w:val="single" w:color="auto" w:sz="4" w:space="0"/>
            </w:tcBorders>
            <w:vAlign w:val="center"/>
          </w:tcPr>
          <w:p w14:paraId="43623263">
            <w:pPr>
              <w:jc w:val="center"/>
              <w:rPr>
                <w:rFonts w:hint="eastAsia" w:ascii="宋体" w:hAnsi="宋体" w:eastAsia="宋体" w:cs="宋体"/>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14:paraId="283B146B">
            <w:pPr>
              <w:snapToGrid w:val="0"/>
              <w:rPr>
                <w:rFonts w:hint="eastAsia" w:ascii="宋体" w:hAnsi="宋体" w:eastAsia="宋体" w:cs="宋体"/>
                <w:szCs w:val="21"/>
              </w:rPr>
            </w:pPr>
            <w:r>
              <w:rPr>
                <w:rFonts w:hint="eastAsia" w:ascii="宋体" w:hAnsi="宋体" w:eastAsia="宋体" w:cs="宋体"/>
                <w:szCs w:val="21"/>
              </w:rPr>
              <w:t>指对投标（响应）供应商不具有出资持股关系，但对其存在管理关系的主体。</w:t>
            </w:r>
          </w:p>
        </w:tc>
      </w:tr>
      <w:tr w14:paraId="7D89C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000" w:type="pct"/>
            <w:gridSpan w:val="8"/>
            <w:tcBorders>
              <w:top w:val="single" w:color="auto" w:sz="4" w:space="0"/>
              <w:left w:val="single" w:color="auto" w:sz="4" w:space="0"/>
              <w:bottom w:val="single" w:color="auto" w:sz="4" w:space="0"/>
              <w:right w:val="single" w:color="auto" w:sz="4" w:space="0"/>
            </w:tcBorders>
            <w:vAlign w:val="center"/>
          </w:tcPr>
          <w:p w14:paraId="04D7EB69">
            <w:pPr>
              <w:snapToGrid w:val="0"/>
              <w:rPr>
                <w:rFonts w:hint="eastAsia" w:ascii="宋体" w:hAnsi="宋体" w:eastAsia="宋体" w:cs="宋体"/>
                <w:szCs w:val="21"/>
              </w:rPr>
            </w:pPr>
            <w:r>
              <w:rPr>
                <w:rFonts w:hint="eastAsia" w:ascii="宋体" w:hAnsi="宋体" w:eastAsia="宋体" w:cs="宋体"/>
                <w:b/>
                <w:bCs/>
                <w:szCs w:val="21"/>
              </w:rPr>
              <w:t>说明：同一关联关系类型有多个主体的，应分行填写。</w:t>
            </w:r>
          </w:p>
        </w:tc>
      </w:tr>
    </w:tbl>
    <w:p w14:paraId="44F584D5">
      <w:pPr>
        <w:widowControl w:val="0"/>
        <w:jc w:val="both"/>
        <w:rPr>
          <w:rFonts w:hint="eastAsia" w:ascii="宋体" w:hAnsi="宋体" w:eastAsia="宋体" w:cs="Times New Roman"/>
          <w:b/>
          <w:color w:val="FF0000"/>
          <w:kern w:val="2"/>
          <w:sz w:val="28"/>
          <w:szCs w:val="28"/>
          <w:lang w:val="en-US" w:eastAsia="zh-CN" w:bidi="ar-SA"/>
        </w:rPr>
      </w:pPr>
    </w:p>
    <w:p w14:paraId="57470A5D">
      <w:pPr>
        <w:keepNext/>
        <w:keepLines/>
        <w:widowControl w:val="0"/>
        <w:spacing w:before="260" w:after="260" w:line="240" w:lineRule="auto"/>
        <w:jc w:val="center"/>
        <w:outlineLvl w:val="2"/>
        <w:rPr>
          <w:rFonts w:hint="eastAsia" w:ascii="黑体" w:hAnsi="宋体" w:eastAsia="黑体" w:cs="Times New Roman"/>
          <w:b w:val="0"/>
          <w:bCs/>
          <w:kern w:val="2"/>
          <w:sz w:val="24"/>
          <w:szCs w:val="32"/>
          <w:lang w:val="en-US" w:eastAsia="zh-CN" w:bidi="ar-SA"/>
        </w:rPr>
      </w:pPr>
      <w:r>
        <w:rPr>
          <w:rFonts w:hint="eastAsia" w:ascii="黑体" w:hAnsi="宋体" w:eastAsia="黑体" w:cs="Times New Roman"/>
          <w:b w:val="0"/>
          <w:bCs/>
          <w:kern w:val="2"/>
          <w:sz w:val="24"/>
          <w:szCs w:val="32"/>
          <w:lang w:val="en-US" w:eastAsia="zh-CN" w:bidi="ar-SA"/>
        </w:rPr>
        <w:t>六、</w:t>
      </w:r>
      <w:bookmarkStart w:id="62" w:name="_Hlk72092499"/>
      <w:r>
        <w:rPr>
          <w:rFonts w:hint="eastAsia" w:ascii="黑体" w:hAnsi="宋体" w:eastAsia="黑体" w:cs="Times New Roman"/>
          <w:b w:val="0"/>
          <w:bCs/>
          <w:kern w:val="2"/>
          <w:sz w:val="24"/>
          <w:szCs w:val="32"/>
          <w:lang w:val="en-US" w:eastAsia="zh-CN" w:bidi="ar-SA"/>
        </w:rPr>
        <w:t>法定代表人（负责人）证明书</w:t>
      </w:r>
      <w:bookmarkEnd w:id="62"/>
    </w:p>
    <w:p w14:paraId="23577336">
      <w:pPr>
        <w:rPr>
          <w:rFonts w:ascii="Times New Roman" w:hAnsi="Times New Roman" w:eastAsia="宋体" w:cs="Times New Roman"/>
          <w:sz w:val="24"/>
        </w:rPr>
      </w:pPr>
    </w:p>
    <w:p w14:paraId="09B5133D">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（姓名），现任我单位</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职务，为法定代表人（负责人），身份证件号为：</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，联系电话：</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w:t>
      </w:r>
    </w:p>
    <w:p w14:paraId="35D15E25">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特此证明。</w:t>
      </w:r>
    </w:p>
    <w:p w14:paraId="5AF065D8">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说明：1、法定代表人为投标人（企业事业单位、国家机关、社会团体）的主要行政负责人。</w:t>
      </w:r>
    </w:p>
    <w:p w14:paraId="7B4488B1">
      <w:pPr>
        <w:numPr>
          <w:ilvl w:val="0"/>
          <w:numId w:val="10"/>
        </w:num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lang w:eastAsia="zh-Hans"/>
        </w:rPr>
        <w:t>本证明书要供法定代表人（负责人）</w:t>
      </w:r>
      <w:r>
        <w:rPr>
          <w:rFonts w:hint="eastAsia" w:ascii="Times New Roman" w:hAnsi="Times New Roman" w:eastAsia="宋体" w:cs="Times New Roman"/>
          <w:szCs w:val="21"/>
        </w:rPr>
        <w:t>相关身份证明文件：身份证扫描件（正反两面）；港澳台居民可提供来往通行证扫描件；非中国国籍管辖范围人员，可提供公安部门认可的身份证明材料扫描件。</w:t>
      </w:r>
    </w:p>
    <w:p w14:paraId="403F50E8">
      <w:pPr>
        <w:numPr>
          <w:ilvl w:val="0"/>
          <w:numId w:val="10"/>
        </w:num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lang w:eastAsia="zh-Hans"/>
        </w:rPr>
        <w:t>本项目投标授权代表为法定代表人（负责人）的，无需提供</w:t>
      </w:r>
      <w:r>
        <w:rPr>
          <w:rFonts w:hint="eastAsia" w:ascii="Times New Roman" w:hAnsi="Times New Roman" w:eastAsia="宋体" w:cs="Times New Roman"/>
          <w:szCs w:val="21"/>
        </w:rPr>
        <w:t>《投标文件签署授权委托书》</w:t>
      </w:r>
      <w:r>
        <w:rPr>
          <w:rFonts w:hint="eastAsia" w:ascii="Times New Roman" w:hAnsi="Times New Roman" w:eastAsia="宋体" w:cs="Times New Roman"/>
          <w:szCs w:val="21"/>
          <w:lang w:eastAsia="zh-Hans"/>
        </w:rPr>
        <w:t>。</w:t>
      </w:r>
    </w:p>
    <w:p w14:paraId="0610469F">
      <w:pPr>
        <w:numPr>
          <w:ilvl w:val="0"/>
          <w:numId w:val="10"/>
        </w:num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内容必须填写真实、清楚，涂改无效，不得转让、买卖。</w:t>
      </w:r>
    </w:p>
    <w:tbl>
      <w:tblPr>
        <w:tblStyle w:val="45"/>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7D9F2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37047E8B">
            <w:pPr>
              <w:jc w:val="center"/>
              <w:rPr>
                <w:rFonts w:ascii="Times New Roman" w:hAnsi="Times New Roman" w:eastAsia="宋体" w:cs="Times New Roman"/>
              </w:rPr>
            </w:pPr>
            <w:r>
              <w:rPr>
                <w:rFonts w:hint="eastAsia" w:ascii="Times New Roman" w:hAnsi="Times New Roman" w:eastAsia="宋体" w:cs="Times New Roman"/>
              </w:rPr>
              <w:t>证件扫描件正面</w:t>
            </w:r>
          </w:p>
          <w:p w14:paraId="1400C73D">
            <w:pPr>
              <w:widowControl w:val="0"/>
              <w:spacing w:line="360" w:lineRule="auto"/>
              <w:jc w:val="center"/>
              <w:rPr>
                <w:rFonts w:ascii="Times New Roman" w:hAnsi="Times New Roman" w:eastAsia="宋体" w:cs="Times New Roman"/>
                <w:b/>
                <w:bCs/>
                <w:kern w:val="2"/>
                <w:sz w:val="24"/>
                <w:szCs w:val="24"/>
                <w:lang w:val="en-US" w:eastAsia="zh-CN" w:bidi="ar-SA"/>
              </w:rPr>
            </w:pPr>
          </w:p>
          <w:p w14:paraId="26E15429">
            <w:pPr>
              <w:widowControl w:val="0"/>
              <w:spacing w:line="360" w:lineRule="auto"/>
              <w:jc w:val="center"/>
              <w:rPr>
                <w:rFonts w:ascii="Times New Roman" w:hAnsi="Times New Roman" w:eastAsia="宋体" w:cs="Times New Roman"/>
                <w:kern w:val="2"/>
                <w:sz w:val="24"/>
                <w:szCs w:val="24"/>
                <w:lang w:val="en-US" w:eastAsia="zh-CN" w:bidi="ar-SA"/>
              </w:rPr>
            </w:pPr>
          </w:p>
          <w:p w14:paraId="04F75438">
            <w:pPr>
              <w:widowControl w:val="0"/>
              <w:spacing w:line="360" w:lineRule="auto"/>
              <w:jc w:val="center"/>
              <w:rPr>
                <w:rFonts w:ascii="Times New Roman" w:hAnsi="Times New Roman" w:eastAsia="宋体" w:cs="Times New Roman"/>
                <w:kern w:val="2"/>
                <w:sz w:val="24"/>
                <w:szCs w:val="24"/>
                <w:lang w:val="en-US" w:eastAsia="zh-CN" w:bidi="ar-SA"/>
              </w:rPr>
            </w:pPr>
          </w:p>
          <w:p w14:paraId="288022FE">
            <w:pPr>
              <w:widowControl w:val="0"/>
              <w:spacing w:line="360" w:lineRule="auto"/>
              <w:jc w:val="center"/>
              <w:rPr>
                <w:rFonts w:ascii="Times New Roman" w:hAnsi="Times New Roman" w:eastAsia="宋体" w:cs="Times New Roman"/>
                <w:kern w:val="2"/>
                <w:sz w:val="24"/>
                <w:szCs w:val="24"/>
                <w:lang w:val="en-US" w:eastAsia="zh-CN" w:bidi="ar-SA"/>
              </w:rPr>
            </w:pPr>
          </w:p>
          <w:p w14:paraId="7007017A">
            <w:pPr>
              <w:widowControl w:val="0"/>
              <w:spacing w:line="360" w:lineRule="auto"/>
              <w:jc w:val="center"/>
              <w:rPr>
                <w:rFonts w:ascii="Times New Roman" w:hAnsi="Times New Roman" w:eastAsia="宋体" w:cs="Times New Roman"/>
                <w:kern w:val="2"/>
                <w:sz w:val="24"/>
                <w:szCs w:val="24"/>
                <w:lang w:val="en-US" w:eastAsia="zh-CN" w:bidi="ar-SA"/>
              </w:rPr>
            </w:pPr>
          </w:p>
          <w:p w14:paraId="441E5270">
            <w:pPr>
              <w:widowControl w:val="0"/>
              <w:spacing w:line="360" w:lineRule="auto"/>
              <w:jc w:val="center"/>
              <w:rPr>
                <w:rFonts w:ascii="Times New Roman" w:hAnsi="Times New Roman" w:eastAsia="宋体" w:cs="Times New Roman"/>
                <w:kern w:val="2"/>
                <w:sz w:val="24"/>
                <w:szCs w:val="24"/>
                <w:lang w:val="en-US" w:eastAsia="zh-CN" w:bidi="ar-SA"/>
              </w:rPr>
            </w:pPr>
          </w:p>
          <w:p w14:paraId="65F5599D">
            <w:pPr>
              <w:widowControl w:val="0"/>
              <w:spacing w:line="360" w:lineRule="auto"/>
              <w:jc w:val="center"/>
              <w:rPr>
                <w:rFonts w:ascii="Times New Roman" w:hAnsi="Times New Roman" w:eastAsia="宋体" w:cs="Times New Roman"/>
                <w:kern w:val="2"/>
                <w:sz w:val="24"/>
                <w:szCs w:val="24"/>
                <w:lang w:val="en-US" w:eastAsia="zh-CN" w:bidi="ar-SA"/>
              </w:rPr>
            </w:pPr>
          </w:p>
        </w:tc>
        <w:tc>
          <w:tcPr>
            <w:tcW w:w="4265" w:type="dxa"/>
          </w:tcPr>
          <w:p w14:paraId="25E24AE9">
            <w:pPr>
              <w:jc w:val="center"/>
              <w:rPr>
                <w:rFonts w:ascii="Times New Roman" w:hAnsi="Times New Roman" w:eastAsia="宋体" w:cs="Times New Roman"/>
              </w:rPr>
            </w:pPr>
            <w:r>
              <w:rPr>
                <w:rFonts w:hint="eastAsia" w:ascii="Times New Roman" w:hAnsi="Times New Roman" w:eastAsia="宋体" w:cs="Times New Roman"/>
              </w:rPr>
              <w:t>证件扫描件反面</w:t>
            </w:r>
          </w:p>
          <w:p w14:paraId="35618B1F">
            <w:pPr>
              <w:widowControl w:val="0"/>
              <w:spacing w:line="360" w:lineRule="auto"/>
              <w:jc w:val="center"/>
              <w:rPr>
                <w:rFonts w:ascii="Times New Roman" w:hAnsi="Times New Roman" w:eastAsia="宋体" w:cs="Times New Roman"/>
                <w:b/>
                <w:bCs/>
                <w:kern w:val="2"/>
                <w:sz w:val="24"/>
                <w:szCs w:val="24"/>
                <w:lang w:val="en-US" w:eastAsia="zh-CN" w:bidi="ar-SA"/>
              </w:rPr>
            </w:pPr>
          </w:p>
          <w:p w14:paraId="11C9C326">
            <w:pPr>
              <w:widowControl w:val="0"/>
              <w:spacing w:line="360" w:lineRule="auto"/>
              <w:jc w:val="center"/>
              <w:rPr>
                <w:rFonts w:ascii="Times New Roman" w:hAnsi="Times New Roman" w:eastAsia="宋体" w:cs="Times New Roman"/>
                <w:kern w:val="2"/>
                <w:sz w:val="24"/>
                <w:szCs w:val="24"/>
                <w:lang w:val="en-US" w:eastAsia="zh-CN" w:bidi="ar-SA"/>
              </w:rPr>
            </w:pPr>
          </w:p>
        </w:tc>
      </w:tr>
    </w:tbl>
    <w:p w14:paraId="72F8B895">
      <w:pPr>
        <w:rPr>
          <w:rFonts w:ascii="Times New Roman" w:hAnsi="Times New Roman" w:eastAsia="宋体" w:cs="Times New Roman"/>
          <w:sz w:val="24"/>
        </w:rPr>
      </w:pPr>
    </w:p>
    <w:p w14:paraId="6DC03855">
      <w:pPr>
        <w:widowControl w:val="0"/>
        <w:jc w:val="both"/>
        <w:rPr>
          <w:rFonts w:ascii="Calibri" w:hAnsi="Calibri" w:eastAsia="宋体" w:cs="Times New Roman"/>
          <w:kern w:val="2"/>
          <w:sz w:val="24"/>
          <w:szCs w:val="22"/>
          <w:lang w:val="en-US" w:eastAsia="zh-CN" w:bidi="ar-SA"/>
        </w:rPr>
      </w:pPr>
      <w:r>
        <w:rPr>
          <w:rFonts w:hint="eastAsia" w:ascii="黑体" w:hAnsi="黑体" w:eastAsia="黑体" w:cs="黑体"/>
          <w:b/>
          <w:bCs/>
          <w:kern w:val="2"/>
          <w:sz w:val="24"/>
          <w:szCs w:val="24"/>
          <w:lang w:val="en-US" w:eastAsia="zh-CN" w:bidi="ar-SA"/>
        </w:rPr>
        <w:t>温馨提示</w:t>
      </w:r>
      <w:r>
        <w:rPr>
          <w:rFonts w:hint="eastAsia" w:ascii="黑体" w:hAnsi="黑体" w:eastAsia="黑体" w:cs="黑体"/>
          <w:kern w:val="2"/>
          <w:sz w:val="24"/>
          <w:szCs w:val="24"/>
          <w:lang w:val="en-US" w:eastAsia="zh-CN" w:bidi="ar-SA"/>
        </w:rPr>
        <w:t>：</w:t>
      </w:r>
      <w:r>
        <w:rPr>
          <w:rFonts w:hint="eastAsia" w:ascii="Times New Roman" w:hAnsi="Times New Roman" w:eastAsia="宋体" w:cs="Times New Roman"/>
          <w:kern w:val="2"/>
          <w:sz w:val="21"/>
          <w:szCs w:val="21"/>
          <w:lang w:val="en-US" w:eastAsia="zh-CN" w:bidi="ar-SA"/>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14:paraId="549D27C0">
      <w:pPr>
        <w:widowControl w:val="0"/>
        <w:jc w:val="both"/>
        <w:rPr>
          <w:rFonts w:ascii="Calibri" w:hAnsi="Calibri" w:eastAsia="宋体" w:cs="Times New Roman"/>
          <w:kern w:val="2"/>
          <w:sz w:val="24"/>
          <w:szCs w:val="22"/>
          <w:lang w:val="en-US" w:eastAsia="zh-CN" w:bidi="ar-SA"/>
        </w:rPr>
      </w:pPr>
    </w:p>
    <w:p w14:paraId="296E6C0C">
      <w:pPr>
        <w:rPr>
          <w:sz w:val="24"/>
        </w:rPr>
        <w:sectPr>
          <w:pgSz w:w="11907" w:h="16840"/>
          <w:pgMar w:top="1440" w:right="1797" w:bottom="1440" w:left="1797" w:header="851" w:footer="992" w:gutter="0"/>
          <w:cols w:space="425" w:num="1"/>
          <w:titlePg/>
          <w:docGrid w:linePitch="462" w:charSpace="0"/>
        </w:sectPr>
      </w:pPr>
    </w:p>
    <w:p w14:paraId="4EA97AB7">
      <w:pPr>
        <w:widowControl w:val="0"/>
        <w:jc w:val="both"/>
        <w:rPr>
          <w:rFonts w:ascii="Calibri" w:hAnsi="Calibri" w:eastAsia="宋体" w:cs="Times New Roman"/>
          <w:kern w:val="2"/>
          <w:sz w:val="24"/>
          <w:szCs w:val="22"/>
          <w:lang w:val="en-US" w:eastAsia="zh-CN" w:bidi="ar-SA"/>
        </w:rPr>
      </w:pPr>
    </w:p>
    <w:p w14:paraId="532233D6">
      <w:pPr>
        <w:keepNext/>
        <w:keepLines/>
        <w:widowControl w:val="0"/>
        <w:spacing w:before="120" w:after="120" w:line="240" w:lineRule="auto"/>
        <w:jc w:val="center"/>
        <w:outlineLvl w:val="2"/>
        <w:rPr>
          <w:rFonts w:hint="eastAsia" w:ascii="黑体" w:hAnsi="宋体" w:eastAsia="黑体" w:cs="Times New Roman"/>
          <w:b w:val="0"/>
          <w:bCs/>
          <w:kern w:val="2"/>
          <w:sz w:val="24"/>
          <w:szCs w:val="32"/>
          <w:lang w:val="en-US" w:eastAsia="zh-CN" w:bidi="ar-SA"/>
        </w:rPr>
      </w:pPr>
      <w:r>
        <w:rPr>
          <w:rFonts w:hint="eastAsia" w:ascii="黑体" w:hAnsi="宋体" w:eastAsia="黑体" w:cs="Times New Roman"/>
          <w:b w:val="0"/>
          <w:bCs/>
          <w:kern w:val="2"/>
          <w:sz w:val="24"/>
          <w:szCs w:val="32"/>
          <w:lang w:val="en-US" w:eastAsia="zh-CN" w:bidi="ar-SA"/>
        </w:rPr>
        <w:t>七、投标文件签署授权委托书</w:t>
      </w:r>
    </w:p>
    <w:p w14:paraId="1C61730B">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本授权委托书声明：我</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（姓名）系</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（投标人名称）的法定代表人（负责人），现授权委托</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（姓名）为我单位签署本项目已递交的投标文件的法定代表人（负责人）的授权委托代理人，代理人全权代表我所签署的本项目已递交的投标文件内容我均承认。</w:t>
      </w:r>
    </w:p>
    <w:p w14:paraId="7389A455">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代理人无转委托权，特此委托。</w:t>
      </w:r>
    </w:p>
    <w:p w14:paraId="69147F03">
      <w:pPr>
        <w:spacing w:line="360" w:lineRule="auto"/>
        <w:ind w:firstLine="420" w:firstLineChars="200"/>
        <w:rPr>
          <w:rFonts w:ascii="Times New Roman" w:hAnsi="Times New Roman" w:eastAsia="宋体" w:cs="Times New Roman"/>
          <w:szCs w:val="21"/>
        </w:rPr>
      </w:pPr>
    </w:p>
    <w:p w14:paraId="775F9F63">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代理人：</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w:t>
      </w:r>
    </w:p>
    <w:p w14:paraId="17EAA4E1">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身份证件号：</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，职务：</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w:t>
      </w:r>
    </w:p>
    <w:p w14:paraId="6E19EE5F">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联系电话：</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，手机：</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，电子邮箱：</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w:t>
      </w:r>
    </w:p>
    <w:p w14:paraId="48CC791D">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授权委托日期：</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 xml:space="preserve">月 </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日。</w:t>
      </w:r>
    </w:p>
    <w:p w14:paraId="2C47679D">
      <w:pPr>
        <w:spacing w:line="360" w:lineRule="auto"/>
        <w:ind w:firstLine="422" w:firstLineChars="200"/>
        <w:rPr>
          <w:rFonts w:ascii="Times New Roman" w:hAnsi="Times New Roman" w:eastAsia="宋体" w:cs="Times New Roman"/>
          <w:b/>
          <w:color w:val="000000" w:themeColor="text1"/>
          <w:szCs w:val="21"/>
          <w14:textFill>
            <w14:solidFill>
              <w14:schemeClr w14:val="tx1"/>
            </w14:solidFill>
          </w14:textFill>
        </w:rPr>
      </w:pPr>
      <w:r>
        <w:rPr>
          <w:rFonts w:hint="eastAsia" w:ascii="Times New Roman" w:hAnsi="Times New Roman" w:eastAsia="宋体" w:cs="Times New Roman"/>
          <w:b/>
          <w:color w:val="000000" w:themeColor="text1"/>
          <w:szCs w:val="21"/>
          <w14:textFill>
            <w14:solidFill>
              <w14:schemeClr w14:val="tx1"/>
            </w14:solidFill>
          </w14:textFill>
        </w:rPr>
        <w:t>附：请提供代理人身份证扫描件（正反两面）；港澳台居民可提供来往通行证扫描件；非中国国籍管辖范围人员，可提供公安部门认可的身份证明材料扫描件。</w:t>
      </w:r>
    </w:p>
    <w:tbl>
      <w:tblPr>
        <w:tblStyle w:val="45"/>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4BB40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74F0045D">
            <w:pPr>
              <w:jc w:val="center"/>
              <w:rPr>
                <w:rFonts w:ascii="Times New Roman" w:hAnsi="Times New Roman" w:eastAsia="宋体" w:cs="Times New Roman"/>
              </w:rPr>
            </w:pPr>
            <w:r>
              <w:rPr>
                <w:rFonts w:hint="eastAsia" w:ascii="Times New Roman" w:hAnsi="Times New Roman" w:eastAsia="宋体" w:cs="Times New Roman"/>
              </w:rPr>
              <w:t>证件扫描件正面</w:t>
            </w:r>
          </w:p>
          <w:p w14:paraId="36008381">
            <w:pPr>
              <w:widowControl w:val="0"/>
              <w:spacing w:line="360" w:lineRule="auto"/>
              <w:jc w:val="center"/>
              <w:rPr>
                <w:rFonts w:ascii="Times New Roman" w:hAnsi="Times New Roman" w:eastAsia="宋体" w:cs="Times New Roman"/>
                <w:b/>
                <w:bCs/>
                <w:kern w:val="2"/>
                <w:sz w:val="24"/>
                <w:szCs w:val="24"/>
                <w:lang w:val="en-US" w:eastAsia="zh-CN" w:bidi="ar-SA"/>
              </w:rPr>
            </w:pPr>
          </w:p>
          <w:p w14:paraId="2273FD3D">
            <w:pPr>
              <w:widowControl w:val="0"/>
              <w:spacing w:line="360" w:lineRule="auto"/>
              <w:jc w:val="center"/>
              <w:rPr>
                <w:rFonts w:ascii="Times New Roman" w:hAnsi="Times New Roman" w:eastAsia="宋体" w:cs="Times New Roman"/>
                <w:kern w:val="2"/>
                <w:sz w:val="24"/>
                <w:szCs w:val="24"/>
                <w:lang w:val="en-US" w:eastAsia="zh-CN" w:bidi="ar-SA"/>
              </w:rPr>
            </w:pPr>
          </w:p>
          <w:p w14:paraId="49F2EB03">
            <w:pPr>
              <w:widowControl w:val="0"/>
              <w:spacing w:line="360" w:lineRule="auto"/>
              <w:jc w:val="center"/>
              <w:rPr>
                <w:rFonts w:ascii="Times New Roman" w:hAnsi="Times New Roman" w:eastAsia="宋体" w:cs="Times New Roman"/>
                <w:kern w:val="2"/>
                <w:sz w:val="24"/>
                <w:szCs w:val="24"/>
                <w:lang w:val="en-US" w:eastAsia="zh-CN" w:bidi="ar-SA"/>
              </w:rPr>
            </w:pPr>
          </w:p>
          <w:p w14:paraId="5AB96E46">
            <w:pPr>
              <w:widowControl w:val="0"/>
              <w:spacing w:line="360" w:lineRule="auto"/>
              <w:jc w:val="center"/>
              <w:rPr>
                <w:rFonts w:ascii="Times New Roman" w:hAnsi="Times New Roman" w:eastAsia="宋体" w:cs="Times New Roman"/>
                <w:kern w:val="2"/>
                <w:sz w:val="24"/>
                <w:szCs w:val="24"/>
                <w:lang w:val="en-US" w:eastAsia="zh-CN" w:bidi="ar-SA"/>
              </w:rPr>
            </w:pPr>
          </w:p>
          <w:p w14:paraId="5DF8996D">
            <w:pPr>
              <w:widowControl w:val="0"/>
              <w:spacing w:line="360" w:lineRule="auto"/>
              <w:jc w:val="center"/>
              <w:rPr>
                <w:rFonts w:ascii="Times New Roman" w:hAnsi="Times New Roman" w:eastAsia="宋体" w:cs="Times New Roman"/>
                <w:kern w:val="2"/>
                <w:sz w:val="24"/>
                <w:szCs w:val="24"/>
                <w:lang w:val="en-US" w:eastAsia="zh-CN" w:bidi="ar-SA"/>
              </w:rPr>
            </w:pPr>
          </w:p>
          <w:p w14:paraId="30F6D27D">
            <w:pPr>
              <w:widowControl w:val="0"/>
              <w:spacing w:line="360" w:lineRule="auto"/>
              <w:jc w:val="center"/>
              <w:rPr>
                <w:rFonts w:ascii="Times New Roman" w:hAnsi="Times New Roman" w:eastAsia="宋体" w:cs="Times New Roman"/>
                <w:kern w:val="2"/>
                <w:sz w:val="24"/>
                <w:szCs w:val="24"/>
                <w:lang w:val="en-US" w:eastAsia="zh-CN" w:bidi="ar-SA"/>
              </w:rPr>
            </w:pPr>
          </w:p>
          <w:p w14:paraId="00D58F65">
            <w:pPr>
              <w:widowControl w:val="0"/>
              <w:spacing w:line="360" w:lineRule="auto"/>
              <w:jc w:val="center"/>
              <w:rPr>
                <w:rFonts w:ascii="Times New Roman" w:hAnsi="Times New Roman" w:eastAsia="宋体" w:cs="Times New Roman"/>
                <w:kern w:val="2"/>
                <w:sz w:val="24"/>
                <w:szCs w:val="24"/>
                <w:lang w:val="en-US" w:eastAsia="zh-CN" w:bidi="ar-SA"/>
              </w:rPr>
            </w:pPr>
          </w:p>
        </w:tc>
        <w:tc>
          <w:tcPr>
            <w:tcW w:w="4265" w:type="dxa"/>
          </w:tcPr>
          <w:p w14:paraId="49BC5378">
            <w:pPr>
              <w:jc w:val="center"/>
              <w:rPr>
                <w:rFonts w:ascii="Times New Roman" w:hAnsi="Times New Roman" w:eastAsia="宋体" w:cs="Times New Roman"/>
              </w:rPr>
            </w:pPr>
            <w:r>
              <w:rPr>
                <w:rFonts w:hint="eastAsia" w:ascii="Times New Roman" w:hAnsi="Times New Roman" w:eastAsia="宋体" w:cs="Times New Roman"/>
              </w:rPr>
              <w:t>证件扫描件反面</w:t>
            </w:r>
          </w:p>
          <w:p w14:paraId="31EF15CF">
            <w:pPr>
              <w:widowControl w:val="0"/>
              <w:spacing w:line="360" w:lineRule="auto"/>
              <w:jc w:val="center"/>
              <w:rPr>
                <w:rFonts w:ascii="Times New Roman" w:hAnsi="Times New Roman" w:eastAsia="宋体" w:cs="Times New Roman"/>
                <w:b/>
                <w:bCs/>
                <w:kern w:val="2"/>
                <w:sz w:val="24"/>
                <w:szCs w:val="24"/>
                <w:lang w:val="en-US" w:eastAsia="zh-CN" w:bidi="ar-SA"/>
              </w:rPr>
            </w:pPr>
          </w:p>
          <w:p w14:paraId="5A6B4755">
            <w:pPr>
              <w:widowControl w:val="0"/>
              <w:spacing w:line="360" w:lineRule="auto"/>
              <w:jc w:val="center"/>
              <w:rPr>
                <w:rFonts w:ascii="Times New Roman" w:hAnsi="Times New Roman" w:eastAsia="宋体" w:cs="Times New Roman"/>
                <w:kern w:val="2"/>
                <w:sz w:val="24"/>
                <w:szCs w:val="24"/>
                <w:lang w:val="en-US" w:eastAsia="zh-CN" w:bidi="ar-SA"/>
              </w:rPr>
            </w:pPr>
          </w:p>
        </w:tc>
      </w:tr>
    </w:tbl>
    <w:p w14:paraId="60AD2A21">
      <w:pPr>
        <w:rPr>
          <w:rFonts w:hint="eastAsia" w:ascii="黑体" w:hAnsi="黑体" w:eastAsia="黑体" w:cs="黑体"/>
          <w:b/>
          <w:bCs/>
          <w:sz w:val="24"/>
        </w:rPr>
      </w:pPr>
    </w:p>
    <w:p w14:paraId="23694054">
      <w:pPr>
        <w:rPr>
          <w:rFonts w:ascii="Calibri" w:hAnsi="Calibri" w:eastAsia="宋体" w:cs="Times New Roman"/>
          <w:szCs w:val="22"/>
        </w:rPr>
      </w:pPr>
      <w:r>
        <w:rPr>
          <w:rFonts w:hint="eastAsia" w:ascii="黑体" w:hAnsi="黑体" w:eastAsia="黑体" w:cs="黑体"/>
          <w:b/>
          <w:bCs/>
          <w:sz w:val="24"/>
        </w:rPr>
        <w:t>温馨提示</w:t>
      </w:r>
      <w:r>
        <w:rPr>
          <w:rFonts w:hint="eastAsia" w:ascii="黑体" w:hAnsi="黑体" w:eastAsia="黑体" w:cs="黑体"/>
          <w:sz w:val="24"/>
        </w:rPr>
        <w:t>：</w:t>
      </w:r>
      <w:r>
        <w:rPr>
          <w:rFonts w:hint="eastAsia" w:ascii="Times New Roman" w:hAnsi="Times New Roman" w:eastAsia="宋体" w:cs="Times New Roman"/>
          <w:szCs w:val="21"/>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14:paraId="37B159AC">
      <w:pPr>
        <w:rPr>
          <w:rFonts w:ascii="Calibri" w:hAnsi="Calibri" w:eastAsia="宋体" w:cs="Times New Roman"/>
          <w:szCs w:val="22"/>
        </w:rPr>
      </w:pPr>
    </w:p>
    <w:p w14:paraId="05878669">
      <w:pPr>
        <w:rPr>
          <w:rFonts w:ascii="Calibri" w:hAnsi="Calibri" w:eastAsia="宋体" w:cs="Times New Roman"/>
          <w:szCs w:val="22"/>
        </w:rPr>
      </w:pPr>
    </w:p>
    <w:p w14:paraId="33126B39">
      <w:pPr>
        <w:rPr>
          <w:rFonts w:ascii="Calibri" w:hAnsi="Calibri" w:eastAsia="宋体" w:cs="Times New Roman"/>
          <w:szCs w:val="22"/>
        </w:rPr>
      </w:pPr>
    </w:p>
    <w:p w14:paraId="3A94B073">
      <w:pPr>
        <w:rPr>
          <w:rFonts w:ascii="黑体" w:hAnsi="Times New Roman" w:eastAsia="黑体" w:cs="Times New Roman"/>
          <w:kern w:val="0"/>
          <w:sz w:val="24"/>
        </w:rPr>
      </w:pPr>
    </w:p>
    <w:p w14:paraId="315C4F8C">
      <w:pPr>
        <w:rPr>
          <w:rFonts w:ascii="黑体" w:eastAsia="黑体"/>
          <w:kern w:val="0"/>
          <w:sz w:val="24"/>
          <w:szCs w:val="24"/>
        </w:rPr>
        <w:sectPr>
          <w:pgSz w:w="11907" w:h="16840"/>
          <w:pgMar w:top="1440" w:right="1797" w:bottom="1440" w:left="1797" w:header="851" w:footer="992" w:gutter="0"/>
          <w:cols w:space="425" w:num="1"/>
          <w:titlePg/>
          <w:docGrid w:linePitch="462" w:charSpace="0"/>
        </w:sectPr>
      </w:pPr>
    </w:p>
    <w:p w14:paraId="22BC69B7">
      <w:pPr>
        <w:keepNext/>
        <w:keepLines/>
        <w:widowControl w:val="0"/>
        <w:spacing w:before="260" w:after="260" w:line="240" w:lineRule="auto"/>
        <w:jc w:val="center"/>
        <w:outlineLvl w:val="2"/>
        <w:rPr>
          <w:rFonts w:hint="eastAsia" w:ascii="黑体" w:hAnsi="宋体" w:eastAsia="黑体" w:cs="Times New Roman"/>
          <w:b w:val="0"/>
          <w:bCs/>
          <w:kern w:val="0"/>
          <w:sz w:val="24"/>
          <w:szCs w:val="24"/>
          <w:lang w:val="en-US" w:eastAsia="zh-CN" w:bidi="ar-SA"/>
        </w:rPr>
      </w:pPr>
      <w:r>
        <w:rPr>
          <w:rFonts w:hint="eastAsia" w:ascii="黑体" w:hAnsi="宋体" w:eastAsia="黑体" w:cs="Times New Roman"/>
          <w:b w:val="0"/>
          <w:bCs/>
          <w:kern w:val="0"/>
          <w:sz w:val="24"/>
          <w:szCs w:val="24"/>
          <w:lang w:val="en-US" w:eastAsia="zh-CN" w:bidi="ar-SA"/>
        </w:rPr>
        <w:t>八、</w:t>
      </w:r>
      <w:bookmarkStart w:id="63" w:name="_Hlk72092634"/>
      <w:r>
        <w:rPr>
          <w:rFonts w:hint="eastAsia" w:ascii="黑体" w:hAnsi="宋体" w:eastAsia="黑体" w:cs="Times New Roman"/>
          <w:b w:val="0"/>
          <w:bCs/>
          <w:kern w:val="0"/>
          <w:sz w:val="24"/>
          <w:szCs w:val="24"/>
          <w:lang w:val="en-US" w:eastAsia="zh-CN" w:bidi="ar-SA"/>
        </w:rPr>
        <w:t>实质性条款响应情况表</w:t>
      </w:r>
      <w:bookmarkEnd w:id="63"/>
    </w:p>
    <w:tbl>
      <w:tblPr>
        <w:tblStyle w:val="44"/>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2664"/>
        <w:gridCol w:w="1588"/>
        <w:gridCol w:w="1842"/>
        <w:gridCol w:w="1418"/>
      </w:tblGrid>
      <w:tr w14:paraId="2108E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14:paraId="64A36BF2">
            <w:pPr>
              <w:adjustRightInd w:val="0"/>
              <w:snapToGrid w:val="0"/>
              <w:spacing w:line="360" w:lineRule="auto"/>
              <w:jc w:val="center"/>
              <w:rPr>
                <w:rFonts w:hint="eastAsia" w:ascii="宋体" w:hAnsi="宋体" w:eastAsia="宋体" w:cs="Times New Roman"/>
                <w:kern w:val="0"/>
                <w:szCs w:val="21"/>
              </w:rPr>
            </w:pPr>
            <w:bookmarkStart w:id="64" w:name="_Hlk72092651"/>
            <w:r>
              <w:rPr>
                <w:rFonts w:hint="eastAsia" w:ascii="宋体" w:hAnsi="宋体" w:eastAsia="宋体" w:cs="Times New Roman"/>
                <w:kern w:val="0"/>
                <w:szCs w:val="21"/>
              </w:rPr>
              <w:t>序号</w:t>
            </w:r>
          </w:p>
        </w:tc>
        <w:tc>
          <w:tcPr>
            <w:tcW w:w="2664" w:type="dxa"/>
            <w:vAlign w:val="center"/>
          </w:tcPr>
          <w:p w14:paraId="5B3588F8">
            <w:pPr>
              <w:adjustRightInd w:val="0"/>
              <w:snapToGrid w:val="0"/>
              <w:spacing w:line="360" w:lineRule="auto"/>
              <w:jc w:val="center"/>
              <w:rPr>
                <w:rFonts w:hint="eastAsia" w:ascii="宋体" w:hAnsi="宋体" w:eastAsia="宋体" w:cs="Times New Roman"/>
                <w:kern w:val="0"/>
                <w:szCs w:val="21"/>
              </w:rPr>
            </w:pPr>
            <w:r>
              <w:rPr>
                <w:rFonts w:hint="eastAsia" w:ascii="宋体" w:hAnsi="宋体" w:eastAsia="宋体" w:cs="Times New Roman"/>
                <w:kern w:val="0"/>
                <w:szCs w:val="21"/>
              </w:rPr>
              <w:t>实质性条款具体内容</w:t>
            </w:r>
          </w:p>
        </w:tc>
        <w:tc>
          <w:tcPr>
            <w:tcW w:w="1588" w:type="dxa"/>
            <w:vAlign w:val="center"/>
          </w:tcPr>
          <w:p w14:paraId="13CDC44B">
            <w:pPr>
              <w:adjustRightInd w:val="0"/>
              <w:snapToGrid w:val="0"/>
              <w:spacing w:line="360" w:lineRule="auto"/>
              <w:jc w:val="center"/>
              <w:rPr>
                <w:rFonts w:hint="eastAsia" w:ascii="宋体" w:hAnsi="宋体" w:eastAsia="宋体" w:cs="Times New Roman"/>
                <w:kern w:val="0"/>
                <w:szCs w:val="21"/>
              </w:rPr>
            </w:pPr>
            <w:r>
              <w:rPr>
                <w:rFonts w:hint="eastAsia" w:ascii="Times New Roman" w:hAnsi="Times New Roman" w:eastAsia="宋体" w:cs="Times New Roman"/>
              </w:rPr>
              <w:t>投标响应</w:t>
            </w:r>
          </w:p>
        </w:tc>
        <w:tc>
          <w:tcPr>
            <w:tcW w:w="1842" w:type="dxa"/>
            <w:vAlign w:val="center"/>
          </w:tcPr>
          <w:p w14:paraId="7A654EF0">
            <w:pPr>
              <w:adjustRightInd w:val="0"/>
              <w:snapToGrid w:val="0"/>
              <w:spacing w:line="360" w:lineRule="auto"/>
              <w:jc w:val="center"/>
              <w:rPr>
                <w:rFonts w:hint="eastAsia" w:ascii="宋体" w:hAnsi="宋体" w:eastAsia="宋体" w:cs="Times New Roman"/>
                <w:kern w:val="0"/>
                <w:szCs w:val="21"/>
              </w:rPr>
            </w:pPr>
            <w:r>
              <w:rPr>
                <w:rFonts w:hint="eastAsia" w:ascii="Times New Roman" w:hAnsi="Times New Roman" w:eastAsia="宋体" w:cs="Times New Roman"/>
              </w:rPr>
              <w:t>偏离情况</w:t>
            </w:r>
          </w:p>
        </w:tc>
        <w:tc>
          <w:tcPr>
            <w:tcW w:w="1418" w:type="dxa"/>
            <w:vAlign w:val="center"/>
          </w:tcPr>
          <w:p w14:paraId="0E6764AC">
            <w:pPr>
              <w:adjustRightInd w:val="0"/>
              <w:snapToGrid w:val="0"/>
              <w:spacing w:line="360" w:lineRule="auto"/>
              <w:jc w:val="center"/>
              <w:rPr>
                <w:rFonts w:hint="eastAsia" w:ascii="宋体" w:hAnsi="宋体" w:eastAsia="宋体" w:cs="Times New Roman"/>
                <w:kern w:val="0"/>
                <w:szCs w:val="21"/>
              </w:rPr>
            </w:pPr>
            <w:r>
              <w:rPr>
                <w:rFonts w:hint="eastAsia" w:ascii="Times New Roman" w:hAnsi="Times New Roman" w:eastAsia="宋体" w:cs="Times New Roman"/>
              </w:rPr>
              <w:t>说明</w:t>
            </w:r>
          </w:p>
        </w:tc>
      </w:tr>
      <w:bookmarkEnd w:id="64"/>
      <w:tr w14:paraId="0877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56ED3A8D">
            <w:pPr>
              <w:adjustRightInd w:val="0"/>
              <w:snapToGrid w:val="0"/>
              <w:jc w:val="center"/>
              <w:rPr>
                <w:rFonts w:hint="eastAsia" w:ascii="宋体" w:hAnsi="宋体" w:eastAsia="宋体" w:cs="Times New Roman"/>
                <w:kern w:val="0"/>
                <w:szCs w:val="21"/>
              </w:rPr>
            </w:pPr>
            <w:r>
              <w:rPr>
                <w:rFonts w:hint="eastAsia" w:ascii="宋体" w:hAnsi="宋体" w:eastAsia="宋体" w:cs="Times New Roman"/>
                <w:kern w:val="0"/>
                <w:szCs w:val="21"/>
              </w:rPr>
              <w:t>1</w:t>
            </w:r>
          </w:p>
        </w:tc>
        <w:tc>
          <w:tcPr>
            <w:tcW w:w="2664" w:type="dxa"/>
            <w:vAlign w:val="center"/>
          </w:tcPr>
          <w:p w14:paraId="13268F81">
            <w:pPr>
              <w:adjustRightInd w:val="0"/>
              <w:snapToGrid w:val="0"/>
              <w:spacing w:line="240" w:lineRule="auto"/>
              <w:jc w:val="left"/>
              <w:rPr>
                <w:rFonts w:hint="eastAsia" w:ascii="Times New Roman" w:hAnsi="宋体" w:eastAsia="宋体" w:cs="Times New Roman"/>
                <w:kern w:val="0"/>
                <w:szCs w:val="21"/>
              </w:rPr>
            </w:pPr>
            <w:r>
              <w:rPr>
                <w:rFonts w:hint="eastAsia"/>
              </w:rPr>
              <w:t>★所投产品【“二、货物清单明细”中序号92、序号156的货物除外】必须具备有效期内的《医疗器械注册（备案）证》（投标人须提供上述证书的扫描件，原件备查。）</w:t>
            </w:r>
          </w:p>
        </w:tc>
        <w:tc>
          <w:tcPr>
            <w:tcW w:w="1588" w:type="dxa"/>
          </w:tcPr>
          <w:p w14:paraId="6CE8A9BE">
            <w:pPr>
              <w:adjustRightInd w:val="0"/>
              <w:snapToGrid w:val="0"/>
              <w:spacing w:line="360" w:lineRule="auto"/>
              <w:rPr>
                <w:rFonts w:hint="eastAsia" w:ascii="宋体" w:hAnsi="宋体" w:eastAsia="宋体" w:cs="Times New Roman"/>
                <w:kern w:val="0"/>
                <w:szCs w:val="21"/>
              </w:rPr>
            </w:pPr>
          </w:p>
        </w:tc>
        <w:tc>
          <w:tcPr>
            <w:tcW w:w="1842" w:type="dxa"/>
          </w:tcPr>
          <w:p w14:paraId="3DBE4205">
            <w:pPr>
              <w:adjustRightInd w:val="0"/>
              <w:snapToGrid w:val="0"/>
              <w:spacing w:line="360" w:lineRule="auto"/>
              <w:rPr>
                <w:rFonts w:hint="eastAsia" w:ascii="宋体" w:hAnsi="宋体" w:eastAsia="宋体" w:cs="Times New Roman"/>
                <w:kern w:val="0"/>
                <w:szCs w:val="21"/>
              </w:rPr>
            </w:pPr>
          </w:p>
        </w:tc>
        <w:tc>
          <w:tcPr>
            <w:tcW w:w="1418" w:type="dxa"/>
          </w:tcPr>
          <w:p w14:paraId="214DC09D">
            <w:pPr>
              <w:adjustRightInd w:val="0"/>
              <w:snapToGrid w:val="0"/>
              <w:spacing w:line="360" w:lineRule="auto"/>
              <w:rPr>
                <w:rFonts w:hint="eastAsia" w:ascii="宋体" w:hAnsi="宋体" w:eastAsia="宋体" w:cs="Times New Roman"/>
                <w:kern w:val="0"/>
                <w:szCs w:val="21"/>
              </w:rPr>
            </w:pPr>
          </w:p>
        </w:tc>
      </w:tr>
      <w:tr w14:paraId="4BFF8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043891FE">
            <w:pPr>
              <w:adjustRightInd w:val="0"/>
              <w:snapToGrid w:val="0"/>
              <w:jc w:val="center"/>
              <w:rPr>
                <w:rFonts w:hint="eastAsia" w:ascii="宋体" w:hAnsi="宋体" w:eastAsia="宋体" w:cs="Times New Roman"/>
                <w:kern w:val="0"/>
                <w:szCs w:val="21"/>
              </w:rPr>
            </w:pPr>
            <w:r>
              <w:rPr>
                <w:rFonts w:hint="eastAsia" w:ascii="宋体" w:hAnsi="宋体" w:eastAsia="宋体" w:cs="Times New Roman"/>
                <w:kern w:val="0"/>
                <w:szCs w:val="21"/>
                <w:lang w:val="en-US" w:eastAsia="zh-CN"/>
              </w:rPr>
              <w:t>2</w:t>
            </w:r>
          </w:p>
        </w:tc>
        <w:tc>
          <w:tcPr>
            <w:tcW w:w="2664" w:type="dxa"/>
            <w:vAlign w:val="center"/>
          </w:tcPr>
          <w:p w14:paraId="0E2B0EF8">
            <w:pPr>
              <w:adjustRightInd w:val="0"/>
              <w:snapToGrid w:val="0"/>
              <w:spacing w:line="240" w:lineRule="auto"/>
              <w:jc w:val="left"/>
              <w:rPr>
                <w:rFonts w:hint="eastAsia" w:ascii="Times New Roman" w:hAnsi="宋体" w:eastAsia="宋体" w:cs="Times New Roman"/>
                <w:kern w:val="0"/>
                <w:szCs w:val="21"/>
              </w:rPr>
            </w:pPr>
            <w:r>
              <w:rPr>
                <w:rFonts w:hint="eastAsia"/>
              </w:rPr>
              <w:t>★投标人所报价格为含税、配送商费用等的全包价。投标人按“二、货物清单明细”中的序号1至90、序号93至154的货物（共152项货物）参与价格分评审，参与评分的货物以“预计采购数量”乘以“最小计量单位单价最高限价（元）”作为投标总价进行价格分评审。</w:t>
            </w:r>
          </w:p>
        </w:tc>
        <w:tc>
          <w:tcPr>
            <w:tcW w:w="1588" w:type="dxa"/>
          </w:tcPr>
          <w:p w14:paraId="00E6BA5F">
            <w:pPr>
              <w:adjustRightInd w:val="0"/>
              <w:snapToGrid w:val="0"/>
              <w:spacing w:line="360" w:lineRule="auto"/>
              <w:rPr>
                <w:rFonts w:hint="eastAsia" w:ascii="宋体" w:hAnsi="宋体" w:eastAsia="宋体" w:cs="Times New Roman"/>
                <w:kern w:val="0"/>
                <w:szCs w:val="21"/>
              </w:rPr>
            </w:pPr>
          </w:p>
        </w:tc>
        <w:tc>
          <w:tcPr>
            <w:tcW w:w="1842" w:type="dxa"/>
          </w:tcPr>
          <w:p w14:paraId="6A91DE47">
            <w:pPr>
              <w:adjustRightInd w:val="0"/>
              <w:snapToGrid w:val="0"/>
              <w:spacing w:line="360" w:lineRule="auto"/>
              <w:rPr>
                <w:rFonts w:hint="eastAsia" w:ascii="宋体" w:hAnsi="宋体" w:eastAsia="宋体" w:cs="Times New Roman"/>
                <w:kern w:val="0"/>
                <w:szCs w:val="21"/>
              </w:rPr>
            </w:pPr>
          </w:p>
        </w:tc>
        <w:tc>
          <w:tcPr>
            <w:tcW w:w="1418" w:type="dxa"/>
          </w:tcPr>
          <w:p w14:paraId="48016065">
            <w:pPr>
              <w:adjustRightInd w:val="0"/>
              <w:snapToGrid w:val="0"/>
              <w:spacing w:line="360" w:lineRule="auto"/>
              <w:rPr>
                <w:rFonts w:hint="eastAsia" w:ascii="宋体" w:hAnsi="宋体" w:eastAsia="宋体" w:cs="Times New Roman"/>
                <w:kern w:val="0"/>
                <w:szCs w:val="21"/>
              </w:rPr>
            </w:pPr>
          </w:p>
        </w:tc>
      </w:tr>
      <w:tr w14:paraId="58FB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3B4340F0">
            <w:pPr>
              <w:adjustRightInd w:val="0"/>
              <w:snapToGrid w:val="0"/>
              <w:jc w:val="center"/>
              <w:rPr>
                <w:rFonts w:hint="eastAsia" w:ascii="宋体" w:hAnsi="宋体" w:eastAsia="宋体" w:cs="Times New Roman"/>
                <w:kern w:val="0"/>
                <w:szCs w:val="21"/>
              </w:rPr>
            </w:pPr>
            <w:r>
              <w:rPr>
                <w:rFonts w:hint="eastAsia" w:ascii="宋体" w:hAnsi="宋体" w:eastAsia="宋体" w:cs="Times New Roman"/>
                <w:kern w:val="0"/>
                <w:szCs w:val="21"/>
                <w:lang w:val="en-US" w:eastAsia="zh-CN"/>
              </w:rPr>
              <w:t>3</w:t>
            </w:r>
          </w:p>
        </w:tc>
        <w:tc>
          <w:tcPr>
            <w:tcW w:w="2664" w:type="dxa"/>
            <w:vAlign w:val="center"/>
          </w:tcPr>
          <w:p w14:paraId="58A89E1B">
            <w:pPr>
              <w:adjustRightInd w:val="0"/>
              <w:snapToGrid w:val="0"/>
              <w:spacing w:line="240" w:lineRule="auto"/>
              <w:jc w:val="left"/>
              <w:rPr>
                <w:rFonts w:hint="eastAsia" w:ascii="宋体" w:hAnsi="宋体" w:eastAsia="宋体" w:cs="Times New Roman"/>
                <w:kern w:val="0"/>
                <w:szCs w:val="21"/>
              </w:rPr>
            </w:pPr>
            <w:r>
              <w:rPr>
                <w:rFonts w:hint="eastAsia"/>
              </w:rPr>
              <w:t>★作为医疗器械管理的产品，货物为深圳医用耗材阳光交易和监管平台采购标的，供应商所报价格高于以上平台最低价格的，执行平台最低价格进行结算；供应商所报价格低于以上平台价格的，按供应商所报价格执行且必须在以上平台采购。</w:t>
            </w:r>
          </w:p>
        </w:tc>
        <w:tc>
          <w:tcPr>
            <w:tcW w:w="1588" w:type="dxa"/>
          </w:tcPr>
          <w:p w14:paraId="4EEC54FA">
            <w:pPr>
              <w:adjustRightInd w:val="0"/>
              <w:snapToGrid w:val="0"/>
              <w:spacing w:line="360" w:lineRule="auto"/>
              <w:rPr>
                <w:rFonts w:hint="eastAsia" w:ascii="宋体" w:hAnsi="宋体" w:eastAsia="宋体" w:cs="Times New Roman"/>
                <w:kern w:val="0"/>
                <w:szCs w:val="21"/>
              </w:rPr>
            </w:pPr>
          </w:p>
        </w:tc>
        <w:tc>
          <w:tcPr>
            <w:tcW w:w="1842" w:type="dxa"/>
          </w:tcPr>
          <w:p w14:paraId="62430495">
            <w:pPr>
              <w:adjustRightInd w:val="0"/>
              <w:snapToGrid w:val="0"/>
              <w:spacing w:line="360" w:lineRule="auto"/>
              <w:rPr>
                <w:rFonts w:hint="eastAsia" w:ascii="宋体" w:hAnsi="宋体" w:eastAsia="宋体" w:cs="Times New Roman"/>
                <w:kern w:val="0"/>
                <w:szCs w:val="21"/>
              </w:rPr>
            </w:pPr>
          </w:p>
        </w:tc>
        <w:tc>
          <w:tcPr>
            <w:tcW w:w="1418" w:type="dxa"/>
          </w:tcPr>
          <w:p w14:paraId="1C770F0F">
            <w:pPr>
              <w:adjustRightInd w:val="0"/>
              <w:snapToGrid w:val="0"/>
              <w:spacing w:line="360" w:lineRule="auto"/>
              <w:rPr>
                <w:rFonts w:hint="eastAsia" w:ascii="宋体" w:hAnsi="宋体" w:eastAsia="宋体" w:cs="Times New Roman"/>
                <w:kern w:val="0"/>
                <w:szCs w:val="21"/>
              </w:rPr>
            </w:pPr>
          </w:p>
        </w:tc>
      </w:tr>
      <w:tr w14:paraId="19AF5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trPr>
        <w:tc>
          <w:tcPr>
            <w:tcW w:w="8217" w:type="dxa"/>
            <w:gridSpan w:val="5"/>
            <w:vAlign w:val="top"/>
          </w:tcPr>
          <w:p w14:paraId="4B5FD6A9">
            <w:pPr>
              <w:adjustRightInd w:val="0"/>
              <w:snapToGrid w:val="0"/>
              <w:spacing w:line="360" w:lineRule="auto"/>
              <w:jc w:val="both"/>
              <w:rPr>
                <w:rFonts w:hint="default" w:ascii="宋体" w:hAnsi="宋体" w:eastAsia="宋体" w:cs="Times New Roman"/>
                <w:kern w:val="0"/>
                <w:szCs w:val="21"/>
                <w:lang w:val="en-US" w:eastAsia="zh-CN"/>
              </w:rPr>
            </w:pPr>
            <w:r>
              <w:rPr>
                <w:rFonts w:hint="eastAsia" w:ascii="宋体" w:hAnsi="宋体" w:eastAsia="宋体" w:cs="Times New Roman"/>
                <w:kern w:val="0"/>
                <w:szCs w:val="21"/>
                <w:highlight w:val="yellow"/>
                <w:lang w:val="en-US" w:eastAsia="zh-CN"/>
              </w:rPr>
              <w:t>证明材料：</w:t>
            </w:r>
          </w:p>
        </w:tc>
      </w:tr>
    </w:tbl>
    <w:p w14:paraId="38315FD9">
      <w:pPr>
        <w:ind w:firstLine="482" w:firstLineChars="200"/>
        <w:rPr>
          <w:rFonts w:ascii="Times New Roman" w:hAnsi="Times New Roman" w:eastAsia="宋体" w:cs="Times New Roman"/>
          <w:b/>
          <w:sz w:val="24"/>
          <w:szCs w:val="22"/>
        </w:rPr>
      </w:pPr>
    </w:p>
    <w:p w14:paraId="1FBC8162">
      <w:pPr>
        <w:ind w:firstLine="482" w:firstLineChars="200"/>
        <w:rPr>
          <w:rFonts w:ascii="Times New Roman" w:hAnsi="Times New Roman" w:eastAsia="宋体" w:cs="Times New Roman"/>
          <w:b/>
          <w:sz w:val="24"/>
          <w:szCs w:val="22"/>
        </w:rPr>
      </w:pPr>
      <w:r>
        <w:rPr>
          <w:rFonts w:hint="eastAsia" w:ascii="Times New Roman" w:hAnsi="Times New Roman" w:eastAsia="宋体" w:cs="Times New Roman"/>
          <w:b/>
          <w:sz w:val="24"/>
          <w:szCs w:val="22"/>
        </w:rPr>
        <w:t>注：1.上表所列各项均为不可负偏离条款。</w:t>
      </w:r>
    </w:p>
    <w:p w14:paraId="1087156B">
      <w:pPr>
        <w:ind w:firstLine="482" w:firstLineChars="200"/>
        <w:rPr>
          <w:rFonts w:ascii="Times New Roman" w:hAnsi="Times New Roman" w:eastAsia="宋体" w:cs="Times New Roman"/>
          <w:b/>
          <w:sz w:val="24"/>
          <w:szCs w:val="22"/>
        </w:rPr>
      </w:pPr>
      <w:r>
        <w:rPr>
          <w:rFonts w:hint="eastAsia" w:ascii="Times New Roman" w:hAnsi="Times New Roman" w:eastAsia="宋体" w:cs="Times New Roman"/>
          <w:b/>
          <w:sz w:val="24"/>
          <w:szCs w:val="22"/>
        </w:rPr>
        <w:t>2.“投标响应”一栏应当详细填写投标人自身响应情况，而不能不合理照搬照抄招实质性条款具体内容。</w:t>
      </w:r>
    </w:p>
    <w:p w14:paraId="11BB5930">
      <w:pPr>
        <w:ind w:firstLine="482" w:firstLineChars="200"/>
        <w:rPr>
          <w:rFonts w:ascii="Times New Roman" w:hAnsi="Times New Roman" w:eastAsia="宋体" w:cs="Times New Roman"/>
          <w:b/>
          <w:sz w:val="24"/>
          <w:szCs w:val="22"/>
        </w:rPr>
      </w:pPr>
      <w:r>
        <w:rPr>
          <w:rFonts w:hint="eastAsia" w:ascii="Times New Roman" w:hAnsi="Times New Roman" w:eastAsia="宋体" w:cs="Times New Roman"/>
          <w:b/>
          <w:sz w:val="24"/>
          <w:szCs w:val="22"/>
        </w:rPr>
        <w:t>3</w:t>
      </w:r>
      <w:r>
        <w:rPr>
          <w:rFonts w:ascii="Times New Roman" w:hAnsi="Times New Roman" w:eastAsia="宋体" w:cs="Times New Roman"/>
          <w:b/>
          <w:sz w:val="24"/>
          <w:szCs w:val="22"/>
        </w:rPr>
        <w:t>.</w:t>
      </w:r>
      <w:r>
        <w:rPr>
          <w:rFonts w:hint="eastAsia" w:ascii="Times New Roman" w:hAnsi="Times New Roman" w:eastAsia="宋体" w:cs="Times New Roman"/>
          <w:b/>
          <w:sz w:val="24"/>
          <w:szCs w:val="22"/>
        </w:rPr>
        <w:t>“偏离情况”一栏应填写“正偏离”、“负偏离”或“无偏离”，</w:t>
      </w:r>
      <w:r>
        <w:rPr>
          <w:rFonts w:hint="eastAsia" w:ascii="Times New Roman" w:hAnsi="Times New Roman" w:eastAsia="宋体" w:cs="Times New Roman"/>
          <w:b/>
          <w:sz w:val="24"/>
        </w:rPr>
        <w:t>“正偏离”表示“投标响应优于实质性条款具体内容要求”，“负偏离”表示“投标响应不满足实质性条款具体内容要求”，“无偏离”表示“投标响应与实质性条款具体内容要求一致”。</w:t>
      </w:r>
    </w:p>
    <w:p w14:paraId="32AAF302">
      <w:pPr>
        <w:ind w:firstLine="482" w:firstLineChars="200"/>
        <w:rPr>
          <w:rFonts w:ascii="Times New Roman" w:hAnsi="Times New Roman" w:eastAsia="宋体" w:cs="Times New Roman"/>
          <w:b/>
          <w:sz w:val="24"/>
        </w:rPr>
      </w:pPr>
      <w:r>
        <w:rPr>
          <w:rFonts w:ascii="Times New Roman" w:hAnsi="Times New Roman" w:eastAsia="宋体" w:cs="Times New Roman"/>
          <w:b/>
          <w:sz w:val="24"/>
        </w:rPr>
        <w:t>4.</w:t>
      </w:r>
      <w:r>
        <w:rPr>
          <w:rFonts w:hint="eastAsia" w:ascii="Times New Roman" w:hAnsi="Times New Roman" w:eastAsia="宋体" w:cs="Times New Roman"/>
          <w:b/>
          <w:sz w:val="24"/>
        </w:rPr>
        <w:t>评审委员会有权对投标响应情况作出判断（作出评审结论）。</w:t>
      </w:r>
    </w:p>
    <w:p w14:paraId="7A120AC9">
      <w:pPr>
        <w:ind w:firstLine="482" w:firstLineChars="200"/>
        <w:rPr>
          <w:rFonts w:ascii="Times New Roman" w:hAnsi="Times New Roman" w:eastAsia="宋体" w:cs="Times New Roman"/>
          <w:b/>
          <w:sz w:val="24"/>
          <w:szCs w:val="22"/>
        </w:rPr>
      </w:pPr>
      <w:r>
        <w:rPr>
          <w:rFonts w:ascii="Times New Roman" w:hAnsi="Times New Roman" w:eastAsia="宋体" w:cs="Times New Roman"/>
          <w:b/>
          <w:sz w:val="24"/>
          <w:szCs w:val="22"/>
        </w:rPr>
        <w:t>5</w:t>
      </w:r>
      <w:r>
        <w:rPr>
          <w:rFonts w:hint="eastAsia" w:ascii="Times New Roman" w:hAnsi="Times New Roman" w:eastAsia="宋体" w:cs="Times New Roman"/>
          <w:b/>
          <w:sz w:val="24"/>
          <w:szCs w:val="22"/>
        </w:rPr>
        <w:t>.实质性响应条款“投标响应情况”与投标文件其它内容冲突的，以实质性响应条款“投标响应情况”为准。</w:t>
      </w:r>
      <w:bookmarkEnd w:id="61"/>
    </w:p>
    <w:p w14:paraId="6CFF46BE">
      <w:pPr>
        <w:ind w:firstLine="482" w:firstLineChars="200"/>
        <w:rPr>
          <w:rFonts w:ascii="Times New Roman" w:hAnsi="Times New Roman" w:eastAsia="宋体" w:cs="Times New Roman"/>
          <w:b/>
          <w:sz w:val="24"/>
          <w:szCs w:val="22"/>
        </w:rPr>
      </w:pPr>
      <w:r>
        <w:rPr>
          <w:rFonts w:hint="eastAsia" w:ascii="Times New Roman" w:hAnsi="Times New Roman" w:eastAsia="宋体" w:cs="Times New Roman"/>
          <w:b/>
          <w:sz w:val="24"/>
          <w:szCs w:val="22"/>
        </w:rPr>
        <w:t>6.要求提供证明资料，在“说明”一栏中列明证明资料的位置,以便评审；未要求提供证明材料的，投标人可以不提供。</w:t>
      </w:r>
    </w:p>
    <w:p w14:paraId="06CC2E4F">
      <w:pPr>
        <w:rPr>
          <w:rFonts w:ascii="Times New Roman" w:hAnsi="Times New Roman" w:eastAsia="宋体" w:cs="Times New Roman"/>
        </w:rPr>
      </w:pPr>
    </w:p>
    <w:p w14:paraId="1200BBB6">
      <w:pPr>
        <w:widowControl w:val="0"/>
        <w:jc w:val="both"/>
        <w:rPr>
          <w:rFonts w:ascii="Calibri" w:hAnsi="Calibri" w:eastAsia="宋体" w:cs="Times New Roman"/>
          <w:kern w:val="2"/>
          <w:sz w:val="21"/>
          <w:szCs w:val="22"/>
          <w:lang w:val="en-US" w:eastAsia="zh-CN" w:bidi="ar-SA"/>
        </w:rPr>
      </w:pPr>
    </w:p>
    <w:p w14:paraId="06309E16">
      <w:pPr>
        <w:keepNext/>
        <w:keepLines/>
        <w:widowControl w:val="0"/>
        <w:spacing w:before="260" w:after="260" w:line="240" w:lineRule="auto"/>
        <w:jc w:val="center"/>
        <w:outlineLvl w:val="2"/>
        <w:rPr>
          <w:rFonts w:hint="eastAsia" w:ascii="黑体" w:hAnsi="宋体" w:eastAsia="黑体" w:cs="Times New Roman"/>
          <w:b w:val="0"/>
          <w:bCs/>
          <w:kern w:val="0"/>
          <w:sz w:val="24"/>
          <w:szCs w:val="24"/>
          <w:lang w:val="en-US" w:eastAsia="zh-CN" w:bidi="ar-SA"/>
        </w:rPr>
      </w:pPr>
      <w:r>
        <w:rPr>
          <w:rFonts w:hint="eastAsia" w:ascii="黑体" w:hAnsi="宋体" w:eastAsia="黑体" w:cs="Times New Roman"/>
          <w:b w:val="0"/>
          <w:bCs/>
          <w:kern w:val="0"/>
          <w:sz w:val="24"/>
          <w:szCs w:val="24"/>
          <w:lang w:val="en-US" w:eastAsia="zh-CN" w:bidi="ar-SA"/>
        </w:rPr>
        <w:t>九、产品质量</w:t>
      </w:r>
    </w:p>
    <w:p w14:paraId="50A33536">
      <w:pPr>
        <w:widowControl/>
        <w:jc w:val="left"/>
        <w:rPr>
          <w:rFonts w:hint="eastAsia" w:ascii="Times New Roman" w:hAnsi="Times New Roman" w:eastAsia="宋体" w:cs="Times New Roman"/>
          <w:b/>
          <w:bCs/>
          <w:color w:val="FF0000"/>
          <w:kern w:val="0"/>
          <w:szCs w:val="21"/>
          <w:lang w:val="en-US" w:eastAsia="zh-CN"/>
        </w:rPr>
      </w:pPr>
      <w:r>
        <w:rPr>
          <w:rFonts w:hint="eastAsia" w:ascii="Times New Roman" w:hAnsi="Times New Roman" w:eastAsia="宋体" w:cs="Times New Roman"/>
          <w:b/>
          <w:bCs/>
          <w:color w:val="FF0000"/>
          <w:kern w:val="0"/>
          <w:szCs w:val="21"/>
          <w:lang w:val="en-US" w:eastAsia="zh-CN"/>
        </w:rPr>
        <w:t>（特别提示：投标人须按本招标文件评标信息中“整体要求”这一评审因素要求，提供详细的证明资料。如需提供多份证明资料，投标人可自行制定证明资料目录或者表格，并在证明资料中对得分关键信息作显著标识（如红框标识等）。）</w:t>
      </w:r>
    </w:p>
    <w:p w14:paraId="4E3A5984">
      <w:pPr>
        <w:widowControl w:val="0"/>
        <w:jc w:val="both"/>
        <w:rPr>
          <w:rFonts w:ascii="Calibri" w:hAnsi="Calibri" w:eastAsia="宋体" w:cs="Times New Roman"/>
          <w:kern w:val="2"/>
          <w:sz w:val="21"/>
          <w:szCs w:val="22"/>
          <w:lang w:val="en-US" w:eastAsia="zh-CN" w:bidi="ar-SA"/>
        </w:rPr>
      </w:pPr>
    </w:p>
    <w:p w14:paraId="3C8B815F">
      <w:pPr>
        <w:jc w:val="center"/>
        <w:rPr>
          <w:rFonts w:hint="eastAsia" w:ascii="黑体" w:hAnsi="Times New Roman" w:eastAsia="黑体" w:cs="Times New Roman"/>
          <w:b w:val="0"/>
          <w:bCs w:val="0"/>
          <w:sz w:val="24"/>
          <w:szCs w:val="20"/>
        </w:rPr>
      </w:pPr>
    </w:p>
    <w:p w14:paraId="1518F9B6">
      <w:pPr>
        <w:jc w:val="center"/>
        <w:rPr>
          <w:rFonts w:hint="eastAsia" w:ascii="黑体" w:hAnsi="Times New Roman" w:eastAsia="黑体" w:cs="Times New Roman"/>
          <w:b w:val="0"/>
          <w:bCs w:val="0"/>
          <w:sz w:val="24"/>
          <w:szCs w:val="20"/>
        </w:rPr>
      </w:pPr>
      <w:r>
        <w:rPr>
          <w:rFonts w:hint="eastAsia" w:ascii="黑体" w:hAnsi="Times New Roman" w:eastAsia="黑体" w:cs="Times New Roman"/>
          <w:b w:val="0"/>
          <w:bCs w:val="0"/>
          <w:sz w:val="24"/>
          <w:szCs w:val="20"/>
        </w:rPr>
        <w:t>十、产品响应方案</w:t>
      </w:r>
    </w:p>
    <w:p w14:paraId="5F582432">
      <w:pPr>
        <w:jc w:val="center"/>
        <w:rPr>
          <w:rFonts w:hint="eastAsia" w:ascii="Times New Roman" w:hAnsi="Times New Roman" w:eastAsia="宋体" w:cs="Times New Roman"/>
        </w:rPr>
      </w:pPr>
    </w:p>
    <w:p w14:paraId="1F06BA8B">
      <w:pPr>
        <w:widowControl/>
        <w:jc w:val="left"/>
        <w:rPr>
          <w:rFonts w:hint="eastAsia" w:ascii="Times New Roman" w:hAnsi="Times New Roman" w:eastAsia="宋体" w:cs="Times New Roman"/>
          <w:b/>
          <w:bCs/>
          <w:color w:val="FF0000"/>
          <w:kern w:val="0"/>
          <w:szCs w:val="21"/>
          <w:lang w:val="en-US" w:eastAsia="zh-CN"/>
        </w:rPr>
      </w:pPr>
      <w:r>
        <w:rPr>
          <w:rFonts w:hint="eastAsia" w:ascii="Times New Roman" w:hAnsi="Times New Roman" w:eastAsia="宋体" w:cs="Times New Roman"/>
          <w:b/>
          <w:bCs/>
          <w:color w:val="FF0000"/>
          <w:kern w:val="0"/>
          <w:szCs w:val="21"/>
          <w:lang w:val="en-US" w:eastAsia="zh-CN"/>
        </w:rPr>
        <w:t>（特别提示：投标人须按本招标文件评标信息中“产品响应方案”这一评审因素要求，提供详细的证明资料。如需提供多份证明资料，投标人可自行制定证明资料目录或者表格，并在证明资料中对得分关键信息作显著标识（如红框标识等）。）</w:t>
      </w:r>
    </w:p>
    <w:p w14:paraId="7CA20F44">
      <w:pPr>
        <w:widowControl w:val="0"/>
        <w:spacing w:line="360" w:lineRule="auto"/>
        <w:jc w:val="both"/>
        <w:rPr>
          <w:rFonts w:hint="eastAsia" w:ascii="Times New Roman" w:hAnsi="Times New Roman" w:eastAsia="宋体" w:cs="Times New Roman"/>
          <w:b/>
          <w:bCs/>
          <w:kern w:val="2"/>
          <w:sz w:val="24"/>
          <w:szCs w:val="24"/>
          <w:lang w:val="en-US" w:eastAsia="zh-CN" w:bidi="ar-SA"/>
        </w:rPr>
      </w:pPr>
    </w:p>
    <w:p w14:paraId="0C26DC64">
      <w:pPr>
        <w:widowControl w:val="0"/>
        <w:spacing w:line="360" w:lineRule="auto"/>
        <w:jc w:val="center"/>
        <w:rPr>
          <w:rFonts w:hint="eastAsia" w:ascii="黑体" w:hAnsi="Times New Roman" w:eastAsia="黑体" w:cs="Times New Roman"/>
          <w:b w:val="0"/>
          <w:bCs w:val="0"/>
          <w:kern w:val="2"/>
          <w:sz w:val="24"/>
          <w:szCs w:val="20"/>
          <w:lang w:val="en-US" w:eastAsia="zh-CN" w:bidi="ar-SA"/>
        </w:rPr>
      </w:pPr>
      <w:r>
        <w:rPr>
          <w:rFonts w:hint="eastAsia" w:ascii="黑体" w:hAnsi="Times New Roman" w:eastAsia="黑体" w:cs="Times New Roman"/>
          <w:b w:val="0"/>
          <w:bCs w:val="0"/>
          <w:kern w:val="2"/>
          <w:sz w:val="24"/>
          <w:szCs w:val="20"/>
          <w:lang w:val="en-US" w:eastAsia="zh-CN" w:bidi="ar-SA"/>
        </w:rPr>
        <w:t>十一、市场占有率</w:t>
      </w:r>
    </w:p>
    <w:p w14:paraId="71101841">
      <w:pPr>
        <w:widowControl/>
        <w:jc w:val="left"/>
        <w:rPr>
          <w:rFonts w:hint="eastAsia" w:ascii="Times New Roman" w:hAnsi="Times New Roman" w:eastAsia="宋体" w:cs="Times New Roman"/>
          <w:b/>
          <w:bCs/>
          <w:color w:val="FF0000"/>
          <w:kern w:val="0"/>
          <w:szCs w:val="21"/>
          <w:lang w:val="en-US" w:eastAsia="zh-CN"/>
        </w:rPr>
      </w:pPr>
      <w:r>
        <w:rPr>
          <w:rFonts w:hint="eastAsia" w:ascii="Times New Roman" w:hAnsi="Times New Roman" w:eastAsia="宋体" w:cs="Times New Roman"/>
          <w:b/>
          <w:bCs/>
          <w:color w:val="FF0000"/>
          <w:kern w:val="0"/>
          <w:szCs w:val="21"/>
          <w:lang w:val="en-US" w:eastAsia="zh-CN"/>
        </w:rPr>
        <w:t>（特别提示：投标人须按本招标文件评标信息中“市场占有率”这一评审因素要求，提供详细的证明资料。如需提供多份证明资料，投标人可自行制定证明资料目录或者表格，并在证明资料中对得分关键信息作显著标识（如红框标识等）。）</w:t>
      </w:r>
    </w:p>
    <w:p w14:paraId="306A43CD">
      <w:pPr>
        <w:rPr>
          <w:rFonts w:hint="eastAsia" w:ascii="Times New Roman" w:hAnsi="Times New Roman" w:eastAsia="宋体" w:cs="Times New Roman"/>
        </w:rPr>
      </w:pPr>
    </w:p>
    <w:p w14:paraId="5D01461F">
      <w:pPr>
        <w:widowControl w:val="0"/>
        <w:spacing w:line="360" w:lineRule="auto"/>
        <w:jc w:val="both"/>
        <w:rPr>
          <w:rFonts w:hint="eastAsia" w:ascii="Times New Roman" w:hAnsi="Times New Roman" w:eastAsia="宋体" w:cs="Times New Roman"/>
          <w:b/>
          <w:bCs/>
          <w:kern w:val="2"/>
          <w:sz w:val="24"/>
          <w:szCs w:val="24"/>
          <w:lang w:val="en-US" w:eastAsia="zh-CN" w:bidi="ar-SA"/>
        </w:rPr>
      </w:pPr>
    </w:p>
    <w:p w14:paraId="554B955A">
      <w:pPr>
        <w:widowControl w:val="0"/>
        <w:spacing w:line="360" w:lineRule="auto"/>
        <w:jc w:val="center"/>
        <w:rPr>
          <w:rFonts w:hint="eastAsia" w:ascii="黑体" w:hAnsi="Times New Roman" w:eastAsia="黑体" w:cs="Times New Roman"/>
          <w:b w:val="0"/>
          <w:bCs w:val="0"/>
          <w:kern w:val="2"/>
          <w:sz w:val="24"/>
          <w:szCs w:val="20"/>
          <w:lang w:val="en-US" w:eastAsia="zh-CN" w:bidi="ar-SA"/>
        </w:rPr>
      </w:pPr>
      <w:r>
        <w:rPr>
          <w:rFonts w:hint="eastAsia" w:ascii="黑体" w:hAnsi="Times New Roman" w:eastAsia="黑体" w:cs="Times New Roman"/>
          <w:b w:val="0"/>
          <w:bCs w:val="0"/>
          <w:kern w:val="2"/>
          <w:sz w:val="24"/>
          <w:szCs w:val="20"/>
          <w:lang w:val="en-US" w:eastAsia="zh-CN" w:bidi="ar-SA"/>
        </w:rPr>
        <w:t>十</w:t>
      </w:r>
      <w:r>
        <w:rPr>
          <w:rFonts w:hint="eastAsia" w:ascii="黑体" w:eastAsia="黑体" w:cs="Times New Roman"/>
          <w:b w:val="0"/>
          <w:bCs w:val="0"/>
          <w:kern w:val="2"/>
          <w:sz w:val="24"/>
          <w:szCs w:val="20"/>
          <w:lang w:val="en-US" w:eastAsia="zh-CN" w:bidi="ar-SA"/>
        </w:rPr>
        <w:t>二</w:t>
      </w:r>
      <w:r>
        <w:rPr>
          <w:rFonts w:hint="eastAsia" w:ascii="黑体" w:hAnsi="Times New Roman" w:eastAsia="黑体" w:cs="Times New Roman"/>
          <w:b w:val="0"/>
          <w:bCs w:val="0"/>
          <w:kern w:val="2"/>
          <w:sz w:val="24"/>
          <w:szCs w:val="20"/>
          <w:lang w:val="en-US" w:eastAsia="zh-CN" w:bidi="ar-SA"/>
        </w:rPr>
        <w:t>、服务能力</w:t>
      </w:r>
    </w:p>
    <w:p w14:paraId="21CB9715">
      <w:pPr>
        <w:widowControl/>
        <w:jc w:val="left"/>
        <w:rPr>
          <w:rFonts w:hint="eastAsia" w:ascii="Times New Roman" w:hAnsi="Times New Roman" w:eastAsia="宋体" w:cs="Times New Roman"/>
          <w:b/>
          <w:bCs/>
          <w:color w:val="FF0000"/>
          <w:kern w:val="0"/>
          <w:szCs w:val="21"/>
          <w:lang w:val="en-US" w:eastAsia="zh-CN"/>
        </w:rPr>
      </w:pPr>
      <w:r>
        <w:rPr>
          <w:rFonts w:hint="eastAsia" w:ascii="Times New Roman" w:hAnsi="Times New Roman" w:eastAsia="宋体" w:cs="Times New Roman"/>
          <w:b/>
          <w:bCs/>
          <w:color w:val="FF0000"/>
          <w:kern w:val="0"/>
          <w:szCs w:val="21"/>
          <w:lang w:val="en-US" w:eastAsia="zh-CN"/>
        </w:rPr>
        <w:t>（特别提示：投标人须按本招标文件评标信息中“同类业绩”这一评审因素要求，提供详细的证明资料。如需提供多份证明资料，投标人可自行制定证明资料目录或者表格，并在证明资料中对得分关键信息作显著标识（如红框标识等）。）</w:t>
      </w:r>
    </w:p>
    <w:p w14:paraId="48DE3D40">
      <w:pPr>
        <w:rPr>
          <w:rFonts w:hint="eastAsia" w:ascii="Times New Roman" w:hAnsi="Times New Roman" w:eastAsia="宋体" w:cs="Times New Roman"/>
        </w:rPr>
      </w:pPr>
    </w:p>
    <w:p w14:paraId="5F4D9CC8">
      <w:pPr>
        <w:widowControl w:val="0"/>
        <w:spacing w:line="360" w:lineRule="auto"/>
        <w:jc w:val="both"/>
        <w:rPr>
          <w:rFonts w:hint="eastAsia" w:ascii="黑体" w:hAnsi="Times New Roman" w:eastAsia="黑体" w:cs="Times New Roman"/>
          <w:b w:val="0"/>
          <w:bCs w:val="0"/>
          <w:kern w:val="2"/>
          <w:sz w:val="24"/>
          <w:szCs w:val="20"/>
          <w:lang w:val="en-US" w:eastAsia="zh-CN" w:bidi="ar-SA"/>
        </w:rPr>
      </w:pPr>
    </w:p>
    <w:p w14:paraId="5E4AAD92">
      <w:pPr>
        <w:rPr>
          <w:rFonts w:hint="eastAsia" w:ascii="Times New Roman" w:hAnsi="Times New Roman" w:eastAsia="宋体" w:cs="Times New Roman"/>
        </w:rPr>
      </w:pPr>
    </w:p>
    <w:p w14:paraId="30EAA032">
      <w:pPr>
        <w:rPr>
          <w:rFonts w:hint="eastAsia" w:ascii="黑体" w:hAnsi="Times New Roman" w:eastAsia="黑体" w:cs="Times New Roman"/>
          <w:b w:val="0"/>
          <w:bCs w:val="0"/>
          <w:sz w:val="24"/>
          <w:szCs w:val="20"/>
        </w:rPr>
      </w:pPr>
      <w:bookmarkStart w:id="65" w:name="_Hlk72260576"/>
      <w:r>
        <w:rPr>
          <w:rFonts w:hint="eastAsia" w:ascii="黑体" w:hAnsi="Times New Roman" w:eastAsia="黑体" w:cs="Times New Roman"/>
          <w:b w:val="0"/>
          <w:bCs w:val="0"/>
          <w:sz w:val="24"/>
          <w:szCs w:val="20"/>
        </w:rPr>
        <w:br w:type="page"/>
      </w:r>
    </w:p>
    <w:p w14:paraId="3450E0C3">
      <w:pPr>
        <w:keepNext/>
        <w:keepLines/>
        <w:widowControl w:val="0"/>
        <w:spacing w:before="260" w:after="260" w:line="240" w:lineRule="auto"/>
        <w:jc w:val="center"/>
        <w:outlineLvl w:val="2"/>
        <w:rPr>
          <w:rFonts w:hint="eastAsia" w:ascii="黑体" w:hAnsi="宋体" w:eastAsia="黑体" w:cs="Times New Roman"/>
          <w:b w:val="0"/>
          <w:bCs w:val="0"/>
          <w:kern w:val="2"/>
          <w:sz w:val="24"/>
          <w:szCs w:val="20"/>
          <w:lang w:val="en-US" w:eastAsia="zh-CN" w:bidi="ar-SA"/>
        </w:rPr>
      </w:pPr>
      <w:r>
        <w:rPr>
          <w:rFonts w:hint="eastAsia" w:ascii="黑体" w:hAnsi="宋体" w:eastAsia="黑体" w:cs="Times New Roman"/>
          <w:b w:val="0"/>
          <w:bCs w:val="0"/>
          <w:kern w:val="2"/>
          <w:sz w:val="24"/>
          <w:szCs w:val="20"/>
          <w:lang w:val="en-US" w:eastAsia="zh-CN" w:bidi="ar-SA"/>
        </w:rPr>
        <w:t>十三、</w:t>
      </w:r>
      <w:bookmarkStart w:id="66" w:name="_Hlk72062872"/>
      <w:r>
        <w:rPr>
          <w:rFonts w:hint="eastAsia" w:ascii="黑体" w:hAnsi="宋体" w:eastAsia="黑体" w:cs="Times New Roman"/>
          <w:b w:val="0"/>
          <w:bCs w:val="0"/>
          <w:kern w:val="2"/>
          <w:sz w:val="24"/>
          <w:szCs w:val="20"/>
          <w:lang w:val="en-US" w:eastAsia="zh-CN" w:bidi="ar-SA"/>
        </w:rPr>
        <w:t>投标人认为需要加以说明的其他内容</w:t>
      </w:r>
      <w:bookmarkEnd w:id="66"/>
    </w:p>
    <w:bookmarkEnd w:id="65"/>
    <w:p w14:paraId="7631AF5F">
      <w:pPr>
        <w:widowControl/>
        <w:jc w:val="center"/>
        <w:rPr>
          <w:rFonts w:hint="eastAsia" w:ascii="黑体" w:hAnsi="宋体" w:eastAsia="黑体" w:cs="Times New Roman"/>
          <w:kern w:val="0"/>
          <w:sz w:val="24"/>
          <w:szCs w:val="20"/>
        </w:rPr>
      </w:pPr>
      <w:r>
        <w:rPr>
          <w:rFonts w:hint="eastAsia" w:ascii="黑体" w:hAnsi="宋体" w:eastAsia="黑体" w:cs="Times New Roman"/>
          <w:kern w:val="0"/>
          <w:sz w:val="24"/>
          <w:szCs w:val="20"/>
        </w:rPr>
        <w:t>（一）采购违法行为风险知悉确认书</w:t>
      </w:r>
    </w:p>
    <w:p w14:paraId="31F93ECD">
      <w:pPr>
        <w:widowControl/>
        <w:jc w:val="center"/>
        <w:rPr>
          <w:rFonts w:hint="eastAsia" w:ascii="黑体" w:hAnsi="宋体" w:eastAsia="黑体" w:cs="Times New Roman"/>
          <w:kern w:val="0"/>
          <w:sz w:val="24"/>
          <w:szCs w:val="20"/>
        </w:rPr>
      </w:pPr>
    </w:p>
    <w:p w14:paraId="73B14CD4">
      <w:pPr>
        <w:ind w:firstLine="420" w:firstLineChars="200"/>
        <w:rPr>
          <w:rFonts w:ascii="Times New Roman" w:hAnsi="Times New Roman" w:eastAsia="宋体" w:cs="Times New Roman"/>
        </w:rPr>
      </w:pPr>
      <w:r>
        <w:rPr>
          <w:rFonts w:hint="eastAsia" w:ascii="Times New Roman" w:hAnsi="Times New Roman" w:eastAsia="宋体" w:cs="Times New Roman"/>
        </w:rPr>
        <w:t>本公司在投标前已充分知悉以下情形为参与采购活动时的重大风险事项，并承诺已对下述风险提示事项重点排查，做到严谨、诚信、依法依规参与自行采购活动。</w:t>
      </w:r>
    </w:p>
    <w:p w14:paraId="3403F324">
      <w:pPr>
        <w:ind w:firstLine="422" w:firstLineChars="200"/>
        <w:rPr>
          <w:rFonts w:ascii="Times New Roman" w:hAnsi="Times New Roman" w:eastAsia="宋体" w:cs="Times New Roman"/>
          <w:b/>
        </w:rPr>
      </w:pPr>
      <w:r>
        <w:rPr>
          <w:rFonts w:hint="eastAsia" w:ascii="Times New Roman" w:hAnsi="Times New Roman" w:eastAsia="宋体" w:cs="Times New Roman"/>
          <w:b/>
        </w:rPr>
        <w:t>一、本公司已充分知悉“隐瞒真实情况，提供虚假资料”的法定情形，相关情形包括但不限于：</w:t>
      </w:r>
    </w:p>
    <w:p w14:paraId="03565A0A">
      <w:pPr>
        <w:ind w:firstLine="420" w:firstLineChars="200"/>
        <w:rPr>
          <w:rFonts w:ascii="Times New Roman" w:hAnsi="Times New Roman" w:eastAsia="宋体" w:cs="Times New Roman"/>
        </w:rPr>
      </w:pPr>
      <w:r>
        <w:rPr>
          <w:rFonts w:hint="eastAsia" w:ascii="Times New Roman" w:hAnsi="Times New Roman" w:eastAsia="宋体" w:cs="Times New Roman"/>
        </w:rPr>
        <w:t>（一）通过转让或者租借等方式从其他单位获取资格或者资质证书投标的。</w:t>
      </w:r>
    </w:p>
    <w:p w14:paraId="2BCB73F9">
      <w:pPr>
        <w:ind w:firstLine="420" w:firstLineChars="200"/>
        <w:rPr>
          <w:rFonts w:ascii="Times New Roman" w:hAnsi="Times New Roman" w:eastAsia="宋体" w:cs="Times New Roman"/>
        </w:rPr>
      </w:pPr>
      <w:r>
        <w:rPr>
          <w:rFonts w:hint="eastAsia" w:ascii="Times New Roman" w:hAnsi="Times New Roman" w:eastAsia="宋体" w:cs="Times New Roman"/>
        </w:rPr>
        <w:t>（二）由其他单位或者其他单位负责人在投标供应商编制的投标文件上加盖印章或者签字的。</w:t>
      </w:r>
    </w:p>
    <w:p w14:paraId="1B2B12E3">
      <w:pPr>
        <w:ind w:firstLine="420" w:firstLineChars="200"/>
        <w:rPr>
          <w:rFonts w:ascii="Times New Roman" w:hAnsi="Times New Roman" w:eastAsia="宋体" w:cs="Times New Roman"/>
        </w:rPr>
      </w:pPr>
      <w:r>
        <w:rPr>
          <w:rFonts w:hint="eastAsia" w:ascii="Times New Roman" w:hAnsi="Times New Roman" w:eastAsia="宋体" w:cs="Times New Roman"/>
        </w:rPr>
        <w:t>（三）项目负责人或者主要技术人员不是本单位人员的。</w:t>
      </w:r>
    </w:p>
    <w:p w14:paraId="3FDA90F3">
      <w:pPr>
        <w:ind w:firstLine="420" w:firstLineChars="200"/>
        <w:rPr>
          <w:rFonts w:ascii="Times New Roman" w:hAnsi="Times New Roman" w:eastAsia="宋体" w:cs="Times New Roman"/>
        </w:rPr>
      </w:pPr>
      <w:r>
        <w:rPr>
          <w:rFonts w:hint="eastAsia" w:ascii="Times New Roman" w:hAnsi="Times New Roman" w:eastAsia="宋体" w:cs="Times New Roman"/>
        </w:rPr>
        <w:t>（四）投标保证金不是从投标供应商基本账户转出的。</w:t>
      </w:r>
    </w:p>
    <w:p w14:paraId="415B9D44">
      <w:pPr>
        <w:ind w:firstLine="420" w:firstLineChars="200"/>
        <w:rPr>
          <w:rFonts w:ascii="Times New Roman" w:hAnsi="Times New Roman" w:eastAsia="宋体" w:cs="Times New Roman"/>
        </w:rPr>
      </w:pPr>
      <w:r>
        <w:rPr>
          <w:rFonts w:hint="eastAsia" w:ascii="Times New Roman" w:hAnsi="Times New Roman" w:eastAsia="宋体" w:cs="Times New Roman"/>
        </w:rPr>
        <w:t>（五）其他隐瞒真实情况、提供虚假资料的行为。</w:t>
      </w:r>
    </w:p>
    <w:p w14:paraId="3F34B4A6">
      <w:pPr>
        <w:ind w:firstLine="422" w:firstLineChars="200"/>
        <w:rPr>
          <w:rFonts w:ascii="Times New Roman" w:hAnsi="Times New Roman" w:eastAsia="宋体" w:cs="Times New Roman"/>
          <w:b/>
        </w:rPr>
      </w:pPr>
      <w:r>
        <w:rPr>
          <w:rFonts w:hint="eastAsia" w:ascii="Times New Roman" w:hAnsi="Times New Roman" w:eastAsia="宋体" w:cs="Times New Roman"/>
          <w:b/>
        </w:rPr>
        <w:t>二、本公司已充分知悉“与其他采购参加人串通投标”的法定情形，相关情形包括但不限于：</w:t>
      </w:r>
    </w:p>
    <w:p w14:paraId="566D292C">
      <w:pPr>
        <w:ind w:firstLine="420" w:firstLineChars="200"/>
        <w:rPr>
          <w:rFonts w:ascii="Times New Roman" w:hAnsi="Times New Roman" w:eastAsia="宋体" w:cs="Times New Roman"/>
        </w:rPr>
      </w:pPr>
      <w:r>
        <w:rPr>
          <w:rFonts w:hint="eastAsia" w:ascii="Times New Roman" w:hAnsi="Times New Roman" w:eastAsia="宋体" w:cs="Times New Roman"/>
        </w:rPr>
        <w:t>（一）投标供应商之间相互约定给予未中标的供应商利益补偿。</w:t>
      </w:r>
    </w:p>
    <w:p w14:paraId="224444B7">
      <w:pPr>
        <w:ind w:firstLine="420" w:firstLineChars="200"/>
        <w:rPr>
          <w:rFonts w:ascii="Times New Roman" w:hAnsi="Times New Roman" w:eastAsia="宋体" w:cs="Times New Roman"/>
        </w:rPr>
      </w:pPr>
      <w:r>
        <w:rPr>
          <w:rFonts w:hint="eastAsia" w:ascii="Times New Roman" w:hAnsi="Times New Roman" w:eastAsia="宋体" w:cs="Times New Roman"/>
        </w:rPr>
        <w:t>（二）不同投标供应商的法定代表人、主要经营负责人、项目投标授权代表人、项目负责人、主要技术人员为同一人、属同一单位或者在同一单位缴纳社会保险。</w:t>
      </w:r>
    </w:p>
    <w:p w14:paraId="39543E74">
      <w:pPr>
        <w:ind w:firstLine="420" w:firstLineChars="200"/>
        <w:rPr>
          <w:rFonts w:ascii="Times New Roman" w:hAnsi="Times New Roman" w:eastAsia="宋体" w:cs="Times New Roman"/>
        </w:rPr>
      </w:pPr>
      <w:r>
        <w:rPr>
          <w:rFonts w:hint="eastAsia" w:ascii="Times New Roman" w:hAnsi="Times New Roman" w:eastAsia="宋体" w:cs="Times New Roman"/>
        </w:rPr>
        <w:t>（三）不同投标供应商的投标文件由同一单位或者同一人编制，或者由同一人分阶段参与编制的。</w:t>
      </w:r>
    </w:p>
    <w:p w14:paraId="460F2BF8">
      <w:pPr>
        <w:ind w:firstLine="420" w:firstLineChars="200"/>
        <w:rPr>
          <w:rFonts w:ascii="Times New Roman" w:hAnsi="Times New Roman" w:eastAsia="宋体" w:cs="Times New Roman"/>
        </w:rPr>
      </w:pPr>
      <w:r>
        <w:rPr>
          <w:rFonts w:hint="eastAsia" w:ascii="Times New Roman" w:hAnsi="Times New Roman" w:eastAsia="宋体" w:cs="Times New Roman"/>
        </w:rPr>
        <w:t>（四）不同投标供应商的投标文件或部分投标文件相互混装。</w:t>
      </w:r>
    </w:p>
    <w:p w14:paraId="7828252C">
      <w:pPr>
        <w:ind w:firstLine="420" w:firstLineChars="200"/>
        <w:rPr>
          <w:rFonts w:ascii="Times New Roman" w:hAnsi="Times New Roman" w:eastAsia="宋体" w:cs="Times New Roman"/>
        </w:rPr>
      </w:pPr>
      <w:r>
        <w:rPr>
          <w:rFonts w:hint="eastAsia" w:ascii="Times New Roman" w:hAnsi="Times New Roman" w:eastAsia="宋体" w:cs="Times New Roman"/>
        </w:rPr>
        <w:t>（五）不同投标供应商的投标文件内容存在非正常一致。</w:t>
      </w:r>
    </w:p>
    <w:p w14:paraId="777380A0">
      <w:pPr>
        <w:ind w:firstLine="420" w:firstLineChars="200"/>
        <w:rPr>
          <w:rFonts w:ascii="Times New Roman" w:hAnsi="Times New Roman" w:eastAsia="宋体" w:cs="Times New Roman"/>
        </w:rPr>
      </w:pPr>
      <w:r>
        <w:rPr>
          <w:rFonts w:hint="eastAsia" w:ascii="Times New Roman" w:hAnsi="Times New Roman" w:eastAsia="宋体" w:cs="Times New Roman"/>
        </w:rPr>
        <w:t>（六）由同一单位工作人员为两家以上（含两家）供应商进行同一项投标活动的。</w:t>
      </w:r>
    </w:p>
    <w:p w14:paraId="4131E2D3">
      <w:pPr>
        <w:ind w:firstLine="420" w:firstLineChars="200"/>
        <w:rPr>
          <w:rFonts w:ascii="Times New Roman" w:hAnsi="Times New Roman" w:eastAsia="宋体" w:cs="Times New Roman"/>
        </w:rPr>
      </w:pPr>
      <w:r>
        <w:rPr>
          <w:rFonts w:hint="eastAsia" w:ascii="Times New Roman" w:hAnsi="Times New Roman" w:eastAsia="宋体" w:cs="Times New Roman"/>
        </w:rPr>
        <w:t>（七）不同投标人的投标报价呈规律性差异。</w:t>
      </w:r>
    </w:p>
    <w:p w14:paraId="481198E3">
      <w:pPr>
        <w:ind w:firstLine="420" w:firstLineChars="200"/>
        <w:rPr>
          <w:rFonts w:ascii="Times New Roman" w:hAnsi="Times New Roman" w:eastAsia="宋体" w:cs="Times New Roman"/>
        </w:rPr>
      </w:pPr>
      <w:r>
        <w:rPr>
          <w:rFonts w:hint="eastAsia" w:ascii="Times New Roman" w:hAnsi="Times New Roman" w:eastAsia="宋体" w:cs="Times New Roman"/>
        </w:rPr>
        <w:t>（八）不同投标人的投标保证金从同一单位或者个人的账户转出。</w:t>
      </w:r>
    </w:p>
    <w:p w14:paraId="0F30C5E2">
      <w:pPr>
        <w:ind w:firstLine="420" w:firstLineChars="200"/>
        <w:rPr>
          <w:rFonts w:ascii="Times New Roman" w:hAnsi="Times New Roman" w:eastAsia="宋体" w:cs="Times New Roman"/>
        </w:rPr>
      </w:pPr>
      <w:r>
        <w:rPr>
          <w:rFonts w:hint="eastAsia" w:ascii="Times New Roman" w:hAnsi="Times New Roman" w:eastAsia="宋体" w:cs="Times New Roman"/>
        </w:rPr>
        <w:t>（九）主管部门依照法律、法规认定的其他情形。</w:t>
      </w:r>
    </w:p>
    <w:p w14:paraId="6141F5E2">
      <w:pPr>
        <w:ind w:firstLine="422" w:firstLineChars="200"/>
        <w:rPr>
          <w:rFonts w:ascii="Times New Roman" w:hAnsi="Times New Roman" w:eastAsia="宋体" w:cs="Times New Roman"/>
          <w:b/>
        </w:rPr>
      </w:pPr>
      <w:r>
        <w:rPr>
          <w:rFonts w:hint="eastAsia" w:ascii="Times New Roman" w:hAnsi="Times New Roman" w:eastAsia="宋体" w:cs="Times New Roman"/>
          <w:b/>
        </w:rPr>
        <w:t>三、本公司已充分知悉下列情形所对应的法律风险，并在投标前已对相关风险事项进行排查。</w:t>
      </w:r>
    </w:p>
    <w:p w14:paraId="2E6102C5">
      <w:pPr>
        <w:ind w:firstLine="420" w:firstLineChars="200"/>
        <w:rPr>
          <w:rFonts w:ascii="Times New Roman" w:hAnsi="Times New Roman" w:eastAsia="宋体" w:cs="Times New Roman"/>
          <w:b/>
        </w:rPr>
      </w:pPr>
      <w:r>
        <w:rPr>
          <w:rFonts w:hint="eastAsia" w:ascii="Times New Roman" w:hAnsi="Times New Roman" w:eastAsia="宋体" w:cs="Times New Roman"/>
        </w:rPr>
        <w:t>（一）对于从其他主体获取的投标资料，供应商应审慎核查，确保投标资料的真实性。</w:t>
      </w:r>
      <w:r>
        <w:rPr>
          <w:rFonts w:hint="eastAsia" w:ascii="Times New Roman" w:hAnsi="Times New Roman" w:eastAsia="宋体" w:cs="Times New Roman"/>
          <w:b/>
        </w:rPr>
        <w:t>如主管部门查实投标文件中存在虚假资料的，无论相关资料是否由第三方或本公司员工提供，均不影响主管部门对供应商存在“隐瞒真实情况，提供虚假资料”违法行为的认定。</w:t>
      </w:r>
    </w:p>
    <w:p w14:paraId="1338CB71">
      <w:pPr>
        <w:ind w:firstLine="420" w:firstLineChars="200"/>
        <w:rPr>
          <w:rFonts w:ascii="Times New Roman" w:hAnsi="Times New Roman" w:eastAsia="宋体" w:cs="Times New Roman"/>
        </w:rPr>
      </w:pPr>
      <w:r>
        <w:rPr>
          <w:rFonts w:hint="eastAsia" w:ascii="Times New Roman" w:hAnsi="Times New Roman" w:eastAsia="宋体" w:cs="Times New Roman"/>
        </w:rPr>
        <w:t>（二）对于涉及国家机关出具的公文、证件、证明材料等文件，一旦涉嫌虚假，经查实，主管部门将依法从严处理，并移送有关部门追究法律责任；涉嫌犯罪的，主管部门将一并移送司法机关追究法律责任。</w:t>
      </w:r>
    </w:p>
    <w:p w14:paraId="6D0256C7">
      <w:pPr>
        <w:ind w:firstLine="420" w:firstLineChars="200"/>
        <w:rPr>
          <w:rFonts w:ascii="Times New Roman" w:hAnsi="Times New Roman" w:eastAsia="宋体" w:cs="Times New Roman"/>
        </w:rPr>
      </w:pPr>
      <w:r>
        <w:rPr>
          <w:rFonts w:hint="eastAsia" w:ascii="Times New Roman" w:hAnsi="Times New Roman" w:eastAsia="宋体" w:cs="Times New Roman"/>
        </w:rPr>
        <w:t>（三）对于涉及安全生产、特种作业、抢险救灾、防疫等采购项目，供应商实施提供虚假资料、串通投标等违法行为的，主管部门将依法从严处理。</w:t>
      </w:r>
    </w:p>
    <w:p w14:paraId="3DA4D412">
      <w:pPr>
        <w:ind w:firstLine="420" w:firstLineChars="200"/>
        <w:rPr>
          <w:rFonts w:ascii="Times New Roman" w:hAnsi="Times New Roman" w:eastAsia="宋体" w:cs="Times New Roman"/>
        </w:rPr>
      </w:pPr>
      <w:r>
        <w:rPr>
          <w:rFonts w:hint="eastAsia" w:ascii="Times New Roman" w:hAnsi="Times New Roman" w:eastAsia="宋体" w:cs="Times New Roman"/>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7A9EBA3F">
      <w:pPr>
        <w:ind w:firstLine="420" w:firstLineChars="200"/>
        <w:rPr>
          <w:rFonts w:ascii="Times New Roman" w:hAnsi="Times New Roman" w:eastAsia="宋体" w:cs="Times New Roman"/>
        </w:rPr>
      </w:pPr>
      <w:r>
        <w:rPr>
          <w:rFonts w:hint="eastAsia" w:ascii="Times New Roman" w:hAnsi="Times New Roman" w:eastAsia="宋体" w:cs="Times New Roman"/>
        </w:rPr>
        <w:t>（五）供应商对投标电子密钥负有妥善保管、及时变更和续期等主体责任。供应商使用电子密钥在深圳自行采购网站进行的活动，均具有法律效力，须承担相应的法律后果。供应商擅自将投标密钥出借他人使用所造成的法律后果，由供应商自行承担。</w:t>
      </w:r>
    </w:p>
    <w:p w14:paraId="777BAD3C">
      <w:pPr>
        <w:ind w:firstLine="420" w:firstLineChars="200"/>
        <w:rPr>
          <w:rFonts w:ascii="Times New Roman" w:hAnsi="Times New Roman" w:eastAsia="宋体" w:cs="Times New Roman"/>
        </w:rPr>
      </w:pPr>
      <w:r>
        <w:rPr>
          <w:rFonts w:hint="eastAsia" w:ascii="Times New Roman" w:hAnsi="Times New Roman" w:eastAsia="宋体" w:cs="Times New Roman"/>
        </w:rPr>
        <w:t>（六）单位负责人为同一人或者存在直接控股、管理关系的不同供应商，不得参加同一合同项下的采购活动。相关情形如查实，依法作投标无效处理；涉嫌串通投标等违法行为的，主管部门将依法调查处理。</w:t>
      </w:r>
    </w:p>
    <w:p w14:paraId="344E5240">
      <w:pPr>
        <w:ind w:firstLine="422" w:firstLineChars="200"/>
        <w:rPr>
          <w:rFonts w:ascii="Times New Roman" w:hAnsi="Times New Roman" w:eastAsia="宋体" w:cs="Times New Roman"/>
          <w:b/>
        </w:rPr>
      </w:pPr>
      <w:r>
        <w:rPr>
          <w:rFonts w:hint="eastAsia" w:ascii="Times New Roman" w:hAnsi="Times New Roman" w:eastAsia="宋体" w:cs="Times New Roman"/>
          <w:b/>
        </w:rPr>
        <w:t>四、本公司已充分知悉采购违法、违规行为的法律后果。</w:t>
      </w:r>
    </w:p>
    <w:p w14:paraId="5F680E0F">
      <w:pPr>
        <w:ind w:firstLine="420" w:firstLineChars="200"/>
        <w:rPr>
          <w:rFonts w:ascii="Times New Roman" w:hAnsi="Times New Roman" w:eastAsia="宋体" w:cs="Times New Roman"/>
        </w:rPr>
      </w:pPr>
      <w:r>
        <w:rPr>
          <w:rFonts w:hint="eastAsia" w:ascii="Times New Roman" w:hAnsi="Times New Roman" w:eastAsia="宋体" w:cs="Times New Roman"/>
        </w:rPr>
        <w:t>经查实，若投标供应商存在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6F5010F7">
      <w:pPr>
        <w:ind w:firstLine="420" w:firstLineChars="200"/>
        <w:rPr>
          <w:rFonts w:ascii="Times New Roman" w:hAnsi="Times New Roman" w:eastAsia="宋体" w:cs="Times New Roman"/>
        </w:rPr>
      </w:pPr>
      <w:r>
        <w:rPr>
          <w:rFonts w:hint="eastAsia" w:ascii="Times New Roman" w:hAnsi="Times New Roman" w:eastAsia="宋体" w:cs="Times New Roman"/>
        </w:rPr>
        <w:t>以下文字请投标供应商抄写并确认：“本公司已仔细阅读《采购违法行为风险知悉确认书》，充分知悉违法行为的法律后果，并承诺将严谨、诚信、依法依规参与采购活动”。</w:t>
      </w:r>
    </w:p>
    <w:tbl>
      <w:tblPr>
        <w:tblStyle w:val="478"/>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3B465582">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14:paraId="21EF509D">
            <w:pPr>
              <w:autoSpaceDE w:val="0"/>
              <w:autoSpaceDN w:val="0"/>
              <w:spacing w:line="400" w:lineRule="exact"/>
              <w:ind w:firstLine="1866"/>
              <w:rPr>
                <w:rFonts w:hint="eastAsia" w:ascii="宋体" w:hAnsi="宋体" w:cs="Times New Roman" w:eastAsiaTheme="minorEastAsia"/>
                <w:spacing w:val="-4"/>
                <w:kern w:val="0"/>
                <w:szCs w:val="21"/>
              </w:rPr>
            </w:pPr>
          </w:p>
        </w:tc>
      </w:tr>
      <w:tr w14:paraId="6ADAED5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3C1A518C">
            <w:pPr>
              <w:autoSpaceDE w:val="0"/>
              <w:autoSpaceDN w:val="0"/>
              <w:spacing w:line="400" w:lineRule="exact"/>
              <w:ind w:firstLine="1866"/>
              <w:rPr>
                <w:rFonts w:hint="eastAsia" w:ascii="宋体" w:hAnsi="宋体" w:cs="Times New Roman" w:eastAsiaTheme="minorEastAsia"/>
                <w:spacing w:val="-4"/>
                <w:kern w:val="0"/>
                <w:szCs w:val="21"/>
              </w:rPr>
            </w:pPr>
          </w:p>
        </w:tc>
      </w:tr>
      <w:tr w14:paraId="7CAE0752">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76A32862">
            <w:pPr>
              <w:autoSpaceDE w:val="0"/>
              <w:autoSpaceDN w:val="0"/>
              <w:spacing w:line="400" w:lineRule="exact"/>
              <w:ind w:firstLine="1866"/>
              <w:rPr>
                <w:rFonts w:hint="eastAsia" w:ascii="宋体" w:hAnsi="宋体" w:cs="Times New Roman" w:eastAsiaTheme="minorEastAsia"/>
                <w:spacing w:val="-4"/>
                <w:kern w:val="0"/>
                <w:szCs w:val="21"/>
              </w:rPr>
            </w:pPr>
          </w:p>
        </w:tc>
      </w:tr>
      <w:tr w14:paraId="59929418">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14:paraId="0CC4279F">
            <w:pPr>
              <w:autoSpaceDE w:val="0"/>
              <w:autoSpaceDN w:val="0"/>
              <w:spacing w:line="400" w:lineRule="exact"/>
              <w:ind w:firstLine="1866"/>
              <w:rPr>
                <w:rFonts w:hint="eastAsia" w:ascii="宋体" w:hAnsi="宋体" w:cs="Times New Roman" w:eastAsiaTheme="minorEastAsia"/>
                <w:spacing w:val="-4"/>
                <w:kern w:val="0"/>
                <w:szCs w:val="21"/>
              </w:rPr>
            </w:pPr>
          </w:p>
        </w:tc>
      </w:tr>
    </w:tbl>
    <w:p w14:paraId="70C77DEF">
      <w:pPr>
        <w:widowControl/>
        <w:wordWrap w:val="0"/>
        <w:autoSpaceDE w:val="0"/>
        <w:autoSpaceDN w:val="0"/>
        <w:spacing w:line="400" w:lineRule="exact"/>
        <w:ind w:right="808" w:firstLine="404" w:firstLineChars="200"/>
        <w:jc w:val="right"/>
        <w:rPr>
          <w:rFonts w:hint="eastAsia" w:ascii="宋体" w:hAnsi="宋体" w:cs="Times New Roman" w:eastAsiaTheme="minorEastAsia"/>
          <w:spacing w:val="-4"/>
          <w:kern w:val="0"/>
          <w:szCs w:val="21"/>
          <w:u w:val="single"/>
        </w:rPr>
      </w:pPr>
      <w:r>
        <w:rPr>
          <w:rFonts w:hint="eastAsia" w:ascii="宋体" w:hAnsi="宋体" w:cs="Times New Roman" w:eastAsiaTheme="minorEastAsia"/>
          <w:spacing w:val="-4"/>
          <w:kern w:val="0"/>
          <w:szCs w:val="21"/>
        </w:rPr>
        <w:t>负责人/投标授权代表签名：</w:t>
      </w:r>
      <w:r>
        <w:rPr>
          <w:rFonts w:hint="eastAsia" w:ascii="宋体" w:hAnsi="宋体" w:cs="Times New Roman" w:eastAsiaTheme="minorEastAsia"/>
          <w:spacing w:val="-4"/>
          <w:kern w:val="0"/>
          <w:szCs w:val="21"/>
          <w:u w:val="single"/>
        </w:rPr>
        <w:t xml:space="preserve">              </w:t>
      </w:r>
    </w:p>
    <w:p w14:paraId="6732B4A8">
      <w:pPr>
        <w:widowControl/>
        <w:wordWrap w:val="0"/>
        <w:autoSpaceDE w:val="0"/>
        <w:autoSpaceDN w:val="0"/>
        <w:spacing w:line="400" w:lineRule="exact"/>
        <w:ind w:right="808" w:firstLine="404" w:firstLineChars="200"/>
        <w:jc w:val="right"/>
        <w:rPr>
          <w:rFonts w:hint="eastAsia" w:ascii="宋体" w:hAnsi="宋体" w:cs="Times New Roman" w:eastAsiaTheme="minorEastAsia"/>
          <w:spacing w:val="-4"/>
          <w:kern w:val="0"/>
          <w:szCs w:val="21"/>
          <w:u w:val="single"/>
        </w:rPr>
      </w:pPr>
      <w:r>
        <w:rPr>
          <w:rFonts w:hint="eastAsia" w:ascii="宋体" w:hAnsi="宋体" w:cs="Times New Roman" w:eastAsiaTheme="minorEastAsia"/>
          <w:spacing w:val="-4"/>
          <w:kern w:val="0"/>
          <w:szCs w:val="21"/>
        </w:rPr>
        <w:t>知悉人（公章）：</w:t>
      </w:r>
      <w:r>
        <w:rPr>
          <w:rFonts w:hint="eastAsia" w:ascii="宋体" w:hAnsi="宋体" w:cs="Times New Roman" w:eastAsiaTheme="minorEastAsia"/>
          <w:spacing w:val="-4"/>
          <w:kern w:val="0"/>
          <w:szCs w:val="21"/>
          <w:u w:val="single"/>
        </w:rPr>
        <w:t xml:space="preserve">              </w:t>
      </w:r>
    </w:p>
    <w:p w14:paraId="1C0CDAA7">
      <w:pPr>
        <w:widowControl/>
        <w:wordWrap w:val="0"/>
        <w:autoSpaceDE w:val="0"/>
        <w:autoSpaceDN w:val="0"/>
        <w:spacing w:line="400" w:lineRule="exact"/>
        <w:ind w:right="808" w:firstLine="404" w:firstLineChars="200"/>
        <w:jc w:val="right"/>
        <w:rPr>
          <w:rFonts w:hint="eastAsia" w:ascii="宋体" w:hAnsi="宋体" w:cs="Times New Roman" w:eastAsiaTheme="minorEastAsia"/>
          <w:spacing w:val="-4"/>
          <w:kern w:val="0"/>
          <w:szCs w:val="21"/>
          <w:u w:val="single"/>
        </w:rPr>
      </w:pPr>
      <w:r>
        <w:rPr>
          <w:rFonts w:hint="eastAsia" w:ascii="宋体" w:hAnsi="宋体" w:cs="Times New Roman" w:eastAsiaTheme="minorEastAsia"/>
          <w:spacing w:val="-4"/>
          <w:kern w:val="0"/>
          <w:szCs w:val="21"/>
        </w:rPr>
        <w:t xml:space="preserve">     日期：</w:t>
      </w:r>
      <w:r>
        <w:rPr>
          <w:rFonts w:hint="eastAsia" w:ascii="宋体" w:hAnsi="宋体" w:cs="Times New Roman" w:eastAsiaTheme="minorEastAsia"/>
          <w:spacing w:val="-4"/>
          <w:kern w:val="0"/>
          <w:szCs w:val="21"/>
          <w:u w:val="single"/>
        </w:rPr>
        <w:t xml:space="preserve">              </w:t>
      </w:r>
    </w:p>
    <w:p w14:paraId="5D37D0DC">
      <w:pPr>
        <w:widowControl/>
        <w:autoSpaceDE w:val="0"/>
        <w:autoSpaceDN w:val="0"/>
        <w:spacing w:line="400" w:lineRule="exact"/>
        <w:ind w:firstLine="406" w:firstLineChars="200"/>
        <w:jc w:val="left"/>
        <w:rPr>
          <w:rFonts w:hint="eastAsia" w:ascii="宋体" w:hAnsi="宋体" w:cs="Times New Roman" w:eastAsiaTheme="minorEastAsia"/>
          <w:b/>
          <w:bCs/>
          <w:color w:val="FF0000"/>
          <w:spacing w:val="-4"/>
          <w:kern w:val="0"/>
          <w:szCs w:val="21"/>
        </w:rPr>
      </w:pPr>
      <w:r>
        <w:rPr>
          <w:rFonts w:hint="eastAsia" w:ascii="宋体" w:hAnsi="宋体" w:cs="Times New Roman" w:eastAsiaTheme="minorEastAsia"/>
          <w:b/>
          <w:bCs/>
          <w:color w:val="FF0000"/>
          <w:spacing w:val="-4"/>
          <w:kern w:val="0"/>
          <w:szCs w:val="21"/>
        </w:rPr>
        <w:t>注：</w:t>
      </w:r>
    </w:p>
    <w:p w14:paraId="65A64249">
      <w:pPr>
        <w:widowControl/>
        <w:autoSpaceDE w:val="0"/>
        <w:autoSpaceDN w:val="0"/>
        <w:spacing w:line="400" w:lineRule="exact"/>
        <w:ind w:firstLine="406" w:firstLineChars="200"/>
        <w:jc w:val="left"/>
        <w:rPr>
          <w:rFonts w:hint="eastAsia" w:ascii="宋体" w:hAnsi="宋体" w:cs="Times New Roman" w:eastAsiaTheme="minorEastAsia"/>
          <w:b/>
          <w:bCs/>
          <w:spacing w:val="-4"/>
          <w:kern w:val="0"/>
          <w:szCs w:val="21"/>
          <w:highlight w:val="yellow"/>
        </w:rPr>
      </w:pPr>
      <w:r>
        <w:rPr>
          <w:rFonts w:hint="eastAsia" w:ascii="宋体" w:hAnsi="宋体" w:cs="Times New Roman" w:eastAsiaTheme="minorEastAsia"/>
          <w:b/>
          <w:bCs/>
          <w:spacing w:val="-4"/>
          <w:kern w:val="0"/>
          <w:szCs w:val="21"/>
          <w:highlight w:val="yellow"/>
        </w:rPr>
        <w:t>1.</w:t>
      </w:r>
      <w:r>
        <w:rPr>
          <w:rFonts w:hint="eastAsia" w:ascii="Times New Roman" w:hAnsi="Times New Roman" w:eastAsia="宋体" w:cs="Times New Roman"/>
          <w:highlight w:val="yellow"/>
        </w:rPr>
        <w:t xml:space="preserve"> </w:t>
      </w:r>
      <w:r>
        <w:rPr>
          <w:rFonts w:hint="eastAsia" w:ascii="宋体" w:hAnsi="宋体" w:cs="Times New Roman" w:eastAsiaTheme="minorEastAsia"/>
          <w:b/>
          <w:bCs/>
          <w:spacing w:val="-4"/>
          <w:kern w:val="0"/>
          <w:szCs w:val="21"/>
          <w:highlight w:val="yellow"/>
        </w:rPr>
        <w:t>该风险知悉确认书用于对供应商违法行为的警示，不作为供应商资格性审查及符合性审查条件。</w:t>
      </w:r>
    </w:p>
    <w:p w14:paraId="04798717">
      <w:pPr>
        <w:widowControl/>
        <w:autoSpaceDE w:val="0"/>
        <w:autoSpaceDN w:val="0"/>
        <w:spacing w:line="400" w:lineRule="exact"/>
        <w:ind w:firstLine="406" w:firstLineChars="200"/>
        <w:jc w:val="left"/>
        <w:rPr>
          <w:rFonts w:hint="eastAsia" w:ascii="宋体" w:hAnsi="宋体" w:cs="Times New Roman" w:eastAsiaTheme="minorEastAsia"/>
          <w:spacing w:val="-4"/>
          <w:kern w:val="0"/>
          <w:szCs w:val="21"/>
          <w:highlight w:val="yellow"/>
        </w:rPr>
      </w:pPr>
      <w:r>
        <w:rPr>
          <w:rFonts w:hint="eastAsia" w:ascii="宋体" w:hAnsi="宋体" w:cs="Times New Roman" w:eastAsiaTheme="minorEastAsia"/>
          <w:b/>
          <w:bCs/>
          <w:spacing w:val="-4"/>
          <w:kern w:val="0"/>
          <w:szCs w:val="21"/>
          <w:highlight w:val="yellow"/>
        </w:rPr>
        <w:t>2.投标供应商负责人或投标授权代表签字并加盖单位公章后，扫描上传至投标文件一并提交。</w:t>
      </w:r>
    </w:p>
    <w:p w14:paraId="53271113">
      <w:pPr>
        <w:widowControl/>
        <w:jc w:val="center"/>
        <w:rPr>
          <w:rFonts w:hint="eastAsia" w:ascii="黑体" w:hAnsi="宋体" w:eastAsia="黑体"/>
          <w:bCs/>
          <w:kern w:val="0"/>
          <w:sz w:val="24"/>
        </w:rPr>
        <w:sectPr>
          <w:pgSz w:w="11907" w:h="16840"/>
          <w:pgMar w:top="1440" w:right="1797" w:bottom="1440" w:left="1797" w:header="851" w:footer="992" w:gutter="0"/>
          <w:cols w:space="425" w:num="1"/>
          <w:titlePg/>
          <w:docGrid w:linePitch="462" w:charSpace="0"/>
        </w:sectPr>
      </w:pPr>
      <w:r>
        <w:rPr>
          <w:rFonts w:hint="eastAsia" w:ascii="黑体" w:hAnsi="Times New Roman" w:eastAsia="黑体" w:cs="Times New Roman"/>
          <w:sz w:val="24"/>
          <w:szCs w:val="20"/>
        </w:rPr>
        <w:t>（二）</w:t>
      </w:r>
      <w:r>
        <w:rPr>
          <w:rFonts w:hint="eastAsia" w:ascii="黑体" w:hAnsi="宋体" w:eastAsia="黑体" w:cs="Times New Roman"/>
          <w:kern w:val="0"/>
          <w:sz w:val="24"/>
          <w:szCs w:val="20"/>
        </w:rPr>
        <w:t>投标人认为需要加以说明的其他内容（格式自定）</w:t>
      </w:r>
    </w:p>
    <w:p w14:paraId="7D2AAEA8">
      <w:pPr>
        <w:rPr>
          <w:rFonts w:ascii="Times New Roman" w:hAnsi="Times New Roman" w:eastAsia="宋体" w:cs="Times New Roman"/>
        </w:rPr>
      </w:pPr>
    </w:p>
    <w:p w14:paraId="1C74049B">
      <w:pPr>
        <w:keepNext/>
        <w:keepLines/>
        <w:widowControl w:val="0"/>
        <w:adjustRightInd w:val="0"/>
        <w:spacing w:before="260" w:after="260" w:line="240" w:lineRule="auto"/>
        <w:jc w:val="center"/>
        <w:textAlignment w:val="baseline"/>
        <w:outlineLvl w:val="1"/>
        <w:rPr>
          <w:rFonts w:hint="eastAsia" w:ascii="宋体" w:hAnsi="宋体" w:eastAsia="宋体" w:cs="Times New Roman"/>
          <w:b/>
          <w:bCs/>
          <w:kern w:val="0"/>
          <w:sz w:val="24"/>
          <w:szCs w:val="20"/>
          <w:lang w:val="en-US" w:eastAsia="zh-CN" w:bidi="ar-SA"/>
        </w:rPr>
      </w:pPr>
      <w:r>
        <w:rPr>
          <w:rFonts w:hint="eastAsia" w:ascii="宋体" w:hAnsi="宋体" w:eastAsia="宋体" w:cs="Times New Roman"/>
          <w:b/>
          <w:bCs/>
          <w:kern w:val="0"/>
          <w:sz w:val="24"/>
          <w:szCs w:val="20"/>
          <w:lang w:val="en-US" w:eastAsia="zh-CN" w:bidi="ar-SA"/>
        </w:rPr>
        <w:t>第五章  合同条款及格式</w:t>
      </w:r>
    </w:p>
    <w:p w14:paraId="07A738F7">
      <w:pPr>
        <w:rPr>
          <w:rFonts w:ascii="Times New Roman" w:hAnsi="Times New Roman" w:eastAsia="宋体" w:cs="Times New Roman"/>
        </w:rPr>
      </w:pPr>
    </w:p>
    <w:p w14:paraId="6C12394C">
      <w:pPr>
        <w:jc w:val="center"/>
        <w:rPr>
          <w:rFonts w:ascii="Times New Roman" w:hAnsi="Times New Roman" w:eastAsia="宋体" w:cs="Times New Roman"/>
        </w:rPr>
      </w:pPr>
      <w:bookmarkStart w:id="67" w:name="_Toc3995"/>
      <w:r>
        <w:rPr>
          <w:rFonts w:hint="eastAsia" w:ascii="Times New Roman" w:hAnsi="Times New Roman" w:eastAsia="宋体" w:cs="Times New Roman"/>
          <w:b/>
          <w:sz w:val="24"/>
        </w:rPr>
        <w:t>（仅供参考，具体以项目需求及采购结果为准）</w:t>
      </w:r>
    </w:p>
    <w:p w14:paraId="144E41EC">
      <w:pPr>
        <w:jc w:val="center"/>
        <w:rPr>
          <w:rFonts w:hint="eastAsia" w:ascii="宋体" w:hAnsi="宋体" w:eastAsia="宋体" w:cs="宋体"/>
          <w:b/>
          <w:bCs/>
          <w:spacing w:val="-20"/>
          <w:kern w:val="44"/>
          <w:sz w:val="48"/>
          <w:szCs w:val="48"/>
        </w:rPr>
      </w:pPr>
    </w:p>
    <w:p w14:paraId="1C431E45">
      <w:pPr>
        <w:rPr>
          <w:rFonts w:hint="eastAsia" w:ascii="宋体" w:hAnsi="宋体" w:eastAsia="宋体" w:cs="宋体"/>
          <w:b/>
          <w:bCs/>
          <w:spacing w:val="-20"/>
          <w:kern w:val="44"/>
          <w:sz w:val="48"/>
          <w:szCs w:val="48"/>
        </w:rPr>
      </w:pPr>
      <w:r>
        <w:rPr>
          <w:rFonts w:hint="eastAsia" w:ascii="宋体" w:hAnsi="宋体" w:eastAsia="宋体" w:cs="宋体"/>
          <w:b/>
          <w:bCs/>
          <w:spacing w:val="-20"/>
          <w:kern w:val="44"/>
          <w:sz w:val="48"/>
          <w:szCs w:val="48"/>
        </w:rPr>
        <w:br w:type="page"/>
      </w:r>
    </w:p>
    <w:p w14:paraId="2EB0C7C0">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合同编号：</w:t>
      </w:r>
    </w:p>
    <w:p w14:paraId="649C1853">
      <w:pPr>
        <w:widowControl w:val="0"/>
        <w:jc w:val="both"/>
        <w:rPr>
          <w:rFonts w:hint="eastAsia" w:ascii="Calibri" w:hAnsi="Calibri" w:eastAsia="宋体" w:cs="Times New Roman"/>
          <w:kern w:val="2"/>
          <w:sz w:val="21"/>
          <w:szCs w:val="22"/>
          <w:lang w:val="en-US" w:eastAsia="zh-CN" w:bidi="ar-SA"/>
        </w:rPr>
      </w:pPr>
    </w:p>
    <w:p w14:paraId="3BC77100">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深圳市龙岗区第二人民医院XX采购合同</w:t>
      </w:r>
    </w:p>
    <w:p w14:paraId="0501F11B">
      <w:pPr>
        <w:widowControl w:val="0"/>
        <w:jc w:val="both"/>
        <w:rPr>
          <w:rFonts w:hint="eastAsia" w:ascii="Calibri" w:hAnsi="Calibri" w:eastAsia="宋体" w:cs="Times New Roman"/>
          <w:kern w:val="2"/>
          <w:sz w:val="21"/>
          <w:szCs w:val="22"/>
          <w:lang w:val="en-US" w:eastAsia="zh-CN" w:bidi="ar-SA"/>
        </w:rPr>
      </w:pPr>
    </w:p>
    <w:p w14:paraId="0D797D89">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项目名称：</w:t>
      </w:r>
    </w:p>
    <w:p w14:paraId="551C53A9">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项目编号：</w:t>
      </w:r>
    </w:p>
    <w:p w14:paraId="2F185B78">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项目类型：货物类</w:t>
      </w:r>
    </w:p>
    <w:p w14:paraId="16786109">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采购单位（甲方）：深圳市龙岗区第二人民医院</w:t>
      </w:r>
    </w:p>
    <w:p w14:paraId="64B885B8">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供 应 商（乙方）：</w:t>
      </w:r>
    </w:p>
    <w:p w14:paraId="74A309E7">
      <w:pPr>
        <w:widowControl w:val="0"/>
        <w:jc w:val="both"/>
        <w:rPr>
          <w:rFonts w:hint="eastAsia" w:ascii="Calibri" w:hAnsi="Calibri" w:eastAsia="宋体" w:cs="Times New Roman"/>
          <w:kern w:val="2"/>
          <w:sz w:val="21"/>
          <w:szCs w:val="22"/>
          <w:lang w:val="en-US" w:eastAsia="zh-CN" w:bidi="ar-SA"/>
        </w:rPr>
      </w:pPr>
    </w:p>
    <w:p w14:paraId="4AAA580A">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根据《中华人民共和国政府采购法》《中华人民共和国民法典》《深圳经济特区政府采购条例》《深圳经济特区政府采购条例实施细则》等法律法规的规定，甲乙双方按照XX项目（项目编号：xx）的招标结果并经双方协商签订本合同。</w:t>
      </w:r>
    </w:p>
    <w:p w14:paraId="28EB6B84">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第一条  合同标的 </w:t>
      </w:r>
    </w:p>
    <w:p w14:paraId="1C6AC8FC">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乙方根据甲方需求提供下列医用耗材：</w:t>
      </w:r>
    </w:p>
    <w:p w14:paraId="6C2900AE">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货物名称、规格、单价：见附件“供货一览表”。</w:t>
      </w:r>
    </w:p>
    <w:p w14:paraId="32AECB57">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第二条  合同期限（ ）个月，自    年  月  日至    年  月  日止。（合同期或累计采购总金额达到采购预算控制总额，合同期终止，以先达到的条件为准；合同期间如遇政府部门、上级主管部门或深圳市、区组织集中招标采购，该合同自动失效）。</w:t>
      </w:r>
    </w:p>
    <w:p w14:paraId="2228E28C">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第三条  合同预算控制金额</w:t>
      </w:r>
    </w:p>
    <w:p w14:paraId="42A9AEE8">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1.本合同预算控制总金额（以实际采购数量结算）：人民币（大写）       元整（￥      ）。</w:t>
      </w:r>
    </w:p>
    <w:p w14:paraId="706141A1">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2.报价包含货物价格及总服务费、运输费、相关人员的工资、交通费、差旅费、工伤费、保险费、相关税费和利润等直至验收合格前的所有相关费用。还包含乙方应当提供的伴随服务/售后服务费用。</w:t>
      </w:r>
    </w:p>
    <w:p w14:paraId="6D9E1F2C">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第四条  组成本合同的有关文件</w:t>
      </w:r>
    </w:p>
    <w:p w14:paraId="67B1E644">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下列关于本项目的招投标文件或与本次采购活动方式相适应的文件及有关附件是本合同不可分割的组成部分，与本合同具有同等法律效力，这些文件包括但不限于：</w:t>
      </w:r>
    </w:p>
    <w:p w14:paraId="0D200F7E">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（1）乙方提供的投标文件（含澄清文件）和投标报价表；</w:t>
      </w:r>
    </w:p>
    <w:p w14:paraId="6054CC74">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（2）供货一览表；　　    （3）交货地点一览表；</w:t>
      </w:r>
    </w:p>
    <w:p w14:paraId="125742EC">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（4）技术规格响应表；　　（5）投标承诺；</w:t>
      </w:r>
    </w:p>
    <w:p w14:paraId="537ADC8F">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（6）服务承诺；　　      （7）中标或成交通知书；</w:t>
      </w:r>
    </w:p>
    <w:p w14:paraId="4CDC8DC7">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（8）招标文件（含招标文件补充通知）；</w:t>
      </w:r>
    </w:p>
    <w:p w14:paraId="74664D90">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（9）甲乙双方另行约定的补充条款或协议。</w:t>
      </w:r>
    </w:p>
    <w:p w14:paraId="495E48A6">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 xml:space="preserve">第五条  权利保证  </w:t>
      </w:r>
    </w:p>
    <w:p w14:paraId="241F6055">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乙方应保证甲方在使用、接受本合同货物和服务或其任何一部分时不受第三方提出侵犯其专利权、版权、商标权和工业设计权等知识产权以及所有权、使用权等物权方面的起诉。一旦出现侵权相关纠纷，由乙方负全部责任。</w:t>
      </w:r>
    </w:p>
    <w:p w14:paraId="4CDC14FB">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2.甲方</w:t>
      </w:r>
      <w:r>
        <w:rPr>
          <w:rFonts w:hint="eastAsia" w:ascii="Calibri" w:hAnsi="Calibri" w:eastAsia="宋体" w:cs="Times New Roman"/>
          <w:kern w:val="2"/>
          <w:sz w:val="21"/>
          <w:szCs w:val="22"/>
          <w:lang w:val="zh-CN" w:eastAsia="zh-CN" w:bidi="ar-SA"/>
        </w:rPr>
        <w:t>购买产品后，有权对该产品与其他设备进行配套、整合或适当改进，而免受侵犯专利权的起诉。</w:t>
      </w:r>
    </w:p>
    <w:p w14:paraId="5A248A33">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第六条  质量保证</w:t>
      </w:r>
    </w:p>
    <w:p w14:paraId="54E5E7D4">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1.乙方保证合同期内配送公司和供应产品资质的合法性，按照甲方要求提供完备的资质证件。合同期内证件到期前1个月提交至甲方备案。</w:t>
      </w:r>
    </w:p>
    <w:p w14:paraId="2BCEBA33">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2.乙方按合同交付的产品质量必须符合国家有关质量标准或具有有关质检部门出具的产品检验合格证明；必须满足招标文件及技术参数要求，以确保临床使用安全有效。</w:t>
      </w:r>
    </w:p>
    <w:p w14:paraId="73B30CF4">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3.乙方所提供的材料在有效期内出现质量问题或在临床使用过程中出现因质量问题引起的纠纷，由乙方承担因此而产生的民事赔偿责任等相应责任，并无条件退货。因产品质量问题造成甲方或第三方损失的，乙方应在损失确定之日起7个工作日内赔付给甲方。</w:t>
      </w:r>
    </w:p>
    <w:p w14:paraId="10B9F9BD">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4.甲方如怀疑产品存在质量问题，由质量认定部门进行鉴定，认定存在质量问题或成交产品与申报时所作的承诺不一致时，有权选择替代产品。</w:t>
      </w:r>
    </w:p>
    <w:p w14:paraId="50AE7002">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5.所提供耗材应有6个月以上的有效期。有效期内出现质量问题，乙方承担相应责任，且无条件退货。</w:t>
      </w:r>
    </w:p>
    <w:p w14:paraId="1BA7849A">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6.甲方可根据相关文件要求乙方提供其与交易有关的证明文件，包括所提供的医用耗材的医疗器械注册证或第一类产品备案凭证、注册产品标准，以及检验报告、进口产品报关单等相关文件。</w:t>
      </w:r>
    </w:p>
    <w:p w14:paraId="3DE6D108">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7.乙方所提供的材料在临床使用过程中出现不良事件后应无条件补偿同数量产品，在同一阶段出现多例同类不良事件，相关部门要求抽检的，抽检样品由乙方免费提供。</w:t>
      </w:r>
    </w:p>
    <w:p w14:paraId="276F65E7">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8.乙方按国家相关标准进行耗材包装，耗材的包装均应有良好的防湿、防锈、防潮、防雨、防腐及防碰撞的措施，并适宜深圳的气候条件。凡由于包装不良造成的损失和由此产生的费用均由乙方承担。</w:t>
      </w:r>
    </w:p>
    <w:p w14:paraId="24944176">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9.乙方提供完整的技术资料，包括但不限于配置清单、产品说明书、操作手册、质量保证文件、服务指南等，所有外文资料须提供中文译本。文件应随货物一并交付至甲方地点。</w:t>
      </w:r>
    </w:p>
    <w:p w14:paraId="044936D6">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10.乙方所出售的货物还应符合国家有关安全、环保、卫生等强制性规定。</w:t>
      </w:r>
    </w:p>
    <w:p w14:paraId="4E0763B8">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11.乙方在约定的时间内未能弥补缺陷，甲方可采取必要的补救措施，但其风险和费用将由乙方承担，甲方根据合同规定对乙方行使的其他权利不受影响。</w:t>
      </w:r>
    </w:p>
    <w:p w14:paraId="0AD5759A">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12.甲方在正常使用货物过程中，因产品缺陷给他人造成的人身或财产损害的损害赔偿责任均由乙方承担，甲方基于维护自身声誉先行代垫的，可向乙方追偿。</w:t>
      </w:r>
    </w:p>
    <w:p w14:paraId="70C01EB9">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第七条  包装和运输 </w:t>
      </w:r>
    </w:p>
    <w:p w14:paraId="6A511851">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1.除非对包装另有规定，乙方提供的全部产品均应按标准保护措施进行包装，以防止产品在转运中损坏或变质，确保产品安全无损运抵指定地点。</w:t>
      </w:r>
    </w:p>
    <w:p w14:paraId="5425696C">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2.每一个包装箱内应附一份详细装箱单和质量检验报告书、产品合格证、包装、标记和包装箱内外的单据应符合合同的要求，包括甲方后来提出的特殊要求。</w:t>
      </w:r>
    </w:p>
    <w:p w14:paraId="4D5D1799">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3.产品包装上（包括大包装、小包装等），必须严格按照国家关于《医疗器械说明书和标签管理规定》等文件要求执行。验收过程发现存在问题的产品由乙方负责更换。</w:t>
      </w:r>
    </w:p>
    <w:p w14:paraId="15050EA9">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4.耗材运输温度须符合耗材使用说明书的要求，使用低温、冷藏设施设备运输和贮存，并提供运输冷链监控温度记录。</w:t>
      </w:r>
    </w:p>
    <w:p w14:paraId="0452643E">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5.乙方负责货物运输，并承担包装、运输、保险、装卸、关税、增值税和进口代理等费用。</w:t>
      </w:r>
    </w:p>
    <w:p w14:paraId="3ED699EF">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 xml:space="preserve">第八条 订货和验收 </w:t>
      </w:r>
    </w:p>
    <w:p w14:paraId="074475F7">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1.本合同签订后，甲方应在合同有效期内提供本合同约定的采购需求，乙方应按本合同约定及具体订单中的要求及时、足量供应医用耗材。</w:t>
      </w:r>
    </w:p>
    <w:p w14:paraId="47E1B843">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乙方收到订单后应于（）分钟内作出响应。根据一般医用耗材、急（抢）救医用耗材的轻重缓急程度，积极安排配送。急（抢）救医用耗材（）小时内送达，节假日照常配送；一般医用耗材自订货之日起（）小时内送到。</w:t>
      </w:r>
    </w:p>
    <w:p w14:paraId="228F6F4B">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3.乙方配送的医用耗材的品种、规格、型号、材质、数量等必须严格按照甲方发送的订单执行。</w:t>
      </w:r>
    </w:p>
    <w:p w14:paraId="2ED5C9AF">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4.若乙方未能及时、足量履行配送义务的，乙方向甲方每日偿付逾期交货部分货款1‰的违约金，并承担甲方因此所受的损失费用。</w:t>
      </w:r>
    </w:p>
    <w:p w14:paraId="74BFDE91">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5.乙方提供的送货单内容必须含有附件中的内容，否则甲方有权拒绝验收。</w:t>
      </w:r>
    </w:p>
    <w:p w14:paraId="20BE3096">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6.甲方在接收医用耗材时，应对医用耗材进行验货确认，对不符合合同要求的，甲方有权拒绝接收。乙方应及时更换被拒绝的医用耗材，不得影响甲方的临床使用。</w:t>
      </w:r>
    </w:p>
    <w:p w14:paraId="12F7C25A">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7.为保证医用耗材质量，避免造成医用耗材的浪费，甲方接收医用耗材后应妥善储存和管理。如因医用耗材本身的质量造成的一切损失由乙方承担全部责任，包括但不限于因产品质量问题引发不良后果及为消除不良后果所产生的费用，退回问题产品产生的费用等；如因甲方库存条件不符合医用耗材正常储存，造成的医用耗材出现质量问题，由甲方承担全部责任。</w:t>
      </w:r>
    </w:p>
    <w:p w14:paraId="4A634FA2">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8.甲方接收医用耗材后，若发现医用耗材因存在质量缺陷的，甲方应通报乙方。甲方履行通知义务后，乙方对医用耗材质量归责无争议的，甲方有权单方终止本合同中该型号医用耗材交易的继续履行，并退回已接收但未使用的剩余医用耗材给乙方，由此造成的所有损失由乙方承担（包括但不限于因产品质量缺陷引发的不良后果及为消除不良后果所产生的费用，退回未使用的医用耗材所产生的退货费、退回的医用耗材费用等）。各方对医用耗材质量问题的责任方存在争议时，应送甲方所在地</w:t>
      </w:r>
      <w:r>
        <w:rPr>
          <w:rFonts w:hint="eastAsia" w:ascii="Calibri" w:hAnsi="Calibri" w:eastAsia="宋体" w:cs="Times New Roman"/>
          <w:kern w:val="2"/>
          <w:sz w:val="21"/>
          <w:szCs w:val="22"/>
          <w:lang w:val="en-US" w:eastAsia="zh-CN" w:bidi="ar-SA"/>
        </w:rPr>
        <w:fldChar w:fldCharType="begin"/>
      </w:r>
      <w:r>
        <w:rPr>
          <w:rFonts w:hint="eastAsia" w:ascii="Calibri" w:hAnsi="Calibri" w:eastAsia="宋体" w:cs="Times New Roman"/>
          <w:kern w:val="2"/>
          <w:sz w:val="21"/>
          <w:szCs w:val="22"/>
          <w:lang w:val="en-US" w:eastAsia="zh-CN" w:bidi="ar-SA"/>
        </w:rPr>
        <w:instrText xml:space="preserve"> HYPERLINK "https://baike.baidu.com/item/%E5%9B%BD%E5%AE%B6%E5%B8%82%E5%9C%BA%E7%9B%91%E7%9D%A3%E7%AE%A1%E7%90%86%E6%80%BB%E5%B1%80/6360238?fromModule=lemma_inlink" </w:instrText>
      </w:r>
      <w:r>
        <w:rPr>
          <w:rFonts w:hint="eastAsia" w:ascii="Calibri" w:hAnsi="Calibri" w:eastAsia="宋体" w:cs="Times New Roman"/>
          <w:kern w:val="2"/>
          <w:sz w:val="21"/>
          <w:szCs w:val="22"/>
          <w:lang w:val="en-US" w:eastAsia="zh-CN" w:bidi="ar-SA"/>
        </w:rPr>
        <w:fldChar w:fldCharType="separate"/>
      </w:r>
      <w:r>
        <w:rPr>
          <w:rFonts w:hint="eastAsia" w:ascii="Calibri" w:hAnsi="Calibri" w:eastAsia="宋体" w:cs="Times New Roman"/>
          <w:kern w:val="2"/>
          <w:sz w:val="21"/>
          <w:szCs w:val="22"/>
          <w:lang w:val="en-US" w:eastAsia="zh-CN" w:bidi="ar-SA"/>
        </w:rPr>
        <w:t>国家市场监督管理总局</w:t>
      </w:r>
      <w:r>
        <w:rPr>
          <w:rFonts w:hint="eastAsia" w:ascii="Calibri" w:hAnsi="Calibri" w:eastAsia="宋体" w:cs="Times New Roman"/>
          <w:kern w:val="2"/>
          <w:sz w:val="21"/>
          <w:szCs w:val="22"/>
          <w:lang w:val="en-US" w:eastAsia="zh-CN" w:bidi="ar-SA"/>
        </w:rPr>
        <w:fldChar w:fldCharType="end"/>
      </w:r>
      <w:r>
        <w:rPr>
          <w:rFonts w:hint="eastAsia" w:ascii="Calibri" w:hAnsi="Calibri" w:eastAsia="宋体" w:cs="Times New Roman"/>
          <w:kern w:val="2"/>
          <w:sz w:val="21"/>
          <w:szCs w:val="22"/>
          <w:lang w:val="en-US" w:eastAsia="zh-CN" w:bidi="ar-SA"/>
        </w:rPr>
        <w:t>认定的医疗器械质量监督检验机构检验。如送检医用耗材存在质量问题，甲方有权单方面终止本合同项下该型号耗材的后续采购，检验费用及检验使用的耗材费用由乙方承担，并承担赔偿责任（包括但不限于因产品质量缺陷引发的不良后果及为消除不良后果所产生的费用，退回未使用的医用耗材所产生的退货费、退回的医用耗材费用等）；如送检医用耗材无质量问题，本合同项下该型号耗材的交易继续履行，检验费用由甲方独自承担。</w:t>
      </w:r>
    </w:p>
    <w:p w14:paraId="189AFFE9">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9.其他约定：               。</w:t>
      </w:r>
    </w:p>
    <w:p w14:paraId="491E6692">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第九条  伴随服务/售后服务</w:t>
      </w:r>
    </w:p>
    <w:p w14:paraId="0F5FF6D0">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1.乙方可能被要求提供下列服务中的一项或全部服务。</w:t>
      </w:r>
    </w:p>
    <w:p w14:paraId="3762B093">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（1）产品的现场搬运或入库；</w:t>
      </w:r>
    </w:p>
    <w:p w14:paraId="6C9BC361">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（2）提供产品开箱或分装的用具；</w:t>
      </w:r>
    </w:p>
    <w:p w14:paraId="70C48087">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（3）对开箱时发现的破损、近有效期产品或其他不合格包装产品无条件及时更换；</w:t>
      </w:r>
    </w:p>
    <w:p w14:paraId="0F11F834">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（4）在甲方指定地点为所供产品的临床应用进行现场讲解或培训；</w:t>
      </w:r>
    </w:p>
    <w:p w14:paraId="3C943337">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（5）其他乙方应提供的相关服务项目。</w:t>
      </w:r>
    </w:p>
    <w:p w14:paraId="50F7BEF3">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2.乙方应具备解决紧急问题的能力，如甲方在使用货物的过程中发现问题，乙方应及时到甲方现场解决。乙方下单后需及时送货，不得无故推迟。</w:t>
      </w:r>
    </w:p>
    <w:p w14:paraId="64FAE577">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3.其他约定：对于接近有效期的产品（有效期3个月或以内的），保证无条件更换新批号且有效期在半年以上的产品。</w:t>
      </w:r>
    </w:p>
    <w:p w14:paraId="2BCB72E6">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4.乙方应按照承诺的时间和合同中规定的时间，配送产品并提供伴随服务。</w:t>
      </w:r>
    </w:p>
    <w:p w14:paraId="5E6D80BE">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第十条   付款方式</w:t>
      </w:r>
    </w:p>
    <w:p w14:paraId="6A28C5E6">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1.以实际采购需求为准，先供货后付款，按月结算。</w:t>
      </w:r>
    </w:p>
    <w:p w14:paraId="23FA8E42">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乙方需及时定期向甲方提供上月供货量的对账单及验收资料，经甲方确认无误后，乙方根据对账结果出具合法有效的发票，甲方收到发票及经审核确认的结算资料后按照内部支付流程以转账方式付款。若因财政审核等原因导致的逾期支付不视为甲方违约。</w:t>
      </w:r>
    </w:p>
    <w:p w14:paraId="76A74C1F">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3.乙方银行账户信息如下：</w:t>
      </w:r>
    </w:p>
    <w:p w14:paraId="36DEA5EE">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账户名称：</w:t>
      </w:r>
    </w:p>
    <w:p w14:paraId="7AF39EF1">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开户行：</w:t>
      </w:r>
    </w:p>
    <w:p w14:paraId="6EAC752B">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账  号：</w:t>
      </w:r>
    </w:p>
    <w:p w14:paraId="2DDBA210">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纳税人识别号：</w:t>
      </w:r>
    </w:p>
    <w:p w14:paraId="7C413A39">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第十一条  合同的变更、终止与转让</w:t>
      </w:r>
    </w:p>
    <w:p w14:paraId="5C1EF77F">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如果乙方未能在规定期限内或甲方准许的任何延期内交付部分或全部成交产品，或者乙方未能履行合同中规定的其他义务，甲方有权终止全部或部分合同，并有权采购替代产品。乙方应对购买替代产品所超出的部分费用负责，甲方有权要求乙方继续执行合同中未终止的部分。</w:t>
      </w:r>
    </w:p>
    <w:p w14:paraId="2A19663D">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2.合同执行过程中，供应产品出现质量问题，影响临床工作的正常进行，甲方有权终止合同。</w:t>
      </w:r>
    </w:p>
    <w:p w14:paraId="694562FD">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3.</w:t>
      </w:r>
      <w:r>
        <w:rPr>
          <w:rFonts w:hint="eastAsia" w:ascii="Calibri" w:hAnsi="Calibri" w:eastAsia="宋体" w:cs="Times New Roman"/>
          <w:kern w:val="2"/>
          <w:sz w:val="21"/>
          <w:szCs w:val="22"/>
          <w:lang w:val="zh-CN" w:eastAsia="zh-CN" w:bidi="ar-SA"/>
        </w:rPr>
        <w:t>合同期间供应的品种若因政府纳入集中采购或深圳市龙岗区医院集团集中采购该耗材合同自动失效，将按集中采购结果执行。</w:t>
      </w:r>
    </w:p>
    <w:p w14:paraId="1086B6C3">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4.乙方资质不完备，如经营范围变更、丧失产品代理权等情况，甲方有权终止合同。</w:t>
      </w:r>
    </w:p>
    <w:p w14:paraId="745335DB">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5.乙方服务不到位，经甲方再三警告而无改正迹象，甲方有权单方终止合同。</w:t>
      </w:r>
    </w:p>
    <w:p w14:paraId="73CD7CB1">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6.乙方不得擅自部分或全部转让其应履行的</w:t>
      </w:r>
      <w:r>
        <w:rPr>
          <w:rFonts w:hint="eastAsia" w:ascii="Calibri" w:hAnsi="Calibri" w:eastAsia="宋体" w:cs="Times New Roman"/>
          <w:kern w:val="2"/>
          <w:sz w:val="21"/>
          <w:szCs w:val="22"/>
          <w:lang w:val="en-US" w:eastAsia="zh-CN" w:bidi="ar-SA"/>
        </w:rPr>
        <w:fldChar w:fldCharType="begin"/>
      </w:r>
      <w:r>
        <w:rPr>
          <w:rFonts w:hint="eastAsia" w:ascii="Calibri" w:hAnsi="Calibri" w:eastAsia="宋体" w:cs="Times New Roman"/>
          <w:kern w:val="2"/>
          <w:sz w:val="21"/>
          <w:szCs w:val="22"/>
          <w:lang w:val="en-US" w:eastAsia="zh-CN" w:bidi="ar-SA"/>
        </w:rPr>
        <w:instrText xml:space="preserve"> HYPERLINK "http://www.lawtime.cn/info/zhuanti/2010071337707.html" \t "_blank" </w:instrText>
      </w:r>
      <w:r>
        <w:rPr>
          <w:rFonts w:hint="eastAsia" w:ascii="Calibri" w:hAnsi="Calibri" w:eastAsia="宋体" w:cs="Times New Roman"/>
          <w:kern w:val="2"/>
          <w:sz w:val="21"/>
          <w:szCs w:val="22"/>
          <w:lang w:val="en-US" w:eastAsia="zh-CN" w:bidi="ar-SA"/>
        </w:rPr>
        <w:fldChar w:fldCharType="separate"/>
      </w:r>
      <w:r>
        <w:rPr>
          <w:rFonts w:hint="eastAsia" w:ascii="Calibri" w:hAnsi="Calibri" w:eastAsia="宋体" w:cs="Times New Roman"/>
          <w:kern w:val="2"/>
          <w:sz w:val="21"/>
          <w:szCs w:val="22"/>
          <w:lang w:val="en-US" w:eastAsia="zh-CN" w:bidi="ar-SA"/>
        </w:rPr>
        <w:t>合同义务</w:t>
      </w:r>
      <w:r>
        <w:rPr>
          <w:rFonts w:hint="eastAsia" w:ascii="Calibri" w:hAnsi="Calibri" w:eastAsia="宋体" w:cs="Times New Roman"/>
          <w:kern w:val="2"/>
          <w:sz w:val="21"/>
          <w:szCs w:val="22"/>
          <w:lang w:val="en-US" w:eastAsia="zh-CN" w:bidi="ar-SA"/>
        </w:rPr>
        <w:fldChar w:fldCharType="end"/>
      </w:r>
      <w:r>
        <w:rPr>
          <w:rFonts w:hint="eastAsia" w:ascii="Calibri" w:hAnsi="Calibri" w:eastAsia="宋体" w:cs="Times New Roman"/>
          <w:kern w:val="2"/>
          <w:sz w:val="21"/>
          <w:szCs w:val="22"/>
          <w:lang w:val="en-US" w:eastAsia="zh-CN" w:bidi="ar-SA"/>
        </w:rPr>
        <w:t>，否则甲方有权解除合同，并有权要求乙方支付违约金，违约金按本合同总金额的（10）%计算。</w:t>
      </w:r>
    </w:p>
    <w:p w14:paraId="5EBC4D96">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7.如果乙方破产或无清偿能力，甲方可在任何时候以书面形式通知乙方，提出终止合同而不给乙方补偿。该终止合同将不损害或影响甲方已经采取或将要采取的任何行动或补救措施的权利。</w:t>
      </w:r>
    </w:p>
    <w:p w14:paraId="3D17A95B">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第十二条  违约责任</w:t>
      </w:r>
    </w:p>
    <w:p w14:paraId="3CBD7181">
      <w:pPr>
        <w:widowControl w:val="0"/>
        <w:jc w:val="both"/>
        <w:rPr>
          <w:rFonts w:hint="eastAsia" w:ascii="Calibri" w:hAnsi="Calibri" w:eastAsia="宋体" w:cs="Times New Roman"/>
          <w:kern w:val="2"/>
          <w:sz w:val="21"/>
          <w:szCs w:val="22"/>
          <w:lang w:val="zh-CN" w:eastAsia="zh-CN" w:bidi="ar-SA"/>
        </w:rPr>
      </w:pPr>
      <w:r>
        <w:rPr>
          <w:rFonts w:hint="eastAsia" w:ascii="Calibri" w:hAnsi="Calibri" w:eastAsia="宋体" w:cs="Times New Roman"/>
          <w:kern w:val="2"/>
          <w:sz w:val="21"/>
          <w:szCs w:val="22"/>
          <w:lang w:val="zh-CN" w:eastAsia="zh-CN" w:bidi="ar-SA"/>
        </w:rPr>
        <w:t>1.乙方未按照投标文件中承诺的时间交货或提供服务，乙方应承担延期交货和延期服务的违约责任，并赔偿甲方因此造成的实际经济损失。</w:t>
      </w:r>
    </w:p>
    <w:p w14:paraId="667D9683">
      <w:pPr>
        <w:widowControl w:val="0"/>
        <w:jc w:val="both"/>
        <w:rPr>
          <w:rFonts w:hint="eastAsia" w:ascii="Calibri" w:hAnsi="Calibri" w:eastAsia="宋体" w:cs="Times New Roman"/>
          <w:kern w:val="2"/>
          <w:sz w:val="21"/>
          <w:szCs w:val="22"/>
          <w:lang w:val="zh-CN" w:eastAsia="zh-CN" w:bidi="ar-SA"/>
        </w:rPr>
      </w:pPr>
      <w:r>
        <w:rPr>
          <w:rFonts w:hint="eastAsia" w:ascii="Calibri" w:hAnsi="Calibri" w:eastAsia="宋体" w:cs="Times New Roman"/>
          <w:kern w:val="2"/>
          <w:sz w:val="21"/>
          <w:szCs w:val="22"/>
          <w:lang w:val="zh-CN" w:eastAsia="zh-CN" w:bidi="ar-SA"/>
        </w:rPr>
        <w:t>2.在履行合同的过程中，如乙方遇到妨碍按时配送产品和提供伴随服务的情况时，应及时以书面形式将拖延的事实、可能拖延的时间和原因通知甲方。甲方收到乙方通知后，应尽快对情况进行核实，并由甲方确定是否酌情延长交货时间以及是否收取违约金或终止合同。</w:t>
      </w:r>
    </w:p>
    <w:p w14:paraId="5F7A6F80">
      <w:pPr>
        <w:widowControl w:val="0"/>
        <w:jc w:val="both"/>
        <w:rPr>
          <w:rFonts w:hint="eastAsia" w:ascii="Calibri" w:hAnsi="Calibri" w:eastAsia="宋体" w:cs="Times New Roman"/>
          <w:kern w:val="2"/>
          <w:sz w:val="21"/>
          <w:szCs w:val="22"/>
          <w:lang w:val="zh-CN" w:eastAsia="zh-CN" w:bidi="ar-SA"/>
        </w:rPr>
      </w:pPr>
      <w:r>
        <w:rPr>
          <w:rFonts w:hint="eastAsia" w:ascii="Calibri" w:hAnsi="Calibri" w:eastAsia="宋体" w:cs="Times New Roman"/>
          <w:kern w:val="2"/>
          <w:sz w:val="21"/>
          <w:szCs w:val="22"/>
          <w:lang w:val="en-US" w:eastAsia="zh-CN" w:bidi="ar-SA"/>
        </w:rPr>
        <w:t>3.</w:t>
      </w:r>
      <w:r>
        <w:rPr>
          <w:rFonts w:hint="eastAsia" w:ascii="Calibri" w:hAnsi="Calibri" w:eastAsia="宋体" w:cs="Times New Roman"/>
          <w:kern w:val="2"/>
          <w:sz w:val="21"/>
          <w:szCs w:val="22"/>
          <w:lang w:val="zh-CN" w:eastAsia="zh-CN" w:bidi="ar-SA"/>
        </w:rPr>
        <w:t>乙方所提供耗材或试剂的品种、型号、规格、质量、技术参数等方面不能实质性满足遴选文件要约的，甲方有权拒绝收货，乙方向甲方偿付项目采购金额（</w:t>
      </w:r>
      <w:r>
        <w:rPr>
          <w:rFonts w:hint="eastAsia" w:ascii="Calibri" w:hAnsi="Calibri" w:eastAsia="宋体" w:cs="Times New Roman"/>
          <w:kern w:val="2"/>
          <w:sz w:val="21"/>
          <w:szCs w:val="22"/>
          <w:lang w:val="en-US" w:eastAsia="zh-CN" w:bidi="ar-SA"/>
        </w:rPr>
        <w:t>10</w:t>
      </w:r>
      <w:r>
        <w:rPr>
          <w:rFonts w:hint="eastAsia" w:ascii="Calibri" w:hAnsi="Calibri" w:eastAsia="宋体" w:cs="Times New Roman"/>
          <w:kern w:val="2"/>
          <w:sz w:val="21"/>
          <w:szCs w:val="22"/>
          <w:lang w:val="zh-CN" w:eastAsia="zh-CN" w:bidi="ar-SA"/>
        </w:rPr>
        <w:t>）%的违约金；造成严重后果的，根据《深圳经济特区政府采购条例》第五十七条第（二）款规定，由主管部门对乙方进行处罚。</w:t>
      </w:r>
    </w:p>
    <w:p w14:paraId="3E2016AF">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4.如乙方无正当理由拖延交货，按逾期交货部分货款计算，应向甲方偿付每日（0.5）‰的违约金，乙方逾期交货超过 30 日，甲方有权解除合同，并由乙方承担甲方因此所受的损失费用。</w:t>
      </w:r>
    </w:p>
    <w:p w14:paraId="3BCF27BD">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5.材料有效期须符合订货周期需要，如提供有效期短，则甲方可根据情况提出退货或换货，乙方必须按甲方要求给予退货或换货。</w:t>
      </w:r>
    </w:p>
    <w:p w14:paraId="648C7C0E">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6.乙方在供货期间，产品出现质量等问题，经上级相关部门认定结果造成医院及患者的损失，由乙方负全责，包括甲方因此产生纠纷的任何费用开支、患者的赔偿金，包括但不限于诉讼费、律师费、鉴定费等相关费用。</w:t>
      </w:r>
    </w:p>
    <w:p w14:paraId="380F0838">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7.乙方在合同期内超过3次未按时交货，或未按时到现场对接甲方工作人员的，给予诫勉谈话，超过5次履约不合格的，甲方有权终止合同。</w:t>
      </w:r>
    </w:p>
    <w:p w14:paraId="141A163F">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8.在合同期内，如出现用户单位对协议供货、服务等投诉问题，经调查属实，将追究乙方的责任。</w:t>
      </w:r>
    </w:p>
    <w:p w14:paraId="6F5AEC2E">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9.在重大突发公共事件、应急抢险救灾事件或节假日期间，甲方急需采购应急物资，乙方需无条件响应，全力配合甲方做好采购工作，乙方在此情况下推脱2次以上未按时交货的，甲方有权终止合同，向第三方采购。</w:t>
      </w:r>
    </w:p>
    <w:p w14:paraId="76615B07">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10.未列入以上条款的其他违规事项，则按照《中华人民共和国招标投标法》法律责任条款处理。</w:t>
      </w:r>
    </w:p>
    <w:p w14:paraId="04D5C20E">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11.其他     。</w:t>
      </w:r>
    </w:p>
    <w:p w14:paraId="01583A38">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第十三条  免责条款</w:t>
      </w:r>
    </w:p>
    <w:p w14:paraId="7DF4482E">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若甲、乙双方的任何一方由于不可抗力（包括天灾、意外事故、政府法令、政策变更等特殊客观事件）原因造成不能及时履行或不能履行合同时，应及时向对方通报不能履行或不能及时履行的理由，在取得有关证明后，允许延期履行、部分履行或不履行合同，并根据情况，免除相应责任。</w:t>
      </w:r>
    </w:p>
    <w:p w14:paraId="5CC531A7">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第十四条  合同争议解决</w:t>
      </w:r>
    </w:p>
    <w:p w14:paraId="7E679C4D">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1.因货物质量问题发生争议的，应邀请甲方所在地国家食品药品监督管理总局认定的医疗器械质量监督检验机构进行鉴定。货物符合标准的，鉴定费由甲方承担；货物不符合标准的，鉴定费由乙方承担。</w:t>
      </w:r>
    </w:p>
    <w:p w14:paraId="06CBCEF2">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2.因履行本合同引起的或与本合同有关的争议，甲乙双方应首先通过友好协商解决，如果协商不能解决，向甲方所在地人民法院提起诉讼。</w:t>
      </w:r>
    </w:p>
    <w:p w14:paraId="0543E0DB">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3.违约方应承担守约方为维护自身合法权益所支出的一切合理费用，包括但不限于诉讼费、律师费、调查费、鉴定费、公证费、担保费保全费、差旅费等。</w:t>
      </w:r>
    </w:p>
    <w:p w14:paraId="3241C58F">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第十五条  本合同附件</w:t>
      </w:r>
    </w:p>
    <w:p w14:paraId="6DF0F7F7">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以下附件及乙方投标时提供的投标文件和其他相关资料作为本合同的补充内容，具有同等法律效力。</w:t>
      </w:r>
    </w:p>
    <w:p w14:paraId="24080FC6">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附件1：售后服务承诺（加盖公章）；</w:t>
      </w:r>
    </w:p>
    <w:p w14:paraId="1FF72C1D">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附件2：供货一览表（加盖公章）。</w:t>
      </w:r>
    </w:p>
    <w:p w14:paraId="57CF6161">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第十六条  合同修改</w:t>
      </w:r>
    </w:p>
    <w:p w14:paraId="5E61B338">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欲对合同条款作出修改，须经双方协商同意，并由甲乙双方签署书面的合同修改书。</w:t>
      </w:r>
    </w:p>
    <w:p w14:paraId="317C5129">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第十七条  合同生效及其他</w:t>
      </w:r>
    </w:p>
    <w:p w14:paraId="0555854C">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1.合同经双方法定代表人或授权委托代表人签字并加盖单位公章或合同专用章后生效。</w:t>
      </w:r>
    </w:p>
    <w:p w14:paraId="2A59E0CE">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2.其他约定条款：                   。</w:t>
      </w:r>
    </w:p>
    <w:p w14:paraId="6FC2AE2C">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3.本合同未尽事宜，遵照《中华人民共和国民法典》有关条文执行。</w:t>
      </w:r>
    </w:p>
    <w:p w14:paraId="07F585CA">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4.本合同正本一式四份，其中甲方执三份，乙方执一份，具有同等法律效力。（双面打印）</w:t>
      </w:r>
    </w:p>
    <w:p w14:paraId="40A15F49">
      <w:pPr>
        <w:widowControl w:val="0"/>
        <w:jc w:val="both"/>
        <w:rPr>
          <w:rFonts w:hint="eastAsia" w:ascii="Calibri" w:hAnsi="Calibri" w:eastAsia="宋体" w:cs="Times New Roman"/>
          <w:kern w:val="2"/>
          <w:sz w:val="21"/>
          <w:szCs w:val="22"/>
          <w:lang w:val="en-US" w:eastAsia="zh-CN" w:bidi="ar-SA"/>
        </w:rPr>
      </w:pPr>
    </w:p>
    <w:tbl>
      <w:tblPr>
        <w:tblStyle w:val="45"/>
        <w:tblW w:w="8107" w:type="dxa"/>
        <w:tblInd w:w="10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3551"/>
        <w:gridCol w:w="4556"/>
      </w:tblGrid>
      <w:tr w14:paraId="79A968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2" w:hRule="atLeast"/>
        </w:trPr>
        <w:tc>
          <w:tcPr>
            <w:tcW w:w="3551" w:type="dxa"/>
            <w:noWrap/>
            <w:vAlign w:val="top"/>
          </w:tcPr>
          <w:p w14:paraId="14574A6A">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甲方（盖章）：深圳市龙岗区第二人民医院</w:t>
            </w:r>
          </w:p>
        </w:tc>
        <w:tc>
          <w:tcPr>
            <w:tcW w:w="4556" w:type="dxa"/>
            <w:noWrap/>
          </w:tcPr>
          <w:p w14:paraId="13227633">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乙方（盖章）：</w:t>
            </w:r>
          </w:p>
        </w:tc>
      </w:tr>
      <w:tr w14:paraId="2760BE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56" w:hRule="atLeast"/>
        </w:trPr>
        <w:tc>
          <w:tcPr>
            <w:tcW w:w="3551" w:type="dxa"/>
            <w:noWrap/>
            <w:vAlign w:val="top"/>
          </w:tcPr>
          <w:p w14:paraId="0C6F20D6">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地 址：深圳市龙岗区布吉街道吉华路175号</w:t>
            </w:r>
          </w:p>
        </w:tc>
        <w:tc>
          <w:tcPr>
            <w:tcW w:w="4556" w:type="dxa"/>
            <w:noWrap/>
          </w:tcPr>
          <w:p w14:paraId="7B5C89F2">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地 址：</w:t>
            </w:r>
          </w:p>
        </w:tc>
      </w:tr>
      <w:tr w14:paraId="07ABCB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3" w:hRule="atLeast"/>
        </w:trPr>
        <w:tc>
          <w:tcPr>
            <w:tcW w:w="3551" w:type="dxa"/>
            <w:noWrap/>
            <w:vAlign w:val="top"/>
          </w:tcPr>
          <w:p w14:paraId="2DF0EC4D">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电 话：0755-28870993</w:t>
            </w:r>
          </w:p>
        </w:tc>
        <w:tc>
          <w:tcPr>
            <w:tcW w:w="4556" w:type="dxa"/>
            <w:noWrap/>
          </w:tcPr>
          <w:p w14:paraId="25FDEA88">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电 话：</w:t>
            </w:r>
          </w:p>
        </w:tc>
      </w:tr>
      <w:tr w14:paraId="2C5A16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209" w:hRule="atLeast"/>
        </w:trPr>
        <w:tc>
          <w:tcPr>
            <w:tcW w:w="3551" w:type="dxa"/>
            <w:noWrap/>
          </w:tcPr>
          <w:p w14:paraId="19BAD9EA">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甲方法定代表人或授权人（签字）：</w:t>
            </w:r>
          </w:p>
          <w:p w14:paraId="77605A6F">
            <w:pPr>
              <w:widowControl w:val="0"/>
              <w:jc w:val="both"/>
              <w:rPr>
                <w:rFonts w:hint="eastAsia" w:ascii="Calibri" w:hAnsi="Calibri" w:eastAsia="宋体" w:cs="Times New Roman"/>
                <w:kern w:val="2"/>
                <w:sz w:val="21"/>
                <w:szCs w:val="22"/>
                <w:lang w:val="en-US" w:eastAsia="zh-CN" w:bidi="ar-SA"/>
              </w:rPr>
            </w:pPr>
          </w:p>
          <w:p w14:paraId="655C6700">
            <w:pPr>
              <w:widowControl w:val="0"/>
              <w:jc w:val="both"/>
              <w:rPr>
                <w:rFonts w:hint="eastAsia" w:ascii="Calibri" w:hAnsi="Calibri" w:eastAsia="宋体" w:cs="Times New Roman"/>
                <w:kern w:val="2"/>
                <w:sz w:val="21"/>
                <w:szCs w:val="22"/>
                <w:lang w:val="en-US" w:eastAsia="zh-CN" w:bidi="ar-SA"/>
              </w:rPr>
            </w:pPr>
          </w:p>
          <w:p w14:paraId="178B59CB">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分管领导、经办科室负责人（签字）：</w:t>
            </w:r>
          </w:p>
        </w:tc>
        <w:tc>
          <w:tcPr>
            <w:tcW w:w="4556" w:type="dxa"/>
            <w:noWrap/>
          </w:tcPr>
          <w:p w14:paraId="5B181D88">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乙方法定代表人或授权人（签字）：</w:t>
            </w:r>
          </w:p>
        </w:tc>
      </w:tr>
      <w:tr w14:paraId="255456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00" w:hRule="atLeast"/>
        </w:trPr>
        <w:tc>
          <w:tcPr>
            <w:tcW w:w="8107" w:type="dxa"/>
            <w:gridSpan w:val="2"/>
            <w:noWrap/>
            <w:vAlign w:val="center"/>
          </w:tcPr>
          <w:p w14:paraId="4BB079DA">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签约时间：    年  月  日</w:t>
            </w:r>
          </w:p>
          <w:p w14:paraId="4EB34798">
            <w:pPr>
              <w:widowControl w:val="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签约地址：深圳市龙岗区第二人民医院</w:t>
            </w:r>
          </w:p>
        </w:tc>
      </w:tr>
    </w:tbl>
    <w:p w14:paraId="46600A6B">
      <w:pPr>
        <w:widowControl w:val="0"/>
        <w:jc w:val="both"/>
        <w:rPr>
          <w:rFonts w:hint="eastAsia" w:ascii="Calibri" w:hAnsi="Calibri" w:eastAsia="宋体" w:cs="Times New Roman"/>
          <w:kern w:val="2"/>
          <w:sz w:val="21"/>
          <w:szCs w:val="22"/>
          <w:lang w:val="en-US" w:eastAsia="zh-CN" w:bidi="ar-SA"/>
        </w:rPr>
      </w:pPr>
    </w:p>
    <w:bookmarkEnd w:id="67"/>
    <w:p w14:paraId="2AEAF966">
      <w:pPr>
        <w:rPr>
          <w:rFonts w:hint="eastAsia" w:ascii="黑体" w:hAnsi="黑体" w:eastAsia="黑体" w:cs="黑体"/>
          <w:b w:val="0"/>
          <w:bCs w:val="0"/>
          <w:sz w:val="28"/>
          <w:szCs w:val="28"/>
        </w:rPr>
      </w:pPr>
      <w:r>
        <w:rPr>
          <w:rFonts w:ascii="宋体" w:hAnsi="宋体" w:eastAsia="宋体" w:cs="Times New Roman"/>
          <w:szCs w:val="21"/>
        </w:rPr>
        <w:br w:type="page"/>
      </w:r>
      <w:r>
        <w:rPr>
          <w:rFonts w:hint="eastAsia" w:ascii="黑体" w:hAnsi="黑体" w:eastAsia="黑体" w:cs="黑体"/>
          <w:b w:val="0"/>
          <w:bCs w:val="0"/>
          <w:sz w:val="28"/>
          <w:szCs w:val="28"/>
        </w:rPr>
        <w:t>附件1</w:t>
      </w:r>
    </w:p>
    <w:p w14:paraId="2678978F">
      <w:pPr>
        <w:ind w:left="0" w:leftChars="0" w:firstLine="0" w:firstLineChars="0"/>
        <w:jc w:val="center"/>
        <w:rPr>
          <w:rFonts w:ascii="仿宋_GB2312" w:hAnsi="仿宋_GB2312" w:eastAsia="仿宋_GB2312" w:cs="仿宋_GB2312"/>
          <w:sz w:val="44"/>
          <w:szCs w:val="44"/>
        </w:rPr>
      </w:pPr>
      <w:r>
        <w:rPr>
          <w:rFonts w:hint="eastAsia" w:ascii="长城仿宋" w:hAnsi="Calibri" w:eastAsia="宋体" w:cs="Times New Roman"/>
          <w:b/>
          <w:kern w:val="0"/>
          <w:sz w:val="44"/>
          <w:szCs w:val="44"/>
        </w:rPr>
        <w:t>售后服务承诺</w:t>
      </w:r>
    </w:p>
    <w:p w14:paraId="4C6CF3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宋体" w:eastAsia="黑体" w:cs="Times New Roman"/>
          <w:b w:val="0"/>
          <w:bCs/>
          <w:sz w:val="32"/>
          <w:szCs w:val="32"/>
          <w:highlight w:val="yellow"/>
        </w:rPr>
      </w:pPr>
      <w:r>
        <w:rPr>
          <w:rFonts w:hint="eastAsia" w:ascii="黑体" w:hAnsi="宋体" w:eastAsia="黑体" w:cs="Times New Roman"/>
          <w:b w:val="0"/>
          <w:bCs/>
          <w:sz w:val="32"/>
          <w:szCs w:val="32"/>
          <w:highlight w:val="yellow"/>
          <w:lang w:eastAsia="zh-CN"/>
        </w:rPr>
        <w:t>（</w:t>
      </w:r>
      <w:r>
        <w:rPr>
          <w:rFonts w:hint="eastAsia" w:ascii="黑体" w:hAnsi="宋体" w:eastAsia="黑体" w:cs="Times New Roman"/>
          <w:b w:val="0"/>
          <w:bCs/>
          <w:sz w:val="32"/>
          <w:szCs w:val="32"/>
          <w:highlight w:val="yellow"/>
        </w:rPr>
        <w:t>必须按中标的投标文件承诺的售后服务内容协商签订）</w:t>
      </w:r>
    </w:p>
    <w:p w14:paraId="40F859CB">
      <w:pPr>
        <w:widowControl w:val="0"/>
        <w:ind w:firstLine="560" w:firstLineChars="200"/>
        <w:jc w:val="both"/>
        <w:rPr>
          <w:rFonts w:ascii="仿宋_GB2312" w:hAnsi="仿宋_GB2312" w:eastAsia="仿宋_GB2312" w:cs="仿宋_GB2312"/>
          <w:kern w:val="2"/>
          <w:sz w:val="28"/>
          <w:szCs w:val="28"/>
          <w:lang w:val="en-US" w:eastAsia="zh-CN" w:bidi="ar-SA"/>
        </w:rPr>
      </w:pPr>
    </w:p>
    <w:p w14:paraId="736FA8A0">
      <w:pPr>
        <w:widowControl w:val="0"/>
        <w:ind w:firstLine="560" w:firstLineChars="200"/>
        <w:jc w:val="both"/>
        <w:rPr>
          <w:rFonts w:ascii="仿宋_GB2312" w:hAnsi="仿宋_GB2312" w:eastAsia="仿宋_GB2312" w:cs="仿宋_GB2312"/>
          <w:kern w:val="2"/>
          <w:sz w:val="28"/>
          <w:szCs w:val="28"/>
          <w:lang w:val="en-US" w:eastAsia="zh-CN" w:bidi="ar-SA"/>
        </w:rPr>
      </w:pPr>
    </w:p>
    <w:p w14:paraId="419C137A">
      <w:pPr>
        <w:widowControl w:val="0"/>
        <w:ind w:firstLine="560" w:firstLineChars="200"/>
        <w:jc w:val="both"/>
        <w:rPr>
          <w:rFonts w:ascii="仿宋_GB2312" w:hAnsi="仿宋_GB2312" w:eastAsia="仿宋_GB2312" w:cs="仿宋_GB2312"/>
          <w:kern w:val="2"/>
          <w:sz w:val="28"/>
          <w:szCs w:val="28"/>
          <w:lang w:val="en-US" w:eastAsia="zh-CN" w:bidi="ar-SA"/>
        </w:rPr>
      </w:pPr>
    </w:p>
    <w:p w14:paraId="01AAE6EF">
      <w:pPr>
        <w:widowControl w:val="0"/>
        <w:ind w:firstLine="560" w:firstLineChars="200"/>
        <w:jc w:val="both"/>
        <w:rPr>
          <w:rFonts w:ascii="仿宋_GB2312" w:hAnsi="仿宋_GB2312" w:eastAsia="仿宋_GB2312" w:cs="仿宋_GB2312"/>
          <w:kern w:val="2"/>
          <w:sz w:val="28"/>
          <w:szCs w:val="28"/>
          <w:lang w:val="en-US" w:eastAsia="zh-CN" w:bidi="ar-SA"/>
        </w:rPr>
      </w:pPr>
    </w:p>
    <w:p w14:paraId="30E10329">
      <w:pPr>
        <w:widowControl w:val="0"/>
        <w:ind w:firstLine="560" w:firstLineChars="200"/>
        <w:jc w:val="both"/>
        <w:rPr>
          <w:rFonts w:ascii="仿宋_GB2312" w:hAnsi="仿宋_GB2312" w:eastAsia="仿宋_GB2312" w:cs="仿宋_GB2312"/>
          <w:kern w:val="2"/>
          <w:sz w:val="28"/>
          <w:szCs w:val="28"/>
          <w:lang w:val="en-US" w:eastAsia="zh-CN" w:bidi="ar-SA"/>
        </w:rPr>
      </w:pPr>
    </w:p>
    <w:p w14:paraId="4711BC4B">
      <w:pPr>
        <w:widowControl w:val="0"/>
        <w:ind w:firstLine="560" w:firstLineChars="200"/>
        <w:jc w:val="both"/>
        <w:rPr>
          <w:rFonts w:ascii="仿宋_GB2312" w:hAnsi="仿宋_GB2312" w:eastAsia="仿宋_GB2312" w:cs="仿宋_GB2312"/>
          <w:kern w:val="2"/>
          <w:sz w:val="28"/>
          <w:szCs w:val="28"/>
          <w:lang w:val="en-US" w:eastAsia="zh-CN" w:bidi="ar-SA"/>
        </w:rPr>
      </w:pPr>
    </w:p>
    <w:p w14:paraId="53C9EEC3">
      <w:pPr>
        <w:spacing w:line="360" w:lineRule="auto"/>
        <w:ind w:firstLine="4592" w:firstLineChars="1640"/>
        <w:rPr>
          <w:rFonts w:ascii="仿宋" w:hAnsi="仿宋" w:eastAsia="仿宋" w:cs="Times New Roman"/>
          <w:sz w:val="28"/>
          <w:szCs w:val="28"/>
        </w:rPr>
      </w:pPr>
      <w:r>
        <w:rPr>
          <w:rFonts w:hint="eastAsia" w:ascii="仿宋" w:hAnsi="仿宋" w:eastAsia="仿宋" w:cs="仿宋"/>
          <w:sz w:val="28"/>
          <w:szCs w:val="28"/>
          <w:u w:val="single"/>
        </w:rPr>
        <w:t xml:space="preserve">                   </w:t>
      </w:r>
      <w:r>
        <w:rPr>
          <w:rFonts w:hint="eastAsia" w:ascii="仿宋" w:hAnsi="仿宋" w:eastAsia="仿宋" w:cs="Times New Roman"/>
          <w:sz w:val="28"/>
          <w:szCs w:val="28"/>
        </w:rPr>
        <w:t>（公章）</w:t>
      </w:r>
    </w:p>
    <w:p w14:paraId="12DB8594">
      <w:pPr>
        <w:spacing w:line="360" w:lineRule="auto"/>
        <w:ind w:firstLine="5292" w:firstLineChars="1890"/>
        <w:rPr>
          <w:rFonts w:hint="eastAsia" w:ascii="仿宋" w:hAnsi="仿宋" w:eastAsia="仿宋" w:cs="Times New Roman"/>
          <w:sz w:val="28"/>
          <w:szCs w:val="28"/>
        </w:rPr>
      </w:pPr>
      <w:r>
        <w:rPr>
          <w:rFonts w:hint="eastAsia" w:ascii="仿宋" w:hAnsi="仿宋" w:eastAsia="仿宋" w:cs="Times New Roman"/>
          <w:sz w:val="28"/>
          <w:szCs w:val="28"/>
        </w:rPr>
        <w:t>日期：    年  月  日</w:t>
      </w:r>
    </w:p>
    <w:p w14:paraId="08B24FBE">
      <w:pPr>
        <w:rPr>
          <w:rFonts w:hint="eastAsia" w:ascii="仿宋" w:hAnsi="仿宋" w:eastAsia="仿宋" w:cs="Times New Roman"/>
          <w:sz w:val="28"/>
          <w:szCs w:val="28"/>
        </w:rPr>
      </w:pPr>
      <w:r>
        <w:rPr>
          <w:rFonts w:hint="eastAsia" w:ascii="仿宋" w:hAnsi="仿宋" w:eastAsia="仿宋" w:cs="Times New Roman"/>
          <w:sz w:val="28"/>
          <w:szCs w:val="28"/>
        </w:rPr>
        <w:br w:type="page"/>
      </w:r>
    </w:p>
    <w:p w14:paraId="78B5E654">
      <w:pPr>
        <w:rPr>
          <w:rFonts w:hint="eastAsia" w:ascii="黑体" w:hAnsi="黑体" w:eastAsia="黑体" w:cs="黑体"/>
          <w:b w:val="0"/>
          <w:bCs w:val="0"/>
          <w:sz w:val="44"/>
          <w:szCs w:val="44"/>
        </w:rPr>
      </w:pPr>
      <w:r>
        <w:rPr>
          <w:rFonts w:hint="eastAsia" w:ascii="黑体" w:hAnsi="黑体" w:eastAsia="黑体" w:cs="黑体"/>
          <w:b w:val="0"/>
          <w:bCs w:val="0"/>
          <w:sz w:val="28"/>
          <w:szCs w:val="28"/>
        </w:rPr>
        <w:t>附件2</w:t>
      </w:r>
    </w:p>
    <w:p w14:paraId="670481A2">
      <w:pPr>
        <w:jc w:val="center"/>
        <w:rPr>
          <w:rFonts w:hint="eastAsia" w:ascii="长城仿宋" w:hAnsi="Calibri" w:eastAsia="宋体" w:cs="Times New Roman"/>
          <w:b/>
          <w:kern w:val="0"/>
          <w:sz w:val="44"/>
          <w:szCs w:val="44"/>
        </w:rPr>
      </w:pPr>
      <w:r>
        <w:rPr>
          <w:rFonts w:hint="eastAsia" w:ascii="长城仿宋" w:hAnsi="Calibri" w:eastAsia="宋体" w:cs="Times New Roman"/>
          <w:b/>
          <w:kern w:val="0"/>
          <w:sz w:val="44"/>
          <w:szCs w:val="44"/>
        </w:rPr>
        <w:t>供货一览表</w:t>
      </w:r>
    </w:p>
    <w:p w14:paraId="3A81EB30">
      <w:pPr>
        <w:spacing w:line="360" w:lineRule="auto"/>
        <w:ind w:firstLine="5292" w:firstLineChars="1890"/>
        <w:rPr>
          <w:rFonts w:hint="eastAsia" w:ascii="仿宋" w:hAnsi="仿宋" w:eastAsia="仿宋" w:cs="Times New Roman"/>
          <w:sz w:val="28"/>
          <w:szCs w:val="28"/>
        </w:rPr>
      </w:pPr>
    </w:p>
    <w:p w14:paraId="257E7D6E">
      <w:pPr>
        <w:spacing w:line="360" w:lineRule="auto"/>
        <w:ind w:firstLine="5292" w:firstLineChars="1890"/>
        <w:rPr>
          <w:rFonts w:hint="eastAsia" w:ascii="仿宋" w:hAnsi="仿宋" w:eastAsia="仿宋" w:cs="Times New Roman"/>
          <w:sz w:val="28"/>
          <w:szCs w:val="28"/>
        </w:rPr>
      </w:pPr>
    </w:p>
    <w:p w14:paraId="43579280">
      <w:pPr>
        <w:spacing w:line="360" w:lineRule="auto"/>
        <w:ind w:firstLine="5292" w:firstLineChars="1890"/>
        <w:rPr>
          <w:rFonts w:hint="eastAsia" w:ascii="仿宋" w:hAnsi="仿宋" w:eastAsia="仿宋" w:cs="Times New Roman"/>
          <w:sz w:val="28"/>
          <w:szCs w:val="28"/>
        </w:rPr>
      </w:pPr>
    </w:p>
    <w:tbl>
      <w:tblPr>
        <w:tblStyle w:val="44"/>
        <w:tblW w:w="8840" w:type="dxa"/>
        <w:jc w:val="center"/>
        <w:tblLayout w:type="fixed"/>
        <w:tblCellMar>
          <w:top w:w="15" w:type="dxa"/>
          <w:left w:w="15" w:type="dxa"/>
          <w:bottom w:w="15" w:type="dxa"/>
          <w:right w:w="15" w:type="dxa"/>
        </w:tblCellMar>
      </w:tblPr>
      <w:tblGrid>
        <w:gridCol w:w="680"/>
        <w:gridCol w:w="680"/>
        <w:gridCol w:w="680"/>
        <w:gridCol w:w="680"/>
        <w:gridCol w:w="680"/>
        <w:gridCol w:w="680"/>
        <w:gridCol w:w="680"/>
        <w:gridCol w:w="680"/>
        <w:gridCol w:w="680"/>
        <w:gridCol w:w="680"/>
        <w:gridCol w:w="680"/>
        <w:gridCol w:w="680"/>
        <w:gridCol w:w="680"/>
      </w:tblGrid>
      <w:tr w14:paraId="28F2C5A3">
        <w:tblPrEx>
          <w:tblCellMar>
            <w:top w:w="15" w:type="dxa"/>
            <w:left w:w="15" w:type="dxa"/>
            <w:bottom w:w="15" w:type="dxa"/>
            <w:right w:w="15" w:type="dxa"/>
          </w:tblCellMar>
        </w:tblPrEx>
        <w:trPr>
          <w:trHeight w:val="720" w:hRule="atLeast"/>
          <w:jc w:val="center"/>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ADFF9">
            <w:pPr>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rPr>
              <w:t>序号</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188CD">
            <w:pPr>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rPr>
              <w:t>深圳市平台代码</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6B5BE">
            <w:pPr>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rPr>
              <w:t>商品名</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CB27C">
            <w:pPr>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rPr>
              <w:t>注册证名称</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7DEF4">
            <w:pPr>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rPr>
              <w:t>注册证号</w:t>
            </w:r>
          </w:p>
        </w:tc>
        <w:tc>
          <w:tcPr>
            <w:tcW w:w="680" w:type="dxa"/>
            <w:tcBorders>
              <w:top w:val="single" w:color="000000" w:sz="4" w:space="0"/>
              <w:left w:val="single" w:color="000000" w:sz="4" w:space="0"/>
              <w:bottom w:val="single" w:color="000000" w:sz="4" w:space="0"/>
              <w:right w:val="single" w:color="000000" w:sz="4" w:space="0"/>
            </w:tcBorders>
            <w:vAlign w:val="center"/>
          </w:tcPr>
          <w:p w14:paraId="105F843C">
            <w:pPr>
              <w:jc w:val="center"/>
              <w:textAlignment w:val="center"/>
              <w:rPr>
                <w:rFonts w:hint="eastAsia" w:ascii="仿宋" w:hAnsi="仿宋" w:eastAsia="仿宋" w:cs="仿宋"/>
                <w:color w:val="000000"/>
                <w:sz w:val="20"/>
                <w:szCs w:val="20"/>
                <w:lang w:eastAsia="zh-CN"/>
              </w:rPr>
            </w:pPr>
            <w:r>
              <w:rPr>
                <w:rFonts w:hint="eastAsia" w:ascii="仿宋" w:hAnsi="仿宋" w:eastAsia="仿宋" w:cs="仿宋"/>
                <w:color w:val="000000"/>
                <w:sz w:val="20"/>
                <w:szCs w:val="20"/>
              </w:rPr>
              <w:t>医保目录编码</w:t>
            </w:r>
          </w:p>
          <w:p w14:paraId="4055404F">
            <w:pPr>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rPr>
              <w:t>（国家耗材代码）</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FFFD6">
            <w:pPr>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rPr>
              <w:t>品牌</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2C869">
            <w:pPr>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rPr>
              <w:t>注册证型号</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92EDA">
            <w:pPr>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rPr>
              <w:t>注册证规格</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842A1">
            <w:pPr>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rPr>
              <w:t>单位</w:t>
            </w:r>
          </w:p>
        </w:tc>
        <w:tc>
          <w:tcPr>
            <w:tcW w:w="680" w:type="dxa"/>
            <w:tcBorders>
              <w:top w:val="single" w:color="000000" w:sz="4" w:space="0"/>
              <w:left w:val="single" w:color="000000" w:sz="4" w:space="0"/>
              <w:bottom w:val="single" w:color="000000" w:sz="4" w:space="0"/>
              <w:right w:val="single" w:color="000000" w:sz="4" w:space="0"/>
            </w:tcBorders>
            <w:vAlign w:val="center"/>
          </w:tcPr>
          <w:p w14:paraId="36982711">
            <w:pPr>
              <w:jc w:val="center"/>
              <w:textAlignment w:val="center"/>
              <w:rPr>
                <w:rFonts w:hint="eastAsia" w:ascii="仿宋" w:hAnsi="仿宋" w:eastAsia="仿宋" w:cs="仿宋"/>
                <w:color w:val="FF0000"/>
                <w:sz w:val="20"/>
                <w:szCs w:val="20"/>
              </w:rPr>
            </w:pPr>
            <w:r>
              <w:rPr>
                <w:rFonts w:hint="eastAsia" w:ascii="仿宋" w:hAnsi="仿宋" w:eastAsia="仿宋" w:cs="仿宋"/>
                <w:color w:val="FF0000"/>
                <w:sz w:val="20"/>
                <w:szCs w:val="20"/>
              </w:rPr>
              <w:t>预算单价</w:t>
            </w:r>
          </w:p>
          <w:p w14:paraId="613C91FE">
            <w:pPr>
              <w:jc w:val="center"/>
              <w:textAlignment w:val="center"/>
              <w:rPr>
                <w:rFonts w:hint="eastAsia" w:ascii="仿宋" w:hAnsi="仿宋" w:eastAsia="仿宋" w:cs="仿宋"/>
                <w:color w:val="FF0000"/>
                <w:sz w:val="20"/>
                <w:szCs w:val="20"/>
              </w:rPr>
            </w:pPr>
            <w:r>
              <w:rPr>
                <w:rFonts w:hint="eastAsia" w:ascii="仿宋" w:hAnsi="仿宋" w:eastAsia="仿宋" w:cs="仿宋"/>
                <w:color w:val="FF0000"/>
                <w:sz w:val="20"/>
                <w:szCs w:val="20"/>
              </w:rPr>
              <w:t>（元）</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F7278">
            <w:pPr>
              <w:jc w:val="center"/>
              <w:textAlignment w:val="center"/>
              <w:rPr>
                <w:rFonts w:hint="eastAsia" w:ascii="仿宋" w:hAnsi="仿宋" w:eastAsia="仿宋" w:cs="仿宋"/>
                <w:color w:val="FF0000"/>
                <w:sz w:val="20"/>
                <w:szCs w:val="20"/>
              </w:rPr>
            </w:pPr>
            <w:r>
              <w:rPr>
                <w:rFonts w:hint="eastAsia" w:ascii="仿宋" w:hAnsi="仿宋" w:eastAsia="仿宋" w:cs="仿宋"/>
                <w:color w:val="FF0000"/>
                <w:sz w:val="20"/>
                <w:szCs w:val="20"/>
              </w:rPr>
              <w:t>成交单价（元）</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8D9AC">
            <w:pPr>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rPr>
              <w:t>生产厂家</w:t>
            </w:r>
          </w:p>
        </w:tc>
      </w:tr>
      <w:tr w14:paraId="072F88B6">
        <w:tblPrEx>
          <w:tblCellMar>
            <w:top w:w="15" w:type="dxa"/>
            <w:left w:w="15" w:type="dxa"/>
            <w:bottom w:w="15" w:type="dxa"/>
            <w:right w:w="15" w:type="dxa"/>
          </w:tblCellMar>
        </w:tblPrEx>
        <w:trPr>
          <w:trHeight w:val="720" w:hRule="atLeast"/>
          <w:jc w:val="center"/>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2A0A7">
            <w:pPr>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rPr>
              <w:t>1</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BB7D8">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79367">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EF822">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B6CA3">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6FF1FA63">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3A5A1">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BA87E">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60D5C">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38674">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30DB4972">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5973E">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734E6">
            <w:pPr>
              <w:jc w:val="center"/>
              <w:textAlignment w:val="center"/>
              <w:rPr>
                <w:rFonts w:hint="eastAsia" w:ascii="仿宋" w:hAnsi="仿宋" w:eastAsia="仿宋" w:cs="仿宋"/>
                <w:color w:val="000000"/>
                <w:sz w:val="20"/>
                <w:szCs w:val="20"/>
              </w:rPr>
            </w:pPr>
          </w:p>
        </w:tc>
      </w:tr>
      <w:tr w14:paraId="395CDC0E">
        <w:tblPrEx>
          <w:tblCellMar>
            <w:top w:w="15" w:type="dxa"/>
            <w:left w:w="15" w:type="dxa"/>
            <w:bottom w:w="15" w:type="dxa"/>
            <w:right w:w="15" w:type="dxa"/>
          </w:tblCellMar>
        </w:tblPrEx>
        <w:trPr>
          <w:trHeight w:val="720" w:hRule="atLeast"/>
          <w:jc w:val="center"/>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1B297">
            <w:pPr>
              <w:jc w:val="center"/>
              <w:textAlignment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2</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6F22C">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6BA7A">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6FF0E">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047EA">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72CF244E">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9AEA1">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A0465">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90306">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70F83">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73E2E65F">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B29A9">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0EC51">
            <w:pPr>
              <w:jc w:val="center"/>
              <w:textAlignment w:val="center"/>
              <w:rPr>
                <w:rFonts w:hint="eastAsia" w:ascii="仿宋" w:hAnsi="仿宋" w:eastAsia="仿宋" w:cs="仿宋"/>
                <w:color w:val="000000"/>
                <w:sz w:val="20"/>
                <w:szCs w:val="20"/>
              </w:rPr>
            </w:pPr>
          </w:p>
        </w:tc>
      </w:tr>
      <w:tr w14:paraId="1173C0C9">
        <w:tblPrEx>
          <w:tblCellMar>
            <w:top w:w="15" w:type="dxa"/>
            <w:left w:w="15" w:type="dxa"/>
            <w:bottom w:w="15" w:type="dxa"/>
            <w:right w:w="15" w:type="dxa"/>
          </w:tblCellMar>
        </w:tblPrEx>
        <w:trPr>
          <w:trHeight w:val="720" w:hRule="atLeast"/>
          <w:jc w:val="center"/>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D691C">
            <w:pPr>
              <w:jc w:val="center"/>
              <w:textAlignment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3</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EB10D">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FFD55">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9B470">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1CCD3">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332064B5">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F49F6">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BF923">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95BCB">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A27EB">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03A9F1BC">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C9C80">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D30D2">
            <w:pPr>
              <w:jc w:val="center"/>
              <w:textAlignment w:val="center"/>
              <w:rPr>
                <w:rFonts w:hint="eastAsia" w:ascii="仿宋" w:hAnsi="仿宋" w:eastAsia="仿宋" w:cs="仿宋"/>
                <w:color w:val="000000"/>
                <w:sz w:val="20"/>
                <w:szCs w:val="20"/>
              </w:rPr>
            </w:pPr>
          </w:p>
        </w:tc>
      </w:tr>
      <w:tr w14:paraId="020DD9A3">
        <w:tblPrEx>
          <w:tblCellMar>
            <w:top w:w="15" w:type="dxa"/>
            <w:left w:w="15" w:type="dxa"/>
            <w:bottom w:w="15" w:type="dxa"/>
            <w:right w:w="15" w:type="dxa"/>
          </w:tblCellMar>
        </w:tblPrEx>
        <w:trPr>
          <w:trHeight w:val="720" w:hRule="atLeast"/>
          <w:jc w:val="center"/>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CB234">
            <w:pPr>
              <w:jc w:val="center"/>
              <w:textAlignment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4</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13EB8">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E8229">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8A0A0">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0E77B">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4B878BA2">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028B8">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012AB">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1697F">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69BD2">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7B3C68C3">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09DF4">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181E0">
            <w:pPr>
              <w:jc w:val="center"/>
              <w:textAlignment w:val="center"/>
              <w:rPr>
                <w:rFonts w:hint="eastAsia" w:ascii="仿宋" w:hAnsi="仿宋" w:eastAsia="仿宋" w:cs="仿宋"/>
                <w:color w:val="000000"/>
                <w:sz w:val="20"/>
                <w:szCs w:val="20"/>
              </w:rPr>
            </w:pPr>
          </w:p>
        </w:tc>
      </w:tr>
      <w:tr w14:paraId="304FD972">
        <w:tblPrEx>
          <w:tblCellMar>
            <w:top w:w="15" w:type="dxa"/>
            <w:left w:w="15" w:type="dxa"/>
            <w:bottom w:w="15" w:type="dxa"/>
            <w:right w:w="15" w:type="dxa"/>
          </w:tblCellMar>
        </w:tblPrEx>
        <w:trPr>
          <w:trHeight w:val="720" w:hRule="atLeast"/>
          <w:jc w:val="center"/>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47D0C">
            <w:pPr>
              <w:jc w:val="center"/>
              <w:textAlignment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5</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F4FC4">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96435">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8BB75">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04BA2">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46D93CBE">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A5F7E">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73A99">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9EAF2">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45B70">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5C70A0B0">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1A351">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12C34">
            <w:pPr>
              <w:jc w:val="center"/>
              <w:textAlignment w:val="center"/>
              <w:rPr>
                <w:rFonts w:hint="eastAsia" w:ascii="仿宋" w:hAnsi="仿宋" w:eastAsia="仿宋" w:cs="仿宋"/>
                <w:color w:val="000000"/>
                <w:sz w:val="20"/>
                <w:szCs w:val="20"/>
              </w:rPr>
            </w:pPr>
          </w:p>
        </w:tc>
      </w:tr>
      <w:tr w14:paraId="0DD69496">
        <w:tblPrEx>
          <w:tblCellMar>
            <w:top w:w="15" w:type="dxa"/>
            <w:left w:w="15" w:type="dxa"/>
            <w:bottom w:w="15" w:type="dxa"/>
            <w:right w:w="15" w:type="dxa"/>
          </w:tblCellMar>
        </w:tblPrEx>
        <w:trPr>
          <w:trHeight w:val="720" w:hRule="atLeast"/>
          <w:jc w:val="center"/>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D3D8F">
            <w:pPr>
              <w:jc w:val="center"/>
              <w:textAlignment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6</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B3ADC">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B655D">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E9380">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5FBB2">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670A30B3">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3F059">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C813C">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0CA06">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338FE">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2A5BF25C">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8B73D">
            <w:pPr>
              <w:jc w:val="center"/>
              <w:textAlignment w:val="center"/>
              <w:rPr>
                <w:rFonts w:hint="eastAsia" w:ascii="仿宋" w:hAnsi="仿宋" w:eastAsia="仿宋" w:cs="仿宋"/>
                <w:color w:val="000000"/>
                <w:sz w:val="20"/>
                <w:szCs w:val="20"/>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48E8F">
            <w:pPr>
              <w:jc w:val="center"/>
              <w:textAlignment w:val="center"/>
              <w:rPr>
                <w:rFonts w:hint="eastAsia" w:ascii="仿宋" w:hAnsi="仿宋" w:eastAsia="仿宋" w:cs="仿宋"/>
                <w:color w:val="000000"/>
                <w:sz w:val="20"/>
                <w:szCs w:val="20"/>
              </w:rPr>
            </w:pPr>
          </w:p>
        </w:tc>
      </w:tr>
    </w:tbl>
    <w:p w14:paraId="4E8D046F">
      <w:pPr>
        <w:spacing w:line="360" w:lineRule="auto"/>
        <w:ind w:firstLine="5292" w:firstLineChars="1890"/>
        <w:rPr>
          <w:rFonts w:hint="eastAsia" w:ascii="仿宋" w:hAnsi="仿宋" w:eastAsia="仿宋" w:cs="Times New Roman"/>
          <w:sz w:val="28"/>
          <w:szCs w:val="28"/>
        </w:rPr>
      </w:pPr>
    </w:p>
    <w:p w14:paraId="3504F724">
      <w:pPr>
        <w:rPr>
          <w:rFonts w:ascii="宋体" w:hAnsi="宋体" w:eastAsia="宋体" w:cs="Times New Roman"/>
          <w:szCs w:val="21"/>
        </w:rPr>
      </w:pPr>
      <w:r>
        <w:rPr>
          <w:rFonts w:ascii="宋体" w:hAnsi="宋体" w:eastAsia="宋体" w:cs="Times New Roman"/>
          <w:szCs w:val="21"/>
        </w:rPr>
        <w:br w:type="page"/>
      </w:r>
    </w:p>
    <w:p w14:paraId="6F7DDC6D">
      <w:pPr>
        <w:keepNext/>
        <w:keepLines/>
        <w:adjustRightInd w:val="0"/>
        <w:spacing w:before="120" w:beforeLines="50" w:after="120" w:afterLines="50"/>
        <w:ind w:left="562"/>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第二册  通用条款（公开招标）</w:t>
      </w:r>
    </w:p>
    <w:p w14:paraId="6E4DBAE7">
      <w:pPr>
        <w:keepNext/>
        <w:keepLines/>
        <w:numPr>
          <w:ilvl w:val="0"/>
          <w:numId w:val="11"/>
        </w:numPr>
        <w:adjustRightInd w:val="0"/>
        <w:spacing w:before="120" w:beforeLines="50" w:after="120" w:afterLines="50"/>
        <w:ind w:left="562" w:hanging="562"/>
        <w:jc w:val="center"/>
        <w:textAlignment w:val="baseline"/>
        <w:outlineLvl w:val="1"/>
        <w:rPr>
          <w:rFonts w:hint="eastAsia" w:ascii="宋体" w:hAnsi="宋体" w:eastAsia="宋体" w:cs="Times New Roman"/>
          <w:b/>
          <w:bCs/>
          <w:kern w:val="0"/>
          <w:sz w:val="28"/>
          <w:szCs w:val="28"/>
        </w:rPr>
      </w:pPr>
      <w:bookmarkStart w:id="68" w:name="_Hlk72399513"/>
      <w:r>
        <w:rPr>
          <w:rFonts w:hint="eastAsia" w:ascii="宋体" w:hAnsi="宋体" w:eastAsia="宋体" w:cs="Times New Roman"/>
          <w:b/>
          <w:bCs/>
          <w:kern w:val="0"/>
          <w:sz w:val="28"/>
          <w:szCs w:val="28"/>
        </w:rPr>
        <w:t>总则</w:t>
      </w:r>
    </w:p>
    <w:bookmarkEnd w:id="68"/>
    <w:p w14:paraId="76B86F9B">
      <w:pPr>
        <w:rPr>
          <w:rFonts w:hint="eastAsia" w:ascii="黑体" w:hAnsi="宋体" w:eastAsia="黑体" w:cs="Times New Roman"/>
          <w:sz w:val="24"/>
        </w:rPr>
      </w:pPr>
      <w:r>
        <w:rPr>
          <w:rFonts w:hint="eastAsia" w:ascii="黑体" w:hAnsi="宋体" w:eastAsia="黑体" w:cs="Times New Roman"/>
          <w:sz w:val="24"/>
        </w:rPr>
        <w:t>1. 通用条款说明</w:t>
      </w:r>
    </w:p>
    <w:p w14:paraId="786CEDC6">
      <w:pPr>
        <w:ind w:firstLine="420" w:firstLineChars="200"/>
        <w:rPr>
          <w:rFonts w:hint="eastAsia" w:ascii="宋体" w:hAnsi="宋体" w:eastAsia="宋体" w:cs="Times New Roman"/>
          <w:szCs w:val="21"/>
        </w:rPr>
      </w:pPr>
      <w:r>
        <w:rPr>
          <w:rFonts w:hint="eastAsia" w:ascii="宋体" w:hAnsi="宋体" w:eastAsia="宋体" w:cs="Times New Roman"/>
          <w:szCs w:val="21"/>
        </w:rPr>
        <w:t>1.1招标文件通用条款版本，列出招标采购所适用的通用条款内容。</w:t>
      </w:r>
      <w:bookmarkStart w:id="69" w:name="_Hlk72399729"/>
      <w:r>
        <w:rPr>
          <w:rFonts w:hint="eastAsia" w:ascii="宋体" w:hAnsi="宋体" w:eastAsia="宋体" w:cs="Times New Roman"/>
          <w:szCs w:val="21"/>
        </w:rPr>
        <w:t>如有需要，</w:t>
      </w:r>
      <w:r>
        <w:rPr>
          <w:rFonts w:hint="eastAsia" w:ascii="宋体" w:hAnsi="宋体" w:eastAsia="宋体" w:cs="Times New Roman"/>
          <w:szCs w:val="21"/>
          <w:lang w:val="en-US" w:eastAsia="zh-CN"/>
        </w:rPr>
        <w:t>将</w:t>
      </w:r>
      <w:r>
        <w:rPr>
          <w:rFonts w:hint="eastAsia" w:ascii="宋体" w:hAnsi="宋体" w:eastAsia="宋体" w:cs="Times New Roman"/>
          <w:szCs w:val="21"/>
        </w:rPr>
        <w:t>对通用条款的内容进行补充。</w:t>
      </w:r>
      <w:bookmarkEnd w:id="69"/>
    </w:p>
    <w:p w14:paraId="514293B7">
      <w:pPr>
        <w:ind w:firstLine="411" w:firstLineChars="196"/>
        <w:rPr>
          <w:rFonts w:hint="eastAsia" w:ascii="宋体" w:hAnsi="宋体" w:eastAsia="宋体" w:cs="Times New Roman"/>
          <w:szCs w:val="21"/>
        </w:rPr>
      </w:pPr>
      <w:r>
        <w:rPr>
          <w:rFonts w:hint="eastAsia" w:ascii="宋体" w:hAnsi="宋体" w:eastAsia="宋体" w:cs="Times New Roman"/>
          <w:szCs w:val="21"/>
        </w:rPr>
        <w:t>1.2招标文件分为第一册“专用条款”和第二册“通用条款”。</w:t>
      </w:r>
    </w:p>
    <w:p w14:paraId="7EC68C16">
      <w:pPr>
        <w:ind w:firstLine="411" w:firstLineChars="196"/>
        <w:rPr>
          <w:rFonts w:hint="eastAsia" w:ascii="宋体" w:hAnsi="宋体" w:eastAsia="宋体" w:cs="Times New Roman"/>
          <w:szCs w:val="21"/>
        </w:rPr>
      </w:pPr>
      <w:r>
        <w:rPr>
          <w:rFonts w:hint="eastAsia" w:ascii="宋体" w:hAnsi="宋体" w:eastAsia="宋体" w:cs="Times New Roman"/>
          <w:szCs w:val="21"/>
        </w:rPr>
        <w:t>1.3“专用条款”是对本次采购项目的具体要求，包含招标公告、对通用条款的补充内容及其他关键信息、用户需求书、投标文件格式及附件、合同条款及格式等内容。</w:t>
      </w:r>
    </w:p>
    <w:p w14:paraId="1F1F8620">
      <w:pPr>
        <w:ind w:firstLine="411" w:firstLineChars="196"/>
        <w:rPr>
          <w:rFonts w:hint="eastAsia" w:ascii="宋体" w:hAnsi="宋体" w:eastAsia="宋体" w:cs="Times New Roman"/>
          <w:szCs w:val="21"/>
        </w:rPr>
      </w:pPr>
      <w:r>
        <w:rPr>
          <w:rFonts w:hint="eastAsia" w:ascii="宋体" w:hAnsi="宋体" w:eastAsia="宋体" w:cs="Times New Roman"/>
          <w:szCs w:val="21"/>
        </w:rPr>
        <w:t>1.4“通用条款”是适用于公开招标项目的基础性条款，具有普遍性和通用性。</w:t>
      </w:r>
    </w:p>
    <w:p w14:paraId="13FD8535">
      <w:pPr>
        <w:ind w:firstLine="411" w:firstLineChars="196"/>
        <w:rPr>
          <w:rFonts w:hint="eastAsia" w:ascii="宋体" w:hAnsi="宋体" w:eastAsia="宋体" w:cs="Times New Roman"/>
          <w:szCs w:val="21"/>
        </w:rPr>
      </w:pPr>
      <w:r>
        <w:rPr>
          <w:rFonts w:hint="eastAsia" w:ascii="宋体" w:hAnsi="宋体" w:eastAsia="宋体" w:cs="Times New Roman"/>
          <w:szCs w:val="21"/>
        </w:rPr>
        <w:t>1.5 “专用条款”和“通用条款”表述不一致或有冲突时，以“专用条款”为准。</w:t>
      </w:r>
    </w:p>
    <w:p w14:paraId="05D253AA">
      <w:pPr>
        <w:rPr>
          <w:rFonts w:hint="eastAsia" w:ascii="黑体" w:hAnsi="宋体" w:eastAsia="黑体" w:cs="Times New Roman"/>
          <w:sz w:val="24"/>
        </w:rPr>
      </w:pPr>
      <w:r>
        <w:rPr>
          <w:rFonts w:hint="eastAsia" w:ascii="黑体" w:hAnsi="宋体" w:eastAsia="黑体" w:cs="Times New Roman"/>
          <w:sz w:val="24"/>
        </w:rPr>
        <w:t>2</w:t>
      </w:r>
      <w:r>
        <w:rPr>
          <w:rFonts w:ascii="黑体" w:hAnsi="宋体" w:eastAsia="黑体" w:cs="Times New Roman"/>
          <w:sz w:val="24"/>
        </w:rPr>
        <w:t>．</w:t>
      </w:r>
      <w:r>
        <w:rPr>
          <w:rFonts w:hint="eastAsia" w:ascii="黑体" w:hAnsi="宋体" w:eastAsia="黑体" w:cs="Times New Roman"/>
          <w:sz w:val="24"/>
        </w:rPr>
        <w:t>招标说明</w:t>
      </w:r>
    </w:p>
    <w:p w14:paraId="335E2788">
      <w:pPr>
        <w:ind w:firstLine="422" w:firstLineChars="200"/>
        <w:rPr>
          <w:rFonts w:hint="eastAsia" w:ascii="宋体" w:hAnsi="宋体" w:eastAsia="宋体" w:cs="Times New Roman"/>
          <w:b/>
          <w:bCs/>
          <w:szCs w:val="21"/>
          <w:highlight w:val="yellow"/>
        </w:rPr>
      </w:pPr>
      <w:r>
        <w:rPr>
          <w:rFonts w:hint="eastAsia" w:ascii="宋体" w:hAnsi="宋体" w:eastAsia="宋体" w:cs="Times New Roman"/>
          <w:b/>
          <w:bCs/>
          <w:szCs w:val="21"/>
          <w:highlight w:val="yellow"/>
        </w:rPr>
        <w:t>本项目参照《深圳经济特区政府采购条例》、《深圳经济特区政府采购条例实施细则》及政府采购其他法律法规，按照采购人内控制度，通过公开招标方式确定中标供应商。</w:t>
      </w:r>
    </w:p>
    <w:p w14:paraId="352C184B">
      <w:pPr>
        <w:ind w:firstLine="480" w:firstLineChars="200"/>
        <w:rPr>
          <w:rFonts w:hint="eastAsia" w:ascii="黑体" w:hAnsi="宋体" w:eastAsia="黑体" w:cs="Times New Roman"/>
          <w:sz w:val="24"/>
          <w:highlight w:val="none"/>
        </w:rPr>
      </w:pPr>
      <w:r>
        <w:rPr>
          <w:rFonts w:hint="eastAsia" w:ascii="黑体" w:hAnsi="宋体" w:eastAsia="黑体" w:cs="Times New Roman"/>
          <w:sz w:val="24"/>
          <w:highlight w:val="none"/>
        </w:rPr>
        <w:t>3．定义</w:t>
      </w:r>
    </w:p>
    <w:p w14:paraId="79F32F5D">
      <w:pPr>
        <w:ind w:firstLine="420" w:firstLineChars="200"/>
        <w:rPr>
          <w:rFonts w:hint="eastAsia" w:ascii="宋体" w:hAnsi="宋体" w:eastAsia="宋体" w:cs="Times New Roman"/>
          <w:szCs w:val="21"/>
          <w:highlight w:val="none"/>
        </w:rPr>
      </w:pPr>
      <w:r>
        <w:rPr>
          <w:rFonts w:ascii="宋体" w:hAnsi="宋体" w:eastAsia="宋体" w:cs="Times New Roman"/>
          <w:szCs w:val="21"/>
          <w:highlight w:val="none"/>
        </w:rPr>
        <w:t>招标文件中下列术语应解释为：</w:t>
      </w:r>
    </w:p>
    <w:p w14:paraId="74CABBB4">
      <w:pPr>
        <w:ind w:firstLine="411" w:firstLineChars="196"/>
        <w:rPr>
          <w:rFonts w:hint="eastAsia" w:ascii="宋体" w:hAnsi="宋体" w:eastAsia="宋体" w:cs="Times New Roman"/>
          <w:szCs w:val="21"/>
        </w:rPr>
      </w:pPr>
      <w:r>
        <w:rPr>
          <w:rFonts w:hint="eastAsia" w:ascii="宋体" w:hAnsi="宋体" w:eastAsia="宋体" w:cs="Times New Roman"/>
          <w:szCs w:val="21"/>
          <w:highlight w:val="none"/>
        </w:rPr>
        <w:t>3.</w:t>
      </w:r>
      <w:r>
        <w:rPr>
          <w:rFonts w:ascii="宋体" w:hAnsi="宋体" w:eastAsia="宋体" w:cs="Times New Roman"/>
          <w:szCs w:val="21"/>
          <w:highlight w:val="none"/>
        </w:rPr>
        <w:t>1</w:t>
      </w:r>
      <w:r>
        <w:rPr>
          <w:rFonts w:hint="eastAsia" w:ascii="宋体" w:hAnsi="宋体" w:eastAsia="宋体" w:cs="Times New Roman"/>
          <w:szCs w:val="21"/>
          <w:highlight w:val="none"/>
        </w:rPr>
        <w:t>“采购人”：</w:t>
      </w:r>
      <w:r>
        <w:rPr>
          <w:rFonts w:hint="eastAsia" w:ascii="宋体" w:hAnsi="宋体" w:eastAsia="宋体" w:cs="Times New Roman"/>
          <w:szCs w:val="21"/>
        </w:rPr>
        <w:t>指依法进行</w:t>
      </w:r>
      <w:r>
        <w:rPr>
          <w:rFonts w:hint="eastAsia" w:ascii="宋体" w:hAnsi="宋体" w:eastAsia="宋体" w:cs="Times New Roman"/>
          <w:b/>
          <w:bCs/>
          <w:color w:val="FF0000"/>
          <w:szCs w:val="21"/>
        </w:rPr>
        <w:t>采购</w:t>
      </w:r>
      <w:r>
        <w:rPr>
          <w:rFonts w:hint="eastAsia" w:ascii="宋体" w:hAnsi="宋体" w:eastAsia="宋体" w:cs="Times New Roman"/>
          <w:szCs w:val="21"/>
        </w:rPr>
        <w:t>的国家机关、事业单位、团体组织；</w:t>
      </w:r>
      <w:r>
        <w:rPr>
          <w:rFonts w:ascii="宋体" w:hAnsi="宋体" w:eastAsia="宋体" w:cs="Times New Roman"/>
          <w:szCs w:val="21"/>
        </w:rPr>
        <w:t xml:space="preserve"> </w:t>
      </w:r>
    </w:p>
    <w:p w14:paraId="28F90B64">
      <w:pPr>
        <w:ind w:firstLine="411" w:firstLineChars="196"/>
        <w:rPr>
          <w:rFonts w:hint="eastAsia" w:ascii="宋体" w:hAnsi="宋体" w:eastAsia="宋体" w:cs="Times New Roman"/>
          <w:szCs w:val="21"/>
        </w:rPr>
      </w:pPr>
      <w:r>
        <w:rPr>
          <w:rFonts w:hint="eastAsia" w:ascii="宋体" w:hAnsi="宋体" w:eastAsia="宋体" w:cs="Times New Roman"/>
          <w:szCs w:val="21"/>
        </w:rPr>
        <w:t>3.2 “政府集中采购机构”</w:t>
      </w:r>
      <w:r>
        <w:rPr>
          <w:rFonts w:hint="eastAsia" w:ascii="Arial" w:hAnsi="Arial" w:eastAsia="宋体" w:cs="Arial"/>
          <w:szCs w:val="21"/>
          <w:shd w:val="clear" w:color="auto" w:fill="FFFFFF"/>
        </w:rPr>
        <w:t>是指市政府设立的，组织实施采购项目，并对采购活动提供服务的专门机构；</w:t>
      </w:r>
      <w:r>
        <w:rPr>
          <w:rFonts w:hint="eastAsia" w:ascii="宋体" w:hAnsi="宋体" w:eastAsia="宋体" w:cs="Times New Roman"/>
          <w:szCs w:val="21"/>
        </w:rPr>
        <w:t>本文件所述的“政府集中采购机构”</w:t>
      </w:r>
      <w:r>
        <w:rPr>
          <w:rFonts w:ascii="宋体" w:hAnsi="宋体" w:eastAsia="宋体" w:cs="Times New Roman"/>
          <w:szCs w:val="21"/>
        </w:rPr>
        <w:t>指</w:t>
      </w:r>
      <w:r>
        <w:rPr>
          <w:rFonts w:hint="eastAsia" w:ascii="宋体" w:hAnsi="宋体" w:eastAsia="宋体" w:cs="Times New Roman"/>
          <w:b/>
          <w:bCs/>
          <w:szCs w:val="21"/>
        </w:rPr>
        <w:t>深圳公共资源交易中心</w:t>
      </w:r>
      <w:r>
        <w:rPr>
          <w:rFonts w:hint="eastAsia" w:ascii="宋体" w:hAnsi="宋体" w:eastAsia="宋体" w:cs="Times New Roman"/>
          <w:szCs w:val="21"/>
        </w:rPr>
        <w:t>；</w:t>
      </w:r>
    </w:p>
    <w:p w14:paraId="57FD06D6">
      <w:pPr>
        <w:ind w:firstLine="411" w:firstLineChars="196"/>
        <w:rPr>
          <w:rFonts w:hint="eastAsia" w:ascii="宋体" w:hAnsi="宋体" w:eastAsia="宋体" w:cs="Times New Roman"/>
          <w:szCs w:val="21"/>
        </w:rPr>
      </w:pPr>
      <w:r>
        <w:rPr>
          <w:rFonts w:hint="eastAsia" w:ascii="宋体" w:hAnsi="宋体" w:eastAsia="宋体" w:cs="Times New Roman"/>
          <w:szCs w:val="21"/>
        </w:rPr>
        <w:t>3.3“投标人”，即供应商，指参加投标竞争并愿意按照招标文件要求向采购人提供货物、工程或者服务的依法成立的法人、其他组织或者自然人；</w:t>
      </w:r>
    </w:p>
    <w:p w14:paraId="4FB9239F">
      <w:pPr>
        <w:ind w:firstLine="411" w:firstLineChars="196"/>
        <w:rPr>
          <w:rFonts w:hint="eastAsia" w:ascii="宋体" w:hAnsi="宋体" w:eastAsia="宋体" w:cs="Times New Roman"/>
          <w:szCs w:val="21"/>
        </w:rPr>
      </w:pPr>
      <w:r>
        <w:rPr>
          <w:rFonts w:hint="eastAsia" w:ascii="宋体" w:hAnsi="宋体" w:eastAsia="宋体" w:cs="Times New Roman"/>
          <w:szCs w:val="21"/>
        </w:rPr>
        <w:t>3.4“评审委员会”是参照《深圳经济特区政府采购条例》、《深圳经济特区政府采购条例实施细则》等有关规定组建的专门负责本次招标其评审工作的临时性机构；</w:t>
      </w:r>
    </w:p>
    <w:p w14:paraId="7CE38D3B">
      <w:pPr>
        <w:ind w:firstLine="411" w:firstLineChars="196"/>
        <w:rPr>
          <w:rFonts w:hint="eastAsia" w:ascii="宋体" w:hAnsi="宋体" w:eastAsia="宋体" w:cs="Times New Roman"/>
          <w:szCs w:val="21"/>
        </w:rPr>
      </w:pPr>
      <w:r>
        <w:rPr>
          <w:rFonts w:hint="eastAsia" w:ascii="宋体" w:hAnsi="宋体" w:eastAsia="宋体" w:cs="Times New Roman"/>
          <w:szCs w:val="21"/>
        </w:rPr>
        <w:t>3.5“日期”</w:t>
      </w:r>
      <w:r>
        <w:rPr>
          <w:rFonts w:ascii="宋体" w:hAnsi="宋体" w:eastAsia="宋体" w:cs="Times New Roman"/>
          <w:szCs w:val="21"/>
        </w:rPr>
        <w:t>指</w:t>
      </w:r>
      <w:r>
        <w:rPr>
          <w:rFonts w:hint="eastAsia" w:ascii="宋体" w:hAnsi="宋体" w:eastAsia="宋体" w:cs="Times New Roman"/>
          <w:szCs w:val="21"/>
        </w:rPr>
        <w:t>公历日；</w:t>
      </w:r>
    </w:p>
    <w:p w14:paraId="4737D581">
      <w:pPr>
        <w:ind w:firstLine="411" w:firstLineChars="196"/>
        <w:rPr>
          <w:rFonts w:hint="eastAsia" w:ascii="宋体" w:hAnsi="宋体" w:eastAsia="宋体" w:cs="Times New Roman"/>
          <w:szCs w:val="21"/>
        </w:rPr>
      </w:pPr>
      <w:r>
        <w:rPr>
          <w:rFonts w:hint="eastAsia" w:ascii="宋体" w:hAnsi="宋体" w:eastAsia="宋体" w:cs="Times New Roman"/>
          <w:szCs w:val="21"/>
        </w:rPr>
        <w:t>3.6“合同”指由本次招标所产生的合同或合约文件；</w:t>
      </w:r>
    </w:p>
    <w:p w14:paraId="2D9057D7">
      <w:pPr>
        <w:ind w:firstLine="411" w:firstLineChars="196"/>
        <w:rPr>
          <w:rFonts w:hint="eastAsia" w:ascii="宋体" w:hAnsi="宋体" w:eastAsia="宋体" w:cs="Times New Roman"/>
          <w:szCs w:val="21"/>
        </w:rPr>
      </w:pPr>
      <w:r>
        <w:rPr>
          <w:rFonts w:hint="eastAsia" w:ascii="宋体" w:hAnsi="宋体" w:eastAsia="宋体" w:cs="Times New Roman"/>
          <w:szCs w:val="21"/>
        </w:rPr>
        <w:t>3.7“电子投标文件”指利用</w:t>
      </w:r>
      <w:r>
        <w:rPr>
          <w:rFonts w:hint="eastAsia" w:ascii="宋体" w:hAnsi="宋体" w:eastAsia="宋体" w:cs="Times New Roman"/>
          <w:b/>
          <w:bCs/>
          <w:color w:val="FF0000"/>
          <w:szCs w:val="21"/>
        </w:rPr>
        <w:t>深圳公共资源交易中心（深圳交易集团有限公司</w:t>
      </w:r>
      <w:r>
        <w:rPr>
          <w:rFonts w:hint="eastAsia" w:ascii="宋体" w:hAnsi="宋体" w:eastAsia="宋体" w:cs="Times New Roman"/>
          <w:b/>
          <w:bCs/>
          <w:color w:val="FF0000"/>
          <w:szCs w:val="21"/>
          <w:lang w:eastAsia="zh-CN"/>
        </w:rPr>
        <w:t>龙岗</w:t>
      </w:r>
      <w:r>
        <w:rPr>
          <w:rFonts w:hint="eastAsia" w:ascii="宋体" w:hAnsi="宋体" w:eastAsia="宋体" w:cs="Times New Roman"/>
          <w:b/>
          <w:bCs/>
          <w:color w:val="FF0000"/>
          <w:szCs w:val="21"/>
        </w:rPr>
        <w:t>分公司）</w:t>
      </w:r>
      <w:r>
        <w:rPr>
          <w:rFonts w:hint="eastAsia" w:ascii="宋体" w:hAnsi="宋体" w:eastAsia="宋体" w:cs="Times New Roman"/>
          <w:szCs w:val="21"/>
        </w:rPr>
        <w:t>网站提供的深圳市自行采购系统投标文件编制工具（以下简称：投标文件制作软件）制作并加密的投标文件,适用于网上投标；（投标文件制作软件可从“下载地址：https://www.szggzy.com/jyfw/details.html?contentId=2053275”下载）</w:t>
      </w:r>
    </w:p>
    <w:p w14:paraId="0AF82F42">
      <w:pPr>
        <w:ind w:firstLine="411" w:firstLineChars="196"/>
        <w:rPr>
          <w:rFonts w:hint="eastAsia" w:ascii="宋体" w:hAnsi="宋体" w:eastAsia="宋体" w:cs="Times New Roman"/>
          <w:szCs w:val="21"/>
        </w:rPr>
      </w:pPr>
      <w:r>
        <w:rPr>
          <w:rFonts w:hint="eastAsia" w:ascii="宋体" w:hAnsi="宋体" w:eastAsia="宋体" w:cs="Times New Roman"/>
          <w:szCs w:val="21"/>
        </w:rPr>
        <w:t>3.8“网上投标”指通过</w:t>
      </w:r>
      <w:r>
        <w:rPr>
          <w:rFonts w:hint="eastAsia" w:ascii="宋体" w:hAnsi="宋体" w:eastAsia="宋体" w:cs="Times New Roman"/>
          <w:b/>
          <w:bCs/>
          <w:color w:val="FF0000"/>
          <w:szCs w:val="21"/>
        </w:rPr>
        <w:t>深圳政府采购自行采购系统</w:t>
      </w:r>
      <w:r>
        <w:rPr>
          <w:rFonts w:hint="eastAsia" w:ascii="宋体" w:hAnsi="宋体" w:eastAsia="宋体" w:cs="Times New Roman"/>
          <w:szCs w:val="21"/>
        </w:rPr>
        <w:t>网站上传电子投标文件；</w:t>
      </w:r>
    </w:p>
    <w:p w14:paraId="4CBAE784">
      <w:pPr>
        <w:ind w:firstLine="411" w:firstLineChars="196"/>
        <w:rPr>
          <w:rFonts w:hint="eastAsia" w:ascii="宋体" w:hAnsi="宋体" w:eastAsia="宋体" w:cs="Times New Roman"/>
          <w:szCs w:val="21"/>
        </w:rPr>
      </w:pPr>
      <w:r>
        <w:rPr>
          <w:rFonts w:hint="eastAsia" w:ascii="宋体" w:hAnsi="宋体" w:eastAsia="宋体" w:cs="Times New Roman"/>
          <w:szCs w:val="21"/>
        </w:rPr>
        <w:t>3.9招标文件中的标题或题名仅起引导作用，而不应视为对招标文件内容的理解和解释。</w:t>
      </w:r>
    </w:p>
    <w:p w14:paraId="3E1E5956">
      <w:pPr>
        <w:rPr>
          <w:rFonts w:hint="eastAsia" w:ascii="黑体" w:hAnsi="宋体" w:eastAsia="黑体" w:cs="Times New Roman"/>
          <w:sz w:val="24"/>
        </w:rPr>
      </w:pPr>
      <w:r>
        <w:rPr>
          <w:rFonts w:hint="eastAsia" w:ascii="黑体" w:hAnsi="宋体" w:eastAsia="黑体" w:cs="Times New Roman"/>
          <w:sz w:val="24"/>
        </w:rPr>
        <w:t xml:space="preserve">4. </w:t>
      </w:r>
      <w:bookmarkStart w:id="70" w:name="_Hlk72398643"/>
      <w:r>
        <w:rPr>
          <w:rFonts w:hint="eastAsia" w:ascii="黑体" w:hAnsi="宋体" w:eastAsia="黑体" w:cs="Times New Roman"/>
          <w:sz w:val="24"/>
        </w:rPr>
        <w:t>采购供应商责任</w:t>
      </w:r>
    </w:p>
    <w:p w14:paraId="443919DA">
      <w:pPr>
        <w:ind w:firstLine="411" w:firstLineChars="196"/>
        <w:rPr>
          <w:rFonts w:hint="eastAsia" w:ascii="宋体" w:hAnsi="宋体" w:eastAsia="宋体" w:cs="Times New Roman"/>
          <w:szCs w:val="21"/>
        </w:rPr>
      </w:pPr>
      <w:r>
        <w:rPr>
          <w:rFonts w:hint="eastAsia" w:ascii="宋体" w:hAnsi="宋体" w:eastAsia="宋体" w:cs="Times New Roman"/>
          <w:szCs w:val="21"/>
        </w:rPr>
        <w:t>4.1欢迎诚信、有实力和有社会责任心的供应商参与自行采购事业。</w:t>
      </w:r>
    </w:p>
    <w:p w14:paraId="6447348F">
      <w:pPr>
        <w:ind w:firstLine="411" w:firstLineChars="196"/>
        <w:rPr>
          <w:rFonts w:hint="eastAsia" w:ascii="宋体" w:hAnsi="宋体" w:eastAsia="宋体" w:cs="Times New Roman"/>
          <w:szCs w:val="21"/>
        </w:rPr>
      </w:pPr>
      <w:r>
        <w:rPr>
          <w:rFonts w:hint="eastAsia" w:ascii="宋体" w:hAnsi="宋体" w:eastAsia="宋体" w:cs="Times New Roman"/>
          <w:szCs w:val="21"/>
        </w:rPr>
        <w:t>4.2投标人应当遵循公平竞争的原则，不得恶意串通，不得妨碍其他投标人的竞争行为，不得损害采购人或者其他投标人的合法权益。如违反上述要求，经核实后，供应商的投标无效。</w:t>
      </w:r>
    </w:p>
    <w:p w14:paraId="5E9E7C89">
      <w:pPr>
        <w:rPr>
          <w:rFonts w:hint="eastAsia" w:ascii="黑体" w:hAnsi="宋体" w:eastAsia="黑体" w:cs="Times New Roman"/>
          <w:sz w:val="24"/>
        </w:rPr>
      </w:pPr>
      <w:r>
        <w:rPr>
          <w:rFonts w:hint="eastAsia" w:ascii="黑体" w:hAnsi="宋体" w:eastAsia="黑体" w:cs="Times New Roman"/>
          <w:sz w:val="24"/>
        </w:rPr>
        <w:t>5．投标人参加自行采购的条件</w:t>
      </w:r>
    </w:p>
    <w:p w14:paraId="521093D2">
      <w:pPr>
        <w:ind w:firstLine="411" w:firstLineChars="196"/>
        <w:jc w:val="left"/>
        <w:rPr>
          <w:rFonts w:hint="eastAsia" w:ascii="宋体" w:hAnsi="宋体" w:eastAsia="宋体" w:cs="Times New Roman"/>
          <w:szCs w:val="21"/>
        </w:rPr>
      </w:pPr>
      <w:r>
        <w:rPr>
          <w:rFonts w:hint="eastAsia" w:ascii="宋体" w:hAnsi="宋体" w:eastAsia="宋体" w:cs="Times New Roman"/>
          <w:szCs w:val="21"/>
        </w:rPr>
        <w:t>5.1投标人应在投标前到</w:t>
      </w:r>
      <w:r>
        <w:rPr>
          <w:rFonts w:hint="eastAsia" w:ascii="宋体" w:hAnsi="宋体" w:eastAsia="宋体" w:cs="Times New Roman"/>
          <w:b/>
          <w:bCs/>
          <w:szCs w:val="21"/>
        </w:rPr>
        <w:t>深圳公共资源交易中心（具体在深圳交易集团有限公司政府采购业务分公司进行办理）</w:t>
      </w:r>
      <w:r>
        <w:rPr>
          <w:rFonts w:hint="eastAsia" w:ascii="宋体" w:hAnsi="宋体" w:eastAsia="宋体" w:cs="Times New Roman"/>
          <w:szCs w:val="21"/>
        </w:rPr>
        <w:t>进行注册并办理电子密钥。《深圳政府采购自行采购系统用户操作指引（供应商）》详见www.szggzy.com网站“交易服务指南-政府采购-资料下载”。</w:t>
      </w:r>
    </w:p>
    <w:p w14:paraId="3BE6E51C">
      <w:pPr>
        <w:ind w:firstLine="411" w:firstLineChars="196"/>
        <w:jc w:val="left"/>
        <w:rPr>
          <w:rFonts w:hint="eastAsia" w:ascii="宋体" w:hAnsi="宋体" w:eastAsia="宋体" w:cs="Times New Roman"/>
          <w:szCs w:val="21"/>
        </w:rPr>
      </w:pPr>
      <w:r>
        <w:rPr>
          <w:rFonts w:hint="eastAsia" w:ascii="宋体" w:hAnsi="宋体" w:eastAsia="宋体" w:cs="Times New Roman"/>
          <w:szCs w:val="21"/>
        </w:rPr>
        <w:t>5.2投标人资格要求</w:t>
      </w:r>
    </w:p>
    <w:p w14:paraId="1F247E95">
      <w:pPr>
        <w:ind w:firstLine="411" w:firstLineChars="196"/>
        <w:rPr>
          <w:rFonts w:hint="eastAsia" w:ascii="宋体" w:hAnsi="宋体" w:eastAsia="宋体" w:cs="Times New Roman"/>
          <w:szCs w:val="21"/>
        </w:rPr>
      </w:pPr>
      <w:r>
        <w:rPr>
          <w:rFonts w:hint="eastAsia" w:ascii="宋体" w:hAnsi="宋体" w:eastAsia="宋体" w:cs="Times New Roman"/>
          <w:szCs w:val="21"/>
        </w:rPr>
        <w:t>参加本项目的投标人应具备的资格条件详见本项目招标公告中“投标人资格要求”（即申请人的资格要求）的内容。</w:t>
      </w:r>
    </w:p>
    <w:p w14:paraId="5D517818">
      <w:pPr>
        <w:ind w:firstLine="411" w:firstLineChars="196"/>
        <w:rPr>
          <w:rFonts w:hint="eastAsia" w:ascii="宋体" w:hAnsi="宋体" w:eastAsia="宋体" w:cs="Times New Roman"/>
          <w:szCs w:val="21"/>
        </w:rPr>
      </w:pPr>
      <w:r>
        <w:rPr>
          <w:rFonts w:hint="eastAsia" w:ascii="宋体" w:hAnsi="宋体" w:eastAsia="宋体" w:cs="Times New Roman"/>
          <w:szCs w:val="21"/>
        </w:rPr>
        <w:t>5.3联合体投标</w:t>
      </w:r>
    </w:p>
    <w:p w14:paraId="2326D7E0">
      <w:pPr>
        <w:ind w:firstLine="411" w:firstLineChars="196"/>
        <w:rPr>
          <w:rFonts w:hint="eastAsia" w:ascii="宋体" w:hAnsi="宋体" w:eastAsia="宋体" w:cs="Times New Roman"/>
          <w:szCs w:val="21"/>
        </w:rPr>
      </w:pPr>
      <w:r>
        <w:rPr>
          <w:rFonts w:hint="eastAsia" w:ascii="宋体" w:hAnsi="宋体" w:eastAsia="宋体" w:cs="Times New Roman"/>
          <w:szCs w:val="21"/>
        </w:rPr>
        <w:t>5.3.1 以下有关联合体投标的条款仅适用于允许投标人组成联合体投标的项目。</w:t>
      </w:r>
    </w:p>
    <w:p w14:paraId="1A32BC3B">
      <w:pPr>
        <w:ind w:firstLine="411" w:firstLineChars="196"/>
        <w:rPr>
          <w:rFonts w:hint="eastAsia" w:ascii="宋体" w:hAnsi="宋体" w:eastAsia="宋体" w:cs="Times New Roman"/>
          <w:szCs w:val="21"/>
        </w:rPr>
      </w:pPr>
      <w:r>
        <w:rPr>
          <w:rFonts w:hint="eastAsia" w:ascii="宋体" w:hAnsi="宋体" w:eastAsia="宋体" w:cs="Times New Roman"/>
          <w:szCs w:val="21"/>
        </w:rPr>
        <w:t>5.3.2 由两个或两个以上的自然人、法人或者其他组织可以组成一个联合体，以一个供应商的身份共同投标时，应符合以下原则：</w:t>
      </w:r>
    </w:p>
    <w:p w14:paraId="7D3C3B24">
      <w:pPr>
        <w:ind w:firstLine="411" w:firstLineChars="196"/>
        <w:rPr>
          <w:rFonts w:hint="eastAsia" w:ascii="宋体" w:hAnsi="宋体" w:eastAsia="宋体" w:cs="Times New Roman"/>
        </w:rPr>
      </w:pPr>
      <w:r>
        <w:rPr>
          <w:rFonts w:hint="eastAsia" w:ascii="宋体" w:hAnsi="宋体" w:eastAsia="宋体" w:cs="Times New Roman"/>
        </w:rPr>
        <w:t>（1）投标联合体各方参加采购活动应当具备下列条件：</w:t>
      </w:r>
      <w:r>
        <w:rPr>
          <w:rFonts w:ascii="宋体" w:hAnsi="宋体" w:eastAsia="宋体" w:cs="Times New Roman"/>
        </w:rPr>
        <w:t xml:space="preserve"> </w:t>
      </w:r>
    </w:p>
    <w:p w14:paraId="022417AE">
      <w:pPr>
        <w:ind w:left="420" w:leftChars="200" w:firstLine="411" w:firstLineChars="196"/>
        <w:rPr>
          <w:rFonts w:hint="eastAsia" w:ascii="宋体" w:hAnsi="宋体" w:eastAsia="宋体" w:cs="Times New Roman"/>
        </w:rPr>
      </w:pPr>
      <w:r>
        <w:rPr>
          <w:rFonts w:hint="eastAsia" w:ascii="宋体" w:hAnsi="宋体" w:eastAsia="宋体" w:cs="Times New Roman"/>
        </w:rPr>
        <w:t>1、具有独立承担民事责任的能力；</w:t>
      </w:r>
      <w:r>
        <w:rPr>
          <w:rFonts w:ascii="宋体" w:hAnsi="宋体" w:eastAsia="宋体" w:cs="Times New Roman"/>
        </w:rPr>
        <w:t xml:space="preserve"> </w:t>
      </w:r>
    </w:p>
    <w:p w14:paraId="2057D258">
      <w:pPr>
        <w:ind w:left="420" w:firstLine="411" w:firstLineChars="196"/>
        <w:rPr>
          <w:rFonts w:hint="eastAsia" w:ascii="宋体" w:hAnsi="宋体" w:eastAsia="宋体" w:cs="Times New Roman"/>
        </w:rPr>
      </w:pPr>
      <w:r>
        <w:rPr>
          <w:rFonts w:hint="eastAsia" w:ascii="宋体" w:hAnsi="宋体" w:eastAsia="宋体" w:cs="Times New Roman"/>
        </w:rPr>
        <w:t>2、有良好的商业信誉和健全的财务会计制度；</w:t>
      </w:r>
      <w:r>
        <w:rPr>
          <w:rFonts w:ascii="宋体" w:hAnsi="宋体" w:eastAsia="宋体" w:cs="Times New Roman"/>
        </w:rPr>
        <w:t xml:space="preserve"> </w:t>
      </w:r>
    </w:p>
    <w:p w14:paraId="5678C4FE">
      <w:pPr>
        <w:ind w:left="420" w:leftChars="200" w:firstLine="411" w:firstLineChars="196"/>
        <w:rPr>
          <w:rFonts w:hint="eastAsia" w:ascii="宋体" w:hAnsi="宋体" w:eastAsia="宋体" w:cs="Times New Roman"/>
        </w:rPr>
      </w:pPr>
      <w:r>
        <w:rPr>
          <w:rFonts w:hint="eastAsia" w:ascii="宋体" w:hAnsi="宋体" w:eastAsia="宋体" w:cs="Times New Roman"/>
        </w:rPr>
        <w:t>3、具有履行合同所必需的设备和专业技术能力；</w:t>
      </w:r>
      <w:r>
        <w:rPr>
          <w:rFonts w:ascii="宋体" w:hAnsi="宋体" w:eastAsia="宋体" w:cs="Times New Roman"/>
        </w:rPr>
        <w:t xml:space="preserve"> </w:t>
      </w:r>
    </w:p>
    <w:p w14:paraId="20BA42D7">
      <w:pPr>
        <w:ind w:left="420" w:leftChars="200" w:firstLine="411" w:firstLineChars="196"/>
        <w:rPr>
          <w:rFonts w:hint="eastAsia" w:ascii="宋体" w:hAnsi="宋体" w:eastAsia="宋体" w:cs="Times New Roman"/>
        </w:rPr>
      </w:pPr>
      <w:r>
        <w:rPr>
          <w:rFonts w:hint="eastAsia" w:ascii="宋体" w:hAnsi="宋体" w:eastAsia="宋体" w:cs="Times New Roman"/>
        </w:rPr>
        <w:t>4、有依法缴纳税收和社会保障资金的良好记录；</w:t>
      </w:r>
      <w:r>
        <w:rPr>
          <w:rFonts w:ascii="宋体" w:hAnsi="宋体" w:eastAsia="宋体" w:cs="Times New Roman"/>
        </w:rPr>
        <w:t xml:space="preserve"> </w:t>
      </w:r>
    </w:p>
    <w:p w14:paraId="6E067F6C">
      <w:pPr>
        <w:ind w:left="420" w:leftChars="200" w:firstLine="411" w:firstLineChars="196"/>
        <w:rPr>
          <w:rFonts w:hint="eastAsia" w:ascii="宋体" w:hAnsi="宋体" w:eastAsia="宋体" w:cs="Times New Roman"/>
        </w:rPr>
      </w:pPr>
      <w:r>
        <w:rPr>
          <w:rFonts w:hint="eastAsia" w:ascii="宋体" w:hAnsi="宋体" w:eastAsia="宋体" w:cs="Times New Roman"/>
        </w:rPr>
        <w:t>5、参加采购活动前三年内，在经营活动中没有重大违法记录；</w:t>
      </w:r>
      <w:r>
        <w:rPr>
          <w:rFonts w:ascii="宋体" w:hAnsi="宋体" w:eastAsia="宋体" w:cs="Times New Roman"/>
        </w:rPr>
        <w:t xml:space="preserve"> </w:t>
      </w:r>
    </w:p>
    <w:p w14:paraId="185B1B93">
      <w:pPr>
        <w:ind w:left="420" w:leftChars="200" w:firstLine="411" w:firstLineChars="196"/>
        <w:rPr>
          <w:rFonts w:hint="eastAsia" w:ascii="宋体" w:hAnsi="宋体" w:eastAsia="宋体" w:cs="Times New Roman"/>
        </w:rPr>
      </w:pPr>
      <w:r>
        <w:rPr>
          <w:rFonts w:hint="eastAsia" w:ascii="宋体" w:hAnsi="宋体" w:eastAsia="宋体" w:cs="Times New Roman"/>
        </w:rPr>
        <w:t>6、法律、行政法规规定的其他条件。</w:t>
      </w:r>
      <w:r>
        <w:rPr>
          <w:rFonts w:ascii="宋体" w:hAnsi="宋体" w:eastAsia="宋体" w:cs="Times New Roman"/>
        </w:rPr>
        <w:t xml:space="preserve"> </w:t>
      </w:r>
    </w:p>
    <w:p w14:paraId="78DABB34">
      <w:pPr>
        <w:ind w:firstLine="411" w:firstLineChars="196"/>
        <w:rPr>
          <w:rFonts w:hint="eastAsia" w:ascii="宋体" w:hAnsi="宋体" w:eastAsia="宋体" w:cs="Times New Roman"/>
        </w:rPr>
      </w:pPr>
      <w:r>
        <w:rPr>
          <w:rFonts w:hint="eastAsia" w:ascii="宋体" w:hAnsi="宋体" w:eastAsia="宋体" w:cs="Times New Roman"/>
        </w:rPr>
        <w:t>（2）在投标截止前，</w:t>
      </w:r>
      <w:r>
        <w:rPr>
          <w:rFonts w:hint="eastAsia" w:ascii="宋体" w:hAnsi="宋体" w:eastAsia="宋体" w:cs="Times New Roman"/>
          <w:szCs w:val="21"/>
        </w:rPr>
        <w:t>投标联合体各方均应注册成</w:t>
      </w:r>
      <w:r>
        <w:rPr>
          <w:rFonts w:hint="eastAsia" w:ascii="宋体" w:hAnsi="宋体" w:eastAsia="宋体" w:cs="Times New Roman"/>
          <w:b/>
          <w:bCs/>
          <w:color w:val="FF0000"/>
          <w:szCs w:val="21"/>
        </w:rPr>
        <w:t>深圳政府采购自行采购系统</w:t>
      </w:r>
      <w:r>
        <w:rPr>
          <w:rFonts w:hint="eastAsia" w:ascii="宋体" w:hAnsi="宋体" w:eastAsia="宋体" w:cs="Times New Roman"/>
          <w:szCs w:val="21"/>
        </w:rPr>
        <w:t>供应商</w:t>
      </w:r>
      <w:r>
        <w:rPr>
          <w:rFonts w:hint="eastAsia" w:ascii="宋体" w:hAnsi="宋体" w:eastAsia="宋体" w:cs="Times New Roman"/>
        </w:rPr>
        <w:t>；</w:t>
      </w:r>
    </w:p>
    <w:p w14:paraId="433EAE53">
      <w:pPr>
        <w:ind w:firstLine="411" w:firstLineChars="196"/>
        <w:rPr>
          <w:rFonts w:hint="eastAsia" w:ascii="宋体" w:hAnsi="宋体" w:eastAsia="宋体" w:cs="Times New Roman"/>
        </w:rPr>
      </w:pPr>
      <w:r>
        <w:rPr>
          <w:rFonts w:hint="eastAsia" w:ascii="宋体" w:hAnsi="宋体" w:eastAsia="宋体" w:cs="Times New Roman"/>
        </w:rPr>
        <w:t>（3）联合体中有同类资质的供应商按照联合体分工承担相同工作的，应当按照资质等级较低的供应商确定资质等级；</w:t>
      </w:r>
    </w:p>
    <w:p w14:paraId="77A6090F">
      <w:pPr>
        <w:ind w:firstLine="411" w:firstLineChars="196"/>
        <w:rPr>
          <w:rFonts w:ascii="Times New Roman" w:hAnsi="Times New Roman" w:eastAsia="宋体" w:cs="Times New Roman"/>
        </w:rPr>
      </w:pPr>
      <w:r>
        <w:rPr>
          <w:rFonts w:hint="eastAsia" w:ascii="Times New Roman" w:hAnsi="Times New Roman" w:eastAsia="宋体" w:cs="Times New Roman"/>
        </w:rPr>
        <w:t>（4）是否允许联合体参加投标，应当由采购人和采购代理机构根据项目的实际情况和潜在供应商的数量自主决定，如果决定接受联合体投标则应当在招标公告中明示；</w:t>
      </w:r>
    </w:p>
    <w:p w14:paraId="366E1854">
      <w:pPr>
        <w:ind w:firstLine="411" w:firstLineChars="196"/>
        <w:rPr>
          <w:rFonts w:hint="eastAsia" w:ascii="宋体" w:hAnsi="宋体" w:eastAsia="宋体" w:cs="Times New Roman"/>
        </w:rPr>
      </w:pPr>
      <w:r>
        <w:rPr>
          <w:rFonts w:hint="eastAsia" w:ascii="宋体" w:hAnsi="宋体" w:eastAsia="宋体" w:cs="Times New Roman"/>
        </w:rPr>
        <w:t>（5）投标人的投标文件及中标后签署的合同协议对联合体各方均具法律约束力；</w:t>
      </w:r>
    </w:p>
    <w:p w14:paraId="5B03CF3F">
      <w:pPr>
        <w:ind w:firstLine="411" w:firstLineChars="196"/>
        <w:rPr>
          <w:rFonts w:hint="eastAsia" w:ascii="宋体" w:hAnsi="宋体" w:eastAsia="宋体" w:cs="Times New Roman"/>
        </w:rPr>
      </w:pPr>
      <w:r>
        <w:rPr>
          <w:rFonts w:hint="eastAsia" w:ascii="宋体" w:hAnsi="宋体" w:eastAsia="宋体" w:cs="Times New Roman"/>
        </w:rPr>
        <w:t>（6）联合体各方应当签订联合体投标协议，明确约定各方拟承担的工作和责任，并将该协议随投标文件一并递交给政府集中采购机构；</w:t>
      </w:r>
    </w:p>
    <w:p w14:paraId="36BBB968">
      <w:pPr>
        <w:ind w:firstLine="411" w:firstLineChars="196"/>
        <w:rPr>
          <w:rFonts w:hint="eastAsia" w:ascii="宋体" w:hAnsi="宋体" w:eastAsia="宋体" w:cs="Times New Roman"/>
        </w:rPr>
      </w:pPr>
      <w:r>
        <w:rPr>
          <w:rFonts w:hint="eastAsia" w:ascii="宋体" w:hAnsi="宋体" w:eastAsia="宋体" w:cs="Times New Roman"/>
        </w:rPr>
        <w:t>（7）联合体中标后，联合体各方应当共同与采购人签订合同，就中标项目向采购人承担连带责任；</w:t>
      </w:r>
    </w:p>
    <w:p w14:paraId="00D83F01">
      <w:pPr>
        <w:ind w:firstLine="411" w:firstLineChars="196"/>
        <w:rPr>
          <w:rFonts w:hint="eastAsia" w:ascii="宋体" w:hAnsi="宋体" w:eastAsia="宋体" w:cs="Times New Roman"/>
        </w:rPr>
      </w:pPr>
      <w:r>
        <w:rPr>
          <w:rFonts w:hint="eastAsia" w:ascii="宋体" w:hAnsi="宋体" w:eastAsia="宋体" w:cs="Times New Roman"/>
        </w:rPr>
        <w:t>（8）以联合体形式参加采购活动的，联合体各方不得再单独参加或者与其他供应商另外组成联合体参加同一合同项下的采购活动，出现上述情况者，其投标和与此有关联合体、总包单位的投标将被拒绝；</w:t>
      </w:r>
    </w:p>
    <w:p w14:paraId="7A8C05DE">
      <w:pPr>
        <w:ind w:firstLine="411" w:firstLineChars="196"/>
        <w:rPr>
          <w:rFonts w:hint="eastAsia" w:ascii="宋体" w:hAnsi="宋体" w:eastAsia="宋体" w:cs="Times New Roman"/>
          <w:szCs w:val="21"/>
        </w:rPr>
      </w:pPr>
      <w:r>
        <w:rPr>
          <w:rFonts w:hint="eastAsia" w:ascii="宋体" w:hAnsi="宋体" w:eastAsia="宋体" w:cs="Times New Roman"/>
        </w:rPr>
        <w:t>（9）本通用条款中“投标人”一词亦指联合体各方，专用条款另有规定或说明的除外。</w:t>
      </w:r>
    </w:p>
    <w:p w14:paraId="308B32BD">
      <w:pPr>
        <w:rPr>
          <w:rFonts w:hint="eastAsia" w:ascii="黑体" w:hAnsi="宋体" w:eastAsia="黑体" w:cs="Times New Roman"/>
          <w:sz w:val="24"/>
        </w:rPr>
      </w:pPr>
      <w:r>
        <w:rPr>
          <w:rFonts w:hint="eastAsia" w:ascii="黑体" w:hAnsi="宋体" w:eastAsia="黑体" w:cs="Times New Roman"/>
          <w:sz w:val="24"/>
        </w:rPr>
        <w:t>6．政策导向</w:t>
      </w:r>
    </w:p>
    <w:p w14:paraId="47C19CC7">
      <w:pPr>
        <w:ind w:firstLine="411" w:firstLineChars="196"/>
        <w:rPr>
          <w:rFonts w:hint="eastAsia" w:ascii="宋体" w:hAnsi="宋体" w:eastAsia="宋体" w:cs="Times New Roman"/>
        </w:rPr>
      </w:pPr>
      <w:r>
        <w:rPr>
          <w:rFonts w:hint="eastAsia" w:ascii="宋体" w:hAnsi="宋体" w:eastAsia="宋体" w:cs="Times New Roman"/>
        </w:rPr>
        <w:t>6.1</w:t>
      </w:r>
      <w:r>
        <w:rPr>
          <w:rFonts w:ascii="宋体" w:hAnsi="宋体" w:eastAsia="宋体" w:cs="Times New Roman"/>
        </w:rPr>
        <w:t xml:space="preserve">  </w:t>
      </w:r>
      <w:r>
        <w:rPr>
          <w:rFonts w:hint="eastAsia" w:ascii="宋体" w:hAnsi="宋体" w:eastAsia="宋体" w:cs="Times New Roman"/>
        </w:rPr>
        <w:t>采购支持本国产品、支持中小企业、监狱企业和残疾人福利性单位发展，支持乡村产业振兴，支持创新、节能减排、绿色环保等。</w:t>
      </w:r>
    </w:p>
    <w:p w14:paraId="6B541CB3">
      <w:pPr>
        <w:ind w:firstLine="405"/>
        <w:rPr>
          <w:rFonts w:hint="eastAsia" w:ascii="宋体" w:hAnsi="宋体" w:eastAsia="宋体" w:cs="Times New Roman"/>
        </w:rPr>
      </w:pPr>
      <w:r>
        <w:rPr>
          <w:rFonts w:hint="eastAsia" w:ascii="宋体" w:hAnsi="宋体" w:eastAsia="宋体" w:cs="Times New Roman"/>
        </w:rPr>
        <w:t>6.2</w:t>
      </w:r>
      <w:r>
        <w:rPr>
          <w:rFonts w:ascii="宋体" w:hAnsi="宋体" w:eastAsia="宋体" w:cs="Times New Roman"/>
        </w:rPr>
        <w:t xml:space="preserve">  </w:t>
      </w:r>
      <w:r>
        <w:rPr>
          <w:rFonts w:hint="eastAsia" w:ascii="宋体" w:hAnsi="宋体" w:eastAsia="宋体" w:cs="Times New Roman"/>
        </w:rPr>
        <w:t>本项目落实深圳市政府采购供应商诚信管理政策要求。</w:t>
      </w:r>
    </w:p>
    <w:p w14:paraId="1D0C18D8">
      <w:pPr>
        <w:ind w:firstLine="405"/>
        <w:rPr>
          <w:rFonts w:ascii="Times New Roman" w:hAnsi="Times New Roman" w:eastAsia="宋体" w:cs="Times New Roman"/>
        </w:rPr>
      </w:pPr>
      <w:r>
        <w:rPr>
          <w:rFonts w:hint="eastAsia" w:ascii="宋体" w:hAnsi="宋体" w:eastAsia="宋体" w:cs="Times New Roman"/>
        </w:rPr>
        <w:t>6.3  本项目支持投标人性别平等的相关政策。</w:t>
      </w:r>
    </w:p>
    <w:p w14:paraId="68850998">
      <w:pPr>
        <w:rPr>
          <w:rFonts w:hint="eastAsia" w:ascii="黑体" w:hAnsi="宋体" w:eastAsia="黑体" w:cs="Times New Roman"/>
          <w:sz w:val="24"/>
        </w:rPr>
      </w:pPr>
      <w:r>
        <w:rPr>
          <w:rFonts w:hint="eastAsia" w:ascii="黑体" w:hAnsi="宋体" w:eastAsia="黑体" w:cs="Times New Roman"/>
          <w:sz w:val="24"/>
        </w:rPr>
        <w:t>7. 本项目若涉及采购货物，则合格的货物及相应服务应满足以下要求：</w:t>
      </w:r>
    </w:p>
    <w:p w14:paraId="2AD87438">
      <w:pPr>
        <w:ind w:firstLine="411" w:firstLineChars="196"/>
        <w:rPr>
          <w:rFonts w:hint="eastAsia" w:ascii="宋体" w:hAnsi="宋体" w:eastAsia="宋体" w:cs="Times New Roman"/>
        </w:rPr>
      </w:pPr>
      <w:r>
        <w:rPr>
          <w:rFonts w:hint="eastAsia" w:ascii="宋体" w:hAnsi="宋体" w:eastAsia="宋体" w:cs="Times New Roman"/>
        </w:rPr>
        <w:t>7</w:t>
      </w:r>
      <w:r>
        <w:rPr>
          <w:rFonts w:ascii="宋体" w:hAnsi="宋体" w:eastAsia="宋体" w:cs="Times New Roman"/>
        </w:rPr>
        <w:t xml:space="preserve">.1  </w:t>
      </w:r>
      <w:r>
        <w:rPr>
          <w:rFonts w:hint="eastAsia" w:ascii="宋体" w:hAnsi="宋体" w:eastAsia="宋体" w:cs="Times New Roman"/>
        </w:rPr>
        <w:t>必须是全新、未使用过的原装合格正品（包括零部件），如安装或配置了软件的，须为正版软件。</w:t>
      </w:r>
    </w:p>
    <w:p w14:paraId="4DECA2FA">
      <w:pPr>
        <w:ind w:firstLine="411" w:firstLineChars="196"/>
        <w:rPr>
          <w:rFonts w:hint="eastAsia" w:ascii="宋体" w:hAnsi="宋体" w:eastAsia="宋体" w:cs="Times New Roman"/>
        </w:rPr>
      </w:pPr>
      <w:r>
        <w:rPr>
          <w:rFonts w:hint="eastAsia" w:ascii="宋体" w:hAnsi="宋体" w:eastAsia="宋体" w:cs="Times New Roman"/>
        </w:rPr>
        <w:t>7.2  国产的货物及其有关服务必须符合中华人民共和国的设计、制造生产标准及行业标准。招标公告有其他要求的，亦应符合其要求。</w:t>
      </w:r>
    </w:p>
    <w:p w14:paraId="79854CF1">
      <w:pPr>
        <w:ind w:firstLine="411" w:firstLineChars="196"/>
        <w:rPr>
          <w:rFonts w:hint="eastAsia" w:ascii="宋体" w:hAnsi="宋体" w:eastAsia="宋体" w:cs="Times New Roman"/>
        </w:rPr>
      </w:pPr>
      <w:r>
        <w:rPr>
          <w:rFonts w:hint="eastAsia" w:ascii="宋体" w:hAnsi="宋体" w:eastAsia="宋体" w:cs="Times New Roman"/>
        </w:rPr>
        <w:t>7</w:t>
      </w:r>
      <w:r>
        <w:rPr>
          <w:rFonts w:ascii="宋体" w:hAnsi="宋体" w:eastAsia="宋体" w:cs="Times New Roman"/>
        </w:rPr>
        <w:t>.</w:t>
      </w:r>
      <w:r>
        <w:rPr>
          <w:rFonts w:hint="eastAsia" w:ascii="宋体" w:hAnsi="宋体" w:eastAsia="宋体" w:cs="Times New Roman"/>
        </w:rPr>
        <w:t>3</w:t>
      </w:r>
      <w:r>
        <w:rPr>
          <w:rFonts w:ascii="宋体" w:hAnsi="宋体" w:eastAsia="宋体" w:cs="Times New Roman"/>
        </w:rPr>
        <w:t xml:space="preserve">  </w:t>
      </w:r>
      <w:r>
        <w:rPr>
          <w:rFonts w:hint="eastAsia" w:ascii="宋体" w:hAnsi="宋体" w:eastAsia="宋体" w:cs="Times New Roman"/>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14:paraId="3DB3B1F8">
      <w:pPr>
        <w:ind w:firstLine="411" w:firstLineChars="196"/>
        <w:rPr>
          <w:rFonts w:hint="eastAsia" w:ascii="宋体" w:hAnsi="宋体" w:eastAsia="宋体" w:cs="Times New Roman"/>
        </w:rPr>
      </w:pPr>
      <w:r>
        <w:rPr>
          <w:rFonts w:hint="eastAsia" w:ascii="宋体" w:hAnsi="宋体" w:eastAsia="宋体" w:cs="Times New Roman"/>
        </w:rPr>
        <w:t>7</w:t>
      </w:r>
      <w:r>
        <w:rPr>
          <w:rFonts w:ascii="宋体" w:hAnsi="宋体" w:eastAsia="宋体" w:cs="Times New Roman"/>
        </w:rPr>
        <w:t>.</w:t>
      </w:r>
      <w:r>
        <w:rPr>
          <w:rFonts w:hint="eastAsia" w:ascii="宋体" w:hAnsi="宋体" w:eastAsia="宋体" w:cs="Times New Roman"/>
        </w:rPr>
        <w:t>4</w:t>
      </w:r>
      <w:r>
        <w:rPr>
          <w:rFonts w:ascii="宋体" w:hAnsi="宋体" w:eastAsia="宋体" w:cs="Times New Roman"/>
        </w:rPr>
        <w:t xml:space="preserve">  </w:t>
      </w:r>
      <w:r>
        <w:rPr>
          <w:rFonts w:hint="eastAsia" w:ascii="宋体" w:hAnsi="宋体" w:eastAsia="宋体" w:cs="Times New Roman"/>
        </w:rPr>
        <w:t>投标人</w:t>
      </w:r>
      <w:bookmarkStart w:id="71" w:name="_Hlk72152753"/>
      <w:r>
        <w:rPr>
          <w:rFonts w:hint="eastAsia" w:ascii="宋体" w:hAnsi="宋体" w:eastAsia="宋体" w:cs="Times New Roman"/>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71"/>
    </w:p>
    <w:p w14:paraId="71EF650A">
      <w:pPr>
        <w:ind w:firstLine="411" w:firstLineChars="196"/>
        <w:rPr>
          <w:rFonts w:hint="eastAsia" w:ascii="宋体" w:hAnsi="宋体" w:eastAsia="宋体" w:cs="Times New Roman"/>
        </w:rPr>
      </w:pPr>
      <w:r>
        <w:rPr>
          <w:rFonts w:hint="eastAsia" w:ascii="宋体" w:hAnsi="宋体" w:eastAsia="宋体" w:cs="Times New Roman"/>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7B035FCE">
      <w:pPr>
        <w:ind w:firstLine="411" w:firstLineChars="196"/>
        <w:rPr>
          <w:rFonts w:hint="eastAsia" w:ascii="宋体" w:hAnsi="宋体" w:eastAsia="宋体" w:cs="Times New Roman"/>
        </w:rPr>
      </w:pPr>
      <w:r>
        <w:rPr>
          <w:rFonts w:hint="eastAsia" w:ascii="宋体" w:hAnsi="宋体" w:eastAsia="宋体" w:cs="Times New Roman"/>
        </w:rPr>
        <w:t>7.6  工期要求：投标人在投标时对其所投项目应提交交货进度、交货计划等，在合同规定的时间内完成项目实施工作。</w:t>
      </w:r>
    </w:p>
    <w:p w14:paraId="42A6EE09">
      <w:pPr>
        <w:ind w:firstLine="411" w:firstLineChars="196"/>
        <w:rPr>
          <w:rFonts w:hint="eastAsia" w:ascii="宋体" w:hAnsi="宋体" w:eastAsia="宋体" w:cs="Times New Roman"/>
        </w:rPr>
      </w:pPr>
      <w:r>
        <w:rPr>
          <w:rFonts w:hint="eastAsia" w:ascii="宋体" w:hAnsi="宋体" w:eastAsia="宋体" w:cs="Times New Roman"/>
        </w:rPr>
        <w:t>7.7  投标人必须承担的设备运输、安装调试、验收检测和提供设备操作说明书、图纸等其他相关及类似的义务。</w:t>
      </w:r>
    </w:p>
    <w:p w14:paraId="53471D76">
      <w:pPr>
        <w:rPr>
          <w:rFonts w:hint="eastAsia" w:ascii="黑体" w:hAnsi="宋体" w:eastAsia="黑体" w:cs="Times New Roman"/>
          <w:sz w:val="24"/>
        </w:rPr>
      </w:pPr>
      <w:r>
        <w:rPr>
          <w:rFonts w:hint="eastAsia" w:ascii="黑体" w:hAnsi="宋体" w:eastAsia="黑体" w:cs="Times New Roman"/>
          <w:sz w:val="24"/>
        </w:rPr>
        <w:t>8．投标费用</w:t>
      </w:r>
    </w:p>
    <w:p w14:paraId="37B28C02">
      <w:pPr>
        <w:ind w:firstLine="411" w:firstLineChars="196"/>
        <w:rPr>
          <w:rFonts w:hint="eastAsia" w:ascii="宋体" w:hAnsi="宋体" w:eastAsia="宋体" w:cs="Times New Roman"/>
          <w:szCs w:val="21"/>
        </w:rPr>
      </w:pPr>
      <w:r>
        <w:rPr>
          <w:rFonts w:hint="eastAsia" w:ascii="宋体" w:hAnsi="宋体" w:eastAsia="宋体" w:cs="Times New Roman"/>
          <w:szCs w:val="21"/>
        </w:rPr>
        <w:t>不论投标结果如何，投标人应承担其编制投标文件与递交投标文件所涉及的一切费用。</w:t>
      </w:r>
    </w:p>
    <w:p w14:paraId="5E171D18">
      <w:pPr>
        <w:rPr>
          <w:rFonts w:hint="eastAsia" w:ascii="黑体" w:hAnsi="宋体" w:eastAsia="黑体" w:cs="Times New Roman"/>
          <w:sz w:val="24"/>
        </w:rPr>
      </w:pPr>
      <w:r>
        <w:rPr>
          <w:rFonts w:hint="eastAsia" w:ascii="黑体" w:hAnsi="宋体" w:eastAsia="黑体" w:cs="Times New Roman"/>
          <w:sz w:val="24"/>
        </w:rPr>
        <w:t>9．踏勘现场</w:t>
      </w:r>
    </w:p>
    <w:p w14:paraId="39CB32B6">
      <w:pPr>
        <w:ind w:firstLine="411" w:firstLineChars="196"/>
        <w:rPr>
          <w:rFonts w:hint="eastAsia" w:ascii="宋体" w:hAnsi="宋体" w:eastAsia="宋体" w:cs="Times New Roman"/>
          <w:szCs w:val="21"/>
        </w:rPr>
      </w:pPr>
      <w:r>
        <w:rPr>
          <w:rFonts w:hint="eastAsia" w:ascii="宋体" w:hAnsi="宋体" w:eastAsia="宋体" w:cs="Times New Roman"/>
          <w:szCs w:val="21"/>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14:paraId="12F25054">
      <w:pPr>
        <w:ind w:firstLine="411" w:firstLineChars="196"/>
        <w:rPr>
          <w:rFonts w:hint="eastAsia" w:ascii="宋体" w:hAnsi="宋体" w:eastAsia="宋体" w:cs="Times New Roman"/>
        </w:rPr>
      </w:pPr>
      <w:r>
        <w:rPr>
          <w:rFonts w:hint="eastAsia" w:ascii="宋体" w:hAnsi="宋体" w:eastAsia="宋体" w:cs="Times New Roman"/>
        </w:rPr>
        <w:t>9.2投标人及其人员经过采购人的允许，可以进入采购人的项目现场踏勘。若招标文件要求投标人于统一时间地点踏勘现场的，投标人应当按时前往。</w:t>
      </w:r>
    </w:p>
    <w:p w14:paraId="5D39340B">
      <w:pPr>
        <w:ind w:firstLine="411" w:firstLineChars="196"/>
        <w:rPr>
          <w:rFonts w:hint="eastAsia" w:ascii="宋体" w:hAnsi="宋体" w:eastAsia="宋体" w:cs="Times New Roman"/>
        </w:rPr>
      </w:pPr>
      <w:r>
        <w:rPr>
          <w:rFonts w:hint="eastAsia" w:ascii="宋体" w:hAnsi="宋体" w:eastAsia="宋体" w:cs="Times New Roman"/>
        </w:rPr>
        <w:t>9.3采购人应当通过政府集中采购机构向投标人提供有关现场的书面资料和数据。</w:t>
      </w:r>
    </w:p>
    <w:p w14:paraId="29E68E5D">
      <w:pPr>
        <w:ind w:firstLine="411" w:firstLineChars="196"/>
        <w:rPr>
          <w:rFonts w:hint="eastAsia" w:ascii="宋体" w:hAnsi="宋体" w:eastAsia="宋体" w:cs="Times New Roman"/>
        </w:rPr>
      </w:pPr>
      <w:r>
        <w:rPr>
          <w:rFonts w:hint="eastAsia" w:ascii="宋体" w:hAnsi="宋体" w:eastAsia="宋体" w:cs="Times New Roman"/>
        </w:rPr>
        <w:t>9.4任何人或任何组织在踏勘现场时向投标人提供的任何书面资料或口头承诺，未经政府集中采购机构在网上发布或书面通知，均作无效处理。</w:t>
      </w:r>
    </w:p>
    <w:p w14:paraId="2F4F8A61">
      <w:pPr>
        <w:ind w:firstLine="411" w:firstLineChars="196"/>
        <w:rPr>
          <w:rFonts w:hint="eastAsia" w:ascii="宋体" w:hAnsi="宋体" w:eastAsia="宋体" w:cs="Times New Roman"/>
        </w:rPr>
      </w:pPr>
      <w:r>
        <w:rPr>
          <w:rFonts w:ascii="宋体" w:hAnsi="宋体" w:eastAsia="宋体" w:cs="Times New Roman"/>
          <w:szCs w:val="21"/>
        </w:rPr>
        <w:t>9</w:t>
      </w:r>
      <w:r>
        <w:rPr>
          <w:rFonts w:hint="eastAsia" w:ascii="宋体" w:hAnsi="宋体" w:eastAsia="宋体" w:cs="Times New Roman"/>
          <w:szCs w:val="21"/>
        </w:rPr>
        <w:t>.</w:t>
      </w:r>
      <w:r>
        <w:rPr>
          <w:rFonts w:ascii="宋体" w:hAnsi="宋体" w:eastAsia="宋体" w:cs="Times New Roman"/>
          <w:szCs w:val="21"/>
        </w:rPr>
        <w:t>5</w:t>
      </w:r>
      <w:r>
        <w:rPr>
          <w:rFonts w:hint="eastAsia" w:ascii="宋体" w:hAnsi="宋体" w:eastAsia="宋体" w:cs="Times New Roman"/>
          <w:szCs w:val="21"/>
        </w:rPr>
        <w:t>未参与踏勘现场不作为否定投标人资格的理由。</w:t>
      </w:r>
    </w:p>
    <w:p w14:paraId="15B2A46B">
      <w:pPr>
        <w:rPr>
          <w:rFonts w:hint="eastAsia" w:ascii="宋体" w:hAnsi="宋体" w:eastAsia="宋体" w:cs="Times New Roman"/>
          <w:szCs w:val="21"/>
        </w:rPr>
      </w:pPr>
      <w:r>
        <w:rPr>
          <w:rFonts w:hint="eastAsia" w:ascii="黑体" w:hAnsi="宋体" w:eastAsia="黑体" w:cs="Times New Roman"/>
          <w:sz w:val="24"/>
        </w:rPr>
        <w:t>1</w:t>
      </w:r>
      <w:r>
        <w:rPr>
          <w:rFonts w:ascii="黑体" w:hAnsi="宋体" w:eastAsia="黑体" w:cs="Times New Roman"/>
          <w:sz w:val="24"/>
        </w:rPr>
        <w:t>0</w:t>
      </w:r>
      <w:r>
        <w:rPr>
          <w:rFonts w:hint="eastAsia" w:ascii="黑体" w:hAnsi="宋体" w:eastAsia="黑体" w:cs="Times New Roman"/>
          <w:sz w:val="24"/>
        </w:rPr>
        <w:t>．标前会议</w:t>
      </w:r>
    </w:p>
    <w:p w14:paraId="3C9D4485">
      <w:pPr>
        <w:ind w:firstLine="411" w:firstLineChars="196"/>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0</w:t>
      </w:r>
      <w:r>
        <w:rPr>
          <w:rFonts w:hint="eastAsia" w:ascii="宋体" w:hAnsi="宋体" w:eastAsia="宋体" w:cs="Times New Roman"/>
          <w:szCs w:val="21"/>
        </w:rPr>
        <w:t>.</w:t>
      </w:r>
      <w:r>
        <w:rPr>
          <w:rFonts w:ascii="宋体" w:hAnsi="宋体" w:eastAsia="宋体" w:cs="Times New Roman"/>
          <w:szCs w:val="21"/>
        </w:rPr>
        <w:t>1</w:t>
      </w:r>
      <w:r>
        <w:rPr>
          <w:rFonts w:hint="eastAsia" w:ascii="宋体" w:hAnsi="宋体" w:eastAsia="宋体" w:cs="Times New Roman"/>
          <w:szCs w:val="21"/>
        </w:rPr>
        <w:t>如采购人或政府集中采购机构认为有必要组织标前会议，投标人应按照招标文件规定的时间或政府集中采购机构另行书面通知（包括网站发布方式，如更正公告等）的时间和地点，参与标前会议。</w:t>
      </w:r>
    </w:p>
    <w:p w14:paraId="336A6665">
      <w:pPr>
        <w:ind w:firstLine="411" w:firstLineChars="196"/>
        <w:rPr>
          <w:rFonts w:hint="eastAsia" w:ascii="宋体" w:hAnsi="宋体" w:eastAsia="宋体" w:cs="Times New Roman"/>
          <w:szCs w:val="21"/>
        </w:rPr>
      </w:pPr>
      <w:r>
        <w:rPr>
          <w:rFonts w:ascii="宋体" w:hAnsi="宋体" w:eastAsia="宋体" w:cs="Times New Roman"/>
        </w:rPr>
        <w:t>10</w:t>
      </w:r>
      <w:r>
        <w:rPr>
          <w:rFonts w:hint="eastAsia" w:ascii="宋体" w:hAnsi="宋体" w:eastAsia="宋体" w:cs="Times New Roman"/>
        </w:rPr>
        <w:t>.</w:t>
      </w:r>
      <w:r>
        <w:rPr>
          <w:rFonts w:ascii="宋体" w:hAnsi="宋体" w:eastAsia="宋体" w:cs="Times New Roman"/>
        </w:rPr>
        <w:t>2</w:t>
      </w:r>
      <w:r>
        <w:rPr>
          <w:rFonts w:hint="eastAsia" w:ascii="宋体" w:hAnsi="宋体" w:eastAsia="宋体" w:cs="Times New Roman"/>
        </w:rPr>
        <w:t>任何人或任何组织在标前会议时向投标人提供的任何书面资料或口头承诺，未经政府集中采购机构在网上发布或书面通知，均作无效处理。</w:t>
      </w:r>
    </w:p>
    <w:p w14:paraId="05349C21">
      <w:pPr>
        <w:ind w:firstLine="411" w:firstLineChars="196"/>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0</w:t>
      </w:r>
      <w:r>
        <w:rPr>
          <w:rFonts w:hint="eastAsia" w:ascii="宋体" w:hAnsi="宋体" w:eastAsia="宋体" w:cs="Times New Roman"/>
          <w:szCs w:val="21"/>
        </w:rPr>
        <w:t>.</w:t>
      </w:r>
      <w:r>
        <w:rPr>
          <w:rFonts w:ascii="宋体" w:hAnsi="宋体" w:eastAsia="宋体" w:cs="Times New Roman"/>
          <w:szCs w:val="21"/>
        </w:rPr>
        <w:t>3</w:t>
      </w:r>
      <w:r>
        <w:rPr>
          <w:rFonts w:hint="eastAsia" w:ascii="宋体" w:hAnsi="宋体" w:eastAsia="宋体" w:cs="Times New Roman"/>
          <w:szCs w:val="21"/>
        </w:rPr>
        <w:t>未参与标前会议不作为否定投标人资格的理由。</w:t>
      </w:r>
    </w:p>
    <w:bookmarkEnd w:id="70"/>
    <w:p w14:paraId="6DC240B0">
      <w:pPr>
        <w:ind w:firstLine="411" w:firstLineChars="196"/>
        <w:rPr>
          <w:rFonts w:hint="eastAsia" w:ascii="宋体" w:hAnsi="宋体" w:eastAsia="宋体" w:cs="Times New Roman"/>
        </w:rPr>
      </w:pPr>
    </w:p>
    <w:p w14:paraId="2A21EBC5">
      <w:pPr>
        <w:keepNext/>
        <w:keepLines/>
        <w:numPr>
          <w:ilvl w:val="0"/>
          <w:numId w:val="11"/>
        </w:numPr>
        <w:adjustRightInd w:val="0"/>
        <w:spacing w:before="120" w:beforeLines="50" w:after="120" w:afterLines="50"/>
        <w:ind w:left="562" w:hanging="562"/>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招标文件</w:t>
      </w:r>
    </w:p>
    <w:p w14:paraId="7D5717A5">
      <w:pPr>
        <w:rPr>
          <w:rFonts w:hint="eastAsia" w:ascii="黑体" w:hAnsi="宋体" w:eastAsia="黑体" w:cs="Times New Roman"/>
          <w:sz w:val="24"/>
        </w:rPr>
      </w:pPr>
      <w:r>
        <w:rPr>
          <w:rFonts w:hint="eastAsia" w:ascii="黑体" w:hAnsi="宋体" w:eastAsia="黑体" w:cs="Times New Roman"/>
          <w:sz w:val="24"/>
        </w:rPr>
        <w:t>1</w:t>
      </w:r>
      <w:r>
        <w:rPr>
          <w:rFonts w:ascii="黑体" w:hAnsi="宋体" w:eastAsia="黑体" w:cs="Times New Roman"/>
          <w:sz w:val="24"/>
        </w:rPr>
        <w:t>1</w:t>
      </w:r>
      <w:r>
        <w:rPr>
          <w:rFonts w:hint="eastAsia" w:ascii="黑体" w:hAnsi="宋体" w:eastAsia="黑体" w:cs="Times New Roman"/>
          <w:sz w:val="24"/>
        </w:rPr>
        <w:t>．</w:t>
      </w:r>
      <w:bookmarkStart w:id="72" w:name="_Hlk72399819"/>
      <w:r>
        <w:rPr>
          <w:rFonts w:hint="eastAsia" w:ascii="黑体" w:hAnsi="宋体" w:eastAsia="黑体" w:cs="Times New Roman"/>
          <w:sz w:val="24"/>
        </w:rPr>
        <w:t>招标文件的编制与组成</w:t>
      </w:r>
    </w:p>
    <w:p w14:paraId="1E2157DC">
      <w:pPr>
        <w:snapToGrid w:val="0"/>
        <w:ind w:firstLine="420" w:firstLineChars="200"/>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1</w:t>
      </w:r>
      <w:r>
        <w:rPr>
          <w:rFonts w:hint="eastAsia" w:ascii="宋体" w:hAnsi="宋体" w:eastAsia="宋体" w:cs="Times New Roman"/>
          <w:szCs w:val="21"/>
        </w:rPr>
        <w:t>.1招标文件除以下内容外，政府集中采购机构在招标期间发出的澄清或修改等相关公告或通知内容，均是招标文件的组成部分，对投标人起约束作用；</w:t>
      </w:r>
    </w:p>
    <w:p w14:paraId="3B1419B9">
      <w:pPr>
        <w:ind w:firstLine="411" w:firstLineChars="196"/>
        <w:rPr>
          <w:rFonts w:hint="eastAsia" w:ascii="宋体" w:hAnsi="宋体" w:eastAsia="宋体" w:cs="Times New Roman"/>
          <w:szCs w:val="21"/>
        </w:rPr>
      </w:pPr>
      <w:r>
        <w:rPr>
          <w:rFonts w:hint="eastAsia" w:ascii="宋体" w:hAnsi="宋体" w:eastAsia="宋体" w:cs="Times New Roman"/>
          <w:szCs w:val="21"/>
        </w:rPr>
        <w:t>招标文件包括下列内容：</w:t>
      </w:r>
    </w:p>
    <w:p w14:paraId="24A85F05">
      <w:pPr>
        <w:ind w:left="420" w:leftChars="200" w:firstLine="413" w:firstLineChars="196"/>
        <w:rPr>
          <w:rFonts w:hint="eastAsia" w:ascii="宋体" w:hAnsi="宋体" w:eastAsia="宋体" w:cs="Times New Roman"/>
          <w:b/>
          <w:szCs w:val="21"/>
        </w:rPr>
      </w:pPr>
      <w:r>
        <w:rPr>
          <w:rFonts w:hint="eastAsia" w:ascii="宋体" w:hAnsi="宋体" w:eastAsia="宋体" w:cs="Times New Roman"/>
          <w:b/>
          <w:szCs w:val="21"/>
        </w:rPr>
        <w:t>第一册  专用条款</w:t>
      </w:r>
    </w:p>
    <w:p w14:paraId="20C26BFF">
      <w:pPr>
        <w:ind w:left="1079" w:leftChars="514"/>
        <w:rPr>
          <w:rFonts w:hint="eastAsia" w:ascii="宋体" w:hAnsi="宋体" w:eastAsia="宋体" w:cs="Times New Roman"/>
          <w:b/>
          <w:szCs w:val="21"/>
        </w:rPr>
      </w:pPr>
      <w:r>
        <w:rPr>
          <w:rFonts w:hint="eastAsia" w:ascii="宋体" w:hAnsi="宋体" w:eastAsia="宋体" w:cs="Times New Roman"/>
          <w:b/>
          <w:szCs w:val="21"/>
        </w:rPr>
        <w:t>关键信息</w:t>
      </w:r>
    </w:p>
    <w:p w14:paraId="2EEF796A">
      <w:pPr>
        <w:ind w:left="630" w:leftChars="300" w:firstLine="411" w:firstLineChars="196"/>
        <w:rPr>
          <w:rFonts w:hint="eastAsia" w:ascii="宋体" w:hAnsi="宋体" w:eastAsia="宋体" w:cs="Times New Roman"/>
          <w:szCs w:val="21"/>
        </w:rPr>
      </w:pPr>
      <w:r>
        <w:rPr>
          <w:rFonts w:hint="eastAsia" w:ascii="宋体" w:hAnsi="宋体" w:eastAsia="宋体" w:cs="Times New Roman"/>
          <w:szCs w:val="21"/>
        </w:rPr>
        <w:t>第一章  招标公告</w:t>
      </w:r>
    </w:p>
    <w:p w14:paraId="424BF8C6">
      <w:pPr>
        <w:ind w:left="630" w:leftChars="300" w:firstLine="411" w:firstLineChars="196"/>
        <w:rPr>
          <w:rFonts w:hint="eastAsia" w:ascii="宋体" w:hAnsi="宋体" w:eastAsia="宋体" w:cs="Times New Roman"/>
          <w:szCs w:val="21"/>
        </w:rPr>
      </w:pPr>
      <w:r>
        <w:rPr>
          <w:rFonts w:hint="eastAsia" w:ascii="宋体" w:hAnsi="宋体" w:eastAsia="宋体" w:cs="Times New Roman"/>
          <w:szCs w:val="21"/>
        </w:rPr>
        <w:t>第二章  对通用条款的补充内容及其他关键信息</w:t>
      </w:r>
    </w:p>
    <w:p w14:paraId="2649D153">
      <w:pPr>
        <w:ind w:left="630" w:leftChars="300" w:firstLine="411" w:firstLineChars="196"/>
        <w:rPr>
          <w:rFonts w:hint="eastAsia" w:ascii="宋体" w:hAnsi="宋体" w:eastAsia="宋体" w:cs="Times New Roman"/>
          <w:szCs w:val="21"/>
        </w:rPr>
      </w:pPr>
      <w:r>
        <w:rPr>
          <w:rFonts w:hint="eastAsia" w:ascii="宋体" w:hAnsi="宋体" w:eastAsia="宋体" w:cs="Times New Roman"/>
          <w:szCs w:val="21"/>
        </w:rPr>
        <w:t>第三章  用户需求书</w:t>
      </w:r>
    </w:p>
    <w:p w14:paraId="291BBF92">
      <w:pPr>
        <w:ind w:left="630" w:leftChars="300" w:firstLine="411" w:firstLineChars="196"/>
        <w:rPr>
          <w:rFonts w:hint="eastAsia" w:ascii="宋体" w:hAnsi="宋体" w:eastAsia="宋体" w:cs="Times New Roman"/>
          <w:szCs w:val="21"/>
        </w:rPr>
      </w:pPr>
      <w:r>
        <w:rPr>
          <w:rFonts w:hint="eastAsia" w:ascii="Times New Roman" w:hAnsi="Times New Roman" w:eastAsia="宋体" w:cs="Times New Roman"/>
        </w:rPr>
        <w:t xml:space="preserve">第四章 </w:t>
      </w:r>
      <w:r>
        <w:rPr>
          <w:rFonts w:ascii="Times New Roman" w:hAnsi="Times New Roman" w:eastAsia="宋体" w:cs="Times New Roman"/>
        </w:rPr>
        <w:t xml:space="preserve"> </w:t>
      </w:r>
      <w:r>
        <w:rPr>
          <w:rFonts w:hint="eastAsia" w:ascii="Times New Roman" w:hAnsi="Times New Roman" w:eastAsia="宋体" w:cs="Times New Roman"/>
        </w:rPr>
        <w:t>投标文件格式及附件</w:t>
      </w:r>
    </w:p>
    <w:p w14:paraId="6BAC70B9">
      <w:pPr>
        <w:ind w:left="630" w:leftChars="300" w:firstLine="411" w:firstLineChars="196"/>
        <w:rPr>
          <w:rFonts w:hint="eastAsia" w:ascii="宋体" w:hAnsi="宋体" w:eastAsia="宋体" w:cs="Times New Roman"/>
          <w:szCs w:val="21"/>
        </w:rPr>
      </w:pPr>
      <w:r>
        <w:rPr>
          <w:rFonts w:hint="eastAsia" w:ascii="宋体" w:hAnsi="宋体" w:eastAsia="宋体" w:cs="Times New Roman"/>
          <w:szCs w:val="21"/>
        </w:rPr>
        <w:t>第五章  合同条款及格式</w:t>
      </w:r>
    </w:p>
    <w:p w14:paraId="1D26B2FA">
      <w:pPr>
        <w:ind w:left="420" w:leftChars="200" w:firstLine="413" w:firstLineChars="196"/>
        <w:rPr>
          <w:rFonts w:hint="eastAsia" w:ascii="宋体" w:hAnsi="宋体" w:eastAsia="宋体" w:cs="Times New Roman"/>
          <w:b/>
          <w:szCs w:val="21"/>
        </w:rPr>
      </w:pPr>
      <w:r>
        <w:rPr>
          <w:rFonts w:hint="eastAsia" w:ascii="宋体" w:hAnsi="宋体" w:eastAsia="宋体" w:cs="Times New Roman"/>
          <w:b/>
          <w:szCs w:val="21"/>
        </w:rPr>
        <w:t>第二册  通用条款</w:t>
      </w:r>
    </w:p>
    <w:p w14:paraId="5672E1C6">
      <w:pPr>
        <w:ind w:left="630" w:leftChars="300" w:firstLine="411" w:firstLineChars="196"/>
        <w:rPr>
          <w:rFonts w:hint="eastAsia" w:ascii="宋体" w:hAnsi="宋体" w:eastAsia="宋体" w:cs="Times New Roman"/>
          <w:szCs w:val="21"/>
        </w:rPr>
      </w:pPr>
      <w:r>
        <w:rPr>
          <w:rFonts w:hint="eastAsia" w:ascii="宋体" w:hAnsi="宋体" w:eastAsia="宋体" w:cs="Times New Roman"/>
          <w:szCs w:val="21"/>
        </w:rPr>
        <w:t>第一章  总则</w:t>
      </w:r>
    </w:p>
    <w:p w14:paraId="0EFD7C22">
      <w:pPr>
        <w:ind w:left="630" w:leftChars="300" w:firstLine="411" w:firstLineChars="196"/>
        <w:rPr>
          <w:rFonts w:hint="eastAsia" w:ascii="宋体" w:hAnsi="宋体" w:eastAsia="宋体" w:cs="Times New Roman"/>
          <w:szCs w:val="21"/>
        </w:rPr>
      </w:pPr>
      <w:r>
        <w:rPr>
          <w:rFonts w:hint="eastAsia" w:ascii="宋体" w:hAnsi="宋体" w:eastAsia="宋体" w:cs="Times New Roman"/>
          <w:szCs w:val="21"/>
        </w:rPr>
        <w:t>第二章  招标文件</w:t>
      </w:r>
    </w:p>
    <w:p w14:paraId="5BCF4FF2">
      <w:pPr>
        <w:ind w:left="630" w:leftChars="300" w:firstLine="411" w:firstLineChars="196"/>
        <w:rPr>
          <w:rFonts w:hint="eastAsia" w:ascii="宋体" w:hAnsi="宋体" w:eastAsia="宋体" w:cs="Times New Roman"/>
          <w:szCs w:val="21"/>
        </w:rPr>
      </w:pPr>
      <w:r>
        <w:rPr>
          <w:rFonts w:hint="eastAsia" w:ascii="宋体" w:hAnsi="宋体" w:eastAsia="宋体" w:cs="Times New Roman"/>
          <w:szCs w:val="21"/>
        </w:rPr>
        <w:t>第三章  投标文件的编制</w:t>
      </w:r>
    </w:p>
    <w:p w14:paraId="57E936EA">
      <w:pPr>
        <w:ind w:left="630" w:leftChars="300" w:firstLine="411" w:firstLineChars="196"/>
        <w:rPr>
          <w:rFonts w:hint="eastAsia" w:ascii="宋体" w:hAnsi="宋体" w:eastAsia="宋体" w:cs="Times New Roman"/>
          <w:szCs w:val="21"/>
        </w:rPr>
      </w:pPr>
      <w:r>
        <w:rPr>
          <w:rFonts w:hint="eastAsia" w:ascii="宋体" w:hAnsi="宋体" w:eastAsia="宋体" w:cs="Times New Roman"/>
          <w:szCs w:val="21"/>
        </w:rPr>
        <w:t>第四章  投标文件的递交</w:t>
      </w:r>
    </w:p>
    <w:p w14:paraId="6E704C97">
      <w:pPr>
        <w:ind w:left="630" w:leftChars="300" w:firstLine="411" w:firstLineChars="196"/>
        <w:rPr>
          <w:rFonts w:hint="eastAsia" w:ascii="宋体" w:hAnsi="宋体" w:eastAsia="宋体" w:cs="Times New Roman"/>
          <w:szCs w:val="21"/>
        </w:rPr>
      </w:pPr>
      <w:r>
        <w:rPr>
          <w:rFonts w:hint="eastAsia" w:ascii="宋体" w:hAnsi="宋体" w:eastAsia="宋体" w:cs="Times New Roman"/>
          <w:szCs w:val="21"/>
        </w:rPr>
        <w:t>第五章  开标</w:t>
      </w:r>
    </w:p>
    <w:p w14:paraId="3EF0BAFA">
      <w:pPr>
        <w:ind w:left="630" w:leftChars="300" w:firstLine="411" w:firstLineChars="196"/>
        <w:rPr>
          <w:rFonts w:hint="eastAsia" w:ascii="宋体" w:hAnsi="宋体" w:eastAsia="宋体" w:cs="Times New Roman"/>
          <w:szCs w:val="21"/>
        </w:rPr>
      </w:pPr>
      <w:r>
        <w:rPr>
          <w:rFonts w:hint="eastAsia" w:ascii="宋体" w:hAnsi="宋体" w:eastAsia="宋体" w:cs="Times New Roman"/>
          <w:szCs w:val="21"/>
        </w:rPr>
        <w:t>第六章  评审要求</w:t>
      </w:r>
    </w:p>
    <w:p w14:paraId="43626163">
      <w:pPr>
        <w:ind w:left="630" w:leftChars="300" w:firstLine="411" w:firstLineChars="196"/>
        <w:rPr>
          <w:rFonts w:hint="eastAsia" w:ascii="宋体" w:hAnsi="宋体" w:eastAsia="宋体" w:cs="Times New Roman"/>
          <w:szCs w:val="21"/>
        </w:rPr>
      </w:pPr>
      <w:r>
        <w:rPr>
          <w:rFonts w:hint="eastAsia" w:ascii="宋体" w:hAnsi="宋体" w:eastAsia="宋体" w:cs="Times New Roman"/>
          <w:szCs w:val="21"/>
        </w:rPr>
        <w:t>第七章  评审程序及评审方法</w:t>
      </w:r>
    </w:p>
    <w:p w14:paraId="361EE88F">
      <w:pPr>
        <w:ind w:left="630" w:leftChars="300" w:firstLine="411" w:firstLineChars="196"/>
        <w:rPr>
          <w:rFonts w:hint="eastAsia" w:ascii="宋体" w:hAnsi="宋体" w:eastAsia="宋体" w:cs="Times New Roman"/>
          <w:szCs w:val="21"/>
        </w:rPr>
      </w:pPr>
      <w:r>
        <w:rPr>
          <w:rFonts w:hint="eastAsia" w:ascii="宋体" w:hAnsi="宋体" w:eastAsia="宋体" w:cs="Times New Roman"/>
          <w:szCs w:val="21"/>
        </w:rPr>
        <w:t>第八章  定标及公示</w:t>
      </w:r>
    </w:p>
    <w:p w14:paraId="0D32FBD4">
      <w:pPr>
        <w:ind w:left="630" w:leftChars="300" w:firstLine="411" w:firstLineChars="196"/>
        <w:rPr>
          <w:rFonts w:hint="eastAsia" w:ascii="宋体" w:hAnsi="宋体" w:eastAsia="宋体" w:cs="Times New Roman"/>
          <w:szCs w:val="21"/>
        </w:rPr>
      </w:pPr>
      <w:r>
        <w:rPr>
          <w:rFonts w:hint="eastAsia" w:ascii="宋体" w:hAnsi="宋体" w:eastAsia="宋体" w:cs="Times New Roman"/>
          <w:szCs w:val="21"/>
        </w:rPr>
        <w:t>第九章  公开招标失败的后续处理</w:t>
      </w:r>
    </w:p>
    <w:p w14:paraId="40C3140F">
      <w:pPr>
        <w:ind w:left="630" w:leftChars="300" w:firstLine="411" w:firstLineChars="196"/>
        <w:rPr>
          <w:rFonts w:hint="eastAsia" w:ascii="宋体" w:hAnsi="宋体" w:eastAsia="宋体" w:cs="Times New Roman"/>
          <w:szCs w:val="21"/>
        </w:rPr>
      </w:pPr>
      <w:r>
        <w:rPr>
          <w:rFonts w:hint="eastAsia" w:ascii="宋体" w:hAnsi="宋体" w:eastAsia="宋体" w:cs="Times New Roman"/>
          <w:szCs w:val="21"/>
        </w:rPr>
        <w:t>第十章  合同的授予与备案</w:t>
      </w:r>
    </w:p>
    <w:p w14:paraId="172B3480">
      <w:pPr>
        <w:ind w:left="630" w:leftChars="300" w:firstLine="411" w:firstLineChars="196"/>
        <w:rPr>
          <w:rFonts w:hint="eastAsia" w:ascii="宋体" w:hAnsi="宋体" w:eastAsia="宋体" w:cs="Times New Roman"/>
          <w:szCs w:val="21"/>
        </w:rPr>
      </w:pPr>
      <w:r>
        <w:rPr>
          <w:rFonts w:hint="eastAsia" w:ascii="宋体" w:hAnsi="宋体" w:eastAsia="宋体" w:cs="Times New Roman"/>
          <w:szCs w:val="21"/>
        </w:rPr>
        <w:t>第十一章  质疑处理</w:t>
      </w:r>
    </w:p>
    <w:p w14:paraId="791A0322">
      <w:pPr>
        <w:ind w:firstLine="411" w:firstLineChars="196"/>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1</w:t>
      </w:r>
      <w:r>
        <w:rPr>
          <w:rFonts w:hint="eastAsia" w:ascii="宋体" w:hAnsi="宋体" w:eastAsia="宋体" w:cs="Times New Roman"/>
          <w:szCs w:val="21"/>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14:paraId="02D25D2C">
      <w:pPr>
        <w:ind w:firstLine="411" w:firstLineChars="196"/>
        <w:rPr>
          <w:rFonts w:hint="eastAsia" w:ascii="宋体" w:hAnsi="宋体" w:eastAsia="宋体" w:cs="Times New Roman"/>
        </w:rPr>
      </w:pPr>
      <w:r>
        <w:rPr>
          <w:rFonts w:hint="eastAsia" w:ascii="宋体" w:hAnsi="宋体" w:eastAsia="宋体" w:cs="Times New Roman"/>
          <w:szCs w:val="21"/>
        </w:rPr>
        <w:t>1</w:t>
      </w:r>
      <w:r>
        <w:rPr>
          <w:rFonts w:ascii="宋体" w:hAnsi="宋体" w:eastAsia="宋体" w:cs="Times New Roman"/>
          <w:szCs w:val="21"/>
        </w:rPr>
        <w:t>1</w:t>
      </w:r>
      <w:r>
        <w:rPr>
          <w:rFonts w:hint="eastAsia" w:ascii="宋体" w:hAnsi="宋体" w:eastAsia="宋体" w:cs="Times New Roman"/>
          <w:szCs w:val="21"/>
        </w:rPr>
        <w:t>.3</w:t>
      </w:r>
      <w:r>
        <w:rPr>
          <w:rFonts w:hint="eastAsia" w:ascii="宋体" w:hAnsi="宋体" w:eastAsia="宋体" w:cs="Times New Roman"/>
        </w:rPr>
        <w:t>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14:paraId="42072611">
      <w:pPr>
        <w:ind w:firstLine="411" w:firstLineChars="196"/>
        <w:rPr>
          <w:rFonts w:hint="eastAsia" w:ascii="宋体" w:hAnsi="宋体" w:eastAsia="宋体" w:cs="Times New Roman"/>
        </w:rPr>
      </w:pPr>
      <w:r>
        <w:rPr>
          <w:rFonts w:hint="eastAsia" w:ascii="宋体" w:hAnsi="宋体" w:eastAsia="宋体" w:cs="Times New Roman"/>
        </w:rPr>
        <w:t>11.4招标文件所称“原件备查”，是指在项目产生质疑、投诉等阶段，主管部门、采购人、代理机构、评审委员会等可以要求供应商提供原件进行核查。</w:t>
      </w:r>
    </w:p>
    <w:p w14:paraId="6CABEAC7">
      <w:pPr>
        <w:rPr>
          <w:rFonts w:hint="eastAsia" w:ascii="黑体" w:hAnsi="宋体" w:eastAsia="黑体" w:cs="Times New Roman"/>
          <w:sz w:val="24"/>
        </w:rPr>
      </w:pPr>
      <w:r>
        <w:rPr>
          <w:rFonts w:hint="eastAsia" w:ascii="黑体" w:hAnsi="宋体" w:eastAsia="黑体" w:cs="Times New Roman"/>
          <w:sz w:val="24"/>
        </w:rPr>
        <w:t>1</w:t>
      </w:r>
      <w:r>
        <w:rPr>
          <w:rFonts w:ascii="黑体" w:hAnsi="宋体" w:eastAsia="黑体" w:cs="Times New Roman"/>
          <w:sz w:val="24"/>
        </w:rPr>
        <w:t>2</w:t>
      </w:r>
      <w:r>
        <w:rPr>
          <w:rFonts w:hint="eastAsia" w:ascii="黑体" w:hAnsi="宋体" w:eastAsia="黑体" w:cs="Times New Roman"/>
          <w:sz w:val="24"/>
        </w:rPr>
        <w:t>．招标文件的澄清</w:t>
      </w:r>
    </w:p>
    <w:p w14:paraId="0E62B6A7">
      <w:pPr>
        <w:ind w:firstLine="411" w:firstLineChars="196"/>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2</w:t>
      </w:r>
      <w:r>
        <w:rPr>
          <w:rFonts w:hint="eastAsia" w:ascii="宋体" w:hAnsi="宋体" w:eastAsia="宋体" w:cs="Times New Roman"/>
          <w:szCs w:val="21"/>
        </w:rPr>
        <w:t>.1招标文件澄清的目的是澄清、解答投标人在查阅招标文件后或现场踏勘中可能提出的与投标有关的疑问或询问。</w:t>
      </w:r>
    </w:p>
    <w:p w14:paraId="41B1930F">
      <w:pPr>
        <w:ind w:firstLine="411" w:firstLineChars="196"/>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2</w:t>
      </w:r>
      <w:r>
        <w:rPr>
          <w:rFonts w:hint="eastAsia" w:ascii="宋体" w:hAnsi="宋体" w:eastAsia="宋体" w:cs="Times New Roman"/>
          <w:szCs w:val="21"/>
        </w:rPr>
        <w:t>.2投标人如对招标文件内容有疑问，应当在招标公告规定的澄清（提问）截止时间前以网上提问的形式通过网上自行采购系统提交政府集中采购机构。</w:t>
      </w:r>
    </w:p>
    <w:p w14:paraId="3458E78B">
      <w:pPr>
        <w:ind w:firstLine="411" w:firstLineChars="196"/>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2</w:t>
      </w:r>
      <w:r>
        <w:rPr>
          <w:rFonts w:hint="eastAsia" w:ascii="宋体" w:hAnsi="宋体" w:eastAsia="宋体" w:cs="Times New Roman"/>
          <w:szCs w:val="21"/>
        </w:rPr>
        <w:t>.3不论是政府集中采购机构根据需要主动对招标文件进行必要的澄清或是根据投标人的要求对招标文件做出澄清，政府集中采购机构都将在投标截止日期前以书面形式（包括网站发布方式）答复或发送给所有投标人。答复内容是招标文件的组成部分，对投标人起约束作用，其有效性按照本通用条款第1</w:t>
      </w:r>
      <w:r>
        <w:rPr>
          <w:rFonts w:ascii="宋体" w:hAnsi="宋体" w:eastAsia="宋体" w:cs="Times New Roman"/>
          <w:szCs w:val="21"/>
        </w:rPr>
        <w:t>3.3</w:t>
      </w:r>
      <w:r>
        <w:rPr>
          <w:rFonts w:hint="eastAsia" w:ascii="宋体" w:hAnsi="宋体" w:eastAsia="宋体" w:cs="Times New Roman"/>
          <w:szCs w:val="21"/>
        </w:rPr>
        <w:t>、1</w:t>
      </w:r>
      <w:r>
        <w:rPr>
          <w:rFonts w:ascii="宋体" w:hAnsi="宋体" w:eastAsia="宋体" w:cs="Times New Roman"/>
          <w:szCs w:val="21"/>
        </w:rPr>
        <w:t>3.4</w:t>
      </w:r>
      <w:r>
        <w:rPr>
          <w:rFonts w:hint="eastAsia" w:ascii="宋体" w:hAnsi="宋体" w:eastAsia="宋体" w:cs="Times New Roman"/>
          <w:szCs w:val="21"/>
        </w:rPr>
        <w:t>款规定执行。</w:t>
      </w:r>
    </w:p>
    <w:p w14:paraId="4DB98B1B">
      <w:pPr>
        <w:rPr>
          <w:rFonts w:hint="eastAsia" w:ascii="黑体" w:hAnsi="宋体" w:eastAsia="黑体" w:cs="Times New Roman"/>
          <w:sz w:val="24"/>
        </w:rPr>
      </w:pPr>
      <w:r>
        <w:rPr>
          <w:rFonts w:ascii="黑体" w:hAnsi="宋体" w:eastAsia="黑体" w:cs="Times New Roman"/>
          <w:sz w:val="24"/>
        </w:rPr>
        <w:t>1</w:t>
      </w:r>
      <w:r>
        <w:rPr>
          <w:rFonts w:hint="eastAsia" w:ascii="黑体" w:hAnsi="宋体" w:eastAsia="黑体" w:cs="Times New Roman"/>
          <w:sz w:val="24"/>
        </w:rPr>
        <w:t>3．招标文件的修改</w:t>
      </w:r>
    </w:p>
    <w:p w14:paraId="2F86055C">
      <w:pPr>
        <w:ind w:firstLine="411" w:firstLineChars="196"/>
        <w:rPr>
          <w:rFonts w:hint="eastAsia"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3.1招标文件发出后，在投标截止日期前任何时候，确需要变更招标文件内容的，政府集中采购机构可主动或在解答投标人提出的澄清问题时对招标文件进行修改。</w:t>
      </w:r>
    </w:p>
    <w:p w14:paraId="4E325A4D">
      <w:pPr>
        <w:ind w:firstLine="411" w:firstLineChars="196"/>
        <w:rPr>
          <w:rFonts w:hint="eastAsia"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3.2招标文件的修改以书面形式（包括网站发布方式，如更正公告等）发送给所有投标人，招标文件的修改内容作为招标文件的组成部分，并具有约束力。</w:t>
      </w:r>
    </w:p>
    <w:p w14:paraId="364D1582">
      <w:pPr>
        <w:ind w:firstLine="411" w:firstLineChars="196"/>
        <w:rPr>
          <w:rFonts w:hint="eastAsia"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3.3招标文件、招标文件澄清答复内容、招标文件修改补充内容均以书面形式（包括网站公开发布方式，如更正公告等）明确的内容为准。当招标文件、修改补充通知、招标文件澄清答复内容相互矛盾时，以最后发出的内容为准。</w:t>
      </w:r>
    </w:p>
    <w:p w14:paraId="375AD8A0">
      <w:pPr>
        <w:ind w:firstLine="411" w:firstLineChars="196"/>
        <w:rPr>
          <w:rFonts w:hint="eastAsia"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3.4政府集中采购机构保证招标文件澄清答复内容和招标文件修改补充内容在投标截止时间前以书面形式（包括网站发布方式，如更正公告等）发送给所有投标人。为使投标人在编制投标文件时有充分时间对招标文件的修改部分进行研究，政府集中采购机构可以酌情延长递交投标文件的截止日期。</w:t>
      </w:r>
      <w:bookmarkEnd w:id="72"/>
    </w:p>
    <w:p w14:paraId="55548D46">
      <w:pPr>
        <w:rPr>
          <w:rFonts w:hint="eastAsia" w:ascii="宋体" w:hAnsi="宋体" w:eastAsia="宋体" w:cs="Times New Roman"/>
          <w:szCs w:val="21"/>
        </w:rPr>
      </w:pPr>
    </w:p>
    <w:p w14:paraId="57D26876">
      <w:pPr>
        <w:keepNext/>
        <w:keepLines/>
        <w:numPr>
          <w:ilvl w:val="0"/>
          <w:numId w:val="11"/>
        </w:numPr>
        <w:adjustRightInd w:val="0"/>
        <w:spacing w:before="120" w:beforeLines="50" w:after="120" w:afterLines="50"/>
        <w:ind w:left="562" w:hanging="562"/>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投标文件的编制</w:t>
      </w:r>
    </w:p>
    <w:p w14:paraId="2F87CD0B">
      <w:pPr>
        <w:rPr>
          <w:rFonts w:hint="eastAsia" w:ascii="黑体" w:hAnsi="宋体" w:eastAsia="黑体" w:cs="Times New Roman"/>
          <w:sz w:val="24"/>
        </w:rPr>
      </w:pPr>
      <w:r>
        <w:rPr>
          <w:rFonts w:hint="eastAsia" w:ascii="黑体" w:hAnsi="宋体" w:eastAsia="黑体" w:cs="Times New Roman"/>
          <w:sz w:val="24"/>
        </w:rPr>
        <w:t>14．</w:t>
      </w:r>
      <w:bookmarkStart w:id="73" w:name="_Hlk72400236"/>
      <w:r>
        <w:rPr>
          <w:rFonts w:hint="eastAsia" w:ascii="黑体" w:hAnsi="宋体" w:eastAsia="黑体" w:cs="Times New Roman"/>
          <w:sz w:val="24"/>
        </w:rPr>
        <w:t>投标文件的语言及度量单位</w:t>
      </w:r>
    </w:p>
    <w:p w14:paraId="16B67BDB">
      <w:pPr>
        <w:ind w:firstLine="411" w:firstLineChars="196"/>
        <w:rPr>
          <w:rFonts w:hint="eastAsia" w:ascii="宋体" w:hAnsi="宋体" w:eastAsia="宋体" w:cs="Times New Roman"/>
          <w:szCs w:val="21"/>
        </w:rPr>
      </w:pPr>
      <w:r>
        <w:rPr>
          <w:rFonts w:hint="eastAsia" w:ascii="宋体" w:hAnsi="宋体" w:eastAsia="宋体" w:cs="Times New Roman"/>
          <w:szCs w:val="21"/>
        </w:rPr>
        <w:t>14.1 投标人与政府集中采购机构之间与投标有关的所有往来通知、函件和投标文件均用中文表述。投标人随投标文件提供的证明文件和资料可以为其它语言，但必须附中文译文。翻译的中文资料与外文资料如果出现差异时，以中文为准。</w:t>
      </w:r>
    </w:p>
    <w:p w14:paraId="7E3979B5">
      <w:pPr>
        <w:ind w:firstLine="411" w:firstLineChars="196"/>
        <w:rPr>
          <w:rFonts w:hint="eastAsia" w:ascii="宋体" w:hAnsi="宋体" w:eastAsia="宋体" w:cs="Times New Roman"/>
          <w:szCs w:val="21"/>
        </w:rPr>
      </w:pPr>
      <w:r>
        <w:rPr>
          <w:rFonts w:hint="eastAsia" w:ascii="宋体" w:hAnsi="宋体" w:eastAsia="宋体" w:cs="Times New Roman"/>
          <w:szCs w:val="21"/>
        </w:rPr>
        <w:t>14.2 除技术规范另有规定外，投标文件使用的度量单位，均采用中华人民共和国法定计量单位。</w:t>
      </w:r>
    </w:p>
    <w:bookmarkEnd w:id="73"/>
    <w:p w14:paraId="5B9DC156">
      <w:pPr>
        <w:rPr>
          <w:rFonts w:hint="eastAsia" w:ascii="黑体" w:hAnsi="宋体" w:eastAsia="黑体" w:cs="Times New Roman"/>
          <w:sz w:val="24"/>
        </w:rPr>
      </w:pPr>
      <w:r>
        <w:rPr>
          <w:rFonts w:hint="eastAsia" w:ascii="黑体" w:hAnsi="宋体" w:eastAsia="黑体" w:cs="Times New Roman"/>
          <w:sz w:val="24"/>
        </w:rPr>
        <w:t>15．</w:t>
      </w:r>
      <w:bookmarkStart w:id="74" w:name="_Hlk72401567"/>
      <w:r>
        <w:rPr>
          <w:rFonts w:hint="eastAsia" w:ascii="黑体" w:hAnsi="宋体" w:eastAsia="黑体" w:cs="Times New Roman"/>
          <w:sz w:val="24"/>
        </w:rPr>
        <w:t>投标文件的组成</w:t>
      </w:r>
    </w:p>
    <w:p w14:paraId="7A252D03">
      <w:pPr>
        <w:ind w:firstLine="411" w:firstLineChars="196"/>
        <w:rPr>
          <w:rFonts w:hint="eastAsia" w:ascii="宋体" w:hAnsi="宋体" w:eastAsia="宋体" w:cs="Times New Roman"/>
          <w:szCs w:val="21"/>
        </w:rPr>
      </w:pPr>
      <w:r>
        <w:rPr>
          <w:rFonts w:hint="eastAsia" w:ascii="宋体" w:hAnsi="宋体" w:eastAsia="宋体" w:cs="Times New Roman"/>
          <w:szCs w:val="21"/>
        </w:rPr>
        <w:t>具体内容在招标文件专用条款中进行规定。</w:t>
      </w:r>
    </w:p>
    <w:p w14:paraId="1D5768D6">
      <w:pPr>
        <w:rPr>
          <w:rFonts w:hint="eastAsia" w:ascii="黑体" w:hAnsi="宋体" w:eastAsia="黑体" w:cs="Times New Roman"/>
          <w:sz w:val="24"/>
        </w:rPr>
      </w:pPr>
      <w:r>
        <w:rPr>
          <w:rFonts w:ascii="黑体" w:hAnsi="宋体" w:eastAsia="黑体" w:cs="Times New Roman"/>
          <w:sz w:val="24"/>
        </w:rPr>
        <w:t>16．投标文件格式</w:t>
      </w:r>
    </w:p>
    <w:p w14:paraId="42ADB7A7">
      <w:pPr>
        <w:ind w:firstLine="411" w:firstLineChars="196"/>
        <w:rPr>
          <w:rFonts w:hint="eastAsia" w:ascii="宋体" w:hAnsi="宋体" w:eastAsia="宋体" w:cs="Times New Roman"/>
          <w:szCs w:val="21"/>
        </w:rPr>
      </w:pPr>
      <w:r>
        <w:rPr>
          <w:rFonts w:hint="eastAsia" w:ascii="宋体" w:hAnsi="宋体" w:eastAsia="宋体" w:cs="Times New Roman"/>
          <w:szCs w:val="21"/>
        </w:rPr>
        <w:t>投标文件包括本通用条款第</w:t>
      </w:r>
      <w:r>
        <w:rPr>
          <w:rFonts w:ascii="宋体" w:hAnsi="宋体" w:eastAsia="宋体" w:cs="Times New Roman"/>
          <w:szCs w:val="21"/>
        </w:rPr>
        <w:t>15条中规定的内容。如招标文件提供了投标文件格式，则</w:t>
      </w:r>
      <w:r>
        <w:rPr>
          <w:rFonts w:hint="eastAsia" w:ascii="宋体" w:hAnsi="宋体" w:eastAsia="宋体" w:cs="Times New Roman"/>
          <w:b/>
          <w:bCs/>
          <w:szCs w:val="21"/>
        </w:rPr>
        <w:t>投标人提交的投标文件应毫无例外地使用招标文件所提供的相应格式</w:t>
      </w:r>
      <w:r>
        <w:rPr>
          <w:rFonts w:hint="eastAsia" w:ascii="宋体" w:hAnsi="宋体" w:eastAsia="宋体" w:cs="Times New Roman"/>
          <w:szCs w:val="21"/>
        </w:rPr>
        <w:t>（表格均可按同样格式扩展）。</w:t>
      </w:r>
    </w:p>
    <w:p w14:paraId="291196C0">
      <w:pPr>
        <w:rPr>
          <w:rFonts w:hint="eastAsia" w:ascii="黑体" w:hAnsi="宋体" w:eastAsia="黑体" w:cs="Times New Roman"/>
          <w:sz w:val="24"/>
        </w:rPr>
      </w:pPr>
      <w:r>
        <w:rPr>
          <w:rFonts w:hint="eastAsia" w:ascii="黑体" w:hAnsi="宋体" w:eastAsia="黑体" w:cs="Times New Roman"/>
          <w:sz w:val="24"/>
        </w:rPr>
        <w:t>17．投标货币</w:t>
      </w:r>
    </w:p>
    <w:p w14:paraId="3F89E7DE">
      <w:pPr>
        <w:ind w:firstLine="411" w:firstLineChars="196"/>
        <w:rPr>
          <w:rFonts w:hint="eastAsia" w:ascii="宋体" w:hAnsi="宋体" w:eastAsia="宋体" w:cs="Times New Roman"/>
          <w:szCs w:val="21"/>
        </w:rPr>
      </w:pPr>
      <w:r>
        <w:rPr>
          <w:rFonts w:hint="eastAsia" w:ascii="宋体" w:hAnsi="宋体" w:eastAsia="宋体" w:cs="Times New Roman"/>
          <w:szCs w:val="21"/>
        </w:rPr>
        <w:t>本项目的投标报价应以人民币计。</w:t>
      </w:r>
    </w:p>
    <w:bookmarkEnd w:id="74"/>
    <w:p w14:paraId="3CBE3595">
      <w:pPr>
        <w:rPr>
          <w:rFonts w:hint="eastAsia" w:ascii="黑体" w:hAnsi="宋体" w:eastAsia="黑体" w:cs="Times New Roman"/>
          <w:sz w:val="24"/>
        </w:rPr>
      </w:pPr>
      <w:r>
        <w:rPr>
          <w:rFonts w:hint="eastAsia" w:ascii="黑体" w:hAnsi="宋体" w:eastAsia="黑体" w:cs="Times New Roman"/>
          <w:sz w:val="24"/>
        </w:rPr>
        <w:t>18．</w:t>
      </w:r>
      <w:bookmarkStart w:id="75" w:name="_Hlk72401735"/>
      <w:r>
        <w:rPr>
          <w:rFonts w:hint="eastAsia" w:ascii="黑体" w:hAnsi="宋体" w:eastAsia="黑体" w:cs="Times New Roman"/>
          <w:sz w:val="24"/>
        </w:rPr>
        <w:t>证明投标文件投标技术方案的合格性和符合招标文件规定的文件要求</w:t>
      </w:r>
    </w:p>
    <w:p w14:paraId="330DB332">
      <w:pPr>
        <w:ind w:firstLine="411" w:firstLineChars="196"/>
        <w:rPr>
          <w:rFonts w:hint="eastAsia" w:ascii="宋体" w:hAnsi="宋体" w:eastAsia="宋体" w:cs="Times New Roman"/>
          <w:szCs w:val="21"/>
        </w:rPr>
      </w:pPr>
      <w:r>
        <w:rPr>
          <w:rFonts w:hint="eastAsia" w:ascii="宋体" w:hAnsi="宋体" w:eastAsia="宋体" w:cs="Times New Roman"/>
          <w:szCs w:val="21"/>
        </w:rPr>
        <w:t>18</w:t>
      </w:r>
      <w:r>
        <w:rPr>
          <w:rFonts w:ascii="宋体" w:hAnsi="宋体" w:eastAsia="宋体" w:cs="Times New Roman"/>
          <w:szCs w:val="21"/>
        </w:rPr>
        <w:t xml:space="preserve">.1 </w:t>
      </w:r>
      <w:r>
        <w:rPr>
          <w:rFonts w:hint="eastAsia" w:ascii="宋体" w:hAnsi="宋体" w:eastAsia="宋体" w:cs="Times New Roman"/>
          <w:szCs w:val="21"/>
        </w:rPr>
        <w:t>投标人应提交证明文件，证明其投标技术方案项下的货物和服务的合格性符合招标文件规定。该投标技术方案及其证明文件均作为投标文件组成部分。</w:t>
      </w:r>
    </w:p>
    <w:p w14:paraId="633DA0EE">
      <w:pPr>
        <w:ind w:firstLine="411" w:firstLineChars="196"/>
        <w:rPr>
          <w:rFonts w:hint="eastAsia"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8</w:t>
      </w:r>
      <w:r>
        <w:rPr>
          <w:rFonts w:ascii="宋体" w:hAnsi="宋体" w:eastAsia="宋体" w:cs="Times New Roman"/>
          <w:szCs w:val="21"/>
        </w:rPr>
        <w:t xml:space="preserve">.2 </w:t>
      </w:r>
      <w:r>
        <w:rPr>
          <w:rFonts w:hint="eastAsia" w:ascii="宋体" w:hAnsi="宋体" w:eastAsia="宋体" w:cs="Times New Roman"/>
          <w:szCs w:val="21"/>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14:paraId="565431AB">
      <w:pPr>
        <w:ind w:firstLine="411" w:firstLineChars="196"/>
        <w:rPr>
          <w:rFonts w:hint="eastAsia" w:ascii="宋体" w:hAnsi="宋体" w:eastAsia="宋体" w:cs="Times New Roman"/>
          <w:szCs w:val="21"/>
        </w:rPr>
      </w:pPr>
      <w:r>
        <w:rPr>
          <w:rFonts w:hint="eastAsia" w:ascii="宋体" w:hAnsi="宋体" w:eastAsia="宋体" w:cs="Times New Roman"/>
          <w:szCs w:val="21"/>
        </w:rPr>
        <w:t>18.2.1主要技术指标和性能的详细说明。</w:t>
      </w:r>
    </w:p>
    <w:p w14:paraId="623C24D0">
      <w:pPr>
        <w:ind w:firstLine="411" w:firstLineChars="196"/>
        <w:rPr>
          <w:rFonts w:hint="eastAsia" w:ascii="宋体" w:hAnsi="宋体" w:eastAsia="宋体" w:cs="Times New Roman"/>
          <w:szCs w:val="21"/>
        </w:rPr>
      </w:pPr>
      <w:r>
        <w:rPr>
          <w:rFonts w:hint="eastAsia" w:ascii="宋体" w:hAnsi="宋体" w:eastAsia="宋体" w:cs="Times New Roman"/>
          <w:szCs w:val="21"/>
        </w:rPr>
        <w:t>18.2.</w:t>
      </w:r>
      <w:r>
        <w:rPr>
          <w:rFonts w:ascii="宋体" w:hAnsi="宋体" w:eastAsia="宋体" w:cs="Times New Roman"/>
          <w:szCs w:val="21"/>
        </w:rPr>
        <w:t>2</w:t>
      </w:r>
      <w:r>
        <w:rPr>
          <w:rFonts w:hint="eastAsia" w:ascii="宋体" w:hAnsi="宋体" w:eastAsia="宋体" w:cs="Times New Roman"/>
          <w:szCs w:val="21"/>
        </w:rPr>
        <w:t>投标产品从采购人开始使用至招标文件中规定的周期内正常、连续地使用所必须的备件和专用工具清单，包括备件和专用工具的货源及现行价格。</w:t>
      </w:r>
    </w:p>
    <w:p w14:paraId="6B65C76C">
      <w:pPr>
        <w:ind w:firstLine="411" w:firstLineChars="196"/>
        <w:rPr>
          <w:rFonts w:hint="eastAsia" w:ascii="宋体" w:hAnsi="宋体" w:eastAsia="宋体" w:cs="Times New Roman"/>
          <w:szCs w:val="21"/>
        </w:rPr>
      </w:pPr>
      <w:r>
        <w:rPr>
          <w:rFonts w:hint="eastAsia" w:ascii="宋体" w:hAnsi="宋体" w:eastAsia="宋体" w:cs="Times New Roman"/>
          <w:szCs w:val="21"/>
        </w:rPr>
        <w:t>18.2.</w:t>
      </w:r>
      <w:r>
        <w:rPr>
          <w:rFonts w:ascii="宋体" w:hAnsi="宋体" w:eastAsia="宋体" w:cs="Times New Roman"/>
          <w:szCs w:val="21"/>
        </w:rPr>
        <w:t>3</w:t>
      </w:r>
      <w:r>
        <w:rPr>
          <w:rFonts w:hint="eastAsia" w:ascii="宋体" w:hAnsi="宋体" w:eastAsia="宋体" w:cs="Times New Roman"/>
          <w:szCs w:val="21"/>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14:paraId="092A57F5">
      <w:pPr>
        <w:ind w:firstLine="411" w:firstLineChars="196"/>
        <w:rPr>
          <w:rFonts w:hint="eastAsia" w:ascii="宋体" w:hAnsi="宋体" w:eastAsia="宋体" w:cs="Times New Roman"/>
          <w:szCs w:val="21"/>
        </w:rPr>
      </w:pPr>
      <w:r>
        <w:rPr>
          <w:rFonts w:hint="eastAsia" w:ascii="宋体" w:hAnsi="宋体" w:eastAsia="宋体" w:cs="Times New Roman"/>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ascii="Times New Roman" w:hAnsi="Times New Roman" w:eastAsia="宋体" w:cs="Times New Roman"/>
        </w:rPr>
        <w:t>清晰度要求能够使用电脑阅读、识别和判断</w:t>
      </w:r>
      <w:r>
        <w:rPr>
          <w:rFonts w:hint="eastAsia" w:ascii="宋体" w:hAnsi="宋体" w:eastAsia="宋体" w:cs="Times New Roman"/>
          <w:szCs w:val="21"/>
        </w:rPr>
        <w:t>；</w:t>
      </w:r>
    </w:p>
    <w:p w14:paraId="141A4DC0">
      <w:pPr>
        <w:ind w:firstLine="411" w:firstLineChars="196"/>
        <w:rPr>
          <w:rFonts w:hint="eastAsia" w:ascii="宋体" w:hAnsi="宋体" w:eastAsia="宋体" w:cs="Times New Roman"/>
          <w:szCs w:val="21"/>
        </w:rPr>
      </w:pPr>
      <w:r>
        <w:rPr>
          <w:rFonts w:hint="eastAsia" w:ascii="宋体" w:hAnsi="宋体" w:eastAsia="宋体" w:cs="Times New Roman"/>
          <w:szCs w:val="21"/>
        </w:rPr>
        <w:t>18.2.5我国政府机构出具的产品检验和核准证件应为证件正面、背面和附件标注的全部具体内容；产品检验和核准证件的尺寸和清晰度应该能够在电脑上被阅读、识别和判断，提供原件扫描件。</w:t>
      </w:r>
    </w:p>
    <w:p w14:paraId="12BF9843">
      <w:pPr>
        <w:ind w:firstLine="411" w:firstLineChars="196"/>
        <w:rPr>
          <w:rFonts w:hint="eastAsia" w:ascii="宋体" w:hAnsi="宋体" w:eastAsia="宋体" w:cs="Times New Roman"/>
          <w:szCs w:val="21"/>
        </w:rPr>
      </w:pPr>
      <w:r>
        <w:rPr>
          <w:rFonts w:hint="eastAsia" w:ascii="宋体" w:hAnsi="宋体" w:eastAsia="宋体" w:cs="Times New Roman"/>
          <w:szCs w:val="21"/>
        </w:rPr>
        <w:t>18.3相关资料不符合18.2款要求的，评审委员会有权认定为投标技术方案不合格响应，其相关分数予以扣减或作投标无效处理。</w:t>
      </w:r>
    </w:p>
    <w:p w14:paraId="78F40AA1">
      <w:pPr>
        <w:ind w:firstLine="411" w:firstLineChars="196"/>
        <w:rPr>
          <w:rFonts w:hint="eastAsia"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8</w:t>
      </w:r>
      <w:r>
        <w:rPr>
          <w:rFonts w:ascii="宋体" w:hAnsi="宋体" w:eastAsia="宋体" w:cs="Times New Roman"/>
          <w:szCs w:val="21"/>
        </w:rPr>
        <w:t>.</w:t>
      </w:r>
      <w:r>
        <w:rPr>
          <w:rFonts w:hint="eastAsia" w:ascii="宋体" w:hAnsi="宋体" w:eastAsia="宋体" w:cs="Times New Roman"/>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ascii="Times New Roman" w:hAnsi="Times New Roman" w:eastAsia="宋体" w:cs="Times New Roman"/>
        </w:rPr>
        <w:t>满足要求</w:t>
      </w:r>
      <w:r>
        <w:rPr>
          <w:rFonts w:hint="eastAsia" w:ascii="宋体" w:hAnsi="宋体" w:eastAsia="宋体" w:cs="Times New Roman"/>
          <w:szCs w:val="21"/>
        </w:rPr>
        <w:t>，由评审委员会来评判。</w:t>
      </w:r>
    </w:p>
    <w:p w14:paraId="1E3E46AC">
      <w:pPr>
        <w:ind w:firstLine="411" w:firstLineChars="196"/>
        <w:rPr>
          <w:rFonts w:hint="eastAsia" w:ascii="宋体" w:hAnsi="宋体" w:eastAsia="宋体" w:cs="Times New Roman"/>
          <w:szCs w:val="21"/>
        </w:rPr>
      </w:pPr>
      <w:r>
        <w:rPr>
          <w:rFonts w:hint="eastAsia" w:ascii="宋体" w:hAnsi="宋体" w:eastAsia="宋体" w:cs="Times New Roman"/>
          <w:szCs w:val="21"/>
        </w:rPr>
        <w:t>18.5除非另有规定或说明，投标人对同一项目投标时，不得同时提供两套或两套以上的投标方案。</w:t>
      </w:r>
    </w:p>
    <w:bookmarkEnd w:id="75"/>
    <w:p w14:paraId="65D86A2F">
      <w:pPr>
        <w:rPr>
          <w:rFonts w:hint="eastAsia" w:ascii="黑体" w:hAnsi="宋体" w:eastAsia="黑体" w:cs="Times New Roman"/>
          <w:sz w:val="24"/>
        </w:rPr>
      </w:pPr>
      <w:r>
        <w:rPr>
          <w:rFonts w:hint="eastAsia" w:ascii="黑体" w:hAnsi="宋体" w:eastAsia="黑体" w:cs="Times New Roman"/>
          <w:sz w:val="24"/>
        </w:rPr>
        <w:t>19．</w:t>
      </w:r>
      <w:bookmarkStart w:id="76" w:name="_Hlk72402034"/>
      <w:r>
        <w:rPr>
          <w:rFonts w:hint="eastAsia" w:ascii="黑体" w:hAnsi="宋体" w:eastAsia="黑体" w:cs="Times New Roman"/>
          <w:sz w:val="24"/>
        </w:rPr>
        <w:t>投标文件其他证明文件的要求</w:t>
      </w:r>
    </w:p>
    <w:p w14:paraId="01607A1F">
      <w:pPr>
        <w:rPr>
          <w:rFonts w:hint="eastAsia" w:ascii="宋体" w:hAnsi="宋体" w:eastAsia="宋体" w:cs="Times New Roman"/>
          <w:color w:val="FF0000"/>
          <w:szCs w:val="21"/>
        </w:rPr>
      </w:pPr>
      <w:r>
        <w:rPr>
          <w:rFonts w:hint="eastAsia" w:ascii="黑体" w:hAnsi="宋体" w:eastAsia="黑体" w:cs="Times New Roman"/>
          <w:sz w:val="24"/>
        </w:rPr>
        <w:t xml:space="preserve">    </w:t>
      </w:r>
      <w:r>
        <w:rPr>
          <w:rFonts w:hint="eastAsia" w:ascii="宋体" w:hAnsi="宋体" w:eastAsia="宋体" w:cs="Times New Roman"/>
          <w:szCs w:val="21"/>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w:t>
      </w:r>
      <w:bookmarkStart w:id="77" w:name="_Hlk71407299"/>
      <w:r>
        <w:rPr>
          <w:rFonts w:hint="eastAsia" w:ascii="宋体" w:hAnsi="宋体" w:eastAsia="宋体" w:cs="Times New Roman"/>
          <w:szCs w:val="21"/>
        </w:rPr>
        <w:t>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77"/>
    <w:p w14:paraId="731DEDBB">
      <w:pPr>
        <w:ind w:firstLine="411" w:firstLineChars="196"/>
        <w:rPr>
          <w:rFonts w:hint="eastAsia" w:ascii="宋体" w:hAnsi="宋体" w:eastAsia="宋体" w:cs="Times New Roman"/>
          <w:szCs w:val="21"/>
        </w:rPr>
      </w:pPr>
      <w:r>
        <w:rPr>
          <w:rFonts w:hint="eastAsia" w:ascii="宋体" w:hAnsi="宋体" w:eastAsia="宋体" w:cs="Times New Roman"/>
          <w:szCs w:val="21"/>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14:paraId="4B884BB1">
      <w:pPr>
        <w:rPr>
          <w:rFonts w:hint="eastAsia" w:ascii="黑体" w:hAnsi="宋体" w:eastAsia="黑体" w:cs="Times New Roman"/>
          <w:sz w:val="24"/>
        </w:rPr>
      </w:pPr>
      <w:r>
        <w:rPr>
          <w:rFonts w:hint="eastAsia" w:ascii="黑体" w:hAnsi="宋体" w:eastAsia="黑体" w:cs="Times New Roman"/>
          <w:sz w:val="24"/>
        </w:rPr>
        <w:t>20．投标有效期</w:t>
      </w:r>
    </w:p>
    <w:bookmarkEnd w:id="76"/>
    <w:p w14:paraId="30216AA2">
      <w:pPr>
        <w:ind w:firstLine="411" w:firstLineChars="196"/>
        <w:rPr>
          <w:rFonts w:hint="eastAsia" w:ascii="宋体" w:hAnsi="宋体" w:eastAsia="宋体" w:cs="Times New Roman"/>
          <w:szCs w:val="21"/>
        </w:rPr>
      </w:pPr>
      <w:bookmarkStart w:id="78" w:name="_Hlk72402214"/>
      <w:r>
        <w:rPr>
          <w:rFonts w:hint="eastAsia" w:ascii="宋体" w:hAnsi="宋体" w:eastAsia="宋体" w:cs="Times New Roman"/>
          <w:szCs w:val="21"/>
        </w:rPr>
        <w:t>20.1 投标有效期为</w:t>
      </w:r>
      <w:r>
        <w:rPr>
          <w:rFonts w:hint="eastAsia" w:ascii="Arial" w:hAnsi="Arial" w:eastAsia="宋体" w:cs="Arial"/>
          <w:szCs w:val="21"/>
        </w:rPr>
        <w:t>从投标截止之日算起的日历天数。</w:t>
      </w:r>
      <w:r>
        <w:rPr>
          <w:rFonts w:hint="eastAsia" w:ascii="宋体" w:hAnsi="宋体" w:eastAsia="宋体" w:cs="Times New Roman"/>
          <w:szCs w:val="21"/>
        </w:rPr>
        <w:t>在此期限内，所有投标文件均保持有效。</w:t>
      </w:r>
    </w:p>
    <w:p w14:paraId="5204F54D">
      <w:pPr>
        <w:ind w:firstLine="411" w:firstLineChars="196"/>
        <w:rPr>
          <w:rFonts w:hint="eastAsia" w:ascii="宋体" w:hAnsi="宋体" w:eastAsia="宋体" w:cs="Times New Roman"/>
          <w:szCs w:val="21"/>
        </w:rPr>
      </w:pPr>
      <w:r>
        <w:rPr>
          <w:rFonts w:hint="eastAsia" w:ascii="宋体" w:hAnsi="宋体" w:eastAsia="宋体" w:cs="Times New Roman"/>
          <w:szCs w:val="21"/>
        </w:rPr>
        <w:t>20.2 在特殊情况下，政府集中采购机构在原定的投标有效期满之前，政府集中采购机构可以根据需要以书面形式（包括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14:paraId="5C751F3A">
      <w:pPr>
        <w:ind w:firstLine="411" w:firstLineChars="196"/>
        <w:rPr>
          <w:rFonts w:hint="eastAsia" w:ascii="宋体" w:hAnsi="宋体" w:eastAsia="宋体" w:cs="Times New Roman"/>
          <w:szCs w:val="21"/>
        </w:rPr>
      </w:pPr>
      <w:r>
        <w:rPr>
          <w:rFonts w:hint="eastAsia" w:ascii="宋体" w:hAnsi="宋体" w:eastAsia="宋体" w:cs="Times New Roman"/>
          <w:szCs w:val="21"/>
        </w:rPr>
        <w:t>20</w:t>
      </w:r>
      <w:r>
        <w:rPr>
          <w:rFonts w:ascii="宋体" w:hAnsi="宋体" w:eastAsia="宋体" w:cs="Times New Roman"/>
          <w:szCs w:val="21"/>
        </w:rPr>
        <w:t>.3</w:t>
      </w:r>
      <w:r>
        <w:rPr>
          <w:rFonts w:hint="eastAsia" w:ascii="宋体" w:hAnsi="宋体" w:eastAsia="宋体" w:cs="Times New Roman"/>
          <w:szCs w:val="21"/>
        </w:rPr>
        <w:t xml:space="preserve"> 中标供应商的投标文件有效期，截止于完成本招标文件规定的全部项目内容，并通过竣工验收及保修期结束。</w:t>
      </w:r>
    </w:p>
    <w:bookmarkEnd w:id="78"/>
    <w:p w14:paraId="2B7FF46D">
      <w:pPr>
        <w:rPr>
          <w:rFonts w:hint="eastAsia" w:ascii="黑体" w:hAnsi="宋体" w:eastAsia="黑体" w:cs="Times New Roman"/>
          <w:sz w:val="24"/>
        </w:rPr>
      </w:pPr>
      <w:r>
        <w:rPr>
          <w:rFonts w:hint="eastAsia" w:ascii="黑体" w:hAnsi="宋体" w:eastAsia="黑体" w:cs="Times New Roman"/>
          <w:sz w:val="24"/>
        </w:rPr>
        <w:t>21．</w:t>
      </w:r>
      <w:bookmarkStart w:id="79" w:name="_Hlk72402325"/>
      <w:r>
        <w:rPr>
          <w:rFonts w:hint="eastAsia" w:ascii="黑体" w:hAnsi="宋体" w:eastAsia="黑体" w:cs="Times New Roman"/>
          <w:sz w:val="24"/>
        </w:rPr>
        <w:t xml:space="preserve">关于投标保证金 </w:t>
      </w:r>
    </w:p>
    <w:p w14:paraId="6F17AD17">
      <w:pPr>
        <w:rPr>
          <w:rFonts w:hint="eastAsia" w:ascii="宋体" w:hAnsi="宋体" w:eastAsia="宋体" w:cs="Times New Roman"/>
          <w:szCs w:val="21"/>
        </w:rPr>
      </w:pPr>
      <w:r>
        <w:rPr>
          <w:rFonts w:hint="eastAsia" w:ascii="宋体" w:hAnsi="宋体" w:eastAsia="宋体" w:cs="Times New Roman"/>
          <w:szCs w:val="21"/>
        </w:rPr>
        <w:t xml:space="preserve">    21.1</w:t>
      </w:r>
      <w:r>
        <w:rPr>
          <w:rFonts w:hint="eastAsia" w:ascii="Times New Roman" w:hAnsi="Times New Roman" w:eastAsia="宋体" w:cs="Times New Roman"/>
        </w:rPr>
        <w:t>参照《深圳市财政局关于调整政府采购投标（响应）保证金管理政策的通知》（深财购〔2021〕51号）文的规定，本项目不收取投标保证金。</w:t>
      </w:r>
    </w:p>
    <w:p w14:paraId="4A1F8584">
      <w:pPr>
        <w:rPr>
          <w:rFonts w:hint="eastAsia" w:ascii="黑体" w:hAnsi="宋体" w:eastAsia="黑体" w:cs="Times New Roman"/>
          <w:sz w:val="24"/>
        </w:rPr>
      </w:pPr>
      <w:r>
        <w:rPr>
          <w:rFonts w:hint="eastAsia" w:ascii="黑体" w:hAnsi="宋体" w:eastAsia="黑体" w:cs="Times New Roman"/>
          <w:sz w:val="24"/>
        </w:rPr>
        <w:t>22．投标人的替代方案</w:t>
      </w:r>
    </w:p>
    <w:p w14:paraId="09C1B88C">
      <w:pPr>
        <w:ind w:firstLine="411" w:firstLineChars="196"/>
        <w:rPr>
          <w:rFonts w:hint="eastAsia" w:ascii="宋体" w:hAnsi="宋体" w:eastAsia="宋体" w:cs="Times New Roman"/>
          <w:szCs w:val="21"/>
        </w:rPr>
      </w:pPr>
      <w:r>
        <w:rPr>
          <w:rFonts w:hint="eastAsia" w:ascii="宋体" w:hAnsi="宋体" w:eastAsia="宋体" w:cs="Times New Roman"/>
          <w:szCs w:val="21"/>
        </w:rPr>
        <w:t>22.1投标人所提交的投标文件应完全满足招标文件（包括图纸和技术规范所示的基本技术设计）的要求。除非项目明确允许投标人提交替代方案，否则投标人有关替代方案的条款将初审不通过，作投标无效处理。</w:t>
      </w:r>
    </w:p>
    <w:p w14:paraId="5580346F">
      <w:pPr>
        <w:ind w:firstLine="411" w:firstLineChars="196"/>
        <w:rPr>
          <w:rFonts w:hint="eastAsia" w:ascii="宋体" w:hAnsi="宋体" w:eastAsia="宋体" w:cs="Times New Roman"/>
          <w:szCs w:val="21"/>
        </w:rPr>
      </w:pPr>
      <w:r>
        <w:rPr>
          <w:rFonts w:hint="eastAsia" w:ascii="宋体" w:hAnsi="宋体" w:eastAsia="宋体" w:cs="Times New Roman"/>
          <w:szCs w:val="21"/>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79"/>
    <w:p w14:paraId="6D1C0426">
      <w:pPr>
        <w:rPr>
          <w:rFonts w:hint="eastAsia" w:ascii="黑体" w:hAnsi="宋体" w:eastAsia="黑体" w:cs="Times New Roman"/>
          <w:sz w:val="24"/>
        </w:rPr>
      </w:pPr>
      <w:r>
        <w:rPr>
          <w:rFonts w:hint="eastAsia" w:ascii="黑体" w:hAnsi="宋体" w:eastAsia="黑体" w:cs="Times New Roman"/>
          <w:sz w:val="24"/>
        </w:rPr>
        <w:t>23．</w:t>
      </w:r>
      <w:bookmarkStart w:id="80" w:name="_Hlk72402860"/>
      <w:r>
        <w:rPr>
          <w:rFonts w:ascii="黑体" w:hAnsi="宋体" w:eastAsia="黑体" w:cs="Times New Roman"/>
          <w:sz w:val="24"/>
        </w:rPr>
        <w:t>投标文件的</w:t>
      </w:r>
      <w:r>
        <w:rPr>
          <w:rFonts w:hint="eastAsia" w:ascii="黑体" w:hAnsi="宋体" w:eastAsia="黑体" w:cs="Times New Roman"/>
          <w:sz w:val="24"/>
        </w:rPr>
        <w:t>制作</w:t>
      </w:r>
      <w:r>
        <w:rPr>
          <w:rFonts w:ascii="黑体" w:hAnsi="宋体" w:eastAsia="黑体" w:cs="Times New Roman"/>
          <w:sz w:val="24"/>
        </w:rPr>
        <w:t>要求</w:t>
      </w:r>
    </w:p>
    <w:p w14:paraId="5C2BCB6E">
      <w:pPr>
        <w:ind w:firstLine="411" w:firstLineChars="196"/>
        <w:rPr>
          <w:rFonts w:hint="eastAsia" w:ascii="宋体" w:hAnsi="宋体" w:eastAsia="宋体" w:cs="Times New Roman"/>
        </w:rPr>
      </w:pPr>
      <w:r>
        <w:rPr>
          <w:rFonts w:hint="eastAsia" w:ascii="宋体" w:hAnsi="宋体" w:eastAsia="宋体" w:cs="Times New Roman"/>
        </w:rPr>
        <w:t>23.1投标人应准备所投项目的电子投标文件一份。此电子投标文件须由投标人根据政府集中采购机构提供的后缀名为.TYZB的电子招标文件，下载并使用相应的</w:t>
      </w:r>
      <w:r>
        <w:rPr>
          <w:rFonts w:hint="eastAsia" w:ascii="宋体" w:hAnsi="宋体" w:eastAsia="宋体" w:cs="Times New Roman"/>
          <w:szCs w:val="21"/>
        </w:rPr>
        <w:t>深圳市自行采购系统</w:t>
      </w:r>
      <w:r>
        <w:rPr>
          <w:rFonts w:hint="eastAsia" w:ascii="宋体" w:hAnsi="宋体" w:eastAsia="宋体" w:cs="Times New Roman"/>
        </w:rPr>
        <w:t>投标文件制作专用软件打开招标文件（.TYZB格式）【下载地址：https://www.szggzy.com/jyfw/list.html?id=jyfwzfcg】。</w:t>
      </w:r>
    </w:p>
    <w:p w14:paraId="70C343B7">
      <w:pPr>
        <w:ind w:firstLine="411" w:firstLineChars="196"/>
        <w:rPr>
          <w:rFonts w:hint="eastAsia" w:ascii="宋体" w:hAnsi="宋体" w:eastAsia="宋体" w:cs="Times New Roman"/>
        </w:rPr>
      </w:pPr>
      <w:r>
        <w:rPr>
          <w:rFonts w:hint="eastAsia" w:ascii="宋体" w:hAnsi="宋体" w:eastAsia="宋体" w:cs="Times New Roman"/>
        </w:rPr>
        <w:t>23.2投标人在使用《投标书编制软件》编制投标书时须注意：</w:t>
      </w:r>
    </w:p>
    <w:p w14:paraId="18BB69B7">
      <w:pPr>
        <w:ind w:firstLine="411" w:firstLineChars="196"/>
        <w:rPr>
          <w:rFonts w:hint="eastAsia" w:ascii="宋体" w:hAnsi="宋体" w:eastAsia="宋体" w:cs="Times New Roman"/>
        </w:rPr>
      </w:pPr>
      <w:r>
        <w:rPr>
          <w:rFonts w:hint="eastAsia" w:ascii="宋体" w:hAnsi="宋体" w:eastAsia="宋体" w:cs="Times New Roman"/>
        </w:rPr>
        <w:t>23.2.1导入《投标书编制软件》的招标文件项目编号、包号应与以此制作的投标文件项目编号、包号一致。例如，不能将甲项目A包的招标书导入《投标书编制软件》，制作乙项目B包的投标书。</w:t>
      </w:r>
    </w:p>
    <w:p w14:paraId="3CB44948">
      <w:pPr>
        <w:ind w:firstLine="411" w:firstLineChars="196"/>
        <w:rPr>
          <w:rFonts w:hint="eastAsia" w:ascii="宋体" w:hAnsi="宋体" w:eastAsia="宋体" w:cs="Times New Roman"/>
        </w:rPr>
      </w:pPr>
      <w:r>
        <w:rPr>
          <w:rFonts w:hint="eastAsia" w:ascii="宋体" w:hAnsi="宋体" w:eastAsia="宋体" w:cs="Times New Roman"/>
        </w:rPr>
        <w:t>23.2.2不能用非本公司的电子密钥加密本公司的投标文件，或者用其它公司的登录用户上传本公司的投标文件。</w:t>
      </w:r>
    </w:p>
    <w:p w14:paraId="555C5EF1">
      <w:pPr>
        <w:ind w:firstLine="411" w:firstLineChars="196"/>
        <w:rPr>
          <w:rFonts w:hint="eastAsia" w:ascii="宋体" w:hAnsi="宋体" w:eastAsia="宋体" w:cs="Times New Roman"/>
        </w:rPr>
      </w:pPr>
      <w:r>
        <w:rPr>
          <w:rFonts w:hint="eastAsia" w:ascii="宋体" w:hAnsi="宋体" w:eastAsia="宋体" w:cs="Times New Roman"/>
        </w:rPr>
        <w:t>23.2.3要求用《投标书编制软件》编制投标书的包，不能用其它方式编制投标书。编制投标文件时，电脑须连通互联网。</w:t>
      </w:r>
    </w:p>
    <w:p w14:paraId="6657C102">
      <w:pPr>
        <w:ind w:firstLine="411" w:firstLineChars="196"/>
        <w:rPr>
          <w:rFonts w:hint="eastAsia" w:ascii="宋体" w:hAnsi="宋体" w:eastAsia="宋体" w:cs="Times New Roman"/>
        </w:rPr>
      </w:pPr>
      <w:r>
        <w:rPr>
          <w:rFonts w:hint="eastAsia" w:ascii="宋体" w:hAnsi="宋体" w:eastAsia="宋体" w:cs="Times New Roman"/>
        </w:rPr>
        <w:t>23.2.4投标文件不能带病毒。政府集中采购机构将用专业杀毒软件对投标文件进行病毒检测，如果这两种软件均报告发现病毒，则政府集中采购机构认为该投标文件带病毒。</w:t>
      </w:r>
    </w:p>
    <w:p w14:paraId="0D0E16DC">
      <w:pPr>
        <w:ind w:firstLine="411" w:firstLineChars="196"/>
        <w:rPr>
          <w:rFonts w:hint="eastAsia" w:ascii="宋体" w:hAnsi="宋体" w:eastAsia="宋体" w:cs="Times New Roman"/>
          <w:b/>
        </w:rPr>
      </w:pPr>
      <w:r>
        <w:rPr>
          <w:rFonts w:hint="eastAsia" w:ascii="宋体" w:hAnsi="宋体" w:eastAsia="宋体" w:cs="Times New Roman"/>
        </w:rPr>
        <w:t>23.2.5</w:t>
      </w:r>
      <w:r>
        <w:rPr>
          <w:rFonts w:hint="eastAsia" w:ascii="宋体" w:hAnsi="宋体" w:eastAsia="宋体" w:cs="Times New Roman"/>
          <w:b/>
        </w:rPr>
        <w:t>“投标信息”中的“投标报价”将作为价格分计算依据；其它信息仅是对投标文件相关内容的概括性表述，不作为评审依据。</w:t>
      </w:r>
    </w:p>
    <w:p w14:paraId="27F1AABA">
      <w:pPr>
        <w:ind w:firstLine="411" w:firstLineChars="196"/>
        <w:rPr>
          <w:rFonts w:hint="eastAsia" w:ascii="宋体" w:hAnsi="宋体" w:eastAsia="宋体" w:cs="Times New Roman"/>
        </w:rPr>
      </w:pPr>
      <w:r>
        <w:rPr>
          <w:rFonts w:hint="eastAsia" w:ascii="宋体" w:hAnsi="宋体" w:eastAsia="宋体" w:cs="Times New Roman"/>
        </w:rPr>
        <w:t>23.2.6投标人在编辑投标文件时，</w:t>
      </w:r>
      <w:r>
        <w:rPr>
          <w:rFonts w:hint="eastAsia" w:ascii="宋体" w:hAnsi="宋体" w:eastAsia="宋体" w:cs="Times New Roman"/>
          <w:b/>
        </w:rPr>
        <w:t>在投标文件目录中属于本节点内容的必须在本节点中填写，填写到其他节点或附件，</w:t>
      </w:r>
      <w:r>
        <w:rPr>
          <w:rFonts w:hint="eastAsia" w:ascii="宋体" w:hAnsi="宋体" w:eastAsia="宋体" w:cs="Times New Roman"/>
        </w:rPr>
        <w:t>一切后果由供应商自行承担。</w:t>
      </w:r>
    </w:p>
    <w:p w14:paraId="28E9FFBF">
      <w:pPr>
        <w:ind w:firstLine="411" w:firstLineChars="196"/>
        <w:rPr>
          <w:rFonts w:hint="eastAsia" w:ascii="宋体" w:hAnsi="宋体" w:eastAsia="宋体" w:cs="Times New Roman"/>
        </w:rPr>
      </w:pPr>
      <w:r>
        <w:rPr>
          <w:rFonts w:hint="eastAsia" w:ascii="宋体" w:hAnsi="宋体" w:eastAsia="宋体" w:cs="Times New Roman"/>
        </w:rPr>
        <w:t>23.2.7投标文件编写完成后，</w:t>
      </w:r>
      <w:r>
        <w:rPr>
          <w:rFonts w:hint="eastAsia" w:ascii="宋体" w:hAnsi="宋体" w:eastAsia="宋体" w:cs="Times New Roman"/>
          <w:b/>
        </w:rPr>
        <w:t>可选择用属于投标人的电子密钥或电子营业执照进行加密。</w:t>
      </w:r>
    </w:p>
    <w:p w14:paraId="4742C65B">
      <w:pPr>
        <w:ind w:firstLine="411" w:firstLineChars="196"/>
        <w:rPr>
          <w:rFonts w:hint="eastAsia" w:ascii="宋体" w:hAnsi="宋体" w:eastAsia="宋体" w:cs="Times New Roman"/>
        </w:rPr>
      </w:pPr>
      <w:r>
        <w:rPr>
          <w:rFonts w:hint="eastAsia" w:ascii="宋体" w:hAnsi="宋体" w:eastAsia="宋体" w:cs="Times New Roman"/>
        </w:rPr>
        <w:t>23.2.8政府集中采购机构不接受投标截止时间后递交的纸质、电子、传真等所有形式的投标文件。由于对网上自行采购系统操作不熟悉或自身电脑、网络等原因导致不能在投标截止时间之前上传投标文件，政府集中采购机构概不负责。建议于开标前一个工作日完成投标文件的制作与上传，如上传确有困难，请及时咨询。</w:t>
      </w:r>
    </w:p>
    <w:p w14:paraId="357319DC">
      <w:pPr>
        <w:ind w:firstLine="411" w:firstLineChars="196"/>
        <w:rPr>
          <w:rFonts w:hint="eastAsia" w:ascii="宋体" w:hAnsi="宋体" w:eastAsia="宋体" w:cs="Times New Roman"/>
        </w:rPr>
      </w:pPr>
      <w:r>
        <w:rPr>
          <w:rFonts w:hint="eastAsia" w:ascii="宋体" w:hAnsi="宋体" w:eastAsia="宋体" w:cs="Times New Roman"/>
        </w:rPr>
        <w:t>23.2.9如果开标时出现网络故障、技术故障，影响了采购活动，政府集中采购机构有权采取措施如延期、接受无法从网上上传的投标书等，以保障采购活动的公开、公平和公正。</w:t>
      </w:r>
    </w:p>
    <w:p w14:paraId="74D171B6">
      <w:pPr>
        <w:ind w:firstLine="411" w:firstLineChars="196"/>
        <w:rPr>
          <w:rFonts w:hint="eastAsia" w:ascii="宋体" w:hAnsi="宋体" w:eastAsia="宋体" w:cs="Times New Roman"/>
        </w:rPr>
      </w:pPr>
      <w:r>
        <w:rPr>
          <w:rFonts w:hint="eastAsia" w:ascii="宋体" w:hAnsi="宋体" w:eastAsia="宋体" w:cs="Times New Roman"/>
        </w:rPr>
        <w:t>23.3电报、电话、传真形式的投标概不接受。</w:t>
      </w:r>
    </w:p>
    <w:p w14:paraId="77D421FD">
      <w:pPr>
        <w:ind w:firstLine="413" w:firstLineChars="196"/>
        <w:rPr>
          <w:rFonts w:hint="eastAsia" w:ascii="宋体" w:hAnsi="宋体" w:eastAsia="宋体" w:cs="Times New Roman"/>
          <w:b/>
        </w:rPr>
      </w:pPr>
      <w:r>
        <w:rPr>
          <w:rFonts w:hint="eastAsia" w:ascii="宋体" w:hAnsi="宋体" w:eastAsia="宋体" w:cs="Times New Roman"/>
          <w:b/>
        </w:rPr>
        <w:t>23.4经投标人电子密钥或电子营业执照加密的投标文件无须盖章或签字，</w:t>
      </w:r>
      <w:r>
        <w:rPr>
          <w:rFonts w:hint="eastAsia" w:ascii="宋体" w:hAnsi="宋体" w:eastAsia="宋体" w:cs="Times New Roman"/>
        </w:rPr>
        <w:t>专用条款另有要求的除外。</w:t>
      </w:r>
    </w:p>
    <w:p w14:paraId="2A295684">
      <w:pPr>
        <w:ind w:firstLine="413" w:firstLineChars="196"/>
        <w:rPr>
          <w:rFonts w:hint="eastAsia" w:ascii="宋体" w:hAnsi="宋体" w:eastAsia="宋体" w:cs="Times New Roman"/>
        </w:rPr>
      </w:pPr>
      <w:r>
        <w:rPr>
          <w:rFonts w:hint="eastAsia" w:ascii="宋体" w:hAnsi="宋体" w:eastAsia="宋体" w:cs="Times New Roman"/>
          <w:b/>
        </w:rPr>
        <w:t>23.5</w:t>
      </w:r>
      <w:r>
        <w:rPr>
          <w:rFonts w:hint="eastAsia" w:ascii="宋体" w:hAnsi="宋体" w:eastAsia="宋体" w:cs="Times New Roman"/>
        </w:rPr>
        <w:t xml:space="preserve"> 各类资格（资质）文件提供扫描件，专用条款另有要求的除外。</w:t>
      </w:r>
      <w:bookmarkEnd w:id="80"/>
    </w:p>
    <w:p w14:paraId="3C922922">
      <w:pPr>
        <w:ind w:firstLine="411" w:firstLineChars="196"/>
        <w:rPr>
          <w:rFonts w:hint="eastAsia" w:ascii="宋体" w:hAnsi="宋体" w:eastAsia="宋体" w:cs="Times New Roman"/>
          <w:szCs w:val="21"/>
        </w:rPr>
      </w:pPr>
    </w:p>
    <w:p w14:paraId="14EDE670">
      <w:pPr>
        <w:keepNext/>
        <w:keepLines/>
        <w:numPr>
          <w:ilvl w:val="0"/>
          <w:numId w:val="11"/>
        </w:numPr>
        <w:adjustRightInd w:val="0"/>
        <w:spacing w:before="120" w:beforeLines="50" w:after="120" w:afterLines="50"/>
        <w:ind w:left="562" w:hanging="562"/>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投标文件的递交</w:t>
      </w:r>
    </w:p>
    <w:p w14:paraId="6449480F">
      <w:pPr>
        <w:rPr>
          <w:rFonts w:hint="eastAsia" w:ascii="黑体" w:hAnsi="宋体" w:eastAsia="黑体" w:cs="Times New Roman"/>
          <w:sz w:val="24"/>
        </w:rPr>
      </w:pPr>
      <w:bookmarkStart w:id="81" w:name="_Hlk72405459"/>
      <w:r>
        <w:rPr>
          <w:rFonts w:hint="eastAsia" w:ascii="黑体" w:hAnsi="宋体" w:eastAsia="黑体" w:cs="Times New Roman"/>
          <w:sz w:val="24"/>
        </w:rPr>
        <w:t>24．投标文件的保密</w:t>
      </w:r>
    </w:p>
    <w:p w14:paraId="60633DF7">
      <w:pPr>
        <w:widowControl/>
        <w:ind w:firstLine="411" w:firstLineChars="196"/>
        <w:jc w:val="left"/>
        <w:rPr>
          <w:rFonts w:ascii="Times New Roman" w:hAnsi="Times New Roman" w:eastAsia="宋体" w:cs="Times New Roman"/>
          <w:color w:val="FF0000"/>
        </w:rPr>
      </w:pPr>
      <w:r>
        <w:rPr>
          <w:rFonts w:hint="eastAsia" w:ascii="宋体" w:hAnsi="宋体" w:eastAsia="宋体" w:cs="Times New Roman"/>
        </w:rPr>
        <w:t>24.1</w:t>
      </w:r>
      <w:r>
        <w:rPr>
          <w:rFonts w:hint="eastAsia" w:ascii="Times New Roman" w:hAnsi="Times New Roman" w:eastAsia="宋体" w:cs="Times New Roman"/>
          <w:color w:val="FF0000"/>
        </w:rPr>
        <w:t>投标文件生成后会选择是否加密投标文件，如不加密则直接点击生成文件即可，如需加密请插入CA锁，点击加密后生成文件，需输入CA锁密码即可加密成功。</w:t>
      </w:r>
    </w:p>
    <w:p w14:paraId="04A6B22C">
      <w:pPr>
        <w:spacing w:line="360" w:lineRule="auto"/>
        <w:rPr>
          <w:rFonts w:ascii="Times New Roman" w:hAnsi="Times New Roman" w:eastAsia="宋体" w:cs="Times New Roman"/>
        </w:rPr>
      </w:pPr>
      <w:r>
        <w:rPr>
          <w:rFonts w:hint="eastAsia" w:ascii="Times New Roman" w:hAnsi="Times New Roman" w:eastAsia="宋体" w:cs="Times New Roman"/>
        </w:rPr>
        <w:drawing>
          <wp:inline distT="0" distB="0" distL="114300" distR="114300">
            <wp:extent cx="5266690" cy="2126615"/>
            <wp:effectExtent l="0" t="0" r="6350" b="6985"/>
            <wp:docPr id="14" name="图片 14" descr="企业微信截图_1699261725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企业微信截图_16992617251837"/>
                    <pic:cNvPicPr>
                      <a:picLocks noChangeAspect="1"/>
                    </pic:cNvPicPr>
                  </pic:nvPicPr>
                  <pic:blipFill>
                    <a:blip r:embed="rId8"/>
                    <a:stretch>
                      <a:fillRect/>
                    </a:stretch>
                  </pic:blipFill>
                  <pic:spPr>
                    <a:xfrm>
                      <a:off x="0" y="0"/>
                      <a:ext cx="5266690" cy="2126615"/>
                    </a:xfrm>
                    <a:prstGeom prst="rect">
                      <a:avLst/>
                    </a:prstGeom>
                  </pic:spPr>
                </pic:pic>
              </a:graphicData>
            </a:graphic>
          </wp:inline>
        </w:drawing>
      </w:r>
    </w:p>
    <w:p w14:paraId="07512923">
      <w:pPr>
        <w:jc w:val="left"/>
        <w:rPr>
          <w:rFonts w:ascii="Times New Roman" w:hAnsi="Times New Roman" w:eastAsia="宋体" w:cs="Times New Roman"/>
        </w:rPr>
      </w:pPr>
      <w:r>
        <w:rPr>
          <w:rFonts w:hint="eastAsia" w:ascii="Times New Roman" w:hAnsi="Times New Roman" w:eastAsia="宋体" w:cs="Times New Roman"/>
        </w:rPr>
        <w:t>加密后会提示文件生成成功！</w:t>
      </w:r>
    </w:p>
    <w:p w14:paraId="418B4AAD">
      <w:pPr>
        <w:jc w:val="left"/>
        <w:rPr>
          <w:rFonts w:ascii="Times New Roman" w:hAnsi="Times New Roman" w:eastAsia="宋体" w:cs="Times New Roman"/>
          <w:sz w:val="24"/>
        </w:rPr>
      </w:pPr>
      <w:r>
        <w:rPr>
          <w:rFonts w:hint="eastAsia" w:ascii="Times New Roman" w:hAnsi="Times New Roman" w:eastAsia="宋体" w:cs="Times New Roman"/>
          <w:color w:val="FF0000"/>
        </w:rPr>
        <w:t>(注意：</w:t>
      </w:r>
      <w:r>
        <w:rPr>
          <w:rFonts w:hint="eastAsia" w:ascii="Times New Roman" w:hAnsi="Times New Roman" w:eastAsia="宋体" w:cs="Times New Roman"/>
        </w:rPr>
        <w:t>加密的投标文件</w:t>
      </w:r>
      <w:r>
        <w:rPr>
          <w:rFonts w:hint="eastAsia" w:ascii="Times New Roman" w:hAnsi="Times New Roman" w:eastAsia="宋体" w:cs="Times New Roman"/>
          <w:color w:val="FF0000"/>
        </w:rPr>
        <w:t>开标时须使用加密文件时使用的锁在项目规定时间内解密！)</w:t>
      </w:r>
    </w:p>
    <w:p w14:paraId="36E97A7A">
      <w:pPr>
        <w:rPr>
          <w:rFonts w:hint="eastAsia" w:ascii="宋体" w:hAnsi="宋体" w:eastAsia="宋体" w:cs="Times New Roman"/>
        </w:rPr>
      </w:pPr>
      <w:r>
        <w:rPr>
          <w:rFonts w:ascii="Times New Roman" w:hAnsi="Times New Roman" w:eastAsia="宋体" w:cs="Times New Roman"/>
        </w:rPr>
        <w:drawing>
          <wp:inline distT="0" distB="0" distL="114300" distR="114300">
            <wp:extent cx="5266690" cy="2185035"/>
            <wp:effectExtent l="0" t="0" r="6350" b="952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9"/>
                    <a:stretch>
                      <a:fillRect/>
                    </a:stretch>
                  </pic:blipFill>
                  <pic:spPr>
                    <a:xfrm>
                      <a:off x="0" y="0"/>
                      <a:ext cx="5266690" cy="2185035"/>
                    </a:xfrm>
                    <a:prstGeom prst="rect">
                      <a:avLst/>
                    </a:prstGeom>
                    <a:noFill/>
                    <a:ln>
                      <a:noFill/>
                    </a:ln>
                  </pic:spPr>
                </pic:pic>
              </a:graphicData>
            </a:graphic>
          </wp:inline>
        </w:drawing>
      </w:r>
    </w:p>
    <w:p w14:paraId="0CB0C50C">
      <w:pPr>
        <w:rPr>
          <w:rFonts w:hint="eastAsia" w:ascii="黑体" w:hAnsi="宋体" w:eastAsia="黑体" w:cs="Times New Roman"/>
          <w:sz w:val="24"/>
        </w:rPr>
      </w:pPr>
      <w:r>
        <w:rPr>
          <w:rFonts w:hint="eastAsia" w:ascii="黑体" w:hAnsi="宋体" w:eastAsia="黑体" w:cs="Times New Roman"/>
          <w:sz w:val="24"/>
        </w:rPr>
        <w:t>24.2若采购项目出现延期情况</w:t>
      </w:r>
    </w:p>
    <w:p w14:paraId="629A1A7E">
      <w:pPr>
        <w:ind w:firstLine="422" w:firstLineChars="200"/>
        <w:rPr>
          <w:rFonts w:hint="eastAsia" w:ascii="黑体" w:hAnsi="宋体" w:eastAsia="黑体" w:cs="Times New Roman"/>
          <w:b/>
          <w:sz w:val="24"/>
        </w:rPr>
      </w:pPr>
      <w:r>
        <w:rPr>
          <w:rFonts w:hint="eastAsia" w:ascii="宋体" w:hAnsi="宋体" w:eastAsia="宋体" w:cs="Times New Roman"/>
          <w:b/>
        </w:rPr>
        <w:t>如果供下载的招标文件有更新，投标人必须重新下载招标文件、重新制作投标文件、重新加密投标文件、重新上传投标文件；如果供下载的招标文件没有更新，投标人必须重新加密投标文件、重新上传投标文件（是否重新制作投标文件根据项目实际情况定）。否则，投标人自行承担投标文件无法解密导致投标无效的后果。</w:t>
      </w:r>
    </w:p>
    <w:p w14:paraId="404526C0">
      <w:pPr>
        <w:rPr>
          <w:rFonts w:hint="eastAsia" w:ascii="黑体" w:hAnsi="宋体" w:eastAsia="黑体" w:cs="Times New Roman"/>
          <w:sz w:val="24"/>
        </w:rPr>
      </w:pPr>
      <w:r>
        <w:rPr>
          <w:rFonts w:hint="eastAsia" w:ascii="黑体" w:hAnsi="宋体" w:eastAsia="黑体" w:cs="Times New Roman"/>
          <w:sz w:val="24"/>
        </w:rPr>
        <w:t>25．上传投标文件及投标截止日期</w:t>
      </w:r>
    </w:p>
    <w:p w14:paraId="5EB5C9A6">
      <w:pPr>
        <w:wordWrap w:val="0"/>
        <w:ind w:firstLine="411" w:firstLineChars="196"/>
        <w:rPr>
          <w:rFonts w:hint="eastAsia" w:ascii="宋体" w:hAnsi="宋体" w:eastAsia="宋体" w:cs="Times New Roman"/>
        </w:rPr>
      </w:pPr>
      <w:r>
        <w:rPr>
          <w:rFonts w:hint="eastAsia" w:ascii="宋体" w:hAnsi="宋体" w:eastAsia="宋体" w:cs="Times New Roman"/>
        </w:rPr>
        <w:t>25</w:t>
      </w:r>
      <w:r>
        <w:rPr>
          <w:rFonts w:ascii="宋体" w:hAnsi="宋体" w:eastAsia="宋体" w:cs="Times New Roman"/>
        </w:rPr>
        <w:t>.</w:t>
      </w:r>
      <w:r>
        <w:rPr>
          <w:rFonts w:hint="eastAsia" w:ascii="宋体" w:hAnsi="宋体" w:eastAsia="宋体" w:cs="Times New Roman"/>
        </w:rPr>
        <w:t>1实行网上投标，</w:t>
      </w:r>
      <w:r>
        <w:rPr>
          <w:rFonts w:hint="eastAsia" w:ascii="Times New Roman" w:hAnsi="Times New Roman" w:eastAsia="宋体" w:cs="Times New Roman"/>
        </w:rPr>
        <w:t>生成投标文件后供应商需要在投标文件递交截止时间之前递交投标文件，超过规定时间则无法递交</w:t>
      </w:r>
      <w:r>
        <w:rPr>
          <w:rFonts w:hint="eastAsia" w:ascii="宋体" w:hAnsi="宋体" w:eastAsia="宋体" w:cs="Times New Roman"/>
        </w:rPr>
        <w:t>。</w:t>
      </w:r>
    </w:p>
    <w:p w14:paraId="43060FA4">
      <w:pPr>
        <w:ind w:firstLine="411" w:firstLineChars="196"/>
        <w:rPr>
          <w:rFonts w:hint="eastAsia" w:ascii="宋体" w:hAnsi="宋体" w:eastAsia="宋体" w:cs="Times New Roman"/>
        </w:rPr>
      </w:pPr>
      <w:r>
        <w:rPr>
          <w:rFonts w:hint="eastAsia" w:ascii="宋体" w:hAnsi="宋体" w:eastAsia="宋体" w:cs="Times New Roman"/>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14:paraId="14EE0B51">
      <w:pPr>
        <w:ind w:firstLine="411" w:firstLineChars="196"/>
        <w:rPr>
          <w:rFonts w:hint="eastAsia" w:ascii="宋体" w:hAnsi="宋体" w:eastAsia="宋体" w:cs="Times New Roman"/>
        </w:rPr>
      </w:pPr>
      <w:r>
        <w:rPr>
          <w:rFonts w:hint="eastAsia" w:ascii="宋体" w:hAnsi="宋体" w:eastAsia="宋体" w:cs="Times New Roman"/>
        </w:rPr>
        <w:t>25</w:t>
      </w:r>
      <w:r>
        <w:rPr>
          <w:rFonts w:ascii="宋体" w:hAnsi="宋体" w:eastAsia="宋体" w:cs="Times New Roman"/>
        </w:rPr>
        <w:t>.</w:t>
      </w:r>
      <w:r>
        <w:rPr>
          <w:rFonts w:hint="eastAsia" w:ascii="宋体" w:hAnsi="宋体" w:eastAsia="宋体" w:cs="Times New Roman"/>
        </w:rPr>
        <w:t>3投标截止时间以后不得上传投标文件。</w:t>
      </w:r>
    </w:p>
    <w:p w14:paraId="1EB268F9">
      <w:pPr>
        <w:ind w:firstLine="411" w:firstLineChars="196"/>
        <w:rPr>
          <w:rFonts w:hint="eastAsia" w:ascii="宋体" w:hAnsi="宋体" w:eastAsia="宋体" w:cs="Times New Roman"/>
        </w:rPr>
      </w:pPr>
    </w:p>
    <w:bookmarkEnd w:id="81"/>
    <w:p w14:paraId="5621FADE">
      <w:pPr>
        <w:rPr>
          <w:rFonts w:hint="eastAsia" w:ascii="黑体" w:hAnsi="宋体" w:eastAsia="黑体" w:cs="Times New Roman"/>
          <w:sz w:val="24"/>
        </w:rPr>
      </w:pPr>
      <w:r>
        <w:rPr>
          <w:rFonts w:hint="eastAsia" w:ascii="黑体" w:hAnsi="宋体" w:eastAsia="黑体" w:cs="Times New Roman"/>
          <w:sz w:val="24"/>
        </w:rPr>
        <w:t>26. 样品、现场演示、方案讲解</w:t>
      </w:r>
    </w:p>
    <w:p w14:paraId="5CCD72B6">
      <w:pPr>
        <w:ind w:firstLine="411" w:firstLineChars="196"/>
        <w:rPr>
          <w:rFonts w:hint="eastAsia" w:ascii="宋体" w:hAnsi="宋体" w:eastAsia="宋体" w:cs="Times New Roman"/>
          <w:szCs w:val="21"/>
        </w:rPr>
      </w:pPr>
      <w:r>
        <w:rPr>
          <w:rFonts w:hint="eastAsia" w:ascii="宋体" w:hAnsi="宋体" w:eastAsia="宋体" w:cs="Times New Roman"/>
          <w:szCs w:val="21"/>
        </w:rPr>
        <w:t>26.1 样品、现场演示、方案讲解等事项在招标文件专用条款中进行规定。</w:t>
      </w:r>
    </w:p>
    <w:p w14:paraId="018AAD5A">
      <w:pPr>
        <w:rPr>
          <w:rFonts w:hint="eastAsia" w:ascii="黑体" w:hAnsi="宋体" w:eastAsia="黑体" w:cs="Times New Roman"/>
          <w:sz w:val="24"/>
        </w:rPr>
      </w:pPr>
      <w:bookmarkStart w:id="82" w:name="_Hlk72428346"/>
      <w:r>
        <w:rPr>
          <w:rFonts w:ascii="黑体" w:hAnsi="宋体" w:eastAsia="黑体" w:cs="Times New Roman"/>
          <w:sz w:val="24"/>
        </w:rPr>
        <w:t>2</w:t>
      </w:r>
      <w:r>
        <w:rPr>
          <w:rFonts w:hint="eastAsia" w:ascii="黑体" w:hAnsi="宋体" w:eastAsia="黑体" w:cs="Times New Roman"/>
          <w:sz w:val="24"/>
        </w:rPr>
        <w:t>7．</w:t>
      </w:r>
      <w:r>
        <w:rPr>
          <w:rFonts w:ascii="黑体" w:hAnsi="宋体" w:eastAsia="黑体" w:cs="Times New Roman"/>
          <w:sz w:val="24"/>
        </w:rPr>
        <w:t>投标文件的修改和撤销</w:t>
      </w:r>
    </w:p>
    <w:p w14:paraId="60967077">
      <w:pPr>
        <w:ind w:firstLine="411" w:firstLineChars="196"/>
        <w:rPr>
          <w:rFonts w:hint="eastAsia" w:ascii="宋体" w:hAnsi="宋体" w:eastAsia="宋体" w:cs="Times New Roman"/>
        </w:rPr>
      </w:pPr>
      <w:r>
        <w:rPr>
          <w:rFonts w:ascii="宋体" w:hAnsi="宋体" w:eastAsia="宋体" w:cs="Times New Roman"/>
        </w:rPr>
        <w:t>2</w:t>
      </w:r>
      <w:r>
        <w:rPr>
          <w:rFonts w:hint="eastAsia" w:ascii="宋体" w:hAnsi="宋体" w:eastAsia="宋体" w:cs="Times New Roman"/>
        </w:rPr>
        <w:t>7</w:t>
      </w:r>
      <w:r>
        <w:rPr>
          <w:rFonts w:ascii="宋体" w:hAnsi="宋体" w:eastAsia="宋体" w:cs="Times New Roman"/>
        </w:rPr>
        <w:t>.</w:t>
      </w:r>
      <w:r>
        <w:rPr>
          <w:rFonts w:hint="eastAsia" w:ascii="宋体" w:hAnsi="宋体" w:eastAsia="宋体" w:cs="Times New Roman"/>
        </w:rPr>
        <w:t>1</w:t>
      </w:r>
      <w:r>
        <w:rPr>
          <w:rFonts w:ascii="宋体" w:hAnsi="宋体" w:eastAsia="宋体" w:cs="Times New Roman"/>
        </w:rPr>
        <w:t>投标方在提交投标文件后可对其投标文件进行修改</w:t>
      </w:r>
      <w:r>
        <w:rPr>
          <w:rFonts w:hint="eastAsia" w:ascii="宋体" w:hAnsi="宋体" w:eastAsia="宋体" w:cs="Times New Roman"/>
        </w:rPr>
        <w:t>并重新上传投标文件</w:t>
      </w:r>
      <w:r>
        <w:rPr>
          <w:rFonts w:ascii="宋体" w:hAnsi="宋体" w:eastAsia="宋体" w:cs="Times New Roman"/>
        </w:rPr>
        <w:t>或</w:t>
      </w:r>
      <w:r>
        <w:rPr>
          <w:rFonts w:hint="eastAsia" w:ascii="宋体" w:hAnsi="宋体" w:eastAsia="宋体" w:cs="Times New Roman"/>
        </w:rPr>
        <w:t>在网上进行</w:t>
      </w:r>
      <w:r>
        <w:rPr>
          <w:rFonts w:ascii="宋体" w:hAnsi="宋体" w:eastAsia="宋体" w:cs="Times New Roman"/>
        </w:rPr>
        <w:t>撤销</w:t>
      </w:r>
      <w:r>
        <w:rPr>
          <w:rFonts w:hint="eastAsia" w:ascii="宋体" w:hAnsi="宋体" w:eastAsia="宋体" w:cs="Times New Roman"/>
        </w:rPr>
        <w:t>投标的操作</w:t>
      </w:r>
      <w:r>
        <w:rPr>
          <w:rFonts w:ascii="宋体" w:hAnsi="宋体" w:eastAsia="宋体" w:cs="Times New Roman"/>
        </w:rPr>
        <w:t>。</w:t>
      </w:r>
    </w:p>
    <w:p w14:paraId="6642CFD6">
      <w:pPr>
        <w:ind w:firstLine="411" w:firstLineChars="196"/>
        <w:rPr>
          <w:rFonts w:hint="eastAsia" w:ascii="宋体" w:hAnsi="宋体" w:eastAsia="宋体" w:cs="Times New Roman"/>
        </w:rPr>
      </w:pPr>
      <w:r>
        <w:rPr>
          <w:rFonts w:ascii="宋体" w:hAnsi="宋体" w:eastAsia="宋体" w:cs="Times New Roman"/>
        </w:rPr>
        <w:t>2</w:t>
      </w:r>
      <w:r>
        <w:rPr>
          <w:rFonts w:hint="eastAsia" w:ascii="宋体" w:hAnsi="宋体" w:eastAsia="宋体" w:cs="Times New Roman"/>
        </w:rPr>
        <w:t>7</w:t>
      </w:r>
      <w:r>
        <w:rPr>
          <w:rFonts w:ascii="宋体" w:hAnsi="宋体" w:eastAsia="宋体" w:cs="Times New Roman"/>
        </w:rPr>
        <w:t>.</w:t>
      </w:r>
      <w:r>
        <w:rPr>
          <w:rFonts w:hint="eastAsia" w:ascii="宋体" w:hAnsi="宋体" w:eastAsia="宋体" w:cs="Times New Roman"/>
        </w:rPr>
        <w:t>2</w:t>
      </w:r>
      <w:r>
        <w:rPr>
          <w:rFonts w:ascii="宋体" w:hAnsi="宋体" w:eastAsia="宋体" w:cs="Times New Roman"/>
        </w:rPr>
        <w:t>投标截止时间以后不得修改投标文件。</w:t>
      </w:r>
    </w:p>
    <w:p w14:paraId="56115DD0">
      <w:pPr>
        <w:ind w:firstLine="411" w:firstLineChars="196"/>
        <w:rPr>
          <w:rFonts w:hint="eastAsia" w:ascii="宋体" w:hAnsi="宋体" w:eastAsia="宋体" w:cs="Times New Roman"/>
        </w:rPr>
      </w:pPr>
      <w:r>
        <w:rPr>
          <w:rFonts w:ascii="宋体" w:hAnsi="宋体" w:eastAsia="宋体" w:cs="Times New Roman"/>
        </w:rPr>
        <w:t>2</w:t>
      </w:r>
      <w:r>
        <w:rPr>
          <w:rFonts w:hint="eastAsia" w:ascii="宋体" w:hAnsi="宋体" w:eastAsia="宋体" w:cs="Times New Roman"/>
        </w:rPr>
        <w:t>7</w:t>
      </w:r>
      <w:r>
        <w:rPr>
          <w:rFonts w:ascii="宋体" w:hAnsi="宋体" w:eastAsia="宋体" w:cs="Times New Roman"/>
        </w:rPr>
        <w:t>.</w:t>
      </w:r>
      <w:r>
        <w:rPr>
          <w:rFonts w:hint="eastAsia" w:ascii="宋体" w:hAnsi="宋体" w:eastAsia="宋体" w:cs="Times New Roman"/>
        </w:rPr>
        <w:t>3从投标截止期至投标人在投标文件中确定的投标有效期之间的这段时间内，投标人不得撤回其投标。</w:t>
      </w:r>
    </w:p>
    <w:p w14:paraId="09A726F3">
      <w:pPr>
        <w:ind w:firstLine="411" w:firstLineChars="196"/>
        <w:rPr>
          <w:rFonts w:hint="eastAsia" w:ascii="宋体" w:hAnsi="宋体" w:eastAsia="宋体" w:cs="Times New Roman"/>
          <w:szCs w:val="21"/>
        </w:rPr>
      </w:pPr>
      <w:r>
        <w:rPr>
          <w:rFonts w:hint="eastAsia" w:ascii="宋体" w:hAnsi="宋体" w:eastAsia="宋体" w:cs="Times New Roman"/>
          <w:szCs w:val="21"/>
        </w:rPr>
        <w:t>27.4政府集中采购机构不退还投标文件，专用条款另有规定的除外。</w:t>
      </w:r>
    </w:p>
    <w:bookmarkEnd w:id="82"/>
    <w:p w14:paraId="65CE0A02">
      <w:pPr>
        <w:keepNext/>
        <w:keepLines/>
        <w:numPr>
          <w:ilvl w:val="0"/>
          <w:numId w:val="11"/>
        </w:numPr>
        <w:adjustRightInd w:val="0"/>
        <w:spacing w:before="120" w:beforeLines="50" w:after="120" w:afterLines="50"/>
        <w:ind w:left="562" w:hanging="562"/>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开标</w:t>
      </w:r>
    </w:p>
    <w:p w14:paraId="59CD8917">
      <w:pPr>
        <w:rPr>
          <w:rFonts w:hint="eastAsia" w:ascii="黑体" w:hAnsi="宋体" w:eastAsia="黑体" w:cs="Times New Roman"/>
          <w:sz w:val="24"/>
        </w:rPr>
      </w:pPr>
      <w:r>
        <w:rPr>
          <w:rFonts w:hint="eastAsia" w:ascii="黑体" w:hAnsi="宋体" w:eastAsia="黑体" w:cs="Times New Roman"/>
          <w:sz w:val="24"/>
        </w:rPr>
        <w:t>28．开标</w:t>
      </w:r>
    </w:p>
    <w:p w14:paraId="2ED9344A">
      <w:pPr>
        <w:ind w:firstLine="359" w:firstLineChars="171"/>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8</w:t>
      </w:r>
      <w:r>
        <w:rPr>
          <w:rFonts w:ascii="宋体" w:hAnsi="宋体" w:eastAsia="宋体" w:cs="Times New Roman"/>
          <w:szCs w:val="21"/>
        </w:rPr>
        <w:t>.</w:t>
      </w:r>
      <w:r>
        <w:rPr>
          <w:rFonts w:hint="eastAsia" w:ascii="宋体" w:hAnsi="宋体" w:eastAsia="宋体" w:cs="Times New Roman"/>
          <w:szCs w:val="21"/>
        </w:rPr>
        <w:t>1</w:t>
      </w:r>
      <w:r>
        <w:rPr>
          <w:rFonts w:hint="eastAsia" w:ascii="Times New Roman" w:hAnsi="Times New Roman" w:eastAsia="宋体" w:cs="Times New Roman"/>
        </w:rPr>
        <w:t>如投标文件为加密，则需插入CA锁点击解密，</w:t>
      </w:r>
      <w:r>
        <w:rPr>
          <w:rFonts w:hint="eastAsia" w:ascii="宋体" w:hAnsi="宋体" w:eastAsia="宋体" w:cs="Times New Roman"/>
          <w:szCs w:val="21"/>
        </w:rPr>
        <w:t>逾期未解密的作无效处理，</w:t>
      </w:r>
      <w:r>
        <w:rPr>
          <w:rFonts w:hint="eastAsia" w:ascii="Times New Roman" w:hAnsi="Times New Roman" w:eastAsia="宋体" w:cs="Times New Roman"/>
        </w:rPr>
        <w:t>否则无需解密。</w:t>
      </w:r>
    </w:p>
    <w:p w14:paraId="0AC6D4AD">
      <w:pPr>
        <w:rPr>
          <w:rFonts w:hint="eastAsia" w:ascii="宋体" w:hAnsi="宋体" w:eastAsia="宋体" w:cs="Times New Roman"/>
          <w:szCs w:val="21"/>
        </w:rPr>
      </w:pPr>
      <w:r>
        <w:rPr>
          <w:rFonts w:ascii="Times New Roman" w:hAnsi="Times New Roman" w:eastAsia="宋体" w:cs="Times New Roman"/>
        </w:rPr>
        <w:drawing>
          <wp:inline distT="0" distB="0" distL="114300" distR="114300">
            <wp:extent cx="5269230" cy="2591435"/>
            <wp:effectExtent l="0" t="0" r="3810" b="14605"/>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10"/>
                    <a:stretch>
                      <a:fillRect/>
                    </a:stretch>
                  </pic:blipFill>
                  <pic:spPr>
                    <a:xfrm>
                      <a:off x="0" y="0"/>
                      <a:ext cx="5269230" cy="2591435"/>
                    </a:xfrm>
                    <a:prstGeom prst="rect">
                      <a:avLst/>
                    </a:prstGeom>
                    <a:noFill/>
                    <a:ln>
                      <a:noFill/>
                    </a:ln>
                  </pic:spPr>
                </pic:pic>
              </a:graphicData>
            </a:graphic>
          </wp:inline>
        </w:drawing>
      </w:r>
    </w:p>
    <w:p w14:paraId="3365DB96">
      <w:pPr>
        <w:ind w:firstLine="315" w:firstLineChars="150"/>
        <w:rPr>
          <w:rFonts w:hint="eastAsia" w:ascii="宋体" w:hAnsi="宋体" w:eastAsia="宋体" w:cs="Times New Roman"/>
          <w:szCs w:val="21"/>
        </w:rPr>
      </w:pPr>
      <w:r>
        <w:rPr>
          <w:rFonts w:hint="eastAsia" w:ascii="宋体" w:hAnsi="宋体" w:eastAsia="宋体" w:cs="Times New Roman"/>
          <w:szCs w:val="21"/>
        </w:rPr>
        <w:t>28.2政府集中采购机构将在满足开标条件后，对投标文件进行开标。</w:t>
      </w:r>
    </w:p>
    <w:p w14:paraId="5AB692AC">
      <w:pPr>
        <w:ind w:firstLine="315" w:firstLineChars="150"/>
        <w:rPr>
          <w:rFonts w:hint="eastAsia" w:ascii="宋体" w:hAnsi="宋体" w:eastAsia="宋体" w:cs="Times New Roman"/>
          <w:szCs w:val="21"/>
        </w:rPr>
      </w:pPr>
    </w:p>
    <w:p w14:paraId="0749DD65">
      <w:pPr>
        <w:keepNext/>
        <w:keepLines/>
        <w:numPr>
          <w:ilvl w:val="0"/>
          <w:numId w:val="11"/>
        </w:numPr>
        <w:adjustRightInd w:val="0"/>
        <w:spacing w:before="120" w:beforeLines="50" w:after="120" w:afterLines="50"/>
        <w:ind w:left="562" w:hanging="562"/>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评审要求</w:t>
      </w:r>
    </w:p>
    <w:p w14:paraId="3E465901">
      <w:pPr>
        <w:rPr>
          <w:rFonts w:hint="eastAsia" w:ascii="黑体" w:hAnsi="宋体" w:eastAsia="黑体" w:cs="Times New Roman"/>
          <w:sz w:val="24"/>
        </w:rPr>
      </w:pPr>
      <w:r>
        <w:rPr>
          <w:rFonts w:hint="eastAsia" w:ascii="黑体" w:hAnsi="宋体" w:eastAsia="黑体" w:cs="Times New Roman"/>
          <w:sz w:val="24"/>
        </w:rPr>
        <w:t>29．评审委员会组成</w:t>
      </w:r>
    </w:p>
    <w:p w14:paraId="0CE8CFC4">
      <w:pPr>
        <w:ind w:firstLine="411" w:firstLineChars="196"/>
        <w:rPr>
          <w:rFonts w:hint="eastAsia" w:ascii="宋体" w:hAnsi="宋体" w:eastAsia="宋体" w:cs="Times New Roman"/>
        </w:rPr>
      </w:pPr>
      <w:r>
        <w:rPr>
          <w:rFonts w:hint="eastAsia" w:ascii="宋体" w:hAnsi="宋体" w:eastAsia="宋体" w:cs="Times New Roman"/>
        </w:rPr>
        <w:t>29.1网上开标结束后召开评审会议，</w:t>
      </w:r>
      <w:r>
        <w:rPr>
          <w:rFonts w:hint="eastAsia" w:ascii="宋体" w:hAnsi="宋体" w:eastAsia="宋体" w:cs="Times New Roman"/>
          <w:szCs w:val="21"/>
        </w:rPr>
        <w:t>评审委员会</w:t>
      </w:r>
      <w:r>
        <w:rPr>
          <w:rFonts w:hint="eastAsia" w:ascii="宋体" w:hAnsi="宋体" w:eastAsia="宋体" w:cs="Times New Roman"/>
        </w:rPr>
        <w:t>由政府集中采购机构依法组建，负责评审活动。</w:t>
      </w:r>
    </w:p>
    <w:p w14:paraId="645F52E2">
      <w:pPr>
        <w:ind w:firstLine="411" w:firstLineChars="196"/>
        <w:rPr>
          <w:rFonts w:hint="eastAsia" w:ascii="宋体" w:hAnsi="宋体" w:eastAsia="宋体" w:cs="Times New Roman"/>
        </w:rPr>
      </w:pPr>
      <w:bookmarkStart w:id="83" w:name="_Hlk72436580"/>
      <w:r>
        <w:rPr>
          <w:rFonts w:hint="eastAsia" w:ascii="宋体" w:hAnsi="宋体" w:eastAsia="宋体" w:cs="Times New Roman"/>
        </w:rPr>
        <w:t>评审委员会由采购人代表和评审专家组成。</w:t>
      </w:r>
      <w:bookmarkEnd w:id="83"/>
      <w:r>
        <w:rPr>
          <w:rFonts w:hint="eastAsia" w:ascii="宋体" w:hAnsi="宋体" w:eastAsia="宋体" w:cs="Times New Roman"/>
        </w:rPr>
        <w:t>评定</w:t>
      </w:r>
      <w:r>
        <w:rPr>
          <w:rFonts w:hint="eastAsia" w:ascii="Times New Roman" w:hAnsi="Times New Roman" w:eastAsia="宋体" w:cs="Times New Roman"/>
        </w:rPr>
        <w:t>分离项目</w:t>
      </w:r>
      <w:r>
        <w:rPr>
          <w:rFonts w:ascii="Times New Roman" w:hAnsi="Times New Roman" w:eastAsia="宋体" w:cs="Times New Roman"/>
        </w:rPr>
        <w:t>评审专家</w:t>
      </w:r>
      <w:r>
        <w:rPr>
          <w:rFonts w:hint="eastAsia" w:ascii="Times New Roman" w:hAnsi="Times New Roman" w:eastAsia="宋体" w:cs="Times New Roman"/>
        </w:rPr>
        <w:t>均</w:t>
      </w:r>
      <w:r>
        <w:rPr>
          <w:rFonts w:ascii="Times New Roman" w:hAnsi="Times New Roman" w:eastAsia="宋体" w:cs="Times New Roman"/>
        </w:rPr>
        <w:t>由</w:t>
      </w:r>
      <w:r>
        <w:rPr>
          <w:rFonts w:hint="eastAsia" w:ascii="Times New Roman" w:hAnsi="Times New Roman" w:eastAsia="宋体" w:cs="Times New Roman"/>
        </w:rPr>
        <w:t>评审专家组成。</w:t>
      </w:r>
      <w:r>
        <w:rPr>
          <w:rFonts w:hint="eastAsia" w:ascii="宋体" w:hAnsi="宋体" w:eastAsia="宋体" w:cs="Times New Roman"/>
          <w:szCs w:val="21"/>
        </w:rPr>
        <w:t>评审专家一般是</w:t>
      </w:r>
      <w:r>
        <w:rPr>
          <w:rFonts w:hint="eastAsia" w:ascii="宋体" w:hAnsi="宋体" w:eastAsia="宋体" w:cs="Times New Roman"/>
        </w:rPr>
        <w:t>从深圳市政府采购评审专家库中随机抽取。采购人代表须持本单位签发的《评审授权书》参加评审。</w:t>
      </w:r>
    </w:p>
    <w:p w14:paraId="09715D6C">
      <w:pPr>
        <w:ind w:firstLine="411" w:firstLineChars="196"/>
        <w:rPr>
          <w:rFonts w:hint="eastAsia" w:ascii="宋体" w:hAnsi="宋体" w:eastAsia="宋体" w:cs="Times New Roman"/>
        </w:rPr>
      </w:pPr>
      <w:r>
        <w:rPr>
          <w:rFonts w:hint="eastAsia" w:ascii="宋体" w:hAnsi="宋体" w:eastAsia="宋体" w:cs="Times New Roman"/>
        </w:rPr>
        <w:t>29.2评审定标应当遵循公平、公正、科学、择优的原则。</w:t>
      </w:r>
    </w:p>
    <w:p w14:paraId="7464FD46">
      <w:pPr>
        <w:ind w:firstLine="411" w:firstLineChars="196"/>
        <w:rPr>
          <w:rFonts w:hint="eastAsia" w:ascii="宋体" w:hAnsi="宋体" w:eastAsia="宋体" w:cs="Times New Roman"/>
        </w:rPr>
      </w:pPr>
      <w:r>
        <w:rPr>
          <w:rFonts w:hint="eastAsia" w:ascii="宋体" w:hAnsi="宋体" w:eastAsia="宋体" w:cs="Times New Roman"/>
        </w:rPr>
        <w:t>29.3评审活动依法进行，任何单位和个人不得非法干预评标过程和结果。</w:t>
      </w:r>
    </w:p>
    <w:p w14:paraId="544E28CC">
      <w:pPr>
        <w:ind w:firstLine="411" w:firstLineChars="196"/>
        <w:rPr>
          <w:rFonts w:hint="eastAsia" w:ascii="宋体" w:hAnsi="宋体" w:eastAsia="宋体" w:cs="Times New Roman"/>
        </w:rPr>
      </w:pPr>
      <w:r>
        <w:rPr>
          <w:rFonts w:hint="eastAsia" w:ascii="宋体" w:hAnsi="宋体" w:eastAsia="宋体" w:cs="Times New Roman"/>
        </w:rPr>
        <w:t>29.4评审过程中不允许违背评标程序或采用招标文件未载明的评标方法或评标因素进行评标。</w:t>
      </w:r>
    </w:p>
    <w:p w14:paraId="5D8C5826">
      <w:pPr>
        <w:ind w:firstLine="411" w:firstLineChars="196"/>
        <w:rPr>
          <w:rFonts w:hint="eastAsia" w:ascii="宋体" w:hAnsi="宋体" w:eastAsia="宋体" w:cs="Times New Roman"/>
          <w:bCs/>
        </w:rPr>
      </w:pPr>
      <w:r>
        <w:rPr>
          <w:rFonts w:hint="eastAsia" w:ascii="宋体" w:hAnsi="宋体" w:eastAsia="宋体" w:cs="Times New Roman"/>
          <w:bCs/>
        </w:rPr>
        <w:t>29.5 开标后，直到签订合同为止，凡属于对投标文件的审查、澄清、评价和比较的有关资料以及中标候选人的推荐情况、与评审有关的其他任何情况均严格保密（</w:t>
      </w:r>
      <w:r>
        <w:rPr>
          <w:rFonts w:hint="eastAsia" w:ascii="Times New Roman" w:hAnsi="Times New Roman" w:eastAsia="宋体" w:cs="Times New Roman"/>
        </w:rPr>
        <w:t>信息公开的内容除外</w:t>
      </w:r>
      <w:r>
        <w:rPr>
          <w:rFonts w:hint="eastAsia" w:ascii="宋体" w:hAnsi="宋体" w:eastAsia="宋体" w:cs="Times New Roman"/>
          <w:bCs/>
        </w:rPr>
        <w:t>）。</w:t>
      </w:r>
    </w:p>
    <w:p w14:paraId="59050105">
      <w:pPr>
        <w:rPr>
          <w:rFonts w:hint="eastAsia" w:ascii="黑体" w:hAnsi="宋体" w:eastAsia="黑体" w:cs="Times New Roman"/>
          <w:sz w:val="24"/>
        </w:rPr>
      </w:pPr>
      <w:r>
        <w:rPr>
          <w:rFonts w:hint="eastAsia" w:ascii="黑体" w:hAnsi="宋体" w:eastAsia="黑体" w:cs="Times New Roman"/>
          <w:sz w:val="24"/>
        </w:rPr>
        <w:t>30．向评审委员会提供的资料</w:t>
      </w:r>
    </w:p>
    <w:p w14:paraId="5E893277">
      <w:pPr>
        <w:ind w:firstLine="411" w:firstLineChars="196"/>
        <w:rPr>
          <w:rFonts w:hint="eastAsia" w:ascii="宋体" w:hAnsi="宋体" w:eastAsia="宋体" w:cs="Times New Roman"/>
        </w:rPr>
      </w:pPr>
      <w:r>
        <w:rPr>
          <w:rFonts w:hint="eastAsia" w:ascii="宋体" w:hAnsi="宋体" w:eastAsia="宋体" w:cs="Times New Roman"/>
        </w:rPr>
        <w:t>30.1公开发布的招标文件，包括图纸、服务清单、答疑文件等；</w:t>
      </w:r>
    </w:p>
    <w:p w14:paraId="0EC79059">
      <w:pPr>
        <w:ind w:firstLine="411" w:firstLineChars="196"/>
        <w:rPr>
          <w:rFonts w:hint="eastAsia" w:ascii="宋体" w:hAnsi="宋体" w:eastAsia="宋体" w:cs="Times New Roman"/>
        </w:rPr>
      </w:pPr>
      <w:r>
        <w:rPr>
          <w:rFonts w:hint="eastAsia" w:ascii="宋体" w:hAnsi="宋体" w:eastAsia="宋体" w:cs="Times New Roman"/>
        </w:rPr>
        <w:t>30.2其他评标必须的资料。</w:t>
      </w:r>
    </w:p>
    <w:p w14:paraId="3DFBC7CD">
      <w:pPr>
        <w:ind w:firstLine="411" w:firstLineChars="196"/>
        <w:rPr>
          <w:rFonts w:hint="eastAsia" w:ascii="宋体" w:hAnsi="宋体" w:eastAsia="宋体" w:cs="Times New Roman"/>
        </w:rPr>
      </w:pPr>
      <w:r>
        <w:rPr>
          <w:rFonts w:hint="eastAsia" w:ascii="宋体" w:hAnsi="宋体" w:eastAsia="宋体" w:cs="Times New Roman"/>
        </w:rPr>
        <w:t>30.3</w:t>
      </w:r>
      <w:r>
        <w:rPr>
          <w:rFonts w:hint="eastAsia" w:ascii="宋体" w:hAnsi="宋体" w:eastAsia="宋体" w:cs="Times New Roman"/>
          <w:szCs w:val="21"/>
        </w:rPr>
        <w:t>评审委员会</w:t>
      </w:r>
      <w:r>
        <w:rPr>
          <w:rFonts w:hint="eastAsia" w:ascii="宋体" w:hAnsi="宋体" w:eastAsia="宋体" w:cs="Times New Roman"/>
        </w:rPr>
        <w:t>应当认真研究招标文件，至少应了解熟悉以下内容：</w:t>
      </w:r>
    </w:p>
    <w:p w14:paraId="618FE6AA">
      <w:pPr>
        <w:ind w:firstLine="411" w:firstLineChars="196"/>
        <w:rPr>
          <w:rFonts w:hint="eastAsia" w:ascii="宋体" w:hAnsi="宋体" w:eastAsia="宋体" w:cs="Times New Roman"/>
        </w:rPr>
      </w:pPr>
      <w:r>
        <w:rPr>
          <w:rFonts w:hint="eastAsia" w:ascii="宋体" w:hAnsi="宋体" w:eastAsia="宋体" w:cs="Times New Roman"/>
        </w:rPr>
        <w:t>（1）招标的目的；</w:t>
      </w:r>
    </w:p>
    <w:p w14:paraId="705066DE">
      <w:pPr>
        <w:ind w:firstLine="411" w:firstLineChars="196"/>
        <w:rPr>
          <w:rFonts w:hint="eastAsia" w:ascii="宋体" w:hAnsi="宋体" w:eastAsia="宋体" w:cs="Times New Roman"/>
        </w:rPr>
      </w:pPr>
      <w:r>
        <w:rPr>
          <w:rFonts w:hint="eastAsia" w:ascii="宋体" w:hAnsi="宋体" w:eastAsia="宋体" w:cs="Times New Roman"/>
        </w:rPr>
        <w:t>（2）招标项目需求的范围和性质；</w:t>
      </w:r>
    </w:p>
    <w:p w14:paraId="7FAAAD1E">
      <w:pPr>
        <w:ind w:firstLine="411" w:firstLineChars="196"/>
        <w:rPr>
          <w:rFonts w:hint="eastAsia" w:ascii="宋体" w:hAnsi="宋体" w:eastAsia="宋体" w:cs="Times New Roman"/>
        </w:rPr>
      </w:pPr>
      <w:r>
        <w:rPr>
          <w:rFonts w:hint="eastAsia" w:ascii="宋体" w:hAnsi="宋体" w:eastAsia="宋体" w:cs="Times New Roman"/>
        </w:rPr>
        <w:t>（3）招标文件规定的投标人的资格、财政预算限额、商务条款；</w:t>
      </w:r>
    </w:p>
    <w:p w14:paraId="3A6F2AD7">
      <w:pPr>
        <w:ind w:firstLine="411" w:firstLineChars="196"/>
        <w:rPr>
          <w:rFonts w:hint="eastAsia" w:ascii="宋体" w:hAnsi="宋体" w:eastAsia="宋体" w:cs="Times New Roman"/>
        </w:rPr>
      </w:pPr>
      <w:r>
        <w:rPr>
          <w:rFonts w:hint="eastAsia" w:ascii="宋体" w:hAnsi="宋体" w:eastAsia="宋体" w:cs="Times New Roman"/>
        </w:rPr>
        <w:t>（4）招标文件规定的评标程序、评标方法和评标因素；</w:t>
      </w:r>
    </w:p>
    <w:p w14:paraId="0C0A6C1A">
      <w:pPr>
        <w:ind w:firstLine="411" w:firstLineChars="196"/>
        <w:rPr>
          <w:rFonts w:hint="eastAsia" w:ascii="宋体" w:hAnsi="宋体" w:eastAsia="宋体" w:cs="Times New Roman"/>
        </w:rPr>
      </w:pPr>
      <w:r>
        <w:rPr>
          <w:rFonts w:hint="eastAsia" w:ascii="宋体" w:hAnsi="宋体" w:eastAsia="宋体" w:cs="Times New Roman"/>
        </w:rPr>
        <w:t>（5）招标文件所列示的资格性审查表及符合性审查表。</w:t>
      </w:r>
    </w:p>
    <w:p w14:paraId="614036A6">
      <w:pPr>
        <w:rPr>
          <w:rFonts w:hint="eastAsia" w:ascii="黑体" w:hAnsi="宋体" w:eastAsia="黑体" w:cs="Times New Roman"/>
          <w:sz w:val="24"/>
        </w:rPr>
      </w:pPr>
      <w:r>
        <w:rPr>
          <w:rFonts w:hint="eastAsia" w:ascii="黑体" w:hAnsi="宋体" w:eastAsia="黑体" w:cs="Times New Roman"/>
          <w:sz w:val="24"/>
        </w:rPr>
        <w:t>31．独立评审</w:t>
      </w:r>
    </w:p>
    <w:p w14:paraId="31B5A6A0">
      <w:pPr>
        <w:ind w:firstLine="411" w:firstLineChars="196"/>
        <w:rPr>
          <w:rFonts w:hint="eastAsia" w:ascii="宋体" w:hAnsi="宋体" w:eastAsia="宋体" w:cs="Times New Roman"/>
          <w:bCs/>
        </w:rPr>
      </w:pPr>
      <w:r>
        <w:rPr>
          <w:rFonts w:hint="eastAsia" w:ascii="宋体" w:hAnsi="宋体" w:eastAsia="宋体" w:cs="Times New Roman"/>
          <w:bCs/>
        </w:rPr>
        <w:t>3</w:t>
      </w:r>
      <w:r>
        <w:rPr>
          <w:rFonts w:ascii="宋体" w:hAnsi="宋体" w:eastAsia="宋体" w:cs="Times New Roman"/>
          <w:bCs/>
        </w:rPr>
        <w:t>1</w:t>
      </w:r>
      <w:r>
        <w:rPr>
          <w:rFonts w:hint="eastAsia" w:ascii="宋体" w:hAnsi="宋体" w:eastAsia="宋体" w:cs="Times New Roman"/>
          <w:bCs/>
        </w:rPr>
        <w:t>.1</w:t>
      </w:r>
      <w:r>
        <w:rPr>
          <w:rFonts w:hint="eastAsia" w:ascii="宋体" w:hAnsi="宋体" w:eastAsia="宋体" w:cs="Times New Roman"/>
          <w:szCs w:val="21"/>
        </w:rPr>
        <w:t>评审委员会</w:t>
      </w:r>
      <w:r>
        <w:rPr>
          <w:rFonts w:hint="eastAsia" w:ascii="宋体" w:hAnsi="宋体" w:eastAsia="宋体" w:cs="Times New Roman"/>
          <w:bCs/>
        </w:rPr>
        <w:t>成员的评标活动应当独立进行，并应遵循投标文件初审、澄清有关问题、比较与评价、确定中标供应商、编写评审报告的工作程序。</w:t>
      </w:r>
    </w:p>
    <w:p w14:paraId="6127759C">
      <w:pPr>
        <w:ind w:firstLine="411" w:firstLineChars="196"/>
        <w:rPr>
          <w:rFonts w:hint="eastAsia" w:ascii="宋体" w:hAnsi="宋体" w:eastAsia="宋体" w:cs="Times New Roman"/>
          <w:bCs/>
          <w:szCs w:val="21"/>
        </w:rPr>
      </w:pPr>
    </w:p>
    <w:p w14:paraId="0C9DAC4C">
      <w:pPr>
        <w:keepNext/>
        <w:keepLines/>
        <w:numPr>
          <w:ilvl w:val="0"/>
          <w:numId w:val="11"/>
        </w:numPr>
        <w:adjustRightInd w:val="0"/>
        <w:spacing w:before="120" w:beforeLines="50" w:after="120" w:afterLines="50"/>
        <w:ind w:left="562" w:hanging="562"/>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评审程序及评审方法</w:t>
      </w:r>
    </w:p>
    <w:p w14:paraId="2811FF74">
      <w:pPr>
        <w:rPr>
          <w:rFonts w:hint="eastAsia" w:ascii="黑体" w:hAnsi="宋体" w:eastAsia="黑体" w:cs="Times New Roman"/>
          <w:sz w:val="24"/>
        </w:rPr>
      </w:pPr>
      <w:r>
        <w:rPr>
          <w:rFonts w:hint="eastAsia" w:ascii="黑体" w:hAnsi="宋体" w:eastAsia="黑体" w:cs="Times New Roman"/>
          <w:sz w:val="24"/>
        </w:rPr>
        <w:t>32．投标文件初审</w:t>
      </w:r>
    </w:p>
    <w:p w14:paraId="52112CDE">
      <w:pPr>
        <w:ind w:firstLine="411" w:firstLineChars="196"/>
        <w:rPr>
          <w:rFonts w:hint="eastAsia" w:ascii="宋体" w:hAnsi="宋体" w:eastAsia="宋体" w:cs="Times New Roman"/>
        </w:rPr>
      </w:pPr>
      <w:r>
        <w:rPr>
          <w:rFonts w:hint="eastAsia" w:ascii="宋体" w:hAnsi="宋体" w:eastAsia="宋体" w:cs="Times New Roman"/>
        </w:rPr>
        <w:t>32.1投标文件初审包括资格性审查和符合性审查。</w:t>
      </w:r>
    </w:p>
    <w:p w14:paraId="17E4186B">
      <w:pPr>
        <w:ind w:firstLine="411" w:firstLineChars="196"/>
        <w:rPr>
          <w:rFonts w:hint="eastAsia" w:ascii="宋体" w:hAnsi="宋体" w:eastAsia="宋体" w:cs="Times New Roman"/>
        </w:rPr>
      </w:pPr>
      <w:r>
        <w:rPr>
          <w:rFonts w:hint="eastAsia" w:ascii="宋体" w:hAnsi="宋体" w:eastAsia="宋体" w:cs="Times New Roman"/>
        </w:rPr>
        <w:t>资格性审查：依据法律法规和招标文件的规定，对投标文件中的资格证明等进行审查，以确定投标供应商是否具备投标资格。</w:t>
      </w:r>
    </w:p>
    <w:p w14:paraId="2D30A9EA">
      <w:pPr>
        <w:ind w:firstLine="411" w:firstLineChars="196"/>
        <w:rPr>
          <w:rFonts w:hint="eastAsia" w:ascii="宋体" w:hAnsi="宋体" w:eastAsia="宋体" w:cs="Times New Roman"/>
        </w:rPr>
      </w:pPr>
      <w:r>
        <w:rPr>
          <w:rFonts w:hint="eastAsia" w:ascii="宋体" w:hAnsi="宋体" w:eastAsia="宋体" w:cs="Times New Roman"/>
        </w:rPr>
        <w:t>符合性审查：依据招标文件的规定，对投标文件的有效性、完整性和对招标文件的响应程度进行审查，以确定是否满足符合性审查的要求。</w:t>
      </w:r>
    </w:p>
    <w:p w14:paraId="343B36A5">
      <w:pPr>
        <w:ind w:firstLine="411" w:firstLineChars="196"/>
        <w:rPr>
          <w:rFonts w:hint="eastAsia" w:ascii="宋体" w:hAnsi="宋体" w:eastAsia="宋体" w:cs="Times New Roman"/>
        </w:rPr>
      </w:pPr>
      <w:r>
        <w:rPr>
          <w:rFonts w:hint="eastAsia" w:ascii="宋体" w:hAnsi="宋体" w:eastAsia="宋体" w:cs="Times New Roman"/>
        </w:rPr>
        <w:t>32.2 投标文件初审内容请详见《资格性审查表》和《符合性审查表》部分。投标人若有一条审查不通过则按投标无效处理。</w:t>
      </w:r>
    </w:p>
    <w:p w14:paraId="52B29EC9">
      <w:pPr>
        <w:ind w:firstLine="411" w:firstLineChars="196"/>
        <w:rPr>
          <w:rFonts w:hint="eastAsia" w:ascii="宋体" w:hAnsi="宋体" w:eastAsia="宋体" w:cs="Times New Roman"/>
          <w:bCs/>
        </w:rPr>
      </w:pPr>
      <w:r>
        <w:rPr>
          <w:rFonts w:hint="eastAsia" w:ascii="宋体" w:hAnsi="宋体" w:eastAsia="宋体" w:cs="Times New Roman"/>
          <w:bCs/>
        </w:rPr>
        <w:t>32.3 投标文件初审中关于供应商家数的计算:</w:t>
      </w:r>
    </w:p>
    <w:p w14:paraId="1F209DA1">
      <w:pPr>
        <w:ind w:firstLine="411" w:firstLineChars="196"/>
        <w:rPr>
          <w:rFonts w:hint="eastAsia" w:ascii="宋体" w:hAnsi="宋体" w:eastAsia="宋体" w:cs="Times New Roman"/>
          <w:bCs/>
        </w:rPr>
      </w:pPr>
      <w:r>
        <w:rPr>
          <w:rFonts w:hint="eastAsia" w:ascii="宋体" w:hAnsi="宋体" w:eastAsia="宋体" w:cs="Times New Roman"/>
          <w:bCs/>
        </w:rPr>
        <w:t>32.3.1采用最低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14:paraId="2DDA7EA0">
      <w:pPr>
        <w:ind w:firstLine="411" w:firstLineChars="196"/>
        <w:rPr>
          <w:rFonts w:hint="eastAsia" w:ascii="宋体" w:hAnsi="宋体" w:eastAsia="宋体" w:cs="Times New Roman"/>
          <w:bCs/>
        </w:rPr>
      </w:pPr>
      <w:r>
        <w:rPr>
          <w:rFonts w:hint="eastAsia" w:ascii="宋体" w:hAnsi="宋体" w:eastAsia="宋体" w:cs="Times New Roman"/>
          <w:bCs/>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hint="eastAsia" w:ascii="宋体" w:hAnsi="宋体" w:eastAsia="宋体" w:cs="Times New Roman"/>
          <w:bCs/>
          <w:szCs w:val="21"/>
        </w:rPr>
        <w:t>评审委员会</w:t>
      </w:r>
      <w:r>
        <w:rPr>
          <w:rFonts w:hint="eastAsia" w:ascii="宋体" w:hAnsi="宋体" w:eastAsia="宋体" w:cs="Times New Roman"/>
          <w:bCs/>
        </w:rPr>
        <w:t>按照招标文件规定的方式确定一个投标人获得中标人推荐资格，招标文件未规定的采取随机抽取方式确定，其他同品牌投标人不作为中标候选人。</w:t>
      </w:r>
    </w:p>
    <w:p w14:paraId="77FF5B1C">
      <w:pPr>
        <w:ind w:firstLine="411" w:firstLineChars="196"/>
        <w:rPr>
          <w:rFonts w:hint="eastAsia" w:ascii="宋体" w:hAnsi="宋体" w:eastAsia="宋体" w:cs="Times New Roman"/>
          <w:bCs/>
        </w:rPr>
      </w:pPr>
      <w:r>
        <w:rPr>
          <w:rFonts w:hint="eastAsia" w:ascii="宋体" w:hAnsi="宋体" w:eastAsia="宋体" w:cs="Times New Roman"/>
          <w:bCs/>
        </w:rPr>
        <w:t>32.3.3非单一产品采购项目，采购人应当根据采购项目技术构成、产品价格比重等合理确定核心产品，并在招标文件中载明。多家投标人提供的核心产品品牌相同的，按前两款规定处理。</w:t>
      </w:r>
    </w:p>
    <w:p w14:paraId="2F4DB80C">
      <w:pPr>
        <w:ind w:firstLine="411" w:firstLineChars="196"/>
        <w:rPr>
          <w:rFonts w:hint="eastAsia" w:ascii="宋体" w:hAnsi="宋体" w:eastAsia="宋体" w:cs="Times New Roman"/>
        </w:rPr>
      </w:pPr>
      <w:r>
        <w:rPr>
          <w:rFonts w:hint="eastAsia" w:ascii="宋体" w:hAnsi="宋体" w:eastAsia="宋体" w:cs="Times New Roman"/>
        </w:rPr>
        <w:t>32.4投标人投标文件作无效处理的情形，具体包括但不限于以下：</w:t>
      </w:r>
    </w:p>
    <w:p w14:paraId="66F30004">
      <w:pPr>
        <w:ind w:firstLine="411" w:firstLineChars="196"/>
        <w:rPr>
          <w:rFonts w:ascii="Times New Roman" w:hAnsi="Times New Roman" w:eastAsia="宋体" w:cs="Times New Roman"/>
        </w:rPr>
      </w:pPr>
      <w:r>
        <w:rPr>
          <w:rFonts w:hint="eastAsia" w:ascii="宋体" w:hAnsi="宋体" w:eastAsia="宋体" w:cs="Times New Roman"/>
        </w:rPr>
        <w:t>32.4.1</w:t>
      </w:r>
      <w:r>
        <w:rPr>
          <w:rFonts w:hint="eastAsia" w:ascii="Times New Roman" w:hAnsi="Times New Roman" w:eastAsia="宋体" w:cs="Times New Roman"/>
        </w:rPr>
        <w:t>不同投标人的投标文件由同一单位或者同一个人编制，或者由同一个人分阶段参与编制；</w:t>
      </w:r>
    </w:p>
    <w:p w14:paraId="75C34C0E">
      <w:pPr>
        <w:ind w:firstLine="411" w:firstLineChars="196"/>
        <w:rPr>
          <w:rFonts w:ascii="Times New Roman" w:hAnsi="Times New Roman" w:eastAsia="宋体" w:cs="Times New Roman"/>
        </w:rPr>
      </w:pPr>
      <w:r>
        <w:rPr>
          <w:rFonts w:ascii="宋体" w:hAnsi="宋体" w:eastAsia="宋体" w:cs="Times New Roman"/>
        </w:rPr>
        <w:t>32.4.</w:t>
      </w:r>
      <w:r>
        <w:rPr>
          <w:rFonts w:hint="eastAsia" w:ascii="宋体" w:hAnsi="宋体" w:eastAsia="宋体" w:cs="Times New Roman"/>
        </w:rPr>
        <w:t>2</w:t>
      </w:r>
      <w:r>
        <w:rPr>
          <w:rFonts w:hint="eastAsia" w:ascii="Times New Roman" w:hAnsi="Times New Roman" w:eastAsia="宋体" w:cs="Times New Roman"/>
        </w:rPr>
        <w:t>不同投标人委托同一单位或者个人办理投标事宜；</w:t>
      </w:r>
    </w:p>
    <w:p w14:paraId="56890057">
      <w:pPr>
        <w:ind w:firstLine="411" w:firstLineChars="196"/>
        <w:rPr>
          <w:rFonts w:hint="eastAsia" w:ascii="宋体" w:hAnsi="宋体" w:eastAsia="宋体" w:cs="Times New Roman"/>
        </w:rPr>
      </w:pPr>
      <w:r>
        <w:rPr>
          <w:rFonts w:hint="eastAsia" w:ascii="宋体" w:hAnsi="宋体" w:eastAsia="宋体" w:cs="Times New Roman"/>
        </w:rPr>
        <w:t>32.4.3不同投标人的投标文件载明的项目管理成员或者联系人员为同一人；</w:t>
      </w:r>
    </w:p>
    <w:p w14:paraId="240AC438">
      <w:pPr>
        <w:ind w:firstLine="411" w:firstLineChars="196"/>
        <w:rPr>
          <w:rFonts w:hint="eastAsia" w:ascii="宋体" w:hAnsi="宋体" w:eastAsia="宋体" w:cs="Times New Roman"/>
        </w:rPr>
      </w:pPr>
      <w:r>
        <w:rPr>
          <w:rFonts w:hint="eastAsia" w:ascii="宋体" w:hAnsi="宋体" w:eastAsia="宋体" w:cs="Times New Roman"/>
        </w:rPr>
        <w:t>32.4.4不同投标人的投标文件异常一致或者投标报价呈规律性差异；</w:t>
      </w:r>
    </w:p>
    <w:p w14:paraId="5DCD9B30">
      <w:pPr>
        <w:ind w:firstLine="411" w:firstLineChars="196"/>
        <w:rPr>
          <w:rFonts w:hint="eastAsia" w:ascii="宋体" w:hAnsi="宋体" w:eastAsia="宋体" w:cs="Times New Roman"/>
        </w:rPr>
      </w:pPr>
      <w:r>
        <w:rPr>
          <w:rFonts w:hint="eastAsia" w:ascii="宋体" w:hAnsi="宋体" w:eastAsia="宋体" w:cs="Times New Roman"/>
        </w:rPr>
        <w:t>32.4.5</w:t>
      </w:r>
      <w:r>
        <w:rPr>
          <w:rFonts w:ascii="宋体" w:hAnsi="宋体" w:eastAsia="宋体" w:cs="Times New Roman"/>
        </w:rPr>
        <w:t>不同投标供应商的投标文件或部分投标文件相互混装</w:t>
      </w:r>
      <w:r>
        <w:rPr>
          <w:rFonts w:hint="eastAsia" w:ascii="宋体" w:hAnsi="宋体" w:eastAsia="宋体" w:cs="Times New Roman"/>
        </w:rPr>
        <w:t>；</w:t>
      </w:r>
    </w:p>
    <w:p w14:paraId="6512A9AD">
      <w:pPr>
        <w:ind w:firstLine="411" w:firstLineChars="196"/>
        <w:rPr>
          <w:rFonts w:hint="eastAsia" w:ascii="宋体" w:hAnsi="宋体" w:eastAsia="宋体" w:cs="Times New Roman"/>
        </w:rPr>
      </w:pPr>
      <w:r>
        <w:rPr>
          <w:rFonts w:hint="eastAsia" w:ascii="宋体" w:hAnsi="宋体" w:eastAsia="宋体" w:cs="Times New Roman"/>
        </w:rPr>
        <w:t>32.4.6投标供应商之间相互约定给予未中标的供应商利益补偿；</w:t>
      </w:r>
    </w:p>
    <w:p w14:paraId="40719576">
      <w:pPr>
        <w:ind w:firstLine="411" w:firstLineChars="196"/>
        <w:rPr>
          <w:rFonts w:hint="eastAsia" w:ascii="宋体" w:hAnsi="宋体" w:eastAsia="宋体" w:cs="Times New Roman"/>
        </w:rPr>
      </w:pPr>
      <w:r>
        <w:rPr>
          <w:rFonts w:hint="eastAsia" w:ascii="宋体" w:hAnsi="宋体" w:eastAsia="宋体" w:cs="Times New Roman"/>
        </w:rPr>
        <w:t>32.4.7不同投标供应商的法定代表人、主要经营负责人、项目投标授权代表人、项目负责人、主要技术人员为同一人、属同一单位或者同一单位缴纳社会保险；</w:t>
      </w:r>
    </w:p>
    <w:p w14:paraId="30ECDABF">
      <w:pPr>
        <w:ind w:firstLine="411" w:firstLineChars="196"/>
        <w:rPr>
          <w:rFonts w:hint="eastAsia" w:ascii="宋体" w:hAnsi="宋体" w:eastAsia="宋体" w:cs="Times New Roman"/>
        </w:rPr>
      </w:pPr>
      <w:r>
        <w:rPr>
          <w:rFonts w:hint="eastAsia" w:ascii="宋体" w:hAnsi="宋体" w:eastAsia="宋体" w:cs="Times New Roman"/>
        </w:rPr>
        <w:t>32.4.8不同投标供应商的投标文件内容存在非正常一致；</w:t>
      </w:r>
    </w:p>
    <w:p w14:paraId="1B88FD62">
      <w:pPr>
        <w:ind w:firstLine="411" w:firstLineChars="196"/>
        <w:rPr>
          <w:rFonts w:hint="eastAsia" w:ascii="宋体" w:hAnsi="宋体" w:eastAsia="宋体" w:cs="Times New Roman"/>
        </w:rPr>
      </w:pPr>
      <w:r>
        <w:rPr>
          <w:rFonts w:hint="eastAsia" w:ascii="宋体" w:hAnsi="宋体" w:eastAsia="宋体" w:cs="Times New Roman"/>
        </w:rPr>
        <w:t>32.4.9在同一单位工作人员为两家以上（含两家）供应商进行同一项投标活动；</w:t>
      </w:r>
    </w:p>
    <w:p w14:paraId="301006E0">
      <w:pPr>
        <w:ind w:firstLine="411" w:firstLineChars="196"/>
        <w:rPr>
          <w:rFonts w:hint="eastAsia" w:ascii="宋体" w:hAnsi="宋体" w:eastAsia="宋体" w:cs="Times New Roman"/>
        </w:rPr>
      </w:pPr>
      <w:r>
        <w:rPr>
          <w:rFonts w:hint="eastAsia" w:ascii="宋体" w:hAnsi="宋体" w:eastAsia="宋体" w:cs="Times New Roman"/>
        </w:rPr>
        <w:t>32.4.10主管部门依照法律、法规认定的其他情形。</w:t>
      </w:r>
    </w:p>
    <w:p w14:paraId="7EBF40AF">
      <w:pPr>
        <w:rPr>
          <w:rFonts w:hint="eastAsia" w:ascii="宋体" w:hAnsi="宋体" w:eastAsia="宋体" w:cs="Times New Roman"/>
        </w:rPr>
      </w:pPr>
      <w:r>
        <w:rPr>
          <w:rFonts w:hint="eastAsia" w:ascii="宋体" w:hAnsi="宋体" w:eastAsia="宋体" w:cs="Times New Roman"/>
        </w:rPr>
        <w:t>32.5对不属于《资格性审查表》和《符合性审查表》所列的其他情形，除专用条款另有规定和32.4条款所列情形外，不得作为投标无效的理由。</w:t>
      </w:r>
    </w:p>
    <w:p w14:paraId="2F45FE1C">
      <w:pPr>
        <w:rPr>
          <w:rFonts w:hint="eastAsia" w:ascii="黑体" w:hAnsi="宋体" w:eastAsia="黑体" w:cs="Times New Roman"/>
          <w:sz w:val="24"/>
        </w:rPr>
      </w:pPr>
      <w:r>
        <w:rPr>
          <w:rFonts w:hint="eastAsia" w:ascii="黑体" w:hAnsi="宋体" w:eastAsia="黑体" w:cs="Times New Roman"/>
          <w:sz w:val="24"/>
        </w:rPr>
        <w:t>33．澄清有关问题</w:t>
      </w:r>
    </w:p>
    <w:p w14:paraId="06A3EE0F">
      <w:pPr>
        <w:ind w:firstLine="411" w:firstLineChars="196"/>
        <w:rPr>
          <w:rFonts w:hint="eastAsia" w:ascii="宋体" w:hAnsi="宋体" w:eastAsia="宋体" w:cs="Times New Roman"/>
        </w:rPr>
      </w:pPr>
      <w:bookmarkStart w:id="84" w:name="_Hlk71407321"/>
      <w:r>
        <w:rPr>
          <w:rFonts w:hint="eastAsia" w:ascii="宋体" w:hAnsi="宋体" w:eastAsia="宋体" w:cs="Times New Roman"/>
        </w:rPr>
        <w:t>3</w:t>
      </w:r>
      <w:r>
        <w:rPr>
          <w:rFonts w:ascii="宋体" w:hAnsi="宋体" w:eastAsia="宋体" w:cs="Times New Roman"/>
        </w:rPr>
        <w:t>3.1</w:t>
      </w:r>
      <w:r>
        <w:rPr>
          <w:rFonts w:hint="eastAsia" w:ascii="宋体" w:hAnsi="宋体" w:eastAsia="宋体" w:cs="Times New Roman"/>
        </w:rPr>
        <w:t>对招标文件中描述有歧义或前后不一致的地方（不含</w:t>
      </w:r>
      <w:r>
        <w:rPr>
          <w:rFonts w:ascii="Times New Roman" w:hAnsi="Times New Roman" w:eastAsia="宋体" w:cs="Times New Roman"/>
          <w:szCs w:val="21"/>
        </w:rPr>
        <w:t>招标文件存在歧义、重大缺陷导致评</w:t>
      </w:r>
      <w:r>
        <w:rPr>
          <w:rFonts w:hint="eastAsia" w:ascii="Times New Roman" w:hAnsi="Times New Roman" w:eastAsia="宋体" w:cs="Times New Roman"/>
          <w:szCs w:val="21"/>
        </w:rPr>
        <w:t>审</w:t>
      </w:r>
      <w:r>
        <w:rPr>
          <w:rFonts w:ascii="Times New Roman" w:hAnsi="Times New Roman" w:eastAsia="宋体" w:cs="Times New Roman"/>
          <w:szCs w:val="21"/>
        </w:rPr>
        <w:t>工作无法进行</w:t>
      </w:r>
      <w:r>
        <w:rPr>
          <w:rFonts w:hint="eastAsia" w:ascii="Times New Roman" w:hAnsi="Times New Roman" w:eastAsia="宋体" w:cs="Times New Roman"/>
          <w:szCs w:val="21"/>
        </w:rPr>
        <w:t>的情况）</w:t>
      </w:r>
      <w:r>
        <w:rPr>
          <w:rFonts w:hint="eastAsia" w:ascii="宋体" w:hAnsi="宋体" w:eastAsia="宋体" w:cs="Times New Roman"/>
        </w:rPr>
        <w:t>，评审委员会有权进行评判，但对同一条款的评判应适用于每个投标人。</w:t>
      </w:r>
      <w:bookmarkEnd w:id="84"/>
    </w:p>
    <w:p w14:paraId="7DCA1913">
      <w:pPr>
        <w:ind w:firstLine="411" w:firstLineChars="196"/>
        <w:rPr>
          <w:rFonts w:hint="eastAsia" w:ascii="宋体" w:hAnsi="宋体" w:eastAsia="宋体" w:cs="Times New Roman"/>
        </w:rPr>
      </w:pPr>
      <w:r>
        <w:rPr>
          <w:rFonts w:hint="eastAsia" w:ascii="宋体" w:hAnsi="宋体" w:eastAsia="宋体" w:cs="Times New Roman"/>
        </w:rPr>
        <w:t>3</w:t>
      </w:r>
      <w:r>
        <w:rPr>
          <w:rFonts w:ascii="宋体" w:hAnsi="宋体" w:eastAsia="宋体" w:cs="Times New Roman"/>
        </w:rPr>
        <w:t>3.2</w:t>
      </w:r>
      <w:r>
        <w:rPr>
          <w:rFonts w:ascii="Times New Roman" w:hAnsi="Times New Roman" w:eastAsia="宋体" w:cs="Times New Roman"/>
          <w:szCs w:val="21"/>
        </w:rPr>
        <w:t>评</w:t>
      </w:r>
      <w:r>
        <w:rPr>
          <w:rFonts w:hint="eastAsia" w:ascii="Times New Roman" w:hAnsi="Times New Roman" w:eastAsia="宋体" w:cs="Times New Roman"/>
          <w:szCs w:val="21"/>
        </w:rPr>
        <w:t>审</w:t>
      </w:r>
      <w:r>
        <w:rPr>
          <w:rFonts w:ascii="Times New Roman" w:hAnsi="Times New Roman" w:eastAsia="宋体" w:cs="Times New Roman"/>
          <w:szCs w:val="21"/>
        </w:rPr>
        <w:t>委员会发现招标文件存在歧义、重大缺陷导致评</w:t>
      </w:r>
      <w:r>
        <w:rPr>
          <w:rFonts w:hint="eastAsia" w:ascii="Times New Roman" w:hAnsi="Times New Roman" w:eastAsia="宋体" w:cs="Times New Roman"/>
          <w:szCs w:val="21"/>
        </w:rPr>
        <w:t>审</w:t>
      </w:r>
      <w:r>
        <w:rPr>
          <w:rFonts w:ascii="Times New Roman" w:hAnsi="Times New Roman" w:eastAsia="宋体" w:cs="Times New Roman"/>
          <w:szCs w:val="21"/>
        </w:rPr>
        <w:t>工作无法进行，或者招标文件内容违反国家有关强制性规定的，应当停止评</w:t>
      </w:r>
      <w:r>
        <w:rPr>
          <w:rFonts w:hint="eastAsia" w:ascii="Times New Roman" w:hAnsi="Times New Roman" w:eastAsia="宋体" w:cs="Times New Roman"/>
          <w:szCs w:val="21"/>
        </w:rPr>
        <w:t>审</w:t>
      </w:r>
      <w:r>
        <w:rPr>
          <w:rFonts w:ascii="Times New Roman" w:hAnsi="Times New Roman" w:eastAsia="宋体" w:cs="Times New Roman"/>
          <w:szCs w:val="21"/>
        </w:rPr>
        <w:t>工作，与</w:t>
      </w:r>
      <w:r>
        <w:rPr>
          <w:rFonts w:hint="eastAsia" w:ascii="Times New Roman" w:hAnsi="Times New Roman" w:eastAsia="宋体" w:cs="Times New Roman"/>
          <w:szCs w:val="21"/>
        </w:rPr>
        <w:t>政府集中采购机构</w:t>
      </w:r>
      <w:r>
        <w:rPr>
          <w:rFonts w:ascii="Times New Roman" w:hAnsi="Times New Roman" w:eastAsia="宋体" w:cs="Times New Roman"/>
          <w:szCs w:val="21"/>
        </w:rPr>
        <w:t>沟通并作书面记录。</w:t>
      </w:r>
      <w:r>
        <w:rPr>
          <w:rFonts w:hint="eastAsia" w:ascii="Times New Roman" w:hAnsi="Times New Roman" w:eastAsia="宋体" w:cs="Times New Roman"/>
          <w:szCs w:val="21"/>
        </w:rPr>
        <w:t>经</w:t>
      </w:r>
      <w:r>
        <w:rPr>
          <w:rFonts w:ascii="Times New Roman" w:hAnsi="Times New Roman" w:eastAsia="宋体" w:cs="Times New Roman"/>
          <w:szCs w:val="21"/>
        </w:rPr>
        <w:t>确认后，</w:t>
      </w:r>
      <w:r>
        <w:rPr>
          <w:rFonts w:hint="eastAsia" w:ascii="Times New Roman" w:hAnsi="Times New Roman" w:eastAsia="宋体" w:cs="Times New Roman"/>
          <w:szCs w:val="21"/>
        </w:rPr>
        <w:t>项目</w:t>
      </w:r>
      <w:r>
        <w:rPr>
          <w:rFonts w:ascii="Times New Roman" w:hAnsi="Times New Roman" w:eastAsia="宋体" w:cs="Times New Roman"/>
          <w:szCs w:val="21"/>
        </w:rPr>
        <w:t>应当修改招标文件，重新组织采购活动。</w:t>
      </w:r>
    </w:p>
    <w:p w14:paraId="578648A3">
      <w:pPr>
        <w:ind w:firstLine="411" w:firstLineChars="196"/>
        <w:rPr>
          <w:rFonts w:hint="eastAsia" w:ascii="宋体" w:hAnsi="宋体" w:eastAsia="宋体" w:cs="Times New Roman"/>
        </w:rPr>
      </w:pPr>
      <w:r>
        <w:rPr>
          <w:rFonts w:ascii="宋体" w:hAnsi="宋体" w:eastAsia="宋体" w:cs="Times New Roman"/>
        </w:rPr>
        <w:t>33.3</w:t>
      </w:r>
      <w:r>
        <w:rPr>
          <w:rFonts w:hint="eastAsia" w:ascii="宋体" w:hAnsi="宋体" w:eastAsia="宋体" w:cs="Times New Roman"/>
        </w:rPr>
        <w:t>对于投标文件中含义不明确、同类问题表述不一致或者有明显文字和计算错误的内容，评审委员会应当以书面形式要求投标人作出必要的澄清、说明或者补正。</w:t>
      </w:r>
    </w:p>
    <w:p w14:paraId="5E576F0D">
      <w:pPr>
        <w:ind w:firstLine="411" w:firstLineChars="196"/>
        <w:rPr>
          <w:rFonts w:hint="eastAsia" w:ascii="宋体" w:hAnsi="宋体" w:eastAsia="宋体" w:cs="Times New Roman"/>
        </w:rPr>
      </w:pPr>
      <w:r>
        <w:rPr>
          <w:rFonts w:hint="eastAsia" w:ascii="宋体" w:hAnsi="宋体" w:eastAsia="宋体" w:cs="Times New Roma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14:paraId="25D24C7E">
      <w:pPr>
        <w:ind w:firstLine="411" w:firstLineChars="196"/>
        <w:rPr>
          <w:rFonts w:hint="eastAsia" w:ascii="宋体" w:hAnsi="宋体" w:eastAsia="宋体" w:cs="Times New Roman"/>
          <w:szCs w:val="21"/>
        </w:rPr>
      </w:pPr>
      <w:r>
        <w:rPr>
          <w:rFonts w:hint="eastAsia" w:ascii="宋体" w:hAnsi="宋体" w:eastAsia="宋体" w:cs="Times New Roman"/>
          <w:szCs w:val="21"/>
        </w:rPr>
        <w:t>根据本通用条款第34条，凡属于评审委员会在评审中发现的算术错误进行核实的修改不在此列。</w:t>
      </w:r>
    </w:p>
    <w:p w14:paraId="0E490766">
      <w:pPr>
        <w:rPr>
          <w:rFonts w:hint="eastAsia" w:ascii="黑体" w:hAnsi="宋体" w:eastAsia="黑体" w:cs="Times New Roman"/>
          <w:sz w:val="24"/>
        </w:rPr>
      </w:pPr>
      <w:bookmarkStart w:id="85" w:name="_Toc73517673"/>
      <w:bookmarkStart w:id="86" w:name="_Toc73518151"/>
      <w:bookmarkStart w:id="87" w:name="_Toc73521581"/>
      <w:bookmarkStart w:id="88" w:name="_Toc73521669"/>
      <w:bookmarkStart w:id="89" w:name="_Toc100052400"/>
      <w:r>
        <w:rPr>
          <w:rFonts w:hint="eastAsia" w:ascii="黑体" w:hAnsi="宋体" w:eastAsia="黑体" w:cs="Times New Roman"/>
          <w:sz w:val="24"/>
        </w:rPr>
        <w:t>34．错误的修正</w:t>
      </w:r>
      <w:bookmarkEnd w:id="85"/>
      <w:bookmarkEnd w:id="86"/>
      <w:bookmarkEnd w:id="87"/>
      <w:bookmarkEnd w:id="88"/>
      <w:bookmarkEnd w:id="89"/>
    </w:p>
    <w:p w14:paraId="43280103">
      <w:pPr>
        <w:ind w:firstLine="411" w:firstLineChars="196"/>
        <w:rPr>
          <w:rFonts w:hint="eastAsia" w:ascii="宋体" w:hAnsi="宋体" w:eastAsia="宋体" w:cs="Times New Roman"/>
          <w:szCs w:val="21"/>
        </w:rPr>
      </w:pPr>
      <w:r>
        <w:rPr>
          <w:rFonts w:hint="eastAsia" w:ascii="宋体" w:hAnsi="宋体" w:eastAsia="宋体" w:cs="Times New Roman"/>
          <w:szCs w:val="21"/>
        </w:rPr>
        <w:t>投标文件报价出现前后不一致的，除专用条款另有规定外，按照下列规定修正：</w:t>
      </w:r>
    </w:p>
    <w:p w14:paraId="5560F882">
      <w:pPr>
        <w:ind w:firstLine="411" w:firstLineChars="196"/>
        <w:rPr>
          <w:rFonts w:hint="eastAsia" w:ascii="宋体" w:hAnsi="宋体" w:eastAsia="宋体" w:cs="Times New Roman"/>
          <w:szCs w:val="21"/>
        </w:rPr>
      </w:pPr>
      <w:r>
        <w:rPr>
          <w:rFonts w:hint="eastAsia" w:ascii="宋体" w:hAnsi="宋体" w:eastAsia="宋体" w:cs="Times New Roman"/>
          <w:szCs w:val="21"/>
        </w:rPr>
        <w:t>34.1投标文件中开标一览表投标报价内容与投标文件中投标报价相应内容不一致的，以开标一览表为准；</w:t>
      </w:r>
    </w:p>
    <w:p w14:paraId="4F706547">
      <w:pPr>
        <w:ind w:firstLine="411" w:firstLineChars="196"/>
        <w:rPr>
          <w:rFonts w:hint="eastAsia" w:ascii="宋体" w:hAnsi="宋体" w:eastAsia="宋体" w:cs="Times New Roman"/>
          <w:szCs w:val="21"/>
        </w:rPr>
      </w:pPr>
      <w:r>
        <w:rPr>
          <w:rFonts w:hint="eastAsia" w:ascii="宋体" w:hAnsi="宋体" w:eastAsia="宋体" w:cs="Times New Roman"/>
          <w:szCs w:val="21"/>
        </w:rPr>
        <w:t>34.2大写金额和小写金额不一致的，以大写金额为准；</w:t>
      </w:r>
    </w:p>
    <w:p w14:paraId="1A571A56">
      <w:pPr>
        <w:ind w:firstLine="411" w:firstLineChars="196"/>
        <w:rPr>
          <w:rFonts w:hint="eastAsia" w:ascii="宋体" w:hAnsi="宋体" w:eastAsia="宋体" w:cs="Times New Roman"/>
          <w:szCs w:val="21"/>
        </w:rPr>
      </w:pPr>
      <w:r>
        <w:rPr>
          <w:rFonts w:hint="eastAsia" w:ascii="宋体" w:hAnsi="宋体" w:eastAsia="宋体" w:cs="Times New Roman"/>
          <w:szCs w:val="21"/>
        </w:rPr>
        <w:t>34.3单价金额小数点或者百分比有明显错位，以开标一览表的总价为准，并修改单价；</w:t>
      </w:r>
    </w:p>
    <w:p w14:paraId="679C88C2">
      <w:pPr>
        <w:ind w:firstLine="411" w:firstLineChars="196"/>
        <w:rPr>
          <w:rFonts w:hint="eastAsia" w:ascii="宋体" w:hAnsi="宋体" w:eastAsia="宋体" w:cs="Times New Roman"/>
          <w:szCs w:val="21"/>
        </w:rPr>
      </w:pPr>
      <w:r>
        <w:rPr>
          <w:rFonts w:hint="eastAsia" w:ascii="宋体" w:hAnsi="宋体" w:eastAsia="宋体" w:cs="Times New Roman"/>
          <w:szCs w:val="21"/>
        </w:rPr>
        <w:t>34.4总价金额与按单价汇总金额不一致的，以单价金额计算结果为准。</w:t>
      </w:r>
    </w:p>
    <w:p w14:paraId="24D44C32">
      <w:pPr>
        <w:ind w:firstLine="411" w:firstLineChars="196"/>
        <w:rPr>
          <w:rFonts w:hint="eastAsia" w:ascii="宋体" w:hAnsi="宋体" w:eastAsia="宋体" w:cs="Times New Roman"/>
          <w:szCs w:val="21"/>
        </w:rPr>
      </w:pPr>
      <w:r>
        <w:rPr>
          <w:rFonts w:hint="eastAsia" w:ascii="宋体" w:hAnsi="宋体" w:eastAsia="宋体" w:cs="Times New Roman"/>
          <w:szCs w:val="21"/>
        </w:rPr>
        <w:t>34.5同时出现两种以上不一致的，按照前款规定的顺序修正。修正后的报价按照本通用条款33条的规定，经投标人确认后产生约束力，投标人不确认的，其投标无效。</w:t>
      </w:r>
    </w:p>
    <w:p w14:paraId="0F490DE9">
      <w:pPr>
        <w:rPr>
          <w:rFonts w:hint="eastAsia" w:ascii="黑体" w:hAnsi="宋体" w:eastAsia="黑体" w:cs="Times New Roman"/>
          <w:sz w:val="24"/>
        </w:rPr>
      </w:pPr>
      <w:r>
        <w:rPr>
          <w:rFonts w:hint="eastAsia" w:ascii="黑体" w:hAnsi="宋体" w:eastAsia="黑体" w:cs="Times New Roman"/>
          <w:sz w:val="24"/>
        </w:rPr>
        <w:t>35．投标文件的比较与评价</w:t>
      </w:r>
    </w:p>
    <w:p w14:paraId="1C787A25">
      <w:pPr>
        <w:ind w:firstLine="411" w:firstLineChars="196"/>
        <w:rPr>
          <w:rFonts w:hint="eastAsia" w:ascii="宋体" w:hAnsi="宋体" w:eastAsia="宋体" w:cs="Times New Roman"/>
          <w:szCs w:val="21"/>
        </w:rPr>
      </w:pPr>
      <w:r>
        <w:rPr>
          <w:rFonts w:hint="eastAsia" w:ascii="宋体" w:hAnsi="宋体" w:eastAsia="宋体" w:cs="Times New Roman"/>
          <w:szCs w:val="21"/>
        </w:rPr>
        <w:t>评审委员会将参照《深圳经济特区政府采购条例》、《深圳经济特区政府采购条例实施细则》、《深圳市政府采购评标定标分离管理办法》及政府采购其他法律法规，仅对通过资格性审查和符合性审查的投标文件进行综合比较与评价。</w:t>
      </w:r>
    </w:p>
    <w:p w14:paraId="68F72768">
      <w:pPr>
        <w:ind w:firstLine="411" w:firstLineChars="196"/>
        <w:rPr>
          <w:rFonts w:hint="eastAsia" w:ascii="宋体" w:hAnsi="宋体" w:eastAsia="宋体" w:cs="Times New Roman"/>
          <w:szCs w:val="21"/>
        </w:rPr>
      </w:pPr>
      <w:r>
        <w:rPr>
          <w:rFonts w:hint="eastAsia" w:ascii="宋体" w:hAnsi="宋体" w:eastAsia="宋体" w:cs="Times New Roman"/>
          <w:szCs w:val="21"/>
        </w:rPr>
        <w:t>评审委员会成员对需要共同认定的事项存在争议的，应当按照少数服从多数的原则作出结论。持不同意见的评审委员会成员应当书面作出说明，否则视为无异议。</w:t>
      </w:r>
    </w:p>
    <w:p w14:paraId="79223C78">
      <w:pPr>
        <w:rPr>
          <w:rFonts w:hint="eastAsia" w:ascii="黑体" w:hAnsi="宋体" w:eastAsia="黑体" w:cs="Times New Roman"/>
          <w:sz w:val="24"/>
        </w:rPr>
      </w:pPr>
      <w:r>
        <w:rPr>
          <w:rFonts w:hint="eastAsia" w:ascii="黑体" w:hAnsi="宋体" w:eastAsia="黑体" w:cs="Times New Roman"/>
          <w:sz w:val="24"/>
        </w:rPr>
        <w:t>36. 实地考察或资料查验</w:t>
      </w:r>
    </w:p>
    <w:p w14:paraId="571B6DCF">
      <w:pPr>
        <w:ind w:firstLine="411" w:firstLineChars="196"/>
        <w:rPr>
          <w:rFonts w:hint="eastAsia" w:ascii="宋体" w:hAnsi="宋体" w:eastAsia="宋体" w:cs="Times New Roman"/>
          <w:szCs w:val="21"/>
        </w:rPr>
      </w:pPr>
      <w:r>
        <w:rPr>
          <w:rFonts w:hint="eastAsia" w:ascii="宋体" w:hAnsi="宋体" w:eastAsia="宋体" w:cs="Times New Roman"/>
          <w:szCs w:val="21"/>
        </w:rPr>
        <w:t>36.1在评审过程中，评审委员会有权决定是否对本项目投标人进行实地考察或资料查验（原件）。投标人应随时做好接受实地考察或资料查验的准备。</w:t>
      </w:r>
    </w:p>
    <w:p w14:paraId="007D0EF4">
      <w:pPr>
        <w:rPr>
          <w:rFonts w:hint="eastAsia" w:ascii="黑体" w:hAnsi="宋体" w:eastAsia="黑体" w:cs="Times New Roman"/>
          <w:sz w:val="24"/>
        </w:rPr>
      </w:pPr>
      <w:r>
        <w:rPr>
          <w:rFonts w:hint="eastAsia" w:ascii="黑体" w:hAnsi="宋体" w:eastAsia="黑体" w:cs="Times New Roman"/>
          <w:sz w:val="24"/>
        </w:rPr>
        <w:t>37．评审方法</w:t>
      </w:r>
    </w:p>
    <w:p w14:paraId="79817C07">
      <w:pPr>
        <w:ind w:firstLine="413" w:firstLineChars="196"/>
        <w:rPr>
          <w:rFonts w:hint="eastAsia" w:ascii="宋体" w:hAnsi="宋体" w:eastAsia="宋体" w:cs="Times New Roman"/>
          <w:b/>
          <w:bCs/>
          <w:szCs w:val="21"/>
        </w:rPr>
      </w:pPr>
      <w:r>
        <w:rPr>
          <w:rFonts w:hint="eastAsia" w:ascii="宋体" w:hAnsi="宋体" w:eastAsia="宋体" w:cs="Times New Roman"/>
          <w:b/>
          <w:bCs/>
          <w:szCs w:val="21"/>
        </w:rPr>
        <w:t>37.1.1最低价法</w:t>
      </w:r>
    </w:p>
    <w:p w14:paraId="1AD3AE24">
      <w:pPr>
        <w:ind w:firstLine="411" w:firstLineChars="196"/>
        <w:rPr>
          <w:rFonts w:hint="eastAsia" w:ascii="ˎ̥" w:hAnsi="ˎ̥" w:eastAsia="宋体" w:cs="Times New Roman"/>
        </w:rPr>
      </w:pPr>
      <w:bookmarkStart w:id="90" w:name="_Hlk72438142"/>
      <w:r>
        <w:rPr>
          <w:rFonts w:ascii="ˎ̥" w:hAnsi="ˎ̥" w:eastAsia="宋体" w:cs="Times New Roman"/>
        </w:rPr>
        <w:t>最低价法，</w:t>
      </w:r>
      <w:r>
        <w:rPr>
          <w:rFonts w:hint="eastAsia" w:ascii="ˎ̥" w:hAnsi="ˎ̥" w:eastAsia="宋体" w:cs="Times New Roman"/>
        </w:rPr>
        <w:t>是指投标文件满足招标文件全部实质性要求，且投标报价最低的投标人为中标候选人的评标方法。</w:t>
      </w:r>
    </w:p>
    <w:p w14:paraId="1678BF1F">
      <w:pPr>
        <w:ind w:firstLine="411" w:firstLineChars="196"/>
        <w:rPr>
          <w:rFonts w:hint="eastAsia" w:ascii="ˎ̥" w:hAnsi="ˎ̥" w:eastAsia="宋体" w:cs="Times New Roman"/>
        </w:rPr>
      </w:pPr>
      <w:r>
        <w:rPr>
          <w:rFonts w:hint="eastAsia" w:ascii="ˎ̥" w:hAnsi="ˎ̥" w:eastAsia="宋体" w:cs="Times New Roman"/>
        </w:rPr>
        <w:t>采用最低价法的，评标结果按投标报价由低到高顺序排列。投标报价相同的并列。投标文件满足招标文件全部实质性要求且投标报价最低的投标人为排名第一的中标候选人。中标候选人并列的，由采购人或者采购人委托评标委员会按照招标文件规定的方式确定中标人；招标文件未规定的，采取随机抽取的方式确定。</w:t>
      </w:r>
    </w:p>
    <w:p w14:paraId="166762A0">
      <w:pPr>
        <w:ind w:firstLine="413" w:firstLineChars="196"/>
        <w:rPr>
          <w:rFonts w:hint="eastAsia" w:ascii="宋体" w:hAnsi="宋体" w:eastAsia="宋体" w:cs="Times New Roman"/>
          <w:b/>
          <w:bCs/>
          <w:szCs w:val="21"/>
        </w:rPr>
      </w:pPr>
      <w:r>
        <w:rPr>
          <w:rFonts w:hint="eastAsia" w:ascii="宋体" w:hAnsi="宋体" w:eastAsia="宋体" w:cs="Times New Roman"/>
          <w:b/>
          <w:bCs/>
          <w:szCs w:val="21"/>
        </w:rPr>
        <w:t>37.1.2综合评分法</w:t>
      </w:r>
    </w:p>
    <w:p w14:paraId="0E7D1773">
      <w:pPr>
        <w:ind w:firstLine="411" w:firstLineChars="196"/>
        <w:rPr>
          <w:rFonts w:hint="eastAsia" w:ascii="ˎ̥" w:hAnsi="ˎ̥" w:eastAsia="宋体" w:cs="Times New Roman"/>
        </w:rPr>
      </w:pPr>
      <w:r>
        <w:rPr>
          <w:rFonts w:ascii="ˎ̥" w:hAnsi="ˎ̥" w:eastAsia="宋体" w:cs="Times New Roman"/>
        </w:rPr>
        <w:t>综合评分法，是指</w:t>
      </w:r>
      <w:r>
        <w:rPr>
          <w:rFonts w:hint="eastAsia" w:ascii="ˎ̥" w:hAnsi="ˎ̥" w:eastAsia="宋体" w:cs="Times New Roman"/>
        </w:rPr>
        <w:t>在</w:t>
      </w:r>
      <w:r>
        <w:rPr>
          <w:rFonts w:ascii="ˎ̥" w:hAnsi="ˎ̥" w:eastAsia="宋体" w:cs="Times New Roman"/>
        </w:rPr>
        <w:t>满足招标文件全部实质性要求</w:t>
      </w:r>
      <w:r>
        <w:rPr>
          <w:rFonts w:hint="eastAsia" w:ascii="ˎ̥" w:hAnsi="ˎ̥" w:eastAsia="宋体" w:cs="Times New Roman"/>
        </w:rPr>
        <w:t>的前提下</w:t>
      </w:r>
      <w:r>
        <w:rPr>
          <w:rFonts w:ascii="ˎ̥" w:hAnsi="ˎ̥" w:eastAsia="宋体" w:cs="Times New Roman"/>
        </w:rPr>
        <w:t>，</w:t>
      </w:r>
      <w:r>
        <w:rPr>
          <w:rFonts w:hint="eastAsia" w:ascii="ˎ̥" w:hAnsi="ˎ̥" w:eastAsia="宋体" w:cs="Times New Roman"/>
        </w:rPr>
        <w:t>按照招标文件中规定的各项因素进行综合评审，评审总得分排名前列的投标人，作为推荐的候选中标供应商</w:t>
      </w:r>
      <w:bookmarkEnd w:id="90"/>
      <w:r>
        <w:rPr>
          <w:rFonts w:hint="eastAsia" w:ascii="ˎ̥" w:hAnsi="ˎ̥" w:eastAsia="宋体" w:cs="Times New Roman"/>
        </w:rPr>
        <w:t>。</w:t>
      </w:r>
    </w:p>
    <w:p w14:paraId="3045A056">
      <w:pPr>
        <w:ind w:firstLine="411" w:firstLineChars="196"/>
        <w:rPr>
          <w:rFonts w:hint="eastAsia" w:ascii="ˎ̥" w:hAnsi="ˎ̥" w:eastAsia="宋体" w:cs="Times New Roman"/>
        </w:rPr>
      </w:pPr>
      <w:r>
        <w:rPr>
          <w:rFonts w:hint="eastAsia" w:ascii="ˎ̥" w:hAnsi="ˎ̥" w:eastAsia="宋体" w:cs="Times New Roman"/>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中标候选人并列的，由采购人或者采购人委托评标委员会按照招标文件规定的方式确定中标人；招标文件未规定的，采取随机抽取的方式确定。</w:t>
      </w:r>
    </w:p>
    <w:p w14:paraId="5B84B2EF">
      <w:pPr>
        <w:ind w:firstLine="413" w:firstLineChars="196"/>
        <w:rPr>
          <w:rFonts w:hint="eastAsia" w:ascii="宋体" w:hAnsi="宋体" w:eastAsia="宋体" w:cs="Times New Roman"/>
          <w:b/>
          <w:bCs/>
          <w:szCs w:val="21"/>
        </w:rPr>
      </w:pPr>
      <w:r>
        <w:rPr>
          <w:rFonts w:hint="eastAsia" w:ascii="宋体" w:hAnsi="宋体" w:eastAsia="宋体" w:cs="Times New Roman"/>
          <w:b/>
          <w:bCs/>
          <w:szCs w:val="21"/>
        </w:rPr>
        <w:t>37.2本项目采用的评审方法见本项目招标文件第一册“专用条款”的相关内容。</w:t>
      </w:r>
    </w:p>
    <w:p w14:paraId="45F2F674">
      <w:pPr>
        <w:ind w:firstLine="413" w:firstLineChars="196"/>
        <w:rPr>
          <w:rFonts w:hint="eastAsia" w:ascii="宋体" w:hAnsi="宋体" w:eastAsia="宋体" w:cs="Times New Roman"/>
          <w:b/>
          <w:bCs/>
          <w:szCs w:val="21"/>
        </w:rPr>
      </w:pPr>
      <w:r>
        <w:rPr>
          <w:rFonts w:hint="eastAsia" w:ascii="宋体" w:hAnsi="宋体" w:eastAsia="宋体" w:cs="Times New Roman"/>
          <w:b/>
          <w:bCs/>
          <w:szCs w:val="21"/>
        </w:rPr>
        <w:t>37.3重新评审的情形</w:t>
      </w:r>
    </w:p>
    <w:p w14:paraId="24513888">
      <w:pPr>
        <w:ind w:firstLine="411" w:firstLineChars="196"/>
        <w:rPr>
          <w:rFonts w:hint="eastAsia" w:ascii="宋体" w:hAnsi="宋体" w:eastAsia="宋体" w:cs="Times New Roman"/>
          <w:b/>
          <w:bCs/>
          <w:szCs w:val="21"/>
        </w:rPr>
      </w:pPr>
      <w:r>
        <w:rPr>
          <w:rFonts w:hint="eastAsia" w:ascii="宋体" w:hAnsi="宋体" w:eastAsia="宋体" w:cs="宋体"/>
          <w:kern w:val="0"/>
          <w:szCs w:val="21"/>
        </w:rPr>
        <w:t>评审结果汇总完成后，除下列情形外，任何人不得修改评审结果：</w:t>
      </w:r>
    </w:p>
    <w:p w14:paraId="1BB8867C">
      <w:pPr>
        <w:ind w:firstLine="411" w:firstLineChars="196"/>
        <w:rPr>
          <w:rFonts w:hint="eastAsia" w:ascii="宋体" w:hAnsi="宋体" w:eastAsia="宋体" w:cs="宋体"/>
          <w:kern w:val="0"/>
          <w:szCs w:val="21"/>
        </w:rPr>
      </w:pPr>
      <w:r>
        <w:rPr>
          <w:rFonts w:hint="eastAsia" w:ascii="宋体" w:hAnsi="宋体" w:eastAsia="宋体" w:cs="宋体"/>
          <w:kern w:val="0"/>
          <w:szCs w:val="21"/>
        </w:rPr>
        <w:t>37.3.1分值汇总计算错误的；</w:t>
      </w:r>
    </w:p>
    <w:p w14:paraId="12DADC30">
      <w:pPr>
        <w:ind w:firstLine="411" w:firstLineChars="196"/>
        <w:rPr>
          <w:rFonts w:hint="eastAsia" w:ascii="宋体" w:hAnsi="宋体" w:eastAsia="宋体" w:cs="宋体"/>
          <w:kern w:val="0"/>
          <w:szCs w:val="21"/>
        </w:rPr>
      </w:pPr>
      <w:r>
        <w:rPr>
          <w:rFonts w:hint="eastAsia" w:ascii="宋体" w:hAnsi="宋体" w:eastAsia="宋体" w:cs="宋体"/>
          <w:kern w:val="0"/>
          <w:szCs w:val="21"/>
        </w:rPr>
        <w:t>37.3.2分项评分超出评分标准范围的；</w:t>
      </w:r>
    </w:p>
    <w:p w14:paraId="3CB3754E">
      <w:pPr>
        <w:ind w:firstLine="411" w:firstLineChars="196"/>
        <w:rPr>
          <w:rFonts w:hint="eastAsia" w:ascii="宋体" w:hAnsi="宋体" w:eastAsia="宋体" w:cs="宋体"/>
          <w:kern w:val="0"/>
          <w:szCs w:val="21"/>
        </w:rPr>
      </w:pPr>
      <w:r>
        <w:rPr>
          <w:rFonts w:hint="eastAsia" w:ascii="宋体" w:hAnsi="宋体" w:eastAsia="宋体" w:cs="宋体"/>
          <w:kern w:val="0"/>
          <w:szCs w:val="21"/>
        </w:rPr>
        <w:t>37.3.3评审委员会成员对客观评审因素评分不一致的；</w:t>
      </w:r>
    </w:p>
    <w:p w14:paraId="66368754">
      <w:pPr>
        <w:ind w:firstLine="411" w:firstLineChars="196"/>
        <w:rPr>
          <w:rFonts w:hint="eastAsia" w:ascii="宋体" w:hAnsi="宋体" w:eastAsia="宋体" w:cs="宋体"/>
          <w:kern w:val="0"/>
          <w:szCs w:val="21"/>
        </w:rPr>
      </w:pPr>
      <w:r>
        <w:rPr>
          <w:rFonts w:hint="eastAsia" w:ascii="宋体" w:hAnsi="宋体" w:eastAsia="宋体" w:cs="宋体"/>
          <w:kern w:val="0"/>
          <w:szCs w:val="21"/>
        </w:rPr>
        <w:t>37.3.4经评审委员会认定评分畸高、畸低的。</w:t>
      </w:r>
    </w:p>
    <w:p w14:paraId="030A2F52">
      <w:pPr>
        <w:ind w:firstLine="411" w:firstLineChars="196"/>
        <w:rPr>
          <w:rFonts w:hint="eastAsia" w:ascii="宋体" w:hAnsi="宋体" w:eastAsia="宋体" w:cs="宋体"/>
          <w:kern w:val="0"/>
          <w:szCs w:val="21"/>
        </w:rPr>
      </w:pPr>
      <w:r>
        <w:rPr>
          <w:rFonts w:hint="eastAsia" w:ascii="宋体" w:hAnsi="宋体" w:eastAsia="宋体" w:cs="宋体"/>
          <w:kern w:val="0"/>
          <w:szCs w:val="21"/>
        </w:rPr>
        <w:t>评审报告签署前，经复核发现存在以上情形之一的，评审委员会应当当场修改评审结果，并进行书面记载；评审报告签署后，采购人或者采购代理机构发现存在以上情形之一的，应当组织原评审委员会进行重新评审。</w:t>
      </w:r>
    </w:p>
    <w:p w14:paraId="73C7922D">
      <w:pPr>
        <w:ind w:firstLine="411" w:firstLineChars="196"/>
        <w:rPr>
          <w:rFonts w:hint="eastAsia" w:ascii="宋体" w:hAnsi="宋体" w:eastAsia="宋体" w:cs="宋体"/>
          <w:kern w:val="0"/>
          <w:szCs w:val="21"/>
        </w:rPr>
      </w:pPr>
      <w:r>
        <w:rPr>
          <w:rFonts w:hint="eastAsia" w:ascii="宋体" w:hAnsi="宋体" w:eastAsia="宋体" w:cs="宋体"/>
          <w:kern w:val="0"/>
          <w:szCs w:val="21"/>
        </w:rPr>
        <w:t>投标人对本条第一款情形提出质疑的，采购人或者采购代理机构可以组织原评审委员会进行重新评审。</w:t>
      </w:r>
    </w:p>
    <w:p w14:paraId="72904EEE">
      <w:pPr>
        <w:ind w:firstLine="413" w:firstLineChars="196"/>
        <w:rPr>
          <w:rFonts w:hint="eastAsia" w:ascii="宋体" w:hAnsi="宋体" w:eastAsia="宋体" w:cs="Times New Roman"/>
          <w:b/>
          <w:bCs/>
          <w:szCs w:val="21"/>
        </w:rPr>
      </w:pPr>
      <w:r>
        <w:rPr>
          <w:rFonts w:hint="eastAsia" w:ascii="宋体" w:hAnsi="宋体" w:eastAsia="宋体" w:cs="Times New Roman"/>
          <w:b/>
          <w:bCs/>
          <w:szCs w:val="21"/>
        </w:rPr>
        <w:t>37.4重新组建评审委员会的情形</w:t>
      </w:r>
    </w:p>
    <w:p w14:paraId="1042697A">
      <w:pPr>
        <w:ind w:firstLine="411" w:firstLineChars="196"/>
        <w:rPr>
          <w:rFonts w:hint="eastAsia" w:ascii="宋体" w:hAnsi="宋体" w:eastAsia="宋体" w:cs="宋体"/>
          <w:kern w:val="0"/>
          <w:szCs w:val="21"/>
        </w:rPr>
      </w:pPr>
      <w:r>
        <w:rPr>
          <w:rFonts w:hint="eastAsia" w:ascii="宋体" w:hAnsi="宋体" w:eastAsia="宋体" w:cs="宋体"/>
          <w:kern w:val="0"/>
          <w:szCs w:val="21"/>
        </w:rPr>
        <w:t>评审委员会或者其成员存在下列情形导致评审结果无效的，重新组建评审委员会进行评标：</w:t>
      </w:r>
    </w:p>
    <w:p w14:paraId="0F9ED3ED">
      <w:pPr>
        <w:ind w:firstLine="411" w:firstLineChars="196"/>
        <w:rPr>
          <w:rFonts w:hint="eastAsia" w:ascii="宋体" w:hAnsi="宋体" w:eastAsia="宋体" w:cs="宋体"/>
          <w:kern w:val="0"/>
          <w:szCs w:val="21"/>
        </w:rPr>
      </w:pPr>
      <w:r>
        <w:rPr>
          <w:rFonts w:hint="eastAsia" w:ascii="宋体" w:hAnsi="宋体" w:eastAsia="宋体" w:cs="宋体"/>
          <w:kern w:val="0"/>
          <w:szCs w:val="21"/>
        </w:rPr>
        <w:t>37.4.1评审委员会组成不符合《政府采购货物和服务招标投标管理办法》规定的；</w:t>
      </w:r>
    </w:p>
    <w:p w14:paraId="170CD159">
      <w:pPr>
        <w:ind w:firstLine="411" w:firstLineChars="196"/>
        <w:rPr>
          <w:rFonts w:hint="eastAsia" w:ascii="宋体" w:hAnsi="宋体" w:eastAsia="宋体" w:cs="宋体"/>
          <w:kern w:val="0"/>
          <w:szCs w:val="21"/>
        </w:rPr>
      </w:pPr>
      <w:r>
        <w:rPr>
          <w:rFonts w:hint="eastAsia" w:ascii="宋体" w:hAnsi="宋体" w:eastAsia="宋体" w:cs="宋体"/>
          <w:kern w:val="0"/>
          <w:szCs w:val="21"/>
        </w:rPr>
        <w:t>37.4.2有《政府采购货物和服务招标投标管理办法》第六十二条第一至五项情形的；</w:t>
      </w:r>
    </w:p>
    <w:p w14:paraId="3CA30B50">
      <w:pPr>
        <w:ind w:firstLine="411" w:firstLineChars="196"/>
        <w:rPr>
          <w:rFonts w:hint="eastAsia" w:ascii="宋体" w:hAnsi="宋体" w:eastAsia="宋体" w:cs="宋体"/>
          <w:kern w:val="0"/>
          <w:szCs w:val="21"/>
        </w:rPr>
      </w:pPr>
      <w:r>
        <w:rPr>
          <w:rFonts w:hint="eastAsia" w:ascii="宋体" w:hAnsi="宋体" w:eastAsia="宋体" w:cs="宋体"/>
          <w:kern w:val="0"/>
          <w:szCs w:val="21"/>
        </w:rPr>
        <w:t>37.4.3评审委员会及其成员独立评标受到非法干预的；</w:t>
      </w:r>
    </w:p>
    <w:p w14:paraId="2A3DF812">
      <w:pPr>
        <w:ind w:firstLine="411" w:firstLineChars="196"/>
        <w:rPr>
          <w:rFonts w:hint="eastAsia" w:ascii="宋体" w:hAnsi="宋体" w:eastAsia="宋体" w:cs="宋体"/>
          <w:kern w:val="0"/>
          <w:szCs w:val="21"/>
        </w:rPr>
      </w:pPr>
      <w:r>
        <w:rPr>
          <w:rFonts w:hint="eastAsia" w:ascii="宋体" w:hAnsi="宋体" w:eastAsia="宋体" w:cs="宋体"/>
          <w:kern w:val="0"/>
          <w:szCs w:val="21"/>
        </w:rPr>
        <w:t>37.4.4有政府采购法实施条例第七十五条规定的违法行为的。</w:t>
      </w:r>
    </w:p>
    <w:p w14:paraId="0A22C621">
      <w:pPr>
        <w:ind w:firstLine="411" w:firstLineChars="196"/>
        <w:rPr>
          <w:rFonts w:hint="eastAsia" w:ascii="宋体" w:hAnsi="宋体" w:eastAsia="宋体" w:cs="宋体"/>
          <w:kern w:val="0"/>
          <w:szCs w:val="21"/>
        </w:rPr>
      </w:pPr>
      <w:r>
        <w:rPr>
          <w:rFonts w:hint="eastAsia" w:ascii="宋体" w:hAnsi="宋体" w:eastAsia="宋体" w:cs="宋体"/>
          <w:kern w:val="0"/>
          <w:szCs w:val="21"/>
        </w:rPr>
        <w:t>有违法违规行为的原评审委员会成员不得参加重新组建的评审委员会。</w:t>
      </w:r>
    </w:p>
    <w:p w14:paraId="4EEB6A1B">
      <w:pPr>
        <w:ind w:firstLine="411" w:firstLineChars="196"/>
        <w:rPr>
          <w:rFonts w:hint="eastAsia" w:ascii="宋体" w:hAnsi="宋体" w:eastAsia="宋体" w:cs="Times New Roman"/>
          <w:szCs w:val="21"/>
        </w:rPr>
      </w:pPr>
    </w:p>
    <w:p w14:paraId="22F11882">
      <w:pPr>
        <w:keepNext/>
        <w:keepLines/>
        <w:numPr>
          <w:ilvl w:val="0"/>
          <w:numId w:val="11"/>
        </w:numPr>
        <w:adjustRightInd w:val="0"/>
        <w:spacing w:before="120" w:beforeLines="50" w:after="120" w:afterLines="50"/>
        <w:ind w:left="562" w:hanging="562"/>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定标及公示</w:t>
      </w:r>
    </w:p>
    <w:p w14:paraId="34E9B732">
      <w:pPr>
        <w:rPr>
          <w:rFonts w:hint="eastAsia" w:ascii="黑体" w:hAnsi="宋体" w:eastAsia="黑体" w:cs="Times New Roman"/>
          <w:sz w:val="24"/>
        </w:rPr>
      </w:pPr>
      <w:r>
        <w:rPr>
          <w:rFonts w:hint="eastAsia" w:ascii="黑体" w:hAnsi="宋体" w:eastAsia="黑体" w:cs="Times New Roman"/>
          <w:sz w:val="24"/>
        </w:rPr>
        <w:t>38．定标方法</w:t>
      </w:r>
    </w:p>
    <w:p w14:paraId="4C1647D0">
      <w:pPr>
        <w:ind w:firstLine="411" w:firstLineChars="196"/>
        <w:rPr>
          <w:rFonts w:hint="eastAsia" w:ascii="宋体" w:hAnsi="宋体" w:eastAsia="宋体" w:cs="Times New Roman"/>
          <w:szCs w:val="21"/>
        </w:rPr>
      </w:pPr>
      <w:bookmarkStart w:id="91" w:name="_Hlk73782795"/>
      <w:r>
        <w:rPr>
          <w:rFonts w:hint="eastAsia" w:ascii="宋体" w:hAnsi="宋体" w:eastAsia="宋体" w:cs="Times New Roman"/>
          <w:szCs w:val="21"/>
        </w:rPr>
        <w:t>38.1非评定分离项目定标方法</w:t>
      </w:r>
    </w:p>
    <w:p w14:paraId="2F4E3B30">
      <w:pPr>
        <w:ind w:firstLine="411" w:firstLineChars="196"/>
        <w:rPr>
          <w:rFonts w:hint="eastAsia" w:ascii="宋体" w:hAnsi="宋体" w:eastAsia="宋体" w:cs="Times New Roman"/>
          <w:szCs w:val="21"/>
        </w:rPr>
      </w:pPr>
      <w:r>
        <w:rPr>
          <w:rFonts w:hint="eastAsia" w:ascii="宋体" w:hAnsi="宋体" w:eastAsia="宋体" w:cs="Times New Roman"/>
          <w:szCs w:val="21"/>
        </w:rPr>
        <w:t>38</w:t>
      </w:r>
      <w:r>
        <w:rPr>
          <w:rFonts w:ascii="宋体" w:hAnsi="宋体" w:eastAsia="宋体" w:cs="Times New Roman"/>
          <w:szCs w:val="21"/>
        </w:rPr>
        <w:t>.</w:t>
      </w:r>
      <w:r>
        <w:rPr>
          <w:rFonts w:hint="eastAsia" w:ascii="宋体" w:hAnsi="宋体" w:eastAsia="宋体" w:cs="Times New Roman"/>
          <w:szCs w:val="21"/>
        </w:rPr>
        <w:t>1.1评审委员会依据本项目招标文件所约定的评审方法进行评审和比较，向政府集中采购机构提交书面评审报告，并根据评审方法比较评价结果从优到劣进行排序，确定候选中标供应商。</w:t>
      </w:r>
    </w:p>
    <w:p w14:paraId="2D8478BB">
      <w:pPr>
        <w:ind w:firstLine="411" w:firstLineChars="196"/>
        <w:rPr>
          <w:rFonts w:hint="eastAsia" w:ascii="ˎ̥" w:hAnsi="ˎ̥" w:eastAsia="宋体" w:cs="Times New Roman"/>
        </w:rPr>
      </w:pPr>
      <w:r>
        <w:rPr>
          <w:rFonts w:hint="eastAsia" w:ascii="宋体" w:hAnsi="宋体" w:eastAsia="宋体" w:cs="Times New Roman"/>
          <w:szCs w:val="21"/>
        </w:rPr>
        <w:t>38</w:t>
      </w:r>
      <w:r>
        <w:rPr>
          <w:rFonts w:ascii="宋体" w:hAnsi="宋体" w:eastAsia="宋体" w:cs="Times New Roman"/>
          <w:szCs w:val="21"/>
        </w:rPr>
        <w:t>.</w:t>
      </w:r>
      <w:r>
        <w:rPr>
          <w:rFonts w:hint="eastAsia" w:ascii="宋体" w:hAnsi="宋体" w:eastAsia="宋体" w:cs="Times New Roman"/>
          <w:szCs w:val="21"/>
        </w:rPr>
        <w:t>1.2</w:t>
      </w:r>
      <w:r>
        <w:rPr>
          <w:rFonts w:ascii="ˎ̥" w:hAnsi="ˎ̥" w:eastAsia="宋体" w:cs="Times New Roman"/>
        </w:rPr>
        <w:t>采用最低价法的，评</w:t>
      </w:r>
      <w:r>
        <w:rPr>
          <w:rFonts w:hint="eastAsia" w:ascii="ˎ̥" w:hAnsi="ˎ̥" w:eastAsia="宋体" w:cs="Times New Roman"/>
        </w:rPr>
        <w:t>审</w:t>
      </w:r>
      <w:r>
        <w:rPr>
          <w:rFonts w:ascii="ˎ̥" w:hAnsi="ˎ̥" w:eastAsia="宋体" w:cs="Times New Roman"/>
        </w:rPr>
        <w:t>结果按投标报价由低到高顺序排列。投标报价相同的并列。投标文件满足招标文件全部实质性要求且投标报价最低的</w:t>
      </w:r>
      <w:r>
        <w:rPr>
          <w:rFonts w:hint="eastAsia" w:ascii="ˎ̥" w:hAnsi="ˎ̥" w:eastAsia="宋体" w:cs="Times New Roman"/>
        </w:rPr>
        <w:t>投标人为</w:t>
      </w:r>
      <w:bookmarkStart w:id="92" w:name="_Hlk73821177"/>
      <w:r>
        <w:rPr>
          <w:rFonts w:hint="eastAsia" w:ascii="ˎ̥" w:hAnsi="ˎ̥" w:eastAsia="宋体" w:cs="Times New Roman"/>
        </w:rPr>
        <w:t>中标供应商</w:t>
      </w:r>
      <w:r>
        <w:rPr>
          <w:rFonts w:ascii="ˎ̥" w:hAnsi="ˎ̥" w:eastAsia="宋体" w:cs="Times New Roman"/>
        </w:rPr>
        <w:t>（</w:t>
      </w:r>
      <w:r>
        <w:rPr>
          <w:rFonts w:hint="eastAsia" w:ascii="ˎ̥" w:hAnsi="ˎ̥" w:eastAsia="宋体" w:cs="Times New Roman"/>
        </w:rPr>
        <w:t>排名</w:t>
      </w:r>
      <w:r>
        <w:rPr>
          <w:rFonts w:ascii="ˎ̥" w:hAnsi="ˎ̥" w:eastAsia="宋体" w:cs="Times New Roman"/>
        </w:rPr>
        <w:t>第二</w:t>
      </w:r>
      <w:r>
        <w:rPr>
          <w:rFonts w:hint="eastAsia" w:ascii="ˎ̥" w:hAnsi="ˎ̥" w:eastAsia="宋体" w:cs="Times New Roman"/>
        </w:rPr>
        <w:t>的投标人为第一替补中标候选人、排名</w:t>
      </w:r>
      <w:r>
        <w:rPr>
          <w:rFonts w:ascii="ˎ̥" w:hAnsi="ˎ̥" w:eastAsia="宋体" w:cs="Times New Roman"/>
        </w:rPr>
        <w:t>第</w:t>
      </w:r>
      <w:r>
        <w:rPr>
          <w:rFonts w:hint="eastAsia" w:ascii="ˎ̥" w:hAnsi="ˎ̥" w:eastAsia="宋体" w:cs="Times New Roman"/>
        </w:rPr>
        <w:t>三的投标人为第二替补中标候选人</w:t>
      </w:r>
      <w:bookmarkEnd w:id="92"/>
      <w:r>
        <w:rPr>
          <w:rFonts w:ascii="ˎ̥" w:hAnsi="ˎ̥" w:eastAsia="宋体" w:cs="Times New Roman"/>
        </w:rPr>
        <w:t>）。</w:t>
      </w:r>
    </w:p>
    <w:p w14:paraId="29D797EF">
      <w:pPr>
        <w:ind w:firstLine="411" w:firstLineChars="196"/>
        <w:rPr>
          <w:rFonts w:hint="eastAsia" w:ascii="ˎ̥" w:hAnsi="ˎ̥" w:eastAsia="宋体" w:cs="Times New Roman"/>
        </w:rPr>
      </w:pPr>
      <w:r>
        <w:rPr>
          <w:rFonts w:hint="eastAsia" w:ascii="宋体" w:hAnsi="宋体" w:eastAsia="宋体" w:cs="Times New Roman"/>
          <w:szCs w:val="21"/>
        </w:rPr>
        <w:t>38</w:t>
      </w:r>
      <w:r>
        <w:rPr>
          <w:rFonts w:ascii="宋体" w:hAnsi="宋体" w:eastAsia="宋体" w:cs="Times New Roman"/>
          <w:szCs w:val="21"/>
        </w:rPr>
        <w:t>.</w:t>
      </w:r>
      <w:r>
        <w:rPr>
          <w:rFonts w:hint="eastAsia" w:ascii="宋体" w:hAnsi="宋体" w:eastAsia="宋体" w:cs="Times New Roman"/>
          <w:szCs w:val="21"/>
        </w:rPr>
        <w:t>1.3</w:t>
      </w:r>
      <w:r>
        <w:rPr>
          <w:rFonts w:ascii="宋体" w:hAnsi="宋体" w:eastAsia="宋体" w:cs="Times New Roman"/>
          <w:szCs w:val="21"/>
        </w:rPr>
        <w:t>采</w:t>
      </w:r>
      <w:r>
        <w:rPr>
          <w:rFonts w:ascii="ˎ̥" w:hAnsi="ˎ̥" w:eastAsia="宋体" w:cs="Times New Roman"/>
        </w:rPr>
        <w:t>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w:t>
      </w:r>
      <w:r>
        <w:rPr>
          <w:rFonts w:hint="eastAsia" w:ascii="ˎ̥" w:hAnsi="ˎ̥" w:eastAsia="宋体" w:cs="Times New Roman"/>
        </w:rPr>
        <w:t>为中标供应商</w:t>
      </w:r>
      <w:r>
        <w:rPr>
          <w:rFonts w:ascii="ˎ̥" w:hAnsi="ˎ̥" w:eastAsia="宋体" w:cs="Times New Roman"/>
        </w:rPr>
        <w:t>（</w:t>
      </w:r>
      <w:r>
        <w:rPr>
          <w:rFonts w:hint="eastAsia" w:ascii="ˎ̥" w:hAnsi="ˎ̥" w:eastAsia="宋体" w:cs="Times New Roman"/>
        </w:rPr>
        <w:t>排名</w:t>
      </w:r>
      <w:r>
        <w:rPr>
          <w:rFonts w:ascii="ˎ̥" w:hAnsi="ˎ̥" w:eastAsia="宋体" w:cs="Times New Roman"/>
        </w:rPr>
        <w:t>第二</w:t>
      </w:r>
      <w:r>
        <w:rPr>
          <w:rFonts w:hint="eastAsia" w:ascii="ˎ̥" w:hAnsi="ˎ̥" w:eastAsia="宋体" w:cs="Times New Roman"/>
        </w:rPr>
        <w:t>的投标人为第一替补中标候选人、排名</w:t>
      </w:r>
      <w:r>
        <w:rPr>
          <w:rFonts w:ascii="ˎ̥" w:hAnsi="ˎ̥" w:eastAsia="宋体" w:cs="Times New Roman"/>
        </w:rPr>
        <w:t>第</w:t>
      </w:r>
      <w:r>
        <w:rPr>
          <w:rFonts w:hint="eastAsia" w:ascii="ˎ̥" w:hAnsi="ˎ̥" w:eastAsia="宋体" w:cs="Times New Roman"/>
        </w:rPr>
        <w:t>三的投标人为第二替补中标候选人</w:t>
      </w:r>
      <w:r>
        <w:rPr>
          <w:rFonts w:ascii="ˎ̥" w:hAnsi="ˎ̥" w:eastAsia="宋体" w:cs="Times New Roman"/>
        </w:rPr>
        <w:t>）。</w:t>
      </w:r>
      <w:r>
        <w:rPr>
          <w:rFonts w:hint="eastAsia" w:ascii="ˎ̥" w:hAnsi="ˎ̥" w:eastAsia="宋体" w:cs="Times New Roman"/>
        </w:rPr>
        <w:t>出现</w:t>
      </w:r>
      <w:r>
        <w:rPr>
          <w:rFonts w:ascii="ˎ̥" w:hAnsi="ˎ̥" w:eastAsia="宋体" w:cs="Times New Roman"/>
        </w:rPr>
        <w:t>得分且投标报价相同的并列</w:t>
      </w:r>
      <w:r>
        <w:rPr>
          <w:rFonts w:hint="eastAsia" w:ascii="ˎ̥" w:hAnsi="ˎ̥" w:eastAsia="宋体" w:cs="Times New Roman"/>
        </w:rPr>
        <w:t>情况时，采取随机抽取的方式确定，具体操作办法及流程由评审委员会确定。</w:t>
      </w:r>
    </w:p>
    <w:p w14:paraId="698AF024">
      <w:pPr>
        <w:ind w:firstLine="411" w:firstLineChars="196"/>
        <w:rPr>
          <w:rFonts w:hint="eastAsia" w:ascii="宋体" w:hAnsi="宋体" w:eastAsia="宋体" w:cs="Times New Roman"/>
          <w:szCs w:val="21"/>
        </w:rPr>
      </w:pPr>
      <w:r>
        <w:rPr>
          <w:rFonts w:hint="eastAsia" w:ascii="宋体" w:hAnsi="宋体" w:eastAsia="宋体" w:cs="Times New Roman"/>
          <w:szCs w:val="21"/>
        </w:rPr>
        <w:t>38.2评定分离项目定标方法</w:t>
      </w:r>
    </w:p>
    <w:p w14:paraId="69EA1793">
      <w:pPr>
        <w:ind w:firstLine="411" w:firstLineChars="196"/>
        <w:rPr>
          <w:rFonts w:hint="eastAsia" w:ascii="宋体" w:hAnsi="宋体" w:eastAsia="宋体" w:cs="Times New Roman"/>
          <w:szCs w:val="21"/>
        </w:rPr>
      </w:pPr>
      <w:r>
        <w:rPr>
          <w:rFonts w:hint="eastAsia" w:ascii="宋体" w:hAnsi="宋体" w:eastAsia="宋体" w:cs="Times New Roman"/>
          <w:szCs w:val="21"/>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14:paraId="2061E16B">
      <w:pPr>
        <w:ind w:firstLine="411" w:firstLineChars="196"/>
        <w:rPr>
          <w:rFonts w:ascii="Times New Roman" w:hAnsi="Times New Roman" w:eastAsia="宋体" w:cs="Times New Roman"/>
        </w:rPr>
      </w:pPr>
      <w:r>
        <w:rPr>
          <w:rFonts w:ascii="宋体" w:hAnsi="宋体" w:eastAsia="宋体" w:cs="Times New Roman"/>
          <w:szCs w:val="21"/>
        </w:rPr>
        <w:t xml:space="preserve">38.2.2 </w:t>
      </w:r>
      <w:bookmarkStart w:id="93" w:name="_Hlk71469733"/>
      <w:r>
        <w:rPr>
          <w:rFonts w:ascii="Times New Roman" w:hAnsi="Times New Roman" w:eastAsia="宋体" w:cs="Times New Roman"/>
        </w:rPr>
        <w:t>适用评定分离的采购项目，采用综合评分法评</w:t>
      </w:r>
      <w:r>
        <w:rPr>
          <w:rFonts w:hint="eastAsia" w:ascii="Times New Roman" w:hAnsi="Times New Roman" w:eastAsia="宋体" w:cs="Times New Roman"/>
        </w:rPr>
        <w:t>审。</w:t>
      </w:r>
      <w:r>
        <w:rPr>
          <w:rFonts w:hint="eastAsia" w:ascii="宋体" w:hAnsi="宋体" w:eastAsia="宋体" w:cs="Times New Roman"/>
          <w:szCs w:val="21"/>
        </w:rPr>
        <w:t>评审委员会按照评审结果，推荐</w:t>
      </w:r>
      <w:r>
        <w:rPr>
          <w:rFonts w:ascii="Times New Roman" w:hAnsi="Times New Roman" w:eastAsia="宋体" w:cs="Times New Roman"/>
        </w:rPr>
        <w:t>三个合格的候选中标供应商。</w:t>
      </w:r>
    </w:p>
    <w:p w14:paraId="6DFA1F59">
      <w:pPr>
        <w:ind w:firstLine="411" w:firstLineChars="196"/>
        <w:rPr>
          <w:rFonts w:hint="eastAsia" w:ascii="宋体" w:hAnsi="宋体" w:eastAsia="宋体" w:cs="Times New Roman"/>
          <w:szCs w:val="21"/>
        </w:rPr>
      </w:pPr>
      <w:r>
        <w:rPr>
          <w:rFonts w:hint="eastAsia" w:ascii="宋体" w:hAnsi="宋体" w:eastAsia="宋体" w:cs="Times New Roman"/>
          <w:szCs w:val="21"/>
        </w:rPr>
        <w:t>38.2.3</w:t>
      </w:r>
      <w:bookmarkStart w:id="94" w:name="_Hlk71469688"/>
      <w:r>
        <w:rPr>
          <w:rFonts w:ascii="Times New Roman" w:hAnsi="Times New Roman" w:eastAsia="宋体" w:cs="Times New Roman"/>
        </w:rPr>
        <w:t>适用评定分离的采购项目，</w:t>
      </w:r>
      <w:r>
        <w:rPr>
          <w:rFonts w:hint="eastAsia" w:ascii="宋体" w:hAnsi="宋体" w:eastAsia="宋体" w:cs="Times New Roman"/>
          <w:szCs w:val="21"/>
        </w:rPr>
        <w:t>按照自定法确定中标供应商：自定法是指采购人组织定标委员会，由定标委员会在三家候选中标供应商中确定中标供应商。</w:t>
      </w:r>
      <w:bookmarkEnd w:id="93"/>
      <w:bookmarkEnd w:id="94"/>
    </w:p>
    <w:p w14:paraId="431A5AA4">
      <w:pPr>
        <w:ind w:firstLine="411" w:firstLineChars="196"/>
        <w:rPr>
          <w:rFonts w:hint="eastAsia" w:ascii="宋体" w:hAnsi="宋体" w:eastAsia="宋体" w:cs="Times New Roman"/>
          <w:szCs w:val="21"/>
        </w:rPr>
      </w:pPr>
      <w:r>
        <w:rPr>
          <w:rFonts w:ascii="宋体" w:hAnsi="宋体" w:eastAsia="宋体" w:cs="Times New Roman"/>
          <w:szCs w:val="21"/>
        </w:rPr>
        <w:t>38.2.4</w:t>
      </w:r>
      <w:r>
        <w:rPr>
          <w:rFonts w:hint="eastAsia" w:ascii="宋体" w:hAnsi="宋体" w:eastAsia="宋体" w:cs="Times New Roman"/>
          <w:szCs w:val="21"/>
        </w:rPr>
        <w:t>政府集中采购机构</w:t>
      </w:r>
      <w:r>
        <w:rPr>
          <w:rFonts w:ascii="Times New Roman" w:hAnsi="Times New Roman" w:eastAsia="宋体" w:cs="Times New Roman"/>
        </w:rPr>
        <w:t>应当自评审结束之日起两个工作日内将候选中标供应商名单及其投标文件、评审报告送交采购人</w:t>
      </w:r>
      <w:r>
        <w:rPr>
          <w:rFonts w:hint="eastAsia" w:ascii="宋体" w:hAnsi="宋体" w:eastAsia="宋体" w:cs="Times New Roman"/>
          <w:szCs w:val="21"/>
        </w:rPr>
        <w:t>。</w:t>
      </w:r>
      <w:r>
        <w:rPr>
          <w:rFonts w:ascii="Times New Roman" w:hAnsi="Times New Roman" w:eastAsia="宋体" w:cs="Times New Roman"/>
        </w:rPr>
        <w:t>采购人应当安排专人对定标过程进行书面记录，形成定标报告，作为采购文件的组成部分存档，并及时将定标结果反馈</w:t>
      </w:r>
      <w:r>
        <w:rPr>
          <w:rFonts w:hint="eastAsia" w:ascii="Times New Roman" w:hAnsi="Times New Roman" w:eastAsia="宋体" w:cs="Times New Roman"/>
        </w:rPr>
        <w:t>政府集中采购机构。具体定标程序及相关要求以参照《深圳市财政局关于&lt;深圳市政府采购评标定标分离管理办法&gt;续期的通知》（深财规〔2023〕1号）执行。</w:t>
      </w:r>
    </w:p>
    <w:p w14:paraId="36BAF594">
      <w:pPr>
        <w:ind w:firstLine="411" w:firstLineChars="196"/>
        <w:rPr>
          <w:rFonts w:hint="eastAsia" w:ascii="宋体" w:hAnsi="宋体" w:eastAsia="宋体" w:cs="Times New Roman"/>
          <w:szCs w:val="21"/>
        </w:rPr>
      </w:pPr>
      <w:r>
        <w:rPr>
          <w:rFonts w:hint="eastAsia" w:ascii="宋体" w:hAnsi="宋体" w:eastAsia="宋体" w:cs="Times New Roman"/>
          <w:szCs w:val="21"/>
        </w:rPr>
        <w:t>说明：采购人及投标供应商应按照上述方法提前做好相关准备。</w:t>
      </w:r>
    </w:p>
    <w:p w14:paraId="074DBFB4">
      <w:pPr>
        <w:ind w:firstLine="411" w:firstLineChars="196"/>
        <w:rPr>
          <w:rFonts w:hint="eastAsia" w:ascii="宋体" w:hAnsi="宋体" w:eastAsia="宋体" w:cs="Times New Roman"/>
          <w:szCs w:val="21"/>
        </w:rPr>
      </w:pPr>
      <w:r>
        <w:rPr>
          <w:rFonts w:hint="eastAsia" w:ascii="宋体" w:hAnsi="宋体" w:eastAsia="宋体" w:cs="Times New Roman"/>
          <w:szCs w:val="21"/>
        </w:rPr>
        <w:t>38.3专用条款另有规定的，按专用条款相关要求定标。</w:t>
      </w:r>
      <w:bookmarkEnd w:id="91"/>
    </w:p>
    <w:p w14:paraId="697695B4">
      <w:pPr>
        <w:rPr>
          <w:rFonts w:hint="eastAsia" w:ascii="黑体" w:hAnsi="宋体" w:eastAsia="黑体" w:cs="Times New Roman"/>
          <w:sz w:val="24"/>
        </w:rPr>
      </w:pPr>
      <w:r>
        <w:rPr>
          <w:rFonts w:hint="eastAsia" w:ascii="黑体" w:hAnsi="宋体" w:eastAsia="黑体" w:cs="Times New Roman"/>
          <w:sz w:val="24"/>
        </w:rPr>
        <w:t>39．编写评审报告</w:t>
      </w:r>
    </w:p>
    <w:p w14:paraId="2541ACCC">
      <w:pPr>
        <w:ind w:firstLine="411" w:firstLineChars="196"/>
        <w:rPr>
          <w:rFonts w:hint="eastAsia" w:ascii="宋体" w:hAnsi="宋体" w:eastAsia="宋体" w:cs="Times New Roman"/>
          <w:szCs w:val="21"/>
        </w:rPr>
      </w:pPr>
      <w:r>
        <w:rPr>
          <w:rFonts w:hint="eastAsia" w:ascii="宋体" w:hAnsi="宋体" w:eastAsia="宋体" w:cs="Times New Roman"/>
          <w:szCs w:val="21"/>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2EE59EEF">
      <w:pPr>
        <w:rPr>
          <w:rFonts w:hint="eastAsia" w:ascii="黑体" w:hAnsi="宋体" w:eastAsia="黑体" w:cs="Times New Roman"/>
          <w:sz w:val="24"/>
        </w:rPr>
      </w:pPr>
      <w:r>
        <w:rPr>
          <w:rFonts w:hint="eastAsia" w:ascii="黑体" w:hAnsi="宋体" w:eastAsia="黑体" w:cs="Times New Roman"/>
          <w:sz w:val="24"/>
        </w:rPr>
        <w:t>40．中标公告</w:t>
      </w:r>
    </w:p>
    <w:p w14:paraId="39BD8A5F">
      <w:pPr>
        <w:ind w:firstLine="411" w:firstLineChars="196"/>
        <w:rPr>
          <w:rFonts w:hint="eastAsia" w:ascii="宋体" w:hAnsi="宋体" w:eastAsia="宋体" w:cs="Times New Roman"/>
          <w:szCs w:val="21"/>
        </w:rPr>
      </w:pPr>
      <w:r>
        <w:rPr>
          <w:rFonts w:hint="eastAsia" w:ascii="宋体" w:hAnsi="宋体" w:eastAsia="宋体" w:cs="Times New Roman"/>
          <w:szCs w:val="21"/>
        </w:rPr>
        <w:t>40.1</w:t>
      </w:r>
      <w:bookmarkStart w:id="95" w:name="_Hlk72438709"/>
      <w:r>
        <w:rPr>
          <w:rFonts w:hint="eastAsia" w:ascii="宋体" w:hAnsi="宋体" w:eastAsia="宋体" w:cs="Times New Roman"/>
          <w:szCs w:val="21"/>
        </w:rPr>
        <w:t>为体现“公开、公平、公正”的原则，评审结束后经采购人确认（确定）评审结果，政府集中采购机构将在</w:t>
      </w:r>
      <w:r>
        <w:rPr>
          <w:rFonts w:hint="eastAsia" w:ascii="宋体" w:hAnsi="宋体" w:eastAsia="宋体" w:cs="Times New Roman"/>
          <w:b/>
          <w:bCs/>
          <w:szCs w:val="21"/>
        </w:rPr>
        <w:t>深圳交易集团官网</w:t>
      </w:r>
      <w:r>
        <w:rPr>
          <w:rFonts w:hint="eastAsia" w:ascii="宋体" w:hAnsi="宋体" w:eastAsia="宋体" w:cs="Times New Roman"/>
          <w:szCs w:val="21"/>
        </w:rPr>
        <w:t>（https://www.szexgrp.com/home/index.html）上发布中标（成交）结果公告。</w:t>
      </w:r>
      <w:bookmarkEnd w:id="95"/>
      <w:bookmarkStart w:id="96" w:name="_Hlk72438751"/>
      <w:r>
        <w:rPr>
          <w:rFonts w:hint="eastAsia" w:ascii="宋体" w:hAnsi="宋体" w:eastAsia="宋体" w:cs="Times New Roman"/>
          <w:szCs w:val="21"/>
        </w:rPr>
        <w:t>供应商如对评审结果有异议，</w:t>
      </w:r>
      <w:r>
        <w:rPr>
          <w:rFonts w:ascii="宋体" w:hAnsi="宋体" w:eastAsia="宋体" w:cs="Times New Roman"/>
          <w:szCs w:val="21"/>
        </w:rPr>
        <w:t>可在发布公示日期起</w:t>
      </w:r>
      <w:r>
        <w:rPr>
          <w:rFonts w:hint="eastAsia" w:ascii="宋体" w:hAnsi="宋体" w:eastAsia="宋体" w:cs="Times New Roman"/>
          <w:szCs w:val="21"/>
        </w:rPr>
        <w:t>七</w:t>
      </w:r>
      <w:r>
        <w:rPr>
          <w:rFonts w:ascii="宋体" w:hAnsi="宋体" w:eastAsia="宋体" w:cs="Times New Roman"/>
          <w:szCs w:val="21"/>
        </w:rPr>
        <w:t>个工作日内向</w:t>
      </w:r>
      <w:r>
        <w:rPr>
          <w:rFonts w:hint="eastAsia" w:ascii="宋体" w:hAnsi="宋体" w:eastAsia="宋体" w:cs="Times New Roman"/>
          <w:szCs w:val="21"/>
        </w:rPr>
        <w:t>政府集中采购机构</w:t>
      </w:r>
      <w:r>
        <w:rPr>
          <w:rFonts w:ascii="宋体" w:hAnsi="宋体" w:eastAsia="宋体" w:cs="Times New Roman"/>
          <w:szCs w:val="21"/>
        </w:rPr>
        <w:t>提出。</w:t>
      </w:r>
      <w:r>
        <w:rPr>
          <w:rFonts w:hint="eastAsia" w:ascii="宋体" w:hAnsi="宋体" w:eastAsia="宋体" w:cs="Times New Roman"/>
          <w:szCs w:val="21"/>
        </w:rPr>
        <w:t>若在公示期内未提出质疑，则视为认同该评审结果。</w:t>
      </w:r>
    </w:p>
    <w:bookmarkEnd w:id="96"/>
    <w:p w14:paraId="4540B10E">
      <w:pPr>
        <w:ind w:firstLine="411" w:firstLineChars="196"/>
        <w:rPr>
          <w:rFonts w:hint="eastAsia" w:ascii="宋体" w:hAnsi="宋体" w:eastAsia="宋体" w:cs="Times New Roman"/>
          <w:szCs w:val="21"/>
        </w:rPr>
      </w:pPr>
      <w:r>
        <w:rPr>
          <w:rFonts w:hint="eastAsia" w:ascii="宋体" w:hAnsi="宋体" w:eastAsia="宋体" w:cs="Times New Roman"/>
          <w:szCs w:val="21"/>
        </w:rPr>
        <w:t>40.2质疑、投诉供应商应保证质疑、投诉内容的真实性和可靠性，并承担相应的法律责任。</w:t>
      </w:r>
    </w:p>
    <w:p w14:paraId="7F3114C3">
      <w:pPr>
        <w:rPr>
          <w:rFonts w:hint="eastAsia" w:ascii="黑体" w:hAnsi="宋体" w:eastAsia="黑体" w:cs="Times New Roman"/>
          <w:sz w:val="24"/>
        </w:rPr>
      </w:pPr>
      <w:r>
        <w:rPr>
          <w:rFonts w:hint="eastAsia" w:ascii="黑体" w:hAnsi="宋体" w:eastAsia="黑体" w:cs="Times New Roman"/>
          <w:sz w:val="24"/>
        </w:rPr>
        <w:t>41．中标通知书</w:t>
      </w:r>
    </w:p>
    <w:p w14:paraId="6226B8FD">
      <w:pPr>
        <w:ind w:firstLine="411" w:firstLineChars="196"/>
        <w:rPr>
          <w:rFonts w:hint="eastAsia" w:ascii="宋体" w:hAnsi="宋体" w:eastAsia="宋体" w:cs="Times New Roman"/>
          <w:szCs w:val="21"/>
        </w:rPr>
      </w:pPr>
      <w:r>
        <w:rPr>
          <w:rFonts w:hint="eastAsia" w:ascii="宋体" w:hAnsi="宋体" w:eastAsia="宋体" w:cs="Times New Roman"/>
          <w:szCs w:val="21"/>
        </w:rPr>
        <w:t>41</w:t>
      </w:r>
      <w:r>
        <w:rPr>
          <w:rFonts w:ascii="宋体" w:hAnsi="宋体" w:eastAsia="宋体" w:cs="Times New Roman"/>
          <w:szCs w:val="21"/>
        </w:rPr>
        <w:t>.</w:t>
      </w:r>
      <w:r>
        <w:rPr>
          <w:rFonts w:hint="eastAsia" w:ascii="宋体" w:hAnsi="宋体" w:eastAsia="宋体" w:cs="Times New Roman"/>
          <w:szCs w:val="21"/>
        </w:rPr>
        <w:t>1</w:t>
      </w:r>
      <w:bookmarkStart w:id="97" w:name="_Hlk72438863"/>
      <w:r>
        <w:rPr>
          <w:rFonts w:hint="eastAsia" w:ascii="宋体" w:hAnsi="宋体" w:eastAsia="宋体" w:cs="Times New Roman"/>
          <w:szCs w:val="21"/>
        </w:rPr>
        <w:t>中标公告公布以后无异常的情况下,中标供应商和采购人可自行在</w:t>
      </w:r>
      <w:r>
        <w:rPr>
          <w:rFonts w:hint="eastAsia" w:ascii="宋体" w:hAnsi="宋体" w:eastAsia="宋体" w:cs="Times New Roman"/>
          <w:b/>
          <w:bCs/>
          <w:szCs w:val="21"/>
        </w:rPr>
        <w:t>“深圳市自行采购系统”</w:t>
      </w:r>
      <w:r>
        <w:rPr>
          <w:rFonts w:hint="eastAsia" w:ascii="宋体" w:hAnsi="宋体" w:eastAsia="宋体" w:cs="Times New Roman"/>
          <w:szCs w:val="21"/>
        </w:rPr>
        <w:t>上打印</w:t>
      </w:r>
      <w:r>
        <w:rPr>
          <w:rFonts w:hint="eastAsia" w:ascii="宋体" w:hAnsi="宋体" w:eastAsia="宋体" w:cs="Times New Roman"/>
          <w:b/>
          <w:szCs w:val="21"/>
        </w:rPr>
        <w:t>《数字中标通知书》</w:t>
      </w:r>
      <w:r>
        <w:rPr>
          <w:rFonts w:hint="eastAsia" w:ascii="宋体" w:hAnsi="宋体" w:eastAsia="宋体" w:cs="Times New Roman"/>
          <w:szCs w:val="21"/>
        </w:rPr>
        <w:t>。</w:t>
      </w:r>
      <w:bookmarkEnd w:id="97"/>
    </w:p>
    <w:p w14:paraId="752CB4BB">
      <w:pPr>
        <w:ind w:firstLine="411" w:firstLineChars="196"/>
        <w:rPr>
          <w:rFonts w:hint="eastAsia" w:ascii="宋体" w:hAnsi="宋体" w:eastAsia="宋体" w:cs="Times New Roman"/>
          <w:szCs w:val="21"/>
        </w:rPr>
      </w:pPr>
      <w:r>
        <w:rPr>
          <w:rFonts w:hint="eastAsia" w:ascii="宋体" w:hAnsi="宋体" w:eastAsia="宋体" w:cs="Times New Roman"/>
          <w:szCs w:val="21"/>
        </w:rPr>
        <w:t>41</w:t>
      </w:r>
      <w:r>
        <w:rPr>
          <w:rFonts w:ascii="宋体" w:hAnsi="宋体" w:eastAsia="宋体" w:cs="Times New Roman"/>
          <w:szCs w:val="21"/>
        </w:rPr>
        <w:t>.2</w:t>
      </w:r>
      <w:r>
        <w:rPr>
          <w:rFonts w:hint="eastAsia" w:ascii="宋体" w:hAnsi="宋体" w:eastAsia="宋体" w:cs="Times New Roman"/>
          <w:szCs w:val="21"/>
        </w:rPr>
        <w:t>中标通知书是合同的重要组成部分。</w:t>
      </w:r>
    </w:p>
    <w:p w14:paraId="1A04D22C">
      <w:pPr>
        <w:ind w:firstLine="411" w:firstLineChars="196"/>
        <w:rPr>
          <w:rFonts w:hint="eastAsia" w:ascii="宋体" w:hAnsi="宋体" w:eastAsia="宋体" w:cs="Times New Roman"/>
          <w:szCs w:val="21"/>
        </w:rPr>
      </w:pPr>
      <w:bookmarkStart w:id="98" w:name="_Hlk71407340"/>
      <w:r>
        <w:rPr>
          <w:rFonts w:hint="eastAsia" w:ascii="宋体" w:hAnsi="宋体" w:eastAsia="宋体" w:cs="Times New Roman"/>
          <w:szCs w:val="21"/>
        </w:rPr>
        <w:t>41.3因质疑投诉或其它原因导致项目结果变更或采购终止的，政府集中采购机构有权吊销中标通知书。</w:t>
      </w:r>
    </w:p>
    <w:bookmarkEnd w:id="98"/>
    <w:p w14:paraId="49DC3A82">
      <w:pPr>
        <w:ind w:firstLine="411" w:firstLineChars="196"/>
        <w:rPr>
          <w:rFonts w:hint="eastAsia" w:ascii="宋体" w:hAnsi="宋体" w:eastAsia="宋体" w:cs="Times New Roman"/>
          <w:szCs w:val="21"/>
        </w:rPr>
      </w:pPr>
    </w:p>
    <w:p w14:paraId="34DD12A4">
      <w:pPr>
        <w:keepNext/>
        <w:keepLines/>
        <w:numPr>
          <w:ilvl w:val="0"/>
          <w:numId w:val="11"/>
        </w:numPr>
        <w:adjustRightInd w:val="0"/>
        <w:spacing w:before="120" w:beforeLines="50" w:after="120" w:afterLines="50"/>
        <w:ind w:left="562" w:hanging="562"/>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公开招标失败的后续处理</w:t>
      </w:r>
    </w:p>
    <w:p w14:paraId="229F4274">
      <w:pPr>
        <w:rPr>
          <w:rFonts w:hint="eastAsia" w:ascii="黑体" w:hAnsi="宋体" w:eastAsia="黑体" w:cs="Times New Roman"/>
          <w:sz w:val="24"/>
        </w:rPr>
      </w:pPr>
      <w:r>
        <w:rPr>
          <w:rFonts w:hint="eastAsia" w:ascii="黑体" w:hAnsi="宋体" w:eastAsia="黑体" w:cs="Times New Roman"/>
          <w:sz w:val="24"/>
        </w:rPr>
        <w:t>42．公开招标失败的处理</w:t>
      </w:r>
    </w:p>
    <w:p w14:paraId="267BD76F">
      <w:pPr>
        <w:ind w:firstLine="411" w:firstLineChars="196"/>
        <w:rPr>
          <w:rFonts w:hint="eastAsia" w:ascii="宋体" w:hAnsi="宋体" w:eastAsia="宋体" w:cs="Times New Roman"/>
        </w:rPr>
      </w:pPr>
      <w:r>
        <w:rPr>
          <w:rFonts w:hint="eastAsia" w:ascii="宋体" w:hAnsi="宋体" w:eastAsia="宋体" w:cs="Times New Roman"/>
          <w:szCs w:val="21"/>
        </w:rPr>
        <w:t>42.1本项目公开招标过程中若由于投标截止后</w:t>
      </w:r>
      <w:r>
        <w:rPr>
          <w:rFonts w:hint="eastAsia" w:ascii="宋体" w:hAnsi="宋体" w:eastAsia="宋体" w:cs="Times New Roman"/>
        </w:rPr>
        <w:t>实际递交</w:t>
      </w:r>
      <w:r>
        <w:rPr>
          <w:rFonts w:ascii="宋体" w:hAnsi="宋体" w:eastAsia="宋体" w:cs="Times New Roman"/>
        </w:rPr>
        <w:t>投标</w:t>
      </w:r>
      <w:r>
        <w:rPr>
          <w:rFonts w:hint="eastAsia" w:ascii="宋体" w:hAnsi="宋体" w:eastAsia="宋体" w:cs="Times New Roman"/>
        </w:rPr>
        <w:t>文件的供应商数量不足、经</w:t>
      </w:r>
      <w:r>
        <w:rPr>
          <w:rFonts w:hint="eastAsia" w:ascii="宋体" w:hAnsi="宋体" w:eastAsia="宋体" w:cs="Times New Roman"/>
          <w:szCs w:val="21"/>
        </w:rPr>
        <w:t>评审委员会</w:t>
      </w:r>
      <w:r>
        <w:rPr>
          <w:rFonts w:hint="eastAsia" w:ascii="宋体" w:hAnsi="宋体" w:eastAsia="宋体" w:cs="Times New Roman"/>
        </w:rPr>
        <w:t>评审对招标文件作实质响应的供应商不足等原因造成公开招标失败，可由</w:t>
      </w:r>
      <w:r>
        <w:rPr>
          <w:rFonts w:hint="eastAsia" w:ascii="宋体" w:hAnsi="宋体" w:eastAsia="宋体" w:cs="宋体"/>
        </w:rPr>
        <w:t>政府集中采购机构</w:t>
      </w:r>
      <w:r>
        <w:rPr>
          <w:rFonts w:hint="eastAsia" w:ascii="宋体" w:hAnsi="宋体" w:eastAsia="宋体" w:cs="Times New Roman"/>
        </w:rPr>
        <w:t>重新组织采购。</w:t>
      </w:r>
    </w:p>
    <w:p w14:paraId="14128B9E">
      <w:pPr>
        <w:ind w:firstLine="411" w:firstLineChars="196"/>
        <w:rPr>
          <w:rFonts w:hint="eastAsia" w:ascii="宋体" w:hAnsi="宋体" w:eastAsia="宋体" w:cs="Times New Roman"/>
          <w:szCs w:val="21"/>
        </w:rPr>
      </w:pPr>
      <w:r>
        <w:rPr>
          <w:rFonts w:hint="eastAsia" w:ascii="宋体" w:hAnsi="宋体" w:eastAsia="宋体" w:cs="Times New Roman"/>
          <w:szCs w:val="21"/>
        </w:rPr>
        <w:t>42.2对公开招标失败的项目，评审委员会在出具该项目招标失败结论的同时，可以提出重新采购组织形式的建议，以及进一步完善招标文件的资格、技术、商务要求的修改建议。</w:t>
      </w:r>
    </w:p>
    <w:p w14:paraId="3111D914">
      <w:pPr>
        <w:ind w:firstLine="411" w:firstLineChars="196"/>
        <w:rPr>
          <w:rFonts w:hint="eastAsia" w:ascii="宋体" w:hAnsi="宋体" w:eastAsia="宋体" w:cs="Times New Roman"/>
          <w:szCs w:val="21"/>
        </w:rPr>
      </w:pPr>
      <w:r>
        <w:rPr>
          <w:rFonts w:hint="eastAsia" w:ascii="宋体" w:hAnsi="宋体" w:eastAsia="宋体" w:cs="Times New Roman"/>
          <w:szCs w:val="21"/>
        </w:rPr>
        <w:t>42.3重新组织采购有以下两种组织形式：</w:t>
      </w:r>
    </w:p>
    <w:p w14:paraId="51AEA4F0">
      <w:pPr>
        <w:ind w:firstLine="411" w:firstLineChars="196"/>
        <w:rPr>
          <w:rFonts w:hint="eastAsia" w:ascii="宋体" w:hAnsi="宋体" w:eastAsia="宋体" w:cs="Times New Roman"/>
        </w:rPr>
      </w:pPr>
      <w:r>
        <w:rPr>
          <w:rFonts w:hint="eastAsia" w:ascii="宋体" w:hAnsi="宋体" w:eastAsia="宋体" w:cs="Times New Roman"/>
        </w:rPr>
        <w:t>（1）由政府集中采购机构重新组织公开招标；</w:t>
      </w:r>
    </w:p>
    <w:p w14:paraId="04204F39">
      <w:pPr>
        <w:ind w:firstLine="411" w:firstLineChars="196"/>
        <w:rPr>
          <w:rFonts w:hint="eastAsia" w:ascii="宋体" w:hAnsi="宋体" w:eastAsia="宋体" w:cs="Times New Roman"/>
        </w:rPr>
      </w:pPr>
      <w:r>
        <w:rPr>
          <w:rFonts w:hint="eastAsia" w:ascii="宋体" w:hAnsi="宋体" w:eastAsia="宋体" w:cs="Times New Roman"/>
        </w:rPr>
        <w:t>（2）根据实际情况需要，按</w:t>
      </w:r>
      <w:r>
        <w:rPr>
          <w:rFonts w:hint="eastAsia" w:ascii="宋体" w:hAnsi="宋体" w:eastAsia="宋体" w:cs="Times New Roman"/>
          <w:szCs w:val="21"/>
        </w:rPr>
        <w:t>采购单位内控规定，</w:t>
      </w:r>
      <w:r>
        <w:rPr>
          <w:rFonts w:hint="eastAsia" w:ascii="宋体" w:hAnsi="宋体" w:eastAsia="宋体" w:cs="Times New Roman"/>
        </w:rPr>
        <w:t>提出非公开招标方式申请，公开招标失败采购项目可转为竞争性谈判或单一来源谈判方式采购。</w:t>
      </w:r>
    </w:p>
    <w:p w14:paraId="1785379A">
      <w:pPr>
        <w:ind w:firstLine="411" w:firstLineChars="196"/>
        <w:rPr>
          <w:rFonts w:hint="eastAsia" w:ascii="宋体" w:hAnsi="宋体" w:eastAsia="宋体" w:cs="Times New Roman"/>
        </w:rPr>
      </w:pPr>
      <w:r>
        <w:rPr>
          <w:rFonts w:hint="eastAsia" w:ascii="宋体" w:hAnsi="宋体" w:eastAsia="宋体" w:cs="Times New Roman"/>
        </w:rPr>
        <w:t>42.4公开招标失败的采购项目重新组织公开招标，由政府集中采购机构重新按公开招标流程组织采购活动。</w:t>
      </w:r>
    </w:p>
    <w:p w14:paraId="464DDDDE">
      <w:pPr>
        <w:rPr>
          <w:rFonts w:hint="eastAsia" w:ascii="黑体" w:hAnsi="宋体" w:eastAsia="黑体" w:cs="Times New Roman"/>
          <w:sz w:val="24"/>
        </w:rPr>
      </w:pPr>
    </w:p>
    <w:p w14:paraId="0A071BD1">
      <w:pPr>
        <w:keepNext/>
        <w:keepLines/>
        <w:numPr>
          <w:ilvl w:val="0"/>
          <w:numId w:val="11"/>
        </w:numPr>
        <w:adjustRightInd w:val="0"/>
        <w:spacing w:before="120" w:beforeLines="50" w:after="120" w:afterLines="50"/>
        <w:ind w:left="562" w:hanging="562"/>
        <w:jc w:val="center"/>
        <w:textAlignment w:val="baseline"/>
        <w:outlineLvl w:val="1"/>
        <w:rPr>
          <w:rFonts w:hint="eastAsia" w:ascii="宋体" w:hAnsi="宋体" w:eastAsia="宋体" w:cs="Times New Roman"/>
          <w:b/>
          <w:bCs/>
          <w:kern w:val="0"/>
          <w:sz w:val="28"/>
          <w:szCs w:val="28"/>
        </w:rPr>
      </w:pPr>
      <w:bookmarkStart w:id="99" w:name="_Hlk72439043"/>
      <w:r>
        <w:rPr>
          <w:rFonts w:hint="eastAsia" w:ascii="宋体" w:hAnsi="宋体" w:eastAsia="宋体" w:cs="Times New Roman"/>
          <w:b/>
          <w:bCs/>
          <w:kern w:val="0"/>
          <w:sz w:val="28"/>
          <w:szCs w:val="28"/>
        </w:rPr>
        <w:t>合同的授予与备案</w:t>
      </w:r>
      <w:bookmarkEnd w:id="99"/>
    </w:p>
    <w:p w14:paraId="4BCF52DE">
      <w:pPr>
        <w:rPr>
          <w:rFonts w:hint="eastAsia" w:ascii="黑体" w:hAnsi="宋体" w:eastAsia="黑体" w:cs="Times New Roman"/>
          <w:sz w:val="24"/>
        </w:rPr>
      </w:pPr>
      <w:bookmarkStart w:id="100" w:name="_Toc73521586"/>
      <w:bookmarkStart w:id="101" w:name="_Toc73521674"/>
      <w:bookmarkStart w:id="102" w:name="_Toc73518157"/>
      <w:bookmarkStart w:id="103" w:name="_Toc100052408"/>
      <w:bookmarkStart w:id="104" w:name="_Toc73517679"/>
      <w:bookmarkStart w:id="105" w:name="_Hlk72439088"/>
      <w:r>
        <w:rPr>
          <w:rFonts w:hint="eastAsia" w:ascii="黑体" w:hAnsi="宋体" w:eastAsia="黑体" w:cs="Times New Roman"/>
          <w:sz w:val="24"/>
        </w:rPr>
        <w:t>43．合同授予标准</w:t>
      </w:r>
      <w:bookmarkEnd w:id="100"/>
      <w:bookmarkEnd w:id="101"/>
      <w:bookmarkEnd w:id="102"/>
      <w:bookmarkEnd w:id="103"/>
      <w:bookmarkEnd w:id="104"/>
    </w:p>
    <w:p w14:paraId="20596F93">
      <w:pPr>
        <w:ind w:firstLine="411" w:firstLineChars="196"/>
        <w:rPr>
          <w:rFonts w:hint="eastAsia" w:ascii="宋体" w:hAnsi="宋体" w:eastAsia="宋体" w:cs="Times New Roman"/>
          <w:szCs w:val="21"/>
        </w:rPr>
      </w:pPr>
      <w:r>
        <w:rPr>
          <w:rFonts w:hint="eastAsia" w:ascii="宋体" w:hAnsi="宋体" w:eastAsia="宋体" w:cs="Times New Roman"/>
          <w:szCs w:val="21"/>
        </w:rPr>
        <w:t>本项目的合同将授予经本招标文件规定评审确定的中标供应商。</w:t>
      </w:r>
    </w:p>
    <w:p w14:paraId="2B107E9C">
      <w:pPr>
        <w:rPr>
          <w:rFonts w:hint="eastAsia" w:ascii="黑体" w:hAnsi="宋体" w:eastAsia="黑体" w:cs="Times New Roman"/>
          <w:sz w:val="24"/>
        </w:rPr>
      </w:pPr>
      <w:bookmarkStart w:id="106" w:name="_Toc73517680"/>
      <w:bookmarkStart w:id="107" w:name="_Toc73518158"/>
      <w:bookmarkStart w:id="108" w:name="_Toc100052409"/>
      <w:bookmarkStart w:id="109" w:name="_Toc73521675"/>
      <w:bookmarkStart w:id="110" w:name="_Toc73521587"/>
      <w:r>
        <w:rPr>
          <w:rFonts w:hint="eastAsia" w:ascii="黑体" w:hAnsi="宋体" w:eastAsia="黑体" w:cs="Times New Roman"/>
          <w:sz w:val="24"/>
        </w:rPr>
        <w:t>44．</w:t>
      </w:r>
      <w:bookmarkEnd w:id="106"/>
      <w:bookmarkEnd w:id="107"/>
      <w:bookmarkEnd w:id="108"/>
      <w:bookmarkEnd w:id="109"/>
      <w:bookmarkEnd w:id="110"/>
      <w:r>
        <w:rPr>
          <w:rFonts w:hint="eastAsia" w:ascii="黑体" w:hAnsi="宋体" w:eastAsia="黑体" w:cs="Times New Roman"/>
          <w:sz w:val="24"/>
        </w:rPr>
        <w:t>接受和拒绝任何或所有投标的权力</w:t>
      </w:r>
    </w:p>
    <w:p w14:paraId="18242732">
      <w:pPr>
        <w:ind w:firstLine="411" w:firstLineChars="196"/>
        <w:rPr>
          <w:rFonts w:hint="eastAsia" w:ascii="宋体" w:hAnsi="宋体" w:eastAsia="宋体" w:cs="Times New Roman"/>
          <w:szCs w:val="21"/>
        </w:rPr>
      </w:pPr>
      <w:r>
        <w:rPr>
          <w:rFonts w:hint="eastAsia" w:ascii="宋体" w:hAnsi="宋体" w:eastAsia="宋体" w:cs="Times New Roman"/>
          <w:szCs w:val="21"/>
        </w:rPr>
        <w:t>政府集中采购机构和采购人保留在投标之前任何时候接受或拒绝任何投标或所有投标，以及宣布招标无效的权力，对受影响的投标人不承担任何责任，也无义务向受影响的投标人解释采取这一行动的理由。</w:t>
      </w:r>
    </w:p>
    <w:p w14:paraId="61F05DAB">
      <w:pPr>
        <w:rPr>
          <w:rFonts w:hint="eastAsia" w:ascii="黑体" w:hAnsi="宋体" w:eastAsia="黑体" w:cs="Times New Roman"/>
          <w:sz w:val="24"/>
        </w:rPr>
      </w:pPr>
      <w:bookmarkStart w:id="111" w:name="_Toc100052410"/>
      <w:bookmarkStart w:id="112" w:name="_Toc73521589"/>
      <w:bookmarkStart w:id="113" w:name="_Toc73518160"/>
      <w:bookmarkStart w:id="114" w:name="_Toc73521677"/>
      <w:bookmarkStart w:id="115" w:name="_Toc73517682"/>
      <w:r>
        <w:rPr>
          <w:rFonts w:hint="eastAsia" w:ascii="黑体" w:hAnsi="宋体" w:eastAsia="黑体" w:cs="Times New Roman"/>
          <w:sz w:val="24"/>
        </w:rPr>
        <w:t>45．合同的签订</w:t>
      </w:r>
      <w:bookmarkEnd w:id="111"/>
      <w:bookmarkEnd w:id="112"/>
      <w:bookmarkEnd w:id="113"/>
      <w:bookmarkEnd w:id="114"/>
      <w:bookmarkEnd w:id="115"/>
    </w:p>
    <w:p w14:paraId="52EBFAFC">
      <w:pPr>
        <w:ind w:firstLine="411" w:firstLineChars="196"/>
        <w:rPr>
          <w:rFonts w:hint="eastAsia" w:ascii="宋体" w:hAnsi="宋体" w:eastAsia="宋体" w:cs="Times New Roman"/>
          <w:szCs w:val="21"/>
        </w:rPr>
      </w:pPr>
      <w:r>
        <w:rPr>
          <w:rFonts w:hint="eastAsia" w:ascii="宋体" w:hAnsi="宋体" w:eastAsia="宋体" w:cs="Times New Roman"/>
          <w:szCs w:val="21"/>
        </w:rPr>
        <w:t>45.1中标人将于中标通知书发出之日起按照采购人内控制度要求，按照采购文件（招标文件和投标文件等）内容与采购人签订采购合同；合同的实质性内容应当符合招标文件的规定；</w:t>
      </w:r>
    </w:p>
    <w:p w14:paraId="5F314FD0">
      <w:pPr>
        <w:ind w:firstLine="411" w:firstLineChars="196"/>
        <w:rPr>
          <w:rFonts w:hint="eastAsia" w:ascii="宋体" w:hAnsi="宋体" w:eastAsia="宋体" w:cs="Times New Roman"/>
          <w:szCs w:val="21"/>
        </w:rPr>
      </w:pPr>
      <w:r>
        <w:rPr>
          <w:rFonts w:hint="eastAsia" w:ascii="宋体" w:hAnsi="宋体" w:eastAsia="宋体" w:cs="Times New Roman"/>
          <w:szCs w:val="21"/>
        </w:rPr>
        <w:t>45.2中标人如不按本通用条款第45</w:t>
      </w:r>
      <w:r>
        <w:rPr>
          <w:rFonts w:ascii="宋体" w:hAnsi="宋体" w:eastAsia="宋体" w:cs="Times New Roman"/>
          <w:szCs w:val="21"/>
        </w:rPr>
        <w:t>.1</w:t>
      </w:r>
      <w:r>
        <w:rPr>
          <w:rFonts w:hint="eastAsia" w:ascii="宋体" w:hAnsi="宋体" w:eastAsia="宋体" w:cs="Times New Roman"/>
          <w:szCs w:val="21"/>
        </w:rPr>
        <w:t>款的规定与采购人签订合同，</w:t>
      </w:r>
      <w:r>
        <w:rPr>
          <w:rFonts w:ascii="宋体" w:hAnsi="宋体" w:eastAsia="宋体" w:cs="宋体"/>
          <w:kern w:val="0"/>
          <w:szCs w:val="21"/>
        </w:rPr>
        <w:t>情节严重的，由</w:t>
      </w:r>
      <w:r>
        <w:rPr>
          <w:rFonts w:hint="eastAsia" w:ascii="宋体" w:hAnsi="宋体" w:eastAsia="宋体" w:cs="宋体"/>
          <w:kern w:val="0"/>
          <w:szCs w:val="21"/>
        </w:rPr>
        <w:t>同级财政</w:t>
      </w:r>
      <w:r>
        <w:rPr>
          <w:rFonts w:ascii="宋体" w:hAnsi="宋体" w:eastAsia="宋体" w:cs="宋体"/>
          <w:kern w:val="0"/>
          <w:szCs w:val="21"/>
        </w:rPr>
        <w:t>部门记入供应商诚信档案，予以通报</w:t>
      </w:r>
      <w:r>
        <w:rPr>
          <w:rFonts w:hint="eastAsia" w:ascii="宋体" w:hAnsi="宋体" w:eastAsia="宋体" w:cs="Times New Roman"/>
          <w:szCs w:val="21"/>
        </w:rPr>
        <w:t>；</w:t>
      </w:r>
    </w:p>
    <w:p w14:paraId="198474D2">
      <w:pPr>
        <w:ind w:firstLine="411" w:firstLineChars="196"/>
        <w:rPr>
          <w:rFonts w:hint="eastAsia" w:ascii="宋体" w:hAnsi="宋体" w:eastAsia="宋体" w:cs="Times New Roman"/>
          <w:szCs w:val="21"/>
        </w:rPr>
      </w:pPr>
      <w:r>
        <w:rPr>
          <w:rFonts w:hint="eastAsia" w:ascii="宋体" w:hAnsi="宋体" w:eastAsia="宋体" w:cs="Times New Roman"/>
          <w:szCs w:val="21"/>
        </w:rPr>
        <w:t>45.3中标人应当按照合同约定履行义务，完成中标项目，不得将中标项目转让（转包）给他人。</w:t>
      </w:r>
    </w:p>
    <w:p w14:paraId="146B75F2">
      <w:pPr>
        <w:rPr>
          <w:rFonts w:hint="eastAsia" w:ascii="黑体" w:hAnsi="宋体" w:eastAsia="黑体" w:cs="Times New Roman"/>
          <w:sz w:val="24"/>
        </w:rPr>
      </w:pPr>
      <w:bookmarkStart w:id="116" w:name="_Toc73521678"/>
      <w:bookmarkStart w:id="117" w:name="_Toc73517683"/>
      <w:bookmarkStart w:id="118" w:name="_Toc100052411"/>
      <w:bookmarkStart w:id="119" w:name="_Toc73521590"/>
      <w:bookmarkStart w:id="120" w:name="_Toc73518161"/>
      <w:r>
        <w:rPr>
          <w:rFonts w:hint="eastAsia" w:ascii="黑体" w:hAnsi="宋体" w:eastAsia="黑体" w:cs="Times New Roman"/>
          <w:sz w:val="24"/>
        </w:rPr>
        <w:t>46．履约担保</w:t>
      </w:r>
      <w:bookmarkEnd w:id="116"/>
      <w:bookmarkEnd w:id="117"/>
      <w:bookmarkEnd w:id="118"/>
      <w:bookmarkEnd w:id="119"/>
      <w:bookmarkEnd w:id="120"/>
    </w:p>
    <w:p w14:paraId="2EAA6C21">
      <w:pPr>
        <w:ind w:firstLine="411" w:firstLineChars="196"/>
        <w:rPr>
          <w:rFonts w:hint="eastAsia" w:ascii="宋体" w:hAnsi="宋体" w:eastAsia="宋体" w:cs="Times New Roman"/>
          <w:szCs w:val="21"/>
        </w:rPr>
      </w:pPr>
      <w:r>
        <w:rPr>
          <w:rFonts w:hint="eastAsia" w:ascii="宋体" w:hAnsi="宋体" w:eastAsia="宋体" w:cs="Times New Roman"/>
          <w:szCs w:val="21"/>
        </w:rPr>
        <w:t>46.1在签订项目合同的同时，中标人应按“对通用条款的补充内容”中规定的金额向采购人提交履约担保；</w:t>
      </w:r>
    </w:p>
    <w:p w14:paraId="23C39483">
      <w:pPr>
        <w:ind w:firstLine="411" w:firstLineChars="196"/>
        <w:rPr>
          <w:rFonts w:hint="eastAsia" w:ascii="宋体" w:hAnsi="宋体" w:eastAsia="宋体" w:cs="Times New Roman"/>
          <w:szCs w:val="21"/>
        </w:rPr>
      </w:pPr>
      <w:r>
        <w:rPr>
          <w:rFonts w:hint="eastAsia" w:ascii="宋体" w:hAnsi="宋体" w:eastAsia="宋体" w:cs="Times New Roman"/>
          <w:szCs w:val="21"/>
        </w:rPr>
        <w:t>46.2，允许供应商自主选择以支票、汇票、本票、保函等非现金方式提交履约担保；</w:t>
      </w:r>
      <w:r>
        <w:rPr>
          <w:rFonts w:ascii="Times New Roman" w:hAnsi="Times New Roman" w:eastAsia="宋体" w:cs="Times New Roman"/>
        </w:rPr>
        <w:t>中标</w:t>
      </w:r>
      <w:r>
        <w:rPr>
          <w:rFonts w:hint="eastAsia" w:ascii="Times New Roman" w:hAnsi="Times New Roman" w:eastAsia="宋体" w:cs="Times New Roman"/>
        </w:rPr>
        <w:t>人</w:t>
      </w:r>
      <w:r>
        <w:rPr>
          <w:rFonts w:ascii="Times New Roman" w:hAnsi="Times New Roman" w:eastAsia="宋体" w:cs="Times New Roman"/>
        </w:rPr>
        <w:t>提交履约</w:t>
      </w:r>
      <w:r>
        <w:rPr>
          <w:rFonts w:hint="eastAsia" w:ascii="Times New Roman" w:hAnsi="Times New Roman" w:eastAsia="宋体" w:cs="Times New Roman"/>
        </w:rPr>
        <w:t>担保不是</w:t>
      </w:r>
      <w:r>
        <w:rPr>
          <w:rFonts w:ascii="Times New Roman" w:hAnsi="Times New Roman" w:eastAsia="宋体" w:cs="Times New Roman"/>
        </w:rPr>
        <w:t>合同签订的</w:t>
      </w:r>
      <w:r>
        <w:rPr>
          <w:rFonts w:hint="eastAsia" w:ascii="Times New Roman" w:hAnsi="Times New Roman" w:eastAsia="宋体" w:cs="Times New Roman"/>
        </w:rPr>
        <w:t>前提</w:t>
      </w:r>
      <w:r>
        <w:rPr>
          <w:rFonts w:ascii="Times New Roman" w:hAnsi="Times New Roman" w:eastAsia="宋体" w:cs="Times New Roman"/>
        </w:rPr>
        <w:t>条件，不要求中标</w:t>
      </w:r>
      <w:r>
        <w:rPr>
          <w:rFonts w:hint="eastAsia" w:ascii="Times New Roman" w:hAnsi="Times New Roman" w:eastAsia="宋体" w:cs="Times New Roman"/>
        </w:rPr>
        <w:t>人</w:t>
      </w:r>
      <w:r>
        <w:rPr>
          <w:rFonts w:ascii="Times New Roman" w:hAnsi="Times New Roman" w:eastAsia="宋体" w:cs="Times New Roman"/>
        </w:rPr>
        <w:t>提供除法律、法规明确规定外的其他担保</w:t>
      </w:r>
      <w:r>
        <w:rPr>
          <w:rFonts w:hint="eastAsia" w:ascii="Times New Roman" w:hAnsi="Times New Roman" w:eastAsia="宋体" w:cs="Times New Roman"/>
        </w:rPr>
        <w:t>。</w:t>
      </w:r>
    </w:p>
    <w:p w14:paraId="35E9E6C1">
      <w:pPr>
        <w:rPr>
          <w:rFonts w:hint="eastAsia" w:ascii="黑体" w:hAnsi="宋体" w:eastAsia="黑体" w:cs="Times New Roman"/>
          <w:sz w:val="24"/>
        </w:rPr>
      </w:pPr>
      <w:r>
        <w:rPr>
          <w:rFonts w:hint="eastAsia" w:ascii="黑体" w:hAnsi="宋体" w:eastAsia="黑体" w:cs="Times New Roman"/>
          <w:sz w:val="24"/>
        </w:rPr>
        <w:t>47. 合同备案</w:t>
      </w:r>
    </w:p>
    <w:p w14:paraId="080EB6E2">
      <w:pPr>
        <w:ind w:firstLine="420" w:firstLineChars="200"/>
        <w:rPr>
          <w:rFonts w:hint="eastAsia" w:ascii="宋体" w:hAnsi="宋体" w:eastAsia="宋体" w:cs="Times New Roman"/>
          <w:szCs w:val="21"/>
        </w:rPr>
      </w:pPr>
      <w:r>
        <w:rPr>
          <w:rFonts w:hint="eastAsia" w:ascii="宋体" w:hAnsi="宋体" w:eastAsia="宋体" w:cs="Times New Roman"/>
          <w:szCs w:val="21"/>
        </w:rPr>
        <w:t>按采购单位内控规定备案。</w:t>
      </w:r>
    </w:p>
    <w:p w14:paraId="43D0E860">
      <w:pPr>
        <w:rPr>
          <w:rFonts w:hint="eastAsia" w:ascii="黑体" w:hAnsi="宋体" w:eastAsia="黑体" w:cs="Times New Roman"/>
          <w:sz w:val="24"/>
        </w:rPr>
      </w:pPr>
      <w:r>
        <w:rPr>
          <w:rFonts w:hint="eastAsia" w:ascii="黑体" w:hAnsi="宋体" w:eastAsia="黑体" w:cs="Times New Roman"/>
          <w:sz w:val="24"/>
        </w:rPr>
        <w:t>48. 合同变更</w:t>
      </w:r>
    </w:p>
    <w:p w14:paraId="05BBA186">
      <w:pPr>
        <w:ind w:firstLine="420" w:firstLineChars="200"/>
        <w:rPr>
          <w:rFonts w:hint="eastAsia" w:ascii="黑体" w:hAnsi="宋体" w:eastAsia="黑体" w:cs="Times New Roman"/>
          <w:sz w:val="24"/>
        </w:rPr>
      </w:pPr>
      <w:r>
        <w:rPr>
          <w:rFonts w:hint="eastAsia" w:ascii="宋体" w:hAnsi="宋体" w:eastAsia="宋体" w:cs="Times New Roman"/>
          <w:szCs w:val="21"/>
        </w:rPr>
        <w:t>合同变更事宜按采购单位内控规定执行。</w:t>
      </w:r>
    </w:p>
    <w:p w14:paraId="4E877933">
      <w:pPr>
        <w:rPr>
          <w:rFonts w:hint="eastAsia" w:ascii="黑体" w:hAnsi="宋体" w:eastAsia="黑体" w:cs="Times New Roman"/>
          <w:sz w:val="24"/>
        </w:rPr>
      </w:pPr>
      <w:r>
        <w:rPr>
          <w:rFonts w:hint="eastAsia" w:ascii="黑体" w:hAnsi="宋体" w:eastAsia="黑体" w:cs="Times New Roman"/>
          <w:sz w:val="24"/>
        </w:rPr>
        <w:t>49. 项目验收</w:t>
      </w:r>
    </w:p>
    <w:p w14:paraId="25E3ADAC">
      <w:pPr>
        <w:widowControl/>
        <w:ind w:right="176" w:firstLine="420"/>
        <w:jc w:val="left"/>
        <w:rPr>
          <w:rFonts w:hint="eastAsia" w:ascii="宋体" w:hAnsi="宋体" w:eastAsia="宋体" w:cs="Times New Roman"/>
        </w:rPr>
      </w:pPr>
      <w:r>
        <w:rPr>
          <w:rFonts w:hint="eastAsia" w:ascii="宋体" w:hAnsi="宋体" w:eastAsia="宋体" w:cs="Times New Roman"/>
        </w:rPr>
        <w:t>49.1采购人应当按照招标文件和合同规定的标准和方法，及时组织验收。</w:t>
      </w:r>
      <w:r>
        <w:rPr>
          <w:rFonts w:ascii="宋体" w:hAnsi="宋体" w:eastAsia="宋体" w:cs="Times New Roman"/>
        </w:rPr>
        <w:t xml:space="preserve"> </w:t>
      </w:r>
    </w:p>
    <w:p w14:paraId="6DEC353C">
      <w:pPr>
        <w:rPr>
          <w:rFonts w:hint="eastAsia" w:ascii="黑体" w:hAnsi="宋体" w:eastAsia="黑体" w:cs="Times New Roman"/>
          <w:sz w:val="24"/>
        </w:rPr>
      </w:pPr>
      <w:r>
        <w:rPr>
          <w:rFonts w:hint="eastAsia" w:ascii="黑体" w:hAnsi="宋体" w:eastAsia="黑体" w:cs="Times New Roman"/>
          <w:sz w:val="24"/>
        </w:rPr>
        <w:t>50. 宣传</w:t>
      </w:r>
    </w:p>
    <w:p w14:paraId="2E0FBA8C">
      <w:pPr>
        <w:ind w:left="210" w:leftChars="100" w:firstLine="411" w:firstLineChars="196"/>
        <w:rPr>
          <w:rFonts w:hint="eastAsia" w:ascii="宋体" w:hAnsi="宋体" w:eastAsia="宋体" w:cs="Times New Roman"/>
        </w:rPr>
      </w:pPr>
      <w:r>
        <w:rPr>
          <w:rFonts w:hint="eastAsia" w:ascii="宋体" w:hAnsi="宋体" w:eastAsia="宋体" w:cs="Times New Roman"/>
        </w:rPr>
        <w:t>凡与采购活动有关的宣传或广告，若当中提及采购，</w:t>
      </w:r>
      <w:r>
        <w:rPr>
          <w:rFonts w:ascii="宋体" w:hAnsi="宋体" w:eastAsia="宋体" w:cs="Times New Roman"/>
        </w:rPr>
        <w:t>必须事先将具体对外宣传方案报</w:t>
      </w:r>
      <w:r>
        <w:rPr>
          <w:rFonts w:hint="eastAsia" w:ascii="宋体" w:hAnsi="宋体" w:eastAsia="宋体" w:cs="Times New Roman"/>
        </w:rPr>
        <w:t>同级财政部门</w:t>
      </w:r>
      <w:r>
        <w:rPr>
          <w:rFonts w:ascii="宋体" w:hAnsi="宋体" w:eastAsia="宋体" w:cs="Times New Roman"/>
        </w:rPr>
        <w:t>和</w:t>
      </w:r>
      <w:r>
        <w:rPr>
          <w:rFonts w:hint="eastAsia" w:ascii="宋体" w:hAnsi="宋体" w:eastAsia="宋体" w:cs="Times New Roman"/>
        </w:rPr>
        <w:t>政府集中采购机构</w:t>
      </w:r>
      <w:r>
        <w:rPr>
          <w:rFonts w:ascii="宋体" w:hAnsi="宋体" w:eastAsia="宋体" w:cs="Times New Roman"/>
        </w:rPr>
        <w:t>，并征得其同意。对外市场宣传包括但不限于以下形式：</w:t>
      </w:r>
    </w:p>
    <w:p w14:paraId="1D34C291">
      <w:pPr>
        <w:ind w:left="210" w:leftChars="100" w:firstLine="411" w:firstLineChars="196"/>
        <w:rPr>
          <w:rFonts w:hint="eastAsia" w:ascii="宋体" w:hAnsi="宋体" w:eastAsia="宋体" w:cs="Times New Roman"/>
        </w:rPr>
      </w:pPr>
      <w:r>
        <w:rPr>
          <w:rFonts w:ascii="宋体" w:hAnsi="宋体" w:eastAsia="宋体" w:cs="Times New Roman"/>
        </w:rPr>
        <w:t>a.名片、宣传册、广告标语等；</w:t>
      </w:r>
    </w:p>
    <w:p w14:paraId="09B88954">
      <w:pPr>
        <w:ind w:left="210" w:leftChars="100" w:firstLine="411" w:firstLineChars="196"/>
        <w:rPr>
          <w:rFonts w:hint="eastAsia" w:ascii="宋体" w:hAnsi="宋体" w:eastAsia="宋体" w:cs="Times New Roman"/>
        </w:rPr>
      </w:pPr>
      <w:r>
        <w:rPr>
          <w:rFonts w:ascii="宋体" w:hAnsi="宋体" w:eastAsia="宋体" w:cs="Times New Roman"/>
        </w:rPr>
        <w:t>b.案例介绍、推广等；</w:t>
      </w:r>
    </w:p>
    <w:p w14:paraId="46F404D3">
      <w:pPr>
        <w:ind w:left="210" w:leftChars="100" w:firstLine="411" w:firstLineChars="196"/>
        <w:rPr>
          <w:rFonts w:hint="eastAsia" w:ascii="宋体" w:hAnsi="宋体" w:eastAsia="宋体" w:cs="Times New Roman"/>
        </w:rPr>
      </w:pPr>
      <w:r>
        <w:rPr>
          <w:rFonts w:hint="eastAsia" w:ascii="宋体" w:hAnsi="宋体" w:eastAsia="宋体" w:cs="Times New Roman"/>
        </w:rPr>
        <w:t>c.工作</w:t>
      </w:r>
      <w:r>
        <w:rPr>
          <w:rFonts w:ascii="宋体" w:hAnsi="宋体" w:eastAsia="宋体" w:cs="Times New Roman"/>
        </w:rPr>
        <w:t>人员向其他消费群体宣传。</w:t>
      </w:r>
    </w:p>
    <w:p w14:paraId="2CF8F46B">
      <w:pPr>
        <w:rPr>
          <w:rFonts w:hint="eastAsia" w:ascii="黑体" w:hAnsi="宋体" w:eastAsia="黑体" w:cs="Times New Roman"/>
          <w:sz w:val="24"/>
        </w:rPr>
      </w:pPr>
      <w:r>
        <w:rPr>
          <w:rFonts w:hint="eastAsia" w:ascii="黑体" w:hAnsi="宋体" w:eastAsia="黑体" w:cs="Times New Roman"/>
          <w:sz w:val="24"/>
        </w:rPr>
        <w:t>51. 供应商违法责任</w:t>
      </w:r>
    </w:p>
    <w:p w14:paraId="3F7ECF85">
      <w:pPr>
        <w:ind w:firstLine="411" w:firstLineChars="196"/>
        <w:rPr>
          <w:rFonts w:hint="eastAsia" w:ascii="宋体" w:hAnsi="宋体" w:eastAsia="宋体" w:cs="Times New Roman"/>
          <w:szCs w:val="21"/>
        </w:rPr>
      </w:pPr>
      <w:r>
        <w:rPr>
          <w:rFonts w:hint="eastAsia" w:ascii="宋体" w:hAnsi="宋体" w:eastAsia="宋体" w:cs="Times New Roman"/>
          <w:szCs w:val="21"/>
        </w:rPr>
        <w:t>5</w:t>
      </w:r>
      <w:r>
        <w:rPr>
          <w:rFonts w:ascii="宋体" w:hAnsi="宋体" w:eastAsia="宋体" w:cs="Times New Roman"/>
          <w:szCs w:val="21"/>
        </w:rPr>
        <w:t>1.1</w:t>
      </w:r>
      <w:r>
        <w:rPr>
          <w:rFonts w:hint="eastAsia" w:ascii="宋体" w:hAnsi="宋体" w:eastAsia="宋体" w:cs="Times New Roman"/>
          <w:szCs w:val="21"/>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4D406665">
      <w:pPr>
        <w:ind w:firstLine="411" w:firstLineChars="196"/>
        <w:rPr>
          <w:rFonts w:hint="eastAsia" w:ascii="宋体" w:hAnsi="宋体" w:eastAsia="宋体" w:cs="Times New Roman"/>
          <w:szCs w:val="21"/>
        </w:rPr>
      </w:pPr>
      <w:r>
        <w:rPr>
          <w:rFonts w:hint="eastAsia" w:ascii="宋体" w:hAnsi="宋体" w:eastAsia="宋体" w:cs="Times New Roman"/>
          <w:szCs w:val="21"/>
        </w:rPr>
        <w:t>（1）在采购活动中应当回避而未回避的；</w:t>
      </w:r>
    </w:p>
    <w:p w14:paraId="48FEEE78">
      <w:pPr>
        <w:ind w:firstLine="411" w:firstLineChars="196"/>
        <w:rPr>
          <w:rFonts w:hint="eastAsia" w:ascii="宋体" w:hAnsi="宋体" w:eastAsia="宋体" w:cs="Times New Roman"/>
          <w:szCs w:val="21"/>
        </w:rPr>
      </w:pPr>
      <w:r>
        <w:rPr>
          <w:rFonts w:hint="eastAsia" w:ascii="宋体" w:hAnsi="宋体" w:eastAsia="宋体" w:cs="Times New Roman"/>
          <w:szCs w:val="21"/>
        </w:rPr>
        <w:t>（2）未按本条例规定签订、履行采购合同，造成严重后果的；</w:t>
      </w:r>
    </w:p>
    <w:p w14:paraId="395828F7">
      <w:pPr>
        <w:ind w:firstLine="411" w:firstLineChars="196"/>
        <w:rPr>
          <w:rFonts w:hint="eastAsia" w:ascii="宋体" w:hAnsi="宋体" w:eastAsia="宋体" w:cs="Times New Roman"/>
          <w:szCs w:val="21"/>
        </w:rPr>
      </w:pPr>
      <w:r>
        <w:rPr>
          <w:rFonts w:hint="eastAsia" w:ascii="宋体" w:hAnsi="宋体" w:eastAsia="宋体" w:cs="Times New Roman"/>
          <w:szCs w:val="21"/>
        </w:rPr>
        <w:t>（3）隐瞒真实情况，提供虚假资料的；</w:t>
      </w:r>
    </w:p>
    <w:p w14:paraId="02664BA5">
      <w:pPr>
        <w:ind w:firstLine="411" w:firstLineChars="196"/>
        <w:rPr>
          <w:rFonts w:hint="eastAsia" w:ascii="宋体" w:hAnsi="宋体" w:eastAsia="宋体" w:cs="Times New Roman"/>
          <w:szCs w:val="21"/>
        </w:rPr>
      </w:pPr>
      <w:r>
        <w:rPr>
          <w:rFonts w:hint="eastAsia" w:ascii="宋体" w:hAnsi="宋体" w:eastAsia="宋体" w:cs="Times New Roman"/>
          <w:szCs w:val="21"/>
        </w:rPr>
        <w:t>（4）以非法手段排斥其他供应商参与竞争的；</w:t>
      </w:r>
    </w:p>
    <w:p w14:paraId="1E662ADD">
      <w:pPr>
        <w:ind w:firstLine="411" w:firstLineChars="196"/>
        <w:rPr>
          <w:rFonts w:hint="eastAsia" w:ascii="宋体" w:hAnsi="宋体" w:eastAsia="宋体" w:cs="Times New Roman"/>
          <w:szCs w:val="21"/>
        </w:rPr>
      </w:pPr>
      <w:r>
        <w:rPr>
          <w:rFonts w:hint="eastAsia" w:ascii="宋体" w:hAnsi="宋体" w:eastAsia="宋体" w:cs="Times New Roman"/>
          <w:szCs w:val="21"/>
        </w:rPr>
        <w:t>（5）与其他采购参加人串通投标的；</w:t>
      </w:r>
    </w:p>
    <w:p w14:paraId="370FEAA8">
      <w:pPr>
        <w:ind w:firstLine="411" w:firstLineChars="196"/>
        <w:rPr>
          <w:rFonts w:hint="eastAsia" w:ascii="宋体" w:hAnsi="宋体" w:eastAsia="宋体" w:cs="Times New Roman"/>
          <w:szCs w:val="21"/>
        </w:rPr>
      </w:pPr>
      <w:r>
        <w:rPr>
          <w:rFonts w:hint="eastAsia" w:ascii="宋体" w:hAnsi="宋体" w:eastAsia="宋体" w:cs="Times New Roman"/>
          <w:szCs w:val="21"/>
        </w:rPr>
        <w:t>（6）恶意投诉的；</w:t>
      </w:r>
    </w:p>
    <w:p w14:paraId="5B8AFC7A">
      <w:pPr>
        <w:ind w:firstLine="411" w:firstLineChars="196"/>
        <w:rPr>
          <w:rFonts w:hint="eastAsia" w:ascii="宋体" w:hAnsi="宋体" w:eastAsia="宋体" w:cs="Times New Roman"/>
          <w:szCs w:val="21"/>
        </w:rPr>
      </w:pPr>
      <w:r>
        <w:rPr>
          <w:rFonts w:hint="eastAsia" w:ascii="宋体" w:hAnsi="宋体" w:eastAsia="宋体" w:cs="Times New Roman"/>
          <w:szCs w:val="21"/>
        </w:rPr>
        <w:t>（7）向采购项目相关人行贿或者提供其他不当利益的；</w:t>
      </w:r>
    </w:p>
    <w:p w14:paraId="1A4AD905">
      <w:pPr>
        <w:ind w:firstLine="411" w:firstLineChars="196"/>
        <w:rPr>
          <w:rFonts w:hint="eastAsia" w:ascii="宋体" w:hAnsi="宋体" w:eastAsia="宋体" w:cs="Times New Roman"/>
          <w:szCs w:val="21"/>
        </w:rPr>
      </w:pPr>
      <w:r>
        <w:rPr>
          <w:rFonts w:hint="eastAsia" w:ascii="宋体" w:hAnsi="宋体" w:eastAsia="宋体" w:cs="Times New Roman"/>
          <w:szCs w:val="21"/>
        </w:rPr>
        <w:t>（8）阻碍、抗拒主管部门监督检查的；</w:t>
      </w:r>
    </w:p>
    <w:p w14:paraId="1AF0756E">
      <w:pPr>
        <w:ind w:firstLine="411" w:firstLineChars="196"/>
        <w:rPr>
          <w:rFonts w:hint="eastAsia" w:ascii="宋体" w:hAnsi="宋体" w:eastAsia="宋体" w:cs="Times New Roman"/>
          <w:szCs w:val="21"/>
        </w:rPr>
      </w:pPr>
      <w:r>
        <w:rPr>
          <w:rFonts w:hint="eastAsia" w:ascii="宋体" w:hAnsi="宋体" w:eastAsia="宋体" w:cs="Times New Roman"/>
          <w:szCs w:val="21"/>
        </w:rPr>
        <w:t>（9）其他违反本条例规定的行为。</w:t>
      </w:r>
    </w:p>
    <w:p w14:paraId="6C04DC16">
      <w:pPr>
        <w:ind w:firstLine="411" w:firstLineChars="196"/>
        <w:rPr>
          <w:rFonts w:hint="eastAsia" w:ascii="宋体" w:hAnsi="宋体" w:eastAsia="宋体" w:cs="Times New Roman"/>
          <w:szCs w:val="21"/>
        </w:rPr>
      </w:pPr>
      <w:r>
        <w:rPr>
          <w:rFonts w:hint="eastAsia" w:ascii="宋体" w:hAnsi="宋体" w:eastAsia="宋体" w:cs="Times New Roman"/>
          <w:szCs w:val="21"/>
        </w:rPr>
        <w:t>5</w:t>
      </w:r>
      <w:r>
        <w:rPr>
          <w:rFonts w:ascii="宋体" w:hAnsi="宋体" w:eastAsia="宋体" w:cs="Times New Roman"/>
          <w:szCs w:val="21"/>
        </w:rPr>
        <w:t xml:space="preserve">1.2 </w:t>
      </w:r>
      <w:r>
        <w:rPr>
          <w:rFonts w:hint="eastAsia" w:ascii="宋体" w:hAnsi="宋体" w:eastAsia="宋体" w:cs="Times New Roman"/>
          <w:szCs w:val="21"/>
        </w:rPr>
        <w:t>参照《深圳市财政局关于调整政府采购投标（响应）保证金管理政策的通知 》（深财购〔2021〕51 号）的要求，供应商在采购活动中出现《深圳经济特区政府采购条例实施细则》第八十条所列情形的，</w:t>
      </w:r>
      <w:bookmarkStart w:id="121" w:name="_Hlk72440769"/>
      <w:r>
        <w:rPr>
          <w:rFonts w:hint="eastAsia" w:ascii="宋体" w:hAnsi="宋体" w:eastAsia="宋体" w:cs="Times New Roman"/>
          <w:szCs w:val="21"/>
        </w:rPr>
        <w:t>政府集中采购机构或采购人不予退还其交纳的谈判保证金，情节严重的，并由主管部门</w:t>
      </w:r>
      <w:bookmarkEnd w:id="121"/>
      <w:r>
        <w:rPr>
          <w:rFonts w:hint="eastAsia" w:ascii="宋体" w:hAnsi="宋体" w:eastAsia="宋体" w:cs="Times New Roman"/>
          <w:szCs w:val="21"/>
        </w:rPr>
        <w:t>记入供应商诚信档案，予以通报：</w:t>
      </w:r>
    </w:p>
    <w:p w14:paraId="1BF6D484">
      <w:pPr>
        <w:ind w:firstLine="411" w:firstLineChars="196"/>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）投标截止后，撤销投标的；</w:t>
      </w:r>
    </w:p>
    <w:p w14:paraId="428FC5A1">
      <w:pPr>
        <w:ind w:firstLine="411" w:firstLineChars="196"/>
        <w:rPr>
          <w:rFonts w:hint="eastAsia" w:ascii="宋体" w:hAnsi="宋体" w:eastAsia="宋体" w:cs="Times New Roman"/>
          <w:szCs w:val="21"/>
        </w:rPr>
      </w:pPr>
      <w:r>
        <w:rPr>
          <w:rFonts w:ascii="宋体" w:hAnsi="宋体" w:eastAsia="宋体" w:cs="Times New Roman"/>
          <w:szCs w:val="21"/>
        </w:rPr>
        <w:t>（</w:t>
      </w:r>
      <w:r>
        <w:rPr>
          <w:rFonts w:hint="eastAsia" w:ascii="宋体" w:hAnsi="宋体" w:eastAsia="宋体" w:cs="Times New Roman"/>
          <w:szCs w:val="21"/>
        </w:rPr>
        <w:t>2</w:t>
      </w:r>
      <w:r>
        <w:rPr>
          <w:rFonts w:ascii="宋体" w:hAnsi="宋体" w:eastAsia="宋体" w:cs="Times New Roman"/>
          <w:szCs w:val="21"/>
        </w:rPr>
        <w:t>）中标后无正当理由未在规定期限内签订合同的；</w:t>
      </w:r>
    </w:p>
    <w:p w14:paraId="0AA57C8C">
      <w:pPr>
        <w:ind w:firstLine="411" w:firstLineChars="196"/>
        <w:rPr>
          <w:rFonts w:hint="eastAsia" w:ascii="宋体" w:hAnsi="宋体" w:eastAsia="宋体" w:cs="Times New Roman"/>
          <w:szCs w:val="21"/>
        </w:rPr>
      </w:pPr>
      <w:r>
        <w:rPr>
          <w:rFonts w:ascii="宋体" w:hAnsi="宋体" w:eastAsia="宋体" w:cs="Times New Roman"/>
          <w:szCs w:val="21"/>
        </w:rPr>
        <w:t>（</w:t>
      </w:r>
      <w:r>
        <w:rPr>
          <w:rFonts w:hint="eastAsia" w:ascii="宋体" w:hAnsi="宋体" w:eastAsia="宋体" w:cs="Times New Roman"/>
          <w:szCs w:val="21"/>
        </w:rPr>
        <w:t>3</w:t>
      </w:r>
      <w:r>
        <w:rPr>
          <w:rFonts w:ascii="宋体" w:hAnsi="宋体" w:eastAsia="宋体" w:cs="Times New Roman"/>
          <w:szCs w:val="21"/>
        </w:rPr>
        <w:t>）将中标项目转让给他人、或者在投标文件中未说明且未经采购人、采购招标机构同意，将中标项目分包给他人的；</w:t>
      </w:r>
    </w:p>
    <w:p w14:paraId="5D1BE5AE">
      <w:pPr>
        <w:ind w:firstLine="411" w:firstLineChars="196"/>
        <w:rPr>
          <w:rFonts w:hint="eastAsia" w:ascii="宋体" w:hAnsi="宋体" w:eastAsia="宋体" w:cs="Times New Roman"/>
          <w:szCs w:val="21"/>
        </w:rPr>
      </w:pPr>
      <w:r>
        <w:rPr>
          <w:rFonts w:ascii="宋体" w:hAnsi="宋体" w:eastAsia="宋体" w:cs="Times New Roman"/>
          <w:szCs w:val="21"/>
        </w:rPr>
        <w:t>（</w:t>
      </w:r>
      <w:r>
        <w:rPr>
          <w:rFonts w:hint="eastAsia" w:ascii="宋体" w:hAnsi="宋体" w:eastAsia="宋体" w:cs="Times New Roman"/>
          <w:szCs w:val="21"/>
        </w:rPr>
        <w:t>4</w:t>
      </w:r>
      <w:r>
        <w:rPr>
          <w:rFonts w:ascii="宋体" w:hAnsi="宋体" w:eastAsia="宋体" w:cs="Times New Roman"/>
          <w:szCs w:val="21"/>
        </w:rPr>
        <w:t>）拒绝履行合同义务的</w:t>
      </w:r>
      <w:r>
        <w:rPr>
          <w:rFonts w:hint="eastAsia" w:ascii="宋体" w:hAnsi="宋体" w:eastAsia="宋体" w:cs="Times New Roman"/>
          <w:szCs w:val="21"/>
        </w:rPr>
        <w:t>。</w:t>
      </w:r>
    </w:p>
    <w:bookmarkEnd w:id="105"/>
    <w:p w14:paraId="0BC02140">
      <w:pPr>
        <w:keepNext/>
        <w:keepLines/>
        <w:numPr>
          <w:ilvl w:val="0"/>
          <w:numId w:val="11"/>
        </w:numPr>
        <w:adjustRightInd w:val="0"/>
        <w:spacing w:before="120" w:beforeLines="50" w:after="120" w:afterLines="50"/>
        <w:ind w:left="562" w:hanging="562"/>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质疑处理</w:t>
      </w:r>
    </w:p>
    <w:p w14:paraId="79B509CA">
      <w:pPr>
        <w:rPr>
          <w:rFonts w:hint="eastAsia" w:ascii="黑体" w:hAnsi="宋体" w:eastAsia="黑体" w:cs="Times New Roman"/>
          <w:sz w:val="24"/>
        </w:rPr>
      </w:pPr>
      <w:r>
        <w:rPr>
          <w:rFonts w:hint="eastAsia" w:ascii="黑体" w:hAnsi="宋体" w:eastAsia="黑体" w:cs="Times New Roman"/>
          <w:sz w:val="24"/>
        </w:rPr>
        <w:t>52.质疑提出与答复</w:t>
      </w:r>
    </w:p>
    <w:p w14:paraId="5A9C5CCA">
      <w:pPr>
        <w:rPr>
          <w:rFonts w:hint="eastAsia" w:ascii="宋体" w:hAnsi="宋体" w:eastAsia="宋体" w:cs="Times New Roman"/>
          <w:szCs w:val="21"/>
        </w:rPr>
      </w:pPr>
      <w:r>
        <w:rPr>
          <w:rFonts w:hint="eastAsia" w:ascii="宋体" w:hAnsi="宋体" w:eastAsia="宋体" w:cs="Times New Roman"/>
          <w:szCs w:val="21"/>
        </w:rPr>
        <w:t xml:space="preserve">    52.1提出质疑</w:t>
      </w:r>
    </w:p>
    <w:p w14:paraId="366735E7">
      <w:pPr>
        <w:rPr>
          <w:rFonts w:hint="eastAsia" w:ascii="宋体" w:hAnsi="宋体" w:eastAsia="宋体" w:cs="Times New Roman"/>
          <w:szCs w:val="21"/>
        </w:rPr>
      </w:pPr>
      <w:r>
        <w:rPr>
          <w:rFonts w:hint="eastAsia" w:ascii="宋体" w:hAnsi="宋体" w:eastAsia="宋体" w:cs="Times New Roman"/>
          <w:szCs w:val="21"/>
        </w:rPr>
        <w:t xml:space="preserve">    参与采购活动的供应商认为自己的权益在采购活动中受到损害的，应当自知道或者应当知道其权益受到损害之日起七个工作日内向采购人、政府集中采购机构以书面形式提出质疑。</w:t>
      </w:r>
    </w:p>
    <w:p w14:paraId="51B4BFBF">
      <w:pPr>
        <w:rPr>
          <w:rFonts w:hint="eastAsia" w:ascii="宋体" w:hAnsi="宋体" w:eastAsia="宋体" w:cs="Times New Roman"/>
          <w:szCs w:val="21"/>
        </w:rPr>
      </w:pPr>
      <w:r>
        <w:rPr>
          <w:rFonts w:hint="eastAsia" w:ascii="宋体" w:hAnsi="宋体" w:eastAsia="宋体" w:cs="Times New Roman"/>
          <w:szCs w:val="21"/>
        </w:rPr>
        <w:t xml:space="preserve">    52.2</w:t>
      </w:r>
      <w:r>
        <w:rPr>
          <w:rFonts w:ascii="宋体" w:hAnsi="宋体" w:eastAsia="宋体" w:cs="Times New Roman"/>
          <w:szCs w:val="21"/>
        </w:rPr>
        <w:t>法律依据</w:t>
      </w:r>
    </w:p>
    <w:p w14:paraId="6119A42E">
      <w:pPr>
        <w:rPr>
          <w:rFonts w:hint="eastAsia" w:ascii="宋体" w:hAnsi="宋体" w:eastAsia="宋体" w:cs="Times New Roman"/>
          <w:szCs w:val="21"/>
        </w:rPr>
      </w:pPr>
      <w:r>
        <w:rPr>
          <w:rFonts w:hint="eastAsia" w:ascii="宋体" w:hAnsi="宋体" w:eastAsia="宋体" w:cs="Times New Roman"/>
          <w:szCs w:val="21"/>
        </w:rPr>
        <w:t xml:space="preserve">    《中华人民共和国政府采购法》、《中华人民共和国政府采购法实施条例》、</w:t>
      </w:r>
      <w:r>
        <w:rPr>
          <w:rFonts w:ascii="宋体" w:hAnsi="宋体" w:eastAsia="宋体" w:cs="Times New Roman"/>
          <w:szCs w:val="21"/>
        </w:rPr>
        <w:t>《</w:t>
      </w:r>
      <w:r>
        <w:rPr>
          <w:rFonts w:hint="eastAsia" w:ascii="宋体" w:hAnsi="宋体" w:eastAsia="宋体" w:cs="Times New Roman"/>
          <w:szCs w:val="21"/>
        </w:rPr>
        <w:t>深圳经济特区政府采购</w:t>
      </w:r>
      <w:r>
        <w:rPr>
          <w:rFonts w:ascii="宋体" w:hAnsi="宋体" w:eastAsia="宋体" w:cs="Times New Roman"/>
          <w:szCs w:val="21"/>
        </w:rPr>
        <w:t>条例</w:t>
      </w:r>
      <w:r>
        <w:rPr>
          <w:rFonts w:hint="eastAsia" w:ascii="宋体" w:hAnsi="宋体" w:eastAsia="宋体" w:cs="Times New Roman"/>
          <w:szCs w:val="21"/>
        </w:rPr>
        <w:t>》、《深圳经济特区政府采购条例实施细则》、《政府采购质疑和投诉办法》（财政部令第94号）和其他有关法律法规规定。</w:t>
      </w:r>
    </w:p>
    <w:p w14:paraId="7A517D3D">
      <w:pPr>
        <w:rPr>
          <w:rFonts w:hint="eastAsia" w:ascii="宋体" w:hAnsi="宋体" w:eastAsia="宋体" w:cs="Times New Roman"/>
          <w:szCs w:val="21"/>
        </w:rPr>
      </w:pPr>
      <w:r>
        <w:rPr>
          <w:rFonts w:hint="eastAsia" w:ascii="宋体" w:hAnsi="宋体" w:eastAsia="宋体" w:cs="Times New Roman"/>
          <w:szCs w:val="21"/>
        </w:rPr>
        <w:t xml:space="preserve">  </w:t>
      </w:r>
      <w:r>
        <w:rPr>
          <w:rFonts w:hint="eastAsia" w:ascii="宋体" w:hAnsi="宋体" w:eastAsia="宋体" w:cs="Times New Roman"/>
          <w:color w:val="FF0000"/>
          <w:szCs w:val="21"/>
        </w:rPr>
        <w:t xml:space="preserve">  </w:t>
      </w:r>
      <w:r>
        <w:rPr>
          <w:rFonts w:hint="eastAsia" w:ascii="宋体" w:hAnsi="宋体" w:eastAsia="宋体" w:cs="Times New Roman"/>
          <w:szCs w:val="21"/>
        </w:rPr>
        <w:t>52.3质疑条件</w:t>
      </w:r>
    </w:p>
    <w:p w14:paraId="43E3A61D">
      <w:pPr>
        <w:rPr>
          <w:rFonts w:hint="eastAsia" w:ascii="宋体" w:hAnsi="宋体" w:eastAsia="宋体" w:cs="Times New Roman"/>
          <w:szCs w:val="21"/>
        </w:rPr>
      </w:pPr>
      <w:r>
        <w:rPr>
          <w:rFonts w:hint="eastAsia" w:ascii="宋体" w:hAnsi="宋体" w:eastAsia="宋体" w:cs="Times New Roman"/>
          <w:szCs w:val="21"/>
        </w:rPr>
        <w:t xml:space="preserve">    52.3.1提出质疑的供应商应当是参与所质疑项目采购活动的供应商；</w:t>
      </w:r>
      <w:bookmarkStart w:id="122" w:name="_Hlk75374941"/>
      <w:r>
        <w:rPr>
          <w:rFonts w:hint="eastAsia" w:ascii="宋体" w:hAnsi="宋体" w:eastAsia="宋体" w:cs="Times New Roman"/>
          <w:szCs w:val="21"/>
        </w:rPr>
        <w:t>以联合体形式参与的，质疑应当由组成联合体的所有成员共同提出</w:t>
      </w:r>
      <w:bookmarkEnd w:id="122"/>
      <w:r>
        <w:rPr>
          <w:rFonts w:hint="eastAsia" w:ascii="宋体" w:hAnsi="宋体" w:eastAsia="宋体" w:cs="Times New Roman"/>
          <w:szCs w:val="21"/>
        </w:rPr>
        <w:t>；</w:t>
      </w:r>
    </w:p>
    <w:p w14:paraId="5550A30C">
      <w:pPr>
        <w:rPr>
          <w:rFonts w:hint="eastAsia" w:ascii="宋体" w:hAnsi="宋体" w:eastAsia="宋体" w:cs="Times New Roman"/>
          <w:szCs w:val="21"/>
        </w:rPr>
      </w:pPr>
      <w:r>
        <w:rPr>
          <w:rFonts w:hint="eastAsia" w:ascii="宋体" w:hAnsi="宋体" w:eastAsia="宋体" w:cs="Times New Roman"/>
          <w:szCs w:val="21"/>
        </w:rPr>
        <w:t xml:space="preserve">    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成交）结果以及评审委员会组成人员的质疑，为中标（成交）结果公示之日；</w:t>
      </w:r>
    </w:p>
    <w:p w14:paraId="2DB9C85D">
      <w:pPr>
        <w:ind w:firstLine="420"/>
        <w:rPr>
          <w:rFonts w:hint="eastAsia" w:ascii="宋体" w:hAnsi="宋体" w:eastAsia="宋体" w:cs="Times New Roman"/>
          <w:szCs w:val="21"/>
        </w:rPr>
      </w:pPr>
      <w:r>
        <w:rPr>
          <w:rFonts w:hint="eastAsia" w:ascii="宋体" w:hAnsi="宋体" w:eastAsia="宋体" w:cs="Times New Roman"/>
          <w:szCs w:val="21"/>
        </w:rPr>
        <w:t>52.3.3应提交书面质疑函，质疑函应当包括以下内容：</w:t>
      </w:r>
      <w:r>
        <w:rPr>
          <w:rFonts w:ascii="宋体" w:hAnsi="宋体" w:eastAsia="宋体" w:cs="Times New Roman"/>
          <w:szCs w:val="21"/>
        </w:rPr>
        <w:t xml:space="preserve"> </w:t>
      </w:r>
    </w:p>
    <w:p w14:paraId="7A3BE7E8">
      <w:pPr>
        <w:ind w:firstLine="420"/>
        <w:rPr>
          <w:rFonts w:hint="eastAsia" w:ascii="宋体" w:hAnsi="宋体" w:eastAsia="宋体" w:cs="Times New Roman"/>
          <w:szCs w:val="21"/>
        </w:rPr>
      </w:pPr>
      <w:r>
        <w:rPr>
          <w:rFonts w:hint="eastAsia" w:ascii="宋体" w:hAnsi="宋体" w:eastAsia="宋体" w:cs="Times New Roman"/>
          <w:szCs w:val="21"/>
        </w:rPr>
        <w:t>（1）供应商的名称（或者姓名）、地址、邮编、邮箱、联系人及联系电话；</w:t>
      </w:r>
    </w:p>
    <w:p w14:paraId="6422BC29">
      <w:pPr>
        <w:ind w:firstLine="420" w:firstLineChars="200"/>
        <w:rPr>
          <w:rFonts w:hint="eastAsia" w:ascii="宋体" w:hAnsi="宋体" w:eastAsia="宋体" w:cs="Times New Roman"/>
          <w:szCs w:val="21"/>
        </w:rPr>
      </w:pPr>
      <w:r>
        <w:rPr>
          <w:rFonts w:hint="eastAsia" w:ascii="宋体" w:hAnsi="宋体" w:eastAsia="宋体" w:cs="Times New Roman"/>
          <w:szCs w:val="21"/>
        </w:rPr>
        <w:t>（2）质疑项目的名称、编号；</w:t>
      </w:r>
    </w:p>
    <w:p w14:paraId="24C93A9F">
      <w:pPr>
        <w:ind w:firstLine="420" w:firstLineChars="200"/>
        <w:rPr>
          <w:rFonts w:hint="eastAsia" w:ascii="宋体" w:hAnsi="宋体" w:eastAsia="宋体" w:cs="Times New Roman"/>
          <w:szCs w:val="21"/>
        </w:rPr>
      </w:pPr>
      <w:r>
        <w:rPr>
          <w:rFonts w:hint="eastAsia" w:ascii="宋体" w:hAnsi="宋体" w:eastAsia="宋体" w:cs="Times New Roman"/>
          <w:szCs w:val="21"/>
        </w:rPr>
        <w:t>（3）具体、明确的质疑对象、质疑事项和质疑请求；</w:t>
      </w:r>
    </w:p>
    <w:p w14:paraId="4728BE99">
      <w:pPr>
        <w:ind w:firstLine="420" w:firstLineChars="200"/>
        <w:rPr>
          <w:rFonts w:hint="eastAsia" w:ascii="宋体" w:hAnsi="宋体" w:eastAsia="宋体" w:cs="Times New Roman"/>
          <w:szCs w:val="21"/>
        </w:rPr>
      </w:pPr>
      <w:r>
        <w:rPr>
          <w:rFonts w:hint="eastAsia" w:ascii="宋体" w:hAnsi="宋体" w:eastAsia="宋体" w:cs="Times New Roman"/>
          <w:szCs w:val="21"/>
        </w:rPr>
        <w:t>（4）因质疑事项而受损害的权益；</w:t>
      </w:r>
    </w:p>
    <w:p w14:paraId="1C29B91B">
      <w:pPr>
        <w:ind w:firstLine="420" w:firstLineChars="200"/>
        <w:rPr>
          <w:rFonts w:hint="eastAsia" w:ascii="宋体" w:hAnsi="宋体" w:eastAsia="宋体" w:cs="Times New Roman"/>
          <w:szCs w:val="21"/>
        </w:rPr>
      </w:pPr>
      <w:r>
        <w:rPr>
          <w:rFonts w:hint="eastAsia" w:ascii="宋体" w:hAnsi="宋体" w:eastAsia="宋体" w:cs="Times New Roman"/>
          <w:szCs w:val="21"/>
        </w:rPr>
        <w:t>（5）事实依据；</w:t>
      </w:r>
    </w:p>
    <w:p w14:paraId="72164609">
      <w:pPr>
        <w:ind w:firstLine="420" w:firstLineChars="200"/>
        <w:rPr>
          <w:rFonts w:hint="eastAsia" w:ascii="宋体" w:hAnsi="宋体" w:eastAsia="宋体" w:cs="Times New Roman"/>
          <w:szCs w:val="21"/>
        </w:rPr>
      </w:pPr>
      <w:r>
        <w:rPr>
          <w:rFonts w:hint="eastAsia" w:ascii="宋体" w:hAnsi="宋体" w:eastAsia="宋体" w:cs="Times New Roman"/>
          <w:szCs w:val="21"/>
        </w:rPr>
        <w:t>（6）必要的法律依据；</w:t>
      </w:r>
    </w:p>
    <w:p w14:paraId="52380C0B">
      <w:pPr>
        <w:ind w:firstLine="420" w:firstLineChars="200"/>
        <w:rPr>
          <w:rFonts w:hint="eastAsia" w:ascii="宋体" w:hAnsi="宋体" w:eastAsia="宋体" w:cs="Times New Roman"/>
          <w:szCs w:val="21"/>
        </w:rPr>
      </w:pPr>
      <w:r>
        <w:rPr>
          <w:rFonts w:hint="eastAsia" w:ascii="宋体" w:hAnsi="宋体" w:eastAsia="宋体" w:cs="Times New Roman"/>
          <w:szCs w:val="21"/>
        </w:rPr>
        <w:t>（7）提出质疑的日期。</w:t>
      </w:r>
    </w:p>
    <w:p w14:paraId="613FA957">
      <w:pPr>
        <w:ind w:firstLine="420" w:firstLineChars="200"/>
        <w:rPr>
          <w:rFonts w:hint="eastAsia" w:ascii="宋体" w:hAnsi="宋体" w:eastAsia="宋体" w:cs="Times New Roman"/>
          <w:szCs w:val="21"/>
        </w:rPr>
      </w:pPr>
      <w:r>
        <w:rPr>
          <w:rFonts w:hint="eastAsia" w:ascii="宋体" w:hAnsi="宋体" w:eastAsia="宋体" w:cs="Times New Roman"/>
          <w:szCs w:val="21"/>
        </w:rPr>
        <w:t>供应商为自然人的，应当由本人签字；供应商为法人或者其他组织的，应当由法定代表人（负责人），或者其授权代理人签字或者盖章，并加盖公章。</w:t>
      </w:r>
    </w:p>
    <w:p w14:paraId="531C99F4">
      <w:pPr>
        <w:ind w:firstLine="420" w:firstLineChars="200"/>
        <w:rPr>
          <w:rFonts w:hint="eastAsia" w:ascii="宋体" w:hAnsi="宋体" w:eastAsia="宋体" w:cs="Times New Roman"/>
          <w:szCs w:val="21"/>
        </w:rPr>
      </w:pPr>
      <w:r>
        <w:rPr>
          <w:rFonts w:hint="eastAsia" w:ascii="宋体" w:hAnsi="宋体" w:eastAsia="宋体" w:cs="Times New Roman"/>
          <w:szCs w:val="21"/>
        </w:rPr>
        <w:t>52.4提交</w:t>
      </w:r>
      <w:r>
        <w:rPr>
          <w:rFonts w:ascii="宋体" w:hAnsi="宋体" w:eastAsia="宋体" w:cs="Times New Roman"/>
          <w:szCs w:val="21"/>
        </w:rPr>
        <w:t>材料</w:t>
      </w:r>
    </w:p>
    <w:p w14:paraId="2AFE52CA">
      <w:pPr>
        <w:ind w:firstLine="420" w:firstLineChars="200"/>
        <w:rPr>
          <w:rFonts w:hint="eastAsia" w:ascii="宋体" w:hAnsi="宋体" w:eastAsia="宋体" w:cs="Times New Roman"/>
          <w:szCs w:val="21"/>
        </w:rPr>
      </w:pPr>
      <w:r>
        <w:rPr>
          <w:rFonts w:hint="eastAsia" w:ascii="宋体" w:hAnsi="宋体" w:eastAsia="宋体" w:cs="Times New Roman"/>
          <w:szCs w:val="21"/>
        </w:rPr>
        <w:t>供应商质疑实行实名制。供应商为自然人的，应当提交本人身份证复印件；供应商为法人或者其他组织的，应当根据自身性质提交营业执照复印件或者其他证明文件（如事业单位法人证书等）复印件。</w:t>
      </w:r>
    </w:p>
    <w:p w14:paraId="20580CDD">
      <w:pPr>
        <w:ind w:firstLine="420" w:firstLineChars="200"/>
        <w:rPr>
          <w:rFonts w:hint="eastAsia" w:ascii="宋体" w:hAnsi="宋体" w:eastAsia="宋体" w:cs="Times New Roman"/>
          <w:szCs w:val="21"/>
        </w:rPr>
      </w:pPr>
      <w:r>
        <w:rPr>
          <w:rFonts w:hint="eastAsia" w:ascii="宋体" w:hAnsi="宋体" w:eastAsia="宋体" w:cs="Times New Roman"/>
          <w:szCs w:val="21"/>
        </w:rPr>
        <w:t>供应商可以委托代理人进行质疑。</w:t>
      </w:r>
      <w:r>
        <w:rPr>
          <w:rFonts w:ascii="宋体" w:hAnsi="宋体" w:eastAsia="宋体" w:cs="Times New Roman"/>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5D2A0346">
      <w:pPr>
        <w:ind w:firstLine="420" w:firstLineChars="200"/>
        <w:rPr>
          <w:rFonts w:hint="eastAsia" w:ascii="宋体" w:hAnsi="宋体" w:eastAsia="宋体" w:cs="Times New Roman"/>
          <w:szCs w:val="21"/>
        </w:rPr>
      </w:pPr>
      <w:r>
        <w:rPr>
          <w:rFonts w:hint="eastAsia" w:ascii="宋体" w:hAnsi="宋体" w:eastAsia="宋体" w:cs="Times New Roman"/>
          <w:szCs w:val="21"/>
        </w:rPr>
        <w:t>52.5收文地点</w:t>
      </w:r>
    </w:p>
    <w:p w14:paraId="203C5C22">
      <w:pPr>
        <w:ind w:firstLine="422" w:firstLineChars="200"/>
        <w:rPr>
          <w:rFonts w:hint="eastAsia" w:ascii="宋体" w:hAnsi="宋体" w:eastAsia="宋体" w:cs="Times New Roman"/>
          <w:b/>
          <w:bCs/>
          <w:szCs w:val="21"/>
        </w:rPr>
      </w:pPr>
      <w:r>
        <w:rPr>
          <w:rFonts w:hint="eastAsia" w:ascii="宋体" w:hAnsi="宋体" w:eastAsia="宋体" w:cs="Times New Roman"/>
          <w:b/>
          <w:bCs/>
          <w:szCs w:val="21"/>
        </w:rPr>
        <w:t>地址：深圳公共资源交易中心（深圳交易集团有限公司</w:t>
      </w:r>
      <w:r>
        <w:rPr>
          <w:rFonts w:hint="eastAsia" w:ascii="宋体" w:hAnsi="宋体" w:eastAsia="宋体" w:cs="Times New Roman"/>
          <w:b/>
          <w:bCs/>
          <w:szCs w:val="21"/>
          <w:lang w:eastAsia="zh-CN"/>
        </w:rPr>
        <w:t>龙岗</w:t>
      </w:r>
      <w:r>
        <w:rPr>
          <w:rFonts w:hint="eastAsia" w:ascii="宋体" w:hAnsi="宋体" w:eastAsia="宋体" w:cs="Times New Roman"/>
          <w:b/>
          <w:bCs/>
          <w:szCs w:val="21"/>
        </w:rPr>
        <w:t>分公司）。</w:t>
      </w:r>
    </w:p>
    <w:p w14:paraId="35CB9E48">
      <w:pPr>
        <w:ind w:firstLine="420" w:firstLineChars="200"/>
        <w:rPr>
          <w:rFonts w:hint="eastAsia" w:ascii="宋体" w:hAnsi="宋体" w:eastAsia="宋体" w:cs="Times New Roman"/>
          <w:szCs w:val="21"/>
        </w:rPr>
      </w:pPr>
      <w:r>
        <w:rPr>
          <w:rFonts w:hint="eastAsia" w:ascii="宋体" w:hAnsi="宋体" w:eastAsia="宋体" w:cs="Times New Roman"/>
          <w:szCs w:val="21"/>
        </w:rPr>
        <w:t>52.6收文办理</w:t>
      </w:r>
      <w:r>
        <w:rPr>
          <w:rFonts w:ascii="宋体" w:hAnsi="宋体" w:eastAsia="宋体" w:cs="Times New Roman"/>
          <w:szCs w:val="21"/>
        </w:rPr>
        <w:t>程序</w:t>
      </w:r>
    </w:p>
    <w:p w14:paraId="0C6CCEE7">
      <w:pPr>
        <w:ind w:firstLine="420" w:firstLineChars="200"/>
        <w:rPr>
          <w:rFonts w:hint="eastAsia" w:ascii="宋体" w:hAnsi="宋体" w:eastAsia="宋体" w:cs="Times New Roman"/>
          <w:szCs w:val="21"/>
        </w:rPr>
      </w:pPr>
      <w:r>
        <w:rPr>
          <w:rFonts w:hint="eastAsia" w:ascii="宋体" w:hAnsi="宋体" w:eastAsia="宋体" w:cs="Times New Roman"/>
          <w:szCs w:val="21"/>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14:paraId="2F010D58">
      <w:pPr>
        <w:ind w:firstLine="420" w:firstLineChars="200"/>
        <w:rPr>
          <w:rFonts w:hint="eastAsia" w:ascii="仿宋" w:hAnsi="仿宋" w:eastAsia="仿宋" w:cs="Times New Roman"/>
          <w:sz w:val="28"/>
          <w:szCs w:val="28"/>
        </w:rPr>
      </w:pPr>
      <w:r>
        <w:rPr>
          <w:rFonts w:hint="eastAsia" w:ascii="宋体" w:hAnsi="宋体" w:eastAsia="宋体" w:cs="Times New Roman"/>
          <w:szCs w:val="21"/>
        </w:rPr>
        <w:t>52.6.2供应商提交的质疑材料不符合质疑条件的，视情况处理：</w:t>
      </w:r>
    </w:p>
    <w:p w14:paraId="1C3EF5E7">
      <w:pPr>
        <w:ind w:firstLine="420" w:firstLineChars="200"/>
        <w:rPr>
          <w:rFonts w:hint="eastAsia" w:ascii="宋体" w:hAnsi="宋体" w:eastAsia="宋体" w:cs="Times New Roman"/>
          <w:szCs w:val="21"/>
        </w:rPr>
      </w:pPr>
      <w:r>
        <w:rPr>
          <w:rFonts w:hint="eastAsia" w:ascii="宋体" w:hAnsi="宋体" w:eastAsia="宋体" w:cs="Times New Roman"/>
          <w:szCs w:val="21"/>
        </w:rPr>
        <w:t>供应商提交的质疑材料不全或者未按要求签字或者盖章的，政府集中采购机构应当一次性告知供应商需补正的内容和补正期限。</w:t>
      </w:r>
    </w:p>
    <w:p w14:paraId="746B693B">
      <w:pPr>
        <w:ind w:firstLine="420" w:firstLineChars="200"/>
        <w:rPr>
          <w:rFonts w:hint="eastAsia" w:ascii="宋体" w:hAnsi="宋体" w:eastAsia="宋体" w:cs="Times New Roman"/>
          <w:szCs w:val="21"/>
        </w:rPr>
      </w:pPr>
      <w:r>
        <w:rPr>
          <w:rFonts w:hint="eastAsia" w:ascii="宋体" w:hAnsi="宋体" w:eastAsia="宋体" w:cs="Times New Roman"/>
          <w:szCs w:val="21"/>
        </w:rPr>
        <w:t>供应商提交的质疑存在下列情形之一的，不予受理：</w:t>
      </w:r>
    </w:p>
    <w:p w14:paraId="14939DC7">
      <w:pPr>
        <w:ind w:firstLine="420" w:firstLineChars="200"/>
        <w:rPr>
          <w:rFonts w:hint="eastAsia" w:ascii="宋体" w:hAnsi="宋体" w:eastAsia="宋体" w:cs="Times New Roman"/>
          <w:szCs w:val="21"/>
        </w:rPr>
      </w:pPr>
      <w:r>
        <w:rPr>
          <w:rFonts w:hint="eastAsia" w:ascii="宋体" w:hAnsi="宋体" w:eastAsia="宋体" w:cs="Times New Roman"/>
          <w:szCs w:val="21"/>
        </w:rPr>
        <w:t>（1）质疑主体不满足要求的；</w:t>
      </w:r>
    </w:p>
    <w:p w14:paraId="0839CFB8">
      <w:pPr>
        <w:ind w:firstLine="420" w:firstLineChars="200"/>
        <w:rPr>
          <w:rFonts w:hint="eastAsia" w:ascii="宋体" w:hAnsi="宋体" w:eastAsia="宋体" w:cs="Times New Roman"/>
          <w:szCs w:val="21"/>
        </w:rPr>
      </w:pPr>
      <w:r>
        <w:rPr>
          <w:rFonts w:hint="eastAsia" w:ascii="宋体" w:hAnsi="宋体" w:eastAsia="宋体" w:cs="Times New Roman"/>
          <w:szCs w:val="21"/>
        </w:rPr>
        <w:t>（2）供应商自身权益未受到损害的；</w:t>
      </w:r>
    </w:p>
    <w:p w14:paraId="35A2DA5C">
      <w:pPr>
        <w:ind w:firstLine="420" w:firstLineChars="200"/>
        <w:rPr>
          <w:rFonts w:hint="eastAsia" w:ascii="宋体" w:hAnsi="宋体" w:eastAsia="宋体" w:cs="Times New Roman"/>
          <w:szCs w:val="21"/>
        </w:rPr>
      </w:pPr>
      <w:r>
        <w:rPr>
          <w:rFonts w:hint="eastAsia" w:ascii="宋体" w:hAnsi="宋体" w:eastAsia="宋体" w:cs="Times New Roman"/>
          <w:szCs w:val="21"/>
        </w:rPr>
        <w:t>（3）供应商未在法定质疑期限内提出质疑的；</w:t>
      </w:r>
    </w:p>
    <w:p w14:paraId="6AEE5042">
      <w:pPr>
        <w:ind w:firstLine="420" w:firstLineChars="200"/>
        <w:rPr>
          <w:rFonts w:hint="eastAsia" w:ascii="宋体" w:hAnsi="宋体" w:eastAsia="宋体" w:cs="Times New Roman"/>
          <w:szCs w:val="21"/>
        </w:rPr>
      </w:pPr>
      <w:r>
        <w:rPr>
          <w:rFonts w:hint="eastAsia" w:ascii="宋体" w:hAnsi="宋体" w:eastAsia="宋体" w:cs="Times New Roman"/>
          <w:szCs w:val="21"/>
        </w:rPr>
        <w:t>（4）质疑材料不全或者未按要求签字或者盖章的情况下，要求补正后，逾期未补正或者补正后仍不符合规定的；</w:t>
      </w:r>
    </w:p>
    <w:p w14:paraId="44DB7F21">
      <w:pPr>
        <w:ind w:firstLine="420" w:firstLineChars="200"/>
        <w:rPr>
          <w:rFonts w:hint="eastAsia" w:ascii="宋体" w:hAnsi="宋体" w:eastAsia="宋体" w:cs="Times New Roman"/>
          <w:szCs w:val="21"/>
        </w:rPr>
      </w:pPr>
      <w:r>
        <w:rPr>
          <w:rFonts w:hint="eastAsia" w:ascii="宋体" w:hAnsi="宋体" w:eastAsia="宋体" w:cs="Times New Roman"/>
          <w:szCs w:val="21"/>
        </w:rPr>
        <w:t>（5）其他不符合受理条件情形的。</w:t>
      </w:r>
    </w:p>
    <w:p w14:paraId="286E5B93">
      <w:pPr>
        <w:ind w:firstLine="420" w:firstLineChars="200"/>
        <w:rPr>
          <w:rFonts w:hint="eastAsia" w:ascii="宋体" w:hAnsi="宋体" w:eastAsia="宋体" w:cs="Times New Roman"/>
          <w:szCs w:val="21"/>
        </w:rPr>
      </w:pPr>
      <w:r>
        <w:rPr>
          <w:rFonts w:hint="eastAsia" w:ascii="宋体" w:hAnsi="宋体" w:eastAsia="宋体" w:cs="Times New Roman"/>
          <w:szCs w:val="21"/>
        </w:rPr>
        <w:t>质疑事项不予受理的，政府集中采购机构应当向供应商出具不符合质疑条件告知书。</w:t>
      </w:r>
    </w:p>
    <w:p w14:paraId="6B3C4D74">
      <w:pPr>
        <w:rPr>
          <w:rFonts w:hint="eastAsia" w:ascii="宋体" w:hAnsi="宋体" w:eastAsia="宋体" w:cs="Times New Roman"/>
          <w:szCs w:val="21"/>
        </w:rPr>
      </w:pPr>
      <w:r>
        <w:rPr>
          <w:rFonts w:hint="eastAsia" w:ascii="宋体" w:hAnsi="宋体" w:eastAsia="宋体" w:cs="Times New Roman"/>
          <w:color w:val="FF0000"/>
          <w:szCs w:val="21"/>
        </w:rPr>
        <w:t xml:space="preserve">  </w:t>
      </w:r>
      <w:r>
        <w:rPr>
          <w:rFonts w:hint="eastAsia" w:ascii="宋体" w:hAnsi="宋体" w:eastAsia="宋体" w:cs="Times New Roman"/>
          <w:szCs w:val="21"/>
        </w:rPr>
        <w:t xml:space="preserve">  52.7质疑答复时限</w:t>
      </w:r>
    </w:p>
    <w:p w14:paraId="599DE043">
      <w:pPr>
        <w:rPr>
          <w:rFonts w:hint="eastAsia" w:ascii="宋体" w:hAnsi="宋体" w:eastAsia="宋体" w:cs="Times New Roman"/>
          <w:szCs w:val="21"/>
        </w:rPr>
      </w:pPr>
      <w:r>
        <w:rPr>
          <w:rFonts w:hint="eastAsia" w:ascii="宋体" w:hAnsi="宋体" w:eastAsia="宋体" w:cs="Times New Roman"/>
          <w:szCs w:val="21"/>
        </w:rPr>
        <w:t xml:space="preserve">    自收文之日起七个工作日内。</w:t>
      </w:r>
    </w:p>
    <w:p w14:paraId="2966DE40">
      <w:pPr>
        <w:rPr>
          <w:rFonts w:hint="eastAsia" w:ascii="宋体" w:hAnsi="宋体" w:eastAsia="宋体" w:cs="Times New Roman"/>
          <w:szCs w:val="21"/>
        </w:rPr>
      </w:pPr>
      <w:r>
        <w:rPr>
          <w:rFonts w:hint="eastAsia" w:ascii="宋体" w:hAnsi="宋体" w:eastAsia="宋体" w:cs="Times New Roman"/>
          <w:szCs w:val="21"/>
        </w:rPr>
        <w:t xml:space="preserve">    52.8投诉</w:t>
      </w:r>
    </w:p>
    <w:p w14:paraId="3E5685C6">
      <w:pPr>
        <w:rPr>
          <w:rFonts w:hint="eastAsia" w:ascii="宋体" w:hAnsi="宋体" w:eastAsia="宋体" w:cs="Times New Roman"/>
          <w:szCs w:val="21"/>
        </w:rPr>
      </w:pPr>
      <w:r>
        <w:rPr>
          <w:rFonts w:hint="eastAsia" w:ascii="宋体" w:hAnsi="宋体" w:eastAsia="宋体" w:cs="Times New Roman"/>
          <w:szCs w:val="21"/>
        </w:rPr>
        <w:t xml:space="preserve">    对质疑答复不满意或者未在规定时间内答复的，提出质疑的供应商可以在答复期满后15个工作日内向</w:t>
      </w:r>
      <w:r>
        <w:rPr>
          <w:rFonts w:hint="eastAsia" w:ascii="宋体" w:hAnsi="宋体" w:eastAsia="宋体" w:cs="Times New Roman"/>
          <w:szCs w:val="21"/>
          <w:highlight w:val="yellow"/>
        </w:rPr>
        <w:t>采购人</w:t>
      </w:r>
      <w:r>
        <w:rPr>
          <w:rFonts w:hint="eastAsia" w:ascii="宋体" w:hAnsi="宋体" w:eastAsia="宋体" w:cs="Times New Roman"/>
          <w:szCs w:val="21"/>
        </w:rPr>
        <w:t>投诉。</w:t>
      </w:r>
    </w:p>
    <w:p w14:paraId="7CE9E4E6">
      <w:pPr>
        <w:rPr>
          <w:rFonts w:hint="eastAsia" w:ascii="黑体" w:hAnsi="宋体" w:eastAsia="黑体" w:cs="Times New Roman"/>
          <w:sz w:val="24"/>
        </w:rPr>
      </w:pPr>
      <w:r>
        <w:rPr>
          <w:rFonts w:hint="eastAsia" w:ascii="黑体" w:hAnsi="宋体" w:eastAsia="黑体" w:cs="Times New Roman"/>
          <w:sz w:val="24"/>
        </w:rPr>
        <w:t>53. 质疑后续处理</w:t>
      </w:r>
    </w:p>
    <w:p w14:paraId="740048F3">
      <w:pPr>
        <w:rPr>
          <w:rFonts w:hint="eastAsia" w:ascii="宋体" w:hAnsi="宋体" w:eastAsia="宋体" w:cs="Times New Roman"/>
          <w:szCs w:val="21"/>
        </w:rPr>
      </w:pPr>
      <w:r>
        <w:rPr>
          <w:rFonts w:hint="eastAsia" w:ascii="宋体" w:hAnsi="宋体" w:eastAsia="宋体" w:cs="Times New Roman"/>
          <w:szCs w:val="21"/>
        </w:rPr>
        <w:t xml:space="preserve">    53.1供应商质疑不成立，或者成立但未对中标、成交结果构成影响的，继续开展采购活动。</w:t>
      </w:r>
    </w:p>
    <w:p w14:paraId="7C2ED8F4">
      <w:pPr>
        <w:ind w:firstLine="420"/>
        <w:rPr>
          <w:rFonts w:hint="eastAsia" w:ascii="宋体" w:hAnsi="宋体" w:eastAsia="宋体" w:cs="Times New Roman"/>
          <w:szCs w:val="21"/>
        </w:rPr>
      </w:pPr>
      <w:r>
        <w:rPr>
          <w:rFonts w:hint="eastAsia" w:ascii="宋体" w:hAnsi="宋体" w:eastAsia="宋体" w:cs="Times New Roman"/>
          <w:szCs w:val="21"/>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14:paraId="31AE0E65">
      <w:pPr>
        <w:jc w:val="center"/>
        <w:rPr>
          <w:rFonts w:ascii="Times New Roman" w:hAnsi="Times New Roman" w:eastAsia="宋体" w:cs="Times New Roman"/>
        </w:rPr>
      </w:pPr>
      <w:r>
        <w:rPr>
          <w:rFonts w:ascii="Times New Roman" w:hAnsi="Times New Roman" w:eastAsia="宋体" w:cs="Times New Roman"/>
        </w:rPr>
        <w:t>---- END ----</w:t>
      </w:r>
    </w:p>
    <w:p w14:paraId="5CC99754">
      <w:pPr>
        <w:ind w:firstLine="0" w:firstLineChars="0"/>
        <w:rPr>
          <w:rFonts w:hint="eastAsia"/>
          <w:bCs/>
          <w:szCs w:val="21"/>
          <w:lang w:val="en-US" w:eastAsia="zh-CN"/>
        </w:rPr>
      </w:pPr>
    </w:p>
    <w:sectPr>
      <w:headerReference r:id="rId5" w:type="default"/>
      <w:footerReference r:id="rId6" w:type="default"/>
      <w:pgSz w:w="11907" w:h="16840"/>
      <w:pgMar w:top="1440" w:right="1797" w:bottom="1440" w:left="1797" w:header="851" w:footer="992" w:gutter="0"/>
      <w:pgBorders>
        <w:top w:val="none" w:sz="0" w:space="0"/>
        <w:left w:val="none" w:sz="0" w:space="0"/>
        <w:bottom w:val="none" w:sz="0" w:space="0"/>
        <w:right w:val="none" w:sz="0" w:space="0"/>
      </w:pgBorders>
      <w:cols w:space="425" w:num="1"/>
      <w:titlePg/>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auto"/>
    <w:pitch w:val="default"/>
    <w:sig w:usb0="00000000" w:usb1="00000000" w:usb2="00000000" w:usb3="00000000" w:csb0="00040001" w:csb1="00000000"/>
  </w:font>
  <w:font w:name="??">
    <w:altName w:val="Times New Roman"/>
    <w:panose1 w:val="00000000000000000000"/>
    <w:charset w:val="01"/>
    <w:family w:val="auto"/>
    <w:pitch w:val="default"/>
    <w:sig w:usb0="00000000" w:usb1="00000000" w:usb2="00000000" w:usb3="00000000" w:csb0="00040001" w:csb1="00000000"/>
  </w:font>
  <w:font w:name="汉仪细等线简">
    <w:altName w:val="宋体"/>
    <w:panose1 w:val="00000000000000000000"/>
    <w:charset w:val="86"/>
    <w:family w:val="modern"/>
    <w:pitch w:val="default"/>
    <w:sig w:usb0="00000000" w:usb1="00000000" w:usb2="00000012" w:usb3="00000000" w:csb0="00040000" w:csb1="00000000"/>
  </w:font>
  <w:font w:name="H Yb 2gj">
    <w:altName w:val="黑体"/>
    <w:panose1 w:val="00000000000000000000"/>
    <w:charset w:val="86"/>
    <w:family w:val="auto"/>
    <w:pitch w:val="default"/>
    <w:sig w:usb0="00000000" w:usb1="00000000" w:usb2="00000010" w:usb3="00000000" w:csb0="00040000"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PMingLiU">
    <w:altName w:val="PMingLiU-ExtB"/>
    <w:panose1 w:val="02020500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A8653">
    <w:pPr>
      <w:pStyle w:val="28"/>
      <w:framePr w:wrap="around" w:vAnchor="text" w:hAnchor="margin" w:xAlign="center" w:y="1"/>
      <w:rPr>
        <w:rStyle w:val="49"/>
      </w:rPr>
    </w:pPr>
    <w:r>
      <w:t xml:space="preserve">- </w:t>
    </w:r>
    <w:r>
      <w:fldChar w:fldCharType="begin"/>
    </w:r>
    <w:r>
      <w:instrText xml:space="preserve"> PAGE </w:instrText>
    </w:r>
    <w:r>
      <w:fldChar w:fldCharType="separate"/>
    </w:r>
    <w:r>
      <w:t>32</w:t>
    </w:r>
    <w:r>
      <w:fldChar w:fldCharType="end"/>
    </w:r>
    <w:r>
      <w:t xml:space="preserve"> -</w:t>
    </w:r>
  </w:p>
  <w:p w14:paraId="7617948D">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6068F">
    <w:pPr>
      <w:widowControl w:val="0"/>
      <w:tabs>
        <w:tab w:val="center" w:pos="4153"/>
        <w:tab w:val="right" w:pos="8306"/>
      </w:tabs>
      <w:snapToGrid w:val="0"/>
      <w:jc w:val="left"/>
      <w:rPr>
        <w:rFonts w:ascii="Times New Roman" w:hAnsi="Times New Roman" w:eastAsia="宋体" w:cs="Times New Roman"/>
        <w:kern w:val="2"/>
        <w:sz w:val="18"/>
        <w:szCs w:val="24"/>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D1C00">
    <w:pPr>
      <w:pStyle w:val="29"/>
      <w:pBdr>
        <w:top w:val="none" w:color="auto" w:sz="0" w:space="0"/>
        <w:left w:val="none" w:color="auto" w:sz="0" w:space="0"/>
        <w:bottom w:val="none" w:color="auto" w:sz="0" w:space="1"/>
        <w:right w:val="none" w:color="auto" w:sz="0" w:space="0"/>
        <w:between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7F12E">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rPr>
        <w:rFonts w:ascii="Times New Roman" w:hAnsi="Times New Roman" w:eastAsia="宋体" w:cs="Times New Roman"/>
        <w:kern w:val="2"/>
        <w:sz w:val="18"/>
        <w:szCs w:val="24"/>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09221C"/>
    <w:multiLevelType w:val="singleLevel"/>
    <w:tmpl w:val="B609221C"/>
    <w:lvl w:ilvl="0" w:tentative="0">
      <w:start w:val="1"/>
      <w:numFmt w:val="decimal"/>
      <w:suff w:val="nothing"/>
      <w:lvlText w:val="%1、"/>
      <w:lvlJc w:val="left"/>
    </w:lvl>
  </w:abstractNum>
  <w:abstractNum w:abstractNumId="1">
    <w:nsid w:val="B9358C2E"/>
    <w:multiLevelType w:val="singleLevel"/>
    <w:tmpl w:val="B9358C2E"/>
    <w:lvl w:ilvl="0" w:tentative="0">
      <w:start w:val="2"/>
      <w:numFmt w:val="decimal"/>
      <w:suff w:val="nothing"/>
      <w:lvlText w:val="%1、"/>
      <w:lvlJc w:val="left"/>
    </w:lvl>
  </w:abstractNum>
  <w:abstractNum w:abstractNumId="2">
    <w:nsid w:val="FFFFFF7C"/>
    <w:multiLevelType w:val="singleLevel"/>
    <w:tmpl w:val="FFFFFF7C"/>
    <w:lvl w:ilvl="0" w:tentative="0">
      <w:start w:val="1"/>
      <w:numFmt w:val="decimal"/>
      <w:pStyle w:val="62"/>
      <w:lvlText w:val="%1."/>
      <w:lvlJc w:val="left"/>
      <w:pPr>
        <w:tabs>
          <w:tab w:val="left" w:pos="7994"/>
        </w:tabs>
        <w:ind w:left="7994" w:leftChars="800" w:hanging="360" w:hangingChars="200"/>
      </w:pPr>
    </w:lvl>
  </w:abstractNum>
  <w:abstractNum w:abstractNumId="3">
    <w:nsid w:val="FFFFFF89"/>
    <w:multiLevelType w:val="singleLevel"/>
    <w:tmpl w:val="FFFFFF89"/>
    <w:lvl w:ilvl="0" w:tentative="0">
      <w:start w:val="1"/>
      <w:numFmt w:val="bullet"/>
      <w:pStyle w:val="14"/>
      <w:lvlText w:val=""/>
      <w:lvlJc w:val="left"/>
      <w:pPr>
        <w:tabs>
          <w:tab w:val="left" w:pos="360"/>
        </w:tabs>
        <w:ind w:left="360" w:hanging="360" w:hangingChars="200"/>
      </w:pPr>
      <w:rPr>
        <w:rFonts w:hint="default" w:ascii="Wingdings" w:hAnsi="Wingdings"/>
      </w:rPr>
    </w:lvl>
  </w:abstractNum>
  <w:abstractNum w:abstractNumId="4">
    <w:nsid w:val="09F81FD3"/>
    <w:multiLevelType w:val="multilevel"/>
    <w:tmpl w:val="09F81FD3"/>
    <w:lvl w:ilvl="0" w:tentative="0">
      <w:start w:val="1"/>
      <w:numFmt w:val="japaneseCounting"/>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12503483"/>
    <w:multiLevelType w:val="multilevel"/>
    <w:tmpl w:val="12503483"/>
    <w:lvl w:ilvl="0" w:tentative="0">
      <w:start w:val="1"/>
      <w:numFmt w:val="bullet"/>
      <w:pStyle w:val="110"/>
      <w:lvlText w:val=""/>
      <w:lvlJc w:val="left"/>
      <w:pPr>
        <w:tabs>
          <w:tab w:val="left" w:pos="420"/>
        </w:tabs>
        <w:ind w:left="420" w:hanging="420"/>
      </w:pPr>
      <w:rPr>
        <w:rFonts w:hint="default" w:ascii="Wingdings" w:hAnsi="Wingdings"/>
      </w:rPr>
    </w:lvl>
    <w:lvl w:ilvl="1" w:tentative="0">
      <w:start w:val="1"/>
      <w:numFmt w:val="bullet"/>
      <w:pStyle w:val="109"/>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160D20D0"/>
    <w:multiLevelType w:val="multilevel"/>
    <w:tmpl w:val="160D20D0"/>
    <w:lvl w:ilvl="0" w:tentative="0">
      <w:start w:val="1"/>
      <w:numFmt w:val="bullet"/>
      <w:pStyle w:val="78"/>
      <w:lvlText w:val=""/>
      <w:lvlJc w:val="left"/>
      <w:pPr>
        <w:tabs>
          <w:tab w:val="left" w:pos="840"/>
        </w:tabs>
        <w:ind w:left="840" w:hanging="420"/>
      </w:pPr>
      <w:rPr>
        <w:rFonts w:hint="default" w:ascii="Wingdings" w:hAnsi="Wingdings"/>
      </w:rPr>
    </w:lvl>
    <w:lvl w:ilvl="1" w:tentative="0">
      <w:start w:val="1"/>
      <w:numFmt w:val="bullet"/>
      <w:pStyle w:val="79"/>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7">
    <w:nsid w:val="2F395B7B"/>
    <w:multiLevelType w:val="multilevel"/>
    <w:tmpl w:val="2F395B7B"/>
    <w:lvl w:ilvl="0" w:tentative="0">
      <w:start w:val="1"/>
      <w:numFmt w:val="bullet"/>
      <w:pStyle w:val="170"/>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8">
    <w:nsid w:val="34232161"/>
    <w:multiLevelType w:val="singleLevel"/>
    <w:tmpl w:val="34232161"/>
    <w:lvl w:ilvl="0" w:tentative="0">
      <w:start w:val="2"/>
      <w:numFmt w:val="decimal"/>
      <w:suff w:val="nothing"/>
      <w:lvlText w:val="（%1）"/>
      <w:lvlJc w:val="left"/>
    </w:lvl>
  </w:abstractNum>
  <w:abstractNum w:abstractNumId="9">
    <w:nsid w:val="4E26B4E7"/>
    <w:multiLevelType w:val="singleLevel"/>
    <w:tmpl w:val="4E26B4E7"/>
    <w:lvl w:ilvl="0" w:tentative="0">
      <w:start w:val="2"/>
      <w:numFmt w:val="chineseCounting"/>
      <w:suff w:val="nothing"/>
      <w:lvlText w:val="%1、"/>
      <w:lvlJc w:val="left"/>
      <w:rPr>
        <w:rFonts w:hint="eastAsia"/>
      </w:rPr>
    </w:lvl>
  </w:abstractNum>
  <w:abstractNum w:abstractNumId="10">
    <w:nsid w:val="7AEF7716"/>
    <w:multiLevelType w:val="multilevel"/>
    <w:tmpl w:val="7AEF7716"/>
    <w:lvl w:ilvl="0" w:tentative="0">
      <w:start w:val="1"/>
      <w:numFmt w:val="chineseCountingThousand"/>
      <w:pStyle w:val="123"/>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6"/>
  </w:num>
  <w:num w:numId="4">
    <w:abstractNumId w:val="5"/>
  </w:num>
  <w:num w:numId="5">
    <w:abstractNumId w:val="10"/>
  </w:num>
  <w:num w:numId="6">
    <w:abstractNumId w:val="7"/>
  </w:num>
  <w:num w:numId="7">
    <w:abstractNumId w:val="8"/>
  </w:num>
  <w:num w:numId="8">
    <w:abstractNumId w:val="9"/>
  </w:num>
  <w:num w:numId="9">
    <w:abstractNumId w:val="0"/>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hideSpellingErrors/>
  <w:trackRevisions w:val="1"/>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xMmEzODE2ZGZhMTdlY2MxN2FiYTQzNmUyZjRlMjYifQ=="/>
    <w:docVar w:name="KSO_WPS_MARK_KEY" w:val="a5980290-81d1-4166-b591-31e4936b8684"/>
  </w:docVars>
  <w:rsids>
    <w:rsidRoot w:val="006C5683"/>
    <w:rsid w:val="000006EA"/>
    <w:rsid w:val="00000AD9"/>
    <w:rsid w:val="000043C0"/>
    <w:rsid w:val="00004F2D"/>
    <w:rsid w:val="000050CA"/>
    <w:rsid w:val="000051C6"/>
    <w:rsid w:val="00005215"/>
    <w:rsid w:val="00005A10"/>
    <w:rsid w:val="00005D3D"/>
    <w:rsid w:val="0000667D"/>
    <w:rsid w:val="00006F7B"/>
    <w:rsid w:val="00007951"/>
    <w:rsid w:val="0000796B"/>
    <w:rsid w:val="00010063"/>
    <w:rsid w:val="00010102"/>
    <w:rsid w:val="0001019E"/>
    <w:rsid w:val="00011EA6"/>
    <w:rsid w:val="00012640"/>
    <w:rsid w:val="00012B21"/>
    <w:rsid w:val="0001300F"/>
    <w:rsid w:val="0001336E"/>
    <w:rsid w:val="0001480D"/>
    <w:rsid w:val="00014A5C"/>
    <w:rsid w:val="00015388"/>
    <w:rsid w:val="0001716B"/>
    <w:rsid w:val="00017F81"/>
    <w:rsid w:val="000211EA"/>
    <w:rsid w:val="000234B2"/>
    <w:rsid w:val="00024FD2"/>
    <w:rsid w:val="00025AE4"/>
    <w:rsid w:val="0002684B"/>
    <w:rsid w:val="00026A57"/>
    <w:rsid w:val="00027645"/>
    <w:rsid w:val="000300AE"/>
    <w:rsid w:val="000300EE"/>
    <w:rsid w:val="000302B6"/>
    <w:rsid w:val="0003106D"/>
    <w:rsid w:val="00031700"/>
    <w:rsid w:val="00031F6E"/>
    <w:rsid w:val="0003277F"/>
    <w:rsid w:val="00032948"/>
    <w:rsid w:val="00032B0A"/>
    <w:rsid w:val="0003315D"/>
    <w:rsid w:val="00033DE7"/>
    <w:rsid w:val="0003541F"/>
    <w:rsid w:val="00036A2B"/>
    <w:rsid w:val="00040D3C"/>
    <w:rsid w:val="00042C84"/>
    <w:rsid w:val="00043621"/>
    <w:rsid w:val="00043739"/>
    <w:rsid w:val="00043A89"/>
    <w:rsid w:val="00045739"/>
    <w:rsid w:val="00046D30"/>
    <w:rsid w:val="000510B6"/>
    <w:rsid w:val="00051133"/>
    <w:rsid w:val="00051F3F"/>
    <w:rsid w:val="000521D8"/>
    <w:rsid w:val="00052BC1"/>
    <w:rsid w:val="00053A89"/>
    <w:rsid w:val="0005582B"/>
    <w:rsid w:val="00055BD9"/>
    <w:rsid w:val="00056247"/>
    <w:rsid w:val="00056292"/>
    <w:rsid w:val="00056C11"/>
    <w:rsid w:val="00057302"/>
    <w:rsid w:val="00057332"/>
    <w:rsid w:val="00057D00"/>
    <w:rsid w:val="00060A3D"/>
    <w:rsid w:val="00060C1C"/>
    <w:rsid w:val="00061D20"/>
    <w:rsid w:val="0006267A"/>
    <w:rsid w:val="0006335B"/>
    <w:rsid w:val="00063C25"/>
    <w:rsid w:val="00064892"/>
    <w:rsid w:val="00066026"/>
    <w:rsid w:val="0006660A"/>
    <w:rsid w:val="0006670C"/>
    <w:rsid w:val="00067960"/>
    <w:rsid w:val="0007003A"/>
    <w:rsid w:val="00070210"/>
    <w:rsid w:val="000707BF"/>
    <w:rsid w:val="00072B70"/>
    <w:rsid w:val="00072CB4"/>
    <w:rsid w:val="000734CD"/>
    <w:rsid w:val="00074403"/>
    <w:rsid w:val="000750DC"/>
    <w:rsid w:val="00075497"/>
    <w:rsid w:val="0007583C"/>
    <w:rsid w:val="00075E26"/>
    <w:rsid w:val="00076057"/>
    <w:rsid w:val="000770EC"/>
    <w:rsid w:val="00080613"/>
    <w:rsid w:val="00082667"/>
    <w:rsid w:val="00082AD2"/>
    <w:rsid w:val="00083DC6"/>
    <w:rsid w:val="00084857"/>
    <w:rsid w:val="000849B8"/>
    <w:rsid w:val="000850AF"/>
    <w:rsid w:val="000852EB"/>
    <w:rsid w:val="000869D8"/>
    <w:rsid w:val="00086CA6"/>
    <w:rsid w:val="00090213"/>
    <w:rsid w:val="00092FC7"/>
    <w:rsid w:val="00093133"/>
    <w:rsid w:val="0009395E"/>
    <w:rsid w:val="00094C6E"/>
    <w:rsid w:val="000954D5"/>
    <w:rsid w:val="00095723"/>
    <w:rsid w:val="00095A74"/>
    <w:rsid w:val="0009618D"/>
    <w:rsid w:val="0009709B"/>
    <w:rsid w:val="000975E3"/>
    <w:rsid w:val="000A094C"/>
    <w:rsid w:val="000A1DD1"/>
    <w:rsid w:val="000A21A5"/>
    <w:rsid w:val="000A3908"/>
    <w:rsid w:val="000A4C29"/>
    <w:rsid w:val="000A5B36"/>
    <w:rsid w:val="000A6E2B"/>
    <w:rsid w:val="000A79D3"/>
    <w:rsid w:val="000B05E2"/>
    <w:rsid w:val="000B2568"/>
    <w:rsid w:val="000B41BB"/>
    <w:rsid w:val="000B5357"/>
    <w:rsid w:val="000B597F"/>
    <w:rsid w:val="000B634D"/>
    <w:rsid w:val="000B73D2"/>
    <w:rsid w:val="000B7465"/>
    <w:rsid w:val="000C14CB"/>
    <w:rsid w:val="000C18BC"/>
    <w:rsid w:val="000C1D03"/>
    <w:rsid w:val="000C1EE4"/>
    <w:rsid w:val="000C1FF9"/>
    <w:rsid w:val="000C4151"/>
    <w:rsid w:val="000C4425"/>
    <w:rsid w:val="000C4B12"/>
    <w:rsid w:val="000C5FA7"/>
    <w:rsid w:val="000C7E71"/>
    <w:rsid w:val="000D0BCE"/>
    <w:rsid w:val="000D16AA"/>
    <w:rsid w:val="000D1A7D"/>
    <w:rsid w:val="000D2309"/>
    <w:rsid w:val="000D2CCA"/>
    <w:rsid w:val="000D366B"/>
    <w:rsid w:val="000D37B4"/>
    <w:rsid w:val="000D38F9"/>
    <w:rsid w:val="000D5D6B"/>
    <w:rsid w:val="000D7A20"/>
    <w:rsid w:val="000E161C"/>
    <w:rsid w:val="000E1994"/>
    <w:rsid w:val="000E2C39"/>
    <w:rsid w:val="000E355C"/>
    <w:rsid w:val="000E4445"/>
    <w:rsid w:val="000E470B"/>
    <w:rsid w:val="000E4DE8"/>
    <w:rsid w:val="000E4EF8"/>
    <w:rsid w:val="000E50F5"/>
    <w:rsid w:val="000E5E99"/>
    <w:rsid w:val="000E655B"/>
    <w:rsid w:val="000E6A66"/>
    <w:rsid w:val="000F0C3B"/>
    <w:rsid w:val="000F0E9F"/>
    <w:rsid w:val="000F1540"/>
    <w:rsid w:val="000F1D4A"/>
    <w:rsid w:val="000F2065"/>
    <w:rsid w:val="000F2A88"/>
    <w:rsid w:val="000F2C23"/>
    <w:rsid w:val="000F2D1B"/>
    <w:rsid w:val="000F3658"/>
    <w:rsid w:val="000F3B37"/>
    <w:rsid w:val="000F3C85"/>
    <w:rsid w:val="000F3F12"/>
    <w:rsid w:val="000F565B"/>
    <w:rsid w:val="000F5C6C"/>
    <w:rsid w:val="000F5F3F"/>
    <w:rsid w:val="000F64AD"/>
    <w:rsid w:val="00100570"/>
    <w:rsid w:val="00101CE5"/>
    <w:rsid w:val="00101DD0"/>
    <w:rsid w:val="00102555"/>
    <w:rsid w:val="0010291B"/>
    <w:rsid w:val="00102B4B"/>
    <w:rsid w:val="00103AB9"/>
    <w:rsid w:val="00103E80"/>
    <w:rsid w:val="00107187"/>
    <w:rsid w:val="00107272"/>
    <w:rsid w:val="00107D54"/>
    <w:rsid w:val="00110383"/>
    <w:rsid w:val="00110B62"/>
    <w:rsid w:val="00111581"/>
    <w:rsid w:val="00111CEB"/>
    <w:rsid w:val="0011245C"/>
    <w:rsid w:val="0011500F"/>
    <w:rsid w:val="00115A55"/>
    <w:rsid w:val="0011665D"/>
    <w:rsid w:val="00116AAC"/>
    <w:rsid w:val="00117D55"/>
    <w:rsid w:val="001204B2"/>
    <w:rsid w:val="001212EF"/>
    <w:rsid w:val="001217DC"/>
    <w:rsid w:val="00121F81"/>
    <w:rsid w:val="0012203F"/>
    <w:rsid w:val="00123CC6"/>
    <w:rsid w:val="00125689"/>
    <w:rsid w:val="00125C8A"/>
    <w:rsid w:val="001261FC"/>
    <w:rsid w:val="001306FE"/>
    <w:rsid w:val="00130827"/>
    <w:rsid w:val="001308A2"/>
    <w:rsid w:val="00131140"/>
    <w:rsid w:val="001317AD"/>
    <w:rsid w:val="00131FC3"/>
    <w:rsid w:val="0013281E"/>
    <w:rsid w:val="00132FD3"/>
    <w:rsid w:val="001339CF"/>
    <w:rsid w:val="00134E0F"/>
    <w:rsid w:val="0013673A"/>
    <w:rsid w:val="00136D81"/>
    <w:rsid w:val="001410EB"/>
    <w:rsid w:val="00141224"/>
    <w:rsid w:val="00143103"/>
    <w:rsid w:val="00143554"/>
    <w:rsid w:val="00143653"/>
    <w:rsid w:val="00143934"/>
    <w:rsid w:val="00143B3A"/>
    <w:rsid w:val="00143E43"/>
    <w:rsid w:val="00143FFC"/>
    <w:rsid w:val="00145760"/>
    <w:rsid w:val="00146ABB"/>
    <w:rsid w:val="00147338"/>
    <w:rsid w:val="00147A48"/>
    <w:rsid w:val="00150143"/>
    <w:rsid w:val="001509AB"/>
    <w:rsid w:val="00152E91"/>
    <w:rsid w:val="0015460B"/>
    <w:rsid w:val="00154736"/>
    <w:rsid w:val="00156CA9"/>
    <w:rsid w:val="00157465"/>
    <w:rsid w:val="00157E23"/>
    <w:rsid w:val="00157FC3"/>
    <w:rsid w:val="00160ACE"/>
    <w:rsid w:val="00161C4F"/>
    <w:rsid w:val="00161C84"/>
    <w:rsid w:val="00161F2A"/>
    <w:rsid w:val="00161FDF"/>
    <w:rsid w:val="00162091"/>
    <w:rsid w:val="001626BD"/>
    <w:rsid w:val="00162C33"/>
    <w:rsid w:val="0016340E"/>
    <w:rsid w:val="00164E23"/>
    <w:rsid w:val="0016595F"/>
    <w:rsid w:val="00165A4C"/>
    <w:rsid w:val="001669D4"/>
    <w:rsid w:val="00166A2C"/>
    <w:rsid w:val="00166BF2"/>
    <w:rsid w:val="00166CC3"/>
    <w:rsid w:val="00167E68"/>
    <w:rsid w:val="00170A9E"/>
    <w:rsid w:val="00170ED1"/>
    <w:rsid w:val="0017121A"/>
    <w:rsid w:val="00171401"/>
    <w:rsid w:val="0017141F"/>
    <w:rsid w:val="00171777"/>
    <w:rsid w:val="001719FB"/>
    <w:rsid w:val="00172B65"/>
    <w:rsid w:val="00172EF5"/>
    <w:rsid w:val="001732E1"/>
    <w:rsid w:val="00174268"/>
    <w:rsid w:val="0017486B"/>
    <w:rsid w:val="0017613E"/>
    <w:rsid w:val="00177167"/>
    <w:rsid w:val="00177753"/>
    <w:rsid w:val="00177BE4"/>
    <w:rsid w:val="00180EDB"/>
    <w:rsid w:val="00181A71"/>
    <w:rsid w:val="00182329"/>
    <w:rsid w:val="0018261B"/>
    <w:rsid w:val="001834A7"/>
    <w:rsid w:val="0018373B"/>
    <w:rsid w:val="00183C79"/>
    <w:rsid w:val="00183C8B"/>
    <w:rsid w:val="00183E75"/>
    <w:rsid w:val="001845CF"/>
    <w:rsid w:val="001865BB"/>
    <w:rsid w:val="00186EAE"/>
    <w:rsid w:val="00186F7A"/>
    <w:rsid w:val="00187518"/>
    <w:rsid w:val="00187743"/>
    <w:rsid w:val="00187F07"/>
    <w:rsid w:val="0019096C"/>
    <w:rsid w:val="00191EA7"/>
    <w:rsid w:val="00192164"/>
    <w:rsid w:val="00192883"/>
    <w:rsid w:val="00194C98"/>
    <w:rsid w:val="00194FB7"/>
    <w:rsid w:val="00195D28"/>
    <w:rsid w:val="00196B4E"/>
    <w:rsid w:val="001975A1"/>
    <w:rsid w:val="001A027A"/>
    <w:rsid w:val="001A08E4"/>
    <w:rsid w:val="001A0D2C"/>
    <w:rsid w:val="001A12B5"/>
    <w:rsid w:val="001A1C72"/>
    <w:rsid w:val="001A3980"/>
    <w:rsid w:val="001A422B"/>
    <w:rsid w:val="001A440A"/>
    <w:rsid w:val="001A4A55"/>
    <w:rsid w:val="001A5C6F"/>
    <w:rsid w:val="001A6A4F"/>
    <w:rsid w:val="001A76B7"/>
    <w:rsid w:val="001B015C"/>
    <w:rsid w:val="001B1339"/>
    <w:rsid w:val="001B1B58"/>
    <w:rsid w:val="001B1F55"/>
    <w:rsid w:val="001B2049"/>
    <w:rsid w:val="001B2934"/>
    <w:rsid w:val="001B4A37"/>
    <w:rsid w:val="001B5963"/>
    <w:rsid w:val="001B6FAD"/>
    <w:rsid w:val="001C04B2"/>
    <w:rsid w:val="001C14C1"/>
    <w:rsid w:val="001C1FDE"/>
    <w:rsid w:val="001C2063"/>
    <w:rsid w:val="001C21E1"/>
    <w:rsid w:val="001C3426"/>
    <w:rsid w:val="001C4675"/>
    <w:rsid w:val="001C4768"/>
    <w:rsid w:val="001C5839"/>
    <w:rsid w:val="001C6AF6"/>
    <w:rsid w:val="001C7129"/>
    <w:rsid w:val="001C77E1"/>
    <w:rsid w:val="001C7ADA"/>
    <w:rsid w:val="001C7B48"/>
    <w:rsid w:val="001C7EA0"/>
    <w:rsid w:val="001D121D"/>
    <w:rsid w:val="001D3543"/>
    <w:rsid w:val="001D4151"/>
    <w:rsid w:val="001D58E5"/>
    <w:rsid w:val="001D7299"/>
    <w:rsid w:val="001E0FAB"/>
    <w:rsid w:val="001E2084"/>
    <w:rsid w:val="001E2502"/>
    <w:rsid w:val="001E292F"/>
    <w:rsid w:val="001E351C"/>
    <w:rsid w:val="001E474D"/>
    <w:rsid w:val="001E5194"/>
    <w:rsid w:val="001E5851"/>
    <w:rsid w:val="001E5A81"/>
    <w:rsid w:val="001E62FB"/>
    <w:rsid w:val="001E68FE"/>
    <w:rsid w:val="001E6A0B"/>
    <w:rsid w:val="001E77DA"/>
    <w:rsid w:val="001E7A2F"/>
    <w:rsid w:val="001E7AB0"/>
    <w:rsid w:val="001E7DD0"/>
    <w:rsid w:val="001F0349"/>
    <w:rsid w:val="001F077B"/>
    <w:rsid w:val="001F0B74"/>
    <w:rsid w:val="001F1045"/>
    <w:rsid w:val="001F2648"/>
    <w:rsid w:val="001F3E37"/>
    <w:rsid w:val="001F41B9"/>
    <w:rsid w:val="001F4BE8"/>
    <w:rsid w:val="001F4EB8"/>
    <w:rsid w:val="001F560A"/>
    <w:rsid w:val="001F6270"/>
    <w:rsid w:val="001F6318"/>
    <w:rsid w:val="001F65B1"/>
    <w:rsid w:val="001F6B83"/>
    <w:rsid w:val="001F6F6A"/>
    <w:rsid w:val="001F7595"/>
    <w:rsid w:val="002000B8"/>
    <w:rsid w:val="002005CD"/>
    <w:rsid w:val="00200B4C"/>
    <w:rsid w:val="00202F46"/>
    <w:rsid w:val="00203267"/>
    <w:rsid w:val="00203897"/>
    <w:rsid w:val="0020391D"/>
    <w:rsid w:val="00205F9C"/>
    <w:rsid w:val="002060F7"/>
    <w:rsid w:val="00207BC6"/>
    <w:rsid w:val="00210771"/>
    <w:rsid w:val="00210EE2"/>
    <w:rsid w:val="00211885"/>
    <w:rsid w:val="00212864"/>
    <w:rsid w:val="00212ADF"/>
    <w:rsid w:val="002134CF"/>
    <w:rsid w:val="00213A60"/>
    <w:rsid w:val="0021429B"/>
    <w:rsid w:val="00215699"/>
    <w:rsid w:val="002159DE"/>
    <w:rsid w:val="00215E99"/>
    <w:rsid w:val="0021667D"/>
    <w:rsid w:val="002166A1"/>
    <w:rsid w:val="002166A6"/>
    <w:rsid w:val="00216BB6"/>
    <w:rsid w:val="0022039D"/>
    <w:rsid w:val="0022048B"/>
    <w:rsid w:val="0022175C"/>
    <w:rsid w:val="00222261"/>
    <w:rsid w:val="002227DF"/>
    <w:rsid w:val="00223AC8"/>
    <w:rsid w:val="00223C96"/>
    <w:rsid w:val="00224852"/>
    <w:rsid w:val="00224BE4"/>
    <w:rsid w:val="0022634D"/>
    <w:rsid w:val="00227512"/>
    <w:rsid w:val="0022766E"/>
    <w:rsid w:val="0022777A"/>
    <w:rsid w:val="002278D5"/>
    <w:rsid w:val="00227C13"/>
    <w:rsid w:val="00227D49"/>
    <w:rsid w:val="00227FC7"/>
    <w:rsid w:val="0023110A"/>
    <w:rsid w:val="00233A54"/>
    <w:rsid w:val="00234440"/>
    <w:rsid w:val="002347C9"/>
    <w:rsid w:val="00236E72"/>
    <w:rsid w:val="0023738E"/>
    <w:rsid w:val="002411BD"/>
    <w:rsid w:val="00242ED3"/>
    <w:rsid w:val="00244711"/>
    <w:rsid w:val="00244AE4"/>
    <w:rsid w:val="00245EBE"/>
    <w:rsid w:val="002472C1"/>
    <w:rsid w:val="002473F4"/>
    <w:rsid w:val="00247D64"/>
    <w:rsid w:val="00250934"/>
    <w:rsid w:val="00250F42"/>
    <w:rsid w:val="00252EBA"/>
    <w:rsid w:val="0025361A"/>
    <w:rsid w:val="002545EF"/>
    <w:rsid w:val="00254B44"/>
    <w:rsid w:val="00254E99"/>
    <w:rsid w:val="00255B9B"/>
    <w:rsid w:val="00256596"/>
    <w:rsid w:val="0026027A"/>
    <w:rsid w:val="00260533"/>
    <w:rsid w:val="002605CE"/>
    <w:rsid w:val="00261367"/>
    <w:rsid w:val="00261A54"/>
    <w:rsid w:val="00261C21"/>
    <w:rsid w:val="00261D37"/>
    <w:rsid w:val="00262D6B"/>
    <w:rsid w:val="00262ED0"/>
    <w:rsid w:val="00263607"/>
    <w:rsid w:val="002638EE"/>
    <w:rsid w:val="00264965"/>
    <w:rsid w:val="002656E1"/>
    <w:rsid w:val="00265CFF"/>
    <w:rsid w:val="002702CD"/>
    <w:rsid w:val="00270B4E"/>
    <w:rsid w:val="00271500"/>
    <w:rsid w:val="00272E57"/>
    <w:rsid w:val="00274663"/>
    <w:rsid w:val="00275641"/>
    <w:rsid w:val="0027569A"/>
    <w:rsid w:val="002767D9"/>
    <w:rsid w:val="00280382"/>
    <w:rsid w:val="00280F4B"/>
    <w:rsid w:val="002816D0"/>
    <w:rsid w:val="002821E9"/>
    <w:rsid w:val="002827D2"/>
    <w:rsid w:val="002835B7"/>
    <w:rsid w:val="00284C1F"/>
    <w:rsid w:val="00284F69"/>
    <w:rsid w:val="002851AF"/>
    <w:rsid w:val="00285866"/>
    <w:rsid w:val="00286129"/>
    <w:rsid w:val="0028787B"/>
    <w:rsid w:val="00290263"/>
    <w:rsid w:val="002908A7"/>
    <w:rsid w:val="00291768"/>
    <w:rsid w:val="00291796"/>
    <w:rsid w:val="00292F66"/>
    <w:rsid w:val="0029315D"/>
    <w:rsid w:val="00293A33"/>
    <w:rsid w:val="0029449E"/>
    <w:rsid w:val="0029488D"/>
    <w:rsid w:val="0029530C"/>
    <w:rsid w:val="00296020"/>
    <w:rsid w:val="00296695"/>
    <w:rsid w:val="0029693F"/>
    <w:rsid w:val="002969C6"/>
    <w:rsid w:val="00296BE2"/>
    <w:rsid w:val="00296F46"/>
    <w:rsid w:val="00296F8A"/>
    <w:rsid w:val="002A11CE"/>
    <w:rsid w:val="002A13E2"/>
    <w:rsid w:val="002A180F"/>
    <w:rsid w:val="002A1B36"/>
    <w:rsid w:val="002A37E6"/>
    <w:rsid w:val="002A4DFC"/>
    <w:rsid w:val="002B18D6"/>
    <w:rsid w:val="002B22D4"/>
    <w:rsid w:val="002B3984"/>
    <w:rsid w:val="002B4BF3"/>
    <w:rsid w:val="002B55C8"/>
    <w:rsid w:val="002B5E4B"/>
    <w:rsid w:val="002B64E9"/>
    <w:rsid w:val="002B660D"/>
    <w:rsid w:val="002B7969"/>
    <w:rsid w:val="002C0031"/>
    <w:rsid w:val="002C0485"/>
    <w:rsid w:val="002C0762"/>
    <w:rsid w:val="002C257A"/>
    <w:rsid w:val="002C2BEC"/>
    <w:rsid w:val="002C30C0"/>
    <w:rsid w:val="002C4F4B"/>
    <w:rsid w:val="002C5233"/>
    <w:rsid w:val="002C6EC0"/>
    <w:rsid w:val="002C7258"/>
    <w:rsid w:val="002D0189"/>
    <w:rsid w:val="002D0356"/>
    <w:rsid w:val="002D07C0"/>
    <w:rsid w:val="002D0F98"/>
    <w:rsid w:val="002D1DFB"/>
    <w:rsid w:val="002D45BF"/>
    <w:rsid w:val="002D4A85"/>
    <w:rsid w:val="002D6162"/>
    <w:rsid w:val="002D64DF"/>
    <w:rsid w:val="002D750A"/>
    <w:rsid w:val="002E242E"/>
    <w:rsid w:val="002E2FEC"/>
    <w:rsid w:val="002E38DB"/>
    <w:rsid w:val="002E3BEB"/>
    <w:rsid w:val="002E441D"/>
    <w:rsid w:val="002E4AB1"/>
    <w:rsid w:val="002E4F11"/>
    <w:rsid w:val="002E4F8A"/>
    <w:rsid w:val="002E505D"/>
    <w:rsid w:val="002E6F69"/>
    <w:rsid w:val="002E7296"/>
    <w:rsid w:val="002E73B8"/>
    <w:rsid w:val="002F04A7"/>
    <w:rsid w:val="002F0545"/>
    <w:rsid w:val="002F0823"/>
    <w:rsid w:val="002F2471"/>
    <w:rsid w:val="002F2B7A"/>
    <w:rsid w:val="002F2E1D"/>
    <w:rsid w:val="002F3105"/>
    <w:rsid w:val="002F59F2"/>
    <w:rsid w:val="002F5E6C"/>
    <w:rsid w:val="002F72FF"/>
    <w:rsid w:val="00300BF3"/>
    <w:rsid w:val="0030143F"/>
    <w:rsid w:val="00301A2B"/>
    <w:rsid w:val="00301BCD"/>
    <w:rsid w:val="00302988"/>
    <w:rsid w:val="00303ACF"/>
    <w:rsid w:val="0030463E"/>
    <w:rsid w:val="00304ED6"/>
    <w:rsid w:val="00306654"/>
    <w:rsid w:val="00306D5D"/>
    <w:rsid w:val="00306FF4"/>
    <w:rsid w:val="00310EE1"/>
    <w:rsid w:val="003122B0"/>
    <w:rsid w:val="00312390"/>
    <w:rsid w:val="003123F4"/>
    <w:rsid w:val="00312EAF"/>
    <w:rsid w:val="00313487"/>
    <w:rsid w:val="003138EB"/>
    <w:rsid w:val="00315880"/>
    <w:rsid w:val="00315A06"/>
    <w:rsid w:val="0031678B"/>
    <w:rsid w:val="0031683C"/>
    <w:rsid w:val="00317146"/>
    <w:rsid w:val="003176EA"/>
    <w:rsid w:val="00317D36"/>
    <w:rsid w:val="00321473"/>
    <w:rsid w:val="003225FB"/>
    <w:rsid w:val="00323A7C"/>
    <w:rsid w:val="00323BE9"/>
    <w:rsid w:val="00323C32"/>
    <w:rsid w:val="00323CC7"/>
    <w:rsid w:val="003247BA"/>
    <w:rsid w:val="00324A1D"/>
    <w:rsid w:val="00324C55"/>
    <w:rsid w:val="003250B4"/>
    <w:rsid w:val="00325742"/>
    <w:rsid w:val="00327224"/>
    <w:rsid w:val="00327AB3"/>
    <w:rsid w:val="00327F9E"/>
    <w:rsid w:val="00330527"/>
    <w:rsid w:val="00330C9F"/>
    <w:rsid w:val="003318A6"/>
    <w:rsid w:val="003321A8"/>
    <w:rsid w:val="00332EB1"/>
    <w:rsid w:val="00333E63"/>
    <w:rsid w:val="00334044"/>
    <w:rsid w:val="00334CB0"/>
    <w:rsid w:val="00335188"/>
    <w:rsid w:val="00335234"/>
    <w:rsid w:val="003373B8"/>
    <w:rsid w:val="003413F4"/>
    <w:rsid w:val="00342DC1"/>
    <w:rsid w:val="00342EF7"/>
    <w:rsid w:val="003432B6"/>
    <w:rsid w:val="003434E9"/>
    <w:rsid w:val="00343F41"/>
    <w:rsid w:val="00344BF3"/>
    <w:rsid w:val="00345CC1"/>
    <w:rsid w:val="00345EA7"/>
    <w:rsid w:val="0034652C"/>
    <w:rsid w:val="00346606"/>
    <w:rsid w:val="00346E73"/>
    <w:rsid w:val="00346F27"/>
    <w:rsid w:val="0035067B"/>
    <w:rsid w:val="00350681"/>
    <w:rsid w:val="00350B6E"/>
    <w:rsid w:val="00350FA8"/>
    <w:rsid w:val="00351A4A"/>
    <w:rsid w:val="00351D95"/>
    <w:rsid w:val="00351FB4"/>
    <w:rsid w:val="00353860"/>
    <w:rsid w:val="00354CD9"/>
    <w:rsid w:val="003556C1"/>
    <w:rsid w:val="00355EEE"/>
    <w:rsid w:val="00356FC1"/>
    <w:rsid w:val="00357883"/>
    <w:rsid w:val="00360494"/>
    <w:rsid w:val="00360B7E"/>
    <w:rsid w:val="00360C00"/>
    <w:rsid w:val="00361243"/>
    <w:rsid w:val="00361633"/>
    <w:rsid w:val="00361935"/>
    <w:rsid w:val="003626AE"/>
    <w:rsid w:val="0036292A"/>
    <w:rsid w:val="00362AF3"/>
    <w:rsid w:val="0036467D"/>
    <w:rsid w:val="00364BEE"/>
    <w:rsid w:val="0036508D"/>
    <w:rsid w:val="003651C8"/>
    <w:rsid w:val="00366321"/>
    <w:rsid w:val="00366419"/>
    <w:rsid w:val="003665E3"/>
    <w:rsid w:val="003669F1"/>
    <w:rsid w:val="00366F10"/>
    <w:rsid w:val="003700A3"/>
    <w:rsid w:val="00370B40"/>
    <w:rsid w:val="00371A92"/>
    <w:rsid w:val="00371C15"/>
    <w:rsid w:val="00372CDF"/>
    <w:rsid w:val="00373411"/>
    <w:rsid w:val="0037369C"/>
    <w:rsid w:val="00373D40"/>
    <w:rsid w:val="003741F6"/>
    <w:rsid w:val="00374A29"/>
    <w:rsid w:val="00374FA4"/>
    <w:rsid w:val="003756C6"/>
    <w:rsid w:val="00376548"/>
    <w:rsid w:val="00376E35"/>
    <w:rsid w:val="003773AC"/>
    <w:rsid w:val="00377F6C"/>
    <w:rsid w:val="00380094"/>
    <w:rsid w:val="00380256"/>
    <w:rsid w:val="0038165D"/>
    <w:rsid w:val="00383071"/>
    <w:rsid w:val="00385175"/>
    <w:rsid w:val="00385444"/>
    <w:rsid w:val="00385F39"/>
    <w:rsid w:val="00386070"/>
    <w:rsid w:val="00387DCF"/>
    <w:rsid w:val="00390006"/>
    <w:rsid w:val="003900A5"/>
    <w:rsid w:val="0039012D"/>
    <w:rsid w:val="003917AD"/>
    <w:rsid w:val="003917D1"/>
    <w:rsid w:val="00391FAB"/>
    <w:rsid w:val="00392539"/>
    <w:rsid w:val="00392677"/>
    <w:rsid w:val="0039320C"/>
    <w:rsid w:val="00393431"/>
    <w:rsid w:val="00393633"/>
    <w:rsid w:val="003945E2"/>
    <w:rsid w:val="00394981"/>
    <w:rsid w:val="00395100"/>
    <w:rsid w:val="003953A8"/>
    <w:rsid w:val="003958E6"/>
    <w:rsid w:val="00395D76"/>
    <w:rsid w:val="00396F7B"/>
    <w:rsid w:val="00396FA3"/>
    <w:rsid w:val="0039788E"/>
    <w:rsid w:val="00397F0D"/>
    <w:rsid w:val="003A011D"/>
    <w:rsid w:val="003A0DC3"/>
    <w:rsid w:val="003A1675"/>
    <w:rsid w:val="003A1CA9"/>
    <w:rsid w:val="003A1CF5"/>
    <w:rsid w:val="003A2812"/>
    <w:rsid w:val="003A2D0C"/>
    <w:rsid w:val="003A3304"/>
    <w:rsid w:val="003A3551"/>
    <w:rsid w:val="003A38F0"/>
    <w:rsid w:val="003A3EBB"/>
    <w:rsid w:val="003A443D"/>
    <w:rsid w:val="003A4DE4"/>
    <w:rsid w:val="003A6A5A"/>
    <w:rsid w:val="003A72E9"/>
    <w:rsid w:val="003B11DA"/>
    <w:rsid w:val="003B175A"/>
    <w:rsid w:val="003B3231"/>
    <w:rsid w:val="003B357A"/>
    <w:rsid w:val="003B4274"/>
    <w:rsid w:val="003B499C"/>
    <w:rsid w:val="003B4CCD"/>
    <w:rsid w:val="003B53D4"/>
    <w:rsid w:val="003B56D7"/>
    <w:rsid w:val="003B7298"/>
    <w:rsid w:val="003C0FF8"/>
    <w:rsid w:val="003C1D0C"/>
    <w:rsid w:val="003C1F2E"/>
    <w:rsid w:val="003C42A3"/>
    <w:rsid w:val="003C49D5"/>
    <w:rsid w:val="003C4FD5"/>
    <w:rsid w:val="003C582B"/>
    <w:rsid w:val="003C6BFF"/>
    <w:rsid w:val="003D2333"/>
    <w:rsid w:val="003D2E1B"/>
    <w:rsid w:val="003D3241"/>
    <w:rsid w:val="003D39AE"/>
    <w:rsid w:val="003D3B44"/>
    <w:rsid w:val="003D4804"/>
    <w:rsid w:val="003D5413"/>
    <w:rsid w:val="003D7685"/>
    <w:rsid w:val="003D7E9A"/>
    <w:rsid w:val="003E0366"/>
    <w:rsid w:val="003E100C"/>
    <w:rsid w:val="003E1C0C"/>
    <w:rsid w:val="003E2FFE"/>
    <w:rsid w:val="003E37AA"/>
    <w:rsid w:val="003E4310"/>
    <w:rsid w:val="003E47DE"/>
    <w:rsid w:val="003E4FFA"/>
    <w:rsid w:val="003E6E11"/>
    <w:rsid w:val="003F0536"/>
    <w:rsid w:val="003F10D3"/>
    <w:rsid w:val="003F1548"/>
    <w:rsid w:val="003F2B3D"/>
    <w:rsid w:val="003F2FBA"/>
    <w:rsid w:val="003F3105"/>
    <w:rsid w:val="003F3C44"/>
    <w:rsid w:val="003F4172"/>
    <w:rsid w:val="003F4249"/>
    <w:rsid w:val="003F4768"/>
    <w:rsid w:val="003F4E3B"/>
    <w:rsid w:val="003F5086"/>
    <w:rsid w:val="003F5108"/>
    <w:rsid w:val="003F5C9D"/>
    <w:rsid w:val="003F5D2C"/>
    <w:rsid w:val="003F7679"/>
    <w:rsid w:val="00400C13"/>
    <w:rsid w:val="00401AD9"/>
    <w:rsid w:val="00401F48"/>
    <w:rsid w:val="00402311"/>
    <w:rsid w:val="0040239F"/>
    <w:rsid w:val="00402C97"/>
    <w:rsid w:val="00403364"/>
    <w:rsid w:val="0040415C"/>
    <w:rsid w:val="00404AA4"/>
    <w:rsid w:val="00404AF1"/>
    <w:rsid w:val="00404C61"/>
    <w:rsid w:val="004050C9"/>
    <w:rsid w:val="004051F0"/>
    <w:rsid w:val="00405C04"/>
    <w:rsid w:val="00406314"/>
    <w:rsid w:val="00406376"/>
    <w:rsid w:val="00406896"/>
    <w:rsid w:val="00411B37"/>
    <w:rsid w:val="0041244F"/>
    <w:rsid w:val="004125ED"/>
    <w:rsid w:val="0041353D"/>
    <w:rsid w:val="00413B39"/>
    <w:rsid w:val="0041450E"/>
    <w:rsid w:val="0041456E"/>
    <w:rsid w:val="00415370"/>
    <w:rsid w:val="00415781"/>
    <w:rsid w:val="00416485"/>
    <w:rsid w:val="00416F40"/>
    <w:rsid w:val="00417769"/>
    <w:rsid w:val="00417F0D"/>
    <w:rsid w:val="00420765"/>
    <w:rsid w:val="00421EF2"/>
    <w:rsid w:val="00422668"/>
    <w:rsid w:val="0042482B"/>
    <w:rsid w:val="00424946"/>
    <w:rsid w:val="0042602D"/>
    <w:rsid w:val="004261DA"/>
    <w:rsid w:val="00427004"/>
    <w:rsid w:val="00431540"/>
    <w:rsid w:val="00431AC1"/>
    <w:rsid w:val="00431DE1"/>
    <w:rsid w:val="004329C9"/>
    <w:rsid w:val="00432CD5"/>
    <w:rsid w:val="00432EF0"/>
    <w:rsid w:val="0043396E"/>
    <w:rsid w:val="00433CDB"/>
    <w:rsid w:val="00435D29"/>
    <w:rsid w:val="004363FA"/>
    <w:rsid w:val="004364CC"/>
    <w:rsid w:val="00437141"/>
    <w:rsid w:val="004405B0"/>
    <w:rsid w:val="00440853"/>
    <w:rsid w:val="00441905"/>
    <w:rsid w:val="00441FF9"/>
    <w:rsid w:val="0044382F"/>
    <w:rsid w:val="00443B96"/>
    <w:rsid w:val="00443E1D"/>
    <w:rsid w:val="004442EB"/>
    <w:rsid w:val="00444FA3"/>
    <w:rsid w:val="004459DC"/>
    <w:rsid w:val="00446553"/>
    <w:rsid w:val="00446A92"/>
    <w:rsid w:val="004501B4"/>
    <w:rsid w:val="0045082F"/>
    <w:rsid w:val="00450C00"/>
    <w:rsid w:val="0045135E"/>
    <w:rsid w:val="00452434"/>
    <w:rsid w:val="00452C53"/>
    <w:rsid w:val="004539C7"/>
    <w:rsid w:val="00454597"/>
    <w:rsid w:val="004548E6"/>
    <w:rsid w:val="0045543A"/>
    <w:rsid w:val="0045543C"/>
    <w:rsid w:val="004556FB"/>
    <w:rsid w:val="00455880"/>
    <w:rsid w:val="004561F9"/>
    <w:rsid w:val="0045637C"/>
    <w:rsid w:val="004563C4"/>
    <w:rsid w:val="004569A3"/>
    <w:rsid w:val="004578ED"/>
    <w:rsid w:val="00457EFC"/>
    <w:rsid w:val="0046064C"/>
    <w:rsid w:val="004611B6"/>
    <w:rsid w:val="00461997"/>
    <w:rsid w:val="00463F8B"/>
    <w:rsid w:val="004644C2"/>
    <w:rsid w:val="004649AD"/>
    <w:rsid w:val="004650E7"/>
    <w:rsid w:val="0046687B"/>
    <w:rsid w:val="00466CB4"/>
    <w:rsid w:val="00470418"/>
    <w:rsid w:val="004704EA"/>
    <w:rsid w:val="0047071D"/>
    <w:rsid w:val="004720F6"/>
    <w:rsid w:val="004727C4"/>
    <w:rsid w:val="00472F62"/>
    <w:rsid w:val="00473579"/>
    <w:rsid w:val="00473E50"/>
    <w:rsid w:val="00474E5A"/>
    <w:rsid w:val="00475355"/>
    <w:rsid w:val="0047558F"/>
    <w:rsid w:val="00475FD5"/>
    <w:rsid w:val="00476FED"/>
    <w:rsid w:val="0047725A"/>
    <w:rsid w:val="004812F4"/>
    <w:rsid w:val="0048231B"/>
    <w:rsid w:val="004838D4"/>
    <w:rsid w:val="004845AC"/>
    <w:rsid w:val="00484C31"/>
    <w:rsid w:val="00485E3C"/>
    <w:rsid w:val="00486F09"/>
    <w:rsid w:val="004877FB"/>
    <w:rsid w:val="004906DB"/>
    <w:rsid w:val="00490C0F"/>
    <w:rsid w:val="00491FF2"/>
    <w:rsid w:val="004925EE"/>
    <w:rsid w:val="00492735"/>
    <w:rsid w:val="00493926"/>
    <w:rsid w:val="004945E8"/>
    <w:rsid w:val="00494FC9"/>
    <w:rsid w:val="00495228"/>
    <w:rsid w:val="004963B6"/>
    <w:rsid w:val="004A1AB1"/>
    <w:rsid w:val="004A2013"/>
    <w:rsid w:val="004A201B"/>
    <w:rsid w:val="004A2B7A"/>
    <w:rsid w:val="004A3EB3"/>
    <w:rsid w:val="004A4377"/>
    <w:rsid w:val="004A57EB"/>
    <w:rsid w:val="004A5824"/>
    <w:rsid w:val="004A59D3"/>
    <w:rsid w:val="004A6156"/>
    <w:rsid w:val="004A6D7C"/>
    <w:rsid w:val="004A6F11"/>
    <w:rsid w:val="004A7224"/>
    <w:rsid w:val="004A74DD"/>
    <w:rsid w:val="004B00D1"/>
    <w:rsid w:val="004B0AC8"/>
    <w:rsid w:val="004B0B57"/>
    <w:rsid w:val="004B0BBE"/>
    <w:rsid w:val="004B0EB0"/>
    <w:rsid w:val="004B1246"/>
    <w:rsid w:val="004B1CAB"/>
    <w:rsid w:val="004B2FF9"/>
    <w:rsid w:val="004B3506"/>
    <w:rsid w:val="004B36ED"/>
    <w:rsid w:val="004B40DB"/>
    <w:rsid w:val="004B4EF6"/>
    <w:rsid w:val="004B612E"/>
    <w:rsid w:val="004B623B"/>
    <w:rsid w:val="004B6554"/>
    <w:rsid w:val="004B6B22"/>
    <w:rsid w:val="004B6C50"/>
    <w:rsid w:val="004C0DA0"/>
    <w:rsid w:val="004C3E02"/>
    <w:rsid w:val="004C422D"/>
    <w:rsid w:val="004C440E"/>
    <w:rsid w:val="004C4CEB"/>
    <w:rsid w:val="004C5CBA"/>
    <w:rsid w:val="004C64D8"/>
    <w:rsid w:val="004C64F7"/>
    <w:rsid w:val="004C6C09"/>
    <w:rsid w:val="004C6EA3"/>
    <w:rsid w:val="004C7BCD"/>
    <w:rsid w:val="004D000F"/>
    <w:rsid w:val="004D055D"/>
    <w:rsid w:val="004D1240"/>
    <w:rsid w:val="004D12B8"/>
    <w:rsid w:val="004D12F6"/>
    <w:rsid w:val="004D1946"/>
    <w:rsid w:val="004D32ED"/>
    <w:rsid w:val="004D3E71"/>
    <w:rsid w:val="004D49EE"/>
    <w:rsid w:val="004D4AE0"/>
    <w:rsid w:val="004D4C0B"/>
    <w:rsid w:val="004D69FC"/>
    <w:rsid w:val="004D72BA"/>
    <w:rsid w:val="004D77BD"/>
    <w:rsid w:val="004D77DE"/>
    <w:rsid w:val="004D7BF4"/>
    <w:rsid w:val="004D7C92"/>
    <w:rsid w:val="004E295C"/>
    <w:rsid w:val="004E38B2"/>
    <w:rsid w:val="004E3936"/>
    <w:rsid w:val="004E490B"/>
    <w:rsid w:val="004E57F7"/>
    <w:rsid w:val="004E5D9C"/>
    <w:rsid w:val="004E6191"/>
    <w:rsid w:val="004E6707"/>
    <w:rsid w:val="004E6B8E"/>
    <w:rsid w:val="004F0543"/>
    <w:rsid w:val="004F0D33"/>
    <w:rsid w:val="004F2385"/>
    <w:rsid w:val="004F246C"/>
    <w:rsid w:val="004F3A97"/>
    <w:rsid w:val="004F5591"/>
    <w:rsid w:val="004F5D14"/>
    <w:rsid w:val="004F68DC"/>
    <w:rsid w:val="004F7F44"/>
    <w:rsid w:val="00500598"/>
    <w:rsid w:val="00500F52"/>
    <w:rsid w:val="00500F7A"/>
    <w:rsid w:val="005012AD"/>
    <w:rsid w:val="005016E5"/>
    <w:rsid w:val="00501A56"/>
    <w:rsid w:val="00502317"/>
    <w:rsid w:val="005027BB"/>
    <w:rsid w:val="00503415"/>
    <w:rsid w:val="005034C1"/>
    <w:rsid w:val="005037E1"/>
    <w:rsid w:val="00503B5C"/>
    <w:rsid w:val="0050456A"/>
    <w:rsid w:val="0050487B"/>
    <w:rsid w:val="00505C46"/>
    <w:rsid w:val="005068E1"/>
    <w:rsid w:val="005070B6"/>
    <w:rsid w:val="005077C5"/>
    <w:rsid w:val="00510111"/>
    <w:rsid w:val="00510B80"/>
    <w:rsid w:val="0051168A"/>
    <w:rsid w:val="005117D2"/>
    <w:rsid w:val="005118A6"/>
    <w:rsid w:val="005122F4"/>
    <w:rsid w:val="0051405F"/>
    <w:rsid w:val="00514277"/>
    <w:rsid w:val="0051444F"/>
    <w:rsid w:val="005156A6"/>
    <w:rsid w:val="00516393"/>
    <w:rsid w:val="00516669"/>
    <w:rsid w:val="005179A5"/>
    <w:rsid w:val="00520B4F"/>
    <w:rsid w:val="00522582"/>
    <w:rsid w:val="00524AD7"/>
    <w:rsid w:val="005254FD"/>
    <w:rsid w:val="005268A9"/>
    <w:rsid w:val="0052720F"/>
    <w:rsid w:val="00527421"/>
    <w:rsid w:val="005275C4"/>
    <w:rsid w:val="00527D36"/>
    <w:rsid w:val="00531076"/>
    <w:rsid w:val="00531D28"/>
    <w:rsid w:val="005328A8"/>
    <w:rsid w:val="005338EE"/>
    <w:rsid w:val="00533920"/>
    <w:rsid w:val="00535141"/>
    <w:rsid w:val="00535324"/>
    <w:rsid w:val="00535504"/>
    <w:rsid w:val="005363B4"/>
    <w:rsid w:val="0053712D"/>
    <w:rsid w:val="005403F4"/>
    <w:rsid w:val="00540B60"/>
    <w:rsid w:val="00541076"/>
    <w:rsid w:val="00541136"/>
    <w:rsid w:val="0054216F"/>
    <w:rsid w:val="00542F18"/>
    <w:rsid w:val="0054343C"/>
    <w:rsid w:val="00544853"/>
    <w:rsid w:val="00544CA5"/>
    <w:rsid w:val="005450E2"/>
    <w:rsid w:val="00545B19"/>
    <w:rsid w:val="00547404"/>
    <w:rsid w:val="005474A2"/>
    <w:rsid w:val="00547520"/>
    <w:rsid w:val="0055035F"/>
    <w:rsid w:val="005507FD"/>
    <w:rsid w:val="005511C0"/>
    <w:rsid w:val="00551D4B"/>
    <w:rsid w:val="00551E3C"/>
    <w:rsid w:val="0055232C"/>
    <w:rsid w:val="0055278E"/>
    <w:rsid w:val="00555488"/>
    <w:rsid w:val="0055549A"/>
    <w:rsid w:val="00555B18"/>
    <w:rsid w:val="00555C9C"/>
    <w:rsid w:val="00556A4D"/>
    <w:rsid w:val="00557319"/>
    <w:rsid w:val="0055764E"/>
    <w:rsid w:val="00560528"/>
    <w:rsid w:val="00560699"/>
    <w:rsid w:val="00561503"/>
    <w:rsid w:val="00561923"/>
    <w:rsid w:val="005622F8"/>
    <w:rsid w:val="0056310A"/>
    <w:rsid w:val="0056336F"/>
    <w:rsid w:val="00563B9D"/>
    <w:rsid w:val="00565AF7"/>
    <w:rsid w:val="00566024"/>
    <w:rsid w:val="005671C3"/>
    <w:rsid w:val="0057060C"/>
    <w:rsid w:val="00570C0B"/>
    <w:rsid w:val="0057189C"/>
    <w:rsid w:val="00571BD2"/>
    <w:rsid w:val="00571CD7"/>
    <w:rsid w:val="00571D59"/>
    <w:rsid w:val="00572E3E"/>
    <w:rsid w:val="0057332B"/>
    <w:rsid w:val="0057364D"/>
    <w:rsid w:val="005737FC"/>
    <w:rsid w:val="0057420B"/>
    <w:rsid w:val="0057593B"/>
    <w:rsid w:val="005762CE"/>
    <w:rsid w:val="00576DC0"/>
    <w:rsid w:val="00580280"/>
    <w:rsid w:val="00580B9E"/>
    <w:rsid w:val="00580DAB"/>
    <w:rsid w:val="0058135A"/>
    <w:rsid w:val="005817D9"/>
    <w:rsid w:val="00581F7C"/>
    <w:rsid w:val="00583358"/>
    <w:rsid w:val="005839BF"/>
    <w:rsid w:val="00584058"/>
    <w:rsid w:val="00584413"/>
    <w:rsid w:val="005844A5"/>
    <w:rsid w:val="005846B4"/>
    <w:rsid w:val="005850E5"/>
    <w:rsid w:val="005851E0"/>
    <w:rsid w:val="00585571"/>
    <w:rsid w:val="005856F9"/>
    <w:rsid w:val="00585B91"/>
    <w:rsid w:val="00586BB0"/>
    <w:rsid w:val="00586BF1"/>
    <w:rsid w:val="00587DC4"/>
    <w:rsid w:val="0059008F"/>
    <w:rsid w:val="005903E4"/>
    <w:rsid w:val="005907D5"/>
    <w:rsid w:val="005910C0"/>
    <w:rsid w:val="005913EE"/>
    <w:rsid w:val="00592461"/>
    <w:rsid w:val="005950D6"/>
    <w:rsid w:val="0059519C"/>
    <w:rsid w:val="00595524"/>
    <w:rsid w:val="005974F3"/>
    <w:rsid w:val="0059751C"/>
    <w:rsid w:val="00597919"/>
    <w:rsid w:val="00597F9F"/>
    <w:rsid w:val="005A0B9F"/>
    <w:rsid w:val="005A0EFC"/>
    <w:rsid w:val="005A44E7"/>
    <w:rsid w:val="005A5D8E"/>
    <w:rsid w:val="005A63D8"/>
    <w:rsid w:val="005A71A7"/>
    <w:rsid w:val="005A7420"/>
    <w:rsid w:val="005A7C14"/>
    <w:rsid w:val="005A7DBE"/>
    <w:rsid w:val="005B152C"/>
    <w:rsid w:val="005B1C64"/>
    <w:rsid w:val="005B1DE8"/>
    <w:rsid w:val="005B2294"/>
    <w:rsid w:val="005B271E"/>
    <w:rsid w:val="005B2807"/>
    <w:rsid w:val="005B3606"/>
    <w:rsid w:val="005B388D"/>
    <w:rsid w:val="005B3E08"/>
    <w:rsid w:val="005B49B6"/>
    <w:rsid w:val="005B56EE"/>
    <w:rsid w:val="005B63E1"/>
    <w:rsid w:val="005B672C"/>
    <w:rsid w:val="005B747D"/>
    <w:rsid w:val="005B7733"/>
    <w:rsid w:val="005B7A22"/>
    <w:rsid w:val="005C0602"/>
    <w:rsid w:val="005C0D5D"/>
    <w:rsid w:val="005C1415"/>
    <w:rsid w:val="005C191A"/>
    <w:rsid w:val="005C2AA9"/>
    <w:rsid w:val="005C330D"/>
    <w:rsid w:val="005C40C7"/>
    <w:rsid w:val="005C4114"/>
    <w:rsid w:val="005C4EFF"/>
    <w:rsid w:val="005C4F43"/>
    <w:rsid w:val="005C6CC6"/>
    <w:rsid w:val="005C6E71"/>
    <w:rsid w:val="005C7363"/>
    <w:rsid w:val="005D0B55"/>
    <w:rsid w:val="005D4A04"/>
    <w:rsid w:val="005D4CF7"/>
    <w:rsid w:val="005D5347"/>
    <w:rsid w:val="005D5CC5"/>
    <w:rsid w:val="005D5FE6"/>
    <w:rsid w:val="005D61EA"/>
    <w:rsid w:val="005D74D8"/>
    <w:rsid w:val="005D787B"/>
    <w:rsid w:val="005E031D"/>
    <w:rsid w:val="005E03AC"/>
    <w:rsid w:val="005E04B5"/>
    <w:rsid w:val="005E0621"/>
    <w:rsid w:val="005E12BE"/>
    <w:rsid w:val="005E2C81"/>
    <w:rsid w:val="005E4D3C"/>
    <w:rsid w:val="005E7158"/>
    <w:rsid w:val="005E7ECB"/>
    <w:rsid w:val="005F0C00"/>
    <w:rsid w:val="005F1037"/>
    <w:rsid w:val="005F2BF8"/>
    <w:rsid w:val="005F2EA8"/>
    <w:rsid w:val="005F3B04"/>
    <w:rsid w:val="005F5574"/>
    <w:rsid w:val="005F5D1D"/>
    <w:rsid w:val="005F60C9"/>
    <w:rsid w:val="005F64C6"/>
    <w:rsid w:val="006008F1"/>
    <w:rsid w:val="00601714"/>
    <w:rsid w:val="00601735"/>
    <w:rsid w:val="00602BD2"/>
    <w:rsid w:val="00604980"/>
    <w:rsid w:val="0060614D"/>
    <w:rsid w:val="006100A4"/>
    <w:rsid w:val="00610871"/>
    <w:rsid w:val="00610E48"/>
    <w:rsid w:val="00610FE0"/>
    <w:rsid w:val="00613C47"/>
    <w:rsid w:val="00615086"/>
    <w:rsid w:val="00616201"/>
    <w:rsid w:val="00616225"/>
    <w:rsid w:val="00616BA2"/>
    <w:rsid w:val="0061705E"/>
    <w:rsid w:val="00617070"/>
    <w:rsid w:val="006170F1"/>
    <w:rsid w:val="00617914"/>
    <w:rsid w:val="00617A8B"/>
    <w:rsid w:val="00621904"/>
    <w:rsid w:val="00622248"/>
    <w:rsid w:val="00622FEA"/>
    <w:rsid w:val="00623CDF"/>
    <w:rsid w:val="00623DB1"/>
    <w:rsid w:val="006245F3"/>
    <w:rsid w:val="0062485E"/>
    <w:rsid w:val="00624DBE"/>
    <w:rsid w:val="00625450"/>
    <w:rsid w:val="0062557A"/>
    <w:rsid w:val="0062624F"/>
    <w:rsid w:val="006319CA"/>
    <w:rsid w:val="00633B3E"/>
    <w:rsid w:val="00634EC0"/>
    <w:rsid w:val="0063627F"/>
    <w:rsid w:val="006376C4"/>
    <w:rsid w:val="006403E7"/>
    <w:rsid w:val="00642D72"/>
    <w:rsid w:val="006443CB"/>
    <w:rsid w:val="006448B8"/>
    <w:rsid w:val="00644F80"/>
    <w:rsid w:val="00645874"/>
    <w:rsid w:val="00647673"/>
    <w:rsid w:val="00650F81"/>
    <w:rsid w:val="00650FC7"/>
    <w:rsid w:val="00651822"/>
    <w:rsid w:val="00651F86"/>
    <w:rsid w:val="00652D6B"/>
    <w:rsid w:val="0065395E"/>
    <w:rsid w:val="00653C24"/>
    <w:rsid w:val="00653D68"/>
    <w:rsid w:val="00653E4E"/>
    <w:rsid w:val="00654275"/>
    <w:rsid w:val="0065446D"/>
    <w:rsid w:val="00654891"/>
    <w:rsid w:val="00654894"/>
    <w:rsid w:val="00655104"/>
    <w:rsid w:val="00656067"/>
    <w:rsid w:val="00660693"/>
    <w:rsid w:val="006611D6"/>
    <w:rsid w:val="00661918"/>
    <w:rsid w:val="00662A5A"/>
    <w:rsid w:val="006636D0"/>
    <w:rsid w:val="00663834"/>
    <w:rsid w:val="00663BF1"/>
    <w:rsid w:val="006647D7"/>
    <w:rsid w:val="00664F1B"/>
    <w:rsid w:val="006653D7"/>
    <w:rsid w:val="00665BFF"/>
    <w:rsid w:val="006665BA"/>
    <w:rsid w:val="00666A4F"/>
    <w:rsid w:val="00667477"/>
    <w:rsid w:val="006703D9"/>
    <w:rsid w:val="00672DFC"/>
    <w:rsid w:val="00672F5B"/>
    <w:rsid w:val="00673DEE"/>
    <w:rsid w:val="00674E69"/>
    <w:rsid w:val="00675720"/>
    <w:rsid w:val="0067738E"/>
    <w:rsid w:val="00677F23"/>
    <w:rsid w:val="0068015A"/>
    <w:rsid w:val="0068055B"/>
    <w:rsid w:val="00680936"/>
    <w:rsid w:val="00680D8C"/>
    <w:rsid w:val="00680D99"/>
    <w:rsid w:val="006821B2"/>
    <w:rsid w:val="00682725"/>
    <w:rsid w:val="00682A1B"/>
    <w:rsid w:val="00682D73"/>
    <w:rsid w:val="00682ED3"/>
    <w:rsid w:val="00683126"/>
    <w:rsid w:val="00683993"/>
    <w:rsid w:val="006846E8"/>
    <w:rsid w:val="00685EBD"/>
    <w:rsid w:val="006861C3"/>
    <w:rsid w:val="00686AF3"/>
    <w:rsid w:val="00690F1F"/>
    <w:rsid w:val="006915BD"/>
    <w:rsid w:val="006915F2"/>
    <w:rsid w:val="00691DC2"/>
    <w:rsid w:val="00692582"/>
    <w:rsid w:val="00692592"/>
    <w:rsid w:val="00692A2F"/>
    <w:rsid w:val="0069322C"/>
    <w:rsid w:val="00693652"/>
    <w:rsid w:val="006939E7"/>
    <w:rsid w:val="00693D3E"/>
    <w:rsid w:val="006942F7"/>
    <w:rsid w:val="006956FB"/>
    <w:rsid w:val="00697D85"/>
    <w:rsid w:val="006A1A71"/>
    <w:rsid w:val="006A1D3D"/>
    <w:rsid w:val="006A2150"/>
    <w:rsid w:val="006A2216"/>
    <w:rsid w:val="006A241D"/>
    <w:rsid w:val="006A3288"/>
    <w:rsid w:val="006A43E6"/>
    <w:rsid w:val="006A47EB"/>
    <w:rsid w:val="006A4A22"/>
    <w:rsid w:val="006A4AEE"/>
    <w:rsid w:val="006A5E74"/>
    <w:rsid w:val="006A70BE"/>
    <w:rsid w:val="006A7290"/>
    <w:rsid w:val="006A7934"/>
    <w:rsid w:val="006A7BC8"/>
    <w:rsid w:val="006B0001"/>
    <w:rsid w:val="006B054B"/>
    <w:rsid w:val="006B059F"/>
    <w:rsid w:val="006B0E3A"/>
    <w:rsid w:val="006B2048"/>
    <w:rsid w:val="006B215A"/>
    <w:rsid w:val="006B2AD6"/>
    <w:rsid w:val="006B342E"/>
    <w:rsid w:val="006B3812"/>
    <w:rsid w:val="006B3B80"/>
    <w:rsid w:val="006B6EF0"/>
    <w:rsid w:val="006B6F32"/>
    <w:rsid w:val="006B7130"/>
    <w:rsid w:val="006B73CC"/>
    <w:rsid w:val="006B7695"/>
    <w:rsid w:val="006C0176"/>
    <w:rsid w:val="006C2994"/>
    <w:rsid w:val="006C35EC"/>
    <w:rsid w:val="006C4150"/>
    <w:rsid w:val="006C4382"/>
    <w:rsid w:val="006C4891"/>
    <w:rsid w:val="006C52BC"/>
    <w:rsid w:val="006C5683"/>
    <w:rsid w:val="006C5E33"/>
    <w:rsid w:val="006C5E48"/>
    <w:rsid w:val="006C6434"/>
    <w:rsid w:val="006C6CD8"/>
    <w:rsid w:val="006C70BB"/>
    <w:rsid w:val="006C7EB1"/>
    <w:rsid w:val="006D013F"/>
    <w:rsid w:val="006D017F"/>
    <w:rsid w:val="006D08BD"/>
    <w:rsid w:val="006D0F8E"/>
    <w:rsid w:val="006D1416"/>
    <w:rsid w:val="006D1D3F"/>
    <w:rsid w:val="006D253B"/>
    <w:rsid w:val="006D325A"/>
    <w:rsid w:val="006D386A"/>
    <w:rsid w:val="006D4242"/>
    <w:rsid w:val="006D45F0"/>
    <w:rsid w:val="006D4C8F"/>
    <w:rsid w:val="006D52A0"/>
    <w:rsid w:val="006D57CB"/>
    <w:rsid w:val="006D5819"/>
    <w:rsid w:val="006D5E6F"/>
    <w:rsid w:val="006D693F"/>
    <w:rsid w:val="006D6CDD"/>
    <w:rsid w:val="006D7604"/>
    <w:rsid w:val="006D765E"/>
    <w:rsid w:val="006D76CB"/>
    <w:rsid w:val="006E0455"/>
    <w:rsid w:val="006E4238"/>
    <w:rsid w:val="006E4551"/>
    <w:rsid w:val="006E5F01"/>
    <w:rsid w:val="006E7033"/>
    <w:rsid w:val="006E7404"/>
    <w:rsid w:val="006E7B97"/>
    <w:rsid w:val="006F05B9"/>
    <w:rsid w:val="006F1972"/>
    <w:rsid w:val="006F1EA3"/>
    <w:rsid w:val="006F2627"/>
    <w:rsid w:val="006F2A57"/>
    <w:rsid w:val="006F3187"/>
    <w:rsid w:val="006F3568"/>
    <w:rsid w:val="006F40AD"/>
    <w:rsid w:val="006F53EB"/>
    <w:rsid w:val="006F6360"/>
    <w:rsid w:val="006F6436"/>
    <w:rsid w:val="006F65C5"/>
    <w:rsid w:val="006F687A"/>
    <w:rsid w:val="006F68EF"/>
    <w:rsid w:val="006F6D4C"/>
    <w:rsid w:val="006F6E67"/>
    <w:rsid w:val="006F7157"/>
    <w:rsid w:val="006F78E0"/>
    <w:rsid w:val="007023EA"/>
    <w:rsid w:val="00702B1B"/>
    <w:rsid w:val="007032B3"/>
    <w:rsid w:val="00704164"/>
    <w:rsid w:val="007063BD"/>
    <w:rsid w:val="00706446"/>
    <w:rsid w:val="00706A58"/>
    <w:rsid w:val="00707517"/>
    <w:rsid w:val="007078ED"/>
    <w:rsid w:val="00710187"/>
    <w:rsid w:val="007101D7"/>
    <w:rsid w:val="00710D6E"/>
    <w:rsid w:val="007110E1"/>
    <w:rsid w:val="00711B18"/>
    <w:rsid w:val="007126D1"/>
    <w:rsid w:val="00714394"/>
    <w:rsid w:val="00714C87"/>
    <w:rsid w:val="00714ED6"/>
    <w:rsid w:val="00715E8D"/>
    <w:rsid w:val="00721C26"/>
    <w:rsid w:val="00721F7E"/>
    <w:rsid w:val="00722E29"/>
    <w:rsid w:val="00723ECB"/>
    <w:rsid w:val="00724606"/>
    <w:rsid w:val="00724A36"/>
    <w:rsid w:val="00724A60"/>
    <w:rsid w:val="00724E85"/>
    <w:rsid w:val="0072525D"/>
    <w:rsid w:val="00726E8A"/>
    <w:rsid w:val="00727047"/>
    <w:rsid w:val="00727A0E"/>
    <w:rsid w:val="00727C81"/>
    <w:rsid w:val="00730B33"/>
    <w:rsid w:val="00734510"/>
    <w:rsid w:val="00734887"/>
    <w:rsid w:val="007365B6"/>
    <w:rsid w:val="00737394"/>
    <w:rsid w:val="007401E2"/>
    <w:rsid w:val="00740205"/>
    <w:rsid w:val="007411E5"/>
    <w:rsid w:val="00741605"/>
    <w:rsid w:val="00742788"/>
    <w:rsid w:val="007436F2"/>
    <w:rsid w:val="00743B2E"/>
    <w:rsid w:val="0074436D"/>
    <w:rsid w:val="00746951"/>
    <w:rsid w:val="00746F65"/>
    <w:rsid w:val="007472C3"/>
    <w:rsid w:val="0074791E"/>
    <w:rsid w:val="00750948"/>
    <w:rsid w:val="00750A23"/>
    <w:rsid w:val="0075115D"/>
    <w:rsid w:val="00751A33"/>
    <w:rsid w:val="00751E0A"/>
    <w:rsid w:val="00753890"/>
    <w:rsid w:val="0075466D"/>
    <w:rsid w:val="007555DF"/>
    <w:rsid w:val="007569DC"/>
    <w:rsid w:val="0075711E"/>
    <w:rsid w:val="00757549"/>
    <w:rsid w:val="007579F2"/>
    <w:rsid w:val="00761434"/>
    <w:rsid w:val="00761FD5"/>
    <w:rsid w:val="00762BB6"/>
    <w:rsid w:val="0076341D"/>
    <w:rsid w:val="0076446D"/>
    <w:rsid w:val="007647EF"/>
    <w:rsid w:val="00765DD8"/>
    <w:rsid w:val="00766230"/>
    <w:rsid w:val="00766B33"/>
    <w:rsid w:val="00766D36"/>
    <w:rsid w:val="00767607"/>
    <w:rsid w:val="00767ACD"/>
    <w:rsid w:val="007705B5"/>
    <w:rsid w:val="0077270D"/>
    <w:rsid w:val="00773874"/>
    <w:rsid w:val="0077393B"/>
    <w:rsid w:val="00775D3B"/>
    <w:rsid w:val="0077615A"/>
    <w:rsid w:val="007806A0"/>
    <w:rsid w:val="00780FDB"/>
    <w:rsid w:val="007822E4"/>
    <w:rsid w:val="00782346"/>
    <w:rsid w:val="007838CD"/>
    <w:rsid w:val="007839A9"/>
    <w:rsid w:val="007840F3"/>
    <w:rsid w:val="007849BE"/>
    <w:rsid w:val="00785491"/>
    <w:rsid w:val="007858C0"/>
    <w:rsid w:val="0078679A"/>
    <w:rsid w:val="00786BDC"/>
    <w:rsid w:val="007871FE"/>
    <w:rsid w:val="00787C89"/>
    <w:rsid w:val="007908ED"/>
    <w:rsid w:val="00790F74"/>
    <w:rsid w:val="00792014"/>
    <w:rsid w:val="007921CD"/>
    <w:rsid w:val="00792288"/>
    <w:rsid w:val="00792447"/>
    <w:rsid w:val="007928C6"/>
    <w:rsid w:val="00792E73"/>
    <w:rsid w:val="0079694C"/>
    <w:rsid w:val="007A0187"/>
    <w:rsid w:val="007A19AC"/>
    <w:rsid w:val="007A23A3"/>
    <w:rsid w:val="007A268F"/>
    <w:rsid w:val="007A29EC"/>
    <w:rsid w:val="007A4A53"/>
    <w:rsid w:val="007A4C93"/>
    <w:rsid w:val="007A4E17"/>
    <w:rsid w:val="007A7F6D"/>
    <w:rsid w:val="007B0FBD"/>
    <w:rsid w:val="007B10EC"/>
    <w:rsid w:val="007B1BAF"/>
    <w:rsid w:val="007B20C3"/>
    <w:rsid w:val="007B2FE8"/>
    <w:rsid w:val="007B35F7"/>
    <w:rsid w:val="007B4DD5"/>
    <w:rsid w:val="007B4F72"/>
    <w:rsid w:val="007B5148"/>
    <w:rsid w:val="007B5A16"/>
    <w:rsid w:val="007B71AA"/>
    <w:rsid w:val="007B7F09"/>
    <w:rsid w:val="007C03FE"/>
    <w:rsid w:val="007C0E04"/>
    <w:rsid w:val="007C17D3"/>
    <w:rsid w:val="007C1FA2"/>
    <w:rsid w:val="007C2827"/>
    <w:rsid w:val="007C294A"/>
    <w:rsid w:val="007C3A26"/>
    <w:rsid w:val="007C4032"/>
    <w:rsid w:val="007C4CE1"/>
    <w:rsid w:val="007C537A"/>
    <w:rsid w:val="007C57D1"/>
    <w:rsid w:val="007C6B3E"/>
    <w:rsid w:val="007C7130"/>
    <w:rsid w:val="007C74E5"/>
    <w:rsid w:val="007C7F57"/>
    <w:rsid w:val="007D0348"/>
    <w:rsid w:val="007D0E43"/>
    <w:rsid w:val="007D13E7"/>
    <w:rsid w:val="007D1A3E"/>
    <w:rsid w:val="007D1E37"/>
    <w:rsid w:val="007D2335"/>
    <w:rsid w:val="007D358B"/>
    <w:rsid w:val="007D370E"/>
    <w:rsid w:val="007D4624"/>
    <w:rsid w:val="007D4A8F"/>
    <w:rsid w:val="007D563E"/>
    <w:rsid w:val="007D5A49"/>
    <w:rsid w:val="007D5FC1"/>
    <w:rsid w:val="007D6EB6"/>
    <w:rsid w:val="007D715A"/>
    <w:rsid w:val="007D7EF9"/>
    <w:rsid w:val="007E002B"/>
    <w:rsid w:val="007E08DB"/>
    <w:rsid w:val="007E0B17"/>
    <w:rsid w:val="007E0D90"/>
    <w:rsid w:val="007E0E9E"/>
    <w:rsid w:val="007E12DC"/>
    <w:rsid w:val="007E1760"/>
    <w:rsid w:val="007E21FB"/>
    <w:rsid w:val="007E3B9D"/>
    <w:rsid w:val="007E420B"/>
    <w:rsid w:val="007E4932"/>
    <w:rsid w:val="007E4CAD"/>
    <w:rsid w:val="007E502C"/>
    <w:rsid w:val="007E516A"/>
    <w:rsid w:val="007E5BD7"/>
    <w:rsid w:val="007E6761"/>
    <w:rsid w:val="007E75F0"/>
    <w:rsid w:val="007E7968"/>
    <w:rsid w:val="007E79C4"/>
    <w:rsid w:val="007F013A"/>
    <w:rsid w:val="007F0730"/>
    <w:rsid w:val="007F1D54"/>
    <w:rsid w:val="007F2D90"/>
    <w:rsid w:val="007F3F6F"/>
    <w:rsid w:val="007F48A9"/>
    <w:rsid w:val="007F4E28"/>
    <w:rsid w:val="007F4F82"/>
    <w:rsid w:val="007F5143"/>
    <w:rsid w:val="007F6758"/>
    <w:rsid w:val="007F6D96"/>
    <w:rsid w:val="00800D05"/>
    <w:rsid w:val="00801D7A"/>
    <w:rsid w:val="008020F2"/>
    <w:rsid w:val="00803F74"/>
    <w:rsid w:val="00804653"/>
    <w:rsid w:val="00804C48"/>
    <w:rsid w:val="0080505A"/>
    <w:rsid w:val="008060B3"/>
    <w:rsid w:val="00806205"/>
    <w:rsid w:val="00806639"/>
    <w:rsid w:val="00806A84"/>
    <w:rsid w:val="00806EF4"/>
    <w:rsid w:val="008073A4"/>
    <w:rsid w:val="00807C6C"/>
    <w:rsid w:val="008115ED"/>
    <w:rsid w:val="0081254B"/>
    <w:rsid w:val="0081340B"/>
    <w:rsid w:val="00815822"/>
    <w:rsid w:val="00815B93"/>
    <w:rsid w:val="00816585"/>
    <w:rsid w:val="0081760E"/>
    <w:rsid w:val="00817BB4"/>
    <w:rsid w:val="00817E4F"/>
    <w:rsid w:val="00820F5B"/>
    <w:rsid w:val="00821021"/>
    <w:rsid w:val="008214BB"/>
    <w:rsid w:val="00821B58"/>
    <w:rsid w:val="00822D4E"/>
    <w:rsid w:val="00822FBA"/>
    <w:rsid w:val="0082398C"/>
    <w:rsid w:val="00824FF1"/>
    <w:rsid w:val="00825196"/>
    <w:rsid w:val="00826F4C"/>
    <w:rsid w:val="008303A6"/>
    <w:rsid w:val="008310B4"/>
    <w:rsid w:val="00831573"/>
    <w:rsid w:val="00831C7F"/>
    <w:rsid w:val="00833C51"/>
    <w:rsid w:val="00834577"/>
    <w:rsid w:val="008349A6"/>
    <w:rsid w:val="00835271"/>
    <w:rsid w:val="00835679"/>
    <w:rsid w:val="008377DA"/>
    <w:rsid w:val="00841F21"/>
    <w:rsid w:val="00842991"/>
    <w:rsid w:val="008429B0"/>
    <w:rsid w:val="00843900"/>
    <w:rsid w:val="00844C5B"/>
    <w:rsid w:val="00845A15"/>
    <w:rsid w:val="0084632F"/>
    <w:rsid w:val="008474A9"/>
    <w:rsid w:val="00851180"/>
    <w:rsid w:val="00852528"/>
    <w:rsid w:val="0085434F"/>
    <w:rsid w:val="008543F7"/>
    <w:rsid w:val="008545DC"/>
    <w:rsid w:val="00854A7E"/>
    <w:rsid w:val="00855B06"/>
    <w:rsid w:val="00856B95"/>
    <w:rsid w:val="00856D1A"/>
    <w:rsid w:val="00857D29"/>
    <w:rsid w:val="00861313"/>
    <w:rsid w:val="0086161C"/>
    <w:rsid w:val="008617AF"/>
    <w:rsid w:val="00861DB0"/>
    <w:rsid w:val="00861E83"/>
    <w:rsid w:val="0086225C"/>
    <w:rsid w:val="008629A8"/>
    <w:rsid w:val="00863225"/>
    <w:rsid w:val="00863ADA"/>
    <w:rsid w:val="00865BAA"/>
    <w:rsid w:val="00865C83"/>
    <w:rsid w:val="008677CB"/>
    <w:rsid w:val="0087026D"/>
    <w:rsid w:val="0087056E"/>
    <w:rsid w:val="00870CB6"/>
    <w:rsid w:val="00870DF8"/>
    <w:rsid w:val="008722A6"/>
    <w:rsid w:val="008737AE"/>
    <w:rsid w:val="00873851"/>
    <w:rsid w:val="00873FEA"/>
    <w:rsid w:val="0087419B"/>
    <w:rsid w:val="008744CC"/>
    <w:rsid w:val="00874592"/>
    <w:rsid w:val="008751C1"/>
    <w:rsid w:val="0087595D"/>
    <w:rsid w:val="00876C1B"/>
    <w:rsid w:val="00876E70"/>
    <w:rsid w:val="008804E1"/>
    <w:rsid w:val="008815B6"/>
    <w:rsid w:val="008818F6"/>
    <w:rsid w:val="00881D45"/>
    <w:rsid w:val="0088398E"/>
    <w:rsid w:val="00885182"/>
    <w:rsid w:val="008858B7"/>
    <w:rsid w:val="0088647E"/>
    <w:rsid w:val="00886D52"/>
    <w:rsid w:val="00887215"/>
    <w:rsid w:val="00887E02"/>
    <w:rsid w:val="00890382"/>
    <w:rsid w:val="0089046A"/>
    <w:rsid w:val="00891106"/>
    <w:rsid w:val="00892833"/>
    <w:rsid w:val="00892DCB"/>
    <w:rsid w:val="00893479"/>
    <w:rsid w:val="0089375D"/>
    <w:rsid w:val="008943CB"/>
    <w:rsid w:val="008946B9"/>
    <w:rsid w:val="008A0882"/>
    <w:rsid w:val="008A10C1"/>
    <w:rsid w:val="008A181A"/>
    <w:rsid w:val="008A183F"/>
    <w:rsid w:val="008A1C47"/>
    <w:rsid w:val="008A2289"/>
    <w:rsid w:val="008A34BA"/>
    <w:rsid w:val="008A3766"/>
    <w:rsid w:val="008A4F66"/>
    <w:rsid w:val="008A5290"/>
    <w:rsid w:val="008A593A"/>
    <w:rsid w:val="008A6A60"/>
    <w:rsid w:val="008A6C5A"/>
    <w:rsid w:val="008A6CCA"/>
    <w:rsid w:val="008B1B8C"/>
    <w:rsid w:val="008B2C59"/>
    <w:rsid w:val="008B2DF3"/>
    <w:rsid w:val="008B376A"/>
    <w:rsid w:val="008B444E"/>
    <w:rsid w:val="008B569F"/>
    <w:rsid w:val="008B7220"/>
    <w:rsid w:val="008C0669"/>
    <w:rsid w:val="008C0814"/>
    <w:rsid w:val="008C0867"/>
    <w:rsid w:val="008C08A5"/>
    <w:rsid w:val="008C1DD7"/>
    <w:rsid w:val="008C26FA"/>
    <w:rsid w:val="008C2BC1"/>
    <w:rsid w:val="008C4566"/>
    <w:rsid w:val="008C46B6"/>
    <w:rsid w:val="008C4935"/>
    <w:rsid w:val="008C522A"/>
    <w:rsid w:val="008C5E71"/>
    <w:rsid w:val="008C64E3"/>
    <w:rsid w:val="008C6A8B"/>
    <w:rsid w:val="008C77F7"/>
    <w:rsid w:val="008D00EA"/>
    <w:rsid w:val="008D0D1E"/>
    <w:rsid w:val="008D1175"/>
    <w:rsid w:val="008D1627"/>
    <w:rsid w:val="008D1DA0"/>
    <w:rsid w:val="008D2828"/>
    <w:rsid w:val="008D284E"/>
    <w:rsid w:val="008D4ED3"/>
    <w:rsid w:val="008D54BF"/>
    <w:rsid w:val="008D5DC6"/>
    <w:rsid w:val="008D6A11"/>
    <w:rsid w:val="008E0D4B"/>
    <w:rsid w:val="008E1C27"/>
    <w:rsid w:val="008E1E54"/>
    <w:rsid w:val="008E2057"/>
    <w:rsid w:val="008E31EC"/>
    <w:rsid w:val="008E3C88"/>
    <w:rsid w:val="008E488D"/>
    <w:rsid w:val="008E4E17"/>
    <w:rsid w:val="008E5337"/>
    <w:rsid w:val="008E610D"/>
    <w:rsid w:val="008E69A2"/>
    <w:rsid w:val="008E78F2"/>
    <w:rsid w:val="008E7B12"/>
    <w:rsid w:val="008F022C"/>
    <w:rsid w:val="008F152D"/>
    <w:rsid w:val="008F2A60"/>
    <w:rsid w:val="008F310D"/>
    <w:rsid w:val="008F3888"/>
    <w:rsid w:val="008F3B22"/>
    <w:rsid w:val="008F43C7"/>
    <w:rsid w:val="008F4823"/>
    <w:rsid w:val="008F606D"/>
    <w:rsid w:val="008F7150"/>
    <w:rsid w:val="008F71CC"/>
    <w:rsid w:val="008F721C"/>
    <w:rsid w:val="00900662"/>
    <w:rsid w:val="00900B2A"/>
    <w:rsid w:val="00901953"/>
    <w:rsid w:val="00902166"/>
    <w:rsid w:val="00903C31"/>
    <w:rsid w:val="009040A1"/>
    <w:rsid w:val="0090473B"/>
    <w:rsid w:val="0090487F"/>
    <w:rsid w:val="00904A00"/>
    <w:rsid w:val="00904EAB"/>
    <w:rsid w:val="00904EAC"/>
    <w:rsid w:val="00905282"/>
    <w:rsid w:val="00905908"/>
    <w:rsid w:val="00906AD1"/>
    <w:rsid w:val="009075A4"/>
    <w:rsid w:val="009101AF"/>
    <w:rsid w:val="00911808"/>
    <w:rsid w:val="009145FB"/>
    <w:rsid w:val="0091555E"/>
    <w:rsid w:val="00915786"/>
    <w:rsid w:val="0091746C"/>
    <w:rsid w:val="00917816"/>
    <w:rsid w:val="00917D06"/>
    <w:rsid w:val="009207DB"/>
    <w:rsid w:val="00921202"/>
    <w:rsid w:val="00922024"/>
    <w:rsid w:val="009222A3"/>
    <w:rsid w:val="009224EE"/>
    <w:rsid w:val="00922D24"/>
    <w:rsid w:val="00924853"/>
    <w:rsid w:val="009248C9"/>
    <w:rsid w:val="009252E0"/>
    <w:rsid w:val="00925501"/>
    <w:rsid w:val="00926982"/>
    <w:rsid w:val="00926D4C"/>
    <w:rsid w:val="009270C4"/>
    <w:rsid w:val="0093083B"/>
    <w:rsid w:val="0093092B"/>
    <w:rsid w:val="00930C8D"/>
    <w:rsid w:val="009319D7"/>
    <w:rsid w:val="009325F7"/>
    <w:rsid w:val="00932BCF"/>
    <w:rsid w:val="00933396"/>
    <w:rsid w:val="00934D73"/>
    <w:rsid w:val="00935042"/>
    <w:rsid w:val="009354F5"/>
    <w:rsid w:val="0093740F"/>
    <w:rsid w:val="00937B4A"/>
    <w:rsid w:val="00937BE9"/>
    <w:rsid w:val="00937C1D"/>
    <w:rsid w:val="00940804"/>
    <w:rsid w:val="00940E9B"/>
    <w:rsid w:val="00940FC3"/>
    <w:rsid w:val="009410B3"/>
    <w:rsid w:val="0094131D"/>
    <w:rsid w:val="0094166C"/>
    <w:rsid w:val="00942120"/>
    <w:rsid w:val="00942292"/>
    <w:rsid w:val="0094245E"/>
    <w:rsid w:val="009425F7"/>
    <w:rsid w:val="00943BC0"/>
    <w:rsid w:val="00944BF0"/>
    <w:rsid w:val="00945EC2"/>
    <w:rsid w:val="00946136"/>
    <w:rsid w:val="00946CD9"/>
    <w:rsid w:val="00946E7C"/>
    <w:rsid w:val="00947046"/>
    <w:rsid w:val="00950297"/>
    <w:rsid w:val="009505F4"/>
    <w:rsid w:val="00951216"/>
    <w:rsid w:val="00951614"/>
    <w:rsid w:val="0095279B"/>
    <w:rsid w:val="009533C3"/>
    <w:rsid w:val="009535D3"/>
    <w:rsid w:val="00953807"/>
    <w:rsid w:val="00954282"/>
    <w:rsid w:val="00954427"/>
    <w:rsid w:val="0095611C"/>
    <w:rsid w:val="009564ED"/>
    <w:rsid w:val="00956CA2"/>
    <w:rsid w:val="0096079B"/>
    <w:rsid w:val="0096218D"/>
    <w:rsid w:val="00964509"/>
    <w:rsid w:val="0096501B"/>
    <w:rsid w:val="0096625E"/>
    <w:rsid w:val="0096662B"/>
    <w:rsid w:val="009666AF"/>
    <w:rsid w:val="00967180"/>
    <w:rsid w:val="0096797D"/>
    <w:rsid w:val="00970704"/>
    <w:rsid w:val="00970B65"/>
    <w:rsid w:val="00970D66"/>
    <w:rsid w:val="00971127"/>
    <w:rsid w:val="0097119E"/>
    <w:rsid w:val="009718E9"/>
    <w:rsid w:val="009734B8"/>
    <w:rsid w:val="00973514"/>
    <w:rsid w:val="009739F9"/>
    <w:rsid w:val="009741E7"/>
    <w:rsid w:val="00975C75"/>
    <w:rsid w:val="00977506"/>
    <w:rsid w:val="00977DFD"/>
    <w:rsid w:val="0098177A"/>
    <w:rsid w:val="00983583"/>
    <w:rsid w:val="00983EFD"/>
    <w:rsid w:val="009855B0"/>
    <w:rsid w:val="009859A8"/>
    <w:rsid w:val="00985F2F"/>
    <w:rsid w:val="00986257"/>
    <w:rsid w:val="00986564"/>
    <w:rsid w:val="0098658A"/>
    <w:rsid w:val="00986861"/>
    <w:rsid w:val="00987CBC"/>
    <w:rsid w:val="00991EB0"/>
    <w:rsid w:val="0099212B"/>
    <w:rsid w:val="0099245F"/>
    <w:rsid w:val="00993891"/>
    <w:rsid w:val="00995768"/>
    <w:rsid w:val="00995F21"/>
    <w:rsid w:val="00996203"/>
    <w:rsid w:val="00996326"/>
    <w:rsid w:val="009964FB"/>
    <w:rsid w:val="00996F95"/>
    <w:rsid w:val="00997B35"/>
    <w:rsid w:val="00997B6A"/>
    <w:rsid w:val="00997EA5"/>
    <w:rsid w:val="009A07D5"/>
    <w:rsid w:val="009A1FE7"/>
    <w:rsid w:val="009A2967"/>
    <w:rsid w:val="009A3274"/>
    <w:rsid w:val="009A36B7"/>
    <w:rsid w:val="009A3720"/>
    <w:rsid w:val="009A392B"/>
    <w:rsid w:val="009A3D58"/>
    <w:rsid w:val="009A42CF"/>
    <w:rsid w:val="009A44E8"/>
    <w:rsid w:val="009A581E"/>
    <w:rsid w:val="009A698D"/>
    <w:rsid w:val="009A6AB4"/>
    <w:rsid w:val="009A7461"/>
    <w:rsid w:val="009B0BF0"/>
    <w:rsid w:val="009B1DA5"/>
    <w:rsid w:val="009B1E1D"/>
    <w:rsid w:val="009B28FD"/>
    <w:rsid w:val="009B2AD6"/>
    <w:rsid w:val="009B3172"/>
    <w:rsid w:val="009B461D"/>
    <w:rsid w:val="009B4F1F"/>
    <w:rsid w:val="009B5594"/>
    <w:rsid w:val="009B59ED"/>
    <w:rsid w:val="009B6405"/>
    <w:rsid w:val="009B6D8D"/>
    <w:rsid w:val="009B729E"/>
    <w:rsid w:val="009B7498"/>
    <w:rsid w:val="009C217C"/>
    <w:rsid w:val="009C264B"/>
    <w:rsid w:val="009C34F1"/>
    <w:rsid w:val="009C3B80"/>
    <w:rsid w:val="009C3D84"/>
    <w:rsid w:val="009C3F5A"/>
    <w:rsid w:val="009C48C6"/>
    <w:rsid w:val="009C5D76"/>
    <w:rsid w:val="009C5DFB"/>
    <w:rsid w:val="009C5FDE"/>
    <w:rsid w:val="009C623B"/>
    <w:rsid w:val="009C667D"/>
    <w:rsid w:val="009C69E7"/>
    <w:rsid w:val="009C7B1D"/>
    <w:rsid w:val="009C7F10"/>
    <w:rsid w:val="009C7FF8"/>
    <w:rsid w:val="009D03F1"/>
    <w:rsid w:val="009D0921"/>
    <w:rsid w:val="009D101B"/>
    <w:rsid w:val="009D118E"/>
    <w:rsid w:val="009D1CF4"/>
    <w:rsid w:val="009D271A"/>
    <w:rsid w:val="009D380F"/>
    <w:rsid w:val="009D57A7"/>
    <w:rsid w:val="009D65EE"/>
    <w:rsid w:val="009D6865"/>
    <w:rsid w:val="009D6903"/>
    <w:rsid w:val="009E02F1"/>
    <w:rsid w:val="009E0525"/>
    <w:rsid w:val="009E199C"/>
    <w:rsid w:val="009E1F76"/>
    <w:rsid w:val="009E20A6"/>
    <w:rsid w:val="009E233F"/>
    <w:rsid w:val="009E323A"/>
    <w:rsid w:val="009E328B"/>
    <w:rsid w:val="009E68C1"/>
    <w:rsid w:val="009E6DD0"/>
    <w:rsid w:val="009E6DEE"/>
    <w:rsid w:val="009E700C"/>
    <w:rsid w:val="009F082A"/>
    <w:rsid w:val="009F0BD9"/>
    <w:rsid w:val="009F12B4"/>
    <w:rsid w:val="009F33FA"/>
    <w:rsid w:val="009F347C"/>
    <w:rsid w:val="009F3F14"/>
    <w:rsid w:val="009F54D7"/>
    <w:rsid w:val="009F5B9D"/>
    <w:rsid w:val="009F6619"/>
    <w:rsid w:val="009F68FF"/>
    <w:rsid w:val="00A00E77"/>
    <w:rsid w:val="00A01A4C"/>
    <w:rsid w:val="00A01C1F"/>
    <w:rsid w:val="00A01C98"/>
    <w:rsid w:val="00A020F7"/>
    <w:rsid w:val="00A025E5"/>
    <w:rsid w:val="00A04B2F"/>
    <w:rsid w:val="00A054CB"/>
    <w:rsid w:val="00A05E8F"/>
    <w:rsid w:val="00A06A54"/>
    <w:rsid w:val="00A10423"/>
    <w:rsid w:val="00A10A6F"/>
    <w:rsid w:val="00A115B1"/>
    <w:rsid w:val="00A118B4"/>
    <w:rsid w:val="00A129C6"/>
    <w:rsid w:val="00A14BDD"/>
    <w:rsid w:val="00A15A52"/>
    <w:rsid w:val="00A169FE"/>
    <w:rsid w:val="00A1706F"/>
    <w:rsid w:val="00A1721D"/>
    <w:rsid w:val="00A20630"/>
    <w:rsid w:val="00A20956"/>
    <w:rsid w:val="00A210DB"/>
    <w:rsid w:val="00A21667"/>
    <w:rsid w:val="00A220FB"/>
    <w:rsid w:val="00A223A5"/>
    <w:rsid w:val="00A22946"/>
    <w:rsid w:val="00A23770"/>
    <w:rsid w:val="00A241FD"/>
    <w:rsid w:val="00A24BC5"/>
    <w:rsid w:val="00A2504C"/>
    <w:rsid w:val="00A26CA4"/>
    <w:rsid w:val="00A26D2E"/>
    <w:rsid w:val="00A26E5D"/>
    <w:rsid w:val="00A276A6"/>
    <w:rsid w:val="00A276FF"/>
    <w:rsid w:val="00A27A41"/>
    <w:rsid w:val="00A30C82"/>
    <w:rsid w:val="00A31A01"/>
    <w:rsid w:val="00A32211"/>
    <w:rsid w:val="00A3279A"/>
    <w:rsid w:val="00A33842"/>
    <w:rsid w:val="00A33A1E"/>
    <w:rsid w:val="00A33FDC"/>
    <w:rsid w:val="00A34114"/>
    <w:rsid w:val="00A34C81"/>
    <w:rsid w:val="00A34E19"/>
    <w:rsid w:val="00A35C90"/>
    <w:rsid w:val="00A362F9"/>
    <w:rsid w:val="00A36BE7"/>
    <w:rsid w:val="00A36F35"/>
    <w:rsid w:val="00A373CC"/>
    <w:rsid w:val="00A3760C"/>
    <w:rsid w:val="00A37704"/>
    <w:rsid w:val="00A378A0"/>
    <w:rsid w:val="00A37E59"/>
    <w:rsid w:val="00A40108"/>
    <w:rsid w:val="00A404AF"/>
    <w:rsid w:val="00A40D0C"/>
    <w:rsid w:val="00A41302"/>
    <w:rsid w:val="00A41C59"/>
    <w:rsid w:val="00A4350C"/>
    <w:rsid w:val="00A43644"/>
    <w:rsid w:val="00A4383B"/>
    <w:rsid w:val="00A44BB6"/>
    <w:rsid w:val="00A45734"/>
    <w:rsid w:val="00A45B90"/>
    <w:rsid w:val="00A462F7"/>
    <w:rsid w:val="00A46659"/>
    <w:rsid w:val="00A46F1A"/>
    <w:rsid w:val="00A47029"/>
    <w:rsid w:val="00A477C3"/>
    <w:rsid w:val="00A50299"/>
    <w:rsid w:val="00A5067A"/>
    <w:rsid w:val="00A50D10"/>
    <w:rsid w:val="00A533D5"/>
    <w:rsid w:val="00A5510E"/>
    <w:rsid w:val="00A559F4"/>
    <w:rsid w:val="00A56173"/>
    <w:rsid w:val="00A56547"/>
    <w:rsid w:val="00A57079"/>
    <w:rsid w:val="00A570E0"/>
    <w:rsid w:val="00A606A0"/>
    <w:rsid w:val="00A60943"/>
    <w:rsid w:val="00A60A2E"/>
    <w:rsid w:val="00A60A60"/>
    <w:rsid w:val="00A61263"/>
    <w:rsid w:val="00A614AD"/>
    <w:rsid w:val="00A61608"/>
    <w:rsid w:val="00A616BD"/>
    <w:rsid w:val="00A61886"/>
    <w:rsid w:val="00A61E92"/>
    <w:rsid w:val="00A63D89"/>
    <w:rsid w:val="00A63EF3"/>
    <w:rsid w:val="00A650F1"/>
    <w:rsid w:val="00A6526E"/>
    <w:rsid w:val="00A65DA4"/>
    <w:rsid w:val="00A66E04"/>
    <w:rsid w:val="00A67194"/>
    <w:rsid w:val="00A671B3"/>
    <w:rsid w:val="00A67864"/>
    <w:rsid w:val="00A70242"/>
    <w:rsid w:val="00A7040E"/>
    <w:rsid w:val="00A7286F"/>
    <w:rsid w:val="00A734F2"/>
    <w:rsid w:val="00A73DEE"/>
    <w:rsid w:val="00A74678"/>
    <w:rsid w:val="00A75AEA"/>
    <w:rsid w:val="00A76063"/>
    <w:rsid w:val="00A767EB"/>
    <w:rsid w:val="00A771BF"/>
    <w:rsid w:val="00A77299"/>
    <w:rsid w:val="00A803C1"/>
    <w:rsid w:val="00A815B6"/>
    <w:rsid w:val="00A815F6"/>
    <w:rsid w:val="00A81953"/>
    <w:rsid w:val="00A823D7"/>
    <w:rsid w:val="00A827C9"/>
    <w:rsid w:val="00A8350D"/>
    <w:rsid w:val="00A85B31"/>
    <w:rsid w:val="00A861F3"/>
    <w:rsid w:val="00A86C48"/>
    <w:rsid w:val="00A90DB1"/>
    <w:rsid w:val="00A90FB8"/>
    <w:rsid w:val="00A9147B"/>
    <w:rsid w:val="00A91BA8"/>
    <w:rsid w:val="00A91EF1"/>
    <w:rsid w:val="00A91EF2"/>
    <w:rsid w:val="00A9325C"/>
    <w:rsid w:val="00A93680"/>
    <w:rsid w:val="00A9430B"/>
    <w:rsid w:val="00A94483"/>
    <w:rsid w:val="00A959CA"/>
    <w:rsid w:val="00A96FC6"/>
    <w:rsid w:val="00A97A16"/>
    <w:rsid w:val="00A97B61"/>
    <w:rsid w:val="00A97C2E"/>
    <w:rsid w:val="00A97CE3"/>
    <w:rsid w:val="00A97E0C"/>
    <w:rsid w:val="00AA01DA"/>
    <w:rsid w:val="00AA1178"/>
    <w:rsid w:val="00AA11BA"/>
    <w:rsid w:val="00AA2755"/>
    <w:rsid w:val="00AA2D62"/>
    <w:rsid w:val="00AA2E2C"/>
    <w:rsid w:val="00AA2E90"/>
    <w:rsid w:val="00AA3077"/>
    <w:rsid w:val="00AA375B"/>
    <w:rsid w:val="00AA38AF"/>
    <w:rsid w:val="00AA450C"/>
    <w:rsid w:val="00AA4B62"/>
    <w:rsid w:val="00AA5EB3"/>
    <w:rsid w:val="00AA6916"/>
    <w:rsid w:val="00AB040A"/>
    <w:rsid w:val="00AB110E"/>
    <w:rsid w:val="00AB11CF"/>
    <w:rsid w:val="00AB1287"/>
    <w:rsid w:val="00AB1CE8"/>
    <w:rsid w:val="00AB2655"/>
    <w:rsid w:val="00AB2F06"/>
    <w:rsid w:val="00AB4FFF"/>
    <w:rsid w:val="00AB5190"/>
    <w:rsid w:val="00AB5513"/>
    <w:rsid w:val="00AB5A0C"/>
    <w:rsid w:val="00AB6070"/>
    <w:rsid w:val="00AB6DFC"/>
    <w:rsid w:val="00AB7354"/>
    <w:rsid w:val="00AB7BFE"/>
    <w:rsid w:val="00AB7C46"/>
    <w:rsid w:val="00AB7DD5"/>
    <w:rsid w:val="00AC05D0"/>
    <w:rsid w:val="00AC3637"/>
    <w:rsid w:val="00AC3D4F"/>
    <w:rsid w:val="00AC3DB7"/>
    <w:rsid w:val="00AC4699"/>
    <w:rsid w:val="00AC5650"/>
    <w:rsid w:val="00AC59DF"/>
    <w:rsid w:val="00AC72C7"/>
    <w:rsid w:val="00AC7899"/>
    <w:rsid w:val="00AD13D6"/>
    <w:rsid w:val="00AD4087"/>
    <w:rsid w:val="00AD4E84"/>
    <w:rsid w:val="00AD629C"/>
    <w:rsid w:val="00AD6A21"/>
    <w:rsid w:val="00AD6BE0"/>
    <w:rsid w:val="00AD752F"/>
    <w:rsid w:val="00AE0C8D"/>
    <w:rsid w:val="00AE0E2A"/>
    <w:rsid w:val="00AE1411"/>
    <w:rsid w:val="00AE19B4"/>
    <w:rsid w:val="00AE2330"/>
    <w:rsid w:val="00AE55BC"/>
    <w:rsid w:val="00AE62E7"/>
    <w:rsid w:val="00AE686D"/>
    <w:rsid w:val="00AE6B27"/>
    <w:rsid w:val="00AF0DC0"/>
    <w:rsid w:val="00AF0F96"/>
    <w:rsid w:val="00AF21D7"/>
    <w:rsid w:val="00AF28EB"/>
    <w:rsid w:val="00AF31BA"/>
    <w:rsid w:val="00AF36B6"/>
    <w:rsid w:val="00AF4803"/>
    <w:rsid w:val="00AF4D10"/>
    <w:rsid w:val="00AF58CB"/>
    <w:rsid w:val="00AF726F"/>
    <w:rsid w:val="00B00506"/>
    <w:rsid w:val="00B00ED5"/>
    <w:rsid w:val="00B0128C"/>
    <w:rsid w:val="00B0190C"/>
    <w:rsid w:val="00B01C3F"/>
    <w:rsid w:val="00B02315"/>
    <w:rsid w:val="00B02BF0"/>
    <w:rsid w:val="00B02EA8"/>
    <w:rsid w:val="00B034DD"/>
    <w:rsid w:val="00B03AB4"/>
    <w:rsid w:val="00B05B91"/>
    <w:rsid w:val="00B06ED4"/>
    <w:rsid w:val="00B077CC"/>
    <w:rsid w:val="00B07A28"/>
    <w:rsid w:val="00B102E7"/>
    <w:rsid w:val="00B12A63"/>
    <w:rsid w:val="00B13397"/>
    <w:rsid w:val="00B1400D"/>
    <w:rsid w:val="00B147C9"/>
    <w:rsid w:val="00B15BB2"/>
    <w:rsid w:val="00B16EBE"/>
    <w:rsid w:val="00B20E3B"/>
    <w:rsid w:val="00B21D0E"/>
    <w:rsid w:val="00B22C57"/>
    <w:rsid w:val="00B23C76"/>
    <w:rsid w:val="00B23EEE"/>
    <w:rsid w:val="00B27298"/>
    <w:rsid w:val="00B27384"/>
    <w:rsid w:val="00B276E4"/>
    <w:rsid w:val="00B27A6D"/>
    <w:rsid w:val="00B309F9"/>
    <w:rsid w:val="00B30DAD"/>
    <w:rsid w:val="00B31782"/>
    <w:rsid w:val="00B32D93"/>
    <w:rsid w:val="00B3402E"/>
    <w:rsid w:val="00B360B7"/>
    <w:rsid w:val="00B36928"/>
    <w:rsid w:val="00B37293"/>
    <w:rsid w:val="00B4076A"/>
    <w:rsid w:val="00B413EB"/>
    <w:rsid w:val="00B428F3"/>
    <w:rsid w:val="00B42C20"/>
    <w:rsid w:val="00B43287"/>
    <w:rsid w:val="00B43864"/>
    <w:rsid w:val="00B43AD9"/>
    <w:rsid w:val="00B443D5"/>
    <w:rsid w:val="00B44482"/>
    <w:rsid w:val="00B450D9"/>
    <w:rsid w:val="00B46FF2"/>
    <w:rsid w:val="00B51B75"/>
    <w:rsid w:val="00B52AD3"/>
    <w:rsid w:val="00B539EB"/>
    <w:rsid w:val="00B54B76"/>
    <w:rsid w:val="00B55ECC"/>
    <w:rsid w:val="00B560E5"/>
    <w:rsid w:val="00B5610F"/>
    <w:rsid w:val="00B576E1"/>
    <w:rsid w:val="00B6088D"/>
    <w:rsid w:val="00B608F1"/>
    <w:rsid w:val="00B60F79"/>
    <w:rsid w:val="00B61158"/>
    <w:rsid w:val="00B6252C"/>
    <w:rsid w:val="00B62CBE"/>
    <w:rsid w:val="00B62EFD"/>
    <w:rsid w:val="00B63999"/>
    <w:rsid w:val="00B63B4A"/>
    <w:rsid w:val="00B63E1F"/>
    <w:rsid w:val="00B641C5"/>
    <w:rsid w:val="00B64F8D"/>
    <w:rsid w:val="00B6533C"/>
    <w:rsid w:val="00B65388"/>
    <w:rsid w:val="00B65FD8"/>
    <w:rsid w:val="00B6731A"/>
    <w:rsid w:val="00B673CA"/>
    <w:rsid w:val="00B70903"/>
    <w:rsid w:val="00B7108D"/>
    <w:rsid w:val="00B7117A"/>
    <w:rsid w:val="00B713F0"/>
    <w:rsid w:val="00B72053"/>
    <w:rsid w:val="00B733A9"/>
    <w:rsid w:val="00B73BEF"/>
    <w:rsid w:val="00B74530"/>
    <w:rsid w:val="00B7458C"/>
    <w:rsid w:val="00B74E4D"/>
    <w:rsid w:val="00B75D3F"/>
    <w:rsid w:val="00B75D4C"/>
    <w:rsid w:val="00B76F2C"/>
    <w:rsid w:val="00B77723"/>
    <w:rsid w:val="00B77863"/>
    <w:rsid w:val="00B801AC"/>
    <w:rsid w:val="00B815D3"/>
    <w:rsid w:val="00B8270D"/>
    <w:rsid w:val="00B827F1"/>
    <w:rsid w:val="00B82B33"/>
    <w:rsid w:val="00B8384C"/>
    <w:rsid w:val="00B83AF4"/>
    <w:rsid w:val="00B843A1"/>
    <w:rsid w:val="00B8441F"/>
    <w:rsid w:val="00B854BE"/>
    <w:rsid w:val="00B85704"/>
    <w:rsid w:val="00B86421"/>
    <w:rsid w:val="00B866BF"/>
    <w:rsid w:val="00B868D6"/>
    <w:rsid w:val="00B86D0A"/>
    <w:rsid w:val="00B8748B"/>
    <w:rsid w:val="00B87B3F"/>
    <w:rsid w:val="00B90972"/>
    <w:rsid w:val="00B91818"/>
    <w:rsid w:val="00B922D6"/>
    <w:rsid w:val="00B92819"/>
    <w:rsid w:val="00B93E18"/>
    <w:rsid w:val="00B93E2C"/>
    <w:rsid w:val="00B94BE5"/>
    <w:rsid w:val="00B95B44"/>
    <w:rsid w:val="00B96069"/>
    <w:rsid w:val="00BA0A76"/>
    <w:rsid w:val="00BA11A9"/>
    <w:rsid w:val="00BA1642"/>
    <w:rsid w:val="00BA30C2"/>
    <w:rsid w:val="00BA31C6"/>
    <w:rsid w:val="00BA4B0A"/>
    <w:rsid w:val="00BA4FE7"/>
    <w:rsid w:val="00BA699B"/>
    <w:rsid w:val="00BA76AB"/>
    <w:rsid w:val="00BB0225"/>
    <w:rsid w:val="00BB0423"/>
    <w:rsid w:val="00BB1D73"/>
    <w:rsid w:val="00BB2CE4"/>
    <w:rsid w:val="00BB2D17"/>
    <w:rsid w:val="00BB2D1B"/>
    <w:rsid w:val="00BB42D2"/>
    <w:rsid w:val="00BB6ECF"/>
    <w:rsid w:val="00BB74B3"/>
    <w:rsid w:val="00BB777A"/>
    <w:rsid w:val="00BC06FE"/>
    <w:rsid w:val="00BC1765"/>
    <w:rsid w:val="00BC1FD6"/>
    <w:rsid w:val="00BC25D7"/>
    <w:rsid w:val="00BC320C"/>
    <w:rsid w:val="00BC4883"/>
    <w:rsid w:val="00BC5454"/>
    <w:rsid w:val="00BC5F7F"/>
    <w:rsid w:val="00BC74EE"/>
    <w:rsid w:val="00BC777E"/>
    <w:rsid w:val="00BD056C"/>
    <w:rsid w:val="00BD219A"/>
    <w:rsid w:val="00BD2C42"/>
    <w:rsid w:val="00BD2EF9"/>
    <w:rsid w:val="00BD2F1D"/>
    <w:rsid w:val="00BD3997"/>
    <w:rsid w:val="00BD5D7E"/>
    <w:rsid w:val="00BD6EF9"/>
    <w:rsid w:val="00BD754C"/>
    <w:rsid w:val="00BD764C"/>
    <w:rsid w:val="00BD78C6"/>
    <w:rsid w:val="00BE01E1"/>
    <w:rsid w:val="00BE07A5"/>
    <w:rsid w:val="00BE15DA"/>
    <w:rsid w:val="00BE19AD"/>
    <w:rsid w:val="00BE369C"/>
    <w:rsid w:val="00BE4FBC"/>
    <w:rsid w:val="00BE5B7C"/>
    <w:rsid w:val="00BE6DBE"/>
    <w:rsid w:val="00BE72FD"/>
    <w:rsid w:val="00BE733C"/>
    <w:rsid w:val="00BE73D4"/>
    <w:rsid w:val="00BE7AF2"/>
    <w:rsid w:val="00BF1EF8"/>
    <w:rsid w:val="00BF25A9"/>
    <w:rsid w:val="00BF2DE5"/>
    <w:rsid w:val="00BF4429"/>
    <w:rsid w:val="00BF4C49"/>
    <w:rsid w:val="00BF4D1A"/>
    <w:rsid w:val="00BF5168"/>
    <w:rsid w:val="00BF51C9"/>
    <w:rsid w:val="00BF5A5B"/>
    <w:rsid w:val="00BF62DF"/>
    <w:rsid w:val="00BF6338"/>
    <w:rsid w:val="00BF6D56"/>
    <w:rsid w:val="00BF7EB2"/>
    <w:rsid w:val="00C00D03"/>
    <w:rsid w:val="00C00D9C"/>
    <w:rsid w:val="00C01DFC"/>
    <w:rsid w:val="00C0270E"/>
    <w:rsid w:val="00C0282B"/>
    <w:rsid w:val="00C03262"/>
    <w:rsid w:val="00C047A4"/>
    <w:rsid w:val="00C05013"/>
    <w:rsid w:val="00C067E0"/>
    <w:rsid w:val="00C0773D"/>
    <w:rsid w:val="00C1025D"/>
    <w:rsid w:val="00C11733"/>
    <w:rsid w:val="00C12CC1"/>
    <w:rsid w:val="00C12D93"/>
    <w:rsid w:val="00C12EE2"/>
    <w:rsid w:val="00C12EE5"/>
    <w:rsid w:val="00C1324B"/>
    <w:rsid w:val="00C139DE"/>
    <w:rsid w:val="00C13B55"/>
    <w:rsid w:val="00C13CB8"/>
    <w:rsid w:val="00C151CE"/>
    <w:rsid w:val="00C1561B"/>
    <w:rsid w:val="00C15BBB"/>
    <w:rsid w:val="00C16087"/>
    <w:rsid w:val="00C2092E"/>
    <w:rsid w:val="00C20F37"/>
    <w:rsid w:val="00C213FD"/>
    <w:rsid w:val="00C21C42"/>
    <w:rsid w:val="00C23520"/>
    <w:rsid w:val="00C24AE3"/>
    <w:rsid w:val="00C25082"/>
    <w:rsid w:val="00C2570A"/>
    <w:rsid w:val="00C265D4"/>
    <w:rsid w:val="00C26DC6"/>
    <w:rsid w:val="00C27447"/>
    <w:rsid w:val="00C275FC"/>
    <w:rsid w:val="00C30615"/>
    <w:rsid w:val="00C30715"/>
    <w:rsid w:val="00C30D84"/>
    <w:rsid w:val="00C3131B"/>
    <w:rsid w:val="00C317A7"/>
    <w:rsid w:val="00C33614"/>
    <w:rsid w:val="00C33AEC"/>
    <w:rsid w:val="00C357CB"/>
    <w:rsid w:val="00C35C8E"/>
    <w:rsid w:val="00C36B1D"/>
    <w:rsid w:val="00C3742C"/>
    <w:rsid w:val="00C410D2"/>
    <w:rsid w:val="00C41363"/>
    <w:rsid w:val="00C42A78"/>
    <w:rsid w:val="00C437D6"/>
    <w:rsid w:val="00C4471B"/>
    <w:rsid w:val="00C45C94"/>
    <w:rsid w:val="00C4601D"/>
    <w:rsid w:val="00C46612"/>
    <w:rsid w:val="00C509D2"/>
    <w:rsid w:val="00C51CCA"/>
    <w:rsid w:val="00C523ED"/>
    <w:rsid w:val="00C53131"/>
    <w:rsid w:val="00C54473"/>
    <w:rsid w:val="00C54789"/>
    <w:rsid w:val="00C55945"/>
    <w:rsid w:val="00C55D94"/>
    <w:rsid w:val="00C55DCB"/>
    <w:rsid w:val="00C55FBB"/>
    <w:rsid w:val="00C57582"/>
    <w:rsid w:val="00C608EF"/>
    <w:rsid w:val="00C60D60"/>
    <w:rsid w:val="00C612BB"/>
    <w:rsid w:val="00C612BF"/>
    <w:rsid w:val="00C61338"/>
    <w:rsid w:val="00C6207E"/>
    <w:rsid w:val="00C6324D"/>
    <w:rsid w:val="00C64FAE"/>
    <w:rsid w:val="00C66344"/>
    <w:rsid w:val="00C66EDC"/>
    <w:rsid w:val="00C674F7"/>
    <w:rsid w:val="00C67D05"/>
    <w:rsid w:val="00C714EE"/>
    <w:rsid w:val="00C731E1"/>
    <w:rsid w:val="00C73883"/>
    <w:rsid w:val="00C73B64"/>
    <w:rsid w:val="00C7443F"/>
    <w:rsid w:val="00C745D7"/>
    <w:rsid w:val="00C7702A"/>
    <w:rsid w:val="00C7732F"/>
    <w:rsid w:val="00C773C8"/>
    <w:rsid w:val="00C80A25"/>
    <w:rsid w:val="00C80E5E"/>
    <w:rsid w:val="00C82930"/>
    <w:rsid w:val="00C82C9E"/>
    <w:rsid w:val="00C841BF"/>
    <w:rsid w:val="00C84F61"/>
    <w:rsid w:val="00C8531E"/>
    <w:rsid w:val="00C85560"/>
    <w:rsid w:val="00C85A3E"/>
    <w:rsid w:val="00C85A50"/>
    <w:rsid w:val="00C85B6C"/>
    <w:rsid w:val="00C85ECE"/>
    <w:rsid w:val="00C86BFE"/>
    <w:rsid w:val="00C86D8A"/>
    <w:rsid w:val="00C86FF3"/>
    <w:rsid w:val="00C87E2F"/>
    <w:rsid w:val="00C900B0"/>
    <w:rsid w:val="00C9080B"/>
    <w:rsid w:val="00C90EA7"/>
    <w:rsid w:val="00C90EF9"/>
    <w:rsid w:val="00C9146C"/>
    <w:rsid w:val="00C91711"/>
    <w:rsid w:val="00C91A95"/>
    <w:rsid w:val="00C92931"/>
    <w:rsid w:val="00C92949"/>
    <w:rsid w:val="00C9312F"/>
    <w:rsid w:val="00C94499"/>
    <w:rsid w:val="00C9491A"/>
    <w:rsid w:val="00C94BE9"/>
    <w:rsid w:val="00C95701"/>
    <w:rsid w:val="00C95DD7"/>
    <w:rsid w:val="00C95ED6"/>
    <w:rsid w:val="00C96BBB"/>
    <w:rsid w:val="00CA04D5"/>
    <w:rsid w:val="00CA0F7D"/>
    <w:rsid w:val="00CA1AC8"/>
    <w:rsid w:val="00CA1FB0"/>
    <w:rsid w:val="00CA24D1"/>
    <w:rsid w:val="00CA2AD9"/>
    <w:rsid w:val="00CA39CC"/>
    <w:rsid w:val="00CA3C11"/>
    <w:rsid w:val="00CA403D"/>
    <w:rsid w:val="00CA4743"/>
    <w:rsid w:val="00CA57FE"/>
    <w:rsid w:val="00CA5FF6"/>
    <w:rsid w:val="00CA6F32"/>
    <w:rsid w:val="00CA735E"/>
    <w:rsid w:val="00CB01B1"/>
    <w:rsid w:val="00CB138F"/>
    <w:rsid w:val="00CB13CF"/>
    <w:rsid w:val="00CB13E0"/>
    <w:rsid w:val="00CB199A"/>
    <w:rsid w:val="00CB2282"/>
    <w:rsid w:val="00CB2F02"/>
    <w:rsid w:val="00CB44CC"/>
    <w:rsid w:val="00CB4522"/>
    <w:rsid w:val="00CB76B8"/>
    <w:rsid w:val="00CB7703"/>
    <w:rsid w:val="00CB77EE"/>
    <w:rsid w:val="00CB783B"/>
    <w:rsid w:val="00CB7AE2"/>
    <w:rsid w:val="00CC1C1E"/>
    <w:rsid w:val="00CC2611"/>
    <w:rsid w:val="00CC2803"/>
    <w:rsid w:val="00CC295E"/>
    <w:rsid w:val="00CC48D6"/>
    <w:rsid w:val="00CC4B7F"/>
    <w:rsid w:val="00CC544C"/>
    <w:rsid w:val="00CC559E"/>
    <w:rsid w:val="00CC707F"/>
    <w:rsid w:val="00CC708A"/>
    <w:rsid w:val="00CC79CD"/>
    <w:rsid w:val="00CD0365"/>
    <w:rsid w:val="00CD1447"/>
    <w:rsid w:val="00CD1841"/>
    <w:rsid w:val="00CD1BF1"/>
    <w:rsid w:val="00CD1D2E"/>
    <w:rsid w:val="00CD27CD"/>
    <w:rsid w:val="00CD4BF8"/>
    <w:rsid w:val="00CD52CD"/>
    <w:rsid w:val="00CD652E"/>
    <w:rsid w:val="00CD6828"/>
    <w:rsid w:val="00CD685C"/>
    <w:rsid w:val="00CD68DD"/>
    <w:rsid w:val="00CD7B8B"/>
    <w:rsid w:val="00CE01F8"/>
    <w:rsid w:val="00CE0D43"/>
    <w:rsid w:val="00CE19B6"/>
    <w:rsid w:val="00CE24B9"/>
    <w:rsid w:val="00CE2B04"/>
    <w:rsid w:val="00CE3E8B"/>
    <w:rsid w:val="00CE47DC"/>
    <w:rsid w:val="00CE5298"/>
    <w:rsid w:val="00CE5322"/>
    <w:rsid w:val="00CE58EB"/>
    <w:rsid w:val="00CE6939"/>
    <w:rsid w:val="00CE705F"/>
    <w:rsid w:val="00CE745E"/>
    <w:rsid w:val="00CF0041"/>
    <w:rsid w:val="00CF0D4B"/>
    <w:rsid w:val="00CF2605"/>
    <w:rsid w:val="00CF2804"/>
    <w:rsid w:val="00CF35B2"/>
    <w:rsid w:val="00CF36C4"/>
    <w:rsid w:val="00CF38D4"/>
    <w:rsid w:val="00CF5C07"/>
    <w:rsid w:val="00CF5CFC"/>
    <w:rsid w:val="00D00272"/>
    <w:rsid w:val="00D00AF5"/>
    <w:rsid w:val="00D00E75"/>
    <w:rsid w:val="00D00EE2"/>
    <w:rsid w:val="00D01917"/>
    <w:rsid w:val="00D01EBC"/>
    <w:rsid w:val="00D036AC"/>
    <w:rsid w:val="00D03DE1"/>
    <w:rsid w:val="00D03EDD"/>
    <w:rsid w:val="00D03EEF"/>
    <w:rsid w:val="00D04F08"/>
    <w:rsid w:val="00D050BB"/>
    <w:rsid w:val="00D058B9"/>
    <w:rsid w:val="00D07010"/>
    <w:rsid w:val="00D07087"/>
    <w:rsid w:val="00D07A1B"/>
    <w:rsid w:val="00D07E2A"/>
    <w:rsid w:val="00D11666"/>
    <w:rsid w:val="00D11D07"/>
    <w:rsid w:val="00D138F2"/>
    <w:rsid w:val="00D1489F"/>
    <w:rsid w:val="00D159F8"/>
    <w:rsid w:val="00D15DD2"/>
    <w:rsid w:val="00D16E55"/>
    <w:rsid w:val="00D16ECF"/>
    <w:rsid w:val="00D17564"/>
    <w:rsid w:val="00D17C04"/>
    <w:rsid w:val="00D17CFB"/>
    <w:rsid w:val="00D17E3E"/>
    <w:rsid w:val="00D2046D"/>
    <w:rsid w:val="00D21820"/>
    <w:rsid w:val="00D2255E"/>
    <w:rsid w:val="00D226B9"/>
    <w:rsid w:val="00D23437"/>
    <w:rsid w:val="00D2372E"/>
    <w:rsid w:val="00D2373E"/>
    <w:rsid w:val="00D239F4"/>
    <w:rsid w:val="00D2459A"/>
    <w:rsid w:val="00D248D9"/>
    <w:rsid w:val="00D24CD7"/>
    <w:rsid w:val="00D25DF4"/>
    <w:rsid w:val="00D26113"/>
    <w:rsid w:val="00D27131"/>
    <w:rsid w:val="00D30B0E"/>
    <w:rsid w:val="00D31AD0"/>
    <w:rsid w:val="00D31BBD"/>
    <w:rsid w:val="00D34305"/>
    <w:rsid w:val="00D34E83"/>
    <w:rsid w:val="00D35189"/>
    <w:rsid w:val="00D352D0"/>
    <w:rsid w:val="00D37354"/>
    <w:rsid w:val="00D404B1"/>
    <w:rsid w:val="00D4104F"/>
    <w:rsid w:val="00D43988"/>
    <w:rsid w:val="00D4707E"/>
    <w:rsid w:val="00D47238"/>
    <w:rsid w:val="00D4762C"/>
    <w:rsid w:val="00D47867"/>
    <w:rsid w:val="00D47B4E"/>
    <w:rsid w:val="00D47EAF"/>
    <w:rsid w:val="00D50B2A"/>
    <w:rsid w:val="00D51517"/>
    <w:rsid w:val="00D52D4A"/>
    <w:rsid w:val="00D52D7F"/>
    <w:rsid w:val="00D53034"/>
    <w:rsid w:val="00D538B0"/>
    <w:rsid w:val="00D541A8"/>
    <w:rsid w:val="00D55A05"/>
    <w:rsid w:val="00D562A8"/>
    <w:rsid w:val="00D61A9F"/>
    <w:rsid w:val="00D61EDD"/>
    <w:rsid w:val="00D628AF"/>
    <w:rsid w:val="00D6294B"/>
    <w:rsid w:val="00D654F8"/>
    <w:rsid w:val="00D66697"/>
    <w:rsid w:val="00D676B3"/>
    <w:rsid w:val="00D6787A"/>
    <w:rsid w:val="00D67ACA"/>
    <w:rsid w:val="00D67F69"/>
    <w:rsid w:val="00D70FAD"/>
    <w:rsid w:val="00D71103"/>
    <w:rsid w:val="00D71213"/>
    <w:rsid w:val="00D713E4"/>
    <w:rsid w:val="00D72FAD"/>
    <w:rsid w:val="00D7314F"/>
    <w:rsid w:val="00D73259"/>
    <w:rsid w:val="00D732D3"/>
    <w:rsid w:val="00D73678"/>
    <w:rsid w:val="00D73AF1"/>
    <w:rsid w:val="00D73E64"/>
    <w:rsid w:val="00D74504"/>
    <w:rsid w:val="00D74639"/>
    <w:rsid w:val="00D74926"/>
    <w:rsid w:val="00D75407"/>
    <w:rsid w:val="00D75449"/>
    <w:rsid w:val="00D7563E"/>
    <w:rsid w:val="00D76E21"/>
    <w:rsid w:val="00D770D5"/>
    <w:rsid w:val="00D809B7"/>
    <w:rsid w:val="00D812A9"/>
    <w:rsid w:val="00D813B0"/>
    <w:rsid w:val="00D8141C"/>
    <w:rsid w:val="00D81A57"/>
    <w:rsid w:val="00D81A98"/>
    <w:rsid w:val="00D8269A"/>
    <w:rsid w:val="00D82962"/>
    <w:rsid w:val="00D82A4C"/>
    <w:rsid w:val="00D830B5"/>
    <w:rsid w:val="00D83A65"/>
    <w:rsid w:val="00D846CF"/>
    <w:rsid w:val="00D84999"/>
    <w:rsid w:val="00D85683"/>
    <w:rsid w:val="00D86D21"/>
    <w:rsid w:val="00D8772B"/>
    <w:rsid w:val="00D9031D"/>
    <w:rsid w:val="00D90824"/>
    <w:rsid w:val="00D90F8A"/>
    <w:rsid w:val="00D91621"/>
    <w:rsid w:val="00D9180B"/>
    <w:rsid w:val="00D925BC"/>
    <w:rsid w:val="00D9323B"/>
    <w:rsid w:val="00D94EB6"/>
    <w:rsid w:val="00D95111"/>
    <w:rsid w:val="00D954B6"/>
    <w:rsid w:val="00D9553A"/>
    <w:rsid w:val="00D958D2"/>
    <w:rsid w:val="00D95C5C"/>
    <w:rsid w:val="00D96B91"/>
    <w:rsid w:val="00D9740F"/>
    <w:rsid w:val="00D97545"/>
    <w:rsid w:val="00D9787B"/>
    <w:rsid w:val="00D97BA1"/>
    <w:rsid w:val="00DA09FC"/>
    <w:rsid w:val="00DA0A19"/>
    <w:rsid w:val="00DA16AA"/>
    <w:rsid w:val="00DA28A7"/>
    <w:rsid w:val="00DA2BB0"/>
    <w:rsid w:val="00DA2FCA"/>
    <w:rsid w:val="00DA348E"/>
    <w:rsid w:val="00DA373A"/>
    <w:rsid w:val="00DA4A4E"/>
    <w:rsid w:val="00DA59D2"/>
    <w:rsid w:val="00DA5A9C"/>
    <w:rsid w:val="00DA5F60"/>
    <w:rsid w:val="00DA6E9D"/>
    <w:rsid w:val="00DA6FF3"/>
    <w:rsid w:val="00DB0066"/>
    <w:rsid w:val="00DB0F33"/>
    <w:rsid w:val="00DB1595"/>
    <w:rsid w:val="00DB297D"/>
    <w:rsid w:val="00DB2B7E"/>
    <w:rsid w:val="00DB2BA7"/>
    <w:rsid w:val="00DB2F6C"/>
    <w:rsid w:val="00DB345D"/>
    <w:rsid w:val="00DB5719"/>
    <w:rsid w:val="00DB624E"/>
    <w:rsid w:val="00DB65FF"/>
    <w:rsid w:val="00DB7C6B"/>
    <w:rsid w:val="00DC02EA"/>
    <w:rsid w:val="00DC1309"/>
    <w:rsid w:val="00DC16F9"/>
    <w:rsid w:val="00DC1CA6"/>
    <w:rsid w:val="00DC20CF"/>
    <w:rsid w:val="00DC3472"/>
    <w:rsid w:val="00DC4B44"/>
    <w:rsid w:val="00DC5C38"/>
    <w:rsid w:val="00DC61A3"/>
    <w:rsid w:val="00DC76E7"/>
    <w:rsid w:val="00DC7E69"/>
    <w:rsid w:val="00DD0467"/>
    <w:rsid w:val="00DD15EF"/>
    <w:rsid w:val="00DD1738"/>
    <w:rsid w:val="00DD190E"/>
    <w:rsid w:val="00DD3316"/>
    <w:rsid w:val="00DD3E02"/>
    <w:rsid w:val="00DD45AF"/>
    <w:rsid w:val="00DD5654"/>
    <w:rsid w:val="00DD5E57"/>
    <w:rsid w:val="00DD60E3"/>
    <w:rsid w:val="00DD7F9B"/>
    <w:rsid w:val="00DE1C74"/>
    <w:rsid w:val="00DE1CCF"/>
    <w:rsid w:val="00DE3385"/>
    <w:rsid w:val="00DE3CA1"/>
    <w:rsid w:val="00DE4007"/>
    <w:rsid w:val="00DE4053"/>
    <w:rsid w:val="00DE4638"/>
    <w:rsid w:val="00DE4651"/>
    <w:rsid w:val="00DE4FEE"/>
    <w:rsid w:val="00DE534A"/>
    <w:rsid w:val="00DE55FD"/>
    <w:rsid w:val="00DE60A8"/>
    <w:rsid w:val="00DE7265"/>
    <w:rsid w:val="00DE7525"/>
    <w:rsid w:val="00DE787B"/>
    <w:rsid w:val="00DE7C1C"/>
    <w:rsid w:val="00DF0111"/>
    <w:rsid w:val="00DF01E6"/>
    <w:rsid w:val="00DF14DF"/>
    <w:rsid w:val="00DF2247"/>
    <w:rsid w:val="00DF2353"/>
    <w:rsid w:val="00DF3AB2"/>
    <w:rsid w:val="00DF4116"/>
    <w:rsid w:val="00DF5129"/>
    <w:rsid w:val="00DF5784"/>
    <w:rsid w:val="00DF58B8"/>
    <w:rsid w:val="00DF5FF8"/>
    <w:rsid w:val="00DF6EE5"/>
    <w:rsid w:val="00DF7E7E"/>
    <w:rsid w:val="00E0077B"/>
    <w:rsid w:val="00E00898"/>
    <w:rsid w:val="00E03634"/>
    <w:rsid w:val="00E050B6"/>
    <w:rsid w:val="00E0557E"/>
    <w:rsid w:val="00E05980"/>
    <w:rsid w:val="00E05D14"/>
    <w:rsid w:val="00E0628E"/>
    <w:rsid w:val="00E06460"/>
    <w:rsid w:val="00E073CF"/>
    <w:rsid w:val="00E07997"/>
    <w:rsid w:val="00E07A6A"/>
    <w:rsid w:val="00E07EB8"/>
    <w:rsid w:val="00E107B2"/>
    <w:rsid w:val="00E10EB1"/>
    <w:rsid w:val="00E114CF"/>
    <w:rsid w:val="00E120E4"/>
    <w:rsid w:val="00E13636"/>
    <w:rsid w:val="00E149F4"/>
    <w:rsid w:val="00E14A90"/>
    <w:rsid w:val="00E16CF1"/>
    <w:rsid w:val="00E17F53"/>
    <w:rsid w:val="00E20354"/>
    <w:rsid w:val="00E207DB"/>
    <w:rsid w:val="00E20BB5"/>
    <w:rsid w:val="00E21F5A"/>
    <w:rsid w:val="00E221D8"/>
    <w:rsid w:val="00E234F1"/>
    <w:rsid w:val="00E23ACB"/>
    <w:rsid w:val="00E23BDA"/>
    <w:rsid w:val="00E25124"/>
    <w:rsid w:val="00E261F8"/>
    <w:rsid w:val="00E26E25"/>
    <w:rsid w:val="00E27DF3"/>
    <w:rsid w:val="00E3110A"/>
    <w:rsid w:val="00E319DC"/>
    <w:rsid w:val="00E324AD"/>
    <w:rsid w:val="00E3342D"/>
    <w:rsid w:val="00E33683"/>
    <w:rsid w:val="00E33734"/>
    <w:rsid w:val="00E33F82"/>
    <w:rsid w:val="00E34AA9"/>
    <w:rsid w:val="00E36A4F"/>
    <w:rsid w:val="00E376C4"/>
    <w:rsid w:val="00E37D5F"/>
    <w:rsid w:val="00E429A0"/>
    <w:rsid w:val="00E42D39"/>
    <w:rsid w:val="00E44CD4"/>
    <w:rsid w:val="00E45B91"/>
    <w:rsid w:val="00E46804"/>
    <w:rsid w:val="00E46C57"/>
    <w:rsid w:val="00E513EE"/>
    <w:rsid w:val="00E5176B"/>
    <w:rsid w:val="00E527C9"/>
    <w:rsid w:val="00E528BA"/>
    <w:rsid w:val="00E52A91"/>
    <w:rsid w:val="00E53497"/>
    <w:rsid w:val="00E534DF"/>
    <w:rsid w:val="00E55A50"/>
    <w:rsid w:val="00E565C2"/>
    <w:rsid w:val="00E56C9D"/>
    <w:rsid w:val="00E5723E"/>
    <w:rsid w:val="00E57362"/>
    <w:rsid w:val="00E60269"/>
    <w:rsid w:val="00E60887"/>
    <w:rsid w:val="00E60C32"/>
    <w:rsid w:val="00E61619"/>
    <w:rsid w:val="00E61E25"/>
    <w:rsid w:val="00E6272B"/>
    <w:rsid w:val="00E627F6"/>
    <w:rsid w:val="00E62F1A"/>
    <w:rsid w:val="00E63F1D"/>
    <w:rsid w:val="00E646D5"/>
    <w:rsid w:val="00E64BB7"/>
    <w:rsid w:val="00E64EEE"/>
    <w:rsid w:val="00E66F49"/>
    <w:rsid w:val="00E721A9"/>
    <w:rsid w:val="00E73549"/>
    <w:rsid w:val="00E7484F"/>
    <w:rsid w:val="00E74861"/>
    <w:rsid w:val="00E74B50"/>
    <w:rsid w:val="00E74EC9"/>
    <w:rsid w:val="00E75572"/>
    <w:rsid w:val="00E75733"/>
    <w:rsid w:val="00E75A9D"/>
    <w:rsid w:val="00E77754"/>
    <w:rsid w:val="00E80CF7"/>
    <w:rsid w:val="00E80FB4"/>
    <w:rsid w:val="00E81B8E"/>
    <w:rsid w:val="00E81ED7"/>
    <w:rsid w:val="00E8369B"/>
    <w:rsid w:val="00E8377F"/>
    <w:rsid w:val="00E83850"/>
    <w:rsid w:val="00E85244"/>
    <w:rsid w:val="00E85A96"/>
    <w:rsid w:val="00E86159"/>
    <w:rsid w:val="00E86741"/>
    <w:rsid w:val="00E87653"/>
    <w:rsid w:val="00E87AE4"/>
    <w:rsid w:val="00E90A5A"/>
    <w:rsid w:val="00E90C1F"/>
    <w:rsid w:val="00E9124A"/>
    <w:rsid w:val="00E9222C"/>
    <w:rsid w:val="00E9296D"/>
    <w:rsid w:val="00E92AA5"/>
    <w:rsid w:val="00E94509"/>
    <w:rsid w:val="00E94A0D"/>
    <w:rsid w:val="00E9558B"/>
    <w:rsid w:val="00E95A44"/>
    <w:rsid w:val="00E95D1B"/>
    <w:rsid w:val="00E969A4"/>
    <w:rsid w:val="00E9735C"/>
    <w:rsid w:val="00EA0266"/>
    <w:rsid w:val="00EA234B"/>
    <w:rsid w:val="00EA274B"/>
    <w:rsid w:val="00EA2EFA"/>
    <w:rsid w:val="00EA3184"/>
    <w:rsid w:val="00EA3732"/>
    <w:rsid w:val="00EA3794"/>
    <w:rsid w:val="00EA3CDD"/>
    <w:rsid w:val="00EA4124"/>
    <w:rsid w:val="00EA42EB"/>
    <w:rsid w:val="00EA5028"/>
    <w:rsid w:val="00EA50D6"/>
    <w:rsid w:val="00EA5714"/>
    <w:rsid w:val="00EA5E70"/>
    <w:rsid w:val="00EA60EF"/>
    <w:rsid w:val="00EA6A30"/>
    <w:rsid w:val="00EA6A41"/>
    <w:rsid w:val="00EA73C4"/>
    <w:rsid w:val="00EA7662"/>
    <w:rsid w:val="00EA7CC3"/>
    <w:rsid w:val="00EB016F"/>
    <w:rsid w:val="00EB04F4"/>
    <w:rsid w:val="00EB05E3"/>
    <w:rsid w:val="00EB212C"/>
    <w:rsid w:val="00EB2216"/>
    <w:rsid w:val="00EB27D1"/>
    <w:rsid w:val="00EB33F4"/>
    <w:rsid w:val="00EB3B9C"/>
    <w:rsid w:val="00EB40E0"/>
    <w:rsid w:val="00EB4C04"/>
    <w:rsid w:val="00EB6502"/>
    <w:rsid w:val="00EB7D9C"/>
    <w:rsid w:val="00EC01F0"/>
    <w:rsid w:val="00EC1406"/>
    <w:rsid w:val="00EC1526"/>
    <w:rsid w:val="00EC23F3"/>
    <w:rsid w:val="00EC2677"/>
    <w:rsid w:val="00EC2AB5"/>
    <w:rsid w:val="00EC36F2"/>
    <w:rsid w:val="00EC4B79"/>
    <w:rsid w:val="00EC4F33"/>
    <w:rsid w:val="00EC7E82"/>
    <w:rsid w:val="00ED0785"/>
    <w:rsid w:val="00ED0B81"/>
    <w:rsid w:val="00ED19B3"/>
    <w:rsid w:val="00ED1A64"/>
    <w:rsid w:val="00ED28DD"/>
    <w:rsid w:val="00ED421C"/>
    <w:rsid w:val="00ED43A6"/>
    <w:rsid w:val="00ED4E89"/>
    <w:rsid w:val="00ED502A"/>
    <w:rsid w:val="00ED69B3"/>
    <w:rsid w:val="00ED6AF3"/>
    <w:rsid w:val="00ED6FB9"/>
    <w:rsid w:val="00ED7371"/>
    <w:rsid w:val="00ED7E2F"/>
    <w:rsid w:val="00ED7EA8"/>
    <w:rsid w:val="00EE1162"/>
    <w:rsid w:val="00EE1313"/>
    <w:rsid w:val="00EE2126"/>
    <w:rsid w:val="00EE2FBF"/>
    <w:rsid w:val="00EE3363"/>
    <w:rsid w:val="00EE3725"/>
    <w:rsid w:val="00EE3F3C"/>
    <w:rsid w:val="00EE4C7E"/>
    <w:rsid w:val="00EE556D"/>
    <w:rsid w:val="00EE60A2"/>
    <w:rsid w:val="00EE6184"/>
    <w:rsid w:val="00EE679C"/>
    <w:rsid w:val="00EE686B"/>
    <w:rsid w:val="00EE7596"/>
    <w:rsid w:val="00EE7A2C"/>
    <w:rsid w:val="00EF06D3"/>
    <w:rsid w:val="00EF09D3"/>
    <w:rsid w:val="00EF108A"/>
    <w:rsid w:val="00EF1240"/>
    <w:rsid w:val="00EF1F75"/>
    <w:rsid w:val="00EF2240"/>
    <w:rsid w:val="00EF297A"/>
    <w:rsid w:val="00EF3069"/>
    <w:rsid w:val="00EF31A5"/>
    <w:rsid w:val="00EF3742"/>
    <w:rsid w:val="00EF3EB5"/>
    <w:rsid w:val="00EF57B9"/>
    <w:rsid w:val="00EF57DF"/>
    <w:rsid w:val="00EF632B"/>
    <w:rsid w:val="00EF6556"/>
    <w:rsid w:val="00EF689A"/>
    <w:rsid w:val="00F02BAD"/>
    <w:rsid w:val="00F0319D"/>
    <w:rsid w:val="00F07050"/>
    <w:rsid w:val="00F07890"/>
    <w:rsid w:val="00F07A4C"/>
    <w:rsid w:val="00F07B03"/>
    <w:rsid w:val="00F115A2"/>
    <w:rsid w:val="00F11635"/>
    <w:rsid w:val="00F11928"/>
    <w:rsid w:val="00F12D86"/>
    <w:rsid w:val="00F131AA"/>
    <w:rsid w:val="00F131FD"/>
    <w:rsid w:val="00F1350B"/>
    <w:rsid w:val="00F13B05"/>
    <w:rsid w:val="00F13B5A"/>
    <w:rsid w:val="00F13EED"/>
    <w:rsid w:val="00F15AF2"/>
    <w:rsid w:val="00F21290"/>
    <w:rsid w:val="00F2299F"/>
    <w:rsid w:val="00F231F0"/>
    <w:rsid w:val="00F24787"/>
    <w:rsid w:val="00F25311"/>
    <w:rsid w:val="00F259A5"/>
    <w:rsid w:val="00F263E5"/>
    <w:rsid w:val="00F301E0"/>
    <w:rsid w:val="00F307CC"/>
    <w:rsid w:val="00F30BBA"/>
    <w:rsid w:val="00F31630"/>
    <w:rsid w:val="00F31A8F"/>
    <w:rsid w:val="00F320C0"/>
    <w:rsid w:val="00F32C7D"/>
    <w:rsid w:val="00F32D63"/>
    <w:rsid w:val="00F33C8D"/>
    <w:rsid w:val="00F34012"/>
    <w:rsid w:val="00F343A3"/>
    <w:rsid w:val="00F34C99"/>
    <w:rsid w:val="00F3531A"/>
    <w:rsid w:val="00F353E8"/>
    <w:rsid w:val="00F35AB2"/>
    <w:rsid w:val="00F400FB"/>
    <w:rsid w:val="00F41DB0"/>
    <w:rsid w:val="00F43631"/>
    <w:rsid w:val="00F43947"/>
    <w:rsid w:val="00F439BB"/>
    <w:rsid w:val="00F43CEB"/>
    <w:rsid w:val="00F449D7"/>
    <w:rsid w:val="00F460C4"/>
    <w:rsid w:val="00F461AE"/>
    <w:rsid w:val="00F467F9"/>
    <w:rsid w:val="00F47426"/>
    <w:rsid w:val="00F50D6C"/>
    <w:rsid w:val="00F5184D"/>
    <w:rsid w:val="00F51B88"/>
    <w:rsid w:val="00F51CB2"/>
    <w:rsid w:val="00F534D3"/>
    <w:rsid w:val="00F5421D"/>
    <w:rsid w:val="00F55022"/>
    <w:rsid w:val="00F55184"/>
    <w:rsid w:val="00F5704A"/>
    <w:rsid w:val="00F60DF3"/>
    <w:rsid w:val="00F62057"/>
    <w:rsid w:val="00F62597"/>
    <w:rsid w:val="00F6264B"/>
    <w:rsid w:val="00F6290C"/>
    <w:rsid w:val="00F646C8"/>
    <w:rsid w:val="00F67988"/>
    <w:rsid w:val="00F67C01"/>
    <w:rsid w:val="00F70909"/>
    <w:rsid w:val="00F7114B"/>
    <w:rsid w:val="00F721EF"/>
    <w:rsid w:val="00F72AC2"/>
    <w:rsid w:val="00F72F17"/>
    <w:rsid w:val="00F73429"/>
    <w:rsid w:val="00F74168"/>
    <w:rsid w:val="00F742F1"/>
    <w:rsid w:val="00F7470C"/>
    <w:rsid w:val="00F74942"/>
    <w:rsid w:val="00F7534A"/>
    <w:rsid w:val="00F76037"/>
    <w:rsid w:val="00F761E0"/>
    <w:rsid w:val="00F76832"/>
    <w:rsid w:val="00F76B53"/>
    <w:rsid w:val="00F76DA6"/>
    <w:rsid w:val="00F7761D"/>
    <w:rsid w:val="00F77724"/>
    <w:rsid w:val="00F77839"/>
    <w:rsid w:val="00F77AF3"/>
    <w:rsid w:val="00F77CE6"/>
    <w:rsid w:val="00F77DD1"/>
    <w:rsid w:val="00F8023F"/>
    <w:rsid w:val="00F8032A"/>
    <w:rsid w:val="00F81A48"/>
    <w:rsid w:val="00F82021"/>
    <w:rsid w:val="00F82080"/>
    <w:rsid w:val="00F82A7B"/>
    <w:rsid w:val="00F8476C"/>
    <w:rsid w:val="00F850A1"/>
    <w:rsid w:val="00F85CBD"/>
    <w:rsid w:val="00F87810"/>
    <w:rsid w:val="00F905B8"/>
    <w:rsid w:val="00F91164"/>
    <w:rsid w:val="00F91292"/>
    <w:rsid w:val="00F91BFE"/>
    <w:rsid w:val="00F91D47"/>
    <w:rsid w:val="00F92B0F"/>
    <w:rsid w:val="00F9354E"/>
    <w:rsid w:val="00F941FC"/>
    <w:rsid w:val="00F96D24"/>
    <w:rsid w:val="00F97093"/>
    <w:rsid w:val="00F97FF3"/>
    <w:rsid w:val="00FA0091"/>
    <w:rsid w:val="00FA1AA9"/>
    <w:rsid w:val="00FA2C8B"/>
    <w:rsid w:val="00FA3E0C"/>
    <w:rsid w:val="00FA4DBA"/>
    <w:rsid w:val="00FA4FBA"/>
    <w:rsid w:val="00FA5580"/>
    <w:rsid w:val="00FA655A"/>
    <w:rsid w:val="00FA69C3"/>
    <w:rsid w:val="00FA6AAC"/>
    <w:rsid w:val="00FA6CBC"/>
    <w:rsid w:val="00FA6D48"/>
    <w:rsid w:val="00FA7027"/>
    <w:rsid w:val="00FA7775"/>
    <w:rsid w:val="00FA7EC0"/>
    <w:rsid w:val="00FB1729"/>
    <w:rsid w:val="00FB30A2"/>
    <w:rsid w:val="00FB4993"/>
    <w:rsid w:val="00FC072E"/>
    <w:rsid w:val="00FC1364"/>
    <w:rsid w:val="00FC4323"/>
    <w:rsid w:val="00FC51AE"/>
    <w:rsid w:val="00FC550A"/>
    <w:rsid w:val="00FC551E"/>
    <w:rsid w:val="00FC5790"/>
    <w:rsid w:val="00FC6275"/>
    <w:rsid w:val="00FD039F"/>
    <w:rsid w:val="00FD053B"/>
    <w:rsid w:val="00FD0910"/>
    <w:rsid w:val="00FD0A92"/>
    <w:rsid w:val="00FD0AF0"/>
    <w:rsid w:val="00FD1234"/>
    <w:rsid w:val="00FD18F3"/>
    <w:rsid w:val="00FD194F"/>
    <w:rsid w:val="00FD1995"/>
    <w:rsid w:val="00FD2333"/>
    <w:rsid w:val="00FD25E1"/>
    <w:rsid w:val="00FD4A75"/>
    <w:rsid w:val="00FD54E6"/>
    <w:rsid w:val="00FD5688"/>
    <w:rsid w:val="00FD5725"/>
    <w:rsid w:val="00FD5E1C"/>
    <w:rsid w:val="00FD5F36"/>
    <w:rsid w:val="00FD6624"/>
    <w:rsid w:val="00FD7F6B"/>
    <w:rsid w:val="00FE0948"/>
    <w:rsid w:val="00FE1880"/>
    <w:rsid w:val="00FE3256"/>
    <w:rsid w:val="00FE3F8E"/>
    <w:rsid w:val="00FE445D"/>
    <w:rsid w:val="00FE47ED"/>
    <w:rsid w:val="00FE5101"/>
    <w:rsid w:val="00FE61DC"/>
    <w:rsid w:val="00FE67D0"/>
    <w:rsid w:val="00FE689B"/>
    <w:rsid w:val="00FE7081"/>
    <w:rsid w:val="00FE79CE"/>
    <w:rsid w:val="00FF06FA"/>
    <w:rsid w:val="00FF081E"/>
    <w:rsid w:val="00FF145C"/>
    <w:rsid w:val="00FF26EE"/>
    <w:rsid w:val="00FF28EC"/>
    <w:rsid w:val="00FF2AA0"/>
    <w:rsid w:val="00FF47A3"/>
    <w:rsid w:val="00FF4B3F"/>
    <w:rsid w:val="00FF4B43"/>
    <w:rsid w:val="00FF574F"/>
    <w:rsid w:val="011E42FB"/>
    <w:rsid w:val="012146C6"/>
    <w:rsid w:val="015D35F5"/>
    <w:rsid w:val="01685806"/>
    <w:rsid w:val="01B80B7A"/>
    <w:rsid w:val="01E55D35"/>
    <w:rsid w:val="01F72B36"/>
    <w:rsid w:val="02095687"/>
    <w:rsid w:val="02743188"/>
    <w:rsid w:val="02AC10D3"/>
    <w:rsid w:val="02E64E9F"/>
    <w:rsid w:val="034033B2"/>
    <w:rsid w:val="03667C72"/>
    <w:rsid w:val="03B866D0"/>
    <w:rsid w:val="03C40B3F"/>
    <w:rsid w:val="03E11E16"/>
    <w:rsid w:val="03FE5D06"/>
    <w:rsid w:val="043A51CC"/>
    <w:rsid w:val="0475494B"/>
    <w:rsid w:val="04833B9D"/>
    <w:rsid w:val="04E470A0"/>
    <w:rsid w:val="04FC5581"/>
    <w:rsid w:val="0513143C"/>
    <w:rsid w:val="05821997"/>
    <w:rsid w:val="05891928"/>
    <w:rsid w:val="059D3E1F"/>
    <w:rsid w:val="05BF24C9"/>
    <w:rsid w:val="05DF0DF0"/>
    <w:rsid w:val="06C559AF"/>
    <w:rsid w:val="06DE520E"/>
    <w:rsid w:val="07554285"/>
    <w:rsid w:val="0775586D"/>
    <w:rsid w:val="07BC6747"/>
    <w:rsid w:val="07EC528E"/>
    <w:rsid w:val="081C64DD"/>
    <w:rsid w:val="083E1B6F"/>
    <w:rsid w:val="08435461"/>
    <w:rsid w:val="08435AFA"/>
    <w:rsid w:val="087109F5"/>
    <w:rsid w:val="08AF0DE8"/>
    <w:rsid w:val="08D46028"/>
    <w:rsid w:val="090C7C1B"/>
    <w:rsid w:val="0929095D"/>
    <w:rsid w:val="09493091"/>
    <w:rsid w:val="09F70EE7"/>
    <w:rsid w:val="09FF0058"/>
    <w:rsid w:val="0A3840D7"/>
    <w:rsid w:val="0A4D46D7"/>
    <w:rsid w:val="0A914C01"/>
    <w:rsid w:val="0AD31787"/>
    <w:rsid w:val="0ADD6816"/>
    <w:rsid w:val="0AF96D6A"/>
    <w:rsid w:val="0B912479"/>
    <w:rsid w:val="0BCC39BB"/>
    <w:rsid w:val="0C2520CA"/>
    <w:rsid w:val="0C4C5587"/>
    <w:rsid w:val="0C7777A9"/>
    <w:rsid w:val="0CD30126"/>
    <w:rsid w:val="0CFC3FE1"/>
    <w:rsid w:val="0D490A8D"/>
    <w:rsid w:val="0DC668EA"/>
    <w:rsid w:val="0DC93D4A"/>
    <w:rsid w:val="0E172E1A"/>
    <w:rsid w:val="0E5643EF"/>
    <w:rsid w:val="0E6E6F80"/>
    <w:rsid w:val="0E944F52"/>
    <w:rsid w:val="0EF3745D"/>
    <w:rsid w:val="0F7A7451"/>
    <w:rsid w:val="0F953AB1"/>
    <w:rsid w:val="0FF94323"/>
    <w:rsid w:val="107A34BF"/>
    <w:rsid w:val="107A51CD"/>
    <w:rsid w:val="108D4A90"/>
    <w:rsid w:val="10993984"/>
    <w:rsid w:val="10E57012"/>
    <w:rsid w:val="10E67EAB"/>
    <w:rsid w:val="110D1AD5"/>
    <w:rsid w:val="11925F20"/>
    <w:rsid w:val="11C91423"/>
    <w:rsid w:val="1203536E"/>
    <w:rsid w:val="123821EC"/>
    <w:rsid w:val="12584AF5"/>
    <w:rsid w:val="1283439D"/>
    <w:rsid w:val="12E96032"/>
    <w:rsid w:val="12EC0F8D"/>
    <w:rsid w:val="13560879"/>
    <w:rsid w:val="13D4431F"/>
    <w:rsid w:val="151D38BF"/>
    <w:rsid w:val="1575445F"/>
    <w:rsid w:val="158B5F79"/>
    <w:rsid w:val="15BA18F1"/>
    <w:rsid w:val="15BF1762"/>
    <w:rsid w:val="15F31C73"/>
    <w:rsid w:val="160650C5"/>
    <w:rsid w:val="161A1EE6"/>
    <w:rsid w:val="16BA40A9"/>
    <w:rsid w:val="16E54E7B"/>
    <w:rsid w:val="16F47498"/>
    <w:rsid w:val="17051BB8"/>
    <w:rsid w:val="172577D0"/>
    <w:rsid w:val="17727A45"/>
    <w:rsid w:val="181638D8"/>
    <w:rsid w:val="18841AD7"/>
    <w:rsid w:val="18A015D3"/>
    <w:rsid w:val="18A521C4"/>
    <w:rsid w:val="1944578F"/>
    <w:rsid w:val="198E1224"/>
    <w:rsid w:val="19A766B9"/>
    <w:rsid w:val="19AF5A77"/>
    <w:rsid w:val="19B1604A"/>
    <w:rsid w:val="19B95C26"/>
    <w:rsid w:val="19CE5CE6"/>
    <w:rsid w:val="19E46AD9"/>
    <w:rsid w:val="1A126E19"/>
    <w:rsid w:val="1A652503"/>
    <w:rsid w:val="1A78230D"/>
    <w:rsid w:val="1A7A5D34"/>
    <w:rsid w:val="1AC668AF"/>
    <w:rsid w:val="1B325F2A"/>
    <w:rsid w:val="1B3312E4"/>
    <w:rsid w:val="1B405AA4"/>
    <w:rsid w:val="1B62301A"/>
    <w:rsid w:val="1C1F1E0E"/>
    <w:rsid w:val="1C1F3E4C"/>
    <w:rsid w:val="1C7E392A"/>
    <w:rsid w:val="1C88031D"/>
    <w:rsid w:val="1CF12935"/>
    <w:rsid w:val="1CF96B9F"/>
    <w:rsid w:val="1D190873"/>
    <w:rsid w:val="1D38001E"/>
    <w:rsid w:val="1D4B710C"/>
    <w:rsid w:val="1DCF425D"/>
    <w:rsid w:val="1DE3725E"/>
    <w:rsid w:val="1E330E9C"/>
    <w:rsid w:val="1E340CEE"/>
    <w:rsid w:val="1E9C6591"/>
    <w:rsid w:val="1F507A92"/>
    <w:rsid w:val="1FCA53B9"/>
    <w:rsid w:val="1FD21930"/>
    <w:rsid w:val="20043B19"/>
    <w:rsid w:val="203A1396"/>
    <w:rsid w:val="205539DD"/>
    <w:rsid w:val="20BE2A44"/>
    <w:rsid w:val="20BE2B36"/>
    <w:rsid w:val="20D17B68"/>
    <w:rsid w:val="2112344B"/>
    <w:rsid w:val="213F17D8"/>
    <w:rsid w:val="21481A39"/>
    <w:rsid w:val="219A1B7F"/>
    <w:rsid w:val="21B22A5C"/>
    <w:rsid w:val="21E65C8F"/>
    <w:rsid w:val="22460F43"/>
    <w:rsid w:val="22590C76"/>
    <w:rsid w:val="235220CD"/>
    <w:rsid w:val="23AA6A32"/>
    <w:rsid w:val="23C9229F"/>
    <w:rsid w:val="23ED7090"/>
    <w:rsid w:val="23F24EDE"/>
    <w:rsid w:val="24195A43"/>
    <w:rsid w:val="245D31B5"/>
    <w:rsid w:val="247D5ABB"/>
    <w:rsid w:val="24826101"/>
    <w:rsid w:val="25735D35"/>
    <w:rsid w:val="25784A9C"/>
    <w:rsid w:val="2596668B"/>
    <w:rsid w:val="25BE3D0C"/>
    <w:rsid w:val="25E16A45"/>
    <w:rsid w:val="25F11338"/>
    <w:rsid w:val="25F46AB0"/>
    <w:rsid w:val="27217B54"/>
    <w:rsid w:val="274348DC"/>
    <w:rsid w:val="274719E5"/>
    <w:rsid w:val="275431F5"/>
    <w:rsid w:val="277D1EE5"/>
    <w:rsid w:val="27A31B59"/>
    <w:rsid w:val="27B87AF2"/>
    <w:rsid w:val="27EE3E21"/>
    <w:rsid w:val="286C3B37"/>
    <w:rsid w:val="289002C6"/>
    <w:rsid w:val="28B86003"/>
    <w:rsid w:val="28C71A62"/>
    <w:rsid w:val="29095062"/>
    <w:rsid w:val="293801B5"/>
    <w:rsid w:val="298A23AD"/>
    <w:rsid w:val="29DA77F1"/>
    <w:rsid w:val="2A1F5C2B"/>
    <w:rsid w:val="2B033371"/>
    <w:rsid w:val="2B067EC8"/>
    <w:rsid w:val="2B3A56AF"/>
    <w:rsid w:val="2BB71443"/>
    <w:rsid w:val="2BDC0BC9"/>
    <w:rsid w:val="2BF00047"/>
    <w:rsid w:val="2C0853D9"/>
    <w:rsid w:val="2C0E0D23"/>
    <w:rsid w:val="2C240F34"/>
    <w:rsid w:val="2C64115C"/>
    <w:rsid w:val="2C70392E"/>
    <w:rsid w:val="2D0B54A3"/>
    <w:rsid w:val="2D230138"/>
    <w:rsid w:val="2D355E3C"/>
    <w:rsid w:val="2D6F4378"/>
    <w:rsid w:val="2DED1D9C"/>
    <w:rsid w:val="2DFF521E"/>
    <w:rsid w:val="2E590BD6"/>
    <w:rsid w:val="2EA0509E"/>
    <w:rsid w:val="2F3F3850"/>
    <w:rsid w:val="2F815A0A"/>
    <w:rsid w:val="2F884949"/>
    <w:rsid w:val="2FF73D1D"/>
    <w:rsid w:val="300801AF"/>
    <w:rsid w:val="3009697D"/>
    <w:rsid w:val="30104524"/>
    <w:rsid w:val="30113460"/>
    <w:rsid w:val="30204AC3"/>
    <w:rsid w:val="304B4E50"/>
    <w:rsid w:val="3063463F"/>
    <w:rsid w:val="308F3CFA"/>
    <w:rsid w:val="30E262DA"/>
    <w:rsid w:val="30F1651D"/>
    <w:rsid w:val="312F7772"/>
    <w:rsid w:val="31A11AE9"/>
    <w:rsid w:val="31C45C63"/>
    <w:rsid w:val="31FC3EF9"/>
    <w:rsid w:val="322E5E24"/>
    <w:rsid w:val="324B16F5"/>
    <w:rsid w:val="32807B59"/>
    <w:rsid w:val="32CF303F"/>
    <w:rsid w:val="32FB0035"/>
    <w:rsid w:val="33235F77"/>
    <w:rsid w:val="33421C25"/>
    <w:rsid w:val="334D197D"/>
    <w:rsid w:val="3350673E"/>
    <w:rsid w:val="33977D4F"/>
    <w:rsid w:val="33B67A9F"/>
    <w:rsid w:val="33E02E1C"/>
    <w:rsid w:val="341D63B4"/>
    <w:rsid w:val="346C42A4"/>
    <w:rsid w:val="34E60A39"/>
    <w:rsid w:val="3513289C"/>
    <w:rsid w:val="351D0A98"/>
    <w:rsid w:val="354F755A"/>
    <w:rsid w:val="355C0DE1"/>
    <w:rsid w:val="35893F26"/>
    <w:rsid w:val="35F03911"/>
    <w:rsid w:val="361D3B28"/>
    <w:rsid w:val="36383DD0"/>
    <w:rsid w:val="36C0037B"/>
    <w:rsid w:val="36F1018E"/>
    <w:rsid w:val="37503F9E"/>
    <w:rsid w:val="376857B1"/>
    <w:rsid w:val="377622CB"/>
    <w:rsid w:val="3780685D"/>
    <w:rsid w:val="37BA2F63"/>
    <w:rsid w:val="37C81053"/>
    <w:rsid w:val="37E817A5"/>
    <w:rsid w:val="38704532"/>
    <w:rsid w:val="38AA04E2"/>
    <w:rsid w:val="38B04014"/>
    <w:rsid w:val="38D77AF6"/>
    <w:rsid w:val="38DA1EF9"/>
    <w:rsid w:val="38E050B1"/>
    <w:rsid w:val="38FC0F21"/>
    <w:rsid w:val="393D4D2F"/>
    <w:rsid w:val="393D75AA"/>
    <w:rsid w:val="394E75C1"/>
    <w:rsid w:val="39600993"/>
    <w:rsid w:val="398A2C99"/>
    <w:rsid w:val="39B41E0D"/>
    <w:rsid w:val="39B853D1"/>
    <w:rsid w:val="39DB34A5"/>
    <w:rsid w:val="3A3C23C2"/>
    <w:rsid w:val="3A3E27D3"/>
    <w:rsid w:val="3AA0244D"/>
    <w:rsid w:val="3B040851"/>
    <w:rsid w:val="3B8E63E3"/>
    <w:rsid w:val="3B9528C7"/>
    <w:rsid w:val="3BA76A03"/>
    <w:rsid w:val="3BB717A6"/>
    <w:rsid w:val="3BE30FA7"/>
    <w:rsid w:val="3BF40129"/>
    <w:rsid w:val="3BFE1F56"/>
    <w:rsid w:val="3C002C09"/>
    <w:rsid w:val="3C4A5633"/>
    <w:rsid w:val="3C56385D"/>
    <w:rsid w:val="3C895347"/>
    <w:rsid w:val="3CDF3135"/>
    <w:rsid w:val="3CE41001"/>
    <w:rsid w:val="3D177A29"/>
    <w:rsid w:val="3D1D0F09"/>
    <w:rsid w:val="3D4153BD"/>
    <w:rsid w:val="3D5F6F75"/>
    <w:rsid w:val="3D605B64"/>
    <w:rsid w:val="3D6E7621"/>
    <w:rsid w:val="3DB66D48"/>
    <w:rsid w:val="3DFB5183"/>
    <w:rsid w:val="3E42676A"/>
    <w:rsid w:val="3F26350E"/>
    <w:rsid w:val="3F2B5786"/>
    <w:rsid w:val="3F3E428E"/>
    <w:rsid w:val="3F513CB1"/>
    <w:rsid w:val="3FA86688"/>
    <w:rsid w:val="3FB269C3"/>
    <w:rsid w:val="3FB9057C"/>
    <w:rsid w:val="3FD032C7"/>
    <w:rsid w:val="3FDB1D7E"/>
    <w:rsid w:val="405F4E39"/>
    <w:rsid w:val="406D3E71"/>
    <w:rsid w:val="40767C0D"/>
    <w:rsid w:val="40E45FD9"/>
    <w:rsid w:val="410061AC"/>
    <w:rsid w:val="413E22CD"/>
    <w:rsid w:val="41571D6E"/>
    <w:rsid w:val="41B06223"/>
    <w:rsid w:val="41B829D4"/>
    <w:rsid w:val="41E77728"/>
    <w:rsid w:val="41F8244F"/>
    <w:rsid w:val="420F5866"/>
    <w:rsid w:val="421F601D"/>
    <w:rsid w:val="42482AD4"/>
    <w:rsid w:val="424A2571"/>
    <w:rsid w:val="42714011"/>
    <w:rsid w:val="42896114"/>
    <w:rsid w:val="42BE5CDC"/>
    <w:rsid w:val="430C0C47"/>
    <w:rsid w:val="432B6014"/>
    <w:rsid w:val="435559B0"/>
    <w:rsid w:val="43A73423"/>
    <w:rsid w:val="43E62EC8"/>
    <w:rsid w:val="443E7269"/>
    <w:rsid w:val="44AC22B9"/>
    <w:rsid w:val="44CD1324"/>
    <w:rsid w:val="44F1429A"/>
    <w:rsid w:val="451275EF"/>
    <w:rsid w:val="458968B2"/>
    <w:rsid w:val="459C606B"/>
    <w:rsid w:val="46C076E7"/>
    <w:rsid w:val="46CC258D"/>
    <w:rsid w:val="46E42C4A"/>
    <w:rsid w:val="472C7633"/>
    <w:rsid w:val="47385FC3"/>
    <w:rsid w:val="474256D1"/>
    <w:rsid w:val="475D2AB1"/>
    <w:rsid w:val="47616262"/>
    <w:rsid w:val="47D965EA"/>
    <w:rsid w:val="48186FE3"/>
    <w:rsid w:val="48C3442B"/>
    <w:rsid w:val="48D43EA7"/>
    <w:rsid w:val="48E11944"/>
    <w:rsid w:val="48EA0098"/>
    <w:rsid w:val="48ED46B3"/>
    <w:rsid w:val="49352AAB"/>
    <w:rsid w:val="4939352B"/>
    <w:rsid w:val="49451217"/>
    <w:rsid w:val="496D4057"/>
    <w:rsid w:val="49807693"/>
    <w:rsid w:val="49BF2665"/>
    <w:rsid w:val="49C56BCC"/>
    <w:rsid w:val="49D82CEC"/>
    <w:rsid w:val="49E44F5F"/>
    <w:rsid w:val="4A986521"/>
    <w:rsid w:val="4AD36F68"/>
    <w:rsid w:val="4ADA6DED"/>
    <w:rsid w:val="4BC16430"/>
    <w:rsid w:val="4BE72D78"/>
    <w:rsid w:val="4BFD54DB"/>
    <w:rsid w:val="4C164FBE"/>
    <w:rsid w:val="4C271A49"/>
    <w:rsid w:val="4C325CE4"/>
    <w:rsid w:val="4C623D84"/>
    <w:rsid w:val="4CDE39A2"/>
    <w:rsid w:val="4CE935CD"/>
    <w:rsid w:val="4CF94C73"/>
    <w:rsid w:val="4DAE7818"/>
    <w:rsid w:val="4DB82445"/>
    <w:rsid w:val="4DC55A54"/>
    <w:rsid w:val="4DD637A3"/>
    <w:rsid w:val="4DEA0C18"/>
    <w:rsid w:val="4DF60365"/>
    <w:rsid w:val="4E0D2787"/>
    <w:rsid w:val="4E0D453F"/>
    <w:rsid w:val="4E4700F3"/>
    <w:rsid w:val="4E537D88"/>
    <w:rsid w:val="4E5E2A3C"/>
    <w:rsid w:val="4E7B22CD"/>
    <w:rsid w:val="4ECD27ED"/>
    <w:rsid w:val="4EF179BD"/>
    <w:rsid w:val="4F227A3B"/>
    <w:rsid w:val="4F2B0C9E"/>
    <w:rsid w:val="4F3124AF"/>
    <w:rsid w:val="4FCD0FCF"/>
    <w:rsid w:val="4FDB49B8"/>
    <w:rsid w:val="4FEC07C0"/>
    <w:rsid w:val="4FF35972"/>
    <w:rsid w:val="4FF813ED"/>
    <w:rsid w:val="50043987"/>
    <w:rsid w:val="502F5B05"/>
    <w:rsid w:val="505144B9"/>
    <w:rsid w:val="509960DB"/>
    <w:rsid w:val="50F67A62"/>
    <w:rsid w:val="510E78E7"/>
    <w:rsid w:val="51574F3C"/>
    <w:rsid w:val="51D73B45"/>
    <w:rsid w:val="51F21254"/>
    <w:rsid w:val="523258FE"/>
    <w:rsid w:val="52940567"/>
    <w:rsid w:val="52DF6974"/>
    <w:rsid w:val="53292792"/>
    <w:rsid w:val="535D3873"/>
    <w:rsid w:val="53AE105A"/>
    <w:rsid w:val="53B57275"/>
    <w:rsid w:val="540A2A63"/>
    <w:rsid w:val="54A27FE5"/>
    <w:rsid w:val="54E126EC"/>
    <w:rsid w:val="551A77A3"/>
    <w:rsid w:val="552B71DA"/>
    <w:rsid w:val="55BB0D24"/>
    <w:rsid w:val="55C80ACA"/>
    <w:rsid w:val="55CA4C7D"/>
    <w:rsid w:val="55F9355F"/>
    <w:rsid w:val="5606548A"/>
    <w:rsid w:val="564837DC"/>
    <w:rsid w:val="56562CF2"/>
    <w:rsid w:val="56927A26"/>
    <w:rsid w:val="572A016E"/>
    <w:rsid w:val="5730509E"/>
    <w:rsid w:val="573D71DF"/>
    <w:rsid w:val="577D0663"/>
    <w:rsid w:val="57AA2B3B"/>
    <w:rsid w:val="57AE734F"/>
    <w:rsid w:val="58236A15"/>
    <w:rsid w:val="583016CC"/>
    <w:rsid w:val="58321EC6"/>
    <w:rsid w:val="58501D07"/>
    <w:rsid w:val="585A3C87"/>
    <w:rsid w:val="58620FD6"/>
    <w:rsid w:val="586757C9"/>
    <w:rsid w:val="586D5A9B"/>
    <w:rsid w:val="58807305"/>
    <w:rsid w:val="58A34626"/>
    <w:rsid w:val="58A446B9"/>
    <w:rsid w:val="58DF11CE"/>
    <w:rsid w:val="59050432"/>
    <w:rsid w:val="59791DC6"/>
    <w:rsid w:val="597C3E85"/>
    <w:rsid w:val="59B30690"/>
    <w:rsid w:val="59CF46A6"/>
    <w:rsid w:val="5A0C7DA1"/>
    <w:rsid w:val="5A2F24DA"/>
    <w:rsid w:val="5ABF28B9"/>
    <w:rsid w:val="5AC22B45"/>
    <w:rsid w:val="5AC85CCF"/>
    <w:rsid w:val="5ADD3C34"/>
    <w:rsid w:val="5B24477E"/>
    <w:rsid w:val="5B44356A"/>
    <w:rsid w:val="5B743E4F"/>
    <w:rsid w:val="5BCA3A6F"/>
    <w:rsid w:val="5CDF047D"/>
    <w:rsid w:val="5D12364D"/>
    <w:rsid w:val="5D5F6EC4"/>
    <w:rsid w:val="5D652999"/>
    <w:rsid w:val="5D6730F6"/>
    <w:rsid w:val="5D8D7C8E"/>
    <w:rsid w:val="5D9C1373"/>
    <w:rsid w:val="5DC61182"/>
    <w:rsid w:val="5DDB3655"/>
    <w:rsid w:val="5E123C25"/>
    <w:rsid w:val="5E2935C7"/>
    <w:rsid w:val="5E515E45"/>
    <w:rsid w:val="5E643D94"/>
    <w:rsid w:val="5E6E14AE"/>
    <w:rsid w:val="5E8748C3"/>
    <w:rsid w:val="5E8819C0"/>
    <w:rsid w:val="5E9D440C"/>
    <w:rsid w:val="5EB43E99"/>
    <w:rsid w:val="5EB54CAB"/>
    <w:rsid w:val="5EC74A26"/>
    <w:rsid w:val="5EDA4E15"/>
    <w:rsid w:val="5EEA182F"/>
    <w:rsid w:val="5EEC4F2C"/>
    <w:rsid w:val="5F137888"/>
    <w:rsid w:val="5F3118C0"/>
    <w:rsid w:val="5F362174"/>
    <w:rsid w:val="5F382F4C"/>
    <w:rsid w:val="5F5652B7"/>
    <w:rsid w:val="5F6C0876"/>
    <w:rsid w:val="5F93061C"/>
    <w:rsid w:val="5FAD15EE"/>
    <w:rsid w:val="5FFC114E"/>
    <w:rsid w:val="60103A97"/>
    <w:rsid w:val="609B14DB"/>
    <w:rsid w:val="60C1328E"/>
    <w:rsid w:val="610C012A"/>
    <w:rsid w:val="61237EB8"/>
    <w:rsid w:val="61312D31"/>
    <w:rsid w:val="61622839"/>
    <w:rsid w:val="61C86CA3"/>
    <w:rsid w:val="61FC3A17"/>
    <w:rsid w:val="623A3232"/>
    <w:rsid w:val="624C3ACF"/>
    <w:rsid w:val="626A1B08"/>
    <w:rsid w:val="629666C7"/>
    <w:rsid w:val="62D81168"/>
    <w:rsid w:val="633C34A4"/>
    <w:rsid w:val="63723E5E"/>
    <w:rsid w:val="63BA64B1"/>
    <w:rsid w:val="63F2576A"/>
    <w:rsid w:val="63FA13F4"/>
    <w:rsid w:val="641B465B"/>
    <w:rsid w:val="64232B20"/>
    <w:rsid w:val="64365814"/>
    <w:rsid w:val="6450446F"/>
    <w:rsid w:val="64A95D2E"/>
    <w:rsid w:val="64C86B13"/>
    <w:rsid w:val="64CB312C"/>
    <w:rsid w:val="64DB3FFC"/>
    <w:rsid w:val="64E32783"/>
    <w:rsid w:val="65007F4E"/>
    <w:rsid w:val="65633210"/>
    <w:rsid w:val="6585379C"/>
    <w:rsid w:val="658A3520"/>
    <w:rsid w:val="66072141"/>
    <w:rsid w:val="66207B33"/>
    <w:rsid w:val="662D4763"/>
    <w:rsid w:val="664513D6"/>
    <w:rsid w:val="664B644A"/>
    <w:rsid w:val="666B09B5"/>
    <w:rsid w:val="66885224"/>
    <w:rsid w:val="66BA43AC"/>
    <w:rsid w:val="67000CC4"/>
    <w:rsid w:val="67236729"/>
    <w:rsid w:val="67397FD4"/>
    <w:rsid w:val="676B3E68"/>
    <w:rsid w:val="677360E3"/>
    <w:rsid w:val="67F65590"/>
    <w:rsid w:val="687A4A6F"/>
    <w:rsid w:val="68D357B0"/>
    <w:rsid w:val="68E21A43"/>
    <w:rsid w:val="68F669DD"/>
    <w:rsid w:val="69962BD5"/>
    <w:rsid w:val="69A518C9"/>
    <w:rsid w:val="69CB7493"/>
    <w:rsid w:val="69D4537F"/>
    <w:rsid w:val="6A2202B4"/>
    <w:rsid w:val="6A365264"/>
    <w:rsid w:val="6AB30BF4"/>
    <w:rsid w:val="6AD0599B"/>
    <w:rsid w:val="6ADF733A"/>
    <w:rsid w:val="6B981DF8"/>
    <w:rsid w:val="6B9D025C"/>
    <w:rsid w:val="6BA75FB6"/>
    <w:rsid w:val="6BCA0C7C"/>
    <w:rsid w:val="6BFE0F28"/>
    <w:rsid w:val="6BFF52D4"/>
    <w:rsid w:val="6C180CDF"/>
    <w:rsid w:val="6C59487A"/>
    <w:rsid w:val="6CDA2501"/>
    <w:rsid w:val="6D202140"/>
    <w:rsid w:val="6D342340"/>
    <w:rsid w:val="6D9B19E5"/>
    <w:rsid w:val="6DCF3167"/>
    <w:rsid w:val="6DD3292E"/>
    <w:rsid w:val="6E984CF8"/>
    <w:rsid w:val="6F5E0FC0"/>
    <w:rsid w:val="6F6F4E5B"/>
    <w:rsid w:val="6FCD69D4"/>
    <w:rsid w:val="70765165"/>
    <w:rsid w:val="70A80E7F"/>
    <w:rsid w:val="70E241C6"/>
    <w:rsid w:val="71034F30"/>
    <w:rsid w:val="71603DA0"/>
    <w:rsid w:val="722515A8"/>
    <w:rsid w:val="722E2B52"/>
    <w:rsid w:val="728B1D53"/>
    <w:rsid w:val="72991E28"/>
    <w:rsid w:val="72D26514"/>
    <w:rsid w:val="7310706F"/>
    <w:rsid w:val="73B22C14"/>
    <w:rsid w:val="74564E86"/>
    <w:rsid w:val="74974303"/>
    <w:rsid w:val="74C434B7"/>
    <w:rsid w:val="74D70911"/>
    <w:rsid w:val="75366B80"/>
    <w:rsid w:val="753D3F57"/>
    <w:rsid w:val="756D573F"/>
    <w:rsid w:val="75BA3232"/>
    <w:rsid w:val="76564134"/>
    <w:rsid w:val="76A16BB3"/>
    <w:rsid w:val="76D10E3F"/>
    <w:rsid w:val="76E35326"/>
    <w:rsid w:val="76EB17F6"/>
    <w:rsid w:val="77747E1D"/>
    <w:rsid w:val="778411AD"/>
    <w:rsid w:val="77901832"/>
    <w:rsid w:val="77AC6648"/>
    <w:rsid w:val="77B9304C"/>
    <w:rsid w:val="78440AD8"/>
    <w:rsid w:val="786B73C0"/>
    <w:rsid w:val="78857573"/>
    <w:rsid w:val="789442E7"/>
    <w:rsid w:val="78E74F63"/>
    <w:rsid w:val="79652BD2"/>
    <w:rsid w:val="79654777"/>
    <w:rsid w:val="798013C0"/>
    <w:rsid w:val="79DD6591"/>
    <w:rsid w:val="79F41288"/>
    <w:rsid w:val="7A120A56"/>
    <w:rsid w:val="7A252A8D"/>
    <w:rsid w:val="7A634C39"/>
    <w:rsid w:val="7A6B1587"/>
    <w:rsid w:val="7AB644FB"/>
    <w:rsid w:val="7B1E65F5"/>
    <w:rsid w:val="7B9F5272"/>
    <w:rsid w:val="7BBB7C03"/>
    <w:rsid w:val="7C0741E9"/>
    <w:rsid w:val="7C230F73"/>
    <w:rsid w:val="7C29438A"/>
    <w:rsid w:val="7D0751C9"/>
    <w:rsid w:val="7D1B52B4"/>
    <w:rsid w:val="7D3744CD"/>
    <w:rsid w:val="7D7173A1"/>
    <w:rsid w:val="7DB23C95"/>
    <w:rsid w:val="7E433576"/>
    <w:rsid w:val="7E7212E6"/>
    <w:rsid w:val="7EAF5740"/>
    <w:rsid w:val="7EED3340"/>
    <w:rsid w:val="7F727327"/>
    <w:rsid w:val="7FCB42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0" w:name="footnote text"/>
    <w:lsdException w:qFormat="1" w:unhideWhenUsed="0" w:uiPriority="99"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link w:val="59"/>
    <w:autoRedefine/>
    <w:qFormat/>
    <w:uiPriority w:val="0"/>
    <w:pPr>
      <w:spacing w:before="340" w:after="330" w:line="360" w:lineRule="auto"/>
      <w:jc w:val="center"/>
      <w:outlineLvl w:val="0"/>
    </w:pPr>
    <w:rPr>
      <w:rFonts w:eastAsia="黑体"/>
      <w:kern w:val="44"/>
      <w:szCs w:val="44"/>
    </w:rPr>
  </w:style>
  <w:style w:type="paragraph" w:styleId="5">
    <w:name w:val="heading 2"/>
    <w:basedOn w:val="1"/>
    <w:next w:val="1"/>
    <w:link w:val="74"/>
    <w:autoRedefine/>
    <w:qFormat/>
    <w:uiPriority w:val="0"/>
    <w:pPr>
      <w:adjustRightInd w:val="0"/>
      <w:jc w:val="center"/>
      <w:textAlignment w:val="baseline"/>
      <w:outlineLvl w:val="1"/>
    </w:pPr>
    <w:rPr>
      <w:kern w:val="0"/>
      <w:sz w:val="24"/>
      <w:szCs w:val="20"/>
    </w:rPr>
  </w:style>
  <w:style w:type="paragraph" w:styleId="3">
    <w:name w:val="heading 3"/>
    <w:basedOn w:val="4"/>
    <w:next w:val="1"/>
    <w:link w:val="58"/>
    <w:autoRedefine/>
    <w:qFormat/>
    <w:uiPriority w:val="9"/>
    <w:pPr>
      <w:spacing w:before="260" w:after="260" w:line="240" w:lineRule="auto"/>
      <w:outlineLvl w:val="2"/>
    </w:pPr>
    <w:rPr>
      <w:rFonts w:ascii="宋体" w:hAnsi="宋体" w:eastAsia="宋体"/>
      <w:szCs w:val="32"/>
    </w:rPr>
  </w:style>
  <w:style w:type="paragraph" w:styleId="4">
    <w:name w:val="heading 4"/>
    <w:basedOn w:val="1"/>
    <w:next w:val="1"/>
    <w:link w:val="56"/>
    <w:autoRedefine/>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83"/>
    <w:autoRedefine/>
    <w:qFormat/>
    <w:uiPriority w:val="0"/>
    <w:pPr>
      <w:keepNext/>
      <w:keepLines/>
      <w:spacing w:before="280" w:after="290" w:line="376" w:lineRule="auto"/>
      <w:outlineLvl w:val="4"/>
    </w:pPr>
    <w:rPr>
      <w:b/>
      <w:sz w:val="28"/>
      <w:szCs w:val="20"/>
    </w:rPr>
  </w:style>
  <w:style w:type="paragraph" w:styleId="8">
    <w:name w:val="heading 6"/>
    <w:basedOn w:val="1"/>
    <w:next w:val="7"/>
    <w:link w:val="86"/>
    <w:autoRedefine/>
    <w:qFormat/>
    <w:uiPriority w:val="0"/>
    <w:pPr>
      <w:keepNext/>
      <w:keepLines/>
      <w:spacing w:before="240" w:after="64" w:line="320" w:lineRule="auto"/>
      <w:outlineLvl w:val="5"/>
    </w:pPr>
    <w:rPr>
      <w:rFonts w:ascii="Arial" w:hAnsi="Arial" w:eastAsia="黑体"/>
      <w:b/>
      <w:sz w:val="24"/>
      <w:szCs w:val="20"/>
    </w:rPr>
  </w:style>
  <w:style w:type="paragraph" w:styleId="9">
    <w:name w:val="heading 7"/>
    <w:basedOn w:val="1"/>
    <w:next w:val="7"/>
    <w:link w:val="87"/>
    <w:autoRedefine/>
    <w:qFormat/>
    <w:uiPriority w:val="0"/>
    <w:pPr>
      <w:keepNext/>
      <w:keepLines/>
      <w:spacing w:before="240" w:after="64" w:line="320" w:lineRule="auto"/>
      <w:outlineLvl w:val="6"/>
    </w:pPr>
    <w:rPr>
      <w:b/>
      <w:sz w:val="24"/>
      <w:szCs w:val="20"/>
    </w:rPr>
  </w:style>
  <w:style w:type="paragraph" w:styleId="10">
    <w:name w:val="heading 8"/>
    <w:basedOn w:val="1"/>
    <w:next w:val="7"/>
    <w:link w:val="88"/>
    <w:autoRedefine/>
    <w:qFormat/>
    <w:uiPriority w:val="0"/>
    <w:pPr>
      <w:keepNext/>
      <w:keepLines/>
      <w:spacing w:before="240" w:after="64" w:line="320" w:lineRule="auto"/>
      <w:outlineLvl w:val="7"/>
    </w:pPr>
    <w:rPr>
      <w:rFonts w:ascii="Arial" w:hAnsi="Arial" w:eastAsia="黑体"/>
      <w:sz w:val="24"/>
      <w:szCs w:val="20"/>
    </w:rPr>
  </w:style>
  <w:style w:type="paragraph" w:styleId="11">
    <w:name w:val="heading 9"/>
    <w:basedOn w:val="1"/>
    <w:next w:val="7"/>
    <w:link w:val="89"/>
    <w:autoRedefine/>
    <w:qFormat/>
    <w:uiPriority w:val="0"/>
    <w:pPr>
      <w:keepNext/>
      <w:keepLines/>
      <w:spacing w:before="240" w:after="64" w:line="320" w:lineRule="auto"/>
      <w:outlineLvl w:val="8"/>
    </w:pPr>
    <w:rPr>
      <w:rFonts w:ascii="Arial" w:hAnsi="Arial" w:eastAsia="黑体"/>
      <w:szCs w:val="20"/>
    </w:rPr>
  </w:style>
  <w:style w:type="character" w:default="1" w:styleId="47">
    <w:name w:val="Default Paragraph Font"/>
    <w:autoRedefine/>
    <w:semiHidden/>
    <w:unhideWhenUsed/>
    <w:qFormat/>
    <w:uiPriority w:val="1"/>
  </w:style>
  <w:style w:type="table" w:default="1" w:styleId="44">
    <w:name w:val="Normal Table"/>
    <w:autoRedefine/>
    <w:semiHidden/>
    <w:unhideWhenUsed/>
    <w:qFormat/>
    <w:uiPriority w:val="99"/>
    <w:tblPr>
      <w:tblCellMar>
        <w:top w:w="0" w:type="dxa"/>
        <w:left w:w="108" w:type="dxa"/>
        <w:bottom w:w="0" w:type="dxa"/>
        <w:right w:w="108" w:type="dxa"/>
      </w:tblCellMar>
    </w:tblPr>
  </w:style>
  <w:style w:type="paragraph" w:styleId="7">
    <w:name w:val="Normal Indent"/>
    <w:basedOn w:val="1"/>
    <w:link w:val="60"/>
    <w:autoRedefine/>
    <w:qFormat/>
    <w:uiPriority w:val="0"/>
    <w:pPr>
      <w:ind w:firstLine="420"/>
    </w:pPr>
    <w:rPr>
      <w:szCs w:val="20"/>
    </w:rPr>
  </w:style>
  <w:style w:type="paragraph" w:styleId="12">
    <w:name w:val="toc 7"/>
    <w:basedOn w:val="1"/>
    <w:next w:val="1"/>
    <w:autoRedefine/>
    <w:semiHidden/>
    <w:qFormat/>
    <w:uiPriority w:val="0"/>
    <w:pPr>
      <w:ind w:left="1260"/>
      <w:jc w:val="left"/>
    </w:pPr>
    <w:rPr>
      <w:szCs w:val="21"/>
    </w:rPr>
  </w:style>
  <w:style w:type="paragraph" w:styleId="13">
    <w:name w:val="caption"/>
    <w:basedOn w:val="1"/>
    <w:next w:val="1"/>
    <w:autoRedefine/>
    <w:qFormat/>
    <w:uiPriority w:val="0"/>
    <w:pPr>
      <w:widowControl/>
      <w:spacing w:line="360" w:lineRule="auto"/>
      <w:ind w:firstLine="1940" w:firstLineChars="920"/>
      <w:jc w:val="left"/>
    </w:pPr>
    <w:rPr>
      <w:rFonts w:ascii="宋体" w:hAnsi="宋体"/>
      <w:b/>
      <w:bCs/>
      <w:kern w:val="0"/>
      <w:sz w:val="20"/>
      <w:szCs w:val="20"/>
    </w:rPr>
  </w:style>
  <w:style w:type="paragraph" w:styleId="14">
    <w:name w:val="List Bullet"/>
    <w:basedOn w:val="1"/>
    <w:autoRedefine/>
    <w:qFormat/>
    <w:uiPriority w:val="0"/>
    <w:pPr>
      <w:numPr>
        <w:ilvl w:val="0"/>
        <w:numId w:val="1"/>
      </w:numPr>
    </w:pPr>
    <w:rPr>
      <w:szCs w:val="20"/>
    </w:rPr>
  </w:style>
  <w:style w:type="paragraph" w:styleId="15">
    <w:name w:val="Document Map"/>
    <w:basedOn w:val="1"/>
    <w:autoRedefine/>
    <w:semiHidden/>
    <w:qFormat/>
    <w:uiPriority w:val="0"/>
    <w:pPr>
      <w:shd w:val="clear" w:color="auto" w:fill="000080"/>
    </w:pPr>
  </w:style>
  <w:style w:type="paragraph" w:styleId="16">
    <w:name w:val="annotation text"/>
    <w:basedOn w:val="1"/>
    <w:link w:val="187"/>
    <w:autoRedefine/>
    <w:semiHidden/>
    <w:qFormat/>
    <w:uiPriority w:val="99"/>
    <w:pPr>
      <w:autoSpaceDE w:val="0"/>
      <w:autoSpaceDN w:val="0"/>
      <w:adjustRightInd w:val="0"/>
      <w:jc w:val="left"/>
      <w:textAlignment w:val="baseline"/>
    </w:pPr>
    <w:rPr>
      <w:rFonts w:ascii="宋体"/>
      <w:kern w:val="0"/>
      <w:sz w:val="34"/>
      <w:szCs w:val="20"/>
    </w:rPr>
  </w:style>
  <w:style w:type="paragraph" w:styleId="17">
    <w:name w:val="Body Text 3"/>
    <w:basedOn w:val="1"/>
    <w:link w:val="101"/>
    <w:autoRedefine/>
    <w:qFormat/>
    <w:uiPriority w:val="0"/>
    <w:pPr>
      <w:spacing w:after="120"/>
    </w:pPr>
    <w:rPr>
      <w:sz w:val="16"/>
      <w:szCs w:val="16"/>
    </w:rPr>
  </w:style>
  <w:style w:type="paragraph" w:styleId="18">
    <w:name w:val="Body Text"/>
    <w:basedOn w:val="1"/>
    <w:next w:val="1"/>
    <w:link w:val="95"/>
    <w:autoRedefine/>
    <w:qFormat/>
    <w:uiPriority w:val="0"/>
    <w:pPr>
      <w:spacing w:line="360" w:lineRule="auto"/>
    </w:pPr>
    <w:rPr>
      <w:b/>
      <w:bCs/>
      <w:sz w:val="24"/>
    </w:rPr>
  </w:style>
  <w:style w:type="paragraph" w:styleId="19">
    <w:name w:val="Body Text Indent"/>
    <w:basedOn w:val="1"/>
    <w:link w:val="82"/>
    <w:autoRedefine/>
    <w:qFormat/>
    <w:uiPriority w:val="0"/>
    <w:pPr>
      <w:spacing w:line="360" w:lineRule="auto"/>
      <w:ind w:firstLine="420" w:firstLineChars="200"/>
    </w:pPr>
  </w:style>
  <w:style w:type="paragraph" w:styleId="20">
    <w:name w:val="Block Text"/>
    <w:basedOn w:val="1"/>
    <w:qFormat/>
    <w:uiPriority w:val="0"/>
    <w:pPr>
      <w:spacing w:line="360" w:lineRule="auto"/>
      <w:ind w:left="-85" w:right="-244" w:firstLine="435"/>
    </w:pPr>
  </w:style>
  <w:style w:type="paragraph" w:styleId="21">
    <w:name w:val="toc 5"/>
    <w:basedOn w:val="1"/>
    <w:next w:val="1"/>
    <w:autoRedefine/>
    <w:semiHidden/>
    <w:qFormat/>
    <w:uiPriority w:val="0"/>
    <w:pPr>
      <w:ind w:left="840"/>
      <w:jc w:val="left"/>
    </w:pPr>
    <w:rPr>
      <w:szCs w:val="21"/>
    </w:rPr>
  </w:style>
  <w:style w:type="paragraph" w:styleId="22">
    <w:name w:val="toc 3"/>
    <w:basedOn w:val="1"/>
    <w:next w:val="1"/>
    <w:autoRedefine/>
    <w:semiHidden/>
    <w:qFormat/>
    <w:uiPriority w:val="0"/>
    <w:pPr>
      <w:ind w:left="420"/>
      <w:jc w:val="left"/>
    </w:pPr>
    <w:rPr>
      <w:i/>
      <w:iCs/>
    </w:rPr>
  </w:style>
  <w:style w:type="paragraph" w:styleId="23">
    <w:name w:val="Plain Text"/>
    <w:basedOn w:val="1"/>
    <w:link w:val="93"/>
    <w:autoRedefine/>
    <w:qFormat/>
    <w:uiPriority w:val="0"/>
    <w:rPr>
      <w:rFonts w:ascii="宋体" w:hAnsi="Courier New"/>
      <w:szCs w:val="20"/>
    </w:rPr>
  </w:style>
  <w:style w:type="paragraph" w:styleId="24">
    <w:name w:val="toc 8"/>
    <w:basedOn w:val="1"/>
    <w:next w:val="1"/>
    <w:autoRedefine/>
    <w:semiHidden/>
    <w:qFormat/>
    <w:uiPriority w:val="0"/>
    <w:pPr>
      <w:ind w:left="1470"/>
      <w:jc w:val="left"/>
    </w:pPr>
    <w:rPr>
      <w:szCs w:val="21"/>
    </w:rPr>
  </w:style>
  <w:style w:type="paragraph" w:styleId="25">
    <w:name w:val="Date"/>
    <w:basedOn w:val="1"/>
    <w:next w:val="1"/>
    <w:link w:val="91"/>
    <w:autoRedefine/>
    <w:qFormat/>
    <w:uiPriority w:val="0"/>
    <w:rPr>
      <w:rFonts w:ascii="宋体" w:hAnsi="Courier New"/>
      <w:sz w:val="32"/>
      <w:szCs w:val="20"/>
    </w:rPr>
  </w:style>
  <w:style w:type="paragraph" w:styleId="26">
    <w:name w:val="Body Text Indent 2"/>
    <w:basedOn w:val="1"/>
    <w:link w:val="96"/>
    <w:autoRedefine/>
    <w:qFormat/>
    <w:uiPriority w:val="0"/>
    <w:pPr>
      <w:spacing w:beforeLines="50" w:afterLines="50" w:line="120" w:lineRule="auto"/>
      <w:ind w:firstLine="840" w:firstLineChars="400"/>
      <w:jc w:val="left"/>
    </w:pPr>
    <w:rPr>
      <w:rFonts w:ascii="宋体" w:hAnsi="宋体"/>
    </w:rPr>
  </w:style>
  <w:style w:type="paragraph" w:styleId="27">
    <w:name w:val="Balloon Text"/>
    <w:basedOn w:val="1"/>
    <w:link w:val="102"/>
    <w:autoRedefine/>
    <w:semiHidden/>
    <w:qFormat/>
    <w:uiPriority w:val="99"/>
    <w:rPr>
      <w:sz w:val="18"/>
      <w:szCs w:val="18"/>
    </w:rPr>
  </w:style>
  <w:style w:type="paragraph" w:styleId="28">
    <w:name w:val="footer"/>
    <w:basedOn w:val="1"/>
    <w:link w:val="100"/>
    <w:autoRedefine/>
    <w:qFormat/>
    <w:uiPriority w:val="0"/>
    <w:pPr>
      <w:tabs>
        <w:tab w:val="center" w:pos="4153"/>
        <w:tab w:val="right" w:pos="8306"/>
      </w:tabs>
      <w:snapToGrid w:val="0"/>
      <w:jc w:val="left"/>
    </w:pPr>
    <w:rPr>
      <w:sz w:val="18"/>
      <w:szCs w:val="18"/>
    </w:rPr>
  </w:style>
  <w:style w:type="paragraph" w:styleId="29">
    <w:name w:val="header"/>
    <w:basedOn w:val="1"/>
    <w:link w:val="97"/>
    <w:autoRedefine/>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autoRedefine/>
    <w:qFormat/>
    <w:uiPriority w:val="0"/>
    <w:pPr>
      <w:spacing w:before="120" w:after="120"/>
      <w:jc w:val="left"/>
    </w:pPr>
    <w:rPr>
      <w:b/>
      <w:bCs/>
      <w:caps/>
    </w:rPr>
  </w:style>
  <w:style w:type="paragraph" w:styleId="31">
    <w:name w:val="toc 4"/>
    <w:basedOn w:val="1"/>
    <w:next w:val="1"/>
    <w:autoRedefine/>
    <w:semiHidden/>
    <w:qFormat/>
    <w:uiPriority w:val="0"/>
    <w:pPr>
      <w:ind w:left="630"/>
      <w:jc w:val="left"/>
    </w:pPr>
    <w:rPr>
      <w:szCs w:val="21"/>
    </w:rPr>
  </w:style>
  <w:style w:type="paragraph" w:styleId="32">
    <w:name w:val="Subtitle"/>
    <w:next w:val="1"/>
    <w:link w:val="312"/>
    <w:autoRedefine/>
    <w:qFormat/>
    <w:uiPriority w:val="0"/>
    <w:pPr>
      <w:wordWrap w:val="0"/>
      <w:spacing w:after="60"/>
      <w:jc w:val="center"/>
    </w:pPr>
    <w:rPr>
      <w:rFonts w:ascii="Calibri" w:hAnsi="Calibri" w:eastAsia="宋体" w:cs="Times New Roman"/>
      <w:sz w:val="24"/>
      <w:lang w:val="en-US" w:eastAsia="zh-CN" w:bidi="ar-SA"/>
    </w:rPr>
  </w:style>
  <w:style w:type="paragraph" w:styleId="33">
    <w:name w:val="toc 6"/>
    <w:basedOn w:val="1"/>
    <w:next w:val="1"/>
    <w:autoRedefine/>
    <w:semiHidden/>
    <w:qFormat/>
    <w:uiPriority w:val="0"/>
    <w:pPr>
      <w:ind w:left="1050"/>
      <w:jc w:val="left"/>
    </w:pPr>
    <w:rPr>
      <w:szCs w:val="21"/>
    </w:rPr>
  </w:style>
  <w:style w:type="paragraph" w:styleId="34">
    <w:name w:val="Body Text Indent 3"/>
    <w:basedOn w:val="1"/>
    <w:link w:val="98"/>
    <w:autoRedefine/>
    <w:qFormat/>
    <w:uiPriority w:val="0"/>
    <w:pPr>
      <w:spacing w:line="360" w:lineRule="auto"/>
      <w:ind w:firstLine="482" w:firstLineChars="200"/>
    </w:pPr>
    <w:rPr>
      <w:rFonts w:ascii="宋体"/>
      <w:b/>
      <w:bCs/>
      <w:sz w:val="24"/>
    </w:rPr>
  </w:style>
  <w:style w:type="paragraph" w:styleId="35">
    <w:name w:val="toc 2"/>
    <w:basedOn w:val="1"/>
    <w:next w:val="1"/>
    <w:autoRedefine/>
    <w:semiHidden/>
    <w:qFormat/>
    <w:uiPriority w:val="0"/>
    <w:pPr>
      <w:tabs>
        <w:tab w:val="right" w:leader="dot" w:pos="8296"/>
      </w:tabs>
      <w:ind w:left="210"/>
      <w:jc w:val="left"/>
    </w:pPr>
    <w:rPr>
      <w:smallCaps/>
    </w:rPr>
  </w:style>
  <w:style w:type="paragraph" w:styleId="36">
    <w:name w:val="toc 9"/>
    <w:basedOn w:val="1"/>
    <w:next w:val="1"/>
    <w:autoRedefine/>
    <w:semiHidden/>
    <w:qFormat/>
    <w:uiPriority w:val="0"/>
    <w:pPr>
      <w:ind w:left="1680"/>
      <w:jc w:val="left"/>
    </w:pPr>
    <w:rPr>
      <w:szCs w:val="21"/>
    </w:rPr>
  </w:style>
  <w:style w:type="paragraph" w:styleId="37">
    <w:name w:val="Body Text 2"/>
    <w:basedOn w:val="1"/>
    <w:link w:val="99"/>
    <w:autoRedefine/>
    <w:qFormat/>
    <w:uiPriority w:val="0"/>
    <w:pPr>
      <w:spacing w:line="360" w:lineRule="auto"/>
    </w:pPr>
    <w:rPr>
      <w:sz w:val="24"/>
    </w:rPr>
  </w:style>
  <w:style w:type="paragraph" w:styleId="38">
    <w:name w:val="HTML Preformatted"/>
    <w:basedOn w:val="1"/>
    <w:link w:val="92"/>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9">
    <w:name w:val="Normal (Web)"/>
    <w:basedOn w:val="1"/>
    <w:autoRedefine/>
    <w:qFormat/>
    <w:uiPriority w:val="99"/>
    <w:pPr>
      <w:spacing w:beforeAutospacing="1" w:afterAutospacing="1"/>
      <w:jc w:val="left"/>
    </w:pPr>
    <w:rPr>
      <w:kern w:val="0"/>
      <w:sz w:val="24"/>
    </w:rPr>
  </w:style>
  <w:style w:type="paragraph" w:styleId="40">
    <w:name w:val="index 1"/>
    <w:basedOn w:val="1"/>
    <w:next w:val="1"/>
    <w:autoRedefine/>
    <w:semiHidden/>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41">
    <w:name w:val="Title"/>
    <w:basedOn w:val="1"/>
    <w:next w:val="1"/>
    <w:link w:val="90"/>
    <w:autoRedefine/>
    <w:qFormat/>
    <w:uiPriority w:val="0"/>
    <w:pPr>
      <w:spacing w:before="240" w:after="60"/>
      <w:jc w:val="center"/>
      <w:outlineLvl w:val="0"/>
    </w:pPr>
    <w:rPr>
      <w:rFonts w:ascii="Arial" w:hAnsi="Arial" w:eastAsia="隶书" w:cs="Arial"/>
      <w:b/>
      <w:bCs/>
      <w:sz w:val="32"/>
      <w:szCs w:val="32"/>
    </w:rPr>
  </w:style>
  <w:style w:type="paragraph" w:styleId="42">
    <w:name w:val="annotation subject"/>
    <w:basedOn w:val="16"/>
    <w:next w:val="16"/>
    <w:link w:val="188"/>
    <w:autoRedefine/>
    <w:qFormat/>
    <w:uiPriority w:val="99"/>
    <w:pPr>
      <w:autoSpaceDE/>
      <w:autoSpaceDN/>
      <w:adjustRightInd/>
      <w:textAlignment w:val="auto"/>
    </w:pPr>
    <w:rPr>
      <w:rFonts w:ascii="Times New Roman"/>
      <w:b/>
      <w:bCs/>
      <w:kern w:val="2"/>
      <w:sz w:val="21"/>
      <w:szCs w:val="24"/>
    </w:rPr>
  </w:style>
  <w:style w:type="paragraph" w:styleId="43">
    <w:name w:val="Body Text First Indent"/>
    <w:basedOn w:val="18"/>
    <w:link w:val="133"/>
    <w:autoRedefine/>
    <w:qFormat/>
    <w:uiPriority w:val="0"/>
    <w:pPr>
      <w:spacing w:after="120" w:line="240" w:lineRule="auto"/>
      <w:ind w:firstLine="420" w:firstLineChars="100"/>
    </w:pPr>
    <w:rPr>
      <w:sz w:val="21"/>
    </w:rPr>
  </w:style>
  <w:style w:type="table" w:styleId="45">
    <w:name w:val="Table Grid"/>
    <w:basedOn w:val="4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46">
    <w:name w:val="Table Elegant"/>
    <w:basedOn w:val="44"/>
    <w:autoRedefine/>
    <w:qFormat/>
    <w:uiPriority w:val="0"/>
    <w:pPr>
      <w:widowControl w:val="0"/>
      <w:jc w:val="both"/>
    </w:pPr>
    <w:rPr>
      <w:rFonts w:ascii="Calibri" w:hAnsi="Calibri"/>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styleId="48">
    <w:name w:val="Strong"/>
    <w:autoRedefine/>
    <w:qFormat/>
    <w:uiPriority w:val="0"/>
    <w:rPr>
      <w:b/>
      <w:bCs/>
    </w:rPr>
  </w:style>
  <w:style w:type="character" w:styleId="49">
    <w:name w:val="page number"/>
    <w:basedOn w:val="47"/>
    <w:autoRedefine/>
    <w:qFormat/>
    <w:uiPriority w:val="0"/>
  </w:style>
  <w:style w:type="character" w:styleId="50">
    <w:name w:val="FollowedHyperlink"/>
    <w:autoRedefine/>
    <w:qFormat/>
    <w:uiPriority w:val="0"/>
    <w:rPr>
      <w:color w:val="800080"/>
      <w:u w:val="single"/>
    </w:rPr>
  </w:style>
  <w:style w:type="character" w:styleId="51">
    <w:name w:val="Emphasis"/>
    <w:basedOn w:val="47"/>
    <w:autoRedefine/>
    <w:qFormat/>
    <w:uiPriority w:val="0"/>
    <w:rPr>
      <w:sz w:val="20"/>
    </w:rPr>
  </w:style>
  <w:style w:type="character" w:styleId="52">
    <w:name w:val="Hyperlink"/>
    <w:autoRedefine/>
    <w:qFormat/>
    <w:uiPriority w:val="0"/>
    <w:rPr>
      <w:color w:val="0000FF"/>
      <w:u w:val="single"/>
    </w:rPr>
  </w:style>
  <w:style w:type="character" w:styleId="53">
    <w:name w:val="annotation reference"/>
    <w:basedOn w:val="47"/>
    <w:autoRedefine/>
    <w:qFormat/>
    <w:uiPriority w:val="99"/>
    <w:rPr>
      <w:sz w:val="21"/>
      <w:szCs w:val="21"/>
    </w:rPr>
  </w:style>
  <w:style w:type="paragraph" w:styleId="54">
    <w:name w:val="No Spacing"/>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55">
    <w:name w:val="纯文本1"/>
    <w:basedOn w:val="1"/>
    <w:qFormat/>
    <w:uiPriority w:val="0"/>
    <w:rPr>
      <w:rFonts w:ascii="宋体" w:hAnsi="Courier New"/>
      <w:szCs w:val="20"/>
    </w:rPr>
  </w:style>
  <w:style w:type="character" w:customStyle="1" w:styleId="56">
    <w:name w:val="标题 4 Char"/>
    <w:link w:val="4"/>
    <w:autoRedefine/>
    <w:qFormat/>
    <w:uiPriority w:val="9"/>
    <w:rPr>
      <w:rFonts w:ascii="Arial" w:hAnsi="Arial" w:eastAsia="黑体"/>
      <w:b/>
      <w:bCs/>
      <w:kern w:val="2"/>
      <w:sz w:val="28"/>
      <w:szCs w:val="28"/>
      <w:lang w:val="en-US" w:eastAsia="zh-CN" w:bidi="ar-SA"/>
    </w:rPr>
  </w:style>
  <w:style w:type="paragraph" w:customStyle="1" w:styleId="57">
    <w:name w:val="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58">
    <w:name w:val="标题 3 Char1"/>
    <w:link w:val="3"/>
    <w:autoRedefine/>
    <w:qFormat/>
    <w:uiPriority w:val="9"/>
    <w:rPr>
      <w:rFonts w:ascii="宋体" w:hAnsi="宋体" w:eastAsia="宋体"/>
      <w:b/>
      <w:bCs/>
      <w:kern w:val="2"/>
      <w:sz w:val="28"/>
      <w:szCs w:val="32"/>
      <w:lang w:val="en-US" w:eastAsia="zh-CN" w:bidi="ar-SA"/>
    </w:rPr>
  </w:style>
  <w:style w:type="character" w:customStyle="1" w:styleId="59">
    <w:name w:val="标题 1 Char"/>
    <w:link w:val="2"/>
    <w:autoRedefine/>
    <w:qFormat/>
    <w:uiPriority w:val="0"/>
    <w:rPr>
      <w:rFonts w:ascii="宋体" w:hAnsi="宋体" w:eastAsia="黑体"/>
      <w:b/>
      <w:bCs/>
      <w:kern w:val="44"/>
      <w:sz w:val="28"/>
      <w:szCs w:val="44"/>
      <w:lang w:val="en-US" w:eastAsia="zh-CN" w:bidi="ar-SA"/>
    </w:rPr>
  </w:style>
  <w:style w:type="character" w:customStyle="1" w:styleId="60">
    <w:name w:val="正文缩进 Char"/>
    <w:link w:val="7"/>
    <w:autoRedefine/>
    <w:qFormat/>
    <w:uiPriority w:val="0"/>
    <w:rPr>
      <w:rFonts w:eastAsia="宋体"/>
      <w:kern w:val="2"/>
      <w:sz w:val="21"/>
      <w:lang w:val="en-US" w:eastAsia="zh-CN" w:bidi="ar-SA"/>
    </w:rPr>
  </w:style>
  <w:style w:type="character" w:customStyle="1" w:styleId="61">
    <w:name w:val="标题 3 Char"/>
    <w:autoRedefine/>
    <w:qFormat/>
    <w:uiPriority w:val="0"/>
    <w:rPr>
      <w:rFonts w:ascii="黑体" w:eastAsia="黑体"/>
      <w:bCs/>
      <w:sz w:val="30"/>
    </w:rPr>
  </w:style>
  <w:style w:type="paragraph" w:customStyle="1" w:styleId="62">
    <w:name w:val="样式41"/>
    <w:basedOn w:val="1"/>
    <w:autoRedefine/>
    <w:qFormat/>
    <w:uiPriority w:val="0"/>
    <w:pPr>
      <w:numPr>
        <w:ilvl w:val="0"/>
        <w:numId w:val="2"/>
      </w:numPr>
      <w:tabs>
        <w:tab w:val="left" w:pos="945"/>
      </w:tabs>
      <w:spacing w:line="360" w:lineRule="auto"/>
    </w:pPr>
    <w:rPr>
      <w:b/>
      <w:color w:val="000000"/>
      <w:sz w:val="24"/>
      <w:szCs w:val="20"/>
    </w:rPr>
  </w:style>
  <w:style w:type="paragraph" w:customStyle="1" w:styleId="63">
    <w:name w:val="图"/>
    <w:basedOn w:val="1"/>
    <w:autoRedefine/>
    <w:qFormat/>
    <w:uiPriority w:val="0"/>
    <w:pPr>
      <w:keepNext/>
      <w:adjustRightInd w:val="0"/>
      <w:snapToGrid w:val="0"/>
      <w:spacing w:before="60" w:after="60" w:line="300" w:lineRule="auto"/>
      <w:jc w:val="center"/>
    </w:pPr>
    <w:rPr>
      <w:spacing w:val="20"/>
      <w:kern w:val="0"/>
      <w:sz w:val="24"/>
      <w:szCs w:val="20"/>
    </w:rPr>
  </w:style>
  <w:style w:type="paragraph" w:customStyle="1" w:styleId="64">
    <w:name w:val="文档正文"/>
    <w:basedOn w:val="1"/>
    <w:autoRedefine/>
    <w:qFormat/>
    <w:uiPriority w:val="0"/>
    <w:pPr>
      <w:adjustRightInd w:val="0"/>
      <w:spacing w:line="480" w:lineRule="atLeast"/>
      <w:ind w:firstLine="567" w:firstLineChars="200"/>
      <w:textAlignment w:val="baseline"/>
    </w:pPr>
    <w:rPr>
      <w:rFonts w:ascii="长城仿宋"/>
      <w:kern w:val="0"/>
      <w:szCs w:val="20"/>
    </w:rPr>
  </w:style>
  <w:style w:type="paragraph" w:customStyle="1" w:styleId="65">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6">
    <w:name w:val="Char1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7">
    <w:name w:val="Char Char Char Char1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8">
    <w:name w:val="Table Contents"/>
    <w:basedOn w:val="1"/>
    <w:autoRedefine/>
    <w:qFormat/>
    <w:uiPriority w:val="0"/>
    <w:pPr>
      <w:suppressAutoHyphens/>
      <w:autoSpaceDE w:val="0"/>
      <w:spacing w:after="120"/>
      <w:jc w:val="left"/>
    </w:pPr>
    <w:rPr>
      <w:rFonts w:ascii="Helvetica" w:hAnsi="Helvetica"/>
      <w:kern w:val="1"/>
      <w:sz w:val="20"/>
      <w:szCs w:val="20"/>
    </w:rPr>
  </w:style>
  <w:style w:type="paragraph" w:customStyle="1" w:styleId="69">
    <w:name w:val="自定义正文"/>
    <w:basedOn w:val="1"/>
    <w:autoRedefine/>
    <w:qFormat/>
    <w:uiPriority w:val="0"/>
    <w:pPr>
      <w:spacing w:afterLines="50"/>
      <w:ind w:left="600" w:leftChars="600"/>
    </w:pPr>
  </w:style>
  <w:style w:type="paragraph" w:customStyle="1" w:styleId="70">
    <w:name w:val="Char Char Char Char Char"/>
    <w:basedOn w:val="1"/>
    <w:autoRedefine/>
    <w:qFormat/>
    <w:uiPriority w:val="0"/>
    <w:rPr>
      <w:rFonts w:ascii="Tahoma" w:hAnsi="Tahoma"/>
      <w:sz w:val="24"/>
      <w:szCs w:val="20"/>
    </w:rPr>
  </w:style>
  <w:style w:type="paragraph" w:customStyle="1" w:styleId="71">
    <w:name w:val="小标题 1"/>
    <w:basedOn w:val="1"/>
    <w:autoRedefine/>
    <w:qFormat/>
    <w:uiPriority w:val="0"/>
    <w:pPr>
      <w:autoSpaceDE w:val="0"/>
      <w:autoSpaceDN w:val="0"/>
      <w:adjustRightInd w:val="0"/>
      <w:spacing w:line="360" w:lineRule="atLeast"/>
    </w:pPr>
    <w:rPr>
      <w:rFonts w:ascii="文鼎粗黑" w:eastAsia="文鼎粗黑"/>
      <w:kern w:val="0"/>
      <w:sz w:val="22"/>
      <w:szCs w:val="20"/>
    </w:rPr>
  </w:style>
  <w:style w:type="paragraph" w:customStyle="1" w:styleId="72">
    <w:name w:val="Char Char"/>
    <w:basedOn w:val="1"/>
    <w:autoRedefine/>
    <w:qFormat/>
    <w:uiPriority w:val="0"/>
    <w:rPr>
      <w:rFonts w:ascii="Tahoma" w:hAnsi="Tahoma"/>
      <w:sz w:val="24"/>
      <w:szCs w:val="20"/>
    </w:rPr>
  </w:style>
  <w:style w:type="paragraph" w:customStyle="1" w:styleId="73">
    <w:name w:val="È±Ê¡ÎÄ±¾"/>
    <w:basedOn w:val="1"/>
    <w:autoRedefine/>
    <w:qFormat/>
    <w:uiPriority w:val="0"/>
    <w:pPr>
      <w:widowControl/>
      <w:overflowPunct w:val="0"/>
      <w:autoSpaceDE w:val="0"/>
      <w:autoSpaceDN w:val="0"/>
      <w:adjustRightInd w:val="0"/>
      <w:jc w:val="left"/>
      <w:textAlignment w:val="baseline"/>
    </w:pPr>
    <w:rPr>
      <w:kern w:val="0"/>
      <w:sz w:val="24"/>
      <w:szCs w:val="20"/>
    </w:rPr>
  </w:style>
  <w:style w:type="character" w:customStyle="1" w:styleId="74">
    <w:name w:val="标题 2 Char"/>
    <w:link w:val="5"/>
    <w:autoRedefine/>
    <w:qFormat/>
    <w:uiPriority w:val="0"/>
    <w:rPr>
      <w:rFonts w:ascii="宋体" w:hAnsi="宋体" w:eastAsia="宋体"/>
      <w:b/>
      <w:bCs/>
      <w:sz w:val="24"/>
      <w:lang w:val="en-US" w:eastAsia="zh-CN" w:bidi="ar-SA"/>
    </w:rPr>
  </w:style>
  <w:style w:type="paragraph" w:customStyle="1" w:styleId="75">
    <w:name w:val="Char Char Char Char Char Char1 Char"/>
    <w:basedOn w:val="1"/>
    <w:autoRedefine/>
    <w:qFormat/>
    <w:uiPriority w:val="0"/>
    <w:pPr>
      <w:widowControl/>
      <w:spacing w:after="160" w:line="240" w:lineRule="exact"/>
      <w:jc w:val="left"/>
    </w:pPr>
    <w:rPr>
      <w:rFonts w:ascii="Verdana" w:hAnsi="Verdana"/>
      <w:kern w:val="0"/>
      <w:szCs w:val="20"/>
      <w:lang w:eastAsia="en-US"/>
    </w:rPr>
  </w:style>
  <w:style w:type="paragraph" w:styleId="76">
    <w:name w:val="List Paragraph"/>
    <w:basedOn w:val="1"/>
    <w:autoRedefine/>
    <w:qFormat/>
    <w:uiPriority w:val="0"/>
    <w:pPr>
      <w:ind w:firstLine="420" w:firstLineChars="200"/>
    </w:pPr>
    <w:rPr>
      <w:rFonts w:ascii="Calibri" w:hAnsi="Calibri"/>
      <w:szCs w:val="22"/>
    </w:rPr>
  </w:style>
  <w:style w:type="paragraph" w:customStyle="1" w:styleId="77">
    <w:name w:val="USE 1"/>
    <w:basedOn w:val="1"/>
    <w:autoRedefine/>
    <w:qFormat/>
    <w:uiPriority w:val="0"/>
    <w:pPr>
      <w:spacing w:line="200" w:lineRule="atLeast"/>
      <w:jc w:val="left"/>
    </w:pPr>
    <w:rPr>
      <w:rFonts w:ascii="宋体" w:hAnsi="宋体"/>
      <w:b/>
      <w:sz w:val="24"/>
      <w:szCs w:val="28"/>
    </w:rPr>
  </w:style>
  <w:style w:type="paragraph" w:customStyle="1" w:styleId="78">
    <w:name w:val="RFI text from 3rd Level"/>
    <w:basedOn w:val="1"/>
    <w:autoRedefine/>
    <w:qFormat/>
    <w:uiPriority w:val="0"/>
    <w:pPr>
      <w:widowControl/>
      <w:numPr>
        <w:ilvl w:val="0"/>
        <w:numId w:val="3"/>
      </w:numPr>
      <w:tabs>
        <w:tab w:val="left" w:pos="1080"/>
        <w:tab w:val="clear" w:pos="840"/>
      </w:tabs>
      <w:spacing w:beforeLines="50" w:line="360" w:lineRule="auto"/>
      <w:ind w:left="0" w:firstLine="0"/>
    </w:pPr>
    <w:rPr>
      <w:rFonts w:ascii="Arial (W1)" w:hAnsi="Arial (W1)"/>
      <w:bCs/>
      <w:kern w:val="0"/>
      <w:sz w:val="24"/>
      <w:lang w:val="en-GB"/>
    </w:rPr>
  </w:style>
  <w:style w:type="paragraph" w:customStyle="1" w:styleId="79">
    <w:name w:val="正文文字缩进项目"/>
    <w:basedOn w:val="19"/>
    <w:autoRedefine/>
    <w:qFormat/>
    <w:uiPriority w:val="0"/>
    <w:pPr>
      <w:numPr>
        <w:ilvl w:val="1"/>
        <w:numId w:val="3"/>
      </w:numPr>
      <w:tabs>
        <w:tab w:val="left" w:pos="840"/>
        <w:tab w:val="clear" w:pos="1260"/>
      </w:tabs>
      <w:spacing w:after="120" w:line="240" w:lineRule="auto"/>
      <w:ind w:left="840" w:firstLine="0" w:firstLineChars="0"/>
    </w:pPr>
    <w:rPr>
      <w:rFonts w:ascii="Tahoma" w:hAnsi="Tahoma"/>
      <w:sz w:val="22"/>
      <w:szCs w:val="20"/>
    </w:rPr>
  </w:style>
  <w:style w:type="paragraph" w:customStyle="1" w:styleId="80">
    <w:name w:val="样式 标题 2 + 段前: 13 磅 段后: 13 磅 行距: 单倍行距"/>
    <w:basedOn w:val="5"/>
    <w:autoRedefine/>
    <w:qFormat/>
    <w:uiPriority w:val="0"/>
    <w:pPr>
      <w:adjustRightInd/>
      <w:spacing w:before="0" w:after="0"/>
      <w:jc w:val="both"/>
      <w:textAlignment w:val="auto"/>
    </w:pPr>
    <w:rPr>
      <w:rFonts w:ascii="Cambria" w:hAnsi="Cambria" w:cs="宋体"/>
      <w:kern w:val="2"/>
      <w:sz w:val="32"/>
    </w:rPr>
  </w:style>
  <w:style w:type="character" w:customStyle="1" w:styleId="81">
    <w:name w:val="H4 Char2"/>
    <w:autoRedefine/>
    <w:qFormat/>
    <w:uiPriority w:val="0"/>
    <w:rPr>
      <w:rFonts w:ascii="Arial" w:hAnsi="Arial" w:eastAsia="黑体"/>
      <w:b/>
      <w:bCs/>
      <w:kern w:val="2"/>
      <w:sz w:val="28"/>
      <w:szCs w:val="28"/>
      <w:lang w:val="en-US" w:eastAsia="zh-CN" w:bidi="ar-SA"/>
    </w:rPr>
  </w:style>
  <w:style w:type="character" w:customStyle="1" w:styleId="82">
    <w:name w:val="正文文本缩进 Char"/>
    <w:link w:val="19"/>
    <w:autoRedefine/>
    <w:qFormat/>
    <w:uiPriority w:val="0"/>
    <w:rPr>
      <w:rFonts w:eastAsia="宋体"/>
      <w:kern w:val="2"/>
      <w:sz w:val="21"/>
      <w:szCs w:val="24"/>
      <w:lang w:val="en-US" w:eastAsia="zh-CN" w:bidi="ar-SA"/>
    </w:rPr>
  </w:style>
  <w:style w:type="character" w:customStyle="1" w:styleId="83">
    <w:name w:val="标题 5 Char"/>
    <w:link w:val="6"/>
    <w:autoRedefine/>
    <w:qFormat/>
    <w:uiPriority w:val="0"/>
    <w:rPr>
      <w:rFonts w:eastAsia="宋体"/>
      <w:b/>
      <w:kern w:val="2"/>
      <w:sz w:val="28"/>
      <w:lang w:val="en-US" w:eastAsia="zh-CN" w:bidi="ar-SA"/>
    </w:rPr>
  </w:style>
  <w:style w:type="character" w:customStyle="1" w:styleId="84">
    <w:name w:val="第*章 Char"/>
    <w:autoRedefine/>
    <w:qFormat/>
    <w:uiPriority w:val="0"/>
    <w:rPr>
      <w:rFonts w:ascii="Arial" w:hAnsi="Arial" w:eastAsia="黑体"/>
      <w:b/>
      <w:bCs/>
      <w:kern w:val="2"/>
      <w:sz w:val="32"/>
      <w:szCs w:val="32"/>
    </w:rPr>
  </w:style>
  <w:style w:type="character" w:customStyle="1" w:styleId="85">
    <w:name w:val="章标题1 Char"/>
    <w:autoRedefine/>
    <w:qFormat/>
    <w:uiPriority w:val="0"/>
    <w:rPr>
      <w:rFonts w:eastAsia="宋体"/>
      <w:b/>
      <w:bCs/>
      <w:kern w:val="2"/>
      <w:sz w:val="32"/>
      <w:szCs w:val="32"/>
      <w:lang w:val="en-US" w:eastAsia="zh-CN" w:bidi="ar-SA"/>
    </w:rPr>
  </w:style>
  <w:style w:type="character" w:customStyle="1" w:styleId="86">
    <w:name w:val="标题 6 Char"/>
    <w:link w:val="8"/>
    <w:autoRedefine/>
    <w:qFormat/>
    <w:uiPriority w:val="0"/>
    <w:rPr>
      <w:rFonts w:ascii="Arial" w:hAnsi="Arial" w:eastAsia="黑体"/>
      <w:b/>
      <w:kern w:val="2"/>
      <w:sz w:val="24"/>
      <w:lang w:val="en-US" w:eastAsia="zh-CN" w:bidi="ar-SA"/>
    </w:rPr>
  </w:style>
  <w:style w:type="character" w:customStyle="1" w:styleId="87">
    <w:name w:val="标题 7 Char"/>
    <w:link w:val="9"/>
    <w:autoRedefine/>
    <w:qFormat/>
    <w:uiPriority w:val="0"/>
    <w:rPr>
      <w:rFonts w:eastAsia="宋体"/>
      <w:b/>
      <w:kern w:val="2"/>
      <w:sz w:val="24"/>
      <w:lang w:val="en-US" w:eastAsia="zh-CN" w:bidi="ar-SA"/>
    </w:rPr>
  </w:style>
  <w:style w:type="character" w:customStyle="1" w:styleId="88">
    <w:name w:val="标题 8 Char"/>
    <w:link w:val="10"/>
    <w:autoRedefine/>
    <w:qFormat/>
    <w:uiPriority w:val="0"/>
    <w:rPr>
      <w:rFonts w:ascii="Arial" w:hAnsi="Arial" w:eastAsia="黑体"/>
      <w:kern w:val="2"/>
      <w:sz w:val="24"/>
      <w:lang w:val="en-US" w:eastAsia="zh-CN" w:bidi="ar-SA"/>
    </w:rPr>
  </w:style>
  <w:style w:type="character" w:customStyle="1" w:styleId="89">
    <w:name w:val="标题 9 Char"/>
    <w:link w:val="11"/>
    <w:autoRedefine/>
    <w:qFormat/>
    <w:uiPriority w:val="0"/>
    <w:rPr>
      <w:rFonts w:ascii="Arial" w:hAnsi="Arial" w:eastAsia="黑体"/>
      <w:kern w:val="2"/>
      <w:sz w:val="21"/>
      <w:lang w:val="en-US" w:eastAsia="zh-CN" w:bidi="ar-SA"/>
    </w:rPr>
  </w:style>
  <w:style w:type="character" w:customStyle="1" w:styleId="90">
    <w:name w:val="标题 Char"/>
    <w:link w:val="41"/>
    <w:autoRedefine/>
    <w:qFormat/>
    <w:uiPriority w:val="0"/>
    <w:rPr>
      <w:rFonts w:ascii="Arial" w:hAnsi="Arial" w:eastAsia="隶书" w:cs="Arial"/>
      <w:b/>
      <w:bCs/>
      <w:kern w:val="2"/>
      <w:sz w:val="32"/>
      <w:szCs w:val="32"/>
      <w:lang w:val="en-US" w:eastAsia="zh-CN" w:bidi="ar-SA"/>
    </w:rPr>
  </w:style>
  <w:style w:type="character" w:customStyle="1" w:styleId="91">
    <w:name w:val="日期 Char"/>
    <w:link w:val="25"/>
    <w:autoRedefine/>
    <w:qFormat/>
    <w:uiPriority w:val="0"/>
    <w:rPr>
      <w:rFonts w:ascii="宋体" w:hAnsi="Courier New" w:eastAsia="宋体"/>
      <w:kern w:val="2"/>
      <w:sz w:val="32"/>
      <w:lang w:val="en-US" w:eastAsia="zh-CN" w:bidi="ar-SA"/>
    </w:rPr>
  </w:style>
  <w:style w:type="character" w:customStyle="1" w:styleId="92">
    <w:name w:val="HTML 预设格式 Char"/>
    <w:link w:val="38"/>
    <w:autoRedefine/>
    <w:qFormat/>
    <w:uiPriority w:val="0"/>
    <w:rPr>
      <w:rFonts w:ascii="Arial Unicode MS" w:hAnsi="Arial Unicode MS" w:eastAsia="Arial Unicode MS"/>
      <w:color w:val="000000"/>
      <w:lang w:val="en-US" w:eastAsia="zh-CN" w:bidi="ar-SA"/>
    </w:rPr>
  </w:style>
  <w:style w:type="character" w:customStyle="1" w:styleId="93">
    <w:name w:val="纯文本 Char"/>
    <w:link w:val="23"/>
    <w:autoRedefine/>
    <w:qFormat/>
    <w:uiPriority w:val="0"/>
    <w:rPr>
      <w:rFonts w:ascii="宋体" w:hAnsi="Courier New" w:eastAsia="宋体"/>
      <w:kern w:val="2"/>
      <w:sz w:val="21"/>
      <w:lang w:val="en-US" w:eastAsia="zh-CN" w:bidi="ar-SA"/>
    </w:rPr>
  </w:style>
  <w:style w:type="character" w:customStyle="1" w:styleId="94">
    <w:name w:val="正文文字首行缩进 Char"/>
    <w:autoRedefine/>
    <w:qFormat/>
    <w:uiPriority w:val="0"/>
    <w:rPr>
      <w:kern w:val="2"/>
      <w:sz w:val="21"/>
      <w:szCs w:val="24"/>
    </w:rPr>
  </w:style>
  <w:style w:type="character" w:customStyle="1" w:styleId="95">
    <w:name w:val="正文文本 Char"/>
    <w:link w:val="18"/>
    <w:autoRedefine/>
    <w:qFormat/>
    <w:uiPriority w:val="0"/>
    <w:rPr>
      <w:rFonts w:eastAsia="宋体"/>
      <w:b/>
      <w:bCs/>
      <w:kern w:val="2"/>
      <w:sz w:val="24"/>
      <w:szCs w:val="24"/>
      <w:lang w:val="en-US" w:eastAsia="zh-CN" w:bidi="ar-SA"/>
    </w:rPr>
  </w:style>
  <w:style w:type="character" w:customStyle="1" w:styleId="96">
    <w:name w:val="正文文本缩进 2 Char"/>
    <w:link w:val="26"/>
    <w:autoRedefine/>
    <w:qFormat/>
    <w:uiPriority w:val="0"/>
    <w:rPr>
      <w:rFonts w:ascii="宋体" w:hAnsi="宋体" w:eastAsia="宋体"/>
      <w:kern w:val="2"/>
      <w:sz w:val="21"/>
      <w:szCs w:val="24"/>
      <w:lang w:val="en-US" w:eastAsia="zh-CN" w:bidi="ar-SA"/>
    </w:rPr>
  </w:style>
  <w:style w:type="character" w:customStyle="1" w:styleId="97">
    <w:name w:val="页眉 Char"/>
    <w:link w:val="29"/>
    <w:autoRedefine/>
    <w:qFormat/>
    <w:uiPriority w:val="99"/>
    <w:rPr>
      <w:rFonts w:eastAsia="宋体"/>
      <w:kern w:val="2"/>
      <w:sz w:val="18"/>
      <w:szCs w:val="18"/>
      <w:lang w:val="en-US" w:eastAsia="zh-CN" w:bidi="ar-SA"/>
    </w:rPr>
  </w:style>
  <w:style w:type="character" w:customStyle="1" w:styleId="98">
    <w:name w:val="正文文本缩进 3 Char"/>
    <w:link w:val="34"/>
    <w:autoRedefine/>
    <w:qFormat/>
    <w:uiPriority w:val="0"/>
    <w:rPr>
      <w:rFonts w:ascii="宋体" w:eastAsia="宋体"/>
      <w:b/>
      <w:bCs/>
      <w:kern w:val="2"/>
      <w:sz w:val="24"/>
      <w:szCs w:val="24"/>
      <w:lang w:val="en-US" w:eastAsia="zh-CN" w:bidi="ar-SA"/>
    </w:rPr>
  </w:style>
  <w:style w:type="character" w:customStyle="1" w:styleId="99">
    <w:name w:val="正文文本 2 Char"/>
    <w:link w:val="37"/>
    <w:autoRedefine/>
    <w:qFormat/>
    <w:uiPriority w:val="0"/>
    <w:rPr>
      <w:rFonts w:eastAsia="宋体"/>
      <w:kern w:val="2"/>
      <w:sz w:val="24"/>
      <w:szCs w:val="24"/>
      <w:lang w:val="en-US" w:eastAsia="zh-CN" w:bidi="ar-SA"/>
    </w:rPr>
  </w:style>
  <w:style w:type="character" w:customStyle="1" w:styleId="100">
    <w:name w:val="页脚 Char"/>
    <w:link w:val="28"/>
    <w:autoRedefine/>
    <w:qFormat/>
    <w:uiPriority w:val="0"/>
    <w:rPr>
      <w:rFonts w:eastAsia="宋体"/>
      <w:kern w:val="2"/>
      <w:sz w:val="18"/>
      <w:szCs w:val="18"/>
      <w:lang w:val="en-US" w:eastAsia="zh-CN" w:bidi="ar-SA"/>
    </w:rPr>
  </w:style>
  <w:style w:type="character" w:customStyle="1" w:styleId="101">
    <w:name w:val="正文文本 3 Char"/>
    <w:link w:val="17"/>
    <w:autoRedefine/>
    <w:qFormat/>
    <w:uiPriority w:val="0"/>
    <w:rPr>
      <w:rFonts w:eastAsia="宋体"/>
      <w:kern w:val="2"/>
      <w:sz w:val="16"/>
      <w:szCs w:val="16"/>
      <w:lang w:val="en-US" w:eastAsia="zh-CN" w:bidi="ar-SA"/>
    </w:rPr>
  </w:style>
  <w:style w:type="character" w:customStyle="1" w:styleId="102">
    <w:name w:val="批注框文本 Char"/>
    <w:link w:val="27"/>
    <w:autoRedefine/>
    <w:semiHidden/>
    <w:qFormat/>
    <w:uiPriority w:val="99"/>
    <w:rPr>
      <w:rFonts w:eastAsia="宋体"/>
      <w:kern w:val="2"/>
      <w:sz w:val="18"/>
      <w:szCs w:val="18"/>
      <w:lang w:val="en-US" w:eastAsia="zh-CN" w:bidi="ar-SA"/>
    </w:rPr>
  </w:style>
  <w:style w:type="paragraph" w:customStyle="1" w:styleId="103">
    <w:name w:val="样式1"/>
    <w:basedOn w:val="41"/>
    <w:autoRedefine/>
    <w:qFormat/>
    <w:uiPriority w:val="0"/>
    <w:pPr>
      <w:spacing w:before="120" w:after="120"/>
    </w:pPr>
    <w:rPr>
      <w:rFonts w:eastAsia="黑体"/>
      <w:b w:val="0"/>
      <w:sz w:val="30"/>
      <w:szCs w:val="21"/>
    </w:rPr>
  </w:style>
  <w:style w:type="paragraph" w:customStyle="1" w:styleId="104">
    <w:name w:val="样式2"/>
    <w:basedOn w:val="41"/>
    <w:next w:val="103"/>
    <w:autoRedefine/>
    <w:qFormat/>
    <w:uiPriority w:val="0"/>
    <w:pPr>
      <w:spacing w:before="120" w:after="120"/>
    </w:pPr>
    <w:rPr>
      <w:rFonts w:eastAsia="黑体"/>
      <w:b w:val="0"/>
      <w:sz w:val="30"/>
      <w:szCs w:val="30"/>
    </w:rPr>
  </w:style>
  <w:style w:type="character" w:customStyle="1" w:styleId="105">
    <w:name w:val="标题 3 Char Char"/>
    <w:autoRedefine/>
    <w:qFormat/>
    <w:uiPriority w:val="0"/>
    <w:rPr>
      <w:rFonts w:eastAsia="宋体"/>
      <w:b/>
      <w:bCs/>
      <w:kern w:val="2"/>
      <w:sz w:val="32"/>
      <w:szCs w:val="32"/>
      <w:lang w:val="en-US" w:eastAsia="zh-CN" w:bidi="ar-SA"/>
    </w:rPr>
  </w:style>
  <w:style w:type="paragraph" w:customStyle="1" w:styleId="106">
    <w:name w:val="Char Char Char Char Char Char1 Char Char Char Char Char Char Char Char Char Char Char Char Char"/>
    <w:basedOn w:val="1"/>
    <w:autoRedefine/>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07">
    <w:name w:val="cont"/>
    <w:basedOn w:val="1"/>
    <w:autoRedefine/>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108">
    <w:name w:val="--规划正文"/>
    <w:basedOn w:val="1"/>
    <w:autoRedefine/>
    <w:qFormat/>
    <w:uiPriority w:val="0"/>
    <w:pPr>
      <w:spacing w:line="360" w:lineRule="auto"/>
      <w:ind w:firstLine="200" w:firstLineChars="200"/>
    </w:pPr>
    <w:rPr>
      <w:szCs w:val="20"/>
    </w:rPr>
  </w:style>
  <w:style w:type="paragraph" w:customStyle="1" w:styleId="109">
    <w:name w:val="设计依据"/>
    <w:basedOn w:val="18"/>
    <w:autoRedefine/>
    <w:qFormat/>
    <w:uiPriority w:val="0"/>
    <w:pPr>
      <w:numPr>
        <w:ilvl w:val="1"/>
        <w:numId w:val="4"/>
      </w:numPr>
      <w:tabs>
        <w:tab w:val="left" w:pos="1440"/>
        <w:tab w:val="clear" w:pos="840"/>
      </w:tabs>
      <w:adjustRightInd w:val="0"/>
      <w:ind w:left="1440"/>
      <w:textAlignment w:val="baseline"/>
    </w:pPr>
    <w:rPr>
      <w:rFonts w:ascii="宋体" w:hAnsi="宋体"/>
      <w:b w:val="0"/>
      <w:kern w:val="0"/>
      <w:sz w:val="28"/>
      <w:szCs w:val="18"/>
    </w:rPr>
  </w:style>
  <w:style w:type="paragraph" w:customStyle="1" w:styleId="110">
    <w:name w:val="方案要点"/>
    <w:basedOn w:val="1"/>
    <w:autoRedefine/>
    <w:qFormat/>
    <w:uiPriority w:val="0"/>
    <w:pPr>
      <w:numPr>
        <w:ilvl w:val="0"/>
        <w:numId w:val="4"/>
      </w:numPr>
      <w:spacing w:line="360" w:lineRule="auto"/>
    </w:pPr>
    <w:rPr>
      <w:rFonts w:ascii="仿宋_GB2312" w:hAnsi="宋体" w:eastAsia="仿宋_GB2312"/>
      <w:color w:val="000000"/>
      <w:sz w:val="28"/>
      <w:szCs w:val="28"/>
    </w:rPr>
  </w:style>
  <w:style w:type="paragraph" w:customStyle="1" w:styleId="111">
    <w:name w:val="样式4"/>
    <w:basedOn w:val="1"/>
    <w:autoRedefine/>
    <w:qFormat/>
    <w:uiPriority w:val="0"/>
    <w:pPr>
      <w:tabs>
        <w:tab w:val="left" w:pos="842"/>
      </w:tabs>
      <w:spacing w:line="360" w:lineRule="auto"/>
      <w:ind w:left="842" w:hanging="420"/>
    </w:pPr>
    <w:rPr>
      <w:sz w:val="24"/>
    </w:rPr>
  </w:style>
  <w:style w:type="paragraph" w:customStyle="1" w:styleId="112">
    <w:name w:val="文字"/>
    <w:basedOn w:val="1"/>
    <w:autoRedefine/>
    <w:qFormat/>
    <w:uiPriority w:val="0"/>
    <w:pPr>
      <w:tabs>
        <w:tab w:val="left" w:pos="8520"/>
      </w:tabs>
      <w:spacing w:line="312" w:lineRule="auto"/>
      <w:ind w:right="-210" w:firstLine="556"/>
    </w:pPr>
    <w:rPr>
      <w:rFonts w:ascii="宋体"/>
      <w:sz w:val="28"/>
      <w:szCs w:val="20"/>
    </w:rPr>
  </w:style>
  <w:style w:type="paragraph" w:customStyle="1" w:styleId="113">
    <w:name w:val="--规划-表格-居左"/>
    <w:basedOn w:val="108"/>
    <w:autoRedefine/>
    <w:qFormat/>
    <w:uiPriority w:val="0"/>
    <w:pPr>
      <w:spacing w:line="240" w:lineRule="auto"/>
      <w:ind w:firstLine="0" w:firstLineChars="0"/>
    </w:pPr>
    <w:rPr>
      <w:sz w:val="20"/>
    </w:rPr>
  </w:style>
  <w:style w:type="paragraph" w:customStyle="1" w:styleId="114">
    <w:name w:val="--规划-表格-居中"/>
    <w:basedOn w:val="108"/>
    <w:autoRedefine/>
    <w:qFormat/>
    <w:uiPriority w:val="0"/>
    <w:pPr>
      <w:spacing w:line="240" w:lineRule="auto"/>
      <w:ind w:firstLine="0" w:firstLineChars="0"/>
      <w:jc w:val="center"/>
    </w:pPr>
    <w:rPr>
      <w:sz w:val="20"/>
    </w:rPr>
  </w:style>
  <w:style w:type="paragraph" w:customStyle="1" w:styleId="115">
    <w:name w:val="--编号内缩进"/>
    <w:basedOn w:val="1"/>
    <w:autoRedefine/>
    <w:qFormat/>
    <w:uiPriority w:val="0"/>
    <w:pPr>
      <w:spacing w:line="360" w:lineRule="auto"/>
      <w:ind w:left="420" w:firstLine="200" w:firstLineChars="200"/>
    </w:pPr>
    <w:rPr>
      <w:szCs w:val="21"/>
    </w:rPr>
  </w:style>
  <w:style w:type="paragraph" w:customStyle="1" w:styleId="116">
    <w:name w:val="--规划-题注"/>
    <w:basedOn w:val="1"/>
    <w:next w:val="108"/>
    <w:autoRedefine/>
    <w:qFormat/>
    <w:uiPriority w:val="0"/>
    <w:pPr>
      <w:spacing w:line="360" w:lineRule="auto"/>
      <w:jc w:val="center"/>
    </w:pPr>
    <w:rPr>
      <w:rFonts w:eastAsia="黑体"/>
    </w:rPr>
  </w:style>
  <w:style w:type="paragraph" w:customStyle="1" w:styleId="117">
    <w:name w:val="--规划-图和表"/>
    <w:next w:val="108"/>
    <w:autoRedefine/>
    <w:qFormat/>
    <w:uiPriority w:val="0"/>
    <w:pPr>
      <w:jc w:val="center"/>
    </w:pPr>
    <w:rPr>
      <w:rFonts w:ascii="Times New Roman" w:hAnsi="Times New Roman" w:eastAsia="宋体" w:cs="Times New Roman"/>
      <w:kern w:val="2"/>
      <w:sz w:val="21"/>
      <w:lang w:val="en-US" w:eastAsia="zh-CN" w:bidi="ar-SA"/>
    </w:rPr>
  </w:style>
  <w:style w:type="paragraph" w:customStyle="1" w:styleId="118">
    <w:name w:val="--规划-小标题"/>
    <w:basedOn w:val="1"/>
    <w:next w:val="108"/>
    <w:autoRedefine/>
    <w:qFormat/>
    <w:uiPriority w:val="0"/>
    <w:pPr>
      <w:keepNext/>
      <w:keepLines/>
      <w:spacing w:line="360" w:lineRule="auto"/>
      <w:outlineLvl w:val="4"/>
    </w:pPr>
    <w:rPr>
      <w:rFonts w:eastAsia="黑体"/>
    </w:rPr>
  </w:style>
  <w:style w:type="paragraph" w:customStyle="1" w:styleId="119">
    <w:name w:val="--规划正文 Char"/>
    <w:basedOn w:val="1"/>
    <w:autoRedefine/>
    <w:qFormat/>
    <w:uiPriority w:val="0"/>
    <w:pPr>
      <w:spacing w:line="360" w:lineRule="auto"/>
      <w:ind w:firstLine="200" w:firstLineChars="200"/>
    </w:pPr>
    <w:rPr>
      <w:sz w:val="24"/>
    </w:rPr>
  </w:style>
  <w:style w:type="paragraph" w:customStyle="1" w:styleId="120">
    <w:name w:val="缺省文本"/>
    <w:basedOn w:val="1"/>
    <w:autoRedefine/>
    <w:qFormat/>
    <w:uiPriority w:val="0"/>
    <w:pPr>
      <w:autoSpaceDE w:val="0"/>
      <w:autoSpaceDN w:val="0"/>
      <w:adjustRightInd w:val="0"/>
      <w:jc w:val="left"/>
    </w:pPr>
    <w:rPr>
      <w:kern w:val="0"/>
    </w:rPr>
  </w:style>
  <w:style w:type="paragraph" w:customStyle="1" w:styleId="121">
    <w:name w:val="封面文档标题"/>
    <w:basedOn w:val="1"/>
    <w:autoRedefine/>
    <w:qFormat/>
    <w:uiPriority w:val="0"/>
    <w:pPr>
      <w:autoSpaceDE w:val="0"/>
      <w:autoSpaceDN w:val="0"/>
      <w:adjustRightInd w:val="0"/>
      <w:spacing w:line="360" w:lineRule="auto"/>
      <w:jc w:val="center"/>
    </w:pPr>
    <w:rPr>
      <w:rFonts w:ascii="Arial" w:hAnsi="Arial"/>
      <w:b/>
      <w:kern w:val="0"/>
      <w:sz w:val="56"/>
    </w:rPr>
  </w:style>
  <w:style w:type="character" w:customStyle="1" w:styleId="122">
    <w:name w:val="--规划正文 Char Char"/>
    <w:autoRedefine/>
    <w:qFormat/>
    <w:uiPriority w:val="0"/>
    <w:rPr>
      <w:rFonts w:eastAsia="宋体"/>
      <w:kern w:val="2"/>
      <w:sz w:val="24"/>
      <w:szCs w:val="24"/>
      <w:lang w:val="en-US" w:eastAsia="zh-CN" w:bidi="ar-SA"/>
    </w:rPr>
  </w:style>
  <w:style w:type="paragraph" w:customStyle="1" w:styleId="123">
    <w:name w:val="样式3"/>
    <w:basedOn w:val="2"/>
    <w:autoRedefine/>
    <w:qFormat/>
    <w:uiPriority w:val="0"/>
    <w:pPr>
      <w:numPr>
        <w:ilvl w:val="0"/>
        <w:numId w:val="5"/>
      </w:numPr>
      <w:spacing w:before="240" w:after="240" w:line="480" w:lineRule="auto"/>
      <w:ind w:right="210" w:rightChars="100"/>
      <w:jc w:val="left"/>
    </w:pPr>
    <w:rPr>
      <w:rFonts w:ascii="Times New Roman" w:hAnsi="Times New Roman"/>
      <w:sz w:val="32"/>
    </w:rPr>
  </w:style>
  <w:style w:type="character" w:customStyle="1" w:styleId="124">
    <w:name w:val="--规划正文 Char1"/>
    <w:autoRedefine/>
    <w:qFormat/>
    <w:uiPriority w:val="0"/>
    <w:rPr>
      <w:rFonts w:eastAsia="宋体"/>
      <w:kern w:val="2"/>
      <w:sz w:val="21"/>
      <w:lang w:val="en-US" w:eastAsia="zh-CN" w:bidi="ar-SA"/>
    </w:rPr>
  </w:style>
  <w:style w:type="paragraph" w:customStyle="1" w:styleId="125">
    <w:name w:val="word"/>
    <w:basedOn w:val="1"/>
    <w:autoRedefine/>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126">
    <w:name w:val="列表项目"/>
    <w:basedOn w:val="1"/>
    <w:autoRedefine/>
    <w:qFormat/>
    <w:uiPriority w:val="0"/>
    <w:pPr>
      <w:tabs>
        <w:tab w:val="left" w:pos="420"/>
        <w:tab w:val="left" w:pos="1080"/>
      </w:tabs>
      <w:spacing w:line="288" w:lineRule="auto"/>
      <w:ind w:left="1080" w:hanging="360"/>
    </w:pPr>
    <w:rPr>
      <w:sz w:val="24"/>
      <w:szCs w:val="20"/>
    </w:rPr>
  </w:style>
  <w:style w:type="character" w:customStyle="1" w:styleId="127">
    <w:name w:val="content1"/>
    <w:autoRedefine/>
    <w:qFormat/>
    <w:uiPriority w:val="0"/>
    <w:rPr>
      <w:rFonts w:hint="default" w:ascii="??" w:hAnsi="??"/>
      <w:sz w:val="16"/>
      <w:szCs w:val="16"/>
      <w:u w:val="none"/>
    </w:rPr>
  </w:style>
  <w:style w:type="character" w:customStyle="1" w:styleId="128">
    <w:name w:val="unnamed4"/>
    <w:basedOn w:val="47"/>
    <w:autoRedefine/>
    <w:qFormat/>
    <w:uiPriority w:val="0"/>
  </w:style>
  <w:style w:type="character" w:customStyle="1" w:styleId="129">
    <w:name w:val="font2"/>
    <w:basedOn w:val="47"/>
    <w:autoRedefine/>
    <w:qFormat/>
    <w:uiPriority w:val="0"/>
  </w:style>
  <w:style w:type="character" w:customStyle="1" w:styleId="130">
    <w:name w:val="font41"/>
    <w:basedOn w:val="47"/>
    <w:autoRedefine/>
    <w:qFormat/>
    <w:uiPriority w:val="0"/>
    <w:rPr>
      <w:color w:val="000000"/>
      <w:spacing w:val="260"/>
      <w:sz w:val="18"/>
      <w:szCs w:val="18"/>
      <w:u w:val="none"/>
    </w:rPr>
  </w:style>
  <w:style w:type="paragraph" w:customStyle="1" w:styleId="131">
    <w:name w:val="正文(首行缩进)"/>
    <w:autoRedefine/>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132">
    <w:name w:val="xl72"/>
    <w:basedOn w:val="1"/>
    <w:autoRedefine/>
    <w:qFormat/>
    <w:uiPriority w:val="0"/>
    <w:pPr>
      <w:widowControl/>
      <w:spacing w:before="100" w:beforeAutospacing="1" w:after="100" w:afterAutospacing="1"/>
      <w:jc w:val="left"/>
    </w:pPr>
    <w:rPr>
      <w:rFonts w:ascii="宋体" w:hAnsi="宋体"/>
      <w:b/>
      <w:bCs/>
      <w:kern w:val="0"/>
      <w:sz w:val="28"/>
      <w:szCs w:val="28"/>
    </w:rPr>
  </w:style>
  <w:style w:type="character" w:customStyle="1" w:styleId="133">
    <w:name w:val="正文首行缩进 Char"/>
    <w:link w:val="43"/>
    <w:autoRedefine/>
    <w:qFormat/>
    <w:uiPriority w:val="0"/>
    <w:rPr>
      <w:rFonts w:eastAsia="宋体"/>
      <w:b/>
      <w:bCs/>
      <w:kern w:val="2"/>
      <w:sz w:val="21"/>
      <w:szCs w:val="24"/>
      <w:lang w:val="en-US" w:eastAsia="zh-CN" w:bidi="ar-SA"/>
    </w:rPr>
  </w:style>
  <w:style w:type="paragraph" w:customStyle="1" w:styleId="134">
    <w:name w:val="正文(首行缩进) Char"/>
    <w:autoRedefine/>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135">
    <w:name w:val="汉议细等线简8"/>
    <w:autoRedefine/>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136">
    <w:name w:val="汉仪细等线简9BOLD"/>
    <w:basedOn w:val="1"/>
    <w:autoRedefine/>
    <w:qFormat/>
    <w:uiPriority w:val="0"/>
    <w:pPr>
      <w:autoSpaceDE w:val="0"/>
      <w:autoSpaceDN w:val="0"/>
      <w:adjustRightInd w:val="0"/>
      <w:spacing w:line="240" w:lineRule="atLeast"/>
    </w:pPr>
    <w:rPr>
      <w:rFonts w:ascii="汉仪细等线简" w:eastAsia="汉仪细等线简"/>
      <w:b/>
      <w:bCs/>
      <w:kern w:val="0"/>
      <w:sz w:val="18"/>
      <w:szCs w:val="18"/>
    </w:rPr>
  </w:style>
  <w:style w:type="character" w:customStyle="1" w:styleId="137">
    <w:name w:val="mode"/>
    <w:basedOn w:val="47"/>
    <w:autoRedefine/>
    <w:qFormat/>
    <w:uiPriority w:val="0"/>
  </w:style>
  <w:style w:type="paragraph" w:customStyle="1" w:styleId="138">
    <w:name w:val="9"/>
    <w:basedOn w:val="1"/>
    <w:next w:val="7"/>
    <w:autoRedefine/>
    <w:qFormat/>
    <w:uiPriority w:val="0"/>
    <w:pPr>
      <w:autoSpaceDE w:val="0"/>
      <w:autoSpaceDN w:val="0"/>
      <w:adjustRightInd w:val="0"/>
      <w:ind w:firstLine="420"/>
      <w:jc w:val="left"/>
      <w:textAlignment w:val="baseline"/>
    </w:pPr>
    <w:rPr>
      <w:rFonts w:ascii="宋体"/>
      <w:kern w:val="0"/>
      <w:sz w:val="34"/>
      <w:szCs w:val="20"/>
    </w:rPr>
  </w:style>
  <w:style w:type="character" w:customStyle="1" w:styleId="139">
    <w:name w:val="unnamed3"/>
    <w:basedOn w:val="47"/>
    <w:autoRedefine/>
    <w:qFormat/>
    <w:uiPriority w:val="0"/>
  </w:style>
  <w:style w:type="paragraph" w:customStyle="1" w:styleId="140">
    <w:name w:val="8"/>
    <w:basedOn w:val="1"/>
    <w:next w:val="19"/>
    <w:autoRedefine/>
    <w:qFormat/>
    <w:uiPriority w:val="0"/>
    <w:pPr>
      <w:spacing w:after="120"/>
      <w:ind w:left="420" w:leftChars="200"/>
    </w:pPr>
  </w:style>
  <w:style w:type="paragraph" w:customStyle="1" w:styleId="141">
    <w:name w:val="7"/>
    <w:basedOn w:val="1"/>
    <w:autoRedefine/>
    <w:qFormat/>
    <w:uiPriority w:val="0"/>
    <w:pPr>
      <w:autoSpaceDE w:val="0"/>
      <w:autoSpaceDN w:val="0"/>
      <w:adjustRightInd w:val="0"/>
      <w:spacing w:line="270" w:lineRule="atLeast"/>
      <w:jc w:val="left"/>
    </w:pPr>
    <w:rPr>
      <w:rFonts w:ascii="宋体"/>
      <w:kern w:val="0"/>
      <w:sz w:val="18"/>
      <w:szCs w:val="18"/>
    </w:rPr>
  </w:style>
  <w:style w:type="paragraph" w:customStyle="1" w:styleId="142">
    <w:name w:val="00"/>
    <w:basedOn w:val="1"/>
    <w:autoRedefine/>
    <w:qFormat/>
    <w:uiPriority w:val="0"/>
    <w:pPr>
      <w:autoSpaceDE w:val="0"/>
      <w:autoSpaceDN w:val="0"/>
      <w:adjustRightInd w:val="0"/>
      <w:jc w:val="left"/>
    </w:pPr>
    <w:rPr>
      <w:rFonts w:ascii="黑体" w:eastAsia="黑体"/>
      <w:b/>
      <w:bCs/>
      <w:kern w:val="0"/>
      <w:sz w:val="20"/>
      <w:szCs w:val="20"/>
    </w:rPr>
  </w:style>
  <w:style w:type="paragraph" w:customStyle="1" w:styleId="143">
    <w:name w:val="5"/>
    <w:basedOn w:val="1"/>
    <w:autoRedefine/>
    <w:qFormat/>
    <w:uiPriority w:val="0"/>
    <w:pPr>
      <w:autoSpaceDE w:val="0"/>
      <w:autoSpaceDN w:val="0"/>
      <w:adjustRightInd w:val="0"/>
      <w:jc w:val="left"/>
    </w:pPr>
    <w:rPr>
      <w:rFonts w:ascii="宋体"/>
      <w:b/>
      <w:bCs/>
      <w:kern w:val="0"/>
      <w:sz w:val="18"/>
      <w:szCs w:val="18"/>
    </w:rPr>
  </w:style>
  <w:style w:type="paragraph" w:customStyle="1" w:styleId="144">
    <w:name w:val="6"/>
    <w:basedOn w:val="143"/>
    <w:autoRedefine/>
    <w:qFormat/>
    <w:uiPriority w:val="0"/>
    <w:pPr>
      <w:spacing w:line="270" w:lineRule="atLeast"/>
      <w:jc w:val="both"/>
    </w:pPr>
    <w:rPr>
      <w:b w:val="0"/>
      <w:bCs w:val="0"/>
    </w:rPr>
  </w:style>
  <w:style w:type="paragraph" w:customStyle="1" w:styleId="145">
    <w:name w:val="产品描述"/>
    <w:autoRedefine/>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146">
    <w:name w:val="姜文清定义的正文"/>
    <w:basedOn w:val="1"/>
    <w:autoRedefine/>
    <w:qFormat/>
    <w:uiPriority w:val="0"/>
    <w:pPr>
      <w:spacing w:line="240" w:lineRule="atLeast"/>
      <w:ind w:firstLine="567"/>
    </w:pPr>
    <w:rPr>
      <w:szCs w:val="20"/>
    </w:rPr>
  </w:style>
  <w:style w:type="paragraph" w:customStyle="1" w:styleId="147">
    <w:name w:val="Default"/>
    <w:autoRedefine/>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148">
    <w:name w:val="CM2"/>
    <w:basedOn w:val="147"/>
    <w:next w:val="147"/>
    <w:autoRedefine/>
    <w:qFormat/>
    <w:uiPriority w:val="0"/>
    <w:pPr>
      <w:spacing w:line="200" w:lineRule="atLeast"/>
    </w:pPr>
    <w:rPr>
      <w:rFonts w:ascii="Arial" w:hAnsi="Arial" w:eastAsia="宋体" w:cs="Times New Roman"/>
      <w:color w:val="auto"/>
    </w:rPr>
  </w:style>
  <w:style w:type="paragraph" w:customStyle="1" w:styleId="149">
    <w:name w:val="Normal Paragraph"/>
    <w:basedOn w:val="1"/>
    <w:autoRedefine/>
    <w:qFormat/>
    <w:uiPriority w:val="0"/>
    <w:pPr>
      <w:widowControl/>
      <w:spacing w:before="120" w:line="360" w:lineRule="auto"/>
      <w:ind w:firstLine="425"/>
    </w:pPr>
    <w:rPr>
      <w:kern w:val="0"/>
      <w:sz w:val="24"/>
    </w:rPr>
  </w:style>
  <w:style w:type="character" w:customStyle="1" w:styleId="150">
    <w:name w:val="blue"/>
    <w:basedOn w:val="47"/>
    <w:autoRedefine/>
    <w:qFormat/>
    <w:uiPriority w:val="0"/>
  </w:style>
  <w:style w:type="paragraph" w:customStyle="1" w:styleId="151">
    <w:name w:val="blue1"/>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52">
    <w:name w:val="font"/>
    <w:basedOn w:val="47"/>
    <w:autoRedefine/>
    <w:qFormat/>
    <w:uiPriority w:val="0"/>
  </w:style>
  <w:style w:type="character" w:customStyle="1" w:styleId="153">
    <w:name w:val="font11"/>
    <w:autoRedefine/>
    <w:qFormat/>
    <w:uiPriority w:val="0"/>
    <w:rPr>
      <w:rFonts w:hint="default" w:ascii="ˎ̥" w:hAnsi="ˎ̥"/>
    </w:rPr>
  </w:style>
  <w:style w:type="paragraph" w:customStyle="1" w:styleId="154">
    <w:name w:val="a14"/>
    <w:basedOn w:val="1"/>
    <w:autoRedefine/>
    <w:qFormat/>
    <w:uiPriority w:val="0"/>
    <w:pPr>
      <w:widowControl/>
      <w:spacing w:before="100" w:beforeAutospacing="1" w:after="100" w:afterAutospacing="1" w:line="300" w:lineRule="atLeast"/>
      <w:ind w:firstLine="375"/>
      <w:jc w:val="left"/>
    </w:pPr>
    <w:rPr>
      <w:rFonts w:ascii="宋体" w:hAnsi="宋体" w:cs="宋体"/>
      <w:kern w:val="0"/>
      <w:szCs w:val="21"/>
    </w:rPr>
  </w:style>
  <w:style w:type="character" w:customStyle="1" w:styleId="155">
    <w:name w:val="proddescription"/>
    <w:basedOn w:val="47"/>
    <w:autoRedefine/>
    <w:qFormat/>
    <w:uiPriority w:val="0"/>
  </w:style>
  <w:style w:type="character" w:customStyle="1" w:styleId="156">
    <w:name w:val="prodheadlines"/>
    <w:basedOn w:val="47"/>
    <w:autoRedefine/>
    <w:qFormat/>
    <w:uiPriority w:val="0"/>
  </w:style>
  <w:style w:type="character" w:customStyle="1" w:styleId="157">
    <w:name w:val="text"/>
    <w:basedOn w:val="47"/>
    <w:autoRedefine/>
    <w:qFormat/>
    <w:uiPriority w:val="0"/>
  </w:style>
  <w:style w:type="paragraph" w:customStyle="1" w:styleId="158">
    <w:name w:val="text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59">
    <w:name w:val="z-窗体顶端1"/>
    <w:basedOn w:val="1"/>
    <w:next w:val="1"/>
    <w:autoRedefine/>
    <w:hidden/>
    <w:qFormat/>
    <w:uiPriority w:val="0"/>
    <w:pPr>
      <w:widowControl/>
      <w:pBdr>
        <w:bottom w:val="single" w:color="auto" w:sz="6" w:space="1"/>
      </w:pBdr>
      <w:jc w:val="center"/>
    </w:pPr>
    <w:rPr>
      <w:rFonts w:ascii="Arial" w:hAnsi="Arial" w:cs="Arial"/>
      <w:vanish/>
      <w:kern w:val="0"/>
      <w:sz w:val="16"/>
      <w:szCs w:val="16"/>
    </w:rPr>
  </w:style>
  <w:style w:type="paragraph" w:customStyle="1" w:styleId="160">
    <w:name w:val="z-窗体底端1"/>
    <w:basedOn w:val="1"/>
    <w:next w:val="1"/>
    <w:autoRedefine/>
    <w:hidden/>
    <w:qFormat/>
    <w:uiPriority w:val="0"/>
    <w:pPr>
      <w:widowControl/>
      <w:pBdr>
        <w:top w:val="single" w:color="auto" w:sz="6" w:space="1"/>
      </w:pBdr>
      <w:jc w:val="center"/>
    </w:pPr>
    <w:rPr>
      <w:rFonts w:ascii="Arial" w:hAnsi="Arial" w:cs="Arial"/>
      <w:vanish/>
      <w:kern w:val="0"/>
      <w:sz w:val="16"/>
      <w:szCs w:val="16"/>
    </w:rPr>
  </w:style>
  <w:style w:type="paragraph" w:customStyle="1" w:styleId="161">
    <w:name w:val="正文样式"/>
    <w:basedOn w:val="1"/>
    <w:autoRedefine/>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162">
    <w:name w:val="xl34"/>
    <w:basedOn w:val="1"/>
    <w:autoRedefine/>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163">
    <w:name w:val="段落正文"/>
    <w:basedOn w:val="23"/>
    <w:autoRedefine/>
    <w:qFormat/>
    <w:uiPriority w:val="0"/>
    <w:pPr>
      <w:ind w:firstLine="560" w:firstLineChars="200"/>
    </w:pPr>
    <w:rPr>
      <w:sz w:val="28"/>
    </w:rPr>
  </w:style>
  <w:style w:type="character" w:customStyle="1" w:styleId="164">
    <w:name w:val="gray6"/>
    <w:basedOn w:val="47"/>
    <w:autoRedefine/>
    <w:qFormat/>
    <w:uiPriority w:val="0"/>
  </w:style>
  <w:style w:type="character" w:customStyle="1" w:styleId="165">
    <w:name w:val="style9"/>
    <w:basedOn w:val="47"/>
    <w:autoRedefine/>
    <w:qFormat/>
    <w:uiPriority w:val="0"/>
  </w:style>
  <w:style w:type="paragraph" w:customStyle="1" w:styleId="166">
    <w:name w:val="2册标题4"/>
    <w:basedOn w:val="1"/>
    <w:next w:val="1"/>
    <w:autoRedefine/>
    <w:qFormat/>
    <w:uiPriority w:val="0"/>
    <w:pPr>
      <w:spacing w:beforeLines="50" w:afterLines="50" w:line="300" w:lineRule="auto"/>
      <w:ind w:left="420" w:leftChars="200"/>
      <w:outlineLvl w:val="3"/>
    </w:pPr>
    <w:rPr>
      <w:rFonts w:ascii="Arial" w:hAnsi="Arial" w:eastAsia="幼圆" w:cs="Arial"/>
      <w:b/>
      <w:sz w:val="24"/>
    </w:rPr>
  </w:style>
  <w:style w:type="character" w:customStyle="1" w:styleId="167">
    <w:name w:val="grame"/>
    <w:basedOn w:val="47"/>
    <w:autoRedefine/>
    <w:qFormat/>
    <w:uiPriority w:val="0"/>
  </w:style>
  <w:style w:type="paragraph" w:customStyle="1" w:styleId="168">
    <w:name w:val="style2"/>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69">
    <w:name w:val="Char1"/>
    <w:basedOn w:val="1"/>
    <w:autoRedefine/>
    <w:qFormat/>
    <w:uiPriority w:val="0"/>
    <w:pPr>
      <w:jc w:val="left"/>
    </w:pPr>
    <w:rPr>
      <w:rFonts w:ascii="Tahoma" w:hAnsi="Tahoma"/>
      <w:sz w:val="24"/>
      <w:szCs w:val="20"/>
    </w:rPr>
  </w:style>
  <w:style w:type="paragraph" w:customStyle="1" w:styleId="170">
    <w:name w:val="编号1"/>
    <w:basedOn w:val="1"/>
    <w:autoRedefine/>
    <w:qFormat/>
    <w:uiPriority w:val="0"/>
    <w:pPr>
      <w:numPr>
        <w:ilvl w:val="0"/>
        <w:numId w:val="6"/>
      </w:numPr>
      <w:adjustRightInd w:val="0"/>
      <w:spacing w:line="300" w:lineRule="auto"/>
      <w:ind w:right="210"/>
      <w:textAlignment w:val="center"/>
    </w:pPr>
    <w:rPr>
      <w:rFonts w:ascii="宋体" w:hAnsi="宋体"/>
      <w:snapToGrid w:val="0"/>
      <w:spacing w:val="10"/>
      <w:kern w:val="24"/>
    </w:rPr>
  </w:style>
  <w:style w:type="paragraph" w:customStyle="1" w:styleId="171">
    <w:name w:val="Char Char Char Char Char Char Char Char Char Char Char Char Char Char Char Char Char Char Char Char Char Char"/>
    <w:basedOn w:val="1"/>
    <w:autoRedefine/>
    <w:qFormat/>
    <w:uiPriority w:val="0"/>
    <w:pPr>
      <w:widowControl/>
      <w:spacing w:line="400" w:lineRule="exact"/>
      <w:jc w:val="center"/>
    </w:pPr>
    <w:rPr>
      <w:rFonts w:ascii="Verdana" w:hAnsi="Verdana"/>
      <w:kern w:val="0"/>
      <w:szCs w:val="20"/>
      <w:lang w:eastAsia="en-US"/>
    </w:rPr>
  </w:style>
  <w:style w:type="paragraph" w:customStyle="1" w:styleId="172">
    <w:name w:val="font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173">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74">
    <w:name w:val="font6"/>
    <w:basedOn w:val="1"/>
    <w:autoRedefine/>
    <w:qFormat/>
    <w:uiPriority w:val="0"/>
    <w:pPr>
      <w:widowControl/>
      <w:spacing w:before="100" w:beforeAutospacing="1" w:after="100" w:afterAutospacing="1"/>
      <w:jc w:val="left"/>
    </w:pPr>
    <w:rPr>
      <w:kern w:val="0"/>
      <w:sz w:val="24"/>
    </w:rPr>
  </w:style>
  <w:style w:type="paragraph" w:customStyle="1" w:styleId="175">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176">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77">
    <w:name w:val="表格字"/>
    <w:basedOn w:val="1"/>
    <w:autoRedefine/>
    <w:qFormat/>
    <w:uiPriority w:val="0"/>
    <w:pPr>
      <w:adjustRightInd w:val="0"/>
      <w:jc w:val="center"/>
    </w:pPr>
    <w:rPr>
      <w:rFonts w:ascii="宋体"/>
      <w:sz w:val="24"/>
      <w:szCs w:val="20"/>
    </w:rPr>
  </w:style>
  <w:style w:type="character" w:customStyle="1" w:styleId="178">
    <w:name w:val="样式 小三 加粗"/>
    <w:autoRedefine/>
    <w:qFormat/>
    <w:uiPriority w:val="0"/>
    <w:rPr>
      <w:rFonts w:eastAsia="宋体"/>
      <w:b/>
      <w:bCs/>
      <w:sz w:val="32"/>
    </w:rPr>
  </w:style>
  <w:style w:type="paragraph" w:customStyle="1" w:styleId="179">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0">
    <w:name w:val="qw"/>
    <w:autoRedefine/>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81">
    <w:name w:val="Char Char Char"/>
    <w:basedOn w:val="1"/>
    <w:autoRedefine/>
    <w:qFormat/>
    <w:uiPriority w:val="0"/>
    <w:rPr>
      <w:rFonts w:ascii="Tahoma" w:hAnsi="Tahoma"/>
      <w:sz w:val="24"/>
      <w:szCs w:val="20"/>
    </w:rPr>
  </w:style>
  <w:style w:type="paragraph" w:customStyle="1" w:styleId="182">
    <w:name w:val="Char2"/>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83">
    <w:name w:val="info4"/>
    <w:basedOn w:val="47"/>
    <w:autoRedefine/>
    <w:qFormat/>
    <w:uiPriority w:val="0"/>
  </w:style>
  <w:style w:type="paragraph" w:customStyle="1" w:styleId="184">
    <w:name w:val="缩进正文"/>
    <w:basedOn w:val="1"/>
    <w:link w:val="185"/>
    <w:autoRedefine/>
    <w:qFormat/>
    <w:uiPriority w:val="0"/>
    <w:pPr>
      <w:ind w:firstLine="560" w:firstLineChars="200"/>
    </w:pPr>
    <w:rPr>
      <w:rFonts w:eastAsia="仿宋_GB2312" w:cs="宋体"/>
      <w:sz w:val="28"/>
      <w:szCs w:val="20"/>
    </w:rPr>
  </w:style>
  <w:style w:type="character" w:customStyle="1" w:styleId="185">
    <w:name w:val="缩进正文 Char"/>
    <w:link w:val="184"/>
    <w:autoRedefine/>
    <w:qFormat/>
    <w:uiPriority w:val="0"/>
    <w:rPr>
      <w:rFonts w:eastAsia="仿宋_GB2312" w:cs="宋体"/>
      <w:kern w:val="2"/>
      <w:sz w:val="28"/>
      <w:lang w:val="en-US" w:eastAsia="zh-CN" w:bidi="ar-SA"/>
    </w:rPr>
  </w:style>
  <w:style w:type="paragraph" w:customStyle="1" w:styleId="186">
    <w:name w:val="列出段落1"/>
    <w:basedOn w:val="1"/>
    <w:autoRedefine/>
    <w:qFormat/>
    <w:uiPriority w:val="0"/>
    <w:pPr>
      <w:ind w:firstLine="420" w:firstLineChars="200"/>
    </w:pPr>
    <w:rPr>
      <w:rFonts w:ascii="Calibri" w:hAnsi="Calibri" w:cs="Calibri"/>
      <w:szCs w:val="21"/>
    </w:rPr>
  </w:style>
  <w:style w:type="character" w:customStyle="1" w:styleId="187">
    <w:name w:val="批注文字 Char"/>
    <w:basedOn w:val="47"/>
    <w:link w:val="16"/>
    <w:autoRedefine/>
    <w:semiHidden/>
    <w:qFormat/>
    <w:uiPriority w:val="99"/>
    <w:rPr>
      <w:rFonts w:ascii="宋体"/>
      <w:sz w:val="34"/>
    </w:rPr>
  </w:style>
  <w:style w:type="character" w:customStyle="1" w:styleId="188">
    <w:name w:val="批注主题 Char"/>
    <w:basedOn w:val="187"/>
    <w:link w:val="42"/>
    <w:autoRedefine/>
    <w:qFormat/>
    <w:uiPriority w:val="99"/>
    <w:rPr>
      <w:rFonts w:ascii="宋体"/>
      <w:sz w:val="34"/>
    </w:rPr>
  </w:style>
  <w:style w:type="paragraph" w:customStyle="1" w:styleId="189">
    <w:name w:val="评价"/>
    <w:basedOn w:val="1"/>
    <w:autoRedefine/>
    <w:qFormat/>
    <w:uiPriority w:val="0"/>
    <w:pPr>
      <w:spacing w:afterLines="20"/>
      <w:ind w:firstLine="1446" w:firstLineChars="200"/>
    </w:pPr>
    <w:rPr>
      <w:rFonts w:ascii="Calibri" w:hAnsi="Calibri"/>
      <w:sz w:val="24"/>
    </w:rPr>
  </w:style>
  <w:style w:type="paragraph" w:customStyle="1" w:styleId="190">
    <w:name w:val="修订1"/>
    <w:autoRedefine/>
    <w:hidden/>
    <w:semiHidden/>
    <w:qFormat/>
    <w:uiPriority w:val="99"/>
    <w:rPr>
      <w:rFonts w:ascii="Times New Roman" w:hAnsi="Times New Roman" w:eastAsia="宋体" w:cs="Times New Roman"/>
      <w:kern w:val="2"/>
      <w:sz w:val="21"/>
      <w:szCs w:val="24"/>
      <w:lang w:val="en-US" w:eastAsia="zh-CN" w:bidi="ar-SA"/>
    </w:rPr>
  </w:style>
  <w:style w:type="character" w:customStyle="1" w:styleId="191">
    <w:name w:val="alt-edited1"/>
    <w:autoRedefine/>
    <w:qFormat/>
    <w:uiPriority w:val="0"/>
    <w:rPr>
      <w:color w:val="4D90F0"/>
    </w:rPr>
  </w:style>
  <w:style w:type="paragraph" w:customStyle="1" w:styleId="192">
    <w:name w:val="toc 14"/>
    <w:next w:val="1"/>
    <w:autoRedefine/>
    <w:qFormat/>
    <w:uiPriority w:val="0"/>
    <w:pPr>
      <w:wordWrap w:val="0"/>
      <w:jc w:val="both"/>
    </w:pPr>
    <w:rPr>
      <w:rFonts w:ascii="Calibri" w:hAnsi="Calibri" w:eastAsia="宋体" w:cs="Times New Roman"/>
      <w:sz w:val="21"/>
      <w:lang w:val="en-US" w:eastAsia="zh-CN" w:bidi="ar-SA"/>
    </w:rPr>
  </w:style>
  <w:style w:type="character" w:customStyle="1" w:styleId="193">
    <w:name w:val="文档结构图 Char1"/>
    <w:autoRedefine/>
    <w:semiHidden/>
    <w:qFormat/>
    <w:uiPriority w:val="0"/>
    <w:rPr>
      <w:sz w:val="20"/>
    </w:rPr>
  </w:style>
  <w:style w:type="character" w:customStyle="1" w:styleId="194">
    <w:name w:val="文档结构图 Char"/>
    <w:autoRedefine/>
    <w:semiHidden/>
    <w:qFormat/>
    <w:uiPriority w:val="0"/>
    <w:rPr>
      <w:sz w:val="20"/>
    </w:rPr>
  </w:style>
  <w:style w:type="character" w:customStyle="1" w:styleId="195">
    <w:name w:val="short_text"/>
    <w:basedOn w:val="47"/>
    <w:autoRedefine/>
    <w:qFormat/>
    <w:uiPriority w:val="0"/>
    <w:rPr>
      <w:sz w:val="20"/>
    </w:rPr>
  </w:style>
  <w:style w:type="character" w:customStyle="1" w:styleId="196">
    <w:name w:val="标题 Char1"/>
    <w:autoRedefine/>
    <w:qFormat/>
    <w:uiPriority w:val="0"/>
    <w:rPr>
      <w:b/>
      <w:sz w:val="20"/>
    </w:rPr>
  </w:style>
  <w:style w:type="character" w:customStyle="1" w:styleId="197">
    <w:name w:val="正文文本缩进 3 Char1"/>
    <w:autoRedefine/>
    <w:semiHidden/>
    <w:qFormat/>
    <w:uiPriority w:val="0"/>
    <w:rPr>
      <w:sz w:val="20"/>
    </w:rPr>
  </w:style>
  <w:style w:type="character" w:customStyle="1" w:styleId="198">
    <w:name w:val="font21"/>
    <w:basedOn w:val="47"/>
    <w:autoRedefine/>
    <w:qFormat/>
    <w:uiPriority w:val="0"/>
    <w:rPr>
      <w:color w:val="FF0000"/>
      <w:sz w:val="20"/>
      <w:u w:val="none"/>
    </w:rPr>
  </w:style>
  <w:style w:type="character" w:customStyle="1" w:styleId="199">
    <w:name w:val="不明显强调1"/>
    <w:autoRedefine/>
    <w:qFormat/>
    <w:uiPriority w:val="0"/>
    <w:rPr>
      <w:i/>
      <w:sz w:val="20"/>
    </w:rPr>
  </w:style>
  <w:style w:type="character" w:customStyle="1" w:styleId="200">
    <w:name w:val="font71"/>
    <w:autoRedefine/>
    <w:qFormat/>
    <w:uiPriority w:val="0"/>
    <w:rPr>
      <w:sz w:val="20"/>
      <w:u w:val="none"/>
    </w:rPr>
  </w:style>
  <w:style w:type="character" w:customStyle="1" w:styleId="201">
    <w:name w:val="页眉 Char1"/>
    <w:autoRedefine/>
    <w:semiHidden/>
    <w:qFormat/>
    <w:uiPriority w:val="0"/>
    <w:rPr>
      <w:sz w:val="20"/>
    </w:rPr>
  </w:style>
  <w:style w:type="character" w:customStyle="1" w:styleId="202">
    <w:name w:val="正文文本缩进 2 Char1"/>
    <w:autoRedefine/>
    <w:semiHidden/>
    <w:qFormat/>
    <w:uiPriority w:val="0"/>
    <w:rPr>
      <w:sz w:val="20"/>
    </w:rPr>
  </w:style>
  <w:style w:type="character" w:customStyle="1" w:styleId="203">
    <w:name w:val="font61"/>
    <w:basedOn w:val="47"/>
    <w:autoRedefine/>
    <w:qFormat/>
    <w:uiPriority w:val="0"/>
    <w:rPr>
      <w:sz w:val="20"/>
      <w:u w:val="none"/>
    </w:rPr>
  </w:style>
  <w:style w:type="character" w:customStyle="1" w:styleId="204">
    <w:name w:val="纯文本 Char1"/>
    <w:autoRedefine/>
    <w:semiHidden/>
    <w:qFormat/>
    <w:uiPriority w:val="0"/>
    <w:rPr>
      <w:sz w:val="20"/>
    </w:rPr>
  </w:style>
  <w:style w:type="character" w:customStyle="1" w:styleId="205">
    <w:name w:val="正文文本 3 Char1"/>
    <w:autoRedefine/>
    <w:semiHidden/>
    <w:qFormat/>
    <w:uiPriority w:val="0"/>
    <w:rPr>
      <w:sz w:val="20"/>
    </w:rPr>
  </w:style>
  <w:style w:type="character" w:customStyle="1" w:styleId="206">
    <w:name w:val="正文文本缩进 Char1"/>
    <w:autoRedefine/>
    <w:semiHidden/>
    <w:qFormat/>
    <w:uiPriority w:val="0"/>
    <w:rPr>
      <w:sz w:val="20"/>
    </w:rPr>
  </w:style>
  <w:style w:type="character" w:customStyle="1" w:styleId="207">
    <w:name w:val="明显参考1"/>
    <w:autoRedefine/>
    <w:qFormat/>
    <w:uiPriority w:val="0"/>
    <w:rPr>
      <w:b/>
      <w:sz w:val="20"/>
    </w:rPr>
  </w:style>
  <w:style w:type="character" w:customStyle="1" w:styleId="208">
    <w:name w:val="apple-converted-space"/>
    <w:autoRedefine/>
    <w:qFormat/>
    <w:uiPriority w:val="0"/>
    <w:rPr>
      <w:sz w:val="20"/>
    </w:rPr>
  </w:style>
  <w:style w:type="character" w:customStyle="1" w:styleId="209">
    <w:name w:val="书籍标题1"/>
    <w:autoRedefine/>
    <w:qFormat/>
    <w:uiPriority w:val="0"/>
    <w:rPr>
      <w:b/>
      <w:i/>
      <w:sz w:val="20"/>
    </w:rPr>
  </w:style>
  <w:style w:type="character" w:customStyle="1" w:styleId="210">
    <w:name w:val="long_text"/>
    <w:autoRedefine/>
    <w:qFormat/>
    <w:uiPriority w:val="0"/>
    <w:rPr>
      <w:sz w:val="20"/>
    </w:rPr>
  </w:style>
  <w:style w:type="character" w:customStyle="1" w:styleId="211">
    <w:name w:val="日期 Char1"/>
    <w:autoRedefine/>
    <w:semiHidden/>
    <w:qFormat/>
    <w:uiPriority w:val="0"/>
    <w:rPr>
      <w:sz w:val="20"/>
    </w:rPr>
  </w:style>
  <w:style w:type="character" w:customStyle="1" w:styleId="212">
    <w:name w:val="批注文字 Char1"/>
    <w:autoRedefine/>
    <w:semiHidden/>
    <w:qFormat/>
    <w:uiPriority w:val="0"/>
    <w:rPr>
      <w:sz w:val="20"/>
    </w:rPr>
  </w:style>
  <w:style w:type="character" w:customStyle="1" w:styleId="213">
    <w:name w:val="明显强调1"/>
    <w:autoRedefine/>
    <w:qFormat/>
    <w:uiPriority w:val="0"/>
    <w:rPr>
      <w:i/>
      <w:sz w:val="20"/>
    </w:rPr>
  </w:style>
  <w:style w:type="character" w:customStyle="1" w:styleId="214">
    <w:name w:val="16"/>
    <w:autoRedefine/>
    <w:qFormat/>
    <w:uiPriority w:val="0"/>
    <w:rPr>
      <w:b/>
      <w:color w:val="FF0356"/>
      <w:sz w:val="20"/>
    </w:rPr>
  </w:style>
  <w:style w:type="character" w:customStyle="1" w:styleId="215">
    <w:name w:val="批注主题 Char1"/>
    <w:autoRedefine/>
    <w:semiHidden/>
    <w:qFormat/>
    <w:uiPriority w:val="0"/>
    <w:rPr>
      <w:b/>
      <w:sz w:val="20"/>
    </w:rPr>
  </w:style>
  <w:style w:type="character" w:customStyle="1" w:styleId="216">
    <w:name w:val="正文文本 2 Char1"/>
    <w:autoRedefine/>
    <w:semiHidden/>
    <w:qFormat/>
    <w:uiPriority w:val="0"/>
    <w:rPr>
      <w:sz w:val="20"/>
    </w:rPr>
  </w:style>
  <w:style w:type="character" w:customStyle="1" w:styleId="217">
    <w:name w:val="font31"/>
    <w:autoRedefine/>
    <w:qFormat/>
    <w:uiPriority w:val="0"/>
    <w:rPr>
      <w:color w:val="FF0000"/>
      <w:sz w:val="20"/>
      <w:u w:val="none"/>
      <w:vertAlign w:val="superscript"/>
    </w:rPr>
  </w:style>
  <w:style w:type="character" w:customStyle="1" w:styleId="218">
    <w:name w:val="不明显参考1"/>
    <w:autoRedefine/>
    <w:qFormat/>
    <w:uiPriority w:val="0"/>
    <w:rPr>
      <w:sz w:val="20"/>
    </w:rPr>
  </w:style>
  <w:style w:type="character" w:customStyle="1" w:styleId="219">
    <w:name w:val="HTML 预设格式 Char1"/>
    <w:autoRedefine/>
    <w:semiHidden/>
    <w:qFormat/>
    <w:uiPriority w:val="0"/>
    <w:rPr>
      <w:sz w:val="20"/>
    </w:rPr>
  </w:style>
  <w:style w:type="character" w:customStyle="1" w:styleId="220">
    <w:name w:val="font01"/>
    <w:basedOn w:val="47"/>
    <w:autoRedefine/>
    <w:qFormat/>
    <w:uiPriority w:val="0"/>
    <w:rPr>
      <w:color w:val="FF0000"/>
      <w:sz w:val="20"/>
      <w:u w:val="none"/>
      <w:vertAlign w:val="superscript"/>
    </w:rPr>
  </w:style>
  <w:style w:type="character" w:customStyle="1" w:styleId="221">
    <w:name w:val="页脚 Char1"/>
    <w:autoRedefine/>
    <w:semiHidden/>
    <w:qFormat/>
    <w:uiPriority w:val="0"/>
    <w:rPr>
      <w:sz w:val="20"/>
    </w:rPr>
  </w:style>
  <w:style w:type="character" w:customStyle="1" w:styleId="222">
    <w:name w:val="批注框文本 Char1"/>
    <w:autoRedefine/>
    <w:semiHidden/>
    <w:qFormat/>
    <w:uiPriority w:val="0"/>
    <w:rPr>
      <w:sz w:val="20"/>
    </w:rPr>
  </w:style>
  <w:style w:type="paragraph" w:customStyle="1" w:styleId="223">
    <w:name w:val="列出段落2"/>
    <w:basedOn w:val="1"/>
    <w:next w:val="224"/>
    <w:autoRedefine/>
    <w:qFormat/>
    <w:uiPriority w:val="0"/>
    <w:pPr>
      <w:ind w:firstLine="420"/>
    </w:pPr>
    <w:rPr>
      <w:rFonts w:hAnsi="Calibri"/>
      <w:kern w:val="0"/>
      <w:szCs w:val="20"/>
    </w:rPr>
  </w:style>
  <w:style w:type="paragraph" w:customStyle="1" w:styleId="224">
    <w:name w:val="toc 814"/>
    <w:next w:val="1"/>
    <w:autoRedefine/>
    <w:qFormat/>
    <w:uiPriority w:val="0"/>
    <w:pPr>
      <w:wordWrap w:val="0"/>
      <w:ind w:left="2975"/>
      <w:jc w:val="both"/>
    </w:pPr>
    <w:rPr>
      <w:rFonts w:ascii="Calibri" w:hAnsi="Calibri" w:eastAsia="宋体" w:cs="Times New Roman"/>
      <w:sz w:val="21"/>
      <w:lang w:val="en-US" w:eastAsia="zh-CN" w:bidi="ar-SA"/>
    </w:rPr>
  </w:style>
  <w:style w:type="paragraph" w:customStyle="1" w:styleId="225">
    <w:name w:val="toc 62"/>
    <w:next w:val="1"/>
    <w:autoRedefine/>
    <w:qFormat/>
    <w:uiPriority w:val="0"/>
    <w:pPr>
      <w:wordWrap w:val="0"/>
      <w:ind w:left="2125"/>
      <w:jc w:val="both"/>
    </w:pPr>
    <w:rPr>
      <w:rFonts w:ascii="Calibri" w:hAnsi="Calibri" w:eastAsia="宋体" w:cs="Times New Roman"/>
      <w:sz w:val="21"/>
      <w:lang w:val="en-US" w:eastAsia="zh-CN" w:bidi="ar-SA"/>
    </w:rPr>
  </w:style>
  <w:style w:type="paragraph" w:customStyle="1" w:styleId="226">
    <w:name w:val="toc 414"/>
    <w:next w:val="1"/>
    <w:autoRedefine/>
    <w:qFormat/>
    <w:uiPriority w:val="0"/>
    <w:pPr>
      <w:wordWrap w:val="0"/>
      <w:ind w:left="1275"/>
      <w:jc w:val="both"/>
    </w:pPr>
    <w:rPr>
      <w:rFonts w:ascii="Calibri" w:hAnsi="Calibri" w:eastAsia="宋体" w:cs="Times New Roman"/>
      <w:sz w:val="21"/>
      <w:lang w:val="en-US" w:eastAsia="zh-CN" w:bidi="ar-SA"/>
    </w:rPr>
  </w:style>
  <w:style w:type="paragraph" w:customStyle="1" w:styleId="227">
    <w:name w:val="toc 411"/>
    <w:next w:val="1"/>
    <w:autoRedefine/>
    <w:qFormat/>
    <w:uiPriority w:val="0"/>
    <w:pPr>
      <w:wordWrap w:val="0"/>
      <w:ind w:left="1275"/>
      <w:jc w:val="both"/>
    </w:pPr>
    <w:rPr>
      <w:rFonts w:ascii="Calibri" w:hAnsi="Calibri" w:eastAsia="宋体" w:cs="Times New Roman"/>
      <w:sz w:val="21"/>
      <w:lang w:val="en-US" w:eastAsia="zh-CN" w:bidi="ar-SA"/>
    </w:rPr>
  </w:style>
  <w:style w:type="paragraph" w:customStyle="1" w:styleId="228">
    <w:name w:val="xl86"/>
    <w:basedOn w:val="1"/>
    <w:next w:val="229"/>
    <w:autoRedefine/>
    <w:qFormat/>
    <w:uiPriority w:val="0"/>
    <w:pPr>
      <w:widowControl/>
      <w:shd w:val="clear" w:color="000000" w:fill="FFFFFF"/>
      <w:spacing w:before="280" w:after="280"/>
      <w:jc w:val="center"/>
    </w:pPr>
    <w:rPr>
      <w:rFonts w:ascii="宋体" w:hAnsi="Calibri"/>
      <w:kern w:val="0"/>
      <w:sz w:val="20"/>
      <w:szCs w:val="20"/>
    </w:rPr>
  </w:style>
  <w:style w:type="paragraph" w:customStyle="1" w:styleId="229">
    <w:name w:val="toc 515"/>
    <w:next w:val="1"/>
    <w:autoRedefine/>
    <w:qFormat/>
    <w:uiPriority w:val="0"/>
    <w:pPr>
      <w:wordWrap w:val="0"/>
      <w:ind w:left="1700"/>
      <w:jc w:val="both"/>
    </w:pPr>
    <w:rPr>
      <w:rFonts w:ascii="Calibri" w:hAnsi="Calibri" w:eastAsia="宋体" w:cs="Times New Roman"/>
      <w:sz w:val="21"/>
      <w:lang w:val="en-US" w:eastAsia="zh-CN" w:bidi="ar-SA"/>
    </w:rPr>
  </w:style>
  <w:style w:type="paragraph" w:customStyle="1" w:styleId="230">
    <w:name w:val="TOC Heading4"/>
    <w:next w:val="1"/>
    <w:autoRedefine/>
    <w:qFormat/>
    <w:uiPriority w:val="0"/>
    <w:pPr>
      <w:wordWrap w:val="0"/>
    </w:pPr>
    <w:rPr>
      <w:rFonts w:ascii="Calibri" w:hAnsi="Calibri" w:eastAsia="宋体" w:cs="Times New Roman"/>
      <w:sz w:val="32"/>
      <w:lang w:val="en-US" w:eastAsia="zh-CN" w:bidi="ar-SA"/>
    </w:rPr>
  </w:style>
  <w:style w:type="paragraph" w:customStyle="1" w:styleId="231">
    <w:name w:val="toc 15"/>
    <w:next w:val="1"/>
    <w:autoRedefine/>
    <w:qFormat/>
    <w:uiPriority w:val="0"/>
    <w:pPr>
      <w:wordWrap w:val="0"/>
      <w:jc w:val="both"/>
    </w:pPr>
    <w:rPr>
      <w:rFonts w:ascii="Calibri" w:hAnsi="Calibri" w:eastAsia="宋体" w:cs="Times New Roman"/>
      <w:sz w:val="21"/>
      <w:lang w:val="en-US" w:eastAsia="zh-CN" w:bidi="ar-SA"/>
    </w:rPr>
  </w:style>
  <w:style w:type="paragraph" w:customStyle="1" w:styleId="232">
    <w:name w:val="TOC Heading2"/>
    <w:next w:val="1"/>
    <w:autoRedefine/>
    <w:qFormat/>
    <w:uiPriority w:val="0"/>
    <w:pPr>
      <w:wordWrap w:val="0"/>
    </w:pPr>
    <w:rPr>
      <w:rFonts w:ascii="Calibri" w:hAnsi="Calibri" w:eastAsia="宋体" w:cs="Times New Roman"/>
      <w:sz w:val="32"/>
      <w:lang w:val="en-US" w:eastAsia="zh-CN" w:bidi="ar-SA"/>
    </w:rPr>
  </w:style>
  <w:style w:type="paragraph" w:customStyle="1" w:styleId="233">
    <w:name w:val="TOC Heading1"/>
    <w:next w:val="1"/>
    <w:autoRedefine/>
    <w:qFormat/>
    <w:uiPriority w:val="0"/>
    <w:pPr>
      <w:wordWrap w:val="0"/>
    </w:pPr>
    <w:rPr>
      <w:rFonts w:ascii="Calibri" w:hAnsi="Calibri" w:eastAsia="宋体" w:cs="Times New Roman"/>
      <w:sz w:val="32"/>
      <w:lang w:val="en-US" w:eastAsia="zh-CN" w:bidi="ar-SA"/>
    </w:rPr>
  </w:style>
  <w:style w:type="paragraph" w:customStyle="1" w:styleId="234">
    <w:name w:val="toc 73"/>
    <w:next w:val="1"/>
    <w:autoRedefine/>
    <w:qFormat/>
    <w:uiPriority w:val="0"/>
    <w:pPr>
      <w:wordWrap w:val="0"/>
      <w:ind w:left="2550"/>
      <w:jc w:val="both"/>
    </w:pPr>
    <w:rPr>
      <w:rFonts w:ascii="Calibri" w:hAnsi="Calibri" w:eastAsia="宋体" w:cs="Times New Roman"/>
      <w:sz w:val="21"/>
      <w:lang w:val="en-US" w:eastAsia="zh-CN" w:bidi="ar-SA"/>
    </w:rPr>
  </w:style>
  <w:style w:type="paragraph" w:customStyle="1" w:styleId="235">
    <w:name w:val="font7"/>
    <w:basedOn w:val="1"/>
    <w:next w:val="236"/>
    <w:autoRedefine/>
    <w:qFormat/>
    <w:uiPriority w:val="0"/>
    <w:pPr>
      <w:widowControl/>
      <w:spacing w:before="280" w:after="280"/>
    </w:pPr>
    <w:rPr>
      <w:rFonts w:ascii="Arial" w:hAnsi="Calibri"/>
      <w:kern w:val="0"/>
      <w:sz w:val="18"/>
      <w:szCs w:val="20"/>
    </w:rPr>
  </w:style>
  <w:style w:type="paragraph" w:customStyle="1" w:styleId="236">
    <w:name w:val="toc 810"/>
    <w:next w:val="1"/>
    <w:autoRedefine/>
    <w:qFormat/>
    <w:uiPriority w:val="0"/>
    <w:pPr>
      <w:wordWrap w:val="0"/>
      <w:ind w:left="2975"/>
      <w:jc w:val="both"/>
    </w:pPr>
    <w:rPr>
      <w:rFonts w:ascii="Calibri" w:hAnsi="Calibri" w:eastAsia="宋体" w:cs="Times New Roman"/>
      <w:sz w:val="21"/>
      <w:lang w:val="en-US" w:eastAsia="zh-CN" w:bidi="ar-SA"/>
    </w:rPr>
  </w:style>
  <w:style w:type="paragraph" w:customStyle="1" w:styleId="237">
    <w:name w:val="xl113"/>
    <w:basedOn w:val="1"/>
    <w:next w:val="238"/>
    <w:autoRedefine/>
    <w:qFormat/>
    <w:uiPriority w:val="0"/>
    <w:pPr>
      <w:widowControl/>
      <w:shd w:val="clear" w:color="000000" w:fill="FFFFFF"/>
      <w:spacing w:before="280" w:after="280"/>
      <w:jc w:val="center"/>
    </w:pPr>
    <w:rPr>
      <w:rFonts w:ascii="宋体" w:hAnsi="Calibri"/>
      <w:b/>
      <w:kern w:val="0"/>
      <w:sz w:val="20"/>
      <w:szCs w:val="20"/>
    </w:rPr>
  </w:style>
  <w:style w:type="paragraph" w:customStyle="1" w:styleId="238">
    <w:name w:val="TOC Heading10"/>
    <w:next w:val="1"/>
    <w:autoRedefine/>
    <w:qFormat/>
    <w:uiPriority w:val="0"/>
    <w:pPr>
      <w:wordWrap w:val="0"/>
    </w:pPr>
    <w:rPr>
      <w:rFonts w:ascii="Calibri" w:hAnsi="Calibri" w:eastAsia="宋体" w:cs="Times New Roman"/>
      <w:sz w:val="32"/>
      <w:lang w:val="en-US" w:eastAsia="zh-CN" w:bidi="ar-SA"/>
    </w:rPr>
  </w:style>
  <w:style w:type="paragraph" w:customStyle="1" w:styleId="239">
    <w:name w:val="toc 89"/>
    <w:next w:val="1"/>
    <w:autoRedefine/>
    <w:qFormat/>
    <w:uiPriority w:val="0"/>
    <w:pPr>
      <w:wordWrap w:val="0"/>
      <w:ind w:left="2975"/>
      <w:jc w:val="both"/>
    </w:pPr>
    <w:rPr>
      <w:rFonts w:ascii="Calibri" w:hAnsi="Calibri" w:eastAsia="宋体" w:cs="Times New Roman"/>
      <w:sz w:val="21"/>
      <w:lang w:val="en-US" w:eastAsia="zh-CN" w:bidi="ar-SA"/>
    </w:rPr>
  </w:style>
  <w:style w:type="paragraph" w:customStyle="1" w:styleId="240">
    <w:name w:val="xl73"/>
    <w:basedOn w:val="1"/>
    <w:next w:val="241"/>
    <w:autoRedefine/>
    <w:qFormat/>
    <w:uiPriority w:val="0"/>
    <w:pPr>
      <w:widowControl/>
      <w:shd w:val="clear" w:color="000000" w:fill="FFFFFF"/>
      <w:spacing w:before="280" w:after="280"/>
      <w:jc w:val="center"/>
    </w:pPr>
    <w:rPr>
      <w:rFonts w:ascii="宋体" w:hAnsi="Calibri"/>
      <w:kern w:val="0"/>
      <w:sz w:val="20"/>
      <w:szCs w:val="20"/>
    </w:rPr>
  </w:style>
  <w:style w:type="paragraph" w:customStyle="1" w:styleId="241">
    <w:name w:val="toc 613"/>
    <w:next w:val="1"/>
    <w:autoRedefine/>
    <w:qFormat/>
    <w:uiPriority w:val="0"/>
    <w:pPr>
      <w:wordWrap w:val="0"/>
      <w:ind w:left="2125"/>
      <w:jc w:val="both"/>
    </w:pPr>
    <w:rPr>
      <w:rFonts w:ascii="Calibri" w:hAnsi="Calibri" w:eastAsia="宋体" w:cs="Times New Roman"/>
      <w:sz w:val="21"/>
      <w:lang w:val="en-US" w:eastAsia="zh-CN" w:bidi="ar-SA"/>
    </w:rPr>
  </w:style>
  <w:style w:type="paragraph" w:customStyle="1" w:styleId="242">
    <w:name w:val="xl79"/>
    <w:basedOn w:val="1"/>
    <w:next w:val="243"/>
    <w:autoRedefine/>
    <w:qFormat/>
    <w:uiPriority w:val="0"/>
    <w:pPr>
      <w:widowControl/>
      <w:shd w:val="clear" w:color="000000" w:fill="FFFFFF"/>
      <w:spacing w:before="280" w:after="280"/>
    </w:pPr>
    <w:rPr>
      <w:rFonts w:ascii="宋体" w:hAnsi="Calibri"/>
      <w:b/>
      <w:kern w:val="0"/>
      <w:sz w:val="20"/>
      <w:szCs w:val="20"/>
    </w:rPr>
  </w:style>
  <w:style w:type="paragraph" w:customStyle="1" w:styleId="243">
    <w:name w:val="toc 87"/>
    <w:next w:val="1"/>
    <w:autoRedefine/>
    <w:qFormat/>
    <w:uiPriority w:val="0"/>
    <w:pPr>
      <w:wordWrap w:val="0"/>
      <w:ind w:left="2975"/>
      <w:jc w:val="both"/>
    </w:pPr>
    <w:rPr>
      <w:rFonts w:ascii="Calibri" w:hAnsi="Calibri" w:eastAsia="宋体" w:cs="Times New Roman"/>
      <w:sz w:val="21"/>
      <w:lang w:val="en-US" w:eastAsia="zh-CN" w:bidi="ar-SA"/>
    </w:rPr>
  </w:style>
  <w:style w:type="paragraph" w:customStyle="1" w:styleId="244">
    <w:name w:val="toc 11"/>
    <w:next w:val="1"/>
    <w:autoRedefine/>
    <w:qFormat/>
    <w:uiPriority w:val="0"/>
    <w:pPr>
      <w:wordWrap w:val="0"/>
      <w:jc w:val="both"/>
    </w:pPr>
    <w:rPr>
      <w:rFonts w:ascii="Calibri" w:hAnsi="Calibri" w:eastAsia="宋体" w:cs="Times New Roman"/>
      <w:sz w:val="21"/>
      <w:lang w:val="en-US" w:eastAsia="zh-CN" w:bidi="ar-SA"/>
    </w:rPr>
  </w:style>
  <w:style w:type="paragraph" w:customStyle="1" w:styleId="245">
    <w:name w:val="toc 410"/>
    <w:next w:val="1"/>
    <w:autoRedefine/>
    <w:qFormat/>
    <w:uiPriority w:val="0"/>
    <w:pPr>
      <w:wordWrap w:val="0"/>
      <w:ind w:left="1275"/>
      <w:jc w:val="both"/>
    </w:pPr>
    <w:rPr>
      <w:rFonts w:ascii="Calibri" w:hAnsi="Calibri" w:eastAsia="宋体" w:cs="Times New Roman"/>
      <w:sz w:val="21"/>
      <w:lang w:val="en-US" w:eastAsia="zh-CN" w:bidi="ar-SA"/>
    </w:rPr>
  </w:style>
  <w:style w:type="paragraph" w:customStyle="1" w:styleId="246">
    <w:name w:val="toc 611"/>
    <w:next w:val="1"/>
    <w:autoRedefine/>
    <w:qFormat/>
    <w:uiPriority w:val="0"/>
    <w:pPr>
      <w:wordWrap w:val="0"/>
      <w:ind w:left="2125"/>
      <w:jc w:val="both"/>
    </w:pPr>
    <w:rPr>
      <w:rFonts w:ascii="Calibri" w:hAnsi="Calibri" w:eastAsia="宋体" w:cs="Times New Roman"/>
      <w:sz w:val="21"/>
      <w:lang w:val="en-US" w:eastAsia="zh-CN" w:bidi="ar-SA"/>
    </w:rPr>
  </w:style>
  <w:style w:type="paragraph" w:customStyle="1" w:styleId="247">
    <w:name w:val="xl112"/>
    <w:basedOn w:val="1"/>
    <w:next w:val="246"/>
    <w:autoRedefine/>
    <w:qFormat/>
    <w:uiPriority w:val="0"/>
    <w:pPr>
      <w:widowControl/>
      <w:shd w:val="clear" w:color="000000" w:fill="FFFFFF"/>
      <w:spacing w:before="280" w:after="280"/>
      <w:jc w:val="center"/>
    </w:pPr>
    <w:rPr>
      <w:rFonts w:ascii="宋体" w:hAnsi="Calibri"/>
      <w:b/>
      <w:kern w:val="0"/>
      <w:sz w:val="20"/>
      <w:szCs w:val="20"/>
    </w:rPr>
  </w:style>
  <w:style w:type="paragraph" w:customStyle="1" w:styleId="248">
    <w:name w:val="toc 514"/>
    <w:next w:val="1"/>
    <w:autoRedefine/>
    <w:qFormat/>
    <w:uiPriority w:val="0"/>
    <w:pPr>
      <w:wordWrap w:val="0"/>
      <w:ind w:left="1700"/>
      <w:jc w:val="both"/>
    </w:pPr>
    <w:rPr>
      <w:rFonts w:ascii="Calibri" w:hAnsi="Calibri" w:eastAsia="宋体" w:cs="Times New Roman"/>
      <w:sz w:val="21"/>
      <w:lang w:val="en-US" w:eastAsia="zh-CN" w:bidi="ar-SA"/>
    </w:rPr>
  </w:style>
  <w:style w:type="paragraph" w:customStyle="1" w:styleId="249">
    <w:name w:val="toc 44"/>
    <w:next w:val="1"/>
    <w:autoRedefine/>
    <w:qFormat/>
    <w:uiPriority w:val="0"/>
    <w:pPr>
      <w:wordWrap w:val="0"/>
      <w:ind w:left="1275"/>
      <w:jc w:val="both"/>
    </w:pPr>
    <w:rPr>
      <w:rFonts w:ascii="Calibri" w:hAnsi="Calibri" w:eastAsia="宋体" w:cs="Times New Roman"/>
      <w:sz w:val="21"/>
      <w:lang w:val="en-US" w:eastAsia="zh-CN" w:bidi="ar-SA"/>
    </w:rPr>
  </w:style>
  <w:style w:type="paragraph" w:customStyle="1" w:styleId="250">
    <w:name w:val="toc 412"/>
    <w:next w:val="1"/>
    <w:autoRedefine/>
    <w:qFormat/>
    <w:uiPriority w:val="0"/>
    <w:pPr>
      <w:wordWrap w:val="0"/>
      <w:ind w:left="1275"/>
      <w:jc w:val="both"/>
    </w:pPr>
    <w:rPr>
      <w:rFonts w:ascii="Calibri" w:hAnsi="Calibri" w:eastAsia="宋体" w:cs="Times New Roman"/>
      <w:sz w:val="21"/>
      <w:lang w:val="en-US" w:eastAsia="zh-CN" w:bidi="ar-SA"/>
    </w:rPr>
  </w:style>
  <w:style w:type="paragraph" w:customStyle="1" w:styleId="251">
    <w:name w:val="xl74"/>
    <w:basedOn w:val="1"/>
    <w:next w:val="252"/>
    <w:autoRedefine/>
    <w:qFormat/>
    <w:uiPriority w:val="0"/>
    <w:pPr>
      <w:widowControl/>
      <w:shd w:val="clear" w:color="000000" w:fill="FFFFFF"/>
      <w:spacing w:before="280" w:after="280"/>
    </w:pPr>
    <w:rPr>
      <w:rFonts w:ascii="宋体" w:hAnsi="Calibri"/>
      <w:kern w:val="0"/>
      <w:sz w:val="20"/>
      <w:szCs w:val="20"/>
    </w:rPr>
  </w:style>
  <w:style w:type="paragraph" w:customStyle="1" w:styleId="252">
    <w:name w:val="toc 57"/>
    <w:next w:val="1"/>
    <w:autoRedefine/>
    <w:qFormat/>
    <w:uiPriority w:val="0"/>
    <w:pPr>
      <w:wordWrap w:val="0"/>
      <w:ind w:left="1700"/>
      <w:jc w:val="both"/>
    </w:pPr>
    <w:rPr>
      <w:rFonts w:ascii="Calibri" w:hAnsi="Calibri" w:eastAsia="宋体" w:cs="Times New Roman"/>
      <w:sz w:val="21"/>
      <w:lang w:val="en-US" w:eastAsia="zh-CN" w:bidi="ar-SA"/>
    </w:rPr>
  </w:style>
  <w:style w:type="paragraph" w:customStyle="1" w:styleId="253">
    <w:name w:val="toc 912"/>
    <w:next w:val="1"/>
    <w:autoRedefine/>
    <w:qFormat/>
    <w:uiPriority w:val="0"/>
    <w:pPr>
      <w:wordWrap w:val="0"/>
      <w:ind w:left="3400"/>
      <w:jc w:val="both"/>
    </w:pPr>
    <w:rPr>
      <w:rFonts w:ascii="Calibri" w:hAnsi="Calibri" w:eastAsia="宋体" w:cs="Times New Roman"/>
      <w:sz w:val="21"/>
      <w:lang w:val="en-US" w:eastAsia="zh-CN" w:bidi="ar-SA"/>
    </w:rPr>
  </w:style>
  <w:style w:type="paragraph" w:customStyle="1" w:styleId="254">
    <w:name w:val="toc 91"/>
    <w:next w:val="1"/>
    <w:autoRedefine/>
    <w:qFormat/>
    <w:uiPriority w:val="0"/>
    <w:pPr>
      <w:wordWrap w:val="0"/>
      <w:ind w:left="3400"/>
      <w:jc w:val="both"/>
    </w:pPr>
    <w:rPr>
      <w:rFonts w:ascii="Calibri" w:hAnsi="Calibri" w:eastAsia="宋体" w:cs="Times New Roman"/>
      <w:sz w:val="21"/>
      <w:lang w:val="en-US" w:eastAsia="zh-CN" w:bidi="ar-SA"/>
    </w:rPr>
  </w:style>
  <w:style w:type="paragraph" w:customStyle="1" w:styleId="255">
    <w:name w:val="toc 38"/>
    <w:next w:val="1"/>
    <w:autoRedefine/>
    <w:qFormat/>
    <w:uiPriority w:val="0"/>
    <w:pPr>
      <w:wordWrap w:val="0"/>
      <w:ind w:left="850"/>
      <w:jc w:val="both"/>
    </w:pPr>
    <w:rPr>
      <w:rFonts w:ascii="Calibri" w:hAnsi="Calibri" w:eastAsia="宋体" w:cs="Times New Roman"/>
      <w:sz w:val="21"/>
      <w:lang w:val="en-US" w:eastAsia="zh-CN" w:bidi="ar-SA"/>
    </w:rPr>
  </w:style>
  <w:style w:type="paragraph" w:customStyle="1" w:styleId="256">
    <w:name w:val="toc 95"/>
    <w:next w:val="1"/>
    <w:autoRedefine/>
    <w:qFormat/>
    <w:uiPriority w:val="0"/>
    <w:pPr>
      <w:wordWrap w:val="0"/>
      <w:ind w:left="3400"/>
      <w:jc w:val="both"/>
    </w:pPr>
    <w:rPr>
      <w:rFonts w:ascii="Calibri" w:hAnsi="Calibri" w:eastAsia="宋体" w:cs="Times New Roman"/>
      <w:sz w:val="21"/>
      <w:lang w:val="en-US" w:eastAsia="zh-CN" w:bidi="ar-SA"/>
    </w:rPr>
  </w:style>
  <w:style w:type="paragraph" w:customStyle="1" w:styleId="257">
    <w:name w:val="列出段落5"/>
    <w:basedOn w:val="1"/>
    <w:next w:val="258"/>
    <w:autoRedefine/>
    <w:qFormat/>
    <w:uiPriority w:val="0"/>
    <w:pPr>
      <w:ind w:firstLine="420"/>
    </w:pPr>
    <w:rPr>
      <w:rFonts w:hAnsi="Calibri"/>
      <w:kern w:val="0"/>
      <w:szCs w:val="20"/>
    </w:rPr>
  </w:style>
  <w:style w:type="paragraph" w:customStyle="1" w:styleId="258">
    <w:name w:val="toc 312"/>
    <w:next w:val="1"/>
    <w:autoRedefine/>
    <w:qFormat/>
    <w:uiPriority w:val="0"/>
    <w:pPr>
      <w:wordWrap w:val="0"/>
      <w:ind w:left="850"/>
      <w:jc w:val="both"/>
    </w:pPr>
    <w:rPr>
      <w:rFonts w:ascii="Calibri" w:hAnsi="Calibri" w:eastAsia="宋体" w:cs="Times New Roman"/>
      <w:sz w:val="21"/>
      <w:lang w:val="en-US" w:eastAsia="zh-CN" w:bidi="ar-SA"/>
    </w:rPr>
  </w:style>
  <w:style w:type="paragraph" w:customStyle="1" w:styleId="259">
    <w:name w:val="xl66"/>
    <w:basedOn w:val="1"/>
    <w:next w:val="260"/>
    <w:autoRedefine/>
    <w:qFormat/>
    <w:uiPriority w:val="0"/>
    <w:pPr>
      <w:widowControl/>
      <w:shd w:val="clear" w:color="000000" w:fill="FFFFFF"/>
      <w:spacing w:before="280" w:after="280"/>
    </w:pPr>
    <w:rPr>
      <w:rFonts w:ascii="宋体" w:hAnsi="Calibri"/>
      <w:kern w:val="0"/>
      <w:sz w:val="20"/>
      <w:szCs w:val="20"/>
    </w:rPr>
  </w:style>
  <w:style w:type="paragraph" w:customStyle="1" w:styleId="260">
    <w:name w:val="toc 56"/>
    <w:next w:val="1"/>
    <w:autoRedefine/>
    <w:qFormat/>
    <w:uiPriority w:val="0"/>
    <w:pPr>
      <w:wordWrap w:val="0"/>
      <w:ind w:left="1700"/>
      <w:jc w:val="both"/>
    </w:pPr>
    <w:rPr>
      <w:rFonts w:ascii="Calibri" w:hAnsi="Calibri" w:eastAsia="宋体" w:cs="Times New Roman"/>
      <w:sz w:val="21"/>
      <w:lang w:val="en-US" w:eastAsia="zh-CN" w:bidi="ar-SA"/>
    </w:rPr>
  </w:style>
  <w:style w:type="paragraph" w:customStyle="1" w:styleId="261">
    <w:name w:val="TOC Heading3"/>
    <w:next w:val="1"/>
    <w:autoRedefine/>
    <w:qFormat/>
    <w:uiPriority w:val="0"/>
    <w:pPr>
      <w:wordWrap w:val="0"/>
    </w:pPr>
    <w:rPr>
      <w:rFonts w:ascii="Calibri" w:hAnsi="Calibri" w:eastAsia="宋体" w:cs="Times New Roman"/>
      <w:sz w:val="32"/>
      <w:lang w:val="en-US" w:eastAsia="zh-CN" w:bidi="ar-SA"/>
    </w:rPr>
  </w:style>
  <w:style w:type="paragraph" w:customStyle="1" w:styleId="262">
    <w:name w:val="toc 65"/>
    <w:next w:val="1"/>
    <w:autoRedefine/>
    <w:qFormat/>
    <w:uiPriority w:val="0"/>
    <w:pPr>
      <w:wordWrap w:val="0"/>
      <w:ind w:left="2125"/>
      <w:jc w:val="both"/>
    </w:pPr>
    <w:rPr>
      <w:rFonts w:ascii="Calibri" w:hAnsi="Calibri" w:eastAsia="宋体" w:cs="Times New Roman"/>
      <w:sz w:val="21"/>
      <w:lang w:val="en-US" w:eastAsia="zh-CN" w:bidi="ar-SA"/>
    </w:rPr>
  </w:style>
  <w:style w:type="paragraph" w:customStyle="1" w:styleId="263">
    <w:name w:val="toc 25"/>
    <w:next w:val="1"/>
    <w:autoRedefine/>
    <w:qFormat/>
    <w:uiPriority w:val="0"/>
    <w:pPr>
      <w:wordWrap w:val="0"/>
      <w:ind w:left="425"/>
      <w:jc w:val="both"/>
    </w:pPr>
    <w:rPr>
      <w:rFonts w:ascii="Calibri" w:hAnsi="Calibri" w:eastAsia="宋体" w:cs="Times New Roman"/>
      <w:sz w:val="21"/>
      <w:lang w:val="en-US" w:eastAsia="zh-CN" w:bidi="ar-SA"/>
    </w:rPr>
  </w:style>
  <w:style w:type="paragraph" w:customStyle="1" w:styleId="264">
    <w:name w:val="xl84"/>
    <w:basedOn w:val="1"/>
    <w:next w:val="265"/>
    <w:autoRedefine/>
    <w:qFormat/>
    <w:uiPriority w:val="0"/>
    <w:pPr>
      <w:widowControl/>
      <w:shd w:val="clear" w:color="000000" w:fill="FFFFFF"/>
      <w:spacing w:before="280" w:after="280"/>
      <w:jc w:val="center"/>
    </w:pPr>
    <w:rPr>
      <w:rFonts w:ascii="宋体" w:hAnsi="Calibri"/>
      <w:kern w:val="0"/>
      <w:sz w:val="20"/>
      <w:szCs w:val="20"/>
    </w:rPr>
  </w:style>
  <w:style w:type="paragraph" w:customStyle="1" w:styleId="265">
    <w:name w:val="toc 99"/>
    <w:next w:val="1"/>
    <w:autoRedefine/>
    <w:qFormat/>
    <w:uiPriority w:val="0"/>
    <w:pPr>
      <w:wordWrap w:val="0"/>
      <w:ind w:left="3400"/>
      <w:jc w:val="both"/>
    </w:pPr>
    <w:rPr>
      <w:rFonts w:ascii="Calibri" w:hAnsi="Calibri" w:eastAsia="宋体" w:cs="Times New Roman"/>
      <w:sz w:val="21"/>
      <w:lang w:val="en-US" w:eastAsia="zh-CN" w:bidi="ar-SA"/>
    </w:rPr>
  </w:style>
  <w:style w:type="paragraph" w:customStyle="1" w:styleId="266">
    <w:name w:val="xl81"/>
    <w:basedOn w:val="1"/>
    <w:next w:val="267"/>
    <w:autoRedefine/>
    <w:qFormat/>
    <w:uiPriority w:val="0"/>
    <w:pPr>
      <w:widowControl/>
      <w:shd w:val="clear" w:color="000000" w:fill="FFFFFF"/>
      <w:spacing w:before="280" w:after="280"/>
    </w:pPr>
    <w:rPr>
      <w:rFonts w:ascii="宋体" w:hAnsi="Calibri"/>
      <w:kern w:val="0"/>
      <w:sz w:val="20"/>
      <w:szCs w:val="20"/>
    </w:rPr>
  </w:style>
  <w:style w:type="paragraph" w:customStyle="1" w:styleId="267">
    <w:name w:val="toc 59"/>
    <w:next w:val="1"/>
    <w:autoRedefine/>
    <w:qFormat/>
    <w:uiPriority w:val="0"/>
    <w:pPr>
      <w:wordWrap w:val="0"/>
      <w:ind w:left="1700"/>
      <w:jc w:val="both"/>
    </w:pPr>
    <w:rPr>
      <w:rFonts w:ascii="Calibri" w:hAnsi="Calibri" w:eastAsia="宋体" w:cs="Times New Roman"/>
      <w:sz w:val="21"/>
      <w:lang w:val="en-US" w:eastAsia="zh-CN" w:bidi="ar-SA"/>
    </w:rPr>
  </w:style>
  <w:style w:type="paragraph" w:customStyle="1" w:styleId="268">
    <w:name w:val="目录 11"/>
    <w:next w:val="1"/>
    <w:autoRedefine/>
    <w:qFormat/>
    <w:uiPriority w:val="0"/>
    <w:pPr>
      <w:wordWrap w:val="0"/>
      <w:jc w:val="both"/>
    </w:pPr>
    <w:rPr>
      <w:rFonts w:ascii="Calibri" w:hAnsi="Calibri" w:eastAsia="宋体" w:cs="Times New Roman"/>
      <w:sz w:val="21"/>
      <w:lang w:val="en-US" w:eastAsia="zh-CN" w:bidi="ar-SA"/>
    </w:rPr>
  </w:style>
  <w:style w:type="paragraph" w:customStyle="1" w:styleId="269">
    <w:name w:val="toc 513"/>
    <w:next w:val="1"/>
    <w:autoRedefine/>
    <w:qFormat/>
    <w:uiPriority w:val="0"/>
    <w:pPr>
      <w:wordWrap w:val="0"/>
      <w:ind w:left="1700"/>
      <w:jc w:val="both"/>
    </w:pPr>
    <w:rPr>
      <w:rFonts w:ascii="Calibri" w:hAnsi="Calibri" w:eastAsia="宋体" w:cs="Times New Roman"/>
      <w:sz w:val="21"/>
      <w:lang w:val="en-US" w:eastAsia="zh-CN" w:bidi="ar-SA"/>
    </w:rPr>
  </w:style>
  <w:style w:type="paragraph" w:customStyle="1" w:styleId="270">
    <w:name w:val="TOC Heading12"/>
    <w:next w:val="1"/>
    <w:autoRedefine/>
    <w:qFormat/>
    <w:uiPriority w:val="0"/>
    <w:pPr>
      <w:wordWrap w:val="0"/>
    </w:pPr>
    <w:rPr>
      <w:rFonts w:ascii="Calibri" w:hAnsi="Calibri" w:eastAsia="宋体" w:cs="Times New Roman"/>
      <w:sz w:val="32"/>
      <w:lang w:val="en-US" w:eastAsia="zh-CN" w:bidi="ar-SA"/>
    </w:rPr>
  </w:style>
  <w:style w:type="paragraph" w:customStyle="1" w:styleId="271">
    <w:name w:val="TOC Heading8"/>
    <w:next w:val="1"/>
    <w:autoRedefine/>
    <w:qFormat/>
    <w:uiPriority w:val="0"/>
    <w:pPr>
      <w:wordWrap w:val="0"/>
    </w:pPr>
    <w:rPr>
      <w:rFonts w:ascii="Calibri" w:hAnsi="Calibri" w:eastAsia="宋体" w:cs="Times New Roman"/>
      <w:sz w:val="32"/>
      <w:lang w:val="en-US" w:eastAsia="zh-CN" w:bidi="ar-SA"/>
    </w:rPr>
  </w:style>
  <w:style w:type="paragraph" w:customStyle="1" w:styleId="272">
    <w:name w:val="toc 711"/>
    <w:next w:val="1"/>
    <w:autoRedefine/>
    <w:qFormat/>
    <w:uiPriority w:val="0"/>
    <w:pPr>
      <w:wordWrap w:val="0"/>
      <w:ind w:left="2550"/>
      <w:jc w:val="both"/>
    </w:pPr>
    <w:rPr>
      <w:rFonts w:ascii="Calibri" w:hAnsi="Calibri" w:eastAsia="宋体" w:cs="Times New Roman"/>
      <w:sz w:val="21"/>
      <w:lang w:val="en-US" w:eastAsia="zh-CN" w:bidi="ar-SA"/>
    </w:rPr>
  </w:style>
  <w:style w:type="paragraph" w:customStyle="1" w:styleId="273">
    <w:name w:val="toc 212"/>
    <w:next w:val="1"/>
    <w:autoRedefine/>
    <w:qFormat/>
    <w:uiPriority w:val="0"/>
    <w:pPr>
      <w:wordWrap w:val="0"/>
      <w:ind w:left="425"/>
      <w:jc w:val="both"/>
    </w:pPr>
    <w:rPr>
      <w:rFonts w:ascii="Calibri" w:hAnsi="Calibri" w:eastAsia="宋体" w:cs="Times New Roman"/>
      <w:sz w:val="21"/>
      <w:lang w:val="en-US" w:eastAsia="zh-CN" w:bidi="ar-SA"/>
    </w:rPr>
  </w:style>
  <w:style w:type="paragraph" w:customStyle="1" w:styleId="274">
    <w:name w:val="目录 21"/>
    <w:next w:val="1"/>
    <w:autoRedefine/>
    <w:qFormat/>
    <w:uiPriority w:val="0"/>
    <w:pPr>
      <w:wordWrap w:val="0"/>
      <w:ind w:left="425"/>
      <w:jc w:val="both"/>
    </w:pPr>
    <w:rPr>
      <w:rFonts w:ascii="Calibri" w:hAnsi="Calibri" w:eastAsia="宋体" w:cs="Times New Roman"/>
      <w:sz w:val="21"/>
      <w:lang w:val="en-US" w:eastAsia="zh-CN" w:bidi="ar-SA"/>
    </w:rPr>
  </w:style>
  <w:style w:type="paragraph" w:customStyle="1" w:styleId="275">
    <w:name w:val="toc 45"/>
    <w:next w:val="1"/>
    <w:autoRedefine/>
    <w:qFormat/>
    <w:uiPriority w:val="0"/>
    <w:pPr>
      <w:wordWrap w:val="0"/>
      <w:ind w:left="1275"/>
      <w:jc w:val="both"/>
    </w:pPr>
    <w:rPr>
      <w:rFonts w:ascii="Calibri" w:hAnsi="Calibri" w:eastAsia="宋体" w:cs="Times New Roman"/>
      <w:sz w:val="21"/>
      <w:lang w:val="en-US" w:eastAsia="zh-CN" w:bidi="ar-SA"/>
    </w:rPr>
  </w:style>
  <w:style w:type="paragraph" w:customStyle="1" w:styleId="276">
    <w:name w:val="xl116"/>
    <w:basedOn w:val="1"/>
    <w:next w:val="277"/>
    <w:autoRedefine/>
    <w:qFormat/>
    <w:uiPriority w:val="0"/>
    <w:pPr>
      <w:widowControl/>
      <w:shd w:val="clear" w:color="000000" w:fill="FFFFFF"/>
      <w:spacing w:before="280" w:after="280"/>
      <w:jc w:val="center"/>
    </w:pPr>
    <w:rPr>
      <w:rFonts w:ascii="Arial Narrow" w:hAnsi="Calibri"/>
      <w:kern w:val="0"/>
      <w:sz w:val="20"/>
      <w:szCs w:val="20"/>
    </w:rPr>
  </w:style>
  <w:style w:type="paragraph" w:customStyle="1" w:styleId="277">
    <w:name w:val="toc 78"/>
    <w:next w:val="1"/>
    <w:autoRedefine/>
    <w:qFormat/>
    <w:uiPriority w:val="0"/>
    <w:pPr>
      <w:wordWrap w:val="0"/>
      <w:ind w:left="2550"/>
      <w:jc w:val="both"/>
    </w:pPr>
    <w:rPr>
      <w:rFonts w:ascii="Calibri" w:hAnsi="Calibri" w:eastAsia="宋体" w:cs="Times New Roman"/>
      <w:sz w:val="21"/>
      <w:lang w:val="en-US" w:eastAsia="zh-CN" w:bidi="ar-SA"/>
    </w:rPr>
  </w:style>
  <w:style w:type="paragraph" w:customStyle="1" w:styleId="278">
    <w:name w:val="font8"/>
    <w:basedOn w:val="1"/>
    <w:next w:val="279"/>
    <w:autoRedefine/>
    <w:qFormat/>
    <w:uiPriority w:val="0"/>
    <w:pPr>
      <w:widowControl/>
      <w:spacing w:before="280" w:after="280"/>
    </w:pPr>
    <w:rPr>
      <w:rFonts w:ascii="Arial" w:hAnsi="Calibri"/>
      <w:kern w:val="0"/>
      <w:sz w:val="20"/>
      <w:szCs w:val="20"/>
    </w:rPr>
  </w:style>
  <w:style w:type="paragraph" w:customStyle="1" w:styleId="279">
    <w:name w:val="TOC Heading11"/>
    <w:next w:val="1"/>
    <w:autoRedefine/>
    <w:qFormat/>
    <w:uiPriority w:val="0"/>
    <w:pPr>
      <w:wordWrap w:val="0"/>
    </w:pPr>
    <w:rPr>
      <w:rFonts w:ascii="Calibri" w:hAnsi="Calibri" w:eastAsia="宋体" w:cs="Times New Roman"/>
      <w:sz w:val="32"/>
      <w:lang w:val="en-US" w:eastAsia="zh-CN" w:bidi="ar-SA"/>
    </w:rPr>
  </w:style>
  <w:style w:type="paragraph" w:customStyle="1" w:styleId="280">
    <w:name w:val="xl69"/>
    <w:basedOn w:val="1"/>
    <w:next w:val="281"/>
    <w:autoRedefine/>
    <w:qFormat/>
    <w:uiPriority w:val="0"/>
    <w:pPr>
      <w:widowControl/>
      <w:shd w:val="clear" w:color="000000" w:fill="FFFFFF"/>
      <w:spacing w:before="280" w:after="280"/>
    </w:pPr>
    <w:rPr>
      <w:rFonts w:ascii="宋体" w:hAnsi="Calibri"/>
      <w:b/>
      <w:kern w:val="0"/>
      <w:sz w:val="20"/>
      <w:szCs w:val="20"/>
    </w:rPr>
  </w:style>
  <w:style w:type="paragraph" w:customStyle="1" w:styleId="281">
    <w:name w:val="toc 48"/>
    <w:next w:val="1"/>
    <w:autoRedefine/>
    <w:qFormat/>
    <w:uiPriority w:val="0"/>
    <w:pPr>
      <w:wordWrap w:val="0"/>
      <w:ind w:left="1275"/>
      <w:jc w:val="both"/>
    </w:pPr>
    <w:rPr>
      <w:rFonts w:ascii="Calibri" w:hAnsi="Calibri" w:eastAsia="宋体" w:cs="Times New Roman"/>
      <w:sz w:val="21"/>
      <w:lang w:val="en-US" w:eastAsia="zh-CN" w:bidi="ar-SA"/>
    </w:rPr>
  </w:style>
  <w:style w:type="paragraph" w:customStyle="1" w:styleId="282">
    <w:name w:val="toc 813"/>
    <w:next w:val="1"/>
    <w:autoRedefine/>
    <w:qFormat/>
    <w:uiPriority w:val="0"/>
    <w:pPr>
      <w:wordWrap w:val="0"/>
      <w:ind w:left="2975"/>
      <w:jc w:val="both"/>
    </w:pPr>
    <w:rPr>
      <w:rFonts w:ascii="Calibri" w:hAnsi="Calibri" w:eastAsia="宋体" w:cs="Times New Roman"/>
      <w:sz w:val="21"/>
      <w:lang w:val="en-US" w:eastAsia="zh-CN" w:bidi="ar-SA"/>
    </w:rPr>
  </w:style>
  <w:style w:type="paragraph" w:customStyle="1" w:styleId="283">
    <w:name w:val="目录 91"/>
    <w:next w:val="1"/>
    <w:autoRedefine/>
    <w:qFormat/>
    <w:uiPriority w:val="0"/>
    <w:pPr>
      <w:wordWrap w:val="0"/>
      <w:ind w:left="3400"/>
      <w:jc w:val="both"/>
    </w:pPr>
    <w:rPr>
      <w:rFonts w:ascii="Calibri" w:hAnsi="Calibri" w:eastAsia="宋体" w:cs="Times New Roman"/>
      <w:sz w:val="21"/>
      <w:lang w:val="en-US" w:eastAsia="zh-CN" w:bidi="ar-SA"/>
    </w:rPr>
  </w:style>
  <w:style w:type="paragraph" w:customStyle="1" w:styleId="284">
    <w:name w:val="列出段落3"/>
    <w:basedOn w:val="1"/>
    <w:next w:val="285"/>
    <w:autoRedefine/>
    <w:qFormat/>
    <w:uiPriority w:val="0"/>
    <w:pPr>
      <w:ind w:firstLine="420"/>
    </w:pPr>
    <w:rPr>
      <w:rFonts w:hAnsi="Calibri"/>
      <w:kern w:val="0"/>
      <w:szCs w:val="20"/>
    </w:rPr>
  </w:style>
  <w:style w:type="paragraph" w:customStyle="1" w:styleId="285">
    <w:name w:val="toc 213"/>
    <w:next w:val="1"/>
    <w:autoRedefine/>
    <w:qFormat/>
    <w:uiPriority w:val="0"/>
    <w:pPr>
      <w:wordWrap w:val="0"/>
      <w:ind w:left="425"/>
      <w:jc w:val="both"/>
    </w:pPr>
    <w:rPr>
      <w:rFonts w:ascii="Calibri" w:hAnsi="Calibri" w:eastAsia="宋体" w:cs="Times New Roman"/>
      <w:sz w:val="21"/>
      <w:lang w:val="en-US" w:eastAsia="zh-CN" w:bidi="ar-SA"/>
    </w:rPr>
  </w:style>
  <w:style w:type="paragraph" w:customStyle="1" w:styleId="286">
    <w:name w:val="TOC 标题1"/>
    <w:next w:val="1"/>
    <w:autoRedefine/>
    <w:qFormat/>
    <w:uiPriority w:val="0"/>
    <w:pPr>
      <w:wordWrap w:val="0"/>
    </w:pPr>
    <w:rPr>
      <w:rFonts w:ascii="Calibri" w:hAnsi="Calibri" w:eastAsia="宋体" w:cs="Times New Roman"/>
      <w:sz w:val="32"/>
      <w:lang w:val="en-US" w:eastAsia="zh-CN" w:bidi="ar-SA"/>
    </w:rPr>
  </w:style>
  <w:style w:type="paragraph" w:customStyle="1" w:styleId="287">
    <w:name w:val="TOC Heading5"/>
    <w:next w:val="1"/>
    <w:autoRedefine/>
    <w:qFormat/>
    <w:uiPriority w:val="0"/>
    <w:pPr>
      <w:wordWrap w:val="0"/>
    </w:pPr>
    <w:rPr>
      <w:rFonts w:ascii="Calibri" w:hAnsi="Calibri" w:eastAsia="宋体" w:cs="Times New Roman"/>
      <w:sz w:val="32"/>
      <w:lang w:val="en-US" w:eastAsia="zh-CN" w:bidi="ar-SA"/>
    </w:rPr>
  </w:style>
  <w:style w:type="paragraph" w:customStyle="1" w:styleId="288">
    <w:name w:val="toc 313"/>
    <w:next w:val="1"/>
    <w:autoRedefine/>
    <w:qFormat/>
    <w:uiPriority w:val="0"/>
    <w:pPr>
      <w:wordWrap w:val="0"/>
      <w:ind w:left="850"/>
      <w:jc w:val="both"/>
    </w:pPr>
    <w:rPr>
      <w:rFonts w:ascii="Calibri" w:hAnsi="Calibri" w:eastAsia="宋体" w:cs="Times New Roman"/>
      <w:sz w:val="21"/>
      <w:lang w:val="en-US" w:eastAsia="zh-CN" w:bidi="ar-SA"/>
    </w:rPr>
  </w:style>
  <w:style w:type="paragraph" w:customStyle="1" w:styleId="289">
    <w:name w:val="toc 716"/>
    <w:next w:val="1"/>
    <w:autoRedefine/>
    <w:qFormat/>
    <w:uiPriority w:val="0"/>
    <w:pPr>
      <w:wordWrap w:val="0"/>
      <w:ind w:left="2550"/>
      <w:jc w:val="both"/>
    </w:pPr>
    <w:rPr>
      <w:rFonts w:ascii="Calibri" w:hAnsi="Calibri" w:eastAsia="宋体" w:cs="Times New Roman"/>
      <w:sz w:val="21"/>
      <w:lang w:val="en-US" w:eastAsia="zh-CN" w:bidi="ar-SA"/>
    </w:rPr>
  </w:style>
  <w:style w:type="paragraph" w:customStyle="1" w:styleId="290">
    <w:name w:val="xl115"/>
    <w:basedOn w:val="1"/>
    <w:next w:val="291"/>
    <w:autoRedefine/>
    <w:qFormat/>
    <w:uiPriority w:val="0"/>
    <w:pPr>
      <w:widowControl/>
      <w:shd w:val="clear" w:color="000000" w:fill="FFFFFF"/>
      <w:spacing w:before="280" w:after="280"/>
      <w:jc w:val="center"/>
    </w:pPr>
    <w:rPr>
      <w:rFonts w:ascii="宋体" w:hAnsi="Calibri"/>
      <w:b/>
      <w:kern w:val="0"/>
      <w:sz w:val="20"/>
      <w:szCs w:val="20"/>
    </w:rPr>
  </w:style>
  <w:style w:type="paragraph" w:customStyle="1" w:styleId="291">
    <w:name w:val="toc 712"/>
    <w:next w:val="1"/>
    <w:autoRedefine/>
    <w:qFormat/>
    <w:uiPriority w:val="0"/>
    <w:pPr>
      <w:wordWrap w:val="0"/>
      <w:ind w:left="2550"/>
      <w:jc w:val="both"/>
    </w:pPr>
    <w:rPr>
      <w:rFonts w:ascii="Calibri" w:hAnsi="Calibri" w:eastAsia="宋体" w:cs="Times New Roman"/>
      <w:sz w:val="21"/>
      <w:lang w:val="en-US" w:eastAsia="zh-CN" w:bidi="ar-SA"/>
    </w:rPr>
  </w:style>
  <w:style w:type="paragraph" w:customStyle="1" w:styleId="292">
    <w:name w:val="toc 64"/>
    <w:next w:val="1"/>
    <w:autoRedefine/>
    <w:qFormat/>
    <w:uiPriority w:val="0"/>
    <w:pPr>
      <w:wordWrap w:val="0"/>
      <w:ind w:left="2125"/>
      <w:jc w:val="both"/>
    </w:pPr>
    <w:rPr>
      <w:rFonts w:ascii="Calibri" w:hAnsi="Calibri" w:eastAsia="宋体" w:cs="Times New Roman"/>
      <w:sz w:val="21"/>
      <w:lang w:val="en-US" w:eastAsia="zh-CN" w:bidi="ar-SA"/>
    </w:rPr>
  </w:style>
  <w:style w:type="paragraph" w:customStyle="1" w:styleId="293">
    <w:name w:val="toc 24"/>
    <w:next w:val="1"/>
    <w:autoRedefine/>
    <w:qFormat/>
    <w:uiPriority w:val="0"/>
    <w:pPr>
      <w:wordWrap w:val="0"/>
      <w:ind w:left="425"/>
      <w:jc w:val="both"/>
    </w:pPr>
    <w:rPr>
      <w:rFonts w:ascii="Calibri" w:hAnsi="Calibri" w:eastAsia="宋体" w:cs="Times New Roman"/>
      <w:sz w:val="21"/>
      <w:lang w:val="en-US" w:eastAsia="zh-CN" w:bidi="ar-SA"/>
    </w:rPr>
  </w:style>
  <w:style w:type="paragraph" w:customStyle="1" w:styleId="294">
    <w:name w:val="toc 54"/>
    <w:next w:val="1"/>
    <w:autoRedefine/>
    <w:qFormat/>
    <w:uiPriority w:val="0"/>
    <w:pPr>
      <w:wordWrap w:val="0"/>
      <w:ind w:left="1700"/>
      <w:jc w:val="both"/>
    </w:pPr>
    <w:rPr>
      <w:rFonts w:ascii="Calibri" w:hAnsi="Calibri" w:eastAsia="宋体" w:cs="Times New Roman"/>
      <w:sz w:val="21"/>
      <w:lang w:val="en-US" w:eastAsia="zh-CN" w:bidi="ar-SA"/>
    </w:rPr>
  </w:style>
  <w:style w:type="paragraph" w:customStyle="1" w:styleId="295">
    <w:name w:val="xl93"/>
    <w:basedOn w:val="1"/>
    <w:next w:val="296"/>
    <w:autoRedefine/>
    <w:qFormat/>
    <w:uiPriority w:val="0"/>
    <w:pPr>
      <w:widowControl/>
      <w:shd w:val="clear" w:color="000000" w:fill="FFFFFF"/>
      <w:spacing w:before="280" w:after="280"/>
      <w:jc w:val="center"/>
    </w:pPr>
    <w:rPr>
      <w:rFonts w:ascii="宋体" w:hAnsi="Calibri"/>
      <w:kern w:val="0"/>
      <w:sz w:val="20"/>
      <w:szCs w:val="20"/>
    </w:rPr>
  </w:style>
  <w:style w:type="paragraph" w:customStyle="1" w:styleId="296">
    <w:name w:val="toc 112"/>
    <w:next w:val="1"/>
    <w:autoRedefine/>
    <w:qFormat/>
    <w:uiPriority w:val="0"/>
    <w:pPr>
      <w:wordWrap w:val="0"/>
      <w:jc w:val="both"/>
    </w:pPr>
    <w:rPr>
      <w:rFonts w:ascii="Calibri" w:hAnsi="Calibri" w:eastAsia="宋体" w:cs="Times New Roman"/>
      <w:sz w:val="21"/>
      <w:lang w:val="en-US" w:eastAsia="zh-CN" w:bidi="ar-SA"/>
    </w:rPr>
  </w:style>
  <w:style w:type="paragraph" w:customStyle="1" w:styleId="297">
    <w:name w:val="xl96"/>
    <w:basedOn w:val="1"/>
    <w:next w:val="248"/>
    <w:autoRedefine/>
    <w:qFormat/>
    <w:uiPriority w:val="0"/>
    <w:pPr>
      <w:widowControl/>
      <w:shd w:val="clear" w:color="000000" w:fill="FFFFFF"/>
      <w:spacing w:before="280" w:after="280"/>
      <w:jc w:val="center"/>
    </w:pPr>
    <w:rPr>
      <w:rFonts w:ascii="宋体" w:hAnsi="Calibri"/>
      <w:kern w:val="0"/>
      <w:sz w:val="20"/>
      <w:szCs w:val="20"/>
    </w:rPr>
  </w:style>
  <w:style w:type="paragraph" w:customStyle="1" w:styleId="298">
    <w:name w:val="xl106"/>
    <w:basedOn w:val="1"/>
    <w:next w:val="282"/>
    <w:autoRedefine/>
    <w:qFormat/>
    <w:uiPriority w:val="0"/>
    <w:pPr>
      <w:widowControl/>
      <w:shd w:val="clear" w:color="000000" w:fill="FFFFFF"/>
      <w:spacing w:before="280" w:after="280"/>
    </w:pPr>
    <w:rPr>
      <w:rFonts w:ascii="宋体" w:hAnsi="Calibri"/>
      <w:kern w:val="0"/>
      <w:sz w:val="20"/>
      <w:szCs w:val="20"/>
    </w:rPr>
  </w:style>
  <w:style w:type="paragraph" w:customStyle="1" w:styleId="299">
    <w:name w:val="toc 35"/>
    <w:next w:val="1"/>
    <w:autoRedefine/>
    <w:qFormat/>
    <w:uiPriority w:val="0"/>
    <w:pPr>
      <w:wordWrap w:val="0"/>
      <w:ind w:left="850"/>
      <w:jc w:val="both"/>
    </w:pPr>
    <w:rPr>
      <w:rFonts w:ascii="Calibri" w:hAnsi="Calibri" w:eastAsia="宋体" w:cs="Times New Roman"/>
      <w:sz w:val="21"/>
      <w:lang w:val="en-US" w:eastAsia="zh-CN" w:bidi="ar-SA"/>
    </w:rPr>
  </w:style>
  <w:style w:type="paragraph" w:customStyle="1" w:styleId="300">
    <w:name w:val="TOC Heading14"/>
    <w:next w:val="1"/>
    <w:autoRedefine/>
    <w:qFormat/>
    <w:uiPriority w:val="0"/>
    <w:pPr>
      <w:wordWrap w:val="0"/>
    </w:pPr>
    <w:rPr>
      <w:rFonts w:ascii="Calibri" w:hAnsi="Calibri" w:eastAsia="宋体" w:cs="Times New Roman"/>
      <w:sz w:val="32"/>
      <w:lang w:val="en-US" w:eastAsia="zh-CN" w:bidi="ar-SA"/>
    </w:rPr>
  </w:style>
  <w:style w:type="paragraph" w:customStyle="1" w:styleId="301">
    <w:name w:val="Char Char Char Char Char Char Char1"/>
    <w:basedOn w:val="1"/>
    <w:next w:val="302"/>
    <w:autoRedefine/>
    <w:qFormat/>
    <w:uiPriority w:val="0"/>
    <w:pPr>
      <w:widowControl/>
      <w:spacing w:after="160" w:line="240" w:lineRule="exact"/>
    </w:pPr>
    <w:rPr>
      <w:rFonts w:hAnsi="Calibri"/>
      <w:kern w:val="0"/>
      <w:szCs w:val="20"/>
    </w:rPr>
  </w:style>
  <w:style w:type="paragraph" w:customStyle="1" w:styleId="302">
    <w:name w:val="toc 67"/>
    <w:next w:val="1"/>
    <w:autoRedefine/>
    <w:qFormat/>
    <w:uiPriority w:val="0"/>
    <w:pPr>
      <w:wordWrap w:val="0"/>
      <w:ind w:left="2125"/>
      <w:jc w:val="both"/>
    </w:pPr>
    <w:rPr>
      <w:rFonts w:ascii="Calibri" w:hAnsi="Calibri" w:eastAsia="宋体" w:cs="Times New Roman"/>
      <w:sz w:val="21"/>
      <w:lang w:val="en-US" w:eastAsia="zh-CN" w:bidi="ar-SA"/>
    </w:rPr>
  </w:style>
  <w:style w:type="paragraph" w:customStyle="1" w:styleId="303">
    <w:name w:val="列出段落4"/>
    <w:basedOn w:val="1"/>
    <w:next w:val="304"/>
    <w:autoRedefine/>
    <w:qFormat/>
    <w:uiPriority w:val="0"/>
    <w:pPr>
      <w:ind w:firstLine="420"/>
    </w:pPr>
    <w:rPr>
      <w:rFonts w:hAnsi="Calibri"/>
      <w:kern w:val="0"/>
      <w:szCs w:val="20"/>
    </w:rPr>
  </w:style>
  <w:style w:type="paragraph" w:customStyle="1" w:styleId="304">
    <w:name w:val="TOC Heading9"/>
    <w:next w:val="1"/>
    <w:autoRedefine/>
    <w:qFormat/>
    <w:uiPriority w:val="0"/>
    <w:pPr>
      <w:wordWrap w:val="0"/>
    </w:pPr>
    <w:rPr>
      <w:rFonts w:ascii="Calibri" w:hAnsi="Calibri" w:eastAsia="宋体" w:cs="Times New Roman"/>
      <w:sz w:val="32"/>
      <w:lang w:val="en-US" w:eastAsia="zh-CN" w:bidi="ar-SA"/>
    </w:rPr>
  </w:style>
  <w:style w:type="paragraph" w:customStyle="1" w:styleId="305">
    <w:name w:val="xl71"/>
    <w:basedOn w:val="1"/>
    <w:next w:val="306"/>
    <w:autoRedefine/>
    <w:qFormat/>
    <w:uiPriority w:val="0"/>
    <w:pPr>
      <w:widowControl/>
      <w:shd w:val="clear" w:color="000000" w:fill="FFFFFF"/>
      <w:spacing w:before="280" w:after="280"/>
    </w:pPr>
    <w:rPr>
      <w:rFonts w:ascii="宋体" w:hAnsi="Calibri"/>
      <w:kern w:val="0"/>
      <w:sz w:val="24"/>
      <w:szCs w:val="20"/>
    </w:rPr>
  </w:style>
  <w:style w:type="paragraph" w:customStyle="1" w:styleId="306">
    <w:name w:val="toc 115"/>
    <w:next w:val="1"/>
    <w:autoRedefine/>
    <w:qFormat/>
    <w:uiPriority w:val="0"/>
    <w:pPr>
      <w:wordWrap w:val="0"/>
      <w:jc w:val="both"/>
    </w:pPr>
    <w:rPr>
      <w:rFonts w:ascii="Calibri" w:hAnsi="Calibri" w:eastAsia="宋体" w:cs="Times New Roman"/>
      <w:sz w:val="21"/>
      <w:lang w:val="en-US" w:eastAsia="zh-CN" w:bidi="ar-SA"/>
    </w:rPr>
  </w:style>
  <w:style w:type="paragraph" w:customStyle="1" w:styleId="307">
    <w:name w:val="toc 51"/>
    <w:next w:val="1"/>
    <w:autoRedefine/>
    <w:qFormat/>
    <w:uiPriority w:val="0"/>
    <w:pPr>
      <w:wordWrap w:val="0"/>
      <w:ind w:left="1700"/>
      <w:jc w:val="both"/>
    </w:pPr>
    <w:rPr>
      <w:rFonts w:ascii="Calibri" w:hAnsi="Calibri" w:eastAsia="宋体" w:cs="Times New Roman"/>
      <w:sz w:val="21"/>
      <w:lang w:val="en-US" w:eastAsia="zh-CN" w:bidi="ar-SA"/>
    </w:rPr>
  </w:style>
  <w:style w:type="paragraph" w:customStyle="1" w:styleId="308">
    <w:name w:val="toc 47"/>
    <w:next w:val="1"/>
    <w:autoRedefine/>
    <w:qFormat/>
    <w:uiPriority w:val="0"/>
    <w:pPr>
      <w:wordWrap w:val="0"/>
      <w:ind w:left="1275"/>
      <w:jc w:val="both"/>
    </w:pPr>
    <w:rPr>
      <w:rFonts w:ascii="Calibri" w:hAnsi="Calibri" w:eastAsia="宋体" w:cs="Times New Roman"/>
      <w:sz w:val="21"/>
      <w:lang w:val="en-US" w:eastAsia="zh-CN" w:bidi="ar-SA"/>
    </w:rPr>
  </w:style>
  <w:style w:type="paragraph" w:customStyle="1" w:styleId="309">
    <w:name w:val="xl108"/>
    <w:basedOn w:val="1"/>
    <w:next w:val="310"/>
    <w:autoRedefine/>
    <w:qFormat/>
    <w:uiPriority w:val="0"/>
    <w:pPr>
      <w:widowControl/>
      <w:shd w:val="clear" w:color="000000" w:fill="FFFFFF"/>
      <w:spacing w:before="280" w:after="280"/>
    </w:pPr>
    <w:rPr>
      <w:rFonts w:ascii="宋体" w:hAnsi="Calibri"/>
      <w:kern w:val="0"/>
      <w:sz w:val="18"/>
      <w:szCs w:val="20"/>
    </w:rPr>
  </w:style>
  <w:style w:type="paragraph" w:customStyle="1" w:styleId="310">
    <w:name w:val="toc 18"/>
    <w:next w:val="1"/>
    <w:autoRedefine/>
    <w:qFormat/>
    <w:uiPriority w:val="0"/>
    <w:pPr>
      <w:wordWrap w:val="0"/>
      <w:jc w:val="both"/>
    </w:pPr>
    <w:rPr>
      <w:rFonts w:ascii="Calibri" w:hAnsi="Calibri" w:eastAsia="宋体" w:cs="Times New Roman"/>
      <w:sz w:val="21"/>
      <w:lang w:val="en-US" w:eastAsia="zh-CN" w:bidi="ar-SA"/>
    </w:rPr>
  </w:style>
  <w:style w:type="paragraph" w:customStyle="1" w:styleId="311">
    <w:name w:val="TOC Heading7"/>
    <w:next w:val="1"/>
    <w:autoRedefine/>
    <w:qFormat/>
    <w:uiPriority w:val="0"/>
    <w:pPr>
      <w:wordWrap w:val="0"/>
    </w:pPr>
    <w:rPr>
      <w:rFonts w:ascii="Calibri" w:hAnsi="Calibri" w:eastAsia="宋体" w:cs="Times New Roman"/>
      <w:sz w:val="32"/>
      <w:lang w:val="en-US" w:eastAsia="zh-CN" w:bidi="ar-SA"/>
    </w:rPr>
  </w:style>
  <w:style w:type="character" w:customStyle="1" w:styleId="312">
    <w:name w:val="副标题 Char"/>
    <w:basedOn w:val="47"/>
    <w:link w:val="32"/>
    <w:autoRedefine/>
    <w:qFormat/>
    <w:uiPriority w:val="0"/>
    <w:rPr>
      <w:rFonts w:ascii="Calibri" w:hAnsi="Calibri"/>
      <w:sz w:val="24"/>
    </w:rPr>
  </w:style>
  <w:style w:type="paragraph" w:customStyle="1" w:styleId="313">
    <w:name w:val="目录 71"/>
    <w:next w:val="1"/>
    <w:autoRedefine/>
    <w:qFormat/>
    <w:uiPriority w:val="0"/>
    <w:pPr>
      <w:wordWrap w:val="0"/>
      <w:ind w:left="2550"/>
      <w:jc w:val="both"/>
    </w:pPr>
    <w:rPr>
      <w:rFonts w:ascii="Calibri" w:hAnsi="Calibri" w:eastAsia="宋体" w:cs="Times New Roman"/>
      <w:sz w:val="21"/>
      <w:lang w:val="en-US" w:eastAsia="zh-CN" w:bidi="ar-SA"/>
    </w:rPr>
  </w:style>
  <w:style w:type="paragraph" w:customStyle="1" w:styleId="314">
    <w:name w:val="toc 413"/>
    <w:next w:val="1"/>
    <w:autoRedefine/>
    <w:qFormat/>
    <w:uiPriority w:val="0"/>
    <w:pPr>
      <w:wordWrap w:val="0"/>
      <w:ind w:left="1275"/>
      <w:jc w:val="both"/>
    </w:pPr>
    <w:rPr>
      <w:rFonts w:ascii="Calibri" w:hAnsi="Calibri" w:eastAsia="宋体" w:cs="Times New Roman"/>
      <w:sz w:val="21"/>
      <w:lang w:val="en-US" w:eastAsia="zh-CN" w:bidi="ar-SA"/>
    </w:rPr>
  </w:style>
  <w:style w:type="paragraph" w:customStyle="1" w:styleId="315">
    <w:name w:val="toc 85"/>
    <w:next w:val="1"/>
    <w:autoRedefine/>
    <w:qFormat/>
    <w:uiPriority w:val="0"/>
    <w:pPr>
      <w:wordWrap w:val="0"/>
      <w:ind w:left="2975"/>
      <w:jc w:val="both"/>
    </w:pPr>
    <w:rPr>
      <w:rFonts w:ascii="Calibri" w:hAnsi="Calibri" w:eastAsia="宋体" w:cs="Times New Roman"/>
      <w:sz w:val="21"/>
      <w:lang w:val="en-US" w:eastAsia="zh-CN" w:bidi="ar-SA"/>
    </w:rPr>
  </w:style>
  <w:style w:type="paragraph" w:customStyle="1" w:styleId="316">
    <w:name w:val="列出段落6"/>
    <w:basedOn w:val="1"/>
    <w:next w:val="317"/>
    <w:autoRedefine/>
    <w:qFormat/>
    <w:uiPriority w:val="0"/>
    <w:pPr>
      <w:ind w:firstLine="420"/>
    </w:pPr>
    <w:rPr>
      <w:rFonts w:hAnsi="Calibri"/>
      <w:kern w:val="0"/>
      <w:szCs w:val="20"/>
    </w:rPr>
  </w:style>
  <w:style w:type="paragraph" w:customStyle="1" w:styleId="317">
    <w:name w:val="toc 86"/>
    <w:next w:val="1"/>
    <w:autoRedefine/>
    <w:qFormat/>
    <w:uiPriority w:val="0"/>
    <w:pPr>
      <w:wordWrap w:val="0"/>
      <w:ind w:left="2975"/>
      <w:jc w:val="both"/>
    </w:pPr>
    <w:rPr>
      <w:rFonts w:ascii="Calibri" w:hAnsi="Calibri" w:eastAsia="宋体" w:cs="Times New Roman"/>
      <w:sz w:val="21"/>
      <w:lang w:val="en-US" w:eastAsia="zh-CN" w:bidi="ar-SA"/>
    </w:rPr>
  </w:style>
  <w:style w:type="paragraph" w:customStyle="1" w:styleId="318">
    <w:name w:val="xl80"/>
    <w:basedOn w:val="1"/>
    <w:next w:val="319"/>
    <w:autoRedefine/>
    <w:qFormat/>
    <w:uiPriority w:val="0"/>
    <w:pPr>
      <w:widowControl/>
      <w:shd w:val="clear" w:color="000000" w:fill="FFFFFF"/>
      <w:spacing w:before="280" w:after="280"/>
      <w:jc w:val="center"/>
    </w:pPr>
    <w:rPr>
      <w:rFonts w:ascii="宋体" w:hAnsi="Calibri"/>
      <w:b/>
      <w:kern w:val="0"/>
      <w:sz w:val="20"/>
      <w:szCs w:val="20"/>
    </w:rPr>
  </w:style>
  <w:style w:type="paragraph" w:customStyle="1" w:styleId="319">
    <w:name w:val="toc 49"/>
    <w:next w:val="1"/>
    <w:autoRedefine/>
    <w:qFormat/>
    <w:uiPriority w:val="0"/>
    <w:pPr>
      <w:wordWrap w:val="0"/>
      <w:ind w:left="1275"/>
      <w:jc w:val="both"/>
    </w:pPr>
    <w:rPr>
      <w:rFonts w:ascii="Calibri" w:hAnsi="Calibri" w:eastAsia="宋体" w:cs="Times New Roman"/>
      <w:sz w:val="21"/>
      <w:lang w:val="en-US" w:eastAsia="zh-CN" w:bidi="ar-SA"/>
    </w:rPr>
  </w:style>
  <w:style w:type="paragraph" w:customStyle="1" w:styleId="320">
    <w:name w:val="Char Char Char Char1"/>
    <w:basedOn w:val="1"/>
    <w:next w:val="321"/>
    <w:autoRedefine/>
    <w:qFormat/>
    <w:uiPriority w:val="0"/>
    <w:pPr>
      <w:widowControl/>
      <w:spacing w:after="160" w:line="240" w:lineRule="exact"/>
    </w:pPr>
    <w:rPr>
      <w:rFonts w:ascii="Verdana" w:hAnsi="Calibri" w:eastAsia="仿宋_GB2312"/>
      <w:kern w:val="0"/>
      <w:sz w:val="24"/>
      <w:szCs w:val="20"/>
    </w:rPr>
  </w:style>
  <w:style w:type="paragraph" w:customStyle="1" w:styleId="321">
    <w:name w:val="toc 713"/>
    <w:next w:val="1"/>
    <w:autoRedefine/>
    <w:qFormat/>
    <w:uiPriority w:val="0"/>
    <w:pPr>
      <w:wordWrap w:val="0"/>
      <w:ind w:left="2550"/>
      <w:jc w:val="both"/>
    </w:pPr>
    <w:rPr>
      <w:rFonts w:ascii="Calibri" w:hAnsi="Calibri" w:eastAsia="宋体" w:cs="Times New Roman"/>
      <w:sz w:val="21"/>
      <w:lang w:val="en-US" w:eastAsia="zh-CN" w:bidi="ar-SA"/>
    </w:rPr>
  </w:style>
  <w:style w:type="paragraph" w:customStyle="1" w:styleId="322">
    <w:name w:val="xl102"/>
    <w:basedOn w:val="1"/>
    <w:next w:val="323"/>
    <w:autoRedefine/>
    <w:qFormat/>
    <w:uiPriority w:val="0"/>
    <w:pPr>
      <w:widowControl/>
      <w:shd w:val="clear" w:color="000000" w:fill="FFFFFF"/>
      <w:spacing w:before="280" w:after="280"/>
      <w:jc w:val="right"/>
    </w:pPr>
    <w:rPr>
      <w:rFonts w:ascii="宋体" w:hAnsi="Calibri"/>
      <w:kern w:val="0"/>
      <w:sz w:val="20"/>
      <w:szCs w:val="20"/>
    </w:rPr>
  </w:style>
  <w:style w:type="paragraph" w:customStyle="1" w:styleId="323">
    <w:name w:val="toc 17"/>
    <w:next w:val="1"/>
    <w:autoRedefine/>
    <w:qFormat/>
    <w:uiPriority w:val="0"/>
    <w:pPr>
      <w:wordWrap w:val="0"/>
      <w:jc w:val="both"/>
    </w:pPr>
    <w:rPr>
      <w:rFonts w:ascii="Calibri" w:hAnsi="Calibri" w:eastAsia="宋体" w:cs="Times New Roman"/>
      <w:sz w:val="21"/>
      <w:lang w:val="en-US" w:eastAsia="zh-CN" w:bidi="ar-SA"/>
    </w:rPr>
  </w:style>
  <w:style w:type="paragraph" w:customStyle="1" w:styleId="324">
    <w:name w:val="toc 46"/>
    <w:next w:val="1"/>
    <w:autoRedefine/>
    <w:qFormat/>
    <w:uiPriority w:val="0"/>
    <w:pPr>
      <w:wordWrap w:val="0"/>
      <w:ind w:left="1275"/>
      <w:jc w:val="both"/>
    </w:pPr>
    <w:rPr>
      <w:rFonts w:ascii="Calibri" w:hAnsi="Calibri" w:eastAsia="宋体" w:cs="Times New Roman"/>
      <w:sz w:val="21"/>
      <w:lang w:val="en-US" w:eastAsia="zh-CN" w:bidi="ar-SA"/>
    </w:rPr>
  </w:style>
  <w:style w:type="paragraph" w:customStyle="1" w:styleId="325">
    <w:name w:val="toc 311"/>
    <w:next w:val="1"/>
    <w:autoRedefine/>
    <w:qFormat/>
    <w:uiPriority w:val="0"/>
    <w:pPr>
      <w:wordWrap w:val="0"/>
      <w:ind w:left="850"/>
      <w:jc w:val="both"/>
    </w:pPr>
    <w:rPr>
      <w:rFonts w:ascii="Calibri" w:hAnsi="Calibri" w:eastAsia="宋体" w:cs="Times New Roman"/>
      <w:sz w:val="21"/>
      <w:lang w:val="en-US" w:eastAsia="zh-CN" w:bidi="ar-SA"/>
    </w:rPr>
  </w:style>
  <w:style w:type="paragraph" w:customStyle="1" w:styleId="326">
    <w:name w:val="xl65"/>
    <w:basedOn w:val="1"/>
    <w:next w:val="227"/>
    <w:autoRedefine/>
    <w:qFormat/>
    <w:uiPriority w:val="0"/>
    <w:pPr>
      <w:widowControl/>
      <w:shd w:val="clear" w:color="000000" w:fill="FFFFFF"/>
      <w:spacing w:before="280" w:after="280"/>
      <w:jc w:val="center"/>
    </w:pPr>
    <w:rPr>
      <w:rFonts w:ascii="宋体" w:hAnsi="Calibri"/>
      <w:kern w:val="0"/>
      <w:sz w:val="20"/>
      <w:szCs w:val="20"/>
    </w:rPr>
  </w:style>
  <w:style w:type="paragraph" w:customStyle="1" w:styleId="327">
    <w:name w:val="toc 94"/>
    <w:next w:val="1"/>
    <w:autoRedefine/>
    <w:qFormat/>
    <w:uiPriority w:val="0"/>
    <w:pPr>
      <w:wordWrap w:val="0"/>
      <w:ind w:left="3400"/>
      <w:jc w:val="both"/>
    </w:pPr>
    <w:rPr>
      <w:rFonts w:ascii="Calibri" w:hAnsi="Calibri" w:eastAsia="宋体" w:cs="Times New Roman"/>
      <w:sz w:val="21"/>
      <w:lang w:val="en-US" w:eastAsia="zh-CN" w:bidi="ar-SA"/>
    </w:rPr>
  </w:style>
  <w:style w:type="paragraph" w:customStyle="1" w:styleId="328">
    <w:name w:val="toc 55"/>
    <w:next w:val="1"/>
    <w:autoRedefine/>
    <w:qFormat/>
    <w:uiPriority w:val="0"/>
    <w:pPr>
      <w:wordWrap w:val="0"/>
      <w:ind w:left="1700"/>
      <w:jc w:val="both"/>
    </w:pPr>
    <w:rPr>
      <w:rFonts w:ascii="Calibri" w:hAnsi="Calibri" w:eastAsia="宋体" w:cs="Times New Roman"/>
      <w:sz w:val="21"/>
      <w:lang w:val="en-US" w:eastAsia="zh-CN" w:bidi="ar-SA"/>
    </w:rPr>
  </w:style>
  <w:style w:type="paragraph" w:customStyle="1" w:styleId="329">
    <w:name w:val="toc 812"/>
    <w:next w:val="1"/>
    <w:autoRedefine/>
    <w:qFormat/>
    <w:uiPriority w:val="0"/>
    <w:pPr>
      <w:wordWrap w:val="0"/>
      <w:ind w:left="2975"/>
      <w:jc w:val="both"/>
    </w:pPr>
    <w:rPr>
      <w:rFonts w:ascii="Calibri" w:hAnsi="Calibri" w:eastAsia="宋体" w:cs="Times New Roman"/>
      <w:sz w:val="21"/>
      <w:lang w:val="en-US" w:eastAsia="zh-CN" w:bidi="ar-SA"/>
    </w:rPr>
  </w:style>
  <w:style w:type="paragraph" w:customStyle="1" w:styleId="330">
    <w:name w:val="xl75"/>
    <w:basedOn w:val="1"/>
    <w:next w:val="331"/>
    <w:autoRedefine/>
    <w:qFormat/>
    <w:uiPriority w:val="0"/>
    <w:pPr>
      <w:widowControl/>
      <w:shd w:val="clear" w:color="000000" w:fill="FFFFFF"/>
      <w:spacing w:before="280" w:after="280"/>
    </w:pPr>
    <w:rPr>
      <w:rFonts w:ascii="宋体" w:hAnsi="Calibri"/>
      <w:kern w:val="0"/>
      <w:sz w:val="20"/>
      <w:szCs w:val="20"/>
    </w:rPr>
  </w:style>
  <w:style w:type="paragraph" w:customStyle="1" w:styleId="331">
    <w:name w:val="toc 914"/>
    <w:next w:val="1"/>
    <w:autoRedefine/>
    <w:qFormat/>
    <w:uiPriority w:val="0"/>
    <w:pPr>
      <w:wordWrap w:val="0"/>
      <w:ind w:left="3400"/>
      <w:jc w:val="both"/>
    </w:pPr>
    <w:rPr>
      <w:rFonts w:ascii="Calibri" w:hAnsi="Calibri" w:eastAsia="宋体" w:cs="Times New Roman"/>
      <w:sz w:val="21"/>
      <w:lang w:val="en-US" w:eastAsia="zh-CN" w:bidi="ar-SA"/>
    </w:rPr>
  </w:style>
  <w:style w:type="paragraph" w:customStyle="1" w:styleId="332">
    <w:name w:val="toc 19"/>
    <w:next w:val="1"/>
    <w:autoRedefine/>
    <w:qFormat/>
    <w:uiPriority w:val="0"/>
    <w:pPr>
      <w:wordWrap w:val="0"/>
      <w:jc w:val="both"/>
    </w:pPr>
    <w:rPr>
      <w:rFonts w:ascii="Calibri" w:hAnsi="Calibri" w:eastAsia="宋体" w:cs="Times New Roman"/>
      <w:sz w:val="21"/>
      <w:lang w:val="en-US" w:eastAsia="zh-CN" w:bidi="ar-SA"/>
    </w:rPr>
  </w:style>
  <w:style w:type="paragraph" w:customStyle="1" w:styleId="333">
    <w:name w:val="TOC Heading6"/>
    <w:next w:val="1"/>
    <w:autoRedefine/>
    <w:qFormat/>
    <w:uiPriority w:val="0"/>
    <w:pPr>
      <w:wordWrap w:val="0"/>
    </w:pPr>
    <w:rPr>
      <w:rFonts w:ascii="Calibri" w:hAnsi="Calibri" w:eastAsia="宋体" w:cs="Times New Roman"/>
      <w:sz w:val="32"/>
      <w:lang w:val="en-US" w:eastAsia="zh-CN" w:bidi="ar-SA"/>
    </w:rPr>
  </w:style>
  <w:style w:type="paragraph" w:customStyle="1" w:styleId="334">
    <w:name w:val="toc 52"/>
    <w:next w:val="1"/>
    <w:autoRedefine/>
    <w:qFormat/>
    <w:uiPriority w:val="0"/>
    <w:pPr>
      <w:wordWrap w:val="0"/>
      <w:ind w:left="1700"/>
      <w:jc w:val="both"/>
    </w:pPr>
    <w:rPr>
      <w:rFonts w:ascii="Calibri" w:hAnsi="Calibri" w:eastAsia="宋体" w:cs="Times New Roman"/>
      <w:sz w:val="21"/>
      <w:lang w:val="en-US" w:eastAsia="zh-CN" w:bidi="ar-SA"/>
    </w:rPr>
  </w:style>
  <w:style w:type="paragraph" w:customStyle="1" w:styleId="335">
    <w:name w:val="toc 36"/>
    <w:next w:val="1"/>
    <w:autoRedefine/>
    <w:qFormat/>
    <w:uiPriority w:val="0"/>
    <w:pPr>
      <w:wordWrap w:val="0"/>
      <w:ind w:left="850"/>
      <w:jc w:val="both"/>
    </w:pPr>
    <w:rPr>
      <w:rFonts w:ascii="Calibri" w:hAnsi="Calibri" w:eastAsia="宋体" w:cs="Times New Roman"/>
      <w:sz w:val="21"/>
      <w:lang w:val="en-US" w:eastAsia="zh-CN" w:bidi="ar-SA"/>
    </w:rPr>
  </w:style>
  <w:style w:type="paragraph" w:customStyle="1" w:styleId="336">
    <w:name w:val="toc 82"/>
    <w:next w:val="1"/>
    <w:autoRedefine/>
    <w:qFormat/>
    <w:uiPriority w:val="0"/>
    <w:pPr>
      <w:wordWrap w:val="0"/>
      <w:ind w:left="2975"/>
      <w:jc w:val="both"/>
    </w:pPr>
    <w:rPr>
      <w:rFonts w:ascii="Calibri" w:hAnsi="Calibri" w:eastAsia="宋体" w:cs="Times New Roman"/>
      <w:sz w:val="21"/>
      <w:lang w:val="en-US" w:eastAsia="zh-CN" w:bidi="ar-SA"/>
    </w:rPr>
  </w:style>
  <w:style w:type="paragraph" w:customStyle="1" w:styleId="337">
    <w:name w:val="xl104"/>
    <w:basedOn w:val="1"/>
    <w:next w:val="338"/>
    <w:autoRedefine/>
    <w:qFormat/>
    <w:uiPriority w:val="0"/>
    <w:pPr>
      <w:widowControl/>
      <w:shd w:val="clear" w:color="000000" w:fill="FFFFFF"/>
      <w:spacing w:before="280" w:after="280"/>
      <w:jc w:val="center"/>
    </w:pPr>
    <w:rPr>
      <w:rFonts w:ascii="宋体" w:hAnsi="Calibri"/>
      <w:kern w:val="0"/>
      <w:sz w:val="20"/>
      <w:szCs w:val="20"/>
    </w:rPr>
  </w:style>
  <w:style w:type="paragraph" w:customStyle="1" w:styleId="338">
    <w:name w:val="toc 210"/>
    <w:next w:val="1"/>
    <w:autoRedefine/>
    <w:qFormat/>
    <w:uiPriority w:val="0"/>
    <w:pPr>
      <w:wordWrap w:val="0"/>
      <w:ind w:left="425"/>
      <w:jc w:val="both"/>
    </w:pPr>
    <w:rPr>
      <w:rFonts w:ascii="Calibri" w:hAnsi="Calibri" w:eastAsia="宋体" w:cs="Times New Roman"/>
      <w:sz w:val="21"/>
      <w:lang w:val="en-US" w:eastAsia="zh-CN" w:bidi="ar-SA"/>
    </w:rPr>
  </w:style>
  <w:style w:type="paragraph" w:customStyle="1" w:styleId="339">
    <w:name w:val="toc 110"/>
    <w:next w:val="1"/>
    <w:autoRedefine/>
    <w:qFormat/>
    <w:uiPriority w:val="0"/>
    <w:pPr>
      <w:wordWrap w:val="0"/>
      <w:jc w:val="both"/>
    </w:pPr>
    <w:rPr>
      <w:rFonts w:ascii="Calibri" w:hAnsi="Calibri" w:eastAsia="宋体" w:cs="Times New Roman"/>
      <w:sz w:val="21"/>
      <w:lang w:val="en-US" w:eastAsia="zh-CN" w:bidi="ar-SA"/>
    </w:rPr>
  </w:style>
  <w:style w:type="paragraph" w:customStyle="1" w:styleId="340">
    <w:name w:val="toc 66"/>
    <w:next w:val="1"/>
    <w:autoRedefine/>
    <w:qFormat/>
    <w:uiPriority w:val="0"/>
    <w:pPr>
      <w:wordWrap w:val="0"/>
      <w:ind w:left="2125"/>
      <w:jc w:val="both"/>
    </w:pPr>
    <w:rPr>
      <w:rFonts w:ascii="Calibri" w:hAnsi="Calibri" w:eastAsia="宋体" w:cs="Times New Roman"/>
      <w:sz w:val="21"/>
      <w:lang w:val="en-US" w:eastAsia="zh-CN" w:bidi="ar-SA"/>
    </w:rPr>
  </w:style>
  <w:style w:type="paragraph" w:customStyle="1" w:styleId="341">
    <w:name w:val="toc 31"/>
    <w:next w:val="1"/>
    <w:autoRedefine/>
    <w:qFormat/>
    <w:uiPriority w:val="0"/>
    <w:pPr>
      <w:wordWrap w:val="0"/>
      <w:ind w:left="850"/>
      <w:jc w:val="both"/>
    </w:pPr>
    <w:rPr>
      <w:rFonts w:ascii="Calibri" w:hAnsi="Calibri" w:eastAsia="宋体" w:cs="Times New Roman"/>
      <w:sz w:val="21"/>
      <w:lang w:val="en-US" w:eastAsia="zh-CN" w:bidi="ar-SA"/>
    </w:rPr>
  </w:style>
  <w:style w:type="paragraph" w:customStyle="1" w:styleId="342">
    <w:name w:val="toc 93"/>
    <w:next w:val="1"/>
    <w:autoRedefine/>
    <w:qFormat/>
    <w:uiPriority w:val="0"/>
    <w:pPr>
      <w:wordWrap w:val="0"/>
      <w:ind w:left="3400"/>
      <w:jc w:val="both"/>
    </w:pPr>
    <w:rPr>
      <w:rFonts w:ascii="Calibri" w:hAnsi="Calibri" w:eastAsia="宋体" w:cs="Times New Roman"/>
      <w:sz w:val="21"/>
      <w:lang w:val="en-US" w:eastAsia="zh-CN" w:bidi="ar-SA"/>
    </w:rPr>
  </w:style>
  <w:style w:type="paragraph" w:customStyle="1" w:styleId="343">
    <w:name w:val="toc 614"/>
    <w:next w:val="1"/>
    <w:autoRedefine/>
    <w:qFormat/>
    <w:uiPriority w:val="0"/>
    <w:pPr>
      <w:wordWrap w:val="0"/>
      <w:ind w:left="2125"/>
      <w:jc w:val="both"/>
    </w:pPr>
    <w:rPr>
      <w:rFonts w:ascii="Calibri" w:hAnsi="Calibri" w:eastAsia="宋体" w:cs="Times New Roman"/>
      <w:sz w:val="21"/>
      <w:lang w:val="en-US" w:eastAsia="zh-CN" w:bidi="ar-SA"/>
    </w:rPr>
  </w:style>
  <w:style w:type="paragraph" w:customStyle="1" w:styleId="344">
    <w:name w:val="无间隔1"/>
    <w:next w:val="339"/>
    <w:autoRedefine/>
    <w:qFormat/>
    <w:uiPriority w:val="0"/>
    <w:pPr>
      <w:widowControl w:val="0"/>
      <w:jc w:val="both"/>
    </w:pPr>
    <w:rPr>
      <w:rFonts w:ascii="Calibri" w:hAnsi="Calibri" w:eastAsia="宋体" w:cs="Times New Roman"/>
      <w:sz w:val="22"/>
      <w:lang w:val="en-US" w:eastAsia="zh-CN" w:bidi="ar-SA"/>
    </w:rPr>
  </w:style>
  <w:style w:type="paragraph" w:customStyle="1" w:styleId="345">
    <w:name w:val="目录 41"/>
    <w:next w:val="1"/>
    <w:autoRedefine/>
    <w:qFormat/>
    <w:uiPriority w:val="0"/>
    <w:pPr>
      <w:wordWrap w:val="0"/>
      <w:ind w:left="1275"/>
      <w:jc w:val="both"/>
    </w:pPr>
    <w:rPr>
      <w:rFonts w:ascii="Calibri" w:hAnsi="Calibri" w:eastAsia="宋体" w:cs="Times New Roman"/>
      <w:sz w:val="21"/>
      <w:lang w:val="en-US" w:eastAsia="zh-CN" w:bidi="ar-SA"/>
    </w:rPr>
  </w:style>
  <w:style w:type="paragraph" w:customStyle="1" w:styleId="346">
    <w:name w:val="xl105"/>
    <w:basedOn w:val="1"/>
    <w:next w:val="347"/>
    <w:autoRedefine/>
    <w:qFormat/>
    <w:uiPriority w:val="0"/>
    <w:pPr>
      <w:widowControl/>
      <w:shd w:val="clear" w:color="000000" w:fill="FFFFFF"/>
      <w:spacing w:before="280" w:after="280"/>
    </w:pPr>
    <w:rPr>
      <w:rFonts w:ascii="宋体" w:hAnsi="Calibri"/>
      <w:kern w:val="0"/>
      <w:sz w:val="18"/>
      <w:szCs w:val="20"/>
    </w:rPr>
  </w:style>
  <w:style w:type="paragraph" w:customStyle="1" w:styleId="347">
    <w:name w:val="toc 615"/>
    <w:next w:val="1"/>
    <w:autoRedefine/>
    <w:qFormat/>
    <w:uiPriority w:val="0"/>
    <w:pPr>
      <w:wordWrap w:val="0"/>
      <w:ind w:left="2125"/>
      <w:jc w:val="both"/>
    </w:pPr>
    <w:rPr>
      <w:rFonts w:ascii="Calibri" w:hAnsi="Calibri" w:eastAsia="宋体" w:cs="Times New Roman"/>
      <w:sz w:val="21"/>
      <w:lang w:val="en-US" w:eastAsia="zh-CN" w:bidi="ar-SA"/>
    </w:rPr>
  </w:style>
  <w:style w:type="paragraph" w:customStyle="1" w:styleId="348">
    <w:name w:val="toc 41"/>
    <w:next w:val="1"/>
    <w:autoRedefine/>
    <w:qFormat/>
    <w:uiPriority w:val="0"/>
    <w:pPr>
      <w:wordWrap w:val="0"/>
      <w:ind w:left="1275"/>
      <w:jc w:val="both"/>
    </w:pPr>
    <w:rPr>
      <w:rFonts w:ascii="Calibri" w:hAnsi="Calibri" w:eastAsia="宋体" w:cs="Times New Roman"/>
      <w:sz w:val="21"/>
      <w:lang w:val="en-US" w:eastAsia="zh-CN" w:bidi="ar-SA"/>
    </w:rPr>
  </w:style>
  <w:style w:type="paragraph" w:customStyle="1" w:styleId="349">
    <w:name w:val="toc 81"/>
    <w:next w:val="1"/>
    <w:autoRedefine/>
    <w:qFormat/>
    <w:uiPriority w:val="0"/>
    <w:pPr>
      <w:wordWrap w:val="0"/>
      <w:ind w:left="2975"/>
      <w:jc w:val="both"/>
    </w:pPr>
    <w:rPr>
      <w:rFonts w:ascii="Calibri" w:hAnsi="Calibri" w:eastAsia="宋体" w:cs="Times New Roman"/>
      <w:sz w:val="21"/>
      <w:lang w:val="en-US" w:eastAsia="zh-CN" w:bidi="ar-SA"/>
    </w:rPr>
  </w:style>
  <w:style w:type="paragraph" w:customStyle="1" w:styleId="350">
    <w:name w:val="xl111"/>
    <w:basedOn w:val="1"/>
    <w:next w:val="351"/>
    <w:autoRedefine/>
    <w:qFormat/>
    <w:uiPriority w:val="0"/>
    <w:pPr>
      <w:widowControl/>
      <w:shd w:val="clear" w:color="000000" w:fill="FFFFFF"/>
      <w:spacing w:before="280" w:after="280"/>
      <w:jc w:val="center"/>
    </w:pPr>
    <w:rPr>
      <w:rFonts w:ascii="宋体" w:hAnsi="Calibri"/>
      <w:b/>
      <w:kern w:val="0"/>
      <w:sz w:val="20"/>
      <w:szCs w:val="20"/>
    </w:rPr>
  </w:style>
  <w:style w:type="paragraph" w:customStyle="1" w:styleId="351">
    <w:name w:val="toc 88"/>
    <w:next w:val="1"/>
    <w:autoRedefine/>
    <w:qFormat/>
    <w:uiPriority w:val="0"/>
    <w:pPr>
      <w:wordWrap w:val="0"/>
      <w:ind w:left="2975"/>
      <w:jc w:val="both"/>
    </w:pPr>
    <w:rPr>
      <w:rFonts w:ascii="Calibri" w:hAnsi="Calibri" w:eastAsia="宋体" w:cs="Times New Roman"/>
      <w:sz w:val="21"/>
      <w:lang w:val="en-US" w:eastAsia="zh-CN" w:bidi="ar-SA"/>
    </w:rPr>
  </w:style>
  <w:style w:type="paragraph" w:customStyle="1" w:styleId="352">
    <w:name w:val="toc 84"/>
    <w:next w:val="1"/>
    <w:autoRedefine/>
    <w:qFormat/>
    <w:uiPriority w:val="0"/>
    <w:pPr>
      <w:wordWrap w:val="0"/>
      <w:ind w:left="2975"/>
      <w:jc w:val="both"/>
    </w:pPr>
    <w:rPr>
      <w:rFonts w:ascii="Calibri" w:hAnsi="Calibri" w:eastAsia="宋体" w:cs="Times New Roman"/>
      <w:sz w:val="21"/>
      <w:lang w:val="en-US" w:eastAsia="zh-CN" w:bidi="ar-SA"/>
    </w:rPr>
  </w:style>
  <w:style w:type="paragraph" w:customStyle="1" w:styleId="353">
    <w:name w:val="p0"/>
    <w:basedOn w:val="1"/>
    <w:next w:val="354"/>
    <w:autoRedefine/>
    <w:qFormat/>
    <w:uiPriority w:val="0"/>
    <w:pPr>
      <w:widowControl/>
      <w:spacing w:before="280" w:after="280"/>
    </w:pPr>
    <w:rPr>
      <w:rFonts w:ascii="宋体" w:hAnsi="Calibri"/>
      <w:kern w:val="0"/>
      <w:sz w:val="24"/>
      <w:szCs w:val="20"/>
    </w:rPr>
  </w:style>
  <w:style w:type="paragraph" w:customStyle="1" w:styleId="354">
    <w:name w:val="toc 69"/>
    <w:next w:val="1"/>
    <w:autoRedefine/>
    <w:qFormat/>
    <w:uiPriority w:val="0"/>
    <w:pPr>
      <w:wordWrap w:val="0"/>
      <w:ind w:left="2125"/>
      <w:jc w:val="both"/>
    </w:pPr>
    <w:rPr>
      <w:rFonts w:ascii="Calibri" w:hAnsi="Calibri" w:eastAsia="宋体" w:cs="Times New Roman"/>
      <w:sz w:val="21"/>
      <w:lang w:val="en-US" w:eastAsia="zh-CN" w:bidi="ar-SA"/>
    </w:rPr>
  </w:style>
  <w:style w:type="paragraph" w:customStyle="1" w:styleId="355">
    <w:name w:val="列出段落11"/>
    <w:basedOn w:val="1"/>
    <w:next w:val="356"/>
    <w:autoRedefine/>
    <w:qFormat/>
    <w:uiPriority w:val="0"/>
    <w:pPr>
      <w:widowControl/>
      <w:spacing w:line="360" w:lineRule="auto"/>
      <w:ind w:firstLine="420"/>
    </w:pPr>
    <w:rPr>
      <w:rFonts w:hAnsi="Calibri" w:eastAsia="微软雅黑"/>
      <w:kern w:val="0"/>
      <w:sz w:val="24"/>
      <w:szCs w:val="20"/>
    </w:rPr>
  </w:style>
  <w:style w:type="paragraph" w:customStyle="1" w:styleId="356">
    <w:name w:val="toc 214"/>
    <w:next w:val="1"/>
    <w:autoRedefine/>
    <w:qFormat/>
    <w:uiPriority w:val="0"/>
    <w:pPr>
      <w:wordWrap w:val="0"/>
      <w:ind w:left="425"/>
      <w:jc w:val="both"/>
    </w:pPr>
    <w:rPr>
      <w:rFonts w:ascii="Calibri" w:hAnsi="Calibri" w:eastAsia="宋体" w:cs="Times New Roman"/>
      <w:sz w:val="21"/>
      <w:lang w:val="en-US" w:eastAsia="zh-CN" w:bidi="ar-SA"/>
    </w:rPr>
  </w:style>
  <w:style w:type="paragraph" w:customStyle="1" w:styleId="357">
    <w:name w:val="toc 63"/>
    <w:next w:val="1"/>
    <w:autoRedefine/>
    <w:qFormat/>
    <w:uiPriority w:val="0"/>
    <w:pPr>
      <w:wordWrap w:val="0"/>
      <w:ind w:left="2125"/>
      <w:jc w:val="both"/>
    </w:pPr>
    <w:rPr>
      <w:rFonts w:ascii="Calibri" w:hAnsi="Calibri" w:eastAsia="宋体" w:cs="Times New Roman"/>
      <w:sz w:val="21"/>
      <w:lang w:val="en-US" w:eastAsia="zh-CN" w:bidi="ar-SA"/>
    </w:rPr>
  </w:style>
  <w:style w:type="paragraph" w:customStyle="1" w:styleId="358">
    <w:name w:val="xl91"/>
    <w:basedOn w:val="1"/>
    <w:next w:val="255"/>
    <w:autoRedefine/>
    <w:qFormat/>
    <w:uiPriority w:val="0"/>
    <w:pPr>
      <w:widowControl/>
      <w:shd w:val="clear" w:color="000000" w:fill="FFFFFF"/>
      <w:spacing w:before="280" w:after="280"/>
    </w:pPr>
    <w:rPr>
      <w:rFonts w:ascii="宋体" w:hAnsi="Calibri"/>
      <w:kern w:val="0"/>
      <w:sz w:val="20"/>
      <w:szCs w:val="20"/>
    </w:rPr>
  </w:style>
  <w:style w:type="paragraph" w:customStyle="1" w:styleId="359">
    <w:name w:val="toc 316"/>
    <w:next w:val="1"/>
    <w:autoRedefine/>
    <w:qFormat/>
    <w:uiPriority w:val="0"/>
    <w:pPr>
      <w:wordWrap w:val="0"/>
      <w:ind w:left="850"/>
      <w:jc w:val="both"/>
    </w:pPr>
    <w:rPr>
      <w:rFonts w:ascii="Calibri" w:hAnsi="Calibri" w:eastAsia="宋体" w:cs="Times New Roman"/>
      <w:sz w:val="21"/>
      <w:lang w:val="en-US" w:eastAsia="zh-CN" w:bidi="ar-SA"/>
    </w:rPr>
  </w:style>
  <w:style w:type="paragraph" w:customStyle="1" w:styleId="360">
    <w:name w:val="_Style 1"/>
    <w:basedOn w:val="1"/>
    <w:next w:val="361"/>
    <w:autoRedefine/>
    <w:qFormat/>
    <w:uiPriority w:val="0"/>
    <w:pPr>
      <w:ind w:firstLine="420"/>
    </w:pPr>
    <w:rPr>
      <w:rFonts w:hAnsi="Calibri"/>
      <w:kern w:val="0"/>
      <w:szCs w:val="20"/>
    </w:rPr>
  </w:style>
  <w:style w:type="paragraph" w:customStyle="1" w:styleId="361">
    <w:name w:val="TOC Heading13"/>
    <w:next w:val="1"/>
    <w:autoRedefine/>
    <w:qFormat/>
    <w:uiPriority w:val="0"/>
    <w:pPr>
      <w:wordWrap w:val="0"/>
    </w:pPr>
    <w:rPr>
      <w:rFonts w:ascii="Calibri" w:hAnsi="Calibri" w:eastAsia="宋体" w:cs="Times New Roman"/>
      <w:sz w:val="32"/>
      <w:lang w:val="en-US" w:eastAsia="zh-CN" w:bidi="ar-SA"/>
    </w:rPr>
  </w:style>
  <w:style w:type="paragraph" w:customStyle="1" w:styleId="362">
    <w:name w:val="toc 116"/>
    <w:next w:val="1"/>
    <w:autoRedefine/>
    <w:qFormat/>
    <w:uiPriority w:val="0"/>
    <w:pPr>
      <w:wordWrap w:val="0"/>
      <w:jc w:val="both"/>
    </w:pPr>
    <w:rPr>
      <w:rFonts w:ascii="Calibri" w:hAnsi="Calibri" w:eastAsia="宋体" w:cs="Times New Roman"/>
      <w:sz w:val="21"/>
      <w:lang w:val="en-US" w:eastAsia="zh-CN" w:bidi="ar-SA"/>
    </w:rPr>
  </w:style>
  <w:style w:type="paragraph" w:customStyle="1" w:styleId="363">
    <w:name w:val="toc 72"/>
    <w:next w:val="1"/>
    <w:autoRedefine/>
    <w:qFormat/>
    <w:uiPriority w:val="0"/>
    <w:pPr>
      <w:wordWrap w:val="0"/>
      <w:ind w:left="2550"/>
      <w:jc w:val="both"/>
    </w:pPr>
    <w:rPr>
      <w:rFonts w:ascii="Calibri" w:hAnsi="Calibri" w:eastAsia="宋体" w:cs="Times New Roman"/>
      <w:sz w:val="21"/>
      <w:lang w:val="en-US" w:eastAsia="zh-CN" w:bidi="ar-SA"/>
    </w:rPr>
  </w:style>
  <w:style w:type="paragraph" w:customStyle="1" w:styleId="364">
    <w:name w:val="x_msonormal"/>
    <w:basedOn w:val="1"/>
    <w:next w:val="314"/>
    <w:autoRedefine/>
    <w:qFormat/>
    <w:uiPriority w:val="0"/>
    <w:pPr>
      <w:widowControl/>
      <w:spacing w:before="280" w:after="280"/>
    </w:pPr>
    <w:rPr>
      <w:rFonts w:ascii="PMingLiU" w:hAnsi="Calibri" w:eastAsia="PMingLiU"/>
      <w:kern w:val="0"/>
      <w:sz w:val="24"/>
      <w:szCs w:val="20"/>
    </w:rPr>
  </w:style>
  <w:style w:type="paragraph" w:customStyle="1" w:styleId="365">
    <w:name w:val="toc 310"/>
    <w:next w:val="1"/>
    <w:autoRedefine/>
    <w:qFormat/>
    <w:uiPriority w:val="0"/>
    <w:pPr>
      <w:wordWrap w:val="0"/>
      <w:ind w:left="850"/>
      <w:jc w:val="both"/>
    </w:pPr>
    <w:rPr>
      <w:rFonts w:ascii="Calibri" w:hAnsi="Calibri" w:eastAsia="宋体" w:cs="Times New Roman"/>
      <w:sz w:val="21"/>
      <w:lang w:val="en-US" w:eastAsia="zh-CN" w:bidi="ar-SA"/>
    </w:rPr>
  </w:style>
  <w:style w:type="paragraph" w:customStyle="1" w:styleId="366">
    <w:name w:val="toc 83"/>
    <w:next w:val="1"/>
    <w:autoRedefine/>
    <w:qFormat/>
    <w:uiPriority w:val="0"/>
    <w:pPr>
      <w:wordWrap w:val="0"/>
      <w:ind w:left="2975"/>
      <w:jc w:val="both"/>
    </w:pPr>
    <w:rPr>
      <w:rFonts w:ascii="Calibri" w:hAnsi="Calibri" w:eastAsia="宋体" w:cs="Times New Roman"/>
      <w:sz w:val="21"/>
      <w:lang w:val="en-US" w:eastAsia="zh-CN" w:bidi="ar-SA"/>
    </w:rPr>
  </w:style>
  <w:style w:type="paragraph" w:customStyle="1" w:styleId="367">
    <w:name w:val="TOC Heading17"/>
    <w:next w:val="1"/>
    <w:autoRedefine/>
    <w:qFormat/>
    <w:uiPriority w:val="0"/>
    <w:pPr>
      <w:wordWrap w:val="0"/>
    </w:pPr>
    <w:rPr>
      <w:rFonts w:ascii="Calibri" w:hAnsi="Calibri" w:eastAsia="宋体" w:cs="Times New Roman"/>
      <w:sz w:val="32"/>
      <w:lang w:val="en-US" w:eastAsia="zh-CN" w:bidi="ar-SA"/>
    </w:rPr>
  </w:style>
  <w:style w:type="paragraph" w:customStyle="1" w:styleId="368">
    <w:name w:val="toc 911"/>
    <w:next w:val="1"/>
    <w:autoRedefine/>
    <w:qFormat/>
    <w:uiPriority w:val="0"/>
    <w:pPr>
      <w:wordWrap w:val="0"/>
      <w:ind w:left="3400"/>
      <w:jc w:val="both"/>
    </w:pPr>
    <w:rPr>
      <w:rFonts w:ascii="Calibri" w:hAnsi="Calibri" w:eastAsia="宋体" w:cs="Times New Roman"/>
      <w:sz w:val="21"/>
      <w:lang w:val="en-US" w:eastAsia="zh-CN" w:bidi="ar-SA"/>
    </w:rPr>
  </w:style>
  <w:style w:type="paragraph" w:customStyle="1" w:styleId="369">
    <w:name w:val="toc 811"/>
    <w:next w:val="1"/>
    <w:autoRedefine/>
    <w:qFormat/>
    <w:uiPriority w:val="0"/>
    <w:pPr>
      <w:wordWrap w:val="0"/>
      <w:ind w:left="2975"/>
      <w:jc w:val="both"/>
    </w:pPr>
    <w:rPr>
      <w:rFonts w:ascii="Calibri" w:hAnsi="Calibri" w:eastAsia="宋体" w:cs="Times New Roman"/>
      <w:sz w:val="21"/>
      <w:lang w:val="en-US" w:eastAsia="zh-CN" w:bidi="ar-SA"/>
    </w:rPr>
  </w:style>
  <w:style w:type="paragraph" w:customStyle="1" w:styleId="370">
    <w:name w:val="目录 31"/>
    <w:next w:val="1"/>
    <w:autoRedefine/>
    <w:qFormat/>
    <w:uiPriority w:val="0"/>
    <w:pPr>
      <w:wordWrap w:val="0"/>
      <w:ind w:left="850"/>
      <w:jc w:val="both"/>
    </w:pPr>
    <w:rPr>
      <w:rFonts w:ascii="Calibri" w:hAnsi="Calibri" w:eastAsia="宋体" w:cs="Times New Roman"/>
      <w:sz w:val="21"/>
      <w:lang w:val="en-US" w:eastAsia="zh-CN" w:bidi="ar-SA"/>
    </w:rPr>
  </w:style>
  <w:style w:type="paragraph" w:customStyle="1" w:styleId="371">
    <w:name w:val="xl118"/>
    <w:basedOn w:val="1"/>
    <w:next w:val="245"/>
    <w:autoRedefine/>
    <w:qFormat/>
    <w:uiPriority w:val="0"/>
    <w:pPr>
      <w:widowControl/>
      <w:shd w:val="clear" w:color="000000" w:fill="FFFFFF"/>
      <w:spacing w:before="280" w:after="280"/>
      <w:jc w:val="center"/>
    </w:pPr>
    <w:rPr>
      <w:rFonts w:ascii="宋体" w:hAnsi="Calibri"/>
      <w:b/>
      <w:kern w:val="0"/>
      <w:sz w:val="20"/>
      <w:szCs w:val="20"/>
    </w:rPr>
  </w:style>
  <w:style w:type="paragraph" w:customStyle="1" w:styleId="372">
    <w:name w:val="xl83"/>
    <w:basedOn w:val="1"/>
    <w:next w:val="300"/>
    <w:autoRedefine/>
    <w:qFormat/>
    <w:uiPriority w:val="0"/>
    <w:pPr>
      <w:widowControl/>
      <w:shd w:val="clear" w:color="000000" w:fill="FFFFFF"/>
      <w:spacing w:before="280" w:after="280"/>
    </w:pPr>
    <w:rPr>
      <w:rFonts w:ascii="宋体" w:hAnsi="Calibri"/>
      <w:kern w:val="0"/>
      <w:sz w:val="20"/>
      <w:szCs w:val="20"/>
    </w:rPr>
  </w:style>
  <w:style w:type="paragraph" w:customStyle="1" w:styleId="373">
    <w:name w:val="xl103"/>
    <w:basedOn w:val="1"/>
    <w:next w:val="374"/>
    <w:autoRedefine/>
    <w:qFormat/>
    <w:uiPriority w:val="0"/>
    <w:pPr>
      <w:widowControl/>
      <w:shd w:val="clear" w:color="000000" w:fill="FFFFFF"/>
      <w:spacing w:before="280" w:after="280"/>
    </w:pPr>
    <w:rPr>
      <w:rFonts w:ascii="宋体" w:hAnsi="Calibri"/>
      <w:kern w:val="0"/>
      <w:sz w:val="20"/>
      <w:szCs w:val="20"/>
    </w:rPr>
  </w:style>
  <w:style w:type="paragraph" w:customStyle="1" w:styleId="374">
    <w:name w:val="toc 111"/>
    <w:next w:val="1"/>
    <w:autoRedefine/>
    <w:qFormat/>
    <w:uiPriority w:val="0"/>
    <w:pPr>
      <w:wordWrap w:val="0"/>
      <w:jc w:val="both"/>
    </w:pPr>
    <w:rPr>
      <w:rFonts w:ascii="Calibri" w:hAnsi="Calibri" w:eastAsia="宋体" w:cs="Times New Roman"/>
      <w:sz w:val="21"/>
      <w:lang w:val="en-US" w:eastAsia="zh-CN" w:bidi="ar-SA"/>
    </w:rPr>
  </w:style>
  <w:style w:type="paragraph" w:customStyle="1" w:styleId="375">
    <w:name w:val="xl68"/>
    <w:basedOn w:val="1"/>
    <w:next w:val="376"/>
    <w:autoRedefine/>
    <w:qFormat/>
    <w:uiPriority w:val="0"/>
    <w:pPr>
      <w:widowControl/>
      <w:shd w:val="clear" w:color="000000" w:fill="FFFFFF"/>
      <w:spacing w:before="280" w:after="280"/>
    </w:pPr>
    <w:rPr>
      <w:rFonts w:ascii="宋体" w:hAnsi="Calibri"/>
      <w:b/>
      <w:kern w:val="0"/>
      <w:sz w:val="20"/>
      <w:szCs w:val="20"/>
    </w:rPr>
  </w:style>
  <w:style w:type="paragraph" w:customStyle="1" w:styleId="376">
    <w:name w:val="TOC Heading16"/>
    <w:next w:val="1"/>
    <w:autoRedefine/>
    <w:qFormat/>
    <w:uiPriority w:val="0"/>
    <w:pPr>
      <w:wordWrap w:val="0"/>
    </w:pPr>
    <w:rPr>
      <w:rFonts w:ascii="Calibri" w:hAnsi="Calibri" w:eastAsia="宋体" w:cs="Times New Roman"/>
      <w:sz w:val="32"/>
      <w:lang w:val="en-US" w:eastAsia="zh-CN" w:bidi="ar-SA"/>
    </w:rPr>
  </w:style>
  <w:style w:type="paragraph" w:customStyle="1" w:styleId="377">
    <w:name w:val="toc 113"/>
    <w:next w:val="1"/>
    <w:autoRedefine/>
    <w:qFormat/>
    <w:uiPriority w:val="0"/>
    <w:pPr>
      <w:wordWrap w:val="0"/>
      <w:jc w:val="both"/>
    </w:pPr>
    <w:rPr>
      <w:rFonts w:ascii="Calibri" w:hAnsi="Calibri" w:eastAsia="宋体" w:cs="Times New Roman"/>
      <w:sz w:val="21"/>
      <w:lang w:val="en-US" w:eastAsia="zh-CN" w:bidi="ar-SA"/>
    </w:rPr>
  </w:style>
  <w:style w:type="paragraph" w:customStyle="1" w:styleId="378">
    <w:name w:val="xl94"/>
    <w:basedOn w:val="1"/>
    <w:next w:val="269"/>
    <w:autoRedefine/>
    <w:qFormat/>
    <w:uiPriority w:val="0"/>
    <w:pPr>
      <w:widowControl/>
      <w:shd w:val="clear" w:color="000000" w:fill="FFFFFF"/>
      <w:spacing w:before="280" w:after="280"/>
      <w:jc w:val="center"/>
    </w:pPr>
    <w:rPr>
      <w:rFonts w:ascii="宋体" w:hAnsi="Calibri"/>
      <w:kern w:val="0"/>
      <w:sz w:val="20"/>
      <w:szCs w:val="20"/>
    </w:rPr>
  </w:style>
  <w:style w:type="paragraph" w:customStyle="1" w:styleId="379">
    <w:name w:val="toc 53"/>
    <w:next w:val="1"/>
    <w:autoRedefine/>
    <w:qFormat/>
    <w:uiPriority w:val="0"/>
    <w:pPr>
      <w:wordWrap w:val="0"/>
      <w:ind w:left="1700"/>
      <w:jc w:val="both"/>
    </w:pPr>
    <w:rPr>
      <w:rFonts w:ascii="Calibri" w:hAnsi="Calibri" w:eastAsia="宋体" w:cs="Times New Roman"/>
      <w:sz w:val="21"/>
      <w:lang w:val="en-US" w:eastAsia="zh-CN" w:bidi="ar-SA"/>
    </w:rPr>
  </w:style>
  <w:style w:type="paragraph" w:customStyle="1" w:styleId="380">
    <w:name w:val="xl92"/>
    <w:basedOn w:val="1"/>
    <w:next w:val="381"/>
    <w:autoRedefine/>
    <w:qFormat/>
    <w:uiPriority w:val="0"/>
    <w:pPr>
      <w:widowControl/>
      <w:shd w:val="clear" w:color="000000" w:fill="FFFFFF"/>
      <w:spacing w:before="280" w:after="280"/>
    </w:pPr>
    <w:rPr>
      <w:rFonts w:ascii="宋体" w:hAnsi="Calibri"/>
      <w:kern w:val="0"/>
      <w:sz w:val="20"/>
      <w:szCs w:val="20"/>
    </w:rPr>
  </w:style>
  <w:style w:type="paragraph" w:customStyle="1" w:styleId="381">
    <w:name w:val="toc 913"/>
    <w:next w:val="1"/>
    <w:autoRedefine/>
    <w:qFormat/>
    <w:uiPriority w:val="0"/>
    <w:pPr>
      <w:wordWrap w:val="0"/>
      <w:ind w:left="3400"/>
      <w:jc w:val="both"/>
    </w:pPr>
    <w:rPr>
      <w:rFonts w:ascii="Calibri" w:hAnsi="Calibri" w:eastAsia="宋体" w:cs="Times New Roman"/>
      <w:sz w:val="21"/>
      <w:lang w:val="en-US" w:eastAsia="zh-CN" w:bidi="ar-SA"/>
    </w:rPr>
  </w:style>
  <w:style w:type="paragraph" w:customStyle="1" w:styleId="382">
    <w:name w:val="toc 512"/>
    <w:next w:val="1"/>
    <w:autoRedefine/>
    <w:qFormat/>
    <w:uiPriority w:val="0"/>
    <w:pPr>
      <w:wordWrap w:val="0"/>
      <w:ind w:left="1700"/>
      <w:jc w:val="both"/>
    </w:pPr>
    <w:rPr>
      <w:rFonts w:ascii="Calibri" w:hAnsi="Calibri" w:eastAsia="宋体" w:cs="Times New Roman"/>
      <w:sz w:val="21"/>
      <w:lang w:val="en-US" w:eastAsia="zh-CN" w:bidi="ar-SA"/>
    </w:rPr>
  </w:style>
  <w:style w:type="paragraph" w:customStyle="1" w:styleId="383">
    <w:name w:val="目录 81"/>
    <w:next w:val="1"/>
    <w:autoRedefine/>
    <w:qFormat/>
    <w:uiPriority w:val="0"/>
    <w:pPr>
      <w:wordWrap w:val="0"/>
      <w:ind w:left="2975"/>
      <w:jc w:val="both"/>
    </w:pPr>
    <w:rPr>
      <w:rFonts w:ascii="Calibri" w:hAnsi="Calibri" w:eastAsia="宋体" w:cs="Times New Roman"/>
      <w:sz w:val="21"/>
      <w:lang w:val="en-US" w:eastAsia="zh-CN" w:bidi="ar-SA"/>
    </w:rPr>
  </w:style>
  <w:style w:type="paragraph" w:customStyle="1" w:styleId="384">
    <w:name w:val="正文表标题"/>
    <w:next w:val="1"/>
    <w:autoRedefine/>
    <w:qFormat/>
    <w:uiPriority w:val="0"/>
    <w:pPr>
      <w:ind w:left="630"/>
      <w:jc w:val="center"/>
    </w:pPr>
    <w:rPr>
      <w:rFonts w:ascii="黑体" w:hAnsi="Calibri" w:eastAsia="黑体" w:cs="Times New Roman"/>
      <w:sz w:val="21"/>
      <w:lang w:val="en-US" w:eastAsia="zh-CN" w:bidi="ar-SA"/>
    </w:rPr>
  </w:style>
  <w:style w:type="paragraph" w:customStyle="1" w:styleId="385">
    <w:name w:val="toc 28"/>
    <w:next w:val="1"/>
    <w:autoRedefine/>
    <w:qFormat/>
    <w:uiPriority w:val="0"/>
    <w:pPr>
      <w:wordWrap w:val="0"/>
      <w:ind w:left="425"/>
      <w:jc w:val="both"/>
    </w:pPr>
    <w:rPr>
      <w:rFonts w:ascii="Calibri" w:hAnsi="Calibri" w:eastAsia="宋体" w:cs="Times New Roman"/>
      <w:sz w:val="21"/>
      <w:lang w:val="en-US" w:eastAsia="zh-CN" w:bidi="ar-SA"/>
    </w:rPr>
  </w:style>
  <w:style w:type="paragraph" w:customStyle="1" w:styleId="386">
    <w:name w:val="toc 79"/>
    <w:next w:val="1"/>
    <w:autoRedefine/>
    <w:qFormat/>
    <w:uiPriority w:val="0"/>
    <w:pPr>
      <w:wordWrap w:val="0"/>
      <w:ind w:left="2550"/>
      <w:jc w:val="both"/>
    </w:pPr>
    <w:rPr>
      <w:rFonts w:ascii="Calibri" w:hAnsi="Calibri" w:eastAsia="宋体" w:cs="Times New Roman"/>
      <w:sz w:val="21"/>
      <w:lang w:val="en-US" w:eastAsia="zh-CN" w:bidi="ar-SA"/>
    </w:rPr>
  </w:style>
  <w:style w:type="paragraph" w:customStyle="1" w:styleId="387">
    <w:name w:val="xl110"/>
    <w:basedOn w:val="1"/>
    <w:next w:val="343"/>
    <w:autoRedefine/>
    <w:qFormat/>
    <w:uiPriority w:val="0"/>
    <w:pPr>
      <w:widowControl/>
      <w:shd w:val="clear" w:color="000000" w:fill="FFFFFF"/>
      <w:spacing w:before="280" w:after="280"/>
      <w:jc w:val="center"/>
    </w:pPr>
    <w:rPr>
      <w:rFonts w:ascii="宋体" w:hAnsi="Calibri"/>
      <w:kern w:val="0"/>
      <w:sz w:val="20"/>
      <w:szCs w:val="20"/>
    </w:rPr>
  </w:style>
  <w:style w:type="paragraph" w:customStyle="1" w:styleId="388">
    <w:name w:val="toc 511"/>
    <w:next w:val="1"/>
    <w:autoRedefine/>
    <w:qFormat/>
    <w:uiPriority w:val="0"/>
    <w:pPr>
      <w:wordWrap w:val="0"/>
      <w:ind w:left="1700"/>
      <w:jc w:val="both"/>
    </w:pPr>
    <w:rPr>
      <w:rFonts w:ascii="Calibri" w:hAnsi="Calibri" w:eastAsia="宋体" w:cs="Times New Roman"/>
      <w:sz w:val="21"/>
      <w:lang w:val="en-US" w:eastAsia="zh-CN" w:bidi="ar-SA"/>
    </w:rPr>
  </w:style>
  <w:style w:type="paragraph" w:customStyle="1" w:styleId="389">
    <w:name w:val="toc 416"/>
    <w:next w:val="1"/>
    <w:autoRedefine/>
    <w:qFormat/>
    <w:uiPriority w:val="0"/>
    <w:pPr>
      <w:wordWrap w:val="0"/>
      <w:ind w:left="1275"/>
      <w:jc w:val="both"/>
    </w:pPr>
    <w:rPr>
      <w:rFonts w:ascii="Calibri" w:hAnsi="Calibri" w:eastAsia="宋体" w:cs="Times New Roman"/>
      <w:sz w:val="21"/>
      <w:lang w:val="en-US" w:eastAsia="zh-CN" w:bidi="ar-SA"/>
    </w:rPr>
  </w:style>
  <w:style w:type="paragraph" w:customStyle="1" w:styleId="390">
    <w:name w:val="xl85"/>
    <w:basedOn w:val="1"/>
    <w:next w:val="391"/>
    <w:autoRedefine/>
    <w:qFormat/>
    <w:uiPriority w:val="0"/>
    <w:pPr>
      <w:widowControl/>
      <w:shd w:val="clear" w:color="000000" w:fill="FFFFFF"/>
      <w:spacing w:before="280" w:after="280"/>
      <w:jc w:val="center"/>
    </w:pPr>
    <w:rPr>
      <w:rFonts w:ascii="宋体" w:hAnsi="Calibri"/>
      <w:kern w:val="0"/>
      <w:sz w:val="20"/>
      <w:szCs w:val="20"/>
    </w:rPr>
  </w:style>
  <w:style w:type="paragraph" w:customStyle="1" w:styleId="391">
    <w:name w:val="toc 76"/>
    <w:next w:val="1"/>
    <w:autoRedefine/>
    <w:qFormat/>
    <w:uiPriority w:val="0"/>
    <w:pPr>
      <w:wordWrap w:val="0"/>
      <w:ind w:left="2550"/>
      <w:jc w:val="both"/>
    </w:pPr>
    <w:rPr>
      <w:rFonts w:ascii="Calibri" w:hAnsi="Calibri" w:eastAsia="宋体" w:cs="Times New Roman"/>
      <w:sz w:val="21"/>
      <w:lang w:val="en-US" w:eastAsia="zh-CN" w:bidi="ar-SA"/>
    </w:rPr>
  </w:style>
  <w:style w:type="paragraph" w:customStyle="1" w:styleId="392">
    <w:name w:val="toc 27"/>
    <w:next w:val="1"/>
    <w:autoRedefine/>
    <w:qFormat/>
    <w:uiPriority w:val="0"/>
    <w:pPr>
      <w:wordWrap w:val="0"/>
      <w:ind w:left="425"/>
      <w:jc w:val="both"/>
    </w:pPr>
    <w:rPr>
      <w:rFonts w:ascii="Calibri" w:hAnsi="Calibri" w:eastAsia="宋体" w:cs="Times New Roman"/>
      <w:sz w:val="21"/>
      <w:lang w:val="en-US" w:eastAsia="zh-CN" w:bidi="ar-SA"/>
    </w:rPr>
  </w:style>
  <w:style w:type="paragraph" w:customStyle="1" w:styleId="393">
    <w:name w:val="toc 916"/>
    <w:next w:val="1"/>
    <w:autoRedefine/>
    <w:qFormat/>
    <w:uiPriority w:val="0"/>
    <w:pPr>
      <w:wordWrap w:val="0"/>
      <w:ind w:left="3400"/>
      <w:jc w:val="both"/>
    </w:pPr>
    <w:rPr>
      <w:rFonts w:ascii="Calibri" w:hAnsi="Calibri" w:eastAsia="宋体" w:cs="Times New Roman"/>
      <w:sz w:val="21"/>
      <w:lang w:val="en-US" w:eastAsia="zh-CN" w:bidi="ar-SA"/>
    </w:rPr>
  </w:style>
  <w:style w:type="paragraph" w:customStyle="1" w:styleId="394">
    <w:name w:val="toc 77"/>
    <w:next w:val="1"/>
    <w:autoRedefine/>
    <w:qFormat/>
    <w:uiPriority w:val="0"/>
    <w:pPr>
      <w:wordWrap w:val="0"/>
      <w:ind w:left="2550"/>
      <w:jc w:val="both"/>
    </w:pPr>
    <w:rPr>
      <w:rFonts w:ascii="Calibri" w:hAnsi="Calibri" w:eastAsia="宋体" w:cs="Times New Roman"/>
      <w:sz w:val="21"/>
      <w:lang w:val="en-US" w:eastAsia="zh-CN" w:bidi="ar-SA"/>
    </w:rPr>
  </w:style>
  <w:style w:type="paragraph" w:customStyle="1" w:styleId="395">
    <w:name w:val="toc 211"/>
    <w:next w:val="1"/>
    <w:autoRedefine/>
    <w:qFormat/>
    <w:uiPriority w:val="0"/>
    <w:pPr>
      <w:wordWrap w:val="0"/>
      <w:ind w:left="425"/>
      <w:jc w:val="both"/>
    </w:pPr>
    <w:rPr>
      <w:rFonts w:ascii="Calibri" w:hAnsi="Calibri" w:eastAsia="宋体" w:cs="Times New Roman"/>
      <w:sz w:val="21"/>
      <w:lang w:val="en-US" w:eastAsia="zh-CN" w:bidi="ar-SA"/>
    </w:rPr>
  </w:style>
  <w:style w:type="paragraph" w:customStyle="1" w:styleId="396">
    <w:name w:val="toc 815"/>
    <w:next w:val="1"/>
    <w:autoRedefine/>
    <w:qFormat/>
    <w:uiPriority w:val="0"/>
    <w:pPr>
      <w:wordWrap w:val="0"/>
      <w:ind w:left="2975"/>
      <w:jc w:val="both"/>
    </w:pPr>
    <w:rPr>
      <w:rFonts w:ascii="Calibri" w:hAnsi="Calibri" w:eastAsia="宋体" w:cs="Times New Roman"/>
      <w:sz w:val="21"/>
      <w:lang w:val="en-US" w:eastAsia="zh-CN" w:bidi="ar-SA"/>
    </w:rPr>
  </w:style>
  <w:style w:type="paragraph" w:customStyle="1" w:styleId="397">
    <w:name w:val="xl99"/>
    <w:basedOn w:val="1"/>
    <w:next w:val="382"/>
    <w:autoRedefine/>
    <w:qFormat/>
    <w:uiPriority w:val="0"/>
    <w:pPr>
      <w:widowControl/>
      <w:shd w:val="clear" w:color="000000" w:fill="FFFFFF"/>
      <w:spacing w:before="280" w:after="280"/>
    </w:pPr>
    <w:rPr>
      <w:rFonts w:ascii="宋体" w:hAnsi="Calibri"/>
      <w:kern w:val="0"/>
      <w:sz w:val="18"/>
      <w:szCs w:val="20"/>
    </w:rPr>
  </w:style>
  <w:style w:type="paragraph" w:customStyle="1" w:styleId="398">
    <w:name w:val="xl97"/>
    <w:basedOn w:val="1"/>
    <w:next w:val="270"/>
    <w:autoRedefine/>
    <w:qFormat/>
    <w:uiPriority w:val="0"/>
    <w:pPr>
      <w:widowControl/>
      <w:shd w:val="clear" w:color="000000" w:fill="FFFFFF"/>
      <w:spacing w:before="280" w:after="280"/>
      <w:jc w:val="center"/>
    </w:pPr>
    <w:rPr>
      <w:rFonts w:ascii="宋体" w:hAnsi="Calibri"/>
      <w:kern w:val="0"/>
      <w:sz w:val="20"/>
      <w:szCs w:val="20"/>
    </w:rPr>
  </w:style>
  <w:style w:type="paragraph" w:customStyle="1" w:styleId="399">
    <w:name w:val="toc 612"/>
    <w:next w:val="1"/>
    <w:autoRedefine/>
    <w:qFormat/>
    <w:uiPriority w:val="0"/>
    <w:pPr>
      <w:wordWrap w:val="0"/>
      <w:ind w:left="2125"/>
      <w:jc w:val="both"/>
    </w:pPr>
    <w:rPr>
      <w:rFonts w:ascii="Calibri" w:hAnsi="Calibri" w:eastAsia="宋体" w:cs="Times New Roman"/>
      <w:sz w:val="21"/>
      <w:lang w:val="en-US" w:eastAsia="zh-CN" w:bidi="ar-SA"/>
    </w:rPr>
  </w:style>
  <w:style w:type="paragraph" w:customStyle="1" w:styleId="400">
    <w:name w:val="toc 315"/>
    <w:next w:val="1"/>
    <w:autoRedefine/>
    <w:qFormat/>
    <w:uiPriority w:val="0"/>
    <w:pPr>
      <w:wordWrap w:val="0"/>
      <w:ind w:left="850"/>
      <w:jc w:val="both"/>
    </w:pPr>
    <w:rPr>
      <w:rFonts w:ascii="Calibri" w:hAnsi="Calibri" w:eastAsia="宋体" w:cs="Times New Roman"/>
      <w:sz w:val="21"/>
      <w:lang w:val="en-US" w:eastAsia="zh-CN" w:bidi="ar-SA"/>
    </w:rPr>
  </w:style>
  <w:style w:type="paragraph" w:customStyle="1" w:styleId="401">
    <w:name w:val="TOC Heading15"/>
    <w:next w:val="1"/>
    <w:autoRedefine/>
    <w:qFormat/>
    <w:uiPriority w:val="0"/>
    <w:pPr>
      <w:wordWrap w:val="0"/>
    </w:pPr>
    <w:rPr>
      <w:rFonts w:ascii="Calibri" w:hAnsi="Calibri" w:eastAsia="宋体" w:cs="Times New Roman"/>
      <w:sz w:val="32"/>
      <w:lang w:val="en-US" w:eastAsia="zh-CN" w:bidi="ar-SA"/>
    </w:rPr>
  </w:style>
  <w:style w:type="paragraph" w:customStyle="1" w:styleId="402">
    <w:name w:val="toc 915"/>
    <w:next w:val="1"/>
    <w:autoRedefine/>
    <w:qFormat/>
    <w:uiPriority w:val="0"/>
    <w:pPr>
      <w:wordWrap w:val="0"/>
      <w:ind w:left="3400"/>
      <w:jc w:val="both"/>
    </w:pPr>
    <w:rPr>
      <w:rFonts w:ascii="Calibri" w:hAnsi="Calibri" w:eastAsia="宋体" w:cs="Times New Roman"/>
      <w:sz w:val="21"/>
      <w:lang w:val="en-US" w:eastAsia="zh-CN" w:bidi="ar-SA"/>
    </w:rPr>
  </w:style>
  <w:style w:type="paragraph" w:customStyle="1" w:styleId="403">
    <w:name w:val="toc 39"/>
    <w:next w:val="1"/>
    <w:autoRedefine/>
    <w:qFormat/>
    <w:uiPriority w:val="0"/>
    <w:pPr>
      <w:wordWrap w:val="0"/>
      <w:ind w:left="850"/>
      <w:jc w:val="both"/>
    </w:pPr>
    <w:rPr>
      <w:rFonts w:ascii="Calibri" w:hAnsi="Calibri" w:eastAsia="宋体" w:cs="Times New Roman"/>
      <w:sz w:val="21"/>
      <w:lang w:val="en-US" w:eastAsia="zh-CN" w:bidi="ar-SA"/>
    </w:rPr>
  </w:style>
  <w:style w:type="paragraph" w:customStyle="1" w:styleId="404">
    <w:name w:val="toc 710"/>
    <w:next w:val="1"/>
    <w:autoRedefine/>
    <w:qFormat/>
    <w:uiPriority w:val="0"/>
    <w:pPr>
      <w:wordWrap w:val="0"/>
      <w:ind w:left="2550"/>
      <w:jc w:val="both"/>
    </w:pPr>
    <w:rPr>
      <w:rFonts w:ascii="Calibri" w:hAnsi="Calibri" w:eastAsia="宋体" w:cs="Times New Roman"/>
      <w:sz w:val="21"/>
      <w:lang w:val="en-US" w:eastAsia="zh-CN" w:bidi="ar-SA"/>
    </w:rPr>
  </w:style>
  <w:style w:type="paragraph" w:customStyle="1" w:styleId="405">
    <w:name w:val="toc 12"/>
    <w:next w:val="1"/>
    <w:autoRedefine/>
    <w:qFormat/>
    <w:uiPriority w:val="0"/>
    <w:pPr>
      <w:wordWrap w:val="0"/>
      <w:jc w:val="both"/>
    </w:pPr>
    <w:rPr>
      <w:rFonts w:ascii="Calibri" w:hAnsi="Calibri" w:eastAsia="宋体" w:cs="Times New Roman"/>
      <w:sz w:val="21"/>
      <w:lang w:val="en-US" w:eastAsia="zh-CN" w:bidi="ar-SA"/>
    </w:rPr>
  </w:style>
  <w:style w:type="paragraph" w:customStyle="1" w:styleId="406">
    <w:name w:val="xl95"/>
    <w:basedOn w:val="1"/>
    <w:next w:val="407"/>
    <w:autoRedefine/>
    <w:qFormat/>
    <w:uiPriority w:val="0"/>
    <w:pPr>
      <w:widowControl/>
      <w:shd w:val="clear" w:color="000000" w:fill="FFFFFF"/>
      <w:spacing w:before="280" w:after="280"/>
    </w:pPr>
    <w:rPr>
      <w:rFonts w:ascii="宋体" w:hAnsi="Calibri"/>
      <w:kern w:val="0"/>
      <w:sz w:val="20"/>
      <w:szCs w:val="20"/>
    </w:rPr>
  </w:style>
  <w:style w:type="paragraph" w:customStyle="1" w:styleId="407">
    <w:name w:val="toc 415"/>
    <w:next w:val="1"/>
    <w:autoRedefine/>
    <w:qFormat/>
    <w:uiPriority w:val="0"/>
    <w:pPr>
      <w:wordWrap w:val="0"/>
      <w:ind w:left="1275"/>
      <w:jc w:val="both"/>
    </w:pPr>
    <w:rPr>
      <w:rFonts w:ascii="Calibri" w:hAnsi="Calibri" w:eastAsia="宋体" w:cs="Times New Roman"/>
      <w:sz w:val="21"/>
      <w:lang w:val="en-US" w:eastAsia="zh-CN" w:bidi="ar-SA"/>
    </w:rPr>
  </w:style>
  <w:style w:type="paragraph" w:customStyle="1" w:styleId="408">
    <w:name w:val="toc 29"/>
    <w:next w:val="1"/>
    <w:autoRedefine/>
    <w:qFormat/>
    <w:uiPriority w:val="0"/>
    <w:pPr>
      <w:wordWrap w:val="0"/>
      <w:ind w:left="425"/>
      <w:jc w:val="both"/>
    </w:pPr>
    <w:rPr>
      <w:rFonts w:ascii="Calibri" w:hAnsi="Calibri" w:eastAsia="宋体" w:cs="Times New Roman"/>
      <w:sz w:val="21"/>
      <w:lang w:val="en-US" w:eastAsia="zh-CN" w:bidi="ar-SA"/>
    </w:rPr>
  </w:style>
  <w:style w:type="paragraph" w:customStyle="1" w:styleId="409">
    <w:name w:val="xl67"/>
    <w:basedOn w:val="1"/>
    <w:next w:val="410"/>
    <w:autoRedefine/>
    <w:qFormat/>
    <w:uiPriority w:val="0"/>
    <w:pPr>
      <w:widowControl/>
      <w:shd w:val="clear" w:color="000000" w:fill="FFFFFF"/>
      <w:spacing w:before="280" w:after="280"/>
      <w:jc w:val="center"/>
    </w:pPr>
    <w:rPr>
      <w:rFonts w:ascii="宋体" w:hAnsi="Calibri"/>
      <w:b/>
      <w:kern w:val="0"/>
      <w:sz w:val="20"/>
      <w:szCs w:val="20"/>
    </w:rPr>
  </w:style>
  <w:style w:type="paragraph" w:customStyle="1" w:styleId="410">
    <w:name w:val="toc 714"/>
    <w:next w:val="1"/>
    <w:autoRedefine/>
    <w:qFormat/>
    <w:uiPriority w:val="0"/>
    <w:pPr>
      <w:wordWrap w:val="0"/>
      <w:ind w:left="2550"/>
      <w:jc w:val="both"/>
    </w:pPr>
    <w:rPr>
      <w:rFonts w:ascii="Calibri" w:hAnsi="Calibri" w:eastAsia="宋体" w:cs="Times New Roman"/>
      <w:sz w:val="21"/>
      <w:lang w:val="en-US" w:eastAsia="zh-CN" w:bidi="ar-SA"/>
    </w:rPr>
  </w:style>
  <w:style w:type="paragraph" w:customStyle="1" w:styleId="411">
    <w:name w:val="toc 21"/>
    <w:next w:val="1"/>
    <w:autoRedefine/>
    <w:qFormat/>
    <w:uiPriority w:val="0"/>
    <w:pPr>
      <w:wordWrap w:val="0"/>
      <w:ind w:left="425"/>
      <w:jc w:val="both"/>
    </w:pPr>
    <w:rPr>
      <w:rFonts w:ascii="Calibri" w:hAnsi="Calibri" w:eastAsia="宋体" w:cs="Times New Roman"/>
      <w:sz w:val="21"/>
      <w:lang w:val="en-US" w:eastAsia="zh-CN" w:bidi="ar-SA"/>
    </w:rPr>
  </w:style>
  <w:style w:type="paragraph" w:customStyle="1" w:styleId="412">
    <w:name w:val="正文 A"/>
    <w:next w:val="329"/>
    <w:autoRedefine/>
    <w:qFormat/>
    <w:uiPriority w:val="0"/>
    <w:rPr>
      <w:rFonts w:ascii="Arial" w:hAnsi="Calibri" w:eastAsia="Arial Unicode MS" w:cs="Times New Roman"/>
      <w:color w:val="000000"/>
      <w:sz w:val="21"/>
      <w:lang w:val="en-US" w:eastAsia="zh-CN" w:bidi="ar-SA"/>
    </w:rPr>
  </w:style>
  <w:style w:type="paragraph" w:customStyle="1" w:styleId="413">
    <w:name w:val="toc 68"/>
    <w:next w:val="1"/>
    <w:autoRedefine/>
    <w:qFormat/>
    <w:uiPriority w:val="0"/>
    <w:pPr>
      <w:wordWrap w:val="0"/>
      <w:ind w:left="2125"/>
      <w:jc w:val="both"/>
    </w:pPr>
    <w:rPr>
      <w:rFonts w:ascii="Calibri" w:hAnsi="Calibri" w:eastAsia="宋体" w:cs="Times New Roman"/>
      <w:sz w:val="21"/>
      <w:lang w:val="en-US" w:eastAsia="zh-CN" w:bidi="ar-SA"/>
    </w:rPr>
  </w:style>
  <w:style w:type="paragraph" w:customStyle="1" w:styleId="414">
    <w:name w:val="toc 58"/>
    <w:next w:val="1"/>
    <w:autoRedefine/>
    <w:qFormat/>
    <w:uiPriority w:val="0"/>
    <w:pPr>
      <w:wordWrap w:val="0"/>
      <w:ind w:left="1700"/>
      <w:jc w:val="both"/>
    </w:pPr>
    <w:rPr>
      <w:rFonts w:ascii="Calibri" w:hAnsi="Calibri" w:eastAsia="宋体" w:cs="Times New Roman"/>
      <w:sz w:val="21"/>
      <w:lang w:val="en-US" w:eastAsia="zh-CN" w:bidi="ar-SA"/>
    </w:rPr>
  </w:style>
  <w:style w:type="paragraph" w:customStyle="1" w:styleId="415">
    <w:name w:val="xl88"/>
    <w:basedOn w:val="1"/>
    <w:next w:val="401"/>
    <w:autoRedefine/>
    <w:qFormat/>
    <w:uiPriority w:val="0"/>
    <w:pPr>
      <w:widowControl/>
      <w:shd w:val="clear" w:color="000000" w:fill="FFFFFF"/>
      <w:spacing w:before="280" w:after="280"/>
      <w:jc w:val="center"/>
    </w:pPr>
    <w:rPr>
      <w:rFonts w:ascii="宋体" w:hAnsi="Calibri"/>
      <w:kern w:val="0"/>
      <w:sz w:val="20"/>
      <w:szCs w:val="20"/>
    </w:rPr>
  </w:style>
  <w:style w:type="paragraph" w:customStyle="1" w:styleId="416">
    <w:name w:val="toc 71"/>
    <w:next w:val="1"/>
    <w:autoRedefine/>
    <w:qFormat/>
    <w:uiPriority w:val="0"/>
    <w:pPr>
      <w:wordWrap w:val="0"/>
      <w:ind w:left="2550"/>
      <w:jc w:val="both"/>
    </w:pPr>
    <w:rPr>
      <w:rFonts w:ascii="Calibri" w:hAnsi="Calibri" w:eastAsia="宋体" w:cs="Times New Roman"/>
      <w:sz w:val="21"/>
      <w:lang w:val="en-US" w:eastAsia="zh-CN" w:bidi="ar-SA"/>
    </w:rPr>
  </w:style>
  <w:style w:type="paragraph" w:customStyle="1" w:styleId="417">
    <w:name w:val="xl100"/>
    <w:basedOn w:val="1"/>
    <w:next w:val="418"/>
    <w:autoRedefine/>
    <w:qFormat/>
    <w:uiPriority w:val="0"/>
    <w:pPr>
      <w:widowControl/>
      <w:shd w:val="clear" w:color="000000" w:fill="FFFFFF"/>
      <w:spacing w:before="280" w:after="280"/>
    </w:pPr>
    <w:rPr>
      <w:rFonts w:ascii="宋体" w:hAnsi="Calibri"/>
      <w:kern w:val="0"/>
      <w:sz w:val="20"/>
      <w:szCs w:val="20"/>
    </w:rPr>
  </w:style>
  <w:style w:type="paragraph" w:customStyle="1" w:styleId="418">
    <w:name w:val="toc 510"/>
    <w:next w:val="1"/>
    <w:autoRedefine/>
    <w:qFormat/>
    <w:uiPriority w:val="0"/>
    <w:pPr>
      <w:wordWrap w:val="0"/>
      <w:ind w:left="1700"/>
      <w:jc w:val="both"/>
    </w:pPr>
    <w:rPr>
      <w:rFonts w:ascii="Calibri" w:hAnsi="Calibri" w:eastAsia="宋体" w:cs="Times New Roman"/>
      <w:sz w:val="21"/>
      <w:lang w:val="en-US" w:eastAsia="zh-CN" w:bidi="ar-SA"/>
    </w:rPr>
  </w:style>
  <w:style w:type="paragraph" w:customStyle="1" w:styleId="419">
    <w:name w:val="toc 314"/>
    <w:next w:val="1"/>
    <w:autoRedefine/>
    <w:qFormat/>
    <w:uiPriority w:val="0"/>
    <w:pPr>
      <w:wordWrap w:val="0"/>
      <w:ind w:left="850"/>
      <w:jc w:val="both"/>
    </w:pPr>
    <w:rPr>
      <w:rFonts w:ascii="Calibri" w:hAnsi="Calibri" w:eastAsia="宋体" w:cs="Times New Roman"/>
      <w:sz w:val="21"/>
      <w:lang w:val="en-US" w:eastAsia="zh-CN" w:bidi="ar-SA"/>
    </w:rPr>
  </w:style>
  <w:style w:type="paragraph" w:customStyle="1" w:styleId="420">
    <w:name w:val="xl114"/>
    <w:basedOn w:val="1"/>
    <w:next w:val="272"/>
    <w:autoRedefine/>
    <w:qFormat/>
    <w:uiPriority w:val="0"/>
    <w:pPr>
      <w:widowControl/>
      <w:shd w:val="clear" w:color="000000" w:fill="FFFFFF"/>
      <w:spacing w:before="280" w:after="280"/>
      <w:jc w:val="center"/>
    </w:pPr>
    <w:rPr>
      <w:rFonts w:ascii="宋体" w:hAnsi="Calibri"/>
      <w:b/>
      <w:kern w:val="0"/>
      <w:sz w:val="20"/>
      <w:szCs w:val="20"/>
    </w:rPr>
  </w:style>
  <w:style w:type="paragraph" w:customStyle="1" w:styleId="421">
    <w:name w:val="xl107"/>
    <w:basedOn w:val="1"/>
    <w:next w:val="422"/>
    <w:autoRedefine/>
    <w:qFormat/>
    <w:uiPriority w:val="0"/>
    <w:pPr>
      <w:widowControl/>
      <w:shd w:val="clear" w:color="000000" w:fill="FFFFFF"/>
      <w:spacing w:before="280" w:after="280"/>
    </w:pPr>
    <w:rPr>
      <w:rFonts w:ascii="宋体" w:hAnsi="Calibri"/>
      <w:kern w:val="0"/>
      <w:sz w:val="20"/>
      <w:szCs w:val="20"/>
    </w:rPr>
  </w:style>
  <w:style w:type="paragraph" w:customStyle="1" w:styleId="422">
    <w:name w:val="toc 610"/>
    <w:next w:val="1"/>
    <w:autoRedefine/>
    <w:qFormat/>
    <w:uiPriority w:val="0"/>
    <w:pPr>
      <w:wordWrap w:val="0"/>
      <w:ind w:left="2125"/>
      <w:jc w:val="both"/>
    </w:pPr>
    <w:rPr>
      <w:rFonts w:ascii="Calibri" w:hAnsi="Calibri" w:eastAsia="宋体" w:cs="Times New Roman"/>
      <w:sz w:val="21"/>
      <w:lang w:val="en-US" w:eastAsia="zh-CN" w:bidi="ar-SA"/>
    </w:rPr>
  </w:style>
  <w:style w:type="paragraph" w:customStyle="1" w:styleId="423">
    <w:name w:val="toc 22"/>
    <w:next w:val="1"/>
    <w:autoRedefine/>
    <w:qFormat/>
    <w:uiPriority w:val="0"/>
    <w:pPr>
      <w:wordWrap w:val="0"/>
      <w:ind w:left="425"/>
      <w:jc w:val="both"/>
    </w:pPr>
    <w:rPr>
      <w:rFonts w:ascii="Calibri" w:hAnsi="Calibri" w:eastAsia="宋体" w:cs="Times New Roman"/>
      <w:sz w:val="21"/>
      <w:lang w:val="en-US" w:eastAsia="zh-CN" w:bidi="ar-SA"/>
    </w:rPr>
  </w:style>
  <w:style w:type="paragraph" w:customStyle="1" w:styleId="424">
    <w:name w:val="xl90"/>
    <w:basedOn w:val="1"/>
    <w:next w:val="226"/>
    <w:autoRedefine/>
    <w:qFormat/>
    <w:uiPriority w:val="0"/>
    <w:pPr>
      <w:widowControl/>
      <w:shd w:val="clear" w:color="000000" w:fill="FFFFFF"/>
      <w:spacing w:before="280" w:after="280"/>
    </w:pPr>
    <w:rPr>
      <w:rFonts w:ascii="宋体" w:hAnsi="Calibri"/>
      <w:kern w:val="0"/>
      <w:sz w:val="18"/>
      <w:szCs w:val="20"/>
    </w:rPr>
  </w:style>
  <w:style w:type="paragraph" w:customStyle="1" w:styleId="425">
    <w:name w:val="toc 616"/>
    <w:next w:val="1"/>
    <w:autoRedefine/>
    <w:qFormat/>
    <w:uiPriority w:val="0"/>
    <w:pPr>
      <w:wordWrap w:val="0"/>
      <w:ind w:left="2125"/>
      <w:jc w:val="both"/>
    </w:pPr>
    <w:rPr>
      <w:rFonts w:ascii="Calibri" w:hAnsi="Calibri" w:eastAsia="宋体" w:cs="Times New Roman"/>
      <w:sz w:val="21"/>
      <w:lang w:val="en-US" w:eastAsia="zh-CN" w:bidi="ar-SA"/>
    </w:rPr>
  </w:style>
  <w:style w:type="paragraph" w:customStyle="1" w:styleId="426">
    <w:name w:val="toc 96"/>
    <w:next w:val="1"/>
    <w:autoRedefine/>
    <w:qFormat/>
    <w:uiPriority w:val="0"/>
    <w:pPr>
      <w:wordWrap w:val="0"/>
      <w:ind w:left="3400"/>
      <w:jc w:val="both"/>
    </w:pPr>
    <w:rPr>
      <w:rFonts w:ascii="Calibri" w:hAnsi="Calibri" w:eastAsia="宋体" w:cs="Times New Roman"/>
      <w:sz w:val="21"/>
      <w:lang w:val="en-US" w:eastAsia="zh-CN" w:bidi="ar-SA"/>
    </w:rPr>
  </w:style>
  <w:style w:type="paragraph" w:customStyle="1" w:styleId="427">
    <w:name w:val="toc 42"/>
    <w:next w:val="1"/>
    <w:autoRedefine/>
    <w:qFormat/>
    <w:uiPriority w:val="0"/>
    <w:pPr>
      <w:wordWrap w:val="0"/>
      <w:ind w:left="1275"/>
      <w:jc w:val="both"/>
    </w:pPr>
    <w:rPr>
      <w:rFonts w:ascii="Calibri" w:hAnsi="Calibri" w:eastAsia="宋体" w:cs="Times New Roman"/>
      <w:sz w:val="21"/>
      <w:lang w:val="en-US" w:eastAsia="zh-CN" w:bidi="ar-SA"/>
    </w:rPr>
  </w:style>
  <w:style w:type="paragraph" w:customStyle="1" w:styleId="428">
    <w:name w:val="xl117"/>
    <w:basedOn w:val="1"/>
    <w:next w:val="325"/>
    <w:autoRedefine/>
    <w:qFormat/>
    <w:uiPriority w:val="0"/>
    <w:pPr>
      <w:widowControl/>
      <w:shd w:val="clear" w:color="000000" w:fill="FFFFFF"/>
      <w:spacing w:before="280" w:after="280"/>
      <w:jc w:val="center"/>
    </w:pPr>
    <w:rPr>
      <w:rFonts w:ascii="Arial Narrow" w:hAnsi="Calibri"/>
      <w:kern w:val="0"/>
      <w:sz w:val="24"/>
      <w:szCs w:val="20"/>
    </w:rPr>
  </w:style>
  <w:style w:type="paragraph" w:customStyle="1" w:styleId="429">
    <w:name w:val="p15"/>
    <w:basedOn w:val="1"/>
    <w:next w:val="250"/>
    <w:autoRedefine/>
    <w:qFormat/>
    <w:uiPriority w:val="0"/>
    <w:pPr>
      <w:widowControl/>
      <w:ind w:firstLine="420"/>
    </w:pPr>
    <w:rPr>
      <w:rFonts w:hAnsi="Calibri"/>
      <w:kern w:val="0"/>
      <w:szCs w:val="20"/>
    </w:rPr>
  </w:style>
  <w:style w:type="paragraph" w:customStyle="1" w:styleId="430">
    <w:name w:val="xl87"/>
    <w:basedOn w:val="1"/>
    <w:next w:val="431"/>
    <w:autoRedefine/>
    <w:qFormat/>
    <w:uiPriority w:val="0"/>
    <w:pPr>
      <w:widowControl/>
      <w:shd w:val="clear" w:color="000000" w:fill="FFFFFF"/>
      <w:spacing w:before="280" w:after="280"/>
    </w:pPr>
    <w:rPr>
      <w:rFonts w:ascii="Arial" w:hAnsi="Calibri"/>
      <w:kern w:val="0"/>
      <w:sz w:val="18"/>
      <w:szCs w:val="20"/>
    </w:rPr>
  </w:style>
  <w:style w:type="paragraph" w:customStyle="1" w:styleId="431">
    <w:name w:val="toc 98"/>
    <w:next w:val="1"/>
    <w:autoRedefine/>
    <w:qFormat/>
    <w:uiPriority w:val="0"/>
    <w:pPr>
      <w:wordWrap w:val="0"/>
      <w:ind w:left="3400"/>
      <w:jc w:val="both"/>
    </w:pPr>
    <w:rPr>
      <w:rFonts w:ascii="Calibri" w:hAnsi="Calibri" w:eastAsia="宋体" w:cs="Times New Roman"/>
      <w:sz w:val="21"/>
      <w:lang w:val="en-US" w:eastAsia="zh-CN" w:bidi="ar-SA"/>
    </w:rPr>
  </w:style>
  <w:style w:type="paragraph" w:customStyle="1" w:styleId="432">
    <w:name w:val="列出段落7"/>
    <w:basedOn w:val="1"/>
    <w:next w:val="414"/>
    <w:autoRedefine/>
    <w:qFormat/>
    <w:uiPriority w:val="0"/>
    <w:pPr>
      <w:ind w:firstLine="420"/>
    </w:pPr>
    <w:rPr>
      <w:rFonts w:hAnsi="Calibri"/>
      <w:kern w:val="0"/>
      <w:szCs w:val="20"/>
    </w:rPr>
  </w:style>
  <w:style w:type="paragraph" w:customStyle="1" w:styleId="433">
    <w:name w:val="xl78"/>
    <w:basedOn w:val="1"/>
    <w:next w:val="404"/>
    <w:autoRedefine/>
    <w:qFormat/>
    <w:uiPriority w:val="0"/>
    <w:pPr>
      <w:widowControl/>
      <w:shd w:val="clear" w:color="000000" w:fill="FFFFFF"/>
      <w:spacing w:before="280" w:after="280"/>
    </w:pPr>
    <w:rPr>
      <w:rFonts w:ascii="宋体" w:hAnsi="Calibri"/>
      <w:b/>
      <w:kern w:val="0"/>
      <w:sz w:val="20"/>
      <w:szCs w:val="20"/>
    </w:rPr>
  </w:style>
  <w:style w:type="paragraph" w:customStyle="1" w:styleId="434">
    <w:name w:val="toc 516"/>
    <w:next w:val="1"/>
    <w:autoRedefine/>
    <w:qFormat/>
    <w:uiPriority w:val="0"/>
    <w:pPr>
      <w:wordWrap w:val="0"/>
      <w:ind w:left="1700"/>
      <w:jc w:val="both"/>
    </w:pPr>
    <w:rPr>
      <w:rFonts w:ascii="Calibri" w:hAnsi="Calibri" w:eastAsia="宋体" w:cs="Times New Roman"/>
      <w:sz w:val="21"/>
      <w:lang w:val="en-US" w:eastAsia="zh-CN" w:bidi="ar-SA"/>
    </w:rPr>
  </w:style>
  <w:style w:type="paragraph" w:customStyle="1" w:styleId="435">
    <w:name w:val="xl89"/>
    <w:basedOn w:val="1"/>
    <w:next w:val="369"/>
    <w:autoRedefine/>
    <w:qFormat/>
    <w:uiPriority w:val="0"/>
    <w:pPr>
      <w:widowControl/>
      <w:shd w:val="clear" w:color="000000" w:fill="FFFFFF"/>
      <w:spacing w:before="280" w:after="280"/>
    </w:pPr>
    <w:rPr>
      <w:rFonts w:ascii="宋体" w:hAnsi="Calibri"/>
      <w:kern w:val="0"/>
      <w:sz w:val="20"/>
      <w:szCs w:val="20"/>
    </w:rPr>
  </w:style>
  <w:style w:type="paragraph" w:customStyle="1" w:styleId="436">
    <w:name w:val="toc 910"/>
    <w:next w:val="1"/>
    <w:autoRedefine/>
    <w:qFormat/>
    <w:uiPriority w:val="0"/>
    <w:pPr>
      <w:wordWrap w:val="0"/>
      <w:ind w:left="3400"/>
      <w:jc w:val="both"/>
    </w:pPr>
    <w:rPr>
      <w:rFonts w:ascii="Calibri" w:hAnsi="Calibri" w:eastAsia="宋体" w:cs="Times New Roman"/>
      <w:sz w:val="21"/>
      <w:lang w:val="en-US" w:eastAsia="zh-CN" w:bidi="ar-SA"/>
    </w:rPr>
  </w:style>
  <w:style w:type="paragraph" w:customStyle="1" w:styleId="437">
    <w:name w:val="toc 34"/>
    <w:next w:val="1"/>
    <w:autoRedefine/>
    <w:qFormat/>
    <w:uiPriority w:val="0"/>
    <w:pPr>
      <w:wordWrap w:val="0"/>
      <w:ind w:left="850"/>
      <w:jc w:val="both"/>
    </w:pPr>
    <w:rPr>
      <w:rFonts w:ascii="Calibri" w:hAnsi="Calibri" w:eastAsia="宋体" w:cs="Times New Roman"/>
      <w:sz w:val="21"/>
      <w:lang w:val="en-US" w:eastAsia="zh-CN" w:bidi="ar-SA"/>
    </w:rPr>
  </w:style>
  <w:style w:type="paragraph" w:customStyle="1" w:styleId="438">
    <w:name w:val="toc 816"/>
    <w:next w:val="1"/>
    <w:autoRedefine/>
    <w:qFormat/>
    <w:uiPriority w:val="0"/>
    <w:pPr>
      <w:wordWrap w:val="0"/>
      <w:ind w:left="2975"/>
      <w:jc w:val="both"/>
    </w:pPr>
    <w:rPr>
      <w:rFonts w:ascii="Calibri" w:hAnsi="Calibri" w:eastAsia="宋体" w:cs="Times New Roman"/>
      <w:sz w:val="21"/>
      <w:lang w:val="en-US" w:eastAsia="zh-CN" w:bidi="ar-SA"/>
    </w:rPr>
  </w:style>
  <w:style w:type="paragraph" w:customStyle="1" w:styleId="439">
    <w:name w:val="toc 43"/>
    <w:next w:val="1"/>
    <w:autoRedefine/>
    <w:qFormat/>
    <w:uiPriority w:val="0"/>
    <w:pPr>
      <w:wordWrap w:val="0"/>
      <w:ind w:left="1275"/>
      <w:jc w:val="both"/>
    </w:pPr>
    <w:rPr>
      <w:rFonts w:ascii="Calibri" w:hAnsi="Calibri" w:eastAsia="宋体" w:cs="Times New Roman"/>
      <w:sz w:val="21"/>
      <w:lang w:val="en-US" w:eastAsia="zh-CN" w:bidi="ar-SA"/>
    </w:rPr>
  </w:style>
  <w:style w:type="paragraph" w:customStyle="1" w:styleId="440">
    <w:name w:val="toc 16"/>
    <w:next w:val="1"/>
    <w:autoRedefine/>
    <w:qFormat/>
    <w:uiPriority w:val="0"/>
    <w:pPr>
      <w:wordWrap w:val="0"/>
      <w:jc w:val="both"/>
    </w:pPr>
    <w:rPr>
      <w:rFonts w:ascii="Calibri" w:hAnsi="Calibri" w:eastAsia="宋体" w:cs="Times New Roman"/>
      <w:sz w:val="21"/>
      <w:lang w:val="en-US" w:eastAsia="zh-CN" w:bidi="ar-SA"/>
    </w:rPr>
  </w:style>
  <w:style w:type="paragraph" w:styleId="441">
    <w:name w:val="Quote"/>
    <w:next w:val="1"/>
    <w:link w:val="442"/>
    <w:autoRedefine/>
    <w:qFormat/>
    <w:uiPriority w:val="0"/>
    <w:pPr>
      <w:wordWrap w:val="0"/>
      <w:spacing w:before="200" w:after="160"/>
      <w:ind w:left="864" w:right="864"/>
      <w:jc w:val="center"/>
    </w:pPr>
    <w:rPr>
      <w:rFonts w:ascii="Calibri" w:hAnsi="Calibri" w:eastAsia="宋体" w:cs="Times New Roman"/>
      <w:i/>
      <w:sz w:val="21"/>
      <w:lang w:val="en-US" w:eastAsia="zh-CN" w:bidi="ar-SA"/>
    </w:rPr>
  </w:style>
  <w:style w:type="character" w:customStyle="1" w:styleId="442">
    <w:name w:val="引用 Char"/>
    <w:basedOn w:val="47"/>
    <w:link w:val="441"/>
    <w:autoRedefine/>
    <w:qFormat/>
    <w:uiPriority w:val="0"/>
    <w:rPr>
      <w:rFonts w:ascii="Calibri" w:hAnsi="Calibri"/>
      <w:i/>
      <w:sz w:val="21"/>
    </w:rPr>
  </w:style>
  <w:style w:type="paragraph" w:customStyle="1" w:styleId="443">
    <w:name w:val="toc 114"/>
    <w:next w:val="1"/>
    <w:autoRedefine/>
    <w:qFormat/>
    <w:uiPriority w:val="0"/>
    <w:pPr>
      <w:wordWrap w:val="0"/>
      <w:jc w:val="both"/>
    </w:pPr>
    <w:rPr>
      <w:rFonts w:ascii="Calibri" w:hAnsi="Calibri" w:eastAsia="宋体" w:cs="Times New Roman"/>
      <w:sz w:val="21"/>
      <w:lang w:val="en-US" w:eastAsia="zh-CN" w:bidi="ar-SA"/>
    </w:rPr>
  </w:style>
  <w:style w:type="paragraph" w:customStyle="1" w:styleId="444">
    <w:name w:val="xl119"/>
    <w:basedOn w:val="1"/>
    <w:next w:val="419"/>
    <w:autoRedefine/>
    <w:qFormat/>
    <w:uiPriority w:val="0"/>
    <w:pPr>
      <w:widowControl/>
      <w:shd w:val="clear" w:color="000000" w:fill="FFFFFF"/>
      <w:spacing w:before="280" w:after="280"/>
      <w:jc w:val="center"/>
    </w:pPr>
    <w:rPr>
      <w:rFonts w:ascii="宋体" w:hAnsi="Calibri"/>
      <w:b/>
      <w:kern w:val="0"/>
      <w:sz w:val="20"/>
      <w:szCs w:val="20"/>
    </w:rPr>
  </w:style>
  <w:style w:type="paragraph" w:customStyle="1" w:styleId="445">
    <w:name w:val="toc 37"/>
    <w:next w:val="1"/>
    <w:autoRedefine/>
    <w:qFormat/>
    <w:uiPriority w:val="0"/>
    <w:pPr>
      <w:wordWrap w:val="0"/>
      <w:ind w:left="850"/>
      <w:jc w:val="both"/>
    </w:pPr>
    <w:rPr>
      <w:rFonts w:ascii="Calibri" w:hAnsi="Calibri" w:eastAsia="宋体" w:cs="Times New Roman"/>
      <w:sz w:val="21"/>
      <w:lang w:val="en-US" w:eastAsia="zh-CN" w:bidi="ar-SA"/>
    </w:rPr>
  </w:style>
  <w:style w:type="paragraph" w:customStyle="1" w:styleId="446">
    <w:name w:val="xl109"/>
    <w:basedOn w:val="1"/>
    <w:next w:val="392"/>
    <w:autoRedefine/>
    <w:qFormat/>
    <w:uiPriority w:val="0"/>
    <w:pPr>
      <w:widowControl/>
      <w:shd w:val="clear" w:color="000000" w:fill="FFFFFF"/>
      <w:spacing w:before="280" w:after="280"/>
    </w:pPr>
    <w:rPr>
      <w:rFonts w:ascii="宋体" w:hAnsi="Calibri"/>
      <w:kern w:val="0"/>
      <w:sz w:val="20"/>
      <w:szCs w:val="20"/>
    </w:rPr>
  </w:style>
  <w:style w:type="paragraph" w:customStyle="1" w:styleId="447">
    <w:name w:val="toc 215"/>
    <w:next w:val="1"/>
    <w:autoRedefine/>
    <w:qFormat/>
    <w:uiPriority w:val="0"/>
    <w:pPr>
      <w:wordWrap w:val="0"/>
      <w:ind w:left="425"/>
      <w:jc w:val="both"/>
    </w:pPr>
    <w:rPr>
      <w:rFonts w:ascii="Calibri" w:hAnsi="Calibri" w:eastAsia="宋体" w:cs="Times New Roman"/>
      <w:sz w:val="21"/>
      <w:lang w:val="en-US" w:eastAsia="zh-CN" w:bidi="ar-SA"/>
    </w:rPr>
  </w:style>
  <w:style w:type="paragraph" w:customStyle="1" w:styleId="448">
    <w:name w:val="xl76"/>
    <w:basedOn w:val="1"/>
    <w:next w:val="400"/>
    <w:autoRedefine/>
    <w:qFormat/>
    <w:uiPriority w:val="0"/>
    <w:pPr>
      <w:widowControl/>
      <w:shd w:val="clear" w:color="000000" w:fill="FFFFFF"/>
      <w:spacing w:before="280" w:after="280"/>
      <w:jc w:val="center"/>
    </w:pPr>
    <w:rPr>
      <w:rFonts w:ascii="宋体" w:hAnsi="Calibri"/>
      <w:b/>
      <w:kern w:val="0"/>
      <w:sz w:val="20"/>
      <w:szCs w:val="20"/>
    </w:rPr>
  </w:style>
  <w:style w:type="paragraph" w:customStyle="1" w:styleId="449">
    <w:name w:val="toc 92"/>
    <w:next w:val="1"/>
    <w:autoRedefine/>
    <w:qFormat/>
    <w:uiPriority w:val="0"/>
    <w:pPr>
      <w:wordWrap w:val="0"/>
      <w:ind w:left="3400"/>
      <w:jc w:val="both"/>
    </w:pPr>
    <w:rPr>
      <w:rFonts w:ascii="Calibri" w:hAnsi="Calibri" w:eastAsia="宋体" w:cs="Times New Roman"/>
      <w:sz w:val="21"/>
      <w:lang w:val="en-US" w:eastAsia="zh-CN" w:bidi="ar-SA"/>
    </w:rPr>
  </w:style>
  <w:style w:type="paragraph" w:customStyle="1" w:styleId="450">
    <w:name w:val="toc 216"/>
    <w:next w:val="1"/>
    <w:autoRedefine/>
    <w:qFormat/>
    <w:uiPriority w:val="0"/>
    <w:pPr>
      <w:wordWrap w:val="0"/>
      <w:ind w:left="425"/>
      <w:jc w:val="both"/>
    </w:pPr>
    <w:rPr>
      <w:rFonts w:ascii="Calibri" w:hAnsi="Calibri" w:eastAsia="宋体" w:cs="Times New Roman"/>
      <w:sz w:val="21"/>
      <w:lang w:val="en-US" w:eastAsia="zh-CN" w:bidi="ar-SA"/>
    </w:rPr>
  </w:style>
  <w:style w:type="paragraph" w:customStyle="1" w:styleId="451">
    <w:name w:val="xl70"/>
    <w:basedOn w:val="1"/>
    <w:next w:val="377"/>
    <w:autoRedefine/>
    <w:qFormat/>
    <w:uiPriority w:val="0"/>
    <w:pPr>
      <w:widowControl/>
      <w:shd w:val="clear" w:color="000000" w:fill="FFFFFF"/>
      <w:spacing w:before="280" w:after="280"/>
    </w:pPr>
    <w:rPr>
      <w:rFonts w:ascii="宋体" w:hAnsi="Calibri"/>
      <w:kern w:val="0"/>
      <w:sz w:val="20"/>
      <w:szCs w:val="20"/>
    </w:rPr>
  </w:style>
  <w:style w:type="paragraph" w:customStyle="1" w:styleId="452">
    <w:name w:val="toc 33"/>
    <w:next w:val="1"/>
    <w:autoRedefine/>
    <w:qFormat/>
    <w:uiPriority w:val="0"/>
    <w:pPr>
      <w:wordWrap w:val="0"/>
      <w:ind w:left="850"/>
      <w:jc w:val="both"/>
    </w:pPr>
    <w:rPr>
      <w:rFonts w:ascii="Calibri" w:hAnsi="Calibri" w:eastAsia="宋体" w:cs="Times New Roman"/>
      <w:sz w:val="21"/>
      <w:lang w:val="en-US" w:eastAsia="zh-CN" w:bidi="ar-SA"/>
    </w:rPr>
  </w:style>
  <w:style w:type="paragraph" w:customStyle="1" w:styleId="453">
    <w:name w:val="toc 61"/>
    <w:next w:val="1"/>
    <w:autoRedefine/>
    <w:qFormat/>
    <w:uiPriority w:val="0"/>
    <w:pPr>
      <w:wordWrap w:val="0"/>
      <w:ind w:left="2125"/>
      <w:jc w:val="both"/>
    </w:pPr>
    <w:rPr>
      <w:rFonts w:ascii="Calibri" w:hAnsi="Calibri" w:eastAsia="宋体" w:cs="Times New Roman"/>
      <w:sz w:val="21"/>
      <w:lang w:val="en-US" w:eastAsia="zh-CN" w:bidi="ar-SA"/>
    </w:rPr>
  </w:style>
  <w:style w:type="paragraph" w:customStyle="1" w:styleId="454">
    <w:name w:val="xl98"/>
    <w:basedOn w:val="1"/>
    <w:next w:val="395"/>
    <w:autoRedefine/>
    <w:qFormat/>
    <w:uiPriority w:val="0"/>
    <w:pPr>
      <w:widowControl/>
      <w:shd w:val="clear" w:color="000000" w:fill="FFFFFF"/>
      <w:spacing w:before="280" w:after="280"/>
      <w:jc w:val="center"/>
    </w:pPr>
    <w:rPr>
      <w:rFonts w:ascii="宋体" w:hAnsi="Calibri"/>
      <w:kern w:val="0"/>
      <w:sz w:val="20"/>
      <w:szCs w:val="20"/>
    </w:rPr>
  </w:style>
  <w:style w:type="paragraph" w:customStyle="1" w:styleId="455">
    <w:name w:val="toc 26"/>
    <w:next w:val="1"/>
    <w:autoRedefine/>
    <w:qFormat/>
    <w:uiPriority w:val="0"/>
    <w:pPr>
      <w:wordWrap w:val="0"/>
      <w:ind w:left="425"/>
      <w:jc w:val="both"/>
    </w:pPr>
    <w:rPr>
      <w:rFonts w:ascii="Calibri" w:hAnsi="Calibri" w:eastAsia="宋体" w:cs="Times New Roman"/>
      <w:sz w:val="21"/>
      <w:lang w:val="en-US" w:eastAsia="zh-CN" w:bidi="ar-SA"/>
    </w:rPr>
  </w:style>
  <w:style w:type="paragraph" w:customStyle="1" w:styleId="456">
    <w:name w:val="toc 13"/>
    <w:next w:val="1"/>
    <w:autoRedefine/>
    <w:qFormat/>
    <w:uiPriority w:val="0"/>
    <w:pPr>
      <w:wordWrap w:val="0"/>
      <w:jc w:val="both"/>
    </w:pPr>
    <w:rPr>
      <w:rFonts w:ascii="Calibri" w:hAnsi="Calibri" w:eastAsia="宋体" w:cs="Times New Roman"/>
      <w:sz w:val="21"/>
      <w:lang w:val="en-US" w:eastAsia="zh-CN" w:bidi="ar-SA"/>
    </w:rPr>
  </w:style>
  <w:style w:type="paragraph" w:customStyle="1" w:styleId="457">
    <w:name w:val="目录 51"/>
    <w:next w:val="1"/>
    <w:autoRedefine/>
    <w:qFormat/>
    <w:uiPriority w:val="0"/>
    <w:pPr>
      <w:wordWrap w:val="0"/>
      <w:ind w:left="1700"/>
      <w:jc w:val="both"/>
    </w:pPr>
    <w:rPr>
      <w:rFonts w:ascii="Calibri" w:hAnsi="Calibri" w:eastAsia="宋体" w:cs="Times New Roman"/>
      <w:sz w:val="21"/>
      <w:lang w:val="en-US" w:eastAsia="zh-CN" w:bidi="ar-SA"/>
    </w:rPr>
  </w:style>
  <w:style w:type="paragraph" w:customStyle="1" w:styleId="458">
    <w:name w:val="xl101"/>
    <w:basedOn w:val="1"/>
    <w:next w:val="426"/>
    <w:autoRedefine/>
    <w:qFormat/>
    <w:uiPriority w:val="0"/>
    <w:pPr>
      <w:widowControl/>
      <w:spacing w:before="280" w:after="280"/>
    </w:pPr>
    <w:rPr>
      <w:rFonts w:ascii="宋体" w:hAnsi="Calibri"/>
      <w:kern w:val="0"/>
      <w:sz w:val="20"/>
      <w:szCs w:val="20"/>
    </w:rPr>
  </w:style>
  <w:style w:type="paragraph" w:customStyle="1" w:styleId="459">
    <w:name w:val="toc 75"/>
    <w:next w:val="1"/>
    <w:autoRedefine/>
    <w:qFormat/>
    <w:uiPriority w:val="0"/>
    <w:pPr>
      <w:wordWrap w:val="0"/>
      <w:ind w:left="2550"/>
      <w:jc w:val="both"/>
    </w:pPr>
    <w:rPr>
      <w:rFonts w:ascii="Calibri" w:hAnsi="Calibri" w:eastAsia="宋体" w:cs="Times New Roman"/>
      <w:sz w:val="21"/>
      <w:lang w:val="en-US" w:eastAsia="zh-CN" w:bidi="ar-SA"/>
    </w:rPr>
  </w:style>
  <w:style w:type="paragraph" w:customStyle="1" w:styleId="460">
    <w:name w:val="toc 715"/>
    <w:next w:val="1"/>
    <w:autoRedefine/>
    <w:qFormat/>
    <w:uiPriority w:val="0"/>
    <w:pPr>
      <w:wordWrap w:val="0"/>
      <w:ind w:left="2550"/>
      <w:jc w:val="both"/>
    </w:pPr>
    <w:rPr>
      <w:rFonts w:ascii="Calibri" w:hAnsi="Calibri" w:eastAsia="宋体" w:cs="Times New Roman"/>
      <w:sz w:val="21"/>
      <w:lang w:val="en-US" w:eastAsia="zh-CN" w:bidi="ar-SA"/>
    </w:rPr>
  </w:style>
  <w:style w:type="paragraph" w:styleId="461">
    <w:name w:val="Intense Quote"/>
    <w:next w:val="1"/>
    <w:link w:val="462"/>
    <w:autoRedefine/>
    <w:qFormat/>
    <w:uiPriority w:val="0"/>
    <w:pPr>
      <w:wordWrap w:val="0"/>
      <w:spacing w:before="360" w:after="360"/>
      <w:ind w:left="950" w:right="950"/>
      <w:jc w:val="center"/>
    </w:pPr>
    <w:rPr>
      <w:rFonts w:ascii="Calibri" w:hAnsi="Calibri" w:eastAsia="宋体" w:cs="Times New Roman"/>
      <w:i/>
      <w:sz w:val="21"/>
      <w:lang w:val="en-US" w:eastAsia="zh-CN" w:bidi="ar-SA"/>
    </w:rPr>
  </w:style>
  <w:style w:type="character" w:customStyle="1" w:styleId="462">
    <w:name w:val="明显引用 Char"/>
    <w:basedOn w:val="47"/>
    <w:link w:val="461"/>
    <w:autoRedefine/>
    <w:qFormat/>
    <w:uiPriority w:val="0"/>
    <w:rPr>
      <w:rFonts w:ascii="Calibri" w:hAnsi="Calibri"/>
      <w:i/>
      <w:sz w:val="21"/>
    </w:rPr>
  </w:style>
  <w:style w:type="paragraph" w:customStyle="1" w:styleId="463">
    <w:name w:val="Char Char Char Char Char Char Char"/>
    <w:basedOn w:val="1"/>
    <w:next w:val="447"/>
    <w:autoRedefine/>
    <w:qFormat/>
    <w:uiPriority w:val="0"/>
    <w:pPr>
      <w:widowControl/>
      <w:spacing w:after="160" w:line="240" w:lineRule="exact"/>
    </w:pPr>
    <w:rPr>
      <w:rFonts w:hAnsi="Calibri"/>
      <w:kern w:val="0"/>
      <w:szCs w:val="20"/>
    </w:rPr>
  </w:style>
  <w:style w:type="paragraph" w:customStyle="1" w:styleId="464">
    <w:name w:val="toc 23"/>
    <w:next w:val="1"/>
    <w:autoRedefine/>
    <w:qFormat/>
    <w:uiPriority w:val="0"/>
    <w:pPr>
      <w:wordWrap w:val="0"/>
      <w:ind w:left="425"/>
      <w:jc w:val="both"/>
    </w:pPr>
    <w:rPr>
      <w:rFonts w:ascii="Calibri" w:hAnsi="Calibri" w:eastAsia="宋体" w:cs="Times New Roman"/>
      <w:sz w:val="21"/>
      <w:lang w:val="en-US" w:eastAsia="zh-CN" w:bidi="ar-SA"/>
    </w:rPr>
  </w:style>
  <w:style w:type="paragraph" w:customStyle="1" w:styleId="465">
    <w:name w:val="目录 61"/>
    <w:next w:val="1"/>
    <w:autoRedefine/>
    <w:qFormat/>
    <w:uiPriority w:val="0"/>
    <w:pPr>
      <w:wordWrap w:val="0"/>
      <w:ind w:left="2125"/>
      <w:jc w:val="both"/>
    </w:pPr>
    <w:rPr>
      <w:rFonts w:ascii="Calibri" w:hAnsi="Calibri" w:eastAsia="宋体" w:cs="Times New Roman"/>
      <w:sz w:val="21"/>
      <w:lang w:val="en-US" w:eastAsia="zh-CN" w:bidi="ar-SA"/>
    </w:rPr>
  </w:style>
  <w:style w:type="paragraph" w:customStyle="1" w:styleId="466">
    <w:name w:val="toc 97"/>
    <w:next w:val="1"/>
    <w:autoRedefine/>
    <w:qFormat/>
    <w:uiPriority w:val="0"/>
    <w:pPr>
      <w:wordWrap w:val="0"/>
      <w:ind w:left="3400"/>
      <w:jc w:val="both"/>
    </w:pPr>
    <w:rPr>
      <w:rFonts w:ascii="Calibri" w:hAnsi="Calibri" w:eastAsia="宋体" w:cs="Times New Roman"/>
      <w:sz w:val="21"/>
      <w:lang w:val="en-US" w:eastAsia="zh-CN" w:bidi="ar-SA"/>
    </w:rPr>
  </w:style>
  <w:style w:type="paragraph" w:customStyle="1" w:styleId="467">
    <w:name w:val="toc 74"/>
    <w:next w:val="1"/>
    <w:autoRedefine/>
    <w:qFormat/>
    <w:uiPriority w:val="0"/>
    <w:pPr>
      <w:wordWrap w:val="0"/>
      <w:ind w:left="2550"/>
      <w:jc w:val="both"/>
    </w:pPr>
    <w:rPr>
      <w:rFonts w:ascii="Calibri" w:hAnsi="Calibri" w:eastAsia="宋体" w:cs="Times New Roman"/>
      <w:sz w:val="21"/>
      <w:lang w:val="en-US" w:eastAsia="zh-CN" w:bidi="ar-SA"/>
    </w:rPr>
  </w:style>
  <w:style w:type="paragraph" w:customStyle="1" w:styleId="468">
    <w:name w:val="xl64"/>
    <w:basedOn w:val="1"/>
    <w:next w:val="443"/>
    <w:autoRedefine/>
    <w:qFormat/>
    <w:uiPriority w:val="0"/>
    <w:pPr>
      <w:widowControl/>
      <w:shd w:val="clear" w:color="000000" w:fill="FFFFFF"/>
      <w:spacing w:before="280" w:after="280"/>
    </w:pPr>
    <w:rPr>
      <w:rFonts w:ascii="宋体" w:hAnsi="Calibri"/>
      <w:kern w:val="0"/>
      <w:sz w:val="20"/>
      <w:szCs w:val="20"/>
    </w:rPr>
  </w:style>
  <w:style w:type="paragraph" w:customStyle="1" w:styleId="469">
    <w:name w:val="xl82"/>
    <w:basedOn w:val="1"/>
    <w:next w:val="288"/>
    <w:autoRedefine/>
    <w:qFormat/>
    <w:uiPriority w:val="0"/>
    <w:pPr>
      <w:widowControl/>
      <w:shd w:val="clear" w:color="000000" w:fill="FFFFFF"/>
      <w:spacing w:before="280" w:after="280"/>
    </w:pPr>
    <w:rPr>
      <w:rFonts w:ascii="宋体" w:hAnsi="Calibri"/>
      <w:kern w:val="0"/>
      <w:sz w:val="20"/>
      <w:szCs w:val="20"/>
    </w:rPr>
  </w:style>
  <w:style w:type="paragraph" w:customStyle="1" w:styleId="470">
    <w:name w:val="toc 32"/>
    <w:next w:val="1"/>
    <w:autoRedefine/>
    <w:qFormat/>
    <w:uiPriority w:val="0"/>
    <w:pPr>
      <w:wordWrap w:val="0"/>
      <w:ind w:left="850"/>
      <w:jc w:val="both"/>
    </w:pPr>
    <w:rPr>
      <w:rFonts w:ascii="Calibri" w:hAnsi="Calibri" w:eastAsia="宋体" w:cs="Times New Roman"/>
      <w:sz w:val="21"/>
      <w:lang w:val="en-US" w:eastAsia="zh-CN" w:bidi="ar-SA"/>
    </w:rPr>
  </w:style>
  <w:style w:type="paragraph" w:customStyle="1" w:styleId="471">
    <w:name w:val="xl77"/>
    <w:basedOn w:val="1"/>
    <w:next w:val="436"/>
    <w:autoRedefine/>
    <w:qFormat/>
    <w:uiPriority w:val="0"/>
    <w:pPr>
      <w:widowControl/>
      <w:shd w:val="clear" w:color="000000" w:fill="FFFFFF"/>
      <w:spacing w:before="280" w:after="280"/>
      <w:jc w:val="center"/>
    </w:pPr>
    <w:rPr>
      <w:rFonts w:ascii="宋体" w:hAnsi="Calibri"/>
      <w:kern w:val="0"/>
      <w:sz w:val="20"/>
      <w:szCs w:val="20"/>
    </w:rPr>
  </w:style>
  <w:style w:type="character" w:customStyle="1" w:styleId="472">
    <w:name w:val="正文缩进 Char1"/>
    <w:autoRedefine/>
    <w:qFormat/>
    <w:uiPriority w:val="0"/>
    <w:rPr>
      <w:rFonts w:eastAsia="宋体"/>
      <w:kern w:val="2"/>
      <w:sz w:val="21"/>
      <w:lang w:val="en-US" w:eastAsia="zh-CN" w:bidi="ar-SA"/>
    </w:rPr>
  </w:style>
  <w:style w:type="character" w:customStyle="1" w:styleId="473">
    <w:name w:val="fielderror"/>
    <w:basedOn w:val="47"/>
    <w:autoRedefine/>
    <w:qFormat/>
    <w:uiPriority w:val="0"/>
    <w:rPr>
      <w:color w:val="800000"/>
    </w:rPr>
  </w:style>
  <w:style w:type="character" w:customStyle="1" w:styleId="474">
    <w:name w:val="hilite6"/>
    <w:basedOn w:val="47"/>
    <w:autoRedefine/>
    <w:qFormat/>
    <w:uiPriority w:val="0"/>
    <w:rPr>
      <w:color w:val="000000"/>
    </w:rPr>
  </w:style>
  <w:style w:type="character" w:customStyle="1" w:styleId="475">
    <w:name w:val="active6"/>
    <w:basedOn w:val="47"/>
    <w:autoRedefine/>
    <w:qFormat/>
    <w:uiPriority w:val="0"/>
    <w:rPr>
      <w:color w:val="FFFFFF"/>
    </w:rPr>
  </w:style>
  <w:style w:type="character" w:customStyle="1" w:styleId="476">
    <w:name w:val="inline-help"/>
    <w:basedOn w:val="47"/>
    <w:autoRedefine/>
    <w:qFormat/>
    <w:uiPriority w:val="0"/>
  </w:style>
  <w:style w:type="character" w:customStyle="1" w:styleId="477">
    <w:name w:val="active"/>
    <w:basedOn w:val="47"/>
    <w:autoRedefine/>
    <w:qFormat/>
    <w:uiPriority w:val="0"/>
    <w:rPr>
      <w:color w:val="FFFFFF"/>
    </w:rPr>
  </w:style>
  <w:style w:type="table" w:customStyle="1" w:styleId="478">
    <w:name w:val="网格型1"/>
    <w:basedOn w:val="44"/>
    <w:autoRedefine/>
    <w:qFormat/>
    <w:uiPriority w:val="39"/>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479">
    <w:name w:val="Revision"/>
    <w:autoRedefine/>
    <w:hidden/>
    <w:semiHidden/>
    <w:qFormat/>
    <w:uiPriority w:val="99"/>
    <w:rPr>
      <w:rFonts w:ascii="Times New Roman" w:hAnsi="Times New Roman" w:eastAsia="宋体" w:cs="Times New Roman"/>
      <w:kern w:val="2"/>
      <w:sz w:val="21"/>
      <w:szCs w:val="24"/>
      <w:lang w:val="en-US" w:eastAsia="zh-CN" w:bidi="ar-SA"/>
    </w:rPr>
  </w:style>
  <w:style w:type="table" w:customStyle="1" w:styleId="480">
    <w:name w:val="Table Normal"/>
    <w:autoRedefine/>
    <w:semiHidden/>
    <w:unhideWhenUsed/>
    <w:qFormat/>
    <w:uiPriority w:val="0"/>
    <w:rPr>
      <w:rFonts w:ascii="Arial" w:hAnsi="Arial" w:cs="Arial"/>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72</Pages>
  <Words>8235</Words>
  <Characters>8821</Characters>
  <Lines>368</Lines>
  <Paragraphs>103</Paragraphs>
  <TotalTime>70</TotalTime>
  <ScaleCrop>false</ScaleCrop>
  <LinksUpToDate>false</LinksUpToDate>
  <CharactersWithSpaces>8909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2021-05-07T05:47:00Z</dcterms:created>
  <dc:creator>thsware</dc:creator>
  <cp:lastModifiedBy>zhouzhoushuang</cp:lastModifiedBy>
  <cp:lastPrinted>2021-05-16T11:04:00Z</cp:lastPrinted>
  <dcterms:modified xsi:type="dcterms:W3CDTF">2025-10-23T09:46:54Z</dcterms:modified>
  <dc:title>招  标　文　件</dc:title>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3430D6CD8ABE478B88D2EBE12E4A1F38_13</vt:lpwstr>
  </property>
  <property fmtid="{D5CDD505-2E9C-101B-9397-08002B2CF9AE}" pid="4" name="KSOTemplateDocerSaveRecord">
    <vt:lpwstr>eyJoZGlkIjoiM2M4OGZjMzQ1NjNjODZlYWNmMTBmYmFiODBmNTgzMWQiLCJ1c2VySWQiOiIyMDM4MTc3NTkifQ==</vt:lpwstr>
  </property>
</Properties>
</file>