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C8369">
      <w:pPr>
        <w:rPr>
          <w:rFonts w:ascii="宋体" w:hAnsi="宋体" w:cs="宋体"/>
        </w:rPr>
      </w:pPr>
    </w:p>
    <w:p w14:paraId="5972C784">
      <w:pPr>
        <w:rPr>
          <w:rFonts w:ascii="宋体" w:hAnsi="宋体" w:cs="宋体"/>
        </w:rPr>
      </w:pPr>
    </w:p>
    <w:p w14:paraId="240BB7D5">
      <w:pPr>
        <w:rPr>
          <w:rFonts w:ascii="宋体" w:hAnsi="宋体" w:cs="宋体"/>
        </w:rPr>
      </w:pPr>
    </w:p>
    <w:p w14:paraId="25D35D58">
      <w:pPr>
        <w:pStyle w:val="28"/>
        <w:spacing w:after="0" w:line="1300" w:lineRule="exact"/>
        <w:ind w:left="0" w:leftChars="0" w:firstLine="0" w:firstLineChars="0"/>
        <w:jc w:val="center"/>
        <w:rPr>
          <w:rFonts w:ascii="宋体" w:hAnsi="宋体" w:cs="宋体"/>
          <w:b/>
          <w:bCs/>
          <w:sz w:val="96"/>
          <w:szCs w:val="96"/>
        </w:rPr>
      </w:pPr>
      <w:r>
        <w:rPr>
          <w:rFonts w:hint="eastAsia" w:ascii="Times New Roman" w:hAnsi="Times New Roman"/>
          <w:b/>
          <w:bCs/>
          <w:sz w:val="96"/>
          <w:szCs w:val="96"/>
        </w:rPr>
        <w:t>政府采购</w:t>
      </w:r>
      <w:r>
        <w:rPr>
          <w:rFonts w:hint="eastAsia" w:ascii="宋体" w:hAnsi="宋体" w:cs="宋体"/>
          <w:b/>
          <w:bCs/>
          <w:sz w:val="96"/>
          <w:szCs w:val="96"/>
        </w:rPr>
        <w:t>文件</w:t>
      </w:r>
    </w:p>
    <w:p w14:paraId="45B27163">
      <w:pPr>
        <w:jc w:val="center"/>
        <w:rPr>
          <w:rFonts w:ascii="宋体" w:hAnsi="宋体" w:cs="宋体"/>
          <w:sz w:val="52"/>
          <w:szCs w:val="52"/>
        </w:rPr>
      </w:pPr>
      <w:r>
        <w:rPr>
          <w:rFonts w:hint="eastAsia" w:ascii="宋体" w:hAnsi="宋体" w:cs="宋体"/>
          <w:sz w:val="52"/>
          <w:szCs w:val="52"/>
        </w:rPr>
        <w:t>【服务类】</w:t>
      </w:r>
    </w:p>
    <w:p w14:paraId="7EE75B7C">
      <w:pPr>
        <w:rPr>
          <w:rFonts w:ascii="宋体" w:hAnsi="宋体" w:cs="宋体"/>
          <w:sz w:val="44"/>
          <w:szCs w:val="44"/>
        </w:rPr>
      </w:pPr>
    </w:p>
    <w:p w14:paraId="42066338">
      <w:pPr>
        <w:pStyle w:val="28"/>
        <w:ind w:left="0" w:leftChars="0" w:firstLine="0" w:firstLineChars="0"/>
        <w:rPr>
          <w:rFonts w:ascii="宋体" w:hAnsi="宋体" w:cs="宋体"/>
        </w:rPr>
      </w:pPr>
      <w:r>
        <w:rPr>
          <w:rFonts w:hint="eastAsia" w:ascii="宋体" w:hAnsi="宋体" w:cs="宋体"/>
        </w:rPr>
        <w:t xml:space="preserve"> </w:t>
      </w:r>
    </w:p>
    <w:p w14:paraId="6FBD91A3">
      <w:pPr>
        <w:pStyle w:val="28"/>
        <w:ind w:left="0" w:leftChars="0" w:firstLine="0" w:firstLineChars="0"/>
        <w:jc w:val="center"/>
        <w:rPr>
          <w:rFonts w:hint="eastAsia" w:ascii="宋体" w:hAnsi="宋体" w:eastAsia="宋体" w:cs="宋体"/>
          <w:b/>
          <w:sz w:val="44"/>
          <w:szCs w:val="44"/>
          <w:lang w:eastAsia="zh-CN"/>
        </w:rPr>
      </w:pPr>
      <w:r>
        <w:rPr>
          <w:rFonts w:hint="eastAsia" w:ascii="宋体" w:hAnsi="宋体" w:cs="宋体"/>
          <w:b/>
          <w:sz w:val="44"/>
          <w:szCs w:val="44"/>
        </w:rPr>
        <w:t>项目编号：</w:t>
      </w:r>
      <w:r>
        <w:rPr>
          <w:rFonts w:hint="eastAsia" w:ascii="宋体" w:hAnsi="宋体" w:cs="宋体"/>
          <w:b/>
          <w:sz w:val="44"/>
          <w:szCs w:val="44"/>
          <w:lang w:eastAsia="zh-CN"/>
        </w:rPr>
        <w:t>3324-DH2532F1142</w:t>
      </w:r>
    </w:p>
    <w:p w14:paraId="46F9DE9B">
      <w:pPr>
        <w:pStyle w:val="28"/>
        <w:ind w:left="0" w:leftChars="0" w:firstLine="0" w:firstLineChars="0"/>
        <w:jc w:val="center"/>
        <w:rPr>
          <w:rFonts w:hint="eastAsia" w:ascii="宋体" w:hAnsi="宋体" w:eastAsia="宋体" w:cs="宋体"/>
          <w:b/>
          <w:sz w:val="44"/>
          <w:szCs w:val="44"/>
          <w:lang w:eastAsia="zh-CN"/>
        </w:rPr>
      </w:pPr>
      <w:r>
        <w:rPr>
          <w:rFonts w:hint="eastAsia" w:ascii="宋体" w:hAnsi="宋体" w:cs="宋体"/>
          <w:b/>
          <w:sz w:val="44"/>
          <w:szCs w:val="44"/>
        </w:rPr>
        <w:t>项目名称：</w:t>
      </w:r>
      <w:r>
        <w:rPr>
          <w:rFonts w:hint="eastAsia" w:ascii="宋体" w:hAnsi="宋体" w:cs="宋体"/>
          <w:b/>
          <w:sz w:val="44"/>
          <w:szCs w:val="44"/>
          <w:lang w:eastAsia="zh-CN"/>
        </w:rPr>
        <w:t>深圳市龙岗区南京师范大学附属龙岗学校购买教育服务项目</w:t>
      </w:r>
    </w:p>
    <w:p w14:paraId="5911BB08">
      <w:pPr>
        <w:jc w:val="center"/>
        <w:rPr>
          <w:rFonts w:ascii="宋体" w:hAnsi="宋体" w:cs="宋体"/>
          <w:b/>
          <w:sz w:val="44"/>
          <w:szCs w:val="44"/>
        </w:rPr>
      </w:pPr>
    </w:p>
    <w:p w14:paraId="4303D54D">
      <w:pPr>
        <w:pStyle w:val="28"/>
        <w:rPr>
          <w:rFonts w:ascii="宋体" w:hAnsi="宋体" w:cs="宋体"/>
        </w:rPr>
      </w:pPr>
      <w:r>
        <w:rPr>
          <w:rFonts w:hint="eastAsia" w:ascii="宋体" w:hAnsi="宋体" w:cs="宋体"/>
        </w:rPr>
        <w:drawing>
          <wp:anchor distT="0" distB="0" distL="114300" distR="114300" simplePos="0" relativeHeight="251659264" behindDoc="1" locked="0" layoutInCell="1" allowOverlap="1">
            <wp:simplePos x="0" y="0"/>
            <wp:positionH relativeFrom="column">
              <wp:posOffset>1248410</wp:posOffset>
            </wp:positionH>
            <wp:positionV relativeFrom="paragraph">
              <wp:posOffset>170815</wp:posOffset>
            </wp:positionV>
            <wp:extent cx="2633980" cy="2094230"/>
            <wp:effectExtent l="0" t="0" r="13970" b="1270"/>
            <wp:wrapTight wrapText="bothSides">
              <wp:wrapPolygon>
                <wp:start x="0" y="0"/>
                <wp:lineTo x="0" y="21417"/>
                <wp:lineTo x="21402" y="21417"/>
                <wp:lineTo x="21402" y="0"/>
                <wp:lineTo x="0" y="0"/>
              </wp:wrapPolygon>
            </wp:wrapTight>
            <wp:docPr id="1" name="图片 2"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公司logo"/>
                    <pic:cNvPicPr>
                      <a:picLocks noChangeAspect="1"/>
                    </pic:cNvPicPr>
                  </pic:nvPicPr>
                  <pic:blipFill>
                    <a:blip r:embed="rId8"/>
                    <a:stretch>
                      <a:fillRect/>
                    </a:stretch>
                  </pic:blipFill>
                  <pic:spPr>
                    <a:xfrm>
                      <a:off x="0" y="0"/>
                      <a:ext cx="2633980" cy="2094230"/>
                    </a:xfrm>
                    <a:prstGeom prst="rect">
                      <a:avLst/>
                    </a:prstGeom>
                    <a:noFill/>
                    <a:ln>
                      <a:noFill/>
                    </a:ln>
                  </pic:spPr>
                </pic:pic>
              </a:graphicData>
            </a:graphic>
          </wp:anchor>
        </w:drawing>
      </w:r>
    </w:p>
    <w:p w14:paraId="02352EC3">
      <w:pPr>
        <w:jc w:val="center"/>
        <w:rPr>
          <w:rFonts w:ascii="宋体" w:hAnsi="宋体" w:cs="宋体"/>
          <w:b/>
          <w:sz w:val="52"/>
          <w:szCs w:val="52"/>
        </w:rPr>
      </w:pPr>
    </w:p>
    <w:p w14:paraId="0DBEDC1F">
      <w:pPr>
        <w:rPr>
          <w:rFonts w:ascii="宋体" w:hAnsi="宋体" w:cs="宋体"/>
          <w:b/>
          <w:sz w:val="52"/>
          <w:szCs w:val="52"/>
        </w:rPr>
      </w:pPr>
    </w:p>
    <w:p w14:paraId="7C3FF51E">
      <w:pPr>
        <w:rPr>
          <w:rFonts w:ascii="宋体" w:hAnsi="宋体" w:cs="宋体"/>
          <w:sz w:val="52"/>
          <w:szCs w:val="52"/>
        </w:rPr>
      </w:pPr>
    </w:p>
    <w:p w14:paraId="15D28663">
      <w:pPr>
        <w:rPr>
          <w:rFonts w:ascii="宋体" w:hAnsi="宋体" w:cs="宋体"/>
          <w:b/>
          <w:sz w:val="44"/>
          <w:szCs w:val="44"/>
        </w:rPr>
      </w:pPr>
    </w:p>
    <w:p w14:paraId="746797CD">
      <w:pPr>
        <w:jc w:val="center"/>
        <w:rPr>
          <w:rFonts w:ascii="宋体" w:hAnsi="宋体" w:cs="宋体"/>
          <w:b/>
          <w:sz w:val="44"/>
          <w:szCs w:val="44"/>
        </w:rPr>
      </w:pPr>
    </w:p>
    <w:p w14:paraId="0085F44C">
      <w:pPr>
        <w:jc w:val="center"/>
        <w:rPr>
          <w:rFonts w:ascii="宋体" w:hAnsi="宋体" w:cs="宋体"/>
          <w:b/>
          <w:sz w:val="44"/>
          <w:szCs w:val="44"/>
        </w:rPr>
      </w:pPr>
    </w:p>
    <w:p w14:paraId="538B7305">
      <w:pPr>
        <w:jc w:val="center"/>
        <w:rPr>
          <w:rFonts w:ascii="宋体" w:hAnsi="宋体" w:cs="宋体"/>
          <w:b/>
          <w:sz w:val="44"/>
          <w:szCs w:val="44"/>
        </w:rPr>
      </w:pPr>
      <w:r>
        <w:rPr>
          <w:rFonts w:hint="eastAsia" w:ascii="宋体" w:hAnsi="宋体" w:cs="宋体"/>
          <w:b/>
          <w:sz w:val="44"/>
          <w:szCs w:val="44"/>
        </w:rPr>
        <w:t>深圳市东海国际招标有限公司</w:t>
      </w:r>
    </w:p>
    <w:p w14:paraId="2F20FBCD">
      <w:pPr>
        <w:pStyle w:val="28"/>
        <w:rPr>
          <w:rFonts w:ascii="宋体" w:hAnsi="宋体" w:cs="宋体"/>
        </w:rPr>
      </w:pPr>
    </w:p>
    <w:p w14:paraId="757F2D57">
      <w:pPr>
        <w:jc w:val="center"/>
        <w:rPr>
          <w:rFonts w:ascii="宋体" w:hAnsi="宋体" w:cs="宋体"/>
          <w:b/>
          <w:snapToGrid w:val="0"/>
          <w:sz w:val="44"/>
          <w:szCs w:val="44"/>
        </w:rPr>
      </w:pPr>
      <w:r>
        <w:rPr>
          <w:rFonts w:hint="eastAsia" w:ascii="宋体" w:hAnsi="宋体" w:cs="宋体"/>
          <w:b/>
          <w:bCs/>
          <w:sz w:val="44"/>
          <w:szCs w:val="44"/>
        </w:rPr>
        <w:t xml:space="preserve">二〇二五年 </w:t>
      </w:r>
      <w:r>
        <w:rPr>
          <w:rFonts w:hint="eastAsia" w:ascii="宋体" w:hAnsi="宋体" w:cs="宋体"/>
          <w:b/>
          <w:snapToGrid w:val="0"/>
          <w:sz w:val="44"/>
          <w:szCs w:val="44"/>
        </w:rPr>
        <w:t>· 中国深圳</w:t>
      </w:r>
    </w:p>
    <w:p w14:paraId="0ACA0469">
      <w:pPr>
        <w:keepNext/>
        <w:keepLines/>
        <w:spacing w:before="340" w:after="330" w:line="360" w:lineRule="auto"/>
        <w:jc w:val="center"/>
        <w:outlineLvl w:val="0"/>
        <w:rPr>
          <w:rFonts w:ascii="宋体" w:hAnsi="宋体" w:eastAsia="黑体"/>
          <w:b/>
          <w:bCs/>
          <w:color w:val="FF0000"/>
          <w:kern w:val="44"/>
          <w:sz w:val="32"/>
          <w:szCs w:val="32"/>
        </w:rPr>
      </w:pPr>
      <w:r>
        <w:rPr>
          <w:rFonts w:hint="eastAsia" w:ascii="宋体" w:hAnsi="宋体" w:cs="宋体"/>
          <w:b/>
          <w:snapToGrid w:val="0"/>
          <w:sz w:val="44"/>
        </w:rPr>
        <w:br w:type="page"/>
      </w:r>
      <w:r>
        <w:rPr>
          <w:rFonts w:hint="eastAsia" w:ascii="宋体" w:hAnsi="宋体" w:eastAsia="黑体" w:cs="黑体"/>
          <w:b/>
          <w:bCs/>
          <w:color w:val="FF0000"/>
          <w:kern w:val="44"/>
          <w:sz w:val="32"/>
          <w:szCs w:val="32"/>
        </w:rPr>
        <w:t>特别警示条款</w:t>
      </w:r>
    </w:p>
    <w:p w14:paraId="7CB44234">
      <w:pPr>
        <w:pBdr>
          <w:top w:val="none" w:color="auto" w:sz="0" w:space="1"/>
          <w:left w:val="none" w:color="auto" w:sz="0" w:space="4"/>
          <w:bottom w:val="none" w:color="auto" w:sz="0" w:space="1"/>
          <w:right w:val="none" w:color="auto" w:sz="0" w:space="4"/>
        </w:pBdr>
        <w:spacing w:after="240" w:afterLines="100" w:line="400" w:lineRule="exact"/>
        <w:ind w:firstLine="422" w:firstLineChars="200"/>
        <w:rPr>
          <w:rFonts w:ascii="宋体" w:hAnsi="宋体" w:cs="宋体"/>
          <w:b/>
          <w:bCs/>
          <w:color w:val="FF0000"/>
          <w:szCs w:val="21"/>
          <w:highlight w:val="yellow"/>
        </w:rPr>
      </w:pPr>
      <w:r>
        <w:rPr>
          <w:rFonts w:hint="eastAsia" w:ascii="宋体" w:hAnsi="宋体" w:cs="宋体"/>
          <w:b/>
          <w:bCs/>
          <w:color w:val="FF0000"/>
          <w:szCs w:val="21"/>
          <w:highlight w:val="yellow"/>
        </w:rPr>
        <w:t>参与本项目政府采购活动的供应商应认真阅读以下特别警示条款，不得存在以下所列禁止情形，一旦发现，将被处以记入供应商诚信档案、罚款、取消参与政府采购资格、吊销营业执照等处罚；构成犯罪的，依法追究刑事责任。</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1"/>
        <w:gridCol w:w="7711"/>
      </w:tblGrid>
      <w:tr w14:paraId="7F54F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811" w:type="dxa"/>
            <w:tcBorders>
              <w:tl2br w:val="nil"/>
              <w:tr2bl w:val="nil"/>
            </w:tcBorders>
            <w:vAlign w:val="center"/>
          </w:tcPr>
          <w:p w14:paraId="2E97CB46">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序号</w:t>
            </w:r>
          </w:p>
        </w:tc>
        <w:tc>
          <w:tcPr>
            <w:tcW w:w="7711" w:type="dxa"/>
            <w:tcBorders>
              <w:tl2br w:val="nil"/>
              <w:tr2bl w:val="nil"/>
            </w:tcBorders>
            <w:vAlign w:val="center"/>
          </w:tcPr>
          <w:p w14:paraId="0E89C06B">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b/>
                <w:bCs/>
                <w:color w:val="FF0000"/>
                <w:szCs w:val="21"/>
              </w:rPr>
              <w:t>供应商参与投标禁止情形</w:t>
            </w:r>
          </w:p>
        </w:tc>
      </w:tr>
      <w:tr w14:paraId="1A48F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38F62A29">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1</w:t>
            </w:r>
          </w:p>
        </w:tc>
        <w:tc>
          <w:tcPr>
            <w:tcW w:w="7711" w:type="dxa"/>
            <w:tcBorders>
              <w:tl2br w:val="nil"/>
              <w:tr2bl w:val="nil"/>
            </w:tcBorders>
            <w:vAlign w:val="center"/>
          </w:tcPr>
          <w:p w14:paraId="684702EE">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与其他投标供应商的法定代表人、主要经营负责人、投标授权代表人、项目负责人、主要技术人员为</w:t>
            </w:r>
            <w:r>
              <w:rPr>
                <w:rFonts w:hint="eastAsia" w:ascii="宋体" w:hAnsi="宋体" w:cs="宋体"/>
                <w:b/>
                <w:bCs/>
                <w:color w:val="FF0000"/>
                <w:szCs w:val="21"/>
              </w:rPr>
              <w:t>同一人、属同一单位或者在同一单位缴纳社会保险</w:t>
            </w:r>
            <w:r>
              <w:rPr>
                <w:rFonts w:hint="eastAsia" w:ascii="宋体" w:hAnsi="宋体" w:cs="宋体"/>
                <w:color w:val="FF0000"/>
                <w:szCs w:val="21"/>
              </w:rPr>
              <w:t>。</w:t>
            </w:r>
          </w:p>
        </w:tc>
      </w:tr>
      <w:tr w14:paraId="724D7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1" w:type="dxa"/>
            <w:tcBorders>
              <w:tl2br w:val="nil"/>
              <w:tr2bl w:val="nil"/>
            </w:tcBorders>
            <w:vAlign w:val="center"/>
          </w:tcPr>
          <w:p w14:paraId="0A66D4D5">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2</w:t>
            </w:r>
          </w:p>
        </w:tc>
        <w:tc>
          <w:tcPr>
            <w:tcW w:w="7711" w:type="dxa"/>
            <w:tcBorders>
              <w:tl2br w:val="nil"/>
              <w:tr2bl w:val="nil"/>
            </w:tcBorders>
            <w:vAlign w:val="center"/>
          </w:tcPr>
          <w:p w14:paraId="50B95058">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参与本项目政府采购活动时，与其他投标供应商存在单位负责人为</w:t>
            </w:r>
            <w:r>
              <w:rPr>
                <w:rFonts w:hint="eastAsia" w:ascii="宋体" w:hAnsi="宋体" w:cs="宋体"/>
                <w:b/>
                <w:bCs/>
                <w:color w:val="FF0000"/>
                <w:szCs w:val="21"/>
              </w:rPr>
              <w:t>同一人或直接控股、管理关系</w:t>
            </w:r>
            <w:r>
              <w:rPr>
                <w:rFonts w:hint="eastAsia" w:ascii="宋体" w:hAnsi="宋体" w:cs="宋体"/>
                <w:color w:val="FF0000"/>
                <w:szCs w:val="21"/>
              </w:rPr>
              <w:t>。</w:t>
            </w:r>
          </w:p>
        </w:tc>
      </w:tr>
      <w:tr w14:paraId="1AF56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1" w:type="dxa"/>
            <w:tcBorders>
              <w:tl2br w:val="nil"/>
              <w:tr2bl w:val="nil"/>
            </w:tcBorders>
            <w:vAlign w:val="center"/>
          </w:tcPr>
          <w:p w14:paraId="5C10DB87">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3</w:t>
            </w:r>
          </w:p>
        </w:tc>
        <w:tc>
          <w:tcPr>
            <w:tcW w:w="7711" w:type="dxa"/>
            <w:tcBorders>
              <w:tl2br w:val="nil"/>
              <w:tr2bl w:val="nil"/>
            </w:tcBorders>
            <w:vAlign w:val="center"/>
          </w:tcPr>
          <w:p w14:paraId="7F76B006">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与其他投标供应商的投标文件或部分投标文件</w:t>
            </w:r>
            <w:r>
              <w:rPr>
                <w:rFonts w:hint="eastAsia" w:ascii="宋体" w:hAnsi="宋体" w:cs="宋体"/>
                <w:b/>
                <w:bCs/>
                <w:color w:val="FF0000"/>
                <w:szCs w:val="21"/>
              </w:rPr>
              <w:t>相互混装或存在非正常一致</w:t>
            </w:r>
            <w:r>
              <w:rPr>
                <w:rFonts w:hint="eastAsia" w:ascii="宋体" w:hAnsi="宋体" w:cs="宋体"/>
                <w:color w:val="FF0000"/>
                <w:szCs w:val="21"/>
              </w:rPr>
              <w:t>。</w:t>
            </w:r>
          </w:p>
        </w:tc>
      </w:tr>
      <w:tr w14:paraId="03F8B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5" w:hRule="atLeast"/>
        </w:trPr>
        <w:tc>
          <w:tcPr>
            <w:tcW w:w="811" w:type="dxa"/>
            <w:tcBorders>
              <w:tl2br w:val="nil"/>
              <w:tr2bl w:val="nil"/>
            </w:tcBorders>
            <w:vAlign w:val="center"/>
          </w:tcPr>
          <w:p w14:paraId="183C1275">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4</w:t>
            </w:r>
          </w:p>
        </w:tc>
        <w:tc>
          <w:tcPr>
            <w:tcW w:w="7711" w:type="dxa"/>
            <w:tcBorders>
              <w:tl2br w:val="nil"/>
              <w:tr2bl w:val="nil"/>
            </w:tcBorders>
            <w:vAlign w:val="center"/>
          </w:tcPr>
          <w:p w14:paraId="352C9459">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与其他投标供应商的投标文件由</w:t>
            </w:r>
            <w:r>
              <w:rPr>
                <w:rFonts w:hint="eastAsia" w:ascii="宋体" w:hAnsi="宋体" w:cs="宋体"/>
                <w:b/>
                <w:bCs/>
                <w:color w:val="FF0000"/>
                <w:szCs w:val="21"/>
              </w:rPr>
              <w:t>同一单位或者同一人编制</w:t>
            </w:r>
            <w:r>
              <w:rPr>
                <w:rFonts w:hint="eastAsia" w:ascii="宋体" w:hAnsi="宋体" w:cs="宋体"/>
                <w:color w:val="FF0000"/>
                <w:szCs w:val="21"/>
              </w:rPr>
              <w:t>，或者使用</w:t>
            </w:r>
            <w:r>
              <w:rPr>
                <w:rFonts w:hint="eastAsia" w:ascii="宋体" w:hAnsi="宋体" w:cs="宋体"/>
                <w:b/>
                <w:bCs/>
                <w:color w:val="FF0000"/>
                <w:szCs w:val="21"/>
              </w:rPr>
              <w:t>同一设备编制</w:t>
            </w:r>
            <w:r>
              <w:rPr>
                <w:rFonts w:hint="eastAsia" w:ascii="宋体" w:hAnsi="宋体" w:cs="宋体"/>
                <w:color w:val="FF0000"/>
                <w:szCs w:val="21"/>
              </w:rPr>
              <w:t>（“文件制作机器码”“文件创建标识码”一致）。</w:t>
            </w:r>
          </w:p>
        </w:tc>
      </w:tr>
      <w:tr w14:paraId="335FC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811" w:type="dxa"/>
            <w:tcBorders>
              <w:tl2br w:val="nil"/>
              <w:tr2bl w:val="nil"/>
            </w:tcBorders>
            <w:vAlign w:val="center"/>
          </w:tcPr>
          <w:p w14:paraId="5A36CE1A">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5</w:t>
            </w:r>
          </w:p>
        </w:tc>
        <w:tc>
          <w:tcPr>
            <w:tcW w:w="7711" w:type="dxa"/>
            <w:tcBorders>
              <w:tl2br w:val="nil"/>
              <w:tr2bl w:val="nil"/>
            </w:tcBorders>
            <w:vAlign w:val="center"/>
          </w:tcPr>
          <w:p w14:paraId="069FF4EC">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提供</w:t>
            </w:r>
            <w:r>
              <w:rPr>
                <w:rFonts w:hint="eastAsia" w:ascii="宋体" w:hAnsi="宋体" w:cs="宋体"/>
                <w:b/>
                <w:bCs/>
                <w:color w:val="FF0000"/>
                <w:szCs w:val="21"/>
              </w:rPr>
              <w:t>未经出具机构核实</w:t>
            </w:r>
            <w:r>
              <w:rPr>
                <w:rFonts w:hint="eastAsia" w:ascii="宋体" w:hAnsi="宋体" w:cs="宋体"/>
                <w:color w:val="FF0000"/>
                <w:szCs w:val="21"/>
              </w:rPr>
              <w:t>的虚假的检验检测报告、业绩材料、社保缴纳证明、学历学位证书、职称认证证书等材料。</w:t>
            </w:r>
          </w:p>
        </w:tc>
      </w:tr>
      <w:tr w14:paraId="4F7081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trPr>
        <w:tc>
          <w:tcPr>
            <w:tcW w:w="811" w:type="dxa"/>
            <w:tcBorders>
              <w:tl2br w:val="nil"/>
              <w:tr2bl w:val="nil"/>
            </w:tcBorders>
            <w:vAlign w:val="center"/>
          </w:tcPr>
          <w:p w14:paraId="610F7BFB">
            <w:pPr>
              <w:pBdr>
                <w:top w:val="none" w:color="auto" w:sz="0" w:space="1"/>
                <w:left w:val="none" w:color="auto" w:sz="0" w:space="4"/>
                <w:bottom w:val="none" w:color="auto" w:sz="0" w:space="1"/>
                <w:right w:val="none" w:color="auto" w:sz="0" w:space="4"/>
              </w:pBdr>
              <w:spacing w:line="400" w:lineRule="exact"/>
              <w:jc w:val="center"/>
              <w:rPr>
                <w:rFonts w:ascii="宋体" w:hAnsi="宋体" w:cs="宋体"/>
                <w:color w:val="FF0000"/>
                <w:szCs w:val="21"/>
              </w:rPr>
            </w:pPr>
            <w:r>
              <w:rPr>
                <w:rFonts w:hint="eastAsia" w:ascii="宋体" w:hAnsi="宋体" w:cs="宋体"/>
                <w:color w:val="FF0000"/>
                <w:szCs w:val="21"/>
              </w:rPr>
              <w:t>6</w:t>
            </w:r>
          </w:p>
        </w:tc>
        <w:tc>
          <w:tcPr>
            <w:tcW w:w="7711" w:type="dxa"/>
            <w:tcBorders>
              <w:tl2br w:val="nil"/>
              <w:tr2bl w:val="nil"/>
            </w:tcBorders>
            <w:vAlign w:val="center"/>
          </w:tcPr>
          <w:p w14:paraId="1A1F0393">
            <w:pPr>
              <w:pBdr>
                <w:top w:val="none" w:color="auto" w:sz="0" w:space="1"/>
                <w:left w:val="none" w:color="auto" w:sz="0" w:space="4"/>
                <w:bottom w:val="none" w:color="auto" w:sz="0" w:space="1"/>
                <w:right w:val="none" w:color="auto" w:sz="0" w:space="4"/>
              </w:pBdr>
              <w:spacing w:line="400" w:lineRule="exact"/>
              <w:jc w:val="left"/>
              <w:rPr>
                <w:rFonts w:ascii="宋体" w:hAnsi="宋体" w:cs="宋体"/>
                <w:color w:val="FF0000"/>
                <w:szCs w:val="21"/>
              </w:rPr>
            </w:pPr>
            <w:r>
              <w:rPr>
                <w:rFonts w:hint="eastAsia" w:ascii="宋体" w:hAnsi="宋体" w:cs="宋体"/>
                <w:color w:val="FF0000"/>
                <w:szCs w:val="21"/>
              </w:rPr>
              <w:t>擅自将投标密钥或电子营业执照出借他人使用或未妥善保管。</w:t>
            </w:r>
          </w:p>
        </w:tc>
      </w:tr>
    </w:tbl>
    <w:p w14:paraId="6B8102F2">
      <w:pPr>
        <w:ind w:firstLine="420" w:firstLineChars="200"/>
        <w:rPr>
          <w:rFonts w:ascii="宋体" w:hAnsi="宋体"/>
          <w:szCs w:val="21"/>
        </w:rPr>
      </w:pPr>
      <w:r>
        <w:rPr>
          <w:rFonts w:hint="eastAsia" w:ascii="宋体" w:hAnsi="宋体"/>
          <w:szCs w:val="21"/>
        </w:rPr>
        <w:t>一、</w:t>
      </w:r>
      <w:r>
        <w:rPr>
          <w:rFonts w:hint="eastAsia" w:ascii="宋体" w:hAnsi="宋体"/>
          <w:b/>
          <w:bCs/>
          <w:szCs w:val="21"/>
        </w:rPr>
        <w:t>《深圳经济特区政府采购条例》第五十七条</w:t>
      </w:r>
      <w:r>
        <w:rPr>
          <w:rFonts w:hint="eastAsia" w:ascii="宋体" w:hAnsi="宋体"/>
          <w:szCs w:val="21"/>
        </w:rPr>
        <w:t xml:space="preserve"> 供应商在政府采购中，有下列行为之一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构成犯罪的，依法追究刑事责任：</w:t>
      </w:r>
    </w:p>
    <w:p w14:paraId="66F2ABB5">
      <w:pPr>
        <w:ind w:firstLine="420" w:firstLineChars="200"/>
        <w:rPr>
          <w:rFonts w:ascii="宋体" w:hAnsi="宋体"/>
          <w:szCs w:val="21"/>
        </w:rPr>
      </w:pPr>
      <w:r>
        <w:rPr>
          <w:rFonts w:hint="eastAsia" w:ascii="宋体" w:hAnsi="宋体"/>
          <w:szCs w:val="21"/>
        </w:rPr>
        <w:t>（一）在采购活动中应当回避而未回避的；</w:t>
      </w:r>
    </w:p>
    <w:p w14:paraId="4DAD07A9">
      <w:pPr>
        <w:ind w:firstLine="420" w:firstLineChars="200"/>
        <w:rPr>
          <w:rFonts w:ascii="宋体" w:hAnsi="宋体"/>
          <w:szCs w:val="21"/>
        </w:rPr>
      </w:pPr>
      <w:r>
        <w:rPr>
          <w:rFonts w:hint="eastAsia" w:ascii="宋体" w:hAnsi="宋体"/>
          <w:szCs w:val="21"/>
        </w:rPr>
        <w:t>（二）未按本条例规定签订、履行采购合同，造成严重后果的；</w:t>
      </w:r>
    </w:p>
    <w:p w14:paraId="59B9C59E">
      <w:pPr>
        <w:ind w:firstLine="420" w:firstLineChars="200"/>
        <w:rPr>
          <w:rFonts w:ascii="宋体" w:hAnsi="宋体"/>
          <w:szCs w:val="21"/>
        </w:rPr>
      </w:pPr>
      <w:r>
        <w:rPr>
          <w:rFonts w:hint="eastAsia" w:ascii="宋体" w:hAnsi="宋体"/>
          <w:szCs w:val="21"/>
        </w:rPr>
        <w:t>（三）隐瞒真实情况，提供虚假资料的；</w:t>
      </w:r>
    </w:p>
    <w:p w14:paraId="55A70FDE">
      <w:pPr>
        <w:ind w:firstLine="420" w:firstLineChars="200"/>
        <w:rPr>
          <w:rFonts w:ascii="宋体" w:hAnsi="宋体"/>
          <w:szCs w:val="21"/>
        </w:rPr>
      </w:pPr>
      <w:r>
        <w:rPr>
          <w:rFonts w:hint="eastAsia" w:ascii="宋体" w:hAnsi="宋体"/>
          <w:szCs w:val="21"/>
        </w:rPr>
        <w:t>（四）以非法手段排斥其他供应商参与竞争的；</w:t>
      </w:r>
    </w:p>
    <w:p w14:paraId="4B333E87">
      <w:pPr>
        <w:ind w:firstLine="420" w:firstLineChars="200"/>
        <w:rPr>
          <w:rFonts w:ascii="宋体" w:hAnsi="宋体"/>
          <w:szCs w:val="21"/>
        </w:rPr>
      </w:pPr>
      <w:r>
        <w:rPr>
          <w:rFonts w:hint="eastAsia" w:ascii="宋体" w:hAnsi="宋体"/>
          <w:szCs w:val="21"/>
        </w:rPr>
        <w:t>（五）与其他采购参加人串通投标的；</w:t>
      </w:r>
    </w:p>
    <w:p w14:paraId="2BB63682">
      <w:pPr>
        <w:ind w:firstLine="420" w:firstLineChars="200"/>
        <w:rPr>
          <w:rFonts w:ascii="宋体" w:hAnsi="宋体"/>
          <w:szCs w:val="21"/>
        </w:rPr>
      </w:pPr>
      <w:r>
        <w:rPr>
          <w:rFonts w:hint="eastAsia" w:ascii="宋体" w:hAnsi="宋体"/>
          <w:szCs w:val="21"/>
        </w:rPr>
        <w:t>（六）恶意投诉的；</w:t>
      </w:r>
    </w:p>
    <w:p w14:paraId="57125FE2">
      <w:pPr>
        <w:ind w:firstLine="420" w:firstLineChars="200"/>
        <w:rPr>
          <w:rFonts w:ascii="宋体" w:hAnsi="宋体"/>
          <w:szCs w:val="21"/>
        </w:rPr>
      </w:pPr>
      <w:r>
        <w:rPr>
          <w:rFonts w:hint="eastAsia" w:ascii="宋体" w:hAnsi="宋体"/>
          <w:szCs w:val="21"/>
        </w:rPr>
        <w:t>（七）向采购项目相关人行贿或者提供其他不当利益的；</w:t>
      </w:r>
    </w:p>
    <w:p w14:paraId="0E80ABA7">
      <w:pPr>
        <w:ind w:firstLine="420" w:firstLineChars="200"/>
        <w:rPr>
          <w:rFonts w:ascii="宋体" w:hAnsi="宋体"/>
          <w:szCs w:val="21"/>
        </w:rPr>
      </w:pPr>
      <w:r>
        <w:rPr>
          <w:rFonts w:hint="eastAsia" w:ascii="宋体" w:hAnsi="宋体"/>
          <w:szCs w:val="21"/>
        </w:rPr>
        <w:t>（八）阻碍、抗拒主管部门监督检查的；</w:t>
      </w:r>
    </w:p>
    <w:p w14:paraId="6AF1E9D2">
      <w:pPr>
        <w:ind w:firstLine="420" w:firstLineChars="200"/>
        <w:rPr>
          <w:rFonts w:ascii="宋体" w:hAnsi="宋体"/>
          <w:szCs w:val="21"/>
        </w:rPr>
      </w:pPr>
      <w:r>
        <w:rPr>
          <w:rFonts w:hint="eastAsia" w:ascii="宋体" w:hAnsi="宋体"/>
          <w:szCs w:val="21"/>
        </w:rPr>
        <w:t>（九）其他违反本条例规定的行为。</w:t>
      </w:r>
    </w:p>
    <w:p w14:paraId="1A13389E">
      <w:pPr>
        <w:ind w:firstLine="422" w:firstLineChars="200"/>
        <w:rPr>
          <w:rFonts w:ascii="宋体" w:hAnsi="宋体"/>
          <w:szCs w:val="21"/>
        </w:rPr>
      </w:pPr>
      <w:r>
        <w:rPr>
          <w:rFonts w:hint="eastAsia" w:ascii="宋体" w:hAnsi="宋体"/>
          <w:b/>
          <w:bCs/>
          <w:szCs w:val="21"/>
        </w:rPr>
        <w:t>二、《深圳经济特区政府采购条例实施细则》第七十五条 </w:t>
      </w:r>
      <w:r>
        <w:rPr>
          <w:rFonts w:hint="eastAsia" w:ascii="宋体" w:hAnsi="宋体"/>
          <w:szCs w:val="21"/>
        </w:rPr>
        <w:t>供应商有下列情形的，属于采购条例所称的串通投标行为，按照采购条例第五十七条有关规定处理：</w:t>
      </w:r>
    </w:p>
    <w:p w14:paraId="231149D6">
      <w:pPr>
        <w:ind w:firstLine="420" w:firstLineChars="200"/>
        <w:rPr>
          <w:rFonts w:ascii="宋体" w:hAnsi="宋体"/>
          <w:szCs w:val="21"/>
        </w:rPr>
      </w:pPr>
      <w:r>
        <w:rPr>
          <w:rFonts w:hint="eastAsia" w:ascii="宋体" w:hAnsi="宋体"/>
          <w:szCs w:val="21"/>
        </w:rPr>
        <w:t>（一）投标供应商之间相互约定给予未中标的供应商利益补偿；</w:t>
      </w:r>
    </w:p>
    <w:p w14:paraId="3C5A5BAD">
      <w:pPr>
        <w:ind w:firstLine="420" w:firstLineChars="200"/>
        <w:rPr>
          <w:rFonts w:ascii="宋体" w:hAnsi="宋体"/>
          <w:szCs w:val="21"/>
        </w:rPr>
      </w:pPr>
      <w:r>
        <w:rPr>
          <w:rFonts w:hint="eastAsia" w:ascii="宋体" w:hAnsi="宋体"/>
          <w:szCs w:val="21"/>
        </w:rPr>
        <w:t>（二）不同投标供应商的法定代表人、主要经营负责人、项目投标授权代表人、项目负责人、主要技术人员为同一人、属同一单位或者在同一单位缴纳社会保险；</w:t>
      </w:r>
    </w:p>
    <w:p w14:paraId="6E4C7E10">
      <w:pPr>
        <w:ind w:firstLine="420" w:firstLineChars="200"/>
        <w:rPr>
          <w:rFonts w:ascii="宋体" w:hAnsi="宋体"/>
          <w:szCs w:val="21"/>
        </w:rPr>
      </w:pPr>
      <w:r>
        <w:rPr>
          <w:rFonts w:hint="eastAsia" w:ascii="宋体" w:hAnsi="宋体"/>
          <w:szCs w:val="21"/>
        </w:rPr>
        <w:t>（三）不同投标供应商的投标文件由同一单位或者同一人编制，或者由同一人分阶段参与编制的；</w:t>
      </w:r>
    </w:p>
    <w:p w14:paraId="5A6F1C4E">
      <w:pPr>
        <w:ind w:firstLine="420" w:firstLineChars="200"/>
        <w:rPr>
          <w:rFonts w:ascii="宋体" w:hAnsi="宋体"/>
          <w:szCs w:val="21"/>
        </w:rPr>
      </w:pPr>
      <w:r>
        <w:rPr>
          <w:rFonts w:hint="eastAsia" w:ascii="宋体" w:hAnsi="宋体"/>
          <w:szCs w:val="21"/>
        </w:rPr>
        <w:t>（四）不同投标供应商的投标文件或部分投标文件相互混装；</w:t>
      </w:r>
    </w:p>
    <w:p w14:paraId="542B64A9">
      <w:pPr>
        <w:ind w:firstLine="420" w:firstLineChars="200"/>
        <w:rPr>
          <w:rFonts w:ascii="宋体" w:hAnsi="宋体"/>
          <w:szCs w:val="21"/>
        </w:rPr>
      </w:pPr>
      <w:r>
        <w:rPr>
          <w:rFonts w:hint="eastAsia" w:ascii="宋体" w:hAnsi="宋体"/>
          <w:szCs w:val="21"/>
        </w:rPr>
        <w:t>（五）不同投标供应商的投标文件内容存在非正常一致；</w:t>
      </w:r>
    </w:p>
    <w:p w14:paraId="2796F5E9">
      <w:pPr>
        <w:ind w:firstLine="420" w:firstLineChars="200"/>
        <w:rPr>
          <w:rFonts w:ascii="宋体" w:hAnsi="宋体"/>
          <w:szCs w:val="21"/>
        </w:rPr>
      </w:pPr>
      <w:r>
        <w:rPr>
          <w:rFonts w:hint="eastAsia" w:ascii="宋体" w:hAnsi="宋体"/>
          <w:szCs w:val="21"/>
        </w:rPr>
        <w:t>（六）由同一单位工作人员为两家以上（含两家）供应商进行同一项投标活动的；</w:t>
      </w:r>
    </w:p>
    <w:p w14:paraId="691D8642">
      <w:pPr>
        <w:ind w:firstLine="420" w:firstLineChars="200"/>
        <w:rPr>
          <w:rFonts w:ascii="宋体" w:hAnsi="宋体"/>
          <w:szCs w:val="21"/>
        </w:rPr>
      </w:pPr>
      <w:r>
        <w:rPr>
          <w:rFonts w:hint="eastAsia" w:ascii="宋体" w:hAnsi="宋体"/>
          <w:szCs w:val="21"/>
        </w:rPr>
        <w:t>（七）主管部门依照法律、法规认定的其他情形。</w:t>
      </w:r>
    </w:p>
    <w:p w14:paraId="0D1D652E">
      <w:pPr>
        <w:ind w:firstLine="422" w:firstLineChars="200"/>
        <w:rPr>
          <w:rFonts w:ascii="宋体" w:hAnsi="宋体"/>
          <w:szCs w:val="21"/>
        </w:rPr>
      </w:pPr>
      <w:r>
        <w:rPr>
          <w:rFonts w:hint="eastAsia" w:ascii="宋体" w:hAnsi="宋体"/>
          <w:b/>
          <w:bCs/>
          <w:szCs w:val="21"/>
        </w:rPr>
        <w:t>三、《深圳经济特区政府采购条例实施细则》第七十七条 </w:t>
      </w:r>
      <w:r>
        <w:rPr>
          <w:rFonts w:hint="eastAsia" w:ascii="宋体" w:hAnsi="宋体"/>
          <w:szCs w:val="21"/>
        </w:rPr>
        <w:t>供应商有下列情形之一的，属于隐瞒真实情况，提供虚假资料，按照采购条例第五十七条的有关规定处理：</w:t>
      </w:r>
    </w:p>
    <w:p w14:paraId="2E5C7019">
      <w:pPr>
        <w:ind w:firstLine="420" w:firstLineChars="200"/>
        <w:rPr>
          <w:rFonts w:ascii="宋体" w:hAnsi="宋体"/>
          <w:szCs w:val="21"/>
        </w:rPr>
      </w:pPr>
      <w:r>
        <w:rPr>
          <w:rFonts w:hint="eastAsia" w:ascii="宋体" w:hAnsi="宋体"/>
          <w:szCs w:val="21"/>
        </w:rPr>
        <w:t>（一）通过转让或者租借等方式从其他单位获取资格或者资质证书投标的；</w:t>
      </w:r>
    </w:p>
    <w:p w14:paraId="5045353A">
      <w:pPr>
        <w:ind w:firstLine="420" w:firstLineChars="200"/>
        <w:rPr>
          <w:rFonts w:ascii="宋体" w:hAnsi="宋体"/>
          <w:color w:val="000000"/>
          <w:szCs w:val="21"/>
        </w:rPr>
      </w:pPr>
      <w:r>
        <w:rPr>
          <w:rFonts w:hint="eastAsia" w:ascii="宋体" w:hAnsi="宋体"/>
          <w:color w:val="000000"/>
          <w:szCs w:val="21"/>
        </w:rPr>
        <w:t>（二）由其他单位或者其他单位负责人在投标供应商编制的投标文件上加盖印章或者签字的；</w:t>
      </w:r>
    </w:p>
    <w:p w14:paraId="5ED72A3F">
      <w:pPr>
        <w:ind w:firstLine="420" w:firstLineChars="200"/>
        <w:rPr>
          <w:rFonts w:ascii="宋体" w:hAnsi="宋体"/>
          <w:color w:val="000000"/>
          <w:szCs w:val="21"/>
        </w:rPr>
      </w:pPr>
      <w:r>
        <w:rPr>
          <w:rFonts w:hint="eastAsia" w:ascii="宋体" w:hAnsi="宋体"/>
          <w:color w:val="000000"/>
          <w:szCs w:val="21"/>
        </w:rPr>
        <w:t>（三）项目负责人或者主要技术人员不是本单位人员的；</w:t>
      </w:r>
    </w:p>
    <w:p w14:paraId="62ACA952">
      <w:pPr>
        <w:ind w:firstLine="420" w:firstLineChars="200"/>
        <w:rPr>
          <w:rFonts w:ascii="宋体" w:hAnsi="宋体"/>
          <w:color w:val="000000"/>
          <w:szCs w:val="21"/>
        </w:rPr>
      </w:pPr>
      <w:r>
        <w:rPr>
          <w:rFonts w:hint="eastAsia" w:ascii="宋体" w:hAnsi="宋体"/>
          <w:color w:val="000000"/>
          <w:szCs w:val="21"/>
        </w:rPr>
        <w:t>（四）投标保证金不是从投标供应商基本账户转出的；</w:t>
      </w:r>
    </w:p>
    <w:p w14:paraId="14766B0C">
      <w:pPr>
        <w:ind w:firstLine="420" w:firstLineChars="200"/>
        <w:rPr>
          <w:rFonts w:ascii="宋体" w:hAnsi="宋体"/>
          <w:color w:val="000000"/>
          <w:szCs w:val="21"/>
        </w:rPr>
      </w:pPr>
      <w:r>
        <w:rPr>
          <w:rFonts w:hint="eastAsia" w:ascii="宋体" w:hAnsi="宋体"/>
          <w:color w:val="000000"/>
          <w:szCs w:val="21"/>
        </w:rPr>
        <w:t>（五）其他隐瞒真实情况、提供虚假资料的行为。</w:t>
      </w:r>
    </w:p>
    <w:p w14:paraId="1CB897DD">
      <w:pPr>
        <w:ind w:firstLine="420" w:firstLineChars="200"/>
        <w:rPr>
          <w:rFonts w:ascii="宋体" w:hAnsi="宋体" w:cs="宋体"/>
          <w:color w:val="000000"/>
          <w:sz w:val="22"/>
          <w:szCs w:val="22"/>
        </w:rPr>
      </w:pPr>
      <w:r>
        <w:rPr>
          <w:rFonts w:hint="eastAsia" w:ascii="宋体" w:hAnsi="宋体"/>
          <w:color w:val="000000"/>
          <w:szCs w:val="21"/>
        </w:rPr>
        <w:t>投标供应商不能提供项目负责人或者主要技术人员的劳动合同、社会保险等劳动关系证明材料的，视为存在前款第（三）项规定的情形</w:t>
      </w:r>
      <w:r>
        <w:rPr>
          <w:rFonts w:hint="eastAsia" w:ascii="宋体" w:hAnsi="宋体"/>
          <w:color w:val="000000"/>
          <w:sz w:val="20"/>
          <w:szCs w:val="20"/>
        </w:rPr>
        <w:t>。</w:t>
      </w:r>
    </w:p>
    <w:p w14:paraId="308B0750">
      <w:pPr>
        <w:numPr>
          <w:ilvl w:val="0"/>
          <w:numId w:val="1"/>
        </w:numPr>
        <w:ind w:firstLine="422" w:firstLineChars="200"/>
        <w:rPr>
          <w:rFonts w:ascii="宋体" w:hAnsi="宋体" w:cs="宋体"/>
          <w:color w:val="000000"/>
          <w:szCs w:val="21"/>
        </w:rPr>
      </w:pPr>
      <w:r>
        <w:rPr>
          <w:rFonts w:hint="eastAsia" w:ascii="宋体" w:hAnsi="宋体"/>
          <w:b/>
          <w:bCs/>
          <w:color w:val="000000"/>
          <w:szCs w:val="21"/>
        </w:rPr>
        <w:t xml:space="preserve">《中华人民共和国政府采购法实施条例》 </w:t>
      </w:r>
      <w:r>
        <w:rPr>
          <w:rFonts w:hint="eastAsia" w:ascii="宋体" w:hAnsi="宋体" w:cs="宋体"/>
          <w:b/>
          <w:bCs/>
          <w:color w:val="000000"/>
          <w:szCs w:val="21"/>
        </w:rPr>
        <w:t>第十八条</w:t>
      </w:r>
      <w:r>
        <w:rPr>
          <w:rFonts w:hint="eastAsia" w:ascii="宋体" w:hAnsi="宋体" w:cs="宋体"/>
          <w:color w:val="000000"/>
          <w:szCs w:val="21"/>
        </w:rPr>
        <w:t xml:space="preserve"> 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w:t>
      </w:r>
    </w:p>
    <w:p w14:paraId="35825487">
      <w:pPr>
        <w:numPr>
          <w:ilvl w:val="0"/>
          <w:numId w:val="1"/>
        </w:numPr>
        <w:ind w:firstLine="422" w:firstLineChars="200"/>
        <w:rPr>
          <w:rFonts w:ascii="宋体" w:hAnsi="宋体" w:cs="宋体"/>
          <w:color w:val="000000"/>
          <w:szCs w:val="21"/>
        </w:rPr>
      </w:pPr>
      <w:r>
        <w:rPr>
          <w:rFonts w:hint="eastAsia" w:ascii="宋体" w:hAnsi="宋体" w:cs="宋体"/>
          <w:b/>
          <w:bCs/>
          <w:color w:val="000000"/>
          <w:szCs w:val="21"/>
        </w:rPr>
        <w:t xml:space="preserve">《深圳市财政局关于采购文件增加风险告知有关事项的通知》 </w:t>
      </w:r>
      <w:r>
        <w:rPr>
          <w:rFonts w:hint="eastAsia" w:ascii="宋体" w:hAnsi="宋体" w:cs="宋体"/>
          <w:color w:val="000000"/>
          <w:szCs w:val="21"/>
        </w:rPr>
        <w:t>各投标供应商应按要求提交《政府采购违法行为风险知悉确认书》（详见第三章 投标文件格式、附件第二部分：投标文件格式—政府采购违法行为风险知悉确认书）。该文件由负责人或投标授权代表签字并加盖单位公章后，与投标文件一并提交。</w:t>
      </w:r>
    </w:p>
    <w:p w14:paraId="637C1AF3">
      <w:pPr>
        <w:spacing w:line="280" w:lineRule="exact"/>
        <w:ind w:firstLine="420" w:firstLineChars="200"/>
        <w:rPr>
          <w:rFonts w:ascii="宋体" w:hAnsi="Times New Roman"/>
          <w:sz w:val="22"/>
          <w:szCs w:val="22"/>
        </w:rPr>
      </w:pPr>
      <w:r>
        <w:rPr>
          <w:rFonts w:hint="eastAsia" w:ascii="宋体" w:hAnsi="宋体" w:cs="宋体"/>
          <w:color w:val="000000"/>
          <w:szCs w:val="21"/>
        </w:rPr>
        <w:t>注：该风险知悉确认书用于对供应商违法行为的警示，不作为供应商资格性审查及符合性审查条件。</w:t>
      </w:r>
    </w:p>
    <w:p w14:paraId="524BBB4F">
      <w:pPr>
        <w:rPr>
          <w:rFonts w:ascii="宋体" w:hAnsi="宋体" w:cs="宋体"/>
          <w:b/>
          <w:snapToGrid w:val="0"/>
          <w:sz w:val="22"/>
          <w:szCs w:val="22"/>
        </w:rPr>
      </w:pPr>
      <w:r>
        <w:rPr>
          <w:rFonts w:hint="eastAsia" w:ascii="宋体" w:hAnsi="宋体" w:cs="宋体"/>
          <w:b/>
          <w:snapToGrid w:val="0"/>
          <w:sz w:val="22"/>
          <w:szCs w:val="22"/>
        </w:rPr>
        <w:br w:type="page"/>
      </w:r>
    </w:p>
    <w:p w14:paraId="18D1BE30">
      <w:pPr>
        <w:pStyle w:val="9"/>
      </w:pPr>
    </w:p>
    <w:p w14:paraId="373A6738">
      <w:pPr>
        <w:jc w:val="center"/>
        <w:rPr>
          <w:b/>
          <w:sz w:val="32"/>
          <w:szCs w:val="32"/>
        </w:rPr>
      </w:pPr>
      <w:r>
        <w:rPr>
          <w:b/>
          <w:sz w:val="32"/>
          <w:szCs w:val="32"/>
        </w:rPr>
        <w:t>目   录</w:t>
      </w:r>
    </w:p>
    <w:p w14:paraId="25C59675">
      <w:pPr>
        <w:rPr>
          <w:b/>
          <w:sz w:val="24"/>
        </w:rPr>
      </w:pPr>
    </w:p>
    <w:p w14:paraId="10507D4D">
      <w:pPr>
        <w:jc w:val="center"/>
        <w:rPr>
          <w:b/>
          <w:sz w:val="24"/>
        </w:rPr>
      </w:pPr>
      <w:r>
        <w:rPr>
          <w:b/>
          <w:sz w:val="24"/>
        </w:rPr>
        <w:t>第一册  专用条款</w:t>
      </w:r>
    </w:p>
    <w:p w14:paraId="56E050CF">
      <w:pPr>
        <w:rPr>
          <w:szCs w:val="21"/>
        </w:rPr>
      </w:pPr>
    </w:p>
    <w:p w14:paraId="6BC44255">
      <w:pPr>
        <w:rPr>
          <w:szCs w:val="21"/>
        </w:rPr>
      </w:pPr>
      <w:r>
        <w:rPr>
          <w:szCs w:val="21"/>
        </w:rPr>
        <w:t>关键信息</w:t>
      </w:r>
    </w:p>
    <w:p w14:paraId="7F6FBAD2">
      <w:pPr>
        <w:rPr>
          <w:szCs w:val="21"/>
        </w:rPr>
      </w:pPr>
      <w:r>
        <w:rPr>
          <w:szCs w:val="21"/>
        </w:rPr>
        <w:t xml:space="preserve">第一章  </w:t>
      </w:r>
      <w:r>
        <w:rPr>
          <w:rFonts w:hint="eastAsia"/>
          <w:szCs w:val="21"/>
        </w:rPr>
        <w:t>招标</w:t>
      </w:r>
      <w:r>
        <w:rPr>
          <w:szCs w:val="21"/>
        </w:rPr>
        <w:t>公告</w:t>
      </w:r>
    </w:p>
    <w:p w14:paraId="7A391327">
      <w:pPr>
        <w:rPr>
          <w:szCs w:val="21"/>
        </w:rPr>
      </w:pPr>
      <w:r>
        <w:rPr>
          <w:szCs w:val="21"/>
        </w:rPr>
        <w:t>第二章  招标项目需求</w:t>
      </w:r>
    </w:p>
    <w:p w14:paraId="28B06BD6">
      <w:pPr>
        <w:rPr>
          <w:szCs w:val="21"/>
        </w:rPr>
      </w:pPr>
      <w:r>
        <w:rPr>
          <w:szCs w:val="21"/>
        </w:rPr>
        <w:t>第三章  投标文件格式、附件</w:t>
      </w:r>
    </w:p>
    <w:p w14:paraId="117CF7BB">
      <w:pPr>
        <w:rPr>
          <w:szCs w:val="21"/>
        </w:rPr>
      </w:pPr>
      <w:r>
        <w:rPr>
          <w:szCs w:val="21"/>
        </w:rPr>
        <w:t xml:space="preserve">第四章  </w:t>
      </w:r>
      <w:r>
        <w:rPr>
          <w:rFonts w:hint="eastAsia"/>
          <w:szCs w:val="21"/>
        </w:rPr>
        <w:t>合同条款及格式</w:t>
      </w:r>
    </w:p>
    <w:p w14:paraId="355C0499">
      <w:pPr>
        <w:rPr>
          <w:b/>
          <w:sz w:val="24"/>
        </w:rPr>
      </w:pPr>
    </w:p>
    <w:p w14:paraId="2F43DF4D">
      <w:pPr>
        <w:jc w:val="center"/>
        <w:rPr>
          <w:b/>
          <w:sz w:val="24"/>
        </w:rPr>
      </w:pPr>
      <w:r>
        <w:rPr>
          <w:b/>
          <w:sz w:val="24"/>
        </w:rPr>
        <w:t>第二册  通用条款</w:t>
      </w:r>
    </w:p>
    <w:p w14:paraId="38AB0C39">
      <w:pPr>
        <w:rPr>
          <w:szCs w:val="21"/>
        </w:rPr>
      </w:pPr>
    </w:p>
    <w:p w14:paraId="4239F572">
      <w:pPr>
        <w:rPr>
          <w:szCs w:val="21"/>
        </w:rPr>
      </w:pPr>
      <w:r>
        <w:rPr>
          <w:szCs w:val="21"/>
        </w:rPr>
        <w:t>第一章 总则</w:t>
      </w:r>
    </w:p>
    <w:p w14:paraId="53171E55">
      <w:pPr>
        <w:rPr>
          <w:szCs w:val="21"/>
        </w:rPr>
      </w:pPr>
      <w:r>
        <w:rPr>
          <w:szCs w:val="21"/>
        </w:rPr>
        <w:t>第二章 采购文件</w:t>
      </w:r>
    </w:p>
    <w:p w14:paraId="68B60AE9">
      <w:pPr>
        <w:rPr>
          <w:szCs w:val="21"/>
        </w:rPr>
      </w:pPr>
      <w:r>
        <w:rPr>
          <w:szCs w:val="21"/>
        </w:rPr>
        <w:t>第三章 投标文件的编制</w:t>
      </w:r>
    </w:p>
    <w:p w14:paraId="1A8D1D01">
      <w:pPr>
        <w:rPr>
          <w:szCs w:val="21"/>
        </w:rPr>
      </w:pPr>
      <w:r>
        <w:rPr>
          <w:szCs w:val="21"/>
        </w:rPr>
        <w:t>第四章 投标文件的递交</w:t>
      </w:r>
    </w:p>
    <w:p w14:paraId="14314EC7">
      <w:pPr>
        <w:rPr>
          <w:szCs w:val="21"/>
        </w:rPr>
      </w:pPr>
      <w:r>
        <w:rPr>
          <w:szCs w:val="21"/>
        </w:rPr>
        <w:t>第五章 开标</w:t>
      </w:r>
    </w:p>
    <w:p w14:paraId="70A57BCC">
      <w:pPr>
        <w:rPr>
          <w:szCs w:val="21"/>
        </w:rPr>
      </w:pPr>
      <w:r>
        <w:rPr>
          <w:szCs w:val="21"/>
        </w:rPr>
        <w:t>第六章 评标要求</w:t>
      </w:r>
    </w:p>
    <w:p w14:paraId="10639DBD">
      <w:pPr>
        <w:rPr>
          <w:szCs w:val="21"/>
        </w:rPr>
      </w:pPr>
      <w:r>
        <w:rPr>
          <w:szCs w:val="21"/>
        </w:rPr>
        <w:t>第七章 评标程序及评标方法</w:t>
      </w:r>
    </w:p>
    <w:p w14:paraId="2F7E966F">
      <w:pPr>
        <w:rPr>
          <w:szCs w:val="21"/>
        </w:rPr>
      </w:pPr>
      <w:r>
        <w:rPr>
          <w:szCs w:val="21"/>
        </w:rPr>
        <w:t>第八章 定标及公示</w:t>
      </w:r>
    </w:p>
    <w:p w14:paraId="57839C44">
      <w:pPr>
        <w:rPr>
          <w:szCs w:val="21"/>
        </w:rPr>
      </w:pPr>
      <w:r>
        <w:rPr>
          <w:szCs w:val="21"/>
        </w:rPr>
        <w:t>第九章 公开招标失败的后续处理</w:t>
      </w:r>
    </w:p>
    <w:p w14:paraId="52D7BBF2">
      <w:pPr>
        <w:rPr>
          <w:szCs w:val="21"/>
        </w:rPr>
      </w:pPr>
      <w:r>
        <w:rPr>
          <w:szCs w:val="21"/>
        </w:rPr>
        <w:t>第十章 合同的授予与备案</w:t>
      </w:r>
    </w:p>
    <w:p w14:paraId="7B558832">
      <w:pPr>
        <w:rPr>
          <w:sz w:val="24"/>
        </w:rPr>
      </w:pPr>
      <w:r>
        <w:rPr>
          <w:szCs w:val="21"/>
        </w:rPr>
        <w:t>第十一章 质疑处理</w:t>
      </w:r>
    </w:p>
    <w:p w14:paraId="197E9D59">
      <w:pPr>
        <w:jc w:val="center"/>
        <w:rPr>
          <w:b/>
          <w:sz w:val="24"/>
        </w:rPr>
      </w:pPr>
    </w:p>
    <w:p w14:paraId="3BB31D2E">
      <w:pPr>
        <w:jc w:val="center"/>
        <w:rPr>
          <w:b/>
          <w:sz w:val="24"/>
        </w:rPr>
      </w:pPr>
      <w:r>
        <w:rPr>
          <w:b/>
          <w:sz w:val="24"/>
        </w:rPr>
        <w:t>第</w:t>
      </w:r>
      <w:r>
        <w:rPr>
          <w:rFonts w:hint="eastAsia"/>
          <w:b/>
          <w:sz w:val="24"/>
        </w:rPr>
        <w:t>三</w:t>
      </w:r>
      <w:r>
        <w:rPr>
          <w:b/>
          <w:sz w:val="24"/>
        </w:rPr>
        <w:t xml:space="preserve">册  </w:t>
      </w:r>
      <w:r>
        <w:rPr>
          <w:rFonts w:hint="eastAsia"/>
          <w:b/>
          <w:sz w:val="24"/>
        </w:rPr>
        <w:t>附件</w:t>
      </w:r>
    </w:p>
    <w:p w14:paraId="65D268E7">
      <w:pPr>
        <w:pStyle w:val="3"/>
      </w:pPr>
    </w:p>
    <w:p w14:paraId="338081C0">
      <w:pPr>
        <w:rPr>
          <w:szCs w:val="21"/>
        </w:rPr>
      </w:pPr>
      <w:r>
        <w:rPr>
          <w:rFonts w:hint="eastAsia"/>
          <w:szCs w:val="21"/>
        </w:rPr>
        <w:t>一、</w:t>
      </w:r>
      <w:r>
        <w:rPr>
          <w:szCs w:val="21"/>
        </w:rPr>
        <w:t xml:space="preserve"> </w:t>
      </w:r>
      <w:r>
        <w:rPr>
          <w:rFonts w:hint="eastAsia"/>
          <w:szCs w:val="21"/>
        </w:rPr>
        <w:t>财政部 工业和信息化部关于印发《政府采购促进中小企业发展管理办法》的通知</w:t>
      </w:r>
    </w:p>
    <w:p w14:paraId="1DF44188">
      <w:pPr>
        <w:rPr>
          <w:szCs w:val="21"/>
        </w:rPr>
      </w:pPr>
      <w:r>
        <w:rPr>
          <w:szCs w:val="21"/>
        </w:rPr>
        <w:t>二</w:t>
      </w:r>
      <w:r>
        <w:rPr>
          <w:rFonts w:hint="eastAsia"/>
          <w:szCs w:val="21"/>
        </w:rPr>
        <w:t>、</w:t>
      </w:r>
      <w:r>
        <w:rPr>
          <w:szCs w:val="21"/>
        </w:rPr>
        <w:t xml:space="preserve"> </w:t>
      </w:r>
      <w:r>
        <w:rPr>
          <w:rFonts w:hint="eastAsia"/>
          <w:szCs w:val="21"/>
        </w:rPr>
        <w:t>关于印发中小企业划型标准规定的通知</w:t>
      </w:r>
    </w:p>
    <w:p w14:paraId="744E5004">
      <w:pPr>
        <w:rPr>
          <w:szCs w:val="21"/>
        </w:rPr>
      </w:pPr>
      <w:r>
        <w:rPr>
          <w:rFonts w:hint="eastAsia"/>
          <w:szCs w:val="21"/>
        </w:rPr>
        <w:t>三、 国家统计局关于印发《统计上大中小微型企业划分办法 （2017）》的通知</w:t>
      </w:r>
    </w:p>
    <w:p w14:paraId="33C834C7">
      <w:pPr>
        <w:rPr>
          <w:szCs w:val="21"/>
        </w:rPr>
      </w:pPr>
      <w:r>
        <w:rPr>
          <w:rFonts w:hint="eastAsia"/>
          <w:szCs w:val="21"/>
        </w:rPr>
        <w:t>四、 财政部 民政部 中国残疾人联合会关于促进残疾人就业 政府采购政策的通知</w:t>
      </w:r>
    </w:p>
    <w:p w14:paraId="3BD6EA01">
      <w:pPr>
        <w:rPr>
          <w:rFonts w:ascii="宋体" w:hAnsi="宋体" w:cs="宋体"/>
          <w:sz w:val="22"/>
          <w:szCs w:val="22"/>
        </w:rPr>
      </w:pPr>
    </w:p>
    <w:p w14:paraId="6625D561">
      <w:pPr>
        <w:jc w:val="center"/>
        <w:rPr>
          <w:rFonts w:ascii="宋体" w:hAnsi="宋体" w:cs="宋体"/>
          <w:sz w:val="24"/>
        </w:rPr>
      </w:pPr>
      <w:r>
        <w:rPr>
          <w:rFonts w:hint="eastAsia" w:ascii="宋体" w:hAnsi="宋体" w:cs="宋体"/>
          <w:sz w:val="24"/>
        </w:rPr>
        <w:br w:type="page"/>
      </w:r>
    </w:p>
    <w:p w14:paraId="66FFE3A9">
      <w:pPr>
        <w:pStyle w:val="4"/>
        <w:spacing w:before="0" w:after="0"/>
        <w:rPr>
          <w:rFonts w:ascii="宋体" w:hAnsi="宋体" w:cs="宋体"/>
          <w:b/>
          <w:bCs/>
          <w:sz w:val="36"/>
          <w:szCs w:val="96"/>
        </w:rPr>
      </w:pPr>
      <w:r>
        <w:rPr>
          <w:rFonts w:hint="eastAsia" w:ascii="宋体" w:hAnsi="宋体" w:cs="宋体"/>
          <w:b/>
          <w:bCs/>
          <w:sz w:val="36"/>
          <w:szCs w:val="96"/>
        </w:rPr>
        <w:t>关键信息</w:t>
      </w:r>
    </w:p>
    <w:tbl>
      <w:tblPr>
        <w:tblStyle w:val="2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
        <w:gridCol w:w="2511"/>
        <w:gridCol w:w="5102"/>
      </w:tblGrid>
      <w:tr w14:paraId="366BC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blHeader/>
          <w:jc w:val="center"/>
        </w:trPr>
        <w:tc>
          <w:tcPr>
            <w:tcW w:w="535" w:type="pct"/>
            <w:vAlign w:val="center"/>
          </w:tcPr>
          <w:p w14:paraId="6A9B9F70">
            <w:pPr>
              <w:adjustRightInd w:val="0"/>
              <w:snapToGrid w:val="0"/>
              <w:spacing w:line="360" w:lineRule="exact"/>
              <w:jc w:val="center"/>
              <w:rPr>
                <w:rFonts w:ascii="Times New Roman" w:hAnsi="Times New Roman"/>
                <w:b/>
                <w:sz w:val="22"/>
                <w:szCs w:val="22"/>
              </w:rPr>
            </w:pPr>
            <w:r>
              <w:rPr>
                <w:rFonts w:ascii="Times New Roman" w:hAnsi="Times New Roman"/>
                <w:b/>
                <w:sz w:val="22"/>
                <w:szCs w:val="22"/>
              </w:rPr>
              <w:t>序号</w:t>
            </w:r>
          </w:p>
        </w:tc>
        <w:tc>
          <w:tcPr>
            <w:tcW w:w="1472" w:type="pct"/>
            <w:vAlign w:val="center"/>
          </w:tcPr>
          <w:p w14:paraId="0AB66CA1">
            <w:pPr>
              <w:adjustRightInd w:val="0"/>
              <w:snapToGrid w:val="0"/>
              <w:spacing w:line="360" w:lineRule="exact"/>
              <w:jc w:val="center"/>
              <w:rPr>
                <w:rFonts w:ascii="Times New Roman" w:hAnsi="Times New Roman"/>
                <w:b/>
                <w:sz w:val="22"/>
                <w:szCs w:val="22"/>
              </w:rPr>
            </w:pPr>
            <w:r>
              <w:rPr>
                <w:rFonts w:ascii="Times New Roman" w:hAnsi="Times New Roman"/>
                <w:b/>
                <w:sz w:val="22"/>
                <w:szCs w:val="22"/>
              </w:rPr>
              <w:t>内容</w:t>
            </w:r>
          </w:p>
        </w:tc>
        <w:tc>
          <w:tcPr>
            <w:tcW w:w="2991" w:type="pct"/>
            <w:vAlign w:val="center"/>
          </w:tcPr>
          <w:p w14:paraId="4DF6BDF2">
            <w:pPr>
              <w:adjustRightInd w:val="0"/>
              <w:snapToGrid w:val="0"/>
              <w:spacing w:line="360" w:lineRule="exact"/>
              <w:jc w:val="center"/>
              <w:rPr>
                <w:rFonts w:ascii="Times New Roman" w:hAnsi="Times New Roman"/>
                <w:b/>
                <w:sz w:val="22"/>
                <w:szCs w:val="22"/>
              </w:rPr>
            </w:pPr>
            <w:r>
              <w:rPr>
                <w:rFonts w:ascii="Times New Roman" w:hAnsi="Times New Roman"/>
                <w:b/>
                <w:sz w:val="22"/>
                <w:szCs w:val="22"/>
              </w:rPr>
              <w:t>说明及要求</w:t>
            </w:r>
          </w:p>
        </w:tc>
      </w:tr>
      <w:tr w14:paraId="49973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535" w:type="pct"/>
            <w:vAlign w:val="center"/>
          </w:tcPr>
          <w:p w14:paraId="0266C658">
            <w:pPr>
              <w:adjustRightInd w:val="0"/>
              <w:snapToGrid w:val="0"/>
              <w:spacing w:line="360" w:lineRule="exact"/>
              <w:jc w:val="center"/>
              <w:rPr>
                <w:rFonts w:ascii="Times New Roman" w:hAnsi="Times New Roman"/>
                <w:sz w:val="22"/>
                <w:szCs w:val="22"/>
              </w:rPr>
            </w:pPr>
            <w:r>
              <w:rPr>
                <w:rFonts w:ascii="Times New Roman" w:hAnsi="Times New Roman"/>
                <w:sz w:val="22"/>
                <w:szCs w:val="22"/>
              </w:rPr>
              <w:t>1</w:t>
            </w:r>
          </w:p>
        </w:tc>
        <w:tc>
          <w:tcPr>
            <w:tcW w:w="1472" w:type="pct"/>
            <w:vAlign w:val="center"/>
          </w:tcPr>
          <w:p w14:paraId="33CAF033">
            <w:pPr>
              <w:adjustRightInd w:val="0"/>
              <w:snapToGrid w:val="0"/>
              <w:spacing w:line="360" w:lineRule="exact"/>
              <w:jc w:val="center"/>
              <w:rPr>
                <w:rFonts w:ascii="Times New Roman" w:hAnsi="Times New Roman"/>
                <w:sz w:val="22"/>
                <w:szCs w:val="22"/>
              </w:rPr>
            </w:pPr>
            <w:r>
              <w:rPr>
                <w:rFonts w:ascii="Times New Roman" w:hAnsi="Times New Roman"/>
                <w:sz w:val="22"/>
                <w:szCs w:val="22"/>
              </w:rPr>
              <w:t>采购项目</w:t>
            </w:r>
          </w:p>
        </w:tc>
        <w:tc>
          <w:tcPr>
            <w:tcW w:w="2991" w:type="pct"/>
            <w:vAlign w:val="center"/>
          </w:tcPr>
          <w:p w14:paraId="653576D8">
            <w:pPr>
              <w:adjustRightInd w:val="0"/>
              <w:snapToGrid w:val="0"/>
              <w:spacing w:line="360" w:lineRule="exact"/>
              <w:rPr>
                <w:rFonts w:hint="eastAsia" w:ascii="Times New Roman" w:hAnsi="Times New Roman" w:eastAsia="宋体"/>
                <w:sz w:val="22"/>
                <w:szCs w:val="22"/>
                <w:lang w:eastAsia="zh-CN"/>
              </w:rPr>
            </w:pPr>
            <w:r>
              <w:rPr>
                <w:rFonts w:hint="eastAsia" w:ascii="Times New Roman" w:hAnsi="Times New Roman"/>
                <w:sz w:val="22"/>
                <w:szCs w:val="22"/>
                <w:lang w:eastAsia="zh-CN"/>
              </w:rPr>
              <w:t>深圳市龙岗区南京师范大学附属龙岗学校购买教育服务项目</w:t>
            </w:r>
          </w:p>
        </w:tc>
      </w:tr>
      <w:tr w14:paraId="6BB88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535" w:type="pct"/>
            <w:vAlign w:val="center"/>
          </w:tcPr>
          <w:p w14:paraId="1D303534">
            <w:pPr>
              <w:adjustRightInd w:val="0"/>
              <w:snapToGrid w:val="0"/>
              <w:spacing w:line="360" w:lineRule="exact"/>
              <w:jc w:val="center"/>
              <w:rPr>
                <w:rFonts w:ascii="Times New Roman" w:hAnsi="Times New Roman"/>
                <w:sz w:val="22"/>
                <w:szCs w:val="22"/>
              </w:rPr>
            </w:pPr>
            <w:r>
              <w:rPr>
                <w:rFonts w:ascii="Times New Roman" w:hAnsi="Times New Roman"/>
                <w:sz w:val="22"/>
                <w:szCs w:val="22"/>
              </w:rPr>
              <w:t>2</w:t>
            </w:r>
          </w:p>
        </w:tc>
        <w:tc>
          <w:tcPr>
            <w:tcW w:w="1472" w:type="pct"/>
            <w:vAlign w:val="center"/>
          </w:tcPr>
          <w:p w14:paraId="67789F17">
            <w:pPr>
              <w:adjustRightInd w:val="0"/>
              <w:snapToGrid w:val="0"/>
              <w:spacing w:line="360" w:lineRule="exact"/>
              <w:jc w:val="center"/>
              <w:rPr>
                <w:rFonts w:ascii="Times New Roman" w:hAnsi="Times New Roman"/>
                <w:sz w:val="22"/>
                <w:szCs w:val="22"/>
              </w:rPr>
            </w:pPr>
            <w:r>
              <w:rPr>
                <w:rFonts w:ascii="Times New Roman" w:hAnsi="Times New Roman"/>
                <w:sz w:val="22"/>
                <w:szCs w:val="22"/>
              </w:rPr>
              <w:t>采购方式</w:t>
            </w:r>
          </w:p>
        </w:tc>
        <w:tc>
          <w:tcPr>
            <w:tcW w:w="2991" w:type="pct"/>
            <w:vAlign w:val="center"/>
          </w:tcPr>
          <w:p w14:paraId="4C04144D">
            <w:pPr>
              <w:adjustRightInd w:val="0"/>
              <w:snapToGrid w:val="0"/>
              <w:spacing w:line="360" w:lineRule="exact"/>
              <w:jc w:val="left"/>
              <w:rPr>
                <w:rFonts w:ascii="Times New Roman" w:hAnsi="Times New Roman"/>
                <w:sz w:val="22"/>
                <w:szCs w:val="22"/>
              </w:rPr>
            </w:pPr>
            <w:r>
              <w:rPr>
                <w:rFonts w:ascii="Times New Roman" w:hAnsi="Times New Roman"/>
                <w:sz w:val="22"/>
                <w:szCs w:val="22"/>
              </w:rPr>
              <w:t>公开招标</w:t>
            </w:r>
          </w:p>
        </w:tc>
      </w:tr>
      <w:tr w14:paraId="2C972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35" w:type="pct"/>
            <w:vAlign w:val="center"/>
          </w:tcPr>
          <w:p w14:paraId="0992AA69">
            <w:pPr>
              <w:adjustRightInd w:val="0"/>
              <w:snapToGrid w:val="0"/>
              <w:spacing w:line="360" w:lineRule="exact"/>
              <w:jc w:val="center"/>
              <w:rPr>
                <w:rFonts w:ascii="Times New Roman" w:hAnsi="Times New Roman"/>
                <w:sz w:val="22"/>
                <w:szCs w:val="22"/>
              </w:rPr>
            </w:pPr>
            <w:r>
              <w:rPr>
                <w:rFonts w:ascii="Times New Roman" w:hAnsi="Times New Roman"/>
                <w:sz w:val="22"/>
                <w:szCs w:val="22"/>
              </w:rPr>
              <w:t>3</w:t>
            </w:r>
          </w:p>
        </w:tc>
        <w:tc>
          <w:tcPr>
            <w:tcW w:w="1472" w:type="pct"/>
            <w:vAlign w:val="center"/>
          </w:tcPr>
          <w:p w14:paraId="09203DD1">
            <w:pPr>
              <w:adjustRightInd w:val="0"/>
              <w:snapToGrid w:val="0"/>
              <w:spacing w:line="360" w:lineRule="exact"/>
              <w:jc w:val="center"/>
              <w:rPr>
                <w:rFonts w:ascii="Times New Roman" w:hAnsi="Times New Roman"/>
                <w:sz w:val="22"/>
                <w:szCs w:val="22"/>
              </w:rPr>
            </w:pPr>
            <w:r>
              <w:rPr>
                <w:rFonts w:ascii="Times New Roman" w:hAnsi="Times New Roman"/>
                <w:sz w:val="22"/>
                <w:szCs w:val="22"/>
              </w:rPr>
              <w:t>采购项目预算</w:t>
            </w:r>
          </w:p>
        </w:tc>
        <w:tc>
          <w:tcPr>
            <w:tcW w:w="2991" w:type="pct"/>
            <w:vAlign w:val="center"/>
          </w:tcPr>
          <w:p w14:paraId="02280546">
            <w:pPr>
              <w:adjustRightInd w:val="0"/>
              <w:snapToGrid w:val="0"/>
              <w:spacing w:line="360" w:lineRule="exact"/>
              <w:rPr>
                <w:rFonts w:ascii="Times New Roman" w:hAnsi="Times New Roman"/>
                <w:sz w:val="22"/>
                <w:szCs w:val="22"/>
              </w:rPr>
            </w:pPr>
            <w:r>
              <w:rPr>
                <w:rFonts w:ascii="Times New Roman" w:hAnsi="Times New Roman"/>
                <w:sz w:val="22"/>
                <w:szCs w:val="22"/>
              </w:rPr>
              <w:t>人民币</w:t>
            </w:r>
            <w:r>
              <w:rPr>
                <w:rFonts w:hint="eastAsia" w:ascii="Times New Roman" w:hAnsi="Times New Roman"/>
                <w:sz w:val="22"/>
                <w:szCs w:val="22"/>
                <w:lang w:eastAsia="zh-CN"/>
              </w:rPr>
              <w:t>307,200.00</w:t>
            </w:r>
            <w:r>
              <w:rPr>
                <w:rFonts w:ascii="Times New Roman" w:hAnsi="Times New Roman"/>
                <w:sz w:val="22"/>
                <w:szCs w:val="22"/>
              </w:rPr>
              <w:t>元</w:t>
            </w:r>
          </w:p>
        </w:tc>
      </w:tr>
      <w:tr w14:paraId="3FDAB4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0" w:hRule="atLeast"/>
          <w:jc w:val="center"/>
        </w:trPr>
        <w:tc>
          <w:tcPr>
            <w:tcW w:w="535" w:type="pct"/>
            <w:vAlign w:val="center"/>
          </w:tcPr>
          <w:p w14:paraId="233A9E61">
            <w:pPr>
              <w:adjustRightInd w:val="0"/>
              <w:snapToGrid w:val="0"/>
              <w:spacing w:line="360" w:lineRule="exact"/>
              <w:jc w:val="center"/>
              <w:rPr>
                <w:rFonts w:ascii="Times New Roman" w:hAnsi="Times New Roman"/>
                <w:sz w:val="22"/>
                <w:szCs w:val="22"/>
              </w:rPr>
            </w:pPr>
            <w:r>
              <w:rPr>
                <w:rFonts w:ascii="Times New Roman" w:hAnsi="Times New Roman"/>
                <w:sz w:val="22"/>
                <w:szCs w:val="22"/>
              </w:rPr>
              <w:t>4</w:t>
            </w:r>
          </w:p>
        </w:tc>
        <w:tc>
          <w:tcPr>
            <w:tcW w:w="1472" w:type="pct"/>
            <w:vAlign w:val="center"/>
          </w:tcPr>
          <w:p w14:paraId="0E0085A2">
            <w:pPr>
              <w:adjustRightInd w:val="0"/>
              <w:snapToGrid w:val="0"/>
              <w:spacing w:line="360" w:lineRule="exact"/>
              <w:jc w:val="center"/>
              <w:rPr>
                <w:rFonts w:ascii="Times New Roman" w:hAnsi="Times New Roman"/>
                <w:sz w:val="22"/>
                <w:szCs w:val="22"/>
              </w:rPr>
            </w:pPr>
            <w:r>
              <w:rPr>
                <w:rFonts w:ascii="Times New Roman" w:hAnsi="Times New Roman"/>
                <w:sz w:val="22"/>
                <w:szCs w:val="22"/>
              </w:rPr>
              <w:t>投标保证金</w:t>
            </w:r>
          </w:p>
        </w:tc>
        <w:tc>
          <w:tcPr>
            <w:tcW w:w="2991" w:type="pct"/>
            <w:vAlign w:val="center"/>
          </w:tcPr>
          <w:p w14:paraId="5F991073">
            <w:pPr>
              <w:adjustRightInd w:val="0"/>
              <w:snapToGrid w:val="0"/>
              <w:spacing w:line="360" w:lineRule="exact"/>
              <w:jc w:val="left"/>
              <w:rPr>
                <w:rFonts w:ascii="Times New Roman" w:hAnsi="Times New Roman"/>
                <w:sz w:val="22"/>
                <w:szCs w:val="22"/>
              </w:rPr>
            </w:pPr>
            <w:r>
              <w:rPr>
                <w:rFonts w:ascii="Times New Roman" w:hAnsi="Times New Roman"/>
                <w:sz w:val="22"/>
              </w:rPr>
              <w:t>不要求提供</w:t>
            </w:r>
          </w:p>
        </w:tc>
      </w:tr>
      <w:tr w14:paraId="4F5019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5" w:type="pct"/>
            <w:vAlign w:val="center"/>
          </w:tcPr>
          <w:p w14:paraId="79E708F1">
            <w:pPr>
              <w:adjustRightInd w:val="0"/>
              <w:snapToGrid w:val="0"/>
              <w:spacing w:line="360" w:lineRule="exact"/>
              <w:jc w:val="center"/>
              <w:rPr>
                <w:rFonts w:ascii="Times New Roman" w:hAnsi="Times New Roman"/>
                <w:sz w:val="22"/>
                <w:szCs w:val="22"/>
              </w:rPr>
            </w:pPr>
            <w:r>
              <w:rPr>
                <w:rFonts w:ascii="Times New Roman" w:hAnsi="Times New Roman"/>
                <w:sz w:val="22"/>
                <w:szCs w:val="22"/>
              </w:rPr>
              <w:t>5</w:t>
            </w:r>
          </w:p>
        </w:tc>
        <w:tc>
          <w:tcPr>
            <w:tcW w:w="1472" w:type="pct"/>
            <w:vAlign w:val="center"/>
          </w:tcPr>
          <w:p w14:paraId="3626B126">
            <w:pPr>
              <w:adjustRightInd w:val="0"/>
              <w:snapToGrid w:val="0"/>
              <w:spacing w:line="360" w:lineRule="exact"/>
              <w:jc w:val="center"/>
              <w:rPr>
                <w:rFonts w:ascii="Times New Roman" w:hAnsi="Times New Roman"/>
                <w:bCs/>
                <w:sz w:val="22"/>
                <w:szCs w:val="22"/>
              </w:rPr>
            </w:pPr>
            <w:r>
              <w:rPr>
                <w:rFonts w:ascii="Times New Roman" w:hAnsi="Times New Roman"/>
                <w:sz w:val="22"/>
                <w:szCs w:val="22"/>
              </w:rPr>
              <w:t>投标人的替代方案</w:t>
            </w:r>
          </w:p>
        </w:tc>
        <w:tc>
          <w:tcPr>
            <w:tcW w:w="2991" w:type="pct"/>
            <w:vAlign w:val="center"/>
          </w:tcPr>
          <w:p w14:paraId="6CE8BD98">
            <w:pPr>
              <w:adjustRightInd w:val="0"/>
              <w:snapToGrid w:val="0"/>
              <w:spacing w:line="360" w:lineRule="exact"/>
              <w:jc w:val="left"/>
              <w:rPr>
                <w:rFonts w:ascii="Times New Roman" w:hAnsi="Times New Roman"/>
                <w:sz w:val="22"/>
                <w:szCs w:val="22"/>
                <w:u w:val="single"/>
              </w:rPr>
            </w:pPr>
            <w:r>
              <w:rPr>
                <w:rFonts w:ascii="Times New Roman" w:hAnsi="Times New Roman"/>
                <w:sz w:val="22"/>
                <w:szCs w:val="22"/>
              </w:rPr>
              <w:t>不允许</w:t>
            </w:r>
          </w:p>
        </w:tc>
      </w:tr>
      <w:tr w14:paraId="191DF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535" w:type="pct"/>
            <w:vAlign w:val="center"/>
          </w:tcPr>
          <w:p w14:paraId="4977D890">
            <w:pPr>
              <w:adjustRightInd w:val="0"/>
              <w:snapToGrid w:val="0"/>
              <w:spacing w:line="360" w:lineRule="exact"/>
              <w:jc w:val="center"/>
              <w:rPr>
                <w:rFonts w:ascii="Times New Roman" w:hAnsi="Times New Roman"/>
                <w:sz w:val="22"/>
                <w:szCs w:val="22"/>
              </w:rPr>
            </w:pPr>
            <w:r>
              <w:rPr>
                <w:rFonts w:ascii="Times New Roman" w:hAnsi="Times New Roman"/>
                <w:sz w:val="22"/>
                <w:szCs w:val="22"/>
              </w:rPr>
              <w:t>6</w:t>
            </w:r>
          </w:p>
        </w:tc>
        <w:tc>
          <w:tcPr>
            <w:tcW w:w="1472" w:type="pct"/>
            <w:vAlign w:val="center"/>
          </w:tcPr>
          <w:p w14:paraId="676D8782">
            <w:pPr>
              <w:adjustRightInd w:val="0"/>
              <w:snapToGrid w:val="0"/>
              <w:spacing w:line="360" w:lineRule="exact"/>
              <w:jc w:val="center"/>
              <w:rPr>
                <w:rFonts w:ascii="Times New Roman" w:hAnsi="Times New Roman"/>
                <w:bCs/>
                <w:sz w:val="22"/>
                <w:szCs w:val="22"/>
              </w:rPr>
            </w:pPr>
            <w:r>
              <w:rPr>
                <w:rFonts w:ascii="Times New Roman" w:hAnsi="Times New Roman"/>
                <w:bCs/>
                <w:sz w:val="22"/>
                <w:szCs w:val="22"/>
              </w:rPr>
              <w:t>投标有效期</w:t>
            </w:r>
          </w:p>
        </w:tc>
        <w:tc>
          <w:tcPr>
            <w:tcW w:w="2991" w:type="pct"/>
            <w:vAlign w:val="center"/>
          </w:tcPr>
          <w:p w14:paraId="413E4093">
            <w:pPr>
              <w:adjustRightInd w:val="0"/>
              <w:snapToGrid w:val="0"/>
              <w:spacing w:line="360" w:lineRule="exact"/>
              <w:rPr>
                <w:rFonts w:ascii="Times New Roman" w:hAnsi="Times New Roman"/>
                <w:bCs/>
                <w:sz w:val="22"/>
                <w:szCs w:val="22"/>
              </w:rPr>
            </w:pPr>
            <w:r>
              <w:rPr>
                <w:rFonts w:ascii="Times New Roman" w:hAnsi="Times New Roman"/>
                <w:sz w:val="22"/>
                <w:szCs w:val="22"/>
                <w:u w:val="single"/>
              </w:rPr>
              <w:t>120</w:t>
            </w:r>
            <w:r>
              <w:rPr>
                <w:rFonts w:ascii="Times New Roman" w:hAnsi="Times New Roman"/>
                <w:sz w:val="22"/>
                <w:szCs w:val="22"/>
              </w:rPr>
              <w:t>日（日历日）</w:t>
            </w:r>
          </w:p>
        </w:tc>
      </w:tr>
      <w:tr w14:paraId="349BF7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35" w:type="pct"/>
            <w:vAlign w:val="center"/>
          </w:tcPr>
          <w:p w14:paraId="3A3FF440">
            <w:pPr>
              <w:adjustRightInd w:val="0"/>
              <w:snapToGrid w:val="0"/>
              <w:spacing w:line="360" w:lineRule="exact"/>
              <w:jc w:val="center"/>
              <w:rPr>
                <w:rFonts w:ascii="Times New Roman" w:hAnsi="Times New Roman"/>
                <w:sz w:val="22"/>
                <w:szCs w:val="22"/>
              </w:rPr>
            </w:pPr>
            <w:r>
              <w:rPr>
                <w:rFonts w:ascii="Times New Roman" w:hAnsi="Times New Roman"/>
                <w:sz w:val="22"/>
                <w:szCs w:val="22"/>
              </w:rPr>
              <w:t>7</w:t>
            </w:r>
          </w:p>
        </w:tc>
        <w:tc>
          <w:tcPr>
            <w:tcW w:w="1472" w:type="pct"/>
            <w:vAlign w:val="center"/>
          </w:tcPr>
          <w:p w14:paraId="4276ACAA">
            <w:pPr>
              <w:adjustRightInd w:val="0"/>
              <w:snapToGrid w:val="0"/>
              <w:spacing w:line="360" w:lineRule="exact"/>
              <w:jc w:val="center"/>
              <w:rPr>
                <w:rFonts w:ascii="Times New Roman" w:hAnsi="Times New Roman"/>
                <w:sz w:val="22"/>
                <w:szCs w:val="22"/>
              </w:rPr>
            </w:pPr>
            <w:r>
              <w:rPr>
                <w:rFonts w:ascii="Times New Roman" w:hAnsi="Times New Roman"/>
                <w:sz w:val="22"/>
                <w:szCs w:val="22"/>
              </w:rPr>
              <w:t>投标文件份数</w:t>
            </w:r>
          </w:p>
        </w:tc>
        <w:tc>
          <w:tcPr>
            <w:tcW w:w="2991" w:type="pct"/>
            <w:vAlign w:val="center"/>
          </w:tcPr>
          <w:p w14:paraId="62036729">
            <w:pPr>
              <w:adjustRightInd w:val="0"/>
              <w:snapToGrid w:val="0"/>
              <w:spacing w:line="360" w:lineRule="exact"/>
              <w:rPr>
                <w:rFonts w:ascii="Times New Roman" w:hAnsi="Times New Roman"/>
                <w:sz w:val="22"/>
                <w:szCs w:val="22"/>
                <w:u w:val="single"/>
              </w:rPr>
            </w:pPr>
            <w:r>
              <w:rPr>
                <w:rFonts w:ascii="Times New Roman" w:hAnsi="Times New Roman"/>
                <w:sz w:val="22"/>
                <w:szCs w:val="22"/>
              </w:rPr>
              <w:t>正本一份，副本五份，投标文件电子版（盖章扫描件）一份。</w:t>
            </w:r>
          </w:p>
        </w:tc>
      </w:tr>
      <w:tr w14:paraId="229E2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535" w:type="pct"/>
            <w:vAlign w:val="center"/>
          </w:tcPr>
          <w:p w14:paraId="40F4B9DE">
            <w:pPr>
              <w:adjustRightInd w:val="0"/>
              <w:snapToGrid w:val="0"/>
              <w:spacing w:line="360" w:lineRule="exact"/>
              <w:jc w:val="center"/>
              <w:rPr>
                <w:rFonts w:ascii="Times New Roman" w:hAnsi="Times New Roman"/>
                <w:sz w:val="22"/>
                <w:szCs w:val="22"/>
              </w:rPr>
            </w:pPr>
            <w:r>
              <w:rPr>
                <w:rFonts w:ascii="Times New Roman" w:hAnsi="Times New Roman"/>
                <w:sz w:val="22"/>
                <w:szCs w:val="22"/>
              </w:rPr>
              <w:t>8</w:t>
            </w:r>
          </w:p>
        </w:tc>
        <w:tc>
          <w:tcPr>
            <w:tcW w:w="1472" w:type="pct"/>
            <w:vAlign w:val="center"/>
          </w:tcPr>
          <w:p w14:paraId="05683261">
            <w:pPr>
              <w:adjustRightInd w:val="0"/>
              <w:snapToGrid w:val="0"/>
              <w:spacing w:line="360" w:lineRule="exact"/>
              <w:jc w:val="center"/>
              <w:rPr>
                <w:rFonts w:ascii="Times New Roman" w:hAnsi="Times New Roman"/>
                <w:sz w:val="22"/>
                <w:szCs w:val="22"/>
              </w:rPr>
            </w:pPr>
            <w:r>
              <w:rPr>
                <w:rFonts w:ascii="Times New Roman" w:hAnsi="Times New Roman"/>
                <w:sz w:val="22"/>
                <w:szCs w:val="22"/>
              </w:rPr>
              <w:t>履约担保金额</w:t>
            </w:r>
          </w:p>
        </w:tc>
        <w:tc>
          <w:tcPr>
            <w:tcW w:w="2991" w:type="pct"/>
            <w:vAlign w:val="center"/>
          </w:tcPr>
          <w:p w14:paraId="3D0043B7">
            <w:pPr>
              <w:adjustRightInd w:val="0"/>
              <w:snapToGrid w:val="0"/>
              <w:spacing w:line="360" w:lineRule="exact"/>
              <w:jc w:val="left"/>
              <w:rPr>
                <w:rFonts w:ascii="Times New Roman" w:hAnsi="Times New Roman"/>
                <w:sz w:val="22"/>
                <w:szCs w:val="22"/>
              </w:rPr>
            </w:pPr>
            <w:r>
              <w:rPr>
                <w:rFonts w:ascii="Times New Roman" w:hAnsi="Times New Roman"/>
                <w:sz w:val="22"/>
                <w:szCs w:val="22"/>
              </w:rPr>
              <w:t>无</w:t>
            </w:r>
          </w:p>
        </w:tc>
      </w:tr>
      <w:tr w14:paraId="6418F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535" w:type="pct"/>
            <w:vAlign w:val="center"/>
          </w:tcPr>
          <w:p w14:paraId="0C87EE72">
            <w:pPr>
              <w:adjustRightInd w:val="0"/>
              <w:snapToGrid w:val="0"/>
              <w:spacing w:line="360" w:lineRule="exact"/>
              <w:jc w:val="center"/>
              <w:rPr>
                <w:rFonts w:ascii="Times New Roman" w:hAnsi="Times New Roman"/>
                <w:sz w:val="22"/>
                <w:szCs w:val="22"/>
              </w:rPr>
            </w:pPr>
            <w:r>
              <w:rPr>
                <w:rFonts w:ascii="Times New Roman" w:hAnsi="Times New Roman"/>
                <w:sz w:val="22"/>
                <w:szCs w:val="22"/>
              </w:rPr>
              <w:t>9</w:t>
            </w:r>
          </w:p>
        </w:tc>
        <w:tc>
          <w:tcPr>
            <w:tcW w:w="1472" w:type="pct"/>
            <w:vAlign w:val="center"/>
          </w:tcPr>
          <w:p w14:paraId="60AF488B">
            <w:pPr>
              <w:adjustRightInd w:val="0"/>
              <w:snapToGrid w:val="0"/>
              <w:spacing w:line="360" w:lineRule="exact"/>
              <w:jc w:val="center"/>
              <w:rPr>
                <w:rFonts w:ascii="Times New Roman" w:hAnsi="Times New Roman"/>
                <w:sz w:val="22"/>
                <w:szCs w:val="22"/>
              </w:rPr>
            </w:pPr>
            <w:r>
              <w:rPr>
                <w:rFonts w:ascii="Times New Roman" w:hAnsi="Times New Roman"/>
                <w:sz w:val="22"/>
                <w:szCs w:val="22"/>
              </w:rPr>
              <w:t>招标代理服务费</w:t>
            </w:r>
          </w:p>
        </w:tc>
        <w:tc>
          <w:tcPr>
            <w:tcW w:w="2991" w:type="pct"/>
            <w:vAlign w:val="center"/>
          </w:tcPr>
          <w:p w14:paraId="08F1DDC0">
            <w:pPr>
              <w:adjustRightInd w:val="0"/>
              <w:snapToGrid w:val="0"/>
              <w:spacing w:line="360" w:lineRule="exact"/>
              <w:jc w:val="left"/>
              <w:rPr>
                <w:rFonts w:hint="default" w:ascii="Times New Roman" w:hAnsi="Times New Roman" w:cs="Times New Roman"/>
                <w:sz w:val="22"/>
                <w:highlight w:val="none"/>
              </w:rPr>
            </w:pPr>
            <w:r>
              <w:rPr>
                <w:rFonts w:hint="default" w:ascii="Times New Roman" w:hAnsi="Times New Roman" w:cs="Times New Roman"/>
                <w:sz w:val="22"/>
                <w:highlight w:val="none"/>
              </w:rPr>
              <w:t>1.采购项目招标代理服务费由中标方在领取《中标通知书》的同时向招标代理机构缴纳。</w:t>
            </w:r>
          </w:p>
          <w:p w14:paraId="7C89A306">
            <w:pPr>
              <w:adjustRightInd w:val="0"/>
              <w:snapToGrid w:val="0"/>
              <w:spacing w:line="360" w:lineRule="exact"/>
              <w:rPr>
                <w:rFonts w:hint="default" w:ascii="Times New Roman" w:hAnsi="Times New Roman" w:cs="Times New Roman"/>
                <w:sz w:val="22"/>
                <w:highlight w:val="none"/>
              </w:rPr>
            </w:pPr>
            <w:r>
              <w:rPr>
                <w:rFonts w:hint="default" w:ascii="Times New Roman" w:hAnsi="Times New Roman" w:cs="Times New Roman"/>
                <w:sz w:val="22"/>
                <w:highlight w:val="none"/>
              </w:rPr>
              <w:t>2.招标代理服务费依据深财购[2018]27号文及相关规定收费。</w:t>
            </w:r>
          </w:p>
          <w:p w14:paraId="055BE945">
            <w:pPr>
              <w:adjustRightInd w:val="0"/>
              <w:snapToGrid w:val="0"/>
              <w:spacing w:line="360" w:lineRule="exact"/>
              <w:rPr>
                <w:rFonts w:ascii="Times New Roman" w:hAnsi="Times New Roman"/>
                <w:sz w:val="22"/>
                <w:szCs w:val="22"/>
              </w:rPr>
            </w:pPr>
            <w:r>
              <w:rPr>
                <w:rFonts w:hint="default" w:ascii="Times New Roman" w:hAnsi="Times New Roman" w:cs="Times New Roman"/>
                <w:sz w:val="22"/>
                <w:highlight w:val="none"/>
              </w:rPr>
              <w:t>3.招标代理服务费不足人民币</w:t>
            </w:r>
            <w:r>
              <w:rPr>
                <w:rFonts w:hint="eastAsia" w:ascii="Times New Roman" w:hAnsi="Times New Roman" w:cs="Times New Roman"/>
                <w:sz w:val="22"/>
                <w:highlight w:val="none"/>
                <w:lang w:val="en-US" w:eastAsia="zh-CN"/>
              </w:rPr>
              <w:t>7,500.00</w:t>
            </w:r>
            <w:r>
              <w:rPr>
                <w:rFonts w:hint="default" w:ascii="Times New Roman" w:hAnsi="Times New Roman" w:cs="Times New Roman"/>
                <w:sz w:val="22"/>
                <w:highlight w:val="none"/>
              </w:rPr>
              <w:t>元时，按人民币</w:t>
            </w:r>
            <w:r>
              <w:rPr>
                <w:rFonts w:hint="eastAsia" w:ascii="Times New Roman" w:hAnsi="Times New Roman" w:cs="Times New Roman"/>
                <w:sz w:val="22"/>
                <w:highlight w:val="none"/>
                <w:lang w:eastAsia="zh-CN"/>
              </w:rPr>
              <w:t>7,500.00</w:t>
            </w:r>
            <w:r>
              <w:rPr>
                <w:rFonts w:hint="default" w:ascii="Times New Roman" w:hAnsi="Times New Roman" w:cs="Times New Roman"/>
                <w:sz w:val="22"/>
                <w:highlight w:val="none"/>
              </w:rPr>
              <w:t>元收取。</w:t>
            </w:r>
          </w:p>
        </w:tc>
      </w:tr>
    </w:tbl>
    <w:p w14:paraId="3588E5A7">
      <w:pPr>
        <w:jc w:val="center"/>
        <w:rPr>
          <w:rFonts w:ascii="宋体" w:hAnsi="宋体" w:cs="宋体"/>
          <w:b/>
          <w:sz w:val="28"/>
          <w:szCs w:val="28"/>
        </w:rPr>
      </w:pPr>
    </w:p>
    <w:p w14:paraId="351C778A">
      <w:pPr>
        <w:jc w:val="center"/>
        <w:rPr>
          <w:rFonts w:ascii="宋体" w:hAnsi="宋体" w:cs="宋体"/>
          <w:b/>
          <w:sz w:val="28"/>
          <w:szCs w:val="28"/>
        </w:rPr>
      </w:pPr>
      <w:r>
        <w:rPr>
          <w:rFonts w:hint="eastAsia" w:ascii="宋体" w:hAnsi="宋体" w:cs="宋体"/>
          <w:b/>
          <w:sz w:val="28"/>
          <w:szCs w:val="28"/>
        </w:rPr>
        <w:br w:type="page"/>
      </w:r>
    </w:p>
    <w:p w14:paraId="03750003">
      <w:pPr>
        <w:pStyle w:val="4"/>
        <w:spacing w:after="149"/>
        <w:rPr>
          <w:rFonts w:ascii="宋体" w:hAnsi="宋体" w:cs="宋体"/>
          <w:b/>
          <w:sz w:val="36"/>
          <w:szCs w:val="36"/>
        </w:rPr>
      </w:pPr>
      <w:r>
        <w:rPr>
          <w:rFonts w:hint="eastAsia" w:ascii="宋体" w:hAnsi="宋体" w:cs="宋体"/>
          <w:b/>
          <w:sz w:val="36"/>
          <w:szCs w:val="36"/>
        </w:rPr>
        <w:t>投标文件初审表</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2"/>
        <w:gridCol w:w="7847"/>
      </w:tblGrid>
      <w:tr w14:paraId="1FC6B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2"/>
            <w:vAlign w:val="center"/>
          </w:tcPr>
          <w:p w14:paraId="1FA23590">
            <w:pPr>
              <w:spacing w:line="360" w:lineRule="exact"/>
              <w:jc w:val="center"/>
              <w:rPr>
                <w:rFonts w:ascii="宋体" w:hAnsi="宋体" w:cs="宋体"/>
                <w:b/>
                <w:sz w:val="22"/>
                <w:szCs w:val="22"/>
              </w:rPr>
            </w:pPr>
            <w:r>
              <w:rPr>
                <w:rFonts w:hint="eastAsia" w:ascii="宋体" w:hAnsi="宋体" w:cs="宋体"/>
                <w:b/>
                <w:sz w:val="22"/>
                <w:szCs w:val="22"/>
              </w:rPr>
              <w:t>资格性审查表</w:t>
            </w:r>
          </w:p>
        </w:tc>
      </w:tr>
      <w:tr w14:paraId="5DA175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0" w:type="pct"/>
            <w:vAlign w:val="center"/>
          </w:tcPr>
          <w:p w14:paraId="7675CF10">
            <w:pPr>
              <w:spacing w:line="360" w:lineRule="exact"/>
              <w:rPr>
                <w:rFonts w:ascii="宋体" w:cs="宋体"/>
                <w:sz w:val="22"/>
                <w:szCs w:val="22"/>
              </w:rPr>
            </w:pPr>
            <w:r>
              <w:rPr>
                <w:rFonts w:hint="eastAsia" w:ascii="宋体" w:cs="宋体"/>
                <w:sz w:val="22"/>
                <w:szCs w:val="22"/>
              </w:rPr>
              <w:t>1</w:t>
            </w:r>
          </w:p>
        </w:tc>
        <w:tc>
          <w:tcPr>
            <w:tcW w:w="4599" w:type="pct"/>
            <w:vAlign w:val="center"/>
          </w:tcPr>
          <w:p w14:paraId="47A082C8">
            <w:pPr>
              <w:spacing w:line="360" w:lineRule="exact"/>
              <w:rPr>
                <w:rFonts w:ascii="宋体" w:cs="宋体"/>
                <w:sz w:val="22"/>
                <w:szCs w:val="22"/>
              </w:rPr>
            </w:pPr>
            <w:r>
              <w:rPr>
                <w:rFonts w:hint="eastAsia" w:ascii="宋体" w:cs="宋体"/>
                <w:sz w:val="22"/>
                <w:szCs w:val="22"/>
              </w:rPr>
              <w:t>投标人不符合资格要求，或未提交相应的资格证明资料（详见招标公告投标人资格要求，即申请人的资格要求）</w:t>
            </w:r>
          </w:p>
        </w:tc>
      </w:tr>
      <w:tr w14:paraId="799AA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000" w:type="pct"/>
            <w:gridSpan w:val="2"/>
            <w:vAlign w:val="center"/>
          </w:tcPr>
          <w:p w14:paraId="27B09403">
            <w:pPr>
              <w:spacing w:line="360" w:lineRule="exact"/>
              <w:jc w:val="center"/>
              <w:rPr>
                <w:rFonts w:ascii="宋体" w:hAnsi="宋体" w:cs="宋体"/>
                <w:b/>
                <w:sz w:val="22"/>
                <w:szCs w:val="22"/>
              </w:rPr>
            </w:pPr>
            <w:r>
              <w:rPr>
                <w:rFonts w:hint="eastAsia" w:ascii="宋体" w:hAnsi="宋体" w:cs="宋体"/>
                <w:b/>
                <w:sz w:val="22"/>
                <w:szCs w:val="22"/>
              </w:rPr>
              <w:t>符合性审查表</w:t>
            </w:r>
          </w:p>
        </w:tc>
      </w:tr>
      <w:tr w14:paraId="0B7E7F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0" w:type="pct"/>
            <w:vAlign w:val="center"/>
          </w:tcPr>
          <w:p w14:paraId="7D2EC3FC">
            <w:pPr>
              <w:numPr>
                <w:ilvl w:val="0"/>
                <w:numId w:val="2"/>
              </w:numPr>
              <w:spacing w:line="360" w:lineRule="exact"/>
              <w:rPr>
                <w:rFonts w:ascii="宋体" w:hAnsi="宋体" w:cs="宋体"/>
                <w:sz w:val="22"/>
                <w:szCs w:val="22"/>
              </w:rPr>
            </w:pPr>
          </w:p>
        </w:tc>
        <w:tc>
          <w:tcPr>
            <w:tcW w:w="4599" w:type="pct"/>
          </w:tcPr>
          <w:p w14:paraId="25A4D875">
            <w:pPr>
              <w:spacing w:line="360" w:lineRule="exact"/>
              <w:rPr>
                <w:rFonts w:ascii="宋体" w:cs="宋体"/>
                <w:sz w:val="22"/>
                <w:szCs w:val="22"/>
              </w:rPr>
            </w:pPr>
            <w:r>
              <w:rPr>
                <w:rFonts w:hint="eastAsia" w:ascii="宋体" w:cs="宋体"/>
                <w:sz w:val="22"/>
                <w:szCs w:val="22"/>
              </w:rPr>
              <w:t>将一个包或一个标段的内容拆开投标；</w:t>
            </w:r>
          </w:p>
        </w:tc>
      </w:tr>
      <w:tr w14:paraId="5D065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0" w:type="pct"/>
            <w:vAlign w:val="center"/>
          </w:tcPr>
          <w:p w14:paraId="454EB908">
            <w:pPr>
              <w:numPr>
                <w:ilvl w:val="0"/>
                <w:numId w:val="2"/>
              </w:numPr>
              <w:spacing w:line="360" w:lineRule="exact"/>
              <w:rPr>
                <w:rFonts w:ascii="宋体" w:hAnsi="宋体" w:cs="宋体"/>
                <w:sz w:val="22"/>
                <w:szCs w:val="22"/>
              </w:rPr>
            </w:pPr>
          </w:p>
        </w:tc>
        <w:tc>
          <w:tcPr>
            <w:tcW w:w="4599" w:type="pct"/>
          </w:tcPr>
          <w:p w14:paraId="0D344F53">
            <w:pPr>
              <w:spacing w:line="360" w:lineRule="exact"/>
              <w:rPr>
                <w:rFonts w:ascii="宋体" w:cs="宋体"/>
                <w:sz w:val="22"/>
                <w:szCs w:val="22"/>
              </w:rPr>
            </w:pPr>
            <w:r>
              <w:rPr>
                <w:rFonts w:hint="eastAsia" w:ascii="宋体" w:cs="宋体"/>
                <w:sz w:val="22"/>
                <w:szCs w:val="22"/>
              </w:rPr>
              <w:t>对同一项目投标时，提供两套以上的投标方案（招标文件另有规定的除外）；</w:t>
            </w:r>
          </w:p>
        </w:tc>
      </w:tr>
      <w:tr w14:paraId="699FB0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0" w:type="pct"/>
            <w:vAlign w:val="center"/>
          </w:tcPr>
          <w:p w14:paraId="66B16504">
            <w:pPr>
              <w:numPr>
                <w:ilvl w:val="0"/>
                <w:numId w:val="2"/>
              </w:numPr>
              <w:spacing w:line="360" w:lineRule="exact"/>
              <w:rPr>
                <w:rFonts w:ascii="宋体" w:hAnsi="宋体" w:cs="宋体"/>
                <w:sz w:val="22"/>
                <w:szCs w:val="22"/>
              </w:rPr>
            </w:pPr>
          </w:p>
        </w:tc>
        <w:tc>
          <w:tcPr>
            <w:tcW w:w="4599" w:type="pct"/>
          </w:tcPr>
          <w:p w14:paraId="0F1AE82F">
            <w:pPr>
              <w:spacing w:line="360" w:lineRule="exact"/>
              <w:rPr>
                <w:rFonts w:ascii="宋体" w:cs="宋体"/>
                <w:sz w:val="22"/>
                <w:szCs w:val="22"/>
              </w:rPr>
            </w:pPr>
            <w:r>
              <w:rPr>
                <w:rFonts w:hint="eastAsia" w:ascii="宋体" w:cs="宋体"/>
                <w:sz w:val="22"/>
                <w:szCs w:val="22"/>
              </w:rPr>
              <w:t>分项报价或投标总价高于相应财政预算金额（或设定的财政预算金额下的最高限价）；</w:t>
            </w:r>
          </w:p>
        </w:tc>
      </w:tr>
      <w:tr w14:paraId="0F25C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0" w:type="pct"/>
            <w:vAlign w:val="center"/>
          </w:tcPr>
          <w:p w14:paraId="3488274A">
            <w:pPr>
              <w:numPr>
                <w:ilvl w:val="0"/>
                <w:numId w:val="2"/>
              </w:numPr>
              <w:spacing w:line="360" w:lineRule="exact"/>
              <w:rPr>
                <w:rFonts w:ascii="宋体" w:hAnsi="宋体" w:cs="宋体"/>
                <w:sz w:val="22"/>
                <w:szCs w:val="22"/>
              </w:rPr>
            </w:pPr>
          </w:p>
        </w:tc>
        <w:tc>
          <w:tcPr>
            <w:tcW w:w="4599" w:type="pct"/>
          </w:tcPr>
          <w:p w14:paraId="3ACB92B8">
            <w:pPr>
              <w:spacing w:line="360" w:lineRule="exact"/>
              <w:rPr>
                <w:rFonts w:ascii="宋体" w:cs="宋体"/>
                <w:sz w:val="22"/>
                <w:szCs w:val="22"/>
              </w:rPr>
            </w:pPr>
            <w:r>
              <w:rPr>
                <w:rFonts w:hint="eastAsia" w:ascii="宋体" w:cs="宋体"/>
                <w:sz w:val="22"/>
                <w:szCs w:val="22"/>
              </w:rPr>
              <w:t>评审委员会认为投标人的报价明显低于其他通过符合性审查投标人的报价，有可能影响产品质量或者不能诚信履约的，应当要求其在评审现场合理的时间内提供书面说明，必要时提交相关证明材料；在此情况下，投标人仍不能证明其报价合理性的（评审委员会成员对投标人提供的说明材料判断不一致的，按照“少数服从多数”的原则确定评审委员会的意见）；</w:t>
            </w:r>
          </w:p>
        </w:tc>
      </w:tr>
      <w:tr w14:paraId="50B2B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0" w:type="pct"/>
            <w:vAlign w:val="center"/>
          </w:tcPr>
          <w:p w14:paraId="60DC603A">
            <w:pPr>
              <w:numPr>
                <w:ilvl w:val="0"/>
                <w:numId w:val="2"/>
              </w:numPr>
              <w:spacing w:line="360" w:lineRule="exact"/>
              <w:rPr>
                <w:rFonts w:ascii="宋体" w:hAnsi="宋体" w:cs="宋体"/>
                <w:sz w:val="22"/>
                <w:szCs w:val="22"/>
              </w:rPr>
            </w:pPr>
          </w:p>
        </w:tc>
        <w:tc>
          <w:tcPr>
            <w:tcW w:w="4599" w:type="pct"/>
          </w:tcPr>
          <w:p w14:paraId="30B6DEA8">
            <w:pPr>
              <w:spacing w:line="360" w:lineRule="exact"/>
              <w:rPr>
                <w:rFonts w:ascii="宋体" w:cs="宋体"/>
                <w:sz w:val="22"/>
                <w:szCs w:val="22"/>
              </w:rPr>
            </w:pPr>
            <w:r>
              <w:rPr>
                <w:rFonts w:hint="eastAsia" w:ascii="宋体" w:cs="宋体"/>
                <w:sz w:val="22"/>
                <w:szCs w:val="22"/>
              </w:rPr>
              <w:t>所投货物、服务在技术、商务等方面没有实质性满足招标文件要求的（是否实质性满足招标文件要求，由评审委员会根据《实质性条款响应情况表》做出评判）；</w:t>
            </w:r>
          </w:p>
        </w:tc>
      </w:tr>
      <w:tr w14:paraId="741ED6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0" w:type="pct"/>
            <w:vAlign w:val="center"/>
          </w:tcPr>
          <w:p w14:paraId="71C7A35B">
            <w:pPr>
              <w:numPr>
                <w:ilvl w:val="0"/>
                <w:numId w:val="2"/>
              </w:numPr>
              <w:spacing w:line="360" w:lineRule="exact"/>
              <w:rPr>
                <w:rFonts w:ascii="宋体" w:hAnsi="宋体" w:cs="宋体"/>
                <w:sz w:val="22"/>
                <w:szCs w:val="22"/>
              </w:rPr>
            </w:pPr>
          </w:p>
        </w:tc>
        <w:tc>
          <w:tcPr>
            <w:tcW w:w="4599" w:type="pct"/>
          </w:tcPr>
          <w:p w14:paraId="57D985C9">
            <w:pPr>
              <w:spacing w:line="360" w:lineRule="exact"/>
              <w:rPr>
                <w:rFonts w:ascii="宋体" w:cs="宋体"/>
                <w:sz w:val="22"/>
                <w:szCs w:val="22"/>
              </w:rPr>
            </w:pPr>
            <w:r>
              <w:rPr>
                <w:rFonts w:hint="eastAsia" w:ascii="宋体" w:cs="宋体"/>
                <w:sz w:val="22"/>
                <w:szCs w:val="22"/>
              </w:rPr>
              <w:t>未按招标文件所提供的样式填写《投标函》；未按招标文件所提供的《政府采购投标及履约承诺函》进行承诺；未按招标文件对投标文件组成的要求提供投标文件；</w:t>
            </w:r>
          </w:p>
        </w:tc>
      </w:tr>
      <w:tr w14:paraId="30AEB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0" w:type="pct"/>
            <w:vAlign w:val="center"/>
          </w:tcPr>
          <w:p w14:paraId="1ECBBA40">
            <w:pPr>
              <w:numPr>
                <w:ilvl w:val="0"/>
                <w:numId w:val="2"/>
              </w:numPr>
              <w:spacing w:line="360" w:lineRule="exact"/>
              <w:rPr>
                <w:rFonts w:ascii="宋体" w:hAnsi="宋体" w:cs="宋体"/>
                <w:sz w:val="22"/>
                <w:szCs w:val="22"/>
              </w:rPr>
            </w:pPr>
          </w:p>
        </w:tc>
        <w:tc>
          <w:tcPr>
            <w:tcW w:w="4599" w:type="pct"/>
          </w:tcPr>
          <w:p w14:paraId="6843FB05">
            <w:pPr>
              <w:spacing w:line="360" w:lineRule="exact"/>
              <w:rPr>
                <w:rFonts w:ascii="宋体" w:cs="宋体"/>
                <w:sz w:val="22"/>
                <w:szCs w:val="22"/>
              </w:rPr>
            </w:pPr>
            <w:r>
              <w:rPr>
                <w:rFonts w:hint="eastAsia" w:ascii="宋体" w:cs="宋体"/>
                <w:sz w:val="22"/>
                <w:szCs w:val="22"/>
              </w:rPr>
              <w:t>投标文件电子文档带病毒；</w:t>
            </w:r>
          </w:p>
        </w:tc>
      </w:tr>
      <w:tr w14:paraId="5A0BC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00" w:type="pct"/>
            <w:vAlign w:val="center"/>
          </w:tcPr>
          <w:p w14:paraId="2365DDF2">
            <w:pPr>
              <w:numPr>
                <w:ilvl w:val="0"/>
                <w:numId w:val="2"/>
              </w:numPr>
              <w:spacing w:line="360" w:lineRule="exact"/>
              <w:rPr>
                <w:rFonts w:ascii="宋体" w:hAnsi="宋体" w:cs="宋体"/>
                <w:sz w:val="22"/>
                <w:szCs w:val="22"/>
              </w:rPr>
            </w:pPr>
          </w:p>
        </w:tc>
        <w:tc>
          <w:tcPr>
            <w:tcW w:w="4599" w:type="pct"/>
          </w:tcPr>
          <w:p w14:paraId="33A64958">
            <w:pPr>
              <w:spacing w:line="360" w:lineRule="exact"/>
              <w:rPr>
                <w:rFonts w:ascii="宋体" w:cs="宋体"/>
                <w:sz w:val="22"/>
                <w:szCs w:val="22"/>
              </w:rPr>
            </w:pPr>
            <w:r>
              <w:rPr>
                <w:rFonts w:hint="eastAsia" w:ascii="宋体" w:cs="宋体"/>
                <w:sz w:val="22"/>
                <w:szCs w:val="22"/>
              </w:rPr>
              <w:t>法律、法规、规章、规范性文件规定的其他情形。</w:t>
            </w:r>
          </w:p>
        </w:tc>
      </w:tr>
    </w:tbl>
    <w:p w14:paraId="49C96011">
      <w:pPr>
        <w:rPr>
          <w:rFonts w:ascii="Times New Roman" w:hAnsi="Times New Roman"/>
          <w:b/>
        </w:rPr>
      </w:pPr>
    </w:p>
    <w:p w14:paraId="0E17F48D">
      <w:pPr>
        <w:rPr>
          <w:rFonts w:ascii="Times New Roman" w:hAnsi="Times New Roman"/>
          <w:b/>
          <w:sz w:val="22"/>
          <w:szCs w:val="22"/>
        </w:rPr>
      </w:pPr>
      <w:r>
        <w:rPr>
          <w:rFonts w:hint="eastAsia" w:ascii="Times New Roman" w:hAnsi="Times New Roman"/>
          <w:b/>
          <w:sz w:val="22"/>
          <w:szCs w:val="22"/>
        </w:rPr>
        <w:t>备注：《资格性审查表》和《符合性审查表》初审不通过，按投标无效处理。</w:t>
      </w:r>
    </w:p>
    <w:p w14:paraId="6434A952">
      <w:pPr>
        <w:pStyle w:val="4"/>
        <w:spacing w:before="0" w:after="0" w:line="240" w:lineRule="auto"/>
        <w:rPr>
          <w:rFonts w:ascii="宋体" w:hAnsi="宋体" w:cs="宋体"/>
        </w:rPr>
      </w:pPr>
      <w:r>
        <w:rPr>
          <w:rFonts w:hint="eastAsia" w:ascii="宋体" w:hAnsi="宋体" w:cs="宋体"/>
        </w:rPr>
        <w:br w:type="page"/>
      </w:r>
      <w:r>
        <w:rPr>
          <w:rFonts w:hint="eastAsia" w:ascii="宋体" w:hAnsi="宋体" w:cs="宋体"/>
          <w:b/>
          <w:sz w:val="28"/>
          <w:szCs w:val="28"/>
        </w:rPr>
        <w:t>评标信息</w:t>
      </w:r>
    </w:p>
    <w:p w14:paraId="74401340">
      <w:pPr>
        <w:spacing w:line="360" w:lineRule="exact"/>
        <w:rPr>
          <w:rFonts w:ascii="宋体" w:hAnsi="宋体" w:cs="宋体"/>
          <w:sz w:val="22"/>
          <w:szCs w:val="22"/>
        </w:rPr>
      </w:pPr>
      <w:r>
        <w:rPr>
          <w:rFonts w:hint="eastAsia" w:ascii="宋体" w:hAnsi="宋体" w:cs="宋体"/>
          <w:sz w:val="22"/>
          <w:szCs w:val="22"/>
        </w:rPr>
        <w:t>评标方法：综合评分法。按照招标文件中规定的各项因素进行量化打分，以评标总得分的平均分最高的投标人为中标候选供应商；采购人根据评标委员会评审结果确定中标候选供应商为中标人。</w:t>
      </w:r>
    </w:p>
    <w:p w14:paraId="7D6C8B2C">
      <w:pPr>
        <w:spacing w:line="360" w:lineRule="exact"/>
        <w:rPr>
          <w:rFonts w:ascii="宋体" w:hAnsi="宋体" w:cs="宋体"/>
          <w:sz w:val="22"/>
          <w:szCs w:val="22"/>
        </w:rPr>
      </w:pPr>
      <w:r>
        <w:rPr>
          <w:rFonts w:hint="eastAsia" w:ascii="宋体" w:hAnsi="宋体" w:cs="宋体"/>
          <w:sz w:val="22"/>
          <w:szCs w:val="22"/>
        </w:rPr>
        <w:t>综合评分法中的价格分统一采用低价优先法计算。即满足采购文件要求且投标价格最低的投标报价为评标基准价，其价格分为满分。其他投标人的价格分统一按照下列公式计算：投标报价得分=(评标基准价/投标报价)×分值</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3"/>
        <w:gridCol w:w="1850"/>
        <w:gridCol w:w="868"/>
        <w:gridCol w:w="5005"/>
      </w:tblGrid>
      <w:tr w14:paraId="644E4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3461" w:type="dxa"/>
            <w:gridSpan w:val="3"/>
            <w:vAlign w:val="center"/>
          </w:tcPr>
          <w:p w14:paraId="0A4D0EAE">
            <w:pPr>
              <w:keepNext w:val="0"/>
              <w:keepLines w:val="0"/>
              <w:pageBreakBefore w:val="0"/>
              <w:widowControl w:val="0"/>
              <w:kinsoku/>
              <w:overflowPunct/>
              <w:topLinePunct w:val="0"/>
              <w:autoSpaceDE/>
              <w:autoSpaceDN/>
              <w:bidi w:val="0"/>
              <w:spacing w:line="360" w:lineRule="exact"/>
              <w:jc w:val="center"/>
              <w:textAlignment w:val="auto"/>
              <w:rPr>
                <w:rFonts w:hint="default" w:ascii="Times New Roman" w:hAnsi="Times New Roman" w:eastAsia="宋体" w:cs="Times New Roman"/>
                <w:b/>
                <w:bCs/>
                <w:color w:val="000000" w:themeColor="text1"/>
                <w:sz w:val="22"/>
                <w:szCs w:val="22"/>
                <w14:textFill>
                  <w14:solidFill>
                    <w14:schemeClr w14:val="tx1"/>
                  </w14:solidFill>
                </w14:textFill>
              </w:rPr>
            </w:pPr>
            <w:r>
              <w:rPr>
                <w:rFonts w:hint="default" w:ascii="Times New Roman" w:hAnsi="Times New Roman" w:eastAsia="宋体" w:cs="Times New Roman"/>
                <w:b/>
                <w:bCs/>
                <w:color w:val="000000" w:themeColor="text1"/>
                <w:sz w:val="22"/>
                <w:szCs w:val="22"/>
                <w14:textFill>
                  <w14:solidFill>
                    <w14:schemeClr w14:val="tx1"/>
                  </w14:solidFill>
                </w14:textFill>
              </w:rPr>
              <w:t>评分项</w:t>
            </w:r>
          </w:p>
        </w:tc>
        <w:tc>
          <w:tcPr>
            <w:tcW w:w="5005" w:type="dxa"/>
            <w:vAlign w:val="center"/>
          </w:tcPr>
          <w:p w14:paraId="7605992C">
            <w:pPr>
              <w:keepNext w:val="0"/>
              <w:keepLines w:val="0"/>
              <w:pageBreakBefore w:val="0"/>
              <w:widowControl w:val="0"/>
              <w:kinsoku/>
              <w:overflowPunct/>
              <w:topLinePunct w:val="0"/>
              <w:autoSpaceDE/>
              <w:autoSpaceDN/>
              <w:bidi w:val="0"/>
              <w:spacing w:line="360" w:lineRule="exact"/>
              <w:jc w:val="center"/>
              <w:textAlignment w:val="auto"/>
              <w:rPr>
                <w:rFonts w:hint="default" w:ascii="Times New Roman" w:hAnsi="Times New Roman" w:eastAsia="宋体" w:cs="Times New Roman"/>
                <w:b/>
                <w:bCs/>
                <w:color w:val="000000" w:themeColor="text1"/>
                <w:sz w:val="22"/>
                <w:szCs w:val="22"/>
                <w14:textFill>
                  <w14:solidFill>
                    <w14:schemeClr w14:val="tx1"/>
                  </w14:solidFill>
                </w14:textFill>
              </w:rPr>
            </w:pPr>
            <w:r>
              <w:rPr>
                <w:rFonts w:hint="default" w:ascii="Times New Roman" w:hAnsi="Times New Roman" w:eastAsia="宋体" w:cs="Times New Roman"/>
                <w:b/>
                <w:bCs/>
                <w:color w:val="000000" w:themeColor="text1"/>
                <w:sz w:val="22"/>
                <w:szCs w:val="22"/>
                <w14:textFill>
                  <w14:solidFill>
                    <w14:schemeClr w14:val="tx1"/>
                  </w14:solidFill>
                </w14:textFill>
              </w:rPr>
              <w:t>分值</w:t>
            </w:r>
          </w:p>
        </w:tc>
      </w:tr>
      <w:tr w14:paraId="4376F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461" w:type="dxa"/>
            <w:gridSpan w:val="3"/>
            <w:vAlign w:val="center"/>
          </w:tcPr>
          <w:p w14:paraId="52815834">
            <w:pPr>
              <w:keepNext w:val="0"/>
              <w:keepLines w:val="0"/>
              <w:pageBreakBefore w:val="0"/>
              <w:widowControl w:val="0"/>
              <w:kinsoku/>
              <w:overflowPunct/>
              <w:topLinePunct w:val="0"/>
              <w:autoSpaceDE/>
              <w:autoSpaceDN/>
              <w:bidi w:val="0"/>
              <w:spacing w:line="360" w:lineRule="exact"/>
              <w:jc w:val="center"/>
              <w:textAlignment w:val="auto"/>
              <w:rPr>
                <w:rFonts w:hint="default" w:ascii="Times New Roman" w:hAnsi="Times New Roman" w:eastAsia="宋体" w:cs="Times New Roman"/>
                <w:b/>
                <w:bCs/>
                <w:color w:val="000000" w:themeColor="text1"/>
                <w:sz w:val="22"/>
                <w:szCs w:val="22"/>
                <w14:textFill>
                  <w14:solidFill>
                    <w14:schemeClr w14:val="tx1"/>
                  </w14:solidFill>
                </w14:textFill>
              </w:rPr>
            </w:pPr>
            <w:r>
              <w:rPr>
                <w:rFonts w:hint="default" w:ascii="Times New Roman" w:hAnsi="Times New Roman" w:eastAsia="宋体" w:cs="Times New Roman"/>
                <w:b/>
                <w:bCs/>
                <w:color w:val="000000" w:themeColor="text1"/>
                <w:sz w:val="22"/>
                <w:szCs w:val="22"/>
                <w14:textFill>
                  <w14:solidFill>
                    <w14:schemeClr w14:val="tx1"/>
                  </w14:solidFill>
                </w14:textFill>
              </w:rPr>
              <w:t>价格</w:t>
            </w:r>
          </w:p>
        </w:tc>
        <w:tc>
          <w:tcPr>
            <w:tcW w:w="5005" w:type="dxa"/>
            <w:vAlign w:val="center"/>
          </w:tcPr>
          <w:p w14:paraId="32124EA4">
            <w:pPr>
              <w:keepNext w:val="0"/>
              <w:keepLines w:val="0"/>
              <w:pageBreakBefore w:val="0"/>
              <w:widowControl w:val="0"/>
              <w:kinsoku/>
              <w:overflowPunct/>
              <w:topLinePunct w:val="0"/>
              <w:autoSpaceDE/>
              <w:autoSpaceDN/>
              <w:bidi w:val="0"/>
              <w:spacing w:line="360" w:lineRule="exact"/>
              <w:jc w:val="center"/>
              <w:textAlignment w:val="auto"/>
              <w:rPr>
                <w:rFonts w:hint="default" w:ascii="Times New Roman" w:hAnsi="Times New Roman" w:eastAsia="宋体" w:cs="Times New Roman"/>
                <w:b/>
                <w:bCs/>
                <w:color w:val="000000" w:themeColor="text1"/>
                <w:sz w:val="22"/>
                <w:szCs w:val="22"/>
                <w:lang w:val="en-US" w:eastAsia="zh-CN"/>
                <w14:textFill>
                  <w14:solidFill>
                    <w14:schemeClr w14:val="tx1"/>
                  </w14:solidFill>
                </w14:textFill>
              </w:rPr>
            </w:pPr>
            <w:r>
              <w:rPr>
                <w:rFonts w:hint="default" w:ascii="Times New Roman" w:hAnsi="Times New Roman" w:eastAsia="宋体" w:cs="Times New Roman"/>
                <w:b/>
                <w:bCs/>
                <w:color w:val="000000" w:themeColor="text1"/>
                <w:sz w:val="22"/>
                <w:szCs w:val="22"/>
                <w:lang w:val="en-US" w:eastAsia="zh-CN"/>
                <w14:textFill>
                  <w14:solidFill>
                    <w14:schemeClr w14:val="tx1"/>
                  </w14:solidFill>
                </w14:textFill>
              </w:rPr>
              <w:t>10</w:t>
            </w:r>
          </w:p>
        </w:tc>
      </w:tr>
      <w:tr w14:paraId="4EB3B1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jc w:val="center"/>
        </w:trPr>
        <w:tc>
          <w:tcPr>
            <w:tcW w:w="3461" w:type="dxa"/>
            <w:gridSpan w:val="3"/>
            <w:vAlign w:val="center"/>
          </w:tcPr>
          <w:p w14:paraId="66F66C8B">
            <w:pPr>
              <w:keepNext w:val="0"/>
              <w:keepLines w:val="0"/>
              <w:pageBreakBefore w:val="0"/>
              <w:widowControl w:val="0"/>
              <w:kinsoku/>
              <w:overflowPunct/>
              <w:topLinePunct w:val="0"/>
              <w:autoSpaceDE/>
              <w:autoSpaceDN/>
              <w:bidi w:val="0"/>
              <w:spacing w:line="360" w:lineRule="exact"/>
              <w:jc w:val="center"/>
              <w:textAlignment w:val="auto"/>
              <w:rPr>
                <w:rFonts w:hint="default" w:ascii="Times New Roman" w:hAnsi="Times New Roman" w:eastAsia="宋体" w:cs="Times New Roman"/>
                <w:b/>
                <w:bCs/>
                <w:color w:val="000000" w:themeColor="text1"/>
                <w:sz w:val="22"/>
                <w:szCs w:val="22"/>
                <w14:textFill>
                  <w14:solidFill>
                    <w14:schemeClr w14:val="tx1"/>
                  </w14:solidFill>
                </w14:textFill>
              </w:rPr>
            </w:pPr>
            <w:r>
              <w:rPr>
                <w:rFonts w:hint="default" w:ascii="Times New Roman" w:hAnsi="Times New Roman" w:eastAsia="宋体" w:cs="Times New Roman"/>
                <w:b/>
                <w:bCs/>
                <w:color w:val="000000" w:themeColor="text1"/>
                <w:sz w:val="22"/>
                <w:szCs w:val="22"/>
                <w14:textFill>
                  <w14:solidFill>
                    <w14:schemeClr w14:val="tx1"/>
                  </w14:solidFill>
                </w14:textFill>
              </w:rPr>
              <w:t>技术部分</w:t>
            </w:r>
          </w:p>
        </w:tc>
        <w:tc>
          <w:tcPr>
            <w:tcW w:w="5005" w:type="dxa"/>
            <w:vAlign w:val="center"/>
          </w:tcPr>
          <w:p w14:paraId="6D2EECB2">
            <w:pPr>
              <w:keepNext w:val="0"/>
              <w:keepLines w:val="0"/>
              <w:pageBreakBefore w:val="0"/>
              <w:widowControl w:val="0"/>
              <w:kinsoku/>
              <w:overflowPunct/>
              <w:topLinePunct w:val="0"/>
              <w:autoSpaceDE/>
              <w:autoSpaceDN/>
              <w:bidi w:val="0"/>
              <w:spacing w:line="360" w:lineRule="exact"/>
              <w:jc w:val="center"/>
              <w:textAlignment w:val="auto"/>
              <w:rPr>
                <w:rFonts w:hint="default" w:ascii="Times New Roman" w:hAnsi="Times New Roman" w:eastAsia="宋体" w:cs="Times New Roman"/>
                <w:b/>
                <w:bCs/>
                <w:color w:val="000000" w:themeColor="text1"/>
                <w:sz w:val="22"/>
                <w:szCs w:val="22"/>
                <w:lang w:val="en-US" w:eastAsia="zh-CN"/>
                <w14:textFill>
                  <w14:solidFill>
                    <w14:schemeClr w14:val="tx1"/>
                  </w14:solidFill>
                </w14:textFill>
              </w:rPr>
            </w:pPr>
            <w:r>
              <w:rPr>
                <w:rFonts w:hint="default" w:ascii="Times New Roman" w:hAnsi="Times New Roman" w:eastAsia="宋体" w:cs="Times New Roman"/>
                <w:b/>
                <w:bCs/>
                <w:color w:val="000000" w:themeColor="text1"/>
                <w:sz w:val="22"/>
                <w:szCs w:val="22"/>
                <w:lang w:val="en-US" w:eastAsia="zh-CN"/>
                <w14:textFill>
                  <w14:solidFill>
                    <w14:schemeClr w14:val="tx1"/>
                  </w14:solidFill>
                </w14:textFill>
              </w:rPr>
              <w:t>67</w:t>
            </w:r>
          </w:p>
        </w:tc>
      </w:tr>
      <w:tr w14:paraId="1061B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743" w:type="dxa"/>
            <w:shd w:val="clear" w:color="auto" w:fill="BDD6EE"/>
            <w:vAlign w:val="center"/>
          </w:tcPr>
          <w:p w14:paraId="21978EDC">
            <w:pPr>
              <w:keepNext w:val="0"/>
              <w:keepLines w:val="0"/>
              <w:pageBreakBefore w:val="0"/>
              <w:widowControl w:val="0"/>
              <w:kinsoku/>
              <w:overflowPunct/>
              <w:topLinePunct w:val="0"/>
              <w:autoSpaceDE/>
              <w:autoSpaceDN/>
              <w:bidi w:val="0"/>
              <w:spacing w:line="360" w:lineRule="exact"/>
              <w:jc w:val="center"/>
              <w:textAlignment w:val="auto"/>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序号</w:t>
            </w:r>
          </w:p>
        </w:tc>
        <w:tc>
          <w:tcPr>
            <w:tcW w:w="1850" w:type="dxa"/>
            <w:shd w:val="clear" w:color="auto" w:fill="BDD6EE"/>
            <w:vAlign w:val="center"/>
          </w:tcPr>
          <w:p w14:paraId="4787E27C">
            <w:pPr>
              <w:keepNext w:val="0"/>
              <w:keepLines w:val="0"/>
              <w:pageBreakBefore w:val="0"/>
              <w:widowControl w:val="0"/>
              <w:kinsoku/>
              <w:overflowPunct/>
              <w:topLinePunct w:val="0"/>
              <w:autoSpaceDE/>
              <w:autoSpaceDN/>
              <w:bidi w:val="0"/>
              <w:spacing w:line="360" w:lineRule="exact"/>
              <w:jc w:val="center"/>
              <w:textAlignment w:val="auto"/>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评分因素</w:t>
            </w:r>
          </w:p>
        </w:tc>
        <w:tc>
          <w:tcPr>
            <w:tcW w:w="868" w:type="dxa"/>
            <w:shd w:val="clear" w:color="auto" w:fill="BDD6EE"/>
            <w:vAlign w:val="center"/>
          </w:tcPr>
          <w:p w14:paraId="55119916">
            <w:pPr>
              <w:keepNext w:val="0"/>
              <w:keepLines w:val="0"/>
              <w:pageBreakBefore w:val="0"/>
              <w:widowControl w:val="0"/>
              <w:kinsoku/>
              <w:overflowPunct/>
              <w:topLinePunct w:val="0"/>
              <w:autoSpaceDE/>
              <w:autoSpaceDN/>
              <w:bidi w:val="0"/>
              <w:spacing w:line="360" w:lineRule="exact"/>
              <w:jc w:val="center"/>
              <w:textAlignment w:val="auto"/>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分值</w:t>
            </w:r>
          </w:p>
        </w:tc>
        <w:tc>
          <w:tcPr>
            <w:tcW w:w="5005" w:type="dxa"/>
            <w:shd w:val="clear" w:color="auto" w:fill="BDD6EE"/>
            <w:vAlign w:val="center"/>
          </w:tcPr>
          <w:p w14:paraId="02C0FE8B">
            <w:pPr>
              <w:keepNext w:val="0"/>
              <w:keepLines w:val="0"/>
              <w:pageBreakBefore w:val="0"/>
              <w:widowControl w:val="0"/>
              <w:kinsoku/>
              <w:overflowPunct/>
              <w:topLinePunct w:val="0"/>
              <w:autoSpaceDE/>
              <w:autoSpaceDN/>
              <w:bidi w:val="0"/>
              <w:spacing w:line="360" w:lineRule="exact"/>
              <w:jc w:val="center"/>
              <w:textAlignment w:val="auto"/>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评分准则</w:t>
            </w:r>
          </w:p>
        </w:tc>
      </w:tr>
      <w:tr w14:paraId="7619AE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3" w:type="dxa"/>
            <w:vAlign w:val="center"/>
          </w:tcPr>
          <w:p w14:paraId="60B441BD">
            <w:pPr>
              <w:keepNext w:val="0"/>
              <w:keepLines w:val="0"/>
              <w:pageBreakBefore w:val="0"/>
              <w:widowControl w:val="0"/>
              <w:kinsoku/>
              <w:overflowPunct/>
              <w:topLinePunct w:val="0"/>
              <w:autoSpaceDE/>
              <w:autoSpaceDN/>
              <w:bidi w:val="0"/>
              <w:spacing w:line="360" w:lineRule="exact"/>
              <w:jc w:val="center"/>
              <w:textAlignment w:val="auto"/>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1</w:t>
            </w:r>
          </w:p>
        </w:tc>
        <w:tc>
          <w:tcPr>
            <w:tcW w:w="1850" w:type="dxa"/>
            <w:vAlign w:val="center"/>
          </w:tcPr>
          <w:p w14:paraId="363D452F">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val="0"/>
                <w:color w:val="000000" w:themeColor="text1"/>
                <w:sz w:val="22"/>
                <w:szCs w:val="22"/>
                <w14:textFill>
                  <w14:solidFill>
                    <w14:schemeClr w14:val="tx1"/>
                  </w14:solidFill>
                </w14:textFill>
              </w:rPr>
            </w:pPr>
            <w:r>
              <w:rPr>
                <w:rFonts w:hint="default" w:ascii="Times New Roman" w:hAnsi="Times New Roman" w:eastAsia="宋体" w:cs="Times New Roman"/>
                <w:b w:val="0"/>
                <w:bCs w:val="0"/>
                <w:sz w:val="22"/>
                <w:szCs w:val="22"/>
                <w:lang w:eastAsia="zh-CN"/>
              </w:rPr>
              <w:t>服务</w:t>
            </w:r>
            <w:r>
              <w:rPr>
                <w:rFonts w:hint="default" w:ascii="Times New Roman" w:hAnsi="Times New Roman" w:eastAsia="宋体" w:cs="Times New Roman"/>
                <w:b w:val="0"/>
                <w:bCs w:val="0"/>
                <w:sz w:val="22"/>
                <w:szCs w:val="22"/>
              </w:rPr>
              <w:t>方案</w:t>
            </w:r>
          </w:p>
        </w:tc>
        <w:tc>
          <w:tcPr>
            <w:tcW w:w="868" w:type="dxa"/>
            <w:vAlign w:val="center"/>
          </w:tcPr>
          <w:p w14:paraId="573EFCD5">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val="0"/>
                <w:color w:val="000000" w:themeColor="text1"/>
                <w:sz w:val="22"/>
                <w:szCs w:val="22"/>
                <w:lang w:val="en-US" w:eastAsia="zh-CN"/>
                <w14:textFill>
                  <w14:solidFill>
                    <w14:schemeClr w14:val="tx1"/>
                  </w14:solidFill>
                </w14:textFill>
              </w:rPr>
            </w:pPr>
            <w:r>
              <w:rPr>
                <w:rFonts w:hint="default" w:ascii="Times New Roman" w:hAnsi="Times New Roman" w:eastAsia="宋体" w:cs="Times New Roman"/>
                <w:b w:val="0"/>
                <w:bCs w:val="0"/>
                <w:sz w:val="22"/>
                <w:szCs w:val="22"/>
                <w:lang w:val="en-US" w:eastAsia="zh-CN"/>
              </w:rPr>
              <w:t>15</w:t>
            </w:r>
          </w:p>
        </w:tc>
        <w:tc>
          <w:tcPr>
            <w:tcW w:w="5005" w:type="dxa"/>
            <w:vAlign w:val="center"/>
          </w:tcPr>
          <w:p w14:paraId="4A7928B7">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default" w:ascii="Times New Roman" w:hAnsi="Times New Roman" w:eastAsia="宋体" w:cs="Times New Roman"/>
                <w:b/>
                <w:bCs/>
                <w:sz w:val="22"/>
                <w:szCs w:val="22"/>
              </w:rPr>
            </w:pPr>
            <w:r>
              <w:rPr>
                <w:rFonts w:hint="default" w:ascii="Times New Roman" w:hAnsi="Times New Roman" w:eastAsia="宋体" w:cs="Times New Roman"/>
                <w:b/>
                <w:bCs/>
                <w:sz w:val="22"/>
                <w:szCs w:val="22"/>
              </w:rPr>
              <w:t>（一）评分内容：</w:t>
            </w:r>
          </w:p>
          <w:p w14:paraId="62B85D86">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default" w:ascii="Times New Roman" w:hAnsi="Times New Roman" w:eastAsia="宋体" w:cs="Times New Roman"/>
                <w:b w:val="0"/>
                <w:bCs w:val="0"/>
                <w:kern w:val="0"/>
                <w:sz w:val="22"/>
                <w:szCs w:val="22"/>
              </w:rPr>
            </w:pPr>
            <w:r>
              <w:rPr>
                <w:rFonts w:hint="default" w:ascii="Times New Roman" w:hAnsi="Times New Roman" w:eastAsia="宋体" w:cs="Times New Roman"/>
                <w:b w:val="0"/>
                <w:bCs w:val="0"/>
                <w:sz w:val="22"/>
                <w:szCs w:val="22"/>
              </w:rPr>
              <w:t>投标人根据</w:t>
            </w:r>
            <w:r>
              <w:rPr>
                <w:rFonts w:hint="default" w:ascii="Times New Roman" w:hAnsi="Times New Roman" w:eastAsia="宋体" w:cs="Times New Roman"/>
                <w:b w:val="0"/>
                <w:bCs w:val="0"/>
                <w:sz w:val="22"/>
                <w:szCs w:val="22"/>
                <w:lang w:eastAsia="zh-CN"/>
              </w:rPr>
              <w:t>采购文件制定服务</w:t>
            </w:r>
            <w:r>
              <w:rPr>
                <w:rFonts w:hint="default" w:ascii="Times New Roman" w:hAnsi="Times New Roman" w:eastAsia="宋体" w:cs="Times New Roman"/>
                <w:b w:val="0"/>
                <w:bCs w:val="0"/>
                <w:sz w:val="22"/>
                <w:szCs w:val="22"/>
              </w:rPr>
              <w:t>方案</w:t>
            </w:r>
            <w:r>
              <w:rPr>
                <w:rFonts w:hint="default" w:ascii="Times New Roman" w:hAnsi="Times New Roman" w:eastAsia="宋体" w:cs="Times New Roman"/>
                <w:b w:val="0"/>
                <w:bCs w:val="0"/>
                <w:kern w:val="0"/>
                <w:sz w:val="22"/>
                <w:szCs w:val="22"/>
              </w:rPr>
              <w:t>，包括但不限于以下内容：</w:t>
            </w:r>
          </w:p>
          <w:p w14:paraId="6BD35F84">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textAlignment w:val="auto"/>
              <w:rPr>
                <w:rFonts w:hint="default" w:ascii="Times New Roman" w:hAnsi="Times New Roman" w:eastAsia="宋体" w:cs="Times New Roman"/>
                <w:b w:val="0"/>
                <w:bCs w:val="0"/>
                <w:kern w:val="0"/>
                <w:sz w:val="22"/>
                <w:szCs w:val="22"/>
                <w:lang w:val="en-US" w:eastAsia="zh-CN" w:bidi="ar-SA"/>
              </w:rPr>
            </w:pPr>
            <w:r>
              <w:rPr>
                <w:rFonts w:hint="default" w:ascii="Times New Roman" w:hAnsi="Times New Roman" w:eastAsia="宋体" w:cs="Times New Roman"/>
                <w:b w:val="0"/>
                <w:bCs w:val="0"/>
                <w:kern w:val="0"/>
                <w:sz w:val="22"/>
                <w:szCs w:val="22"/>
                <w:lang w:val="en-US" w:eastAsia="zh-CN" w:bidi="ar-SA"/>
              </w:rPr>
              <w:t>1.整体设想及规划；</w:t>
            </w:r>
          </w:p>
          <w:p w14:paraId="0452314B">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textAlignment w:val="auto"/>
              <w:rPr>
                <w:rFonts w:hint="default" w:ascii="Times New Roman" w:hAnsi="Times New Roman" w:eastAsia="宋体" w:cs="Times New Roman"/>
                <w:b w:val="0"/>
                <w:bCs w:val="0"/>
                <w:kern w:val="0"/>
                <w:sz w:val="22"/>
                <w:szCs w:val="22"/>
                <w:lang w:val="en-US" w:eastAsia="zh-CN" w:bidi="ar-SA"/>
              </w:rPr>
            </w:pPr>
            <w:r>
              <w:rPr>
                <w:rFonts w:hint="default" w:ascii="Times New Roman" w:hAnsi="Times New Roman" w:eastAsia="宋体" w:cs="Times New Roman"/>
                <w:b w:val="0"/>
                <w:bCs w:val="0"/>
                <w:kern w:val="0"/>
                <w:sz w:val="22"/>
                <w:szCs w:val="22"/>
                <w:lang w:val="en-US" w:eastAsia="zh-CN" w:bidi="ar-SA"/>
              </w:rPr>
              <w:t>2.工作措施；</w:t>
            </w:r>
          </w:p>
          <w:p w14:paraId="4E04A673">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textAlignment w:val="auto"/>
              <w:rPr>
                <w:rFonts w:hint="default" w:ascii="Times New Roman" w:hAnsi="Times New Roman" w:eastAsia="宋体" w:cs="Times New Roman"/>
                <w:b w:val="0"/>
                <w:bCs w:val="0"/>
                <w:kern w:val="0"/>
                <w:sz w:val="22"/>
                <w:szCs w:val="22"/>
                <w:lang w:val="en-US" w:eastAsia="zh-CN" w:bidi="ar-SA"/>
              </w:rPr>
            </w:pPr>
            <w:r>
              <w:rPr>
                <w:rFonts w:hint="default" w:ascii="Times New Roman" w:hAnsi="Times New Roman" w:eastAsia="宋体" w:cs="Times New Roman"/>
                <w:b w:val="0"/>
                <w:bCs w:val="0"/>
                <w:kern w:val="0"/>
                <w:sz w:val="22"/>
                <w:szCs w:val="22"/>
                <w:lang w:val="en-US" w:eastAsia="zh-CN" w:bidi="ar-SA"/>
              </w:rPr>
              <w:t>3.工作方法；</w:t>
            </w:r>
          </w:p>
          <w:p w14:paraId="6ABD5C79">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textAlignment w:val="auto"/>
              <w:rPr>
                <w:rFonts w:hint="default" w:ascii="Times New Roman" w:hAnsi="Times New Roman" w:eastAsia="宋体" w:cs="Times New Roman"/>
                <w:b w:val="0"/>
                <w:bCs w:val="0"/>
                <w:kern w:val="0"/>
                <w:sz w:val="22"/>
                <w:szCs w:val="22"/>
                <w:lang w:val="en-US" w:eastAsia="zh-CN" w:bidi="ar-SA"/>
              </w:rPr>
            </w:pPr>
            <w:r>
              <w:rPr>
                <w:rFonts w:hint="default" w:ascii="Times New Roman" w:hAnsi="Times New Roman" w:eastAsia="宋体" w:cs="Times New Roman"/>
                <w:b w:val="0"/>
                <w:bCs w:val="0"/>
                <w:kern w:val="0"/>
                <w:sz w:val="22"/>
                <w:szCs w:val="22"/>
                <w:lang w:val="en-US" w:eastAsia="zh-CN" w:bidi="ar-SA"/>
              </w:rPr>
              <w:t>4.工作手段；</w:t>
            </w:r>
          </w:p>
          <w:p w14:paraId="02D3B85B">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textAlignment w:val="auto"/>
              <w:rPr>
                <w:rFonts w:hint="default" w:ascii="Times New Roman" w:hAnsi="Times New Roman" w:eastAsia="宋体" w:cs="Times New Roman"/>
                <w:b w:val="0"/>
                <w:bCs w:val="0"/>
                <w:kern w:val="0"/>
                <w:sz w:val="22"/>
                <w:szCs w:val="22"/>
              </w:rPr>
            </w:pPr>
            <w:r>
              <w:rPr>
                <w:rFonts w:hint="default" w:ascii="Times New Roman" w:hAnsi="Times New Roman" w:eastAsia="宋体" w:cs="Times New Roman"/>
                <w:b w:val="0"/>
                <w:bCs w:val="0"/>
                <w:kern w:val="0"/>
                <w:sz w:val="22"/>
                <w:szCs w:val="22"/>
                <w:lang w:val="en-US" w:eastAsia="zh-CN" w:bidi="ar-SA"/>
              </w:rPr>
              <w:t>5.工作流程。</w:t>
            </w:r>
          </w:p>
          <w:p w14:paraId="49365938">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textAlignment w:val="auto"/>
              <w:rPr>
                <w:rFonts w:hint="default" w:ascii="Times New Roman" w:hAnsi="Times New Roman" w:eastAsia="宋体" w:cs="Times New Roman"/>
                <w:b/>
                <w:bCs/>
                <w:kern w:val="0"/>
                <w:sz w:val="22"/>
                <w:szCs w:val="22"/>
              </w:rPr>
            </w:pPr>
            <w:r>
              <w:rPr>
                <w:rFonts w:hint="default" w:ascii="Times New Roman" w:hAnsi="Times New Roman" w:eastAsia="宋体" w:cs="Times New Roman"/>
                <w:b/>
                <w:bCs/>
                <w:kern w:val="0"/>
                <w:sz w:val="22"/>
                <w:szCs w:val="22"/>
                <w:lang w:val="en-US" w:eastAsia="zh-CN" w:bidi="ar-SA"/>
              </w:rPr>
              <w:t>（二）</w:t>
            </w:r>
            <w:r>
              <w:rPr>
                <w:rFonts w:hint="default" w:ascii="Times New Roman" w:hAnsi="Times New Roman" w:eastAsia="宋体" w:cs="Times New Roman"/>
                <w:b/>
                <w:bCs/>
                <w:kern w:val="0"/>
                <w:sz w:val="22"/>
                <w:szCs w:val="22"/>
              </w:rPr>
              <w:t>评分标准：</w:t>
            </w:r>
          </w:p>
          <w:p w14:paraId="7022C3ED">
            <w:pPr>
              <w:keepNext w:val="0"/>
              <w:keepLines w:val="0"/>
              <w:pageBreakBefore w:val="0"/>
              <w:widowControl w:val="0"/>
              <w:kinsoku/>
              <w:wordWrap/>
              <w:overflowPunct/>
              <w:topLinePunct w:val="0"/>
              <w:autoSpaceDE/>
              <w:autoSpaceDN/>
              <w:bidi w:val="0"/>
              <w:spacing w:line="360" w:lineRule="exact"/>
              <w:jc w:val="left"/>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每提供以上1点得</w:t>
            </w:r>
            <w:r>
              <w:rPr>
                <w:rFonts w:hint="default" w:ascii="Times New Roman" w:hAnsi="Times New Roman" w:eastAsia="宋体" w:cs="Times New Roman"/>
                <w:sz w:val="22"/>
                <w:szCs w:val="22"/>
                <w:lang w:val="en-US" w:eastAsia="zh-CN"/>
              </w:rPr>
              <w:t>2</w:t>
            </w:r>
            <w:r>
              <w:rPr>
                <w:rFonts w:hint="default" w:ascii="Times New Roman" w:hAnsi="Times New Roman" w:eastAsia="宋体" w:cs="Times New Roman"/>
                <w:sz w:val="22"/>
                <w:szCs w:val="22"/>
              </w:rPr>
              <w:t>分，最高得</w:t>
            </w:r>
            <w:r>
              <w:rPr>
                <w:rFonts w:hint="default" w:ascii="Times New Roman" w:hAnsi="Times New Roman" w:eastAsia="宋体" w:cs="Times New Roman"/>
                <w:sz w:val="22"/>
                <w:szCs w:val="22"/>
                <w:lang w:val="en-US" w:eastAsia="zh-CN"/>
              </w:rPr>
              <w:t>10</w:t>
            </w:r>
            <w:r>
              <w:rPr>
                <w:rFonts w:hint="default" w:ascii="Times New Roman" w:hAnsi="Times New Roman" w:eastAsia="宋体" w:cs="Times New Roman"/>
                <w:sz w:val="22"/>
                <w:szCs w:val="22"/>
              </w:rPr>
              <w:t>分，缺项不得分。在此基础上，专家根据内容的合理性进行评分：</w:t>
            </w:r>
          </w:p>
          <w:p w14:paraId="0C3C8C4C">
            <w:pPr>
              <w:keepNext w:val="0"/>
              <w:keepLines w:val="0"/>
              <w:pageBreakBefore w:val="0"/>
              <w:widowControl w:val="0"/>
              <w:kinsoku/>
              <w:wordWrap/>
              <w:overflowPunct/>
              <w:topLinePunct w:val="0"/>
              <w:autoSpaceDE/>
              <w:autoSpaceDN/>
              <w:bidi w:val="0"/>
              <w:spacing w:line="360" w:lineRule="exact"/>
              <w:jc w:val="left"/>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优评分标准：方案符合实际、完整、规范、思路清晰，内容合理性强。</w:t>
            </w:r>
          </w:p>
          <w:p w14:paraId="3CBDDE7C">
            <w:pPr>
              <w:keepNext w:val="0"/>
              <w:keepLines w:val="0"/>
              <w:pageBreakBefore w:val="0"/>
              <w:widowControl w:val="0"/>
              <w:kinsoku/>
              <w:wordWrap/>
              <w:overflowPunct/>
              <w:topLinePunct w:val="0"/>
              <w:autoSpaceDE/>
              <w:autoSpaceDN/>
              <w:bidi w:val="0"/>
              <w:spacing w:line="360" w:lineRule="exact"/>
              <w:jc w:val="left"/>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良评分标准：方案较符合实际、较完整规范、思路较清晰，内容合理性较强。</w:t>
            </w:r>
          </w:p>
          <w:p w14:paraId="359D4565">
            <w:pPr>
              <w:keepNext w:val="0"/>
              <w:keepLines w:val="0"/>
              <w:pageBreakBefore w:val="0"/>
              <w:widowControl w:val="0"/>
              <w:kinsoku/>
              <w:wordWrap/>
              <w:overflowPunct/>
              <w:topLinePunct w:val="0"/>
              <w:autoSpaceDE/>
              <w:autoSpaceDN/>
              <w:bidi w:val="0"/>
              <w:spacing w:line="360" w:lineRule="exact"/>
              <w:jc w:val="left"/>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中评分标准：方案较普通、完整性规范性一般，思路不够清晰，内容合理性一般。</w:t>
            </w:r>
          </w:p>
          <w:p w14:paraId="2831CB6E">
            <w:pPr>
              <w:keepNext w:val="0"/>
              <w:keepLines w:val="0"/>
              <w:pageBreakBefore w:val="0"/>
              <w:widowControl w:val="0"/>
              <w:kinsoku/>
              <w:wordWrap/>
              <w:overflowPunct/>
              <w:topLinePunct w:val="0"/>
              <w:autoSpaceDE/>
              <w:autoSpaceDN/>
              <w:bidi w:val="0"/>
              <w:spacing w:line="360" w:lineRule="exact"/>
              <w:jc w:val="left"/>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差评分标准</w:t>
            </w:r>
            <w:r>
              <w:rPr>
                <w:rFonts w:hint="default" w:ascii="Times New Roman" w:hAnsi="Times New Roman" w:eastAsia="宋体" w:cs="Times New Roman"/>
                <w:sz w:val="22"/>
                <w:szCs w:val="22"/>
                <w:lang w:eastAsia="zh-CN"/>
              </w:rPr>
              <w:t>：</w:t>
            </w:r>
            <w:r>
              <w:rPr>
                <w:rFonts w:hint="default" w:ascii="Times New Roman" w:hAnsi="Times New Roman" w:eastAsia="宋体" w:cs="Times New Roman"/>
                <w:sz w:val="22"/>
                <w:szCs w:val="22"/>
              </w:rPr>
              <w:t>方案不完整、不规范，思路不清晰，内容合理性较差或未提供。</w:t>
            </w:r>
          </w:p>
          <w:p w14:paraId="769445F0">
            <w:pPr>
              <w:keepNext w:val="0"/>
              <w:keepLines w:val="0"/>
              <w:pageBreakBefore w:val="0"/>
              <w:widowControl w:val="0"/>
              <w:kinsoku/>
              <w:wordWrap/>
              <w:overflowPunct/>
              <w:topLinePunct w:val="0"/>
              <w:autoSpaceDE/>
              <w:autoSpaceDN/>
              <w:bidi w:val="0"/>
              <w:spacing w:line="360" w:lineRule="exact"/>
              <w:jc w:val="left"/>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评价为优加</w:t>
            </w:r>
            <w:r>
              <w:rPr>
                <w:rFonts w:hint="default" w:ascii="Times New Roman" w:hAnsi="Times New Roman" w:eastAsia="宋体" w:cs="Times New Roman"/>
                <w:sz w:val="22"/>
                <w:szCs w:val="22"/>
                <w:lang w:val="en-US" w:eastAsia="zh-CN"/>
              </w:rPr>
              <w:t>5</w:t>
            </w:r>
            <w:r>
              <w:rPr>
                <w:rFonts w:hint="default" w:ascii="Times New Roman" w:hAnsi="Times New Roman" w:eastAsia="宋体" w:cs="Times New Roman"/>
                <w:sz w:val="22"/>
                <w:szCs w:val="22"/>
              </w:rPr>
              <w:t>分。</w:t>
            </w:r>
          </w:p>
          <w:p w14:paraId="374B28A5">
            <w:pPr>
              <w:keepNext w:val="0"/>
              <w:keepLines w:val="0"/>
              <w:pageBreakBefore w:val="0"/>
              <w:widowControl w:val="0"/>
              <w:kinsoku/>
              <w:wordWrap/>
              <w:overflowPunct/>
              <w:topLinePunct w:val="0"/>
              <w:autoSpaceDE/>
              <w:autoSpaceDN/>
              <w:bidi w:val="0"/>
              <w:spacing w:line="360" w:lineRule="exact"/>
              <w:jc w:val="left"/>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评价为良加</w:t>
            </w:r>
            <w:r>
              <w:rPr>
                <w:rFonts w:hint="default" w:ascii="Times New Roman" w:hAnsi="Times New Roman" w:eastAsia="宋体" w:cs="Times New Roman"/>
                <w:sz w:val="22"/>
                <w:szCs w:val="22"/>
                <w:lang w:val="en-US" w:eastAsia="zh-CN"/>
              </w:rPr>
              <w:t>3</w:t>
            </w:r>
            <w:r>
              <w:rPr>
                <w:rFonts w:hint="default" w:ascii="Times New Roman" w:hAnsi="Times New Roman" w:eastAsia="宋体" w:cs="Times New Roman"/>
                <w:sz w:val="22"/>
                <w:szCs w:val="22"/>
              </w:rPr>
              <w:t>分。</w:t>
            </w:r>
          </w:p>
          <w:p w14:paraId="155BA244">
            <w:pPr>
              <w:keepNext w:val="0"/>
              <w:keepLines w:val="0"/>
              <w:pageBreakBefore w:val="0"/>
              <w:widowControl w:val="0"/>
              <w:kinsoku/>
              <w:wordWrap/>
              <w:overflowPunct/>
              <w:topLinePunct w:val="0"/>
              <w:autoSpaceDE/>
              <w:autoSpaceDN/>
              <w:bidi w:val="0"/>
              <w:spacing w:line="360" w:lineRule="exact"/>
              <w:jc w:val="left"/>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评价为中加</w:t>
            </w:r>
            <w:r>
              <w:rPr>
                <w:rFonts w:hint="default" w:ascii="Times New Roman" w:hAnsi="Times New Roman" w:eastAsia="宋体" w:cs="Times New Roman"/>
                <w:sz w:val="22"/>
                <w:szCs w:val="22"/>
                <w:lang w:val="en-US" w:eastAsia="zh-CN"/>
              </w:rPr>
              <w:t>1</w:t>
            </w:r>
            <w:r>
              <w:rPr>
                <w:rFonts w:hint="default" w:ascii="Times New Roman" w:hAnsi="Times New Roman" w:eastAsia="宋体" w:cs="Times New Roman"/>
                <w:sz w:val="22"/>
                <w:szCs w:val="22"/>
              </w:rPr>
              <w:t>分。</w:t>
            </w:r>
          </w:p>
          <w:p w14:paraId="68A542A0">
            <w:pPr>
              <w:keepNext w:val="0"/>
              <w:keepLines w:val="0"/>
              <w:pageBreakBefore w:val="0"/>
              <w:widowControl w:val="0"/>
              <w:kinsoku/>
              <w:overflowPunct/>
              <w:topLinePunct w:val="0"/>
              <w:autoSpaceDE/>
              <w:autoSpaceDN/>
              <w:bidi w:val="0"/>
              <w:adjustRightInd/>
              <w:snapToGrid/>
              <w:spacing w:line="360" w:lineRule="exact"/>
              <w:textAlignment w:val="auto"/>
              <w:rPr>
                <w:rFonts w:hint="default" w:ascii="Times New Roman" w:hAnsi="Times New Roman" w:eastAsia="宋体" w:cs="Times New Roman"/>
                <w:b w:val="0"/>
                <w:bCs w:val="0"/>
                <w:color w:val="000000" w:themeColor="text1"/>
                <w:sz w:val="22"/>
                <w:szCs w:val="22"/>
                <w14:textFill>
                  <w14:solidFill>
                    <w14:schemeClr w14:val="tx1"/>
                  </w14:solidFill>
                </w14:textFill>
              </w:rPr>
            </w:pPr>
            <w:r>
              <w:rPr>
                <w:rFonts w:hint="default" w:ascii="Times New Roman" w:hAnsi="Times New Roman" w:eastAsia="宋体" w:cs="Times New Roman"/>
                <w:sz w:val="22"/>
                <w:szCs w:val="22"/>
              </w:rPr>
              <w:t>评价为差不得分。如评审为差，评审专家须书面说明理由，并记录在档。</w:t>
            </w:r>
          </w:p>
        </w:tc>
      </w:tr>
      <w:tr w14:paraId="2B754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3" w:type="dxa"/>
            <w:vAlign w:val="center"/>
          </w:tcPr>
          <w:p w14:paraId="5DC971F4">
            <w:pPr>
              <w:keepNext w:val="0"/>
              <w:keepLines w:val="0"/>
              <w:pageBreakBefore w:val="0"/>
              <w:widowControl w:val="0"/>
              <w:kinsoku/>
              <w:overflowPunct/>
              <w:topLinePunct w:val="0"/>
              <w:autoSpaceDE/>
              <w:autoSpaceDN/>
              <w:bidi w:val="0"/>
              <w:spacing w:line="360" w:lineRule="exact"/>
              <w:jc w:val="center"/>
              <w:textAlignment w:val="auto"/>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2</w:t>
            </w:r>
          </w:p>
        </w:tc>
        <w:tc>
          <w:tcPr>
            <w:tcW w:w="1850" w:type="dxa"/>
            <w:vAlign w:val="center"/>
          </w:tcPr>
          <w:p w14:paraId="5714C295">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val="0"/>
                <w:color w:val="000000" w:themeColor="text1"/>
                <w:sz w:val="22"/>
                <w:szCs w:val="22"/>
                <w14:textFill>
                  <w14:solidFill>
                    <w14:schemeClr w14:val="tx1"/>
                  </w14:solidFill>
                </w14:textFill>
              </w:rPr>
            </w:pPr>
            <w:r>
              <w:rPr>
                <w:rFonts w:hint="default" w:ascii="Times New Roman" w:hAnsi="Times New Roman" w:eastAsia="宋体" w:cs="Times New Roman"/>
                <w:b w:val="0"/>
                <w:bCs w:val="0"/>
                <w:sz w:val="22"/>
                <w:szCs w:val="22"/>
              </w:rPr>
              <w:t>项目重点难点分析、应对措施及相关的合理化建议</w:t>
            </w:r>
          </w:p>
        </w:tc>
        <w:tc>
          <w:tcPr>
            <w:tcW w:w="868" w:type="dxa"/>
            <w:vAlign w:val="center"/>
          </w:tcPr>
          <w:p w14:paraId="57C5F856">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val="0"/>
                <w:color w:val="000000" w:themeColor="text1"/>
                <w:sz w:val="22"/>
                <w:szCs w:val="22"/>
                <w:lang w:val="en-US" w:eastAsia="zh-CN"/>
                <w14:textFill>
                  <w14:solidFill>
                    <w14:schemeClr w14:val="tx1"/>
                  </w14:solidFill>
                </w14:textFill>
              </w:rPr>
            </w:pPr>
            <w:r>
              <w:rPr>
                <w:rFonts w:hint="default" w:ascii="Times New Roman" w:hAnsi="Times New Roman" w:eastAsia="宋体" w:cs="Times New Roman"/>
                <w:b w:val="0"/>
                <w:bCs w:val="0"/>
                <w:sz w:val="22"/>
                <w:szCs w:val="22"/>
                <w:lang w:val="en-US" w:eastAsia="zh-CN"/>
              </w:rPr>
              <w:t>15</w:t>
            </w:r>
          </w:p>
        </w:tc>
        <w:tc>
          <w:tcPr>
            <w:tcW w:w="5005" w:type="dxa"/>
            <w:vAlign w:val="center"/>
          </w:tcPr>
          <w:p w14:paraId="16B924EF">
            <w:pPr>
              <w:keepNext w:val="0"/>
              <w:keepLines w:val="0"/>
              <w:pageBreakBefore w:val="0"/>
              <w:widowControl w:val="0"/>
              <w:kinsoku/>
              <w:overflowPunct/>
              <w:topLinePunct w:val="0"/>
              <w:autoSpaceDE/>
              <w:autoSpaceDN/>
              <w:bidi w:val="0"/>
              <w:adjustRightInd/>
              <w:snapToGrid/>
              <w:spacing w:line="360" w:lineRule="exact"/>
              <w:textAlignment w:val="auto"/>
              <w:rPr>
                <w:rFonts w:hint="default" w:ascii="Times New Roman" w:hAnsi="Times New Roman" w:eastAsia="宋体" w:cs="Times New Roman"/>
                <w:b/>
                <w:bCs/>
                <w:sz w:val="22"/>
                <w:szCs w:val="22"/>
              </w:rPr>
            </w:pPr>
            <w:r>
              <w:rPr>
                <w:rFonts w:hint="default" w:ascii="Times New Roman" w:hAnsi="Times New Roman" w:eastAsia="宋体" w:cs="Times New Roman"/>
                <w:b/>
                <w:bCs/>
                <w:sz w:val="22"/>
                <w:szCs w:val="22"/>
              </w:rPr>
              <w:t>（一）评分内容：</w:t>
            </w:r>
          </w:p>
          <w:p w14:paraId="5AE34DB4">
            <w:pPr>
              <w:keepNext w:val="0"/>
              <w:keepLines w:val="0"/>
              <w:pageBreakBefore w:val="0"/>
              <w:widowControl w:val="0"/>
              <w:kinsoku/>
              <w:overflowPunct/>
              <w:topLinePunct w:val="0"/>
              <w:autoSpaceDE/>
              <w:autoSpaceDN/>
              <w:bidi w:val="0"/>
              <w:adjustRightInd/>
              <w:snapToGrid/>
              <w:spacing w:line="360" w:lineRule="exact"/>
              <w:textAlignment w:val="auto"/>
              <w:rPr>
                <w:rFonts w:hint="default" w:ascii="Times New Roman" w:hAnsi="Times New Roman" w:eastAsia="宋体" w:cs="Times New Roman"/>
                <w:b w:val="0"/>
                <w:bCs w:val="0"/>
                <w:sz w:val="22"/>
                <w:szCs w:val="22"/>
              </w:rPr>
            </w:pPr>
            <w:r>
              <w:rPr>
                <w:rFonts w:hint="default" w:ascii="Times New Roman" w:hAnsi="Times New Roman" w:eastAsia="宋体" w:cs="Times New Roman"/>
                <w:b w:val="0"/>
                <w:bCs w:val="0"/>
                <w:sz w:val="22"/>
                <w:szCs w:val="22"/>
              </w:rPr>
              <w:t>投标人根据</w:t>
            </w:r>
            <w:r>
              <w:rPr>
                <w:rFonts w:hint="default" w:ascii="Times New Roman" w:hAnsi="Times New Roman" w:eastAsia="宋体" w:cs="Times New Roman"/>
                <w:b w:val="0"/>
                <w:bCs w:val="0"/>
                <w:sz w:val="22"/>
                <w:szCs w:val="22"/>
                <w:lang w:eastAsia="zh-CN"/>
              </w:rPr>
              <w:t>采购文件制定</w:t>
            </w:r>
            <w:r>
              <w:rPr>
                <w:rFonts w:hint="default" w:ascii="Times New Roman" w:hAnsi="Times New Roman" w:eastAsia="宋体" w:cs="Times New Roman"/>
                <w:b w:val="0"/>
                <w:bCs w:val="0"/>
                <w:sz w:val="22"/>
                <w:szCs w:val="22"/>
              </w:rPr>
              <w:t>项目重点难点分析、应对措施及相关的合理化建议</w:t>
            </w:r>
            <w:r>
              <w:rPr>
                <w:rFonts w:hint="default" w:ascii="Times New Roman" w:hAnsi="Times New Roman" w:eastAsia="宋体" w:cs="Times New Roman"/>
                <w:b w:val="0"/>
                <w:bCs w:val="0"/>
                <w:kern w:val="0"/>
                <w:sz w:val="22"/>
                <w:szCs w:val="22"/>
              </w:rPr>
              <w:t>，包括但不限于以下内容：</w:t>
            </w:r>
          </w:p>
          <w:p w14:paraId="5F674922">
            <w:pPr>
              <w:pStyle w:val="3"/>
              <w:keepNext w:val="0"/>
              <w:keepLines w:val="0"/>
              <w:pageBreakBefore w:val="0"/>
              <w:widowControl w:val="0"/>
              <w:numPr>
                <w:ilvl w:val="0"/>
                <w:numId w:val="0"/>
              </w:numPr>
              <w:tabs>
                <w:tab w:val="left" w:pos="4760"/>
              </w:tabs>
              <w:kinsoku/>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sz w:val="22"/>
                <w:szCs w:val="22"/>
                <w:lang w:eastAsia="zh-CN"/>
              </w:rPr>
            </w:pPr>
            <w:r>
              <w:rPr>
                <w:rFonts w:hint="default" w:ascii="Times New Roman" w:hAnsi="Times New Roman" w:eastAsia="宋体" w:cs="Times New Roman"/>
                <w:b w:val="0"/>
                <w:bCs w:val="0"/>
                <w:sz w:val="22"/>
                <w:szCs w:val="22"/>
                <w:lang w:val="en-US" w:eastAsia="zh-CN"/>
              </w:rPr>
              <w:t>1.</w:t>
            </w:r>
            <w:r>
              <w:rPr>
                <w:rFonts w:hint="default" w:ascii="Times New Roman" w:hAnsi="Times New Roman" w:eastAsia="宋体" w:cs="Times New Roman"/>
                <w:b w:val="0"/>
                <w:bCs w:val="0"/>
                <w:sz w:val="22"/>
                <w:szCs w:val="22"/>
              </w:rPr>
              <w:t>项目重难点</w:t>
            </w:r>
            <w:r>
              <w:rPr>
                <w:rFonts w:hint="default" w:ascii="Times New Roman" w:hAnsi="Times New Roman" w:eastAsia="宋体" w:cs="Times New Roman"/>
                <w:b w:val="0"/>
                <w:bCs w:val="0"/>
                <w:sz w:val="22"/>
                <w:szCs w:val="22"/>
                <w:lang w:eastAsia="zh-CN"/>
              </w:rPr>
              <w:t>分析；</w:t>
            </w:r>
          </w:p>
          <w:p w14:paraId="0F5CD8E7">
            <w:pPr>
              <w:pStyle w:val="3"/>
              <w:keepNext w:val="0"/>
              <w:keepLines w:val="0"/>
              <w:pageBreakBefore w:val="0"/>
              <w:widowControl w:val="0"/>
              <w:numPr>
                <w:ilvl w:val="0"/>
                <w:numId w:val="0"/>
              </w:numPr>
              <w:tabs>
                <w:tab w:val="left" w:pos="4760"/>
              </w:tabs>
              <w:kinsoku/>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sz w:val="22"/>
                <w:szCs w:val="22"/>
                <w:lang w:eastAsia="zh-CN"/>
              </w:rPr>
            </w:pPr>
            <w:r>
              <w:rPr>
                <w:rFonts w:hint="default" w:ascii="Times New Roman" w:hAnsi="Times New Roman" w:eastAsia="宋体" w:cs="Times New Roman"/>
                <w:b w:val="0"/>
                <w:bCs w:val="0"/>
                <w:sz w:val="22"/>
                <w:szCs w:val="22"/>
                <w:lang w:val="en-US" w:eastAsia="zh-CN"/>
              </w:rPr>
              <w:t>2.</w:t>
            </w:r>
            <w:r>
              <w:rPr>
                <w:rFonts w:hint="default" w:ascii="Times New Roman" w:hAnsi="Times New Roman" w:eastAsia="宋体" w:cs="Times New Roman"/>
                <w:b w:val="0"/>
                <w:bCs w:val="0"/>
                <w:sz w:val="22"/>
                <w:szCs w:val="22"/>
              </w:rPr>
              <w:t>应对措施</w:t>
            </w:r>
            <w:r>
              <w:rPr>
                <w:rFonts w:hint="default" w:ascii="Times New Roman" w:hAnsi="Times New Roman" w:eastAsia="宋体" w:cs="Times New Roman"/>
                <w:b w:val="0"/>
                <w:bCs w:val="0"/>
                <w:sz w:val="22"/>
                <w:szCs w:val="22"/>
                <w:lang w:eastAsia="zh-CN"/>
              </w:rPr>
              <w:t>；</w:t>
            </w:r>
          </w:p>
          <w:p w14:paraId="4542565A">
            <w:pPr>
              <w:pStyle w:val="3"/>
              <w:keepNext w:val="0"/>
              <w:keepLines w:val="0"/>
              <w:pageBreakBefore w:val="0"/>
              <w:widowControl w:val="0"/>
              <w:numPr>
                <w:ilvl w:val="0"/>
                <w:numId w:val="0"/>
              </w:numPr>
              <w:tabs>
                <w:tab w:val="left" w:pos="4760"/>
              </w:tabs>
              <w:kinsoku/>
              <w:overflowPunct/>
              <w:topLinePunct w:val="0"/>
              <w:autoSpaceDE/>
              <w:autoSpaceDN/>
              <w:bidi w:val="0"/>
              <w:adjustRightInd/>
              <w:snapToGrid/>
              <w:spacing w:after="0" w:line="360" w:lineRule="exact"/>
              <w:textAlignment w:val="auto"/>
              <w:rPr>
                <w:rFonts w:hint="default" w:ascii="Times New Roman" w:hAnsi="Times New Roman" w:eastAsia="宋体" w:cs="Times New Roman"/>
                <w:b w:val="0"/>
                <w:bCs w:val="0"/>
                <w:sz w:val="22"/>
                <w:szCs w:val="22"/>
                <w:lang w:eastAsia="zh-CN"/>
              </w:rPr>
            </w:pPr>
            <w:r>
              <w:rPr>
                <w:rFonts w:hint="default" w:ascii="Times New Roman" w:hAnsi="Times New Roman" w:eastAsia="宋体" w:cs="Times New Roman"/>
                <w:b w:val="0"/>
                <w:bCs w:val="0"/>
                <w:sz w:val="22"/>
                <w:szCs w:val="22"/>
                <w:lang w:val="en-US" w:eastAsia="zh-CN"/>
              </w:rPr>
              <w:t>3.相关的</w:t>
            </w:r>
            <w:r>
              <w:rPr>
                <w:rFonts w:hint="default" w:ascii="Times New Roman" w:hAnsi="Times New Roman" w:eastAsia="宋体" w:cs="Times New Roman"/>
                <w:b w:val="0"/>
                <w:bCs w:val="0"/>
                <w:sz w:val="22"/>
                <w:szCs w:val="22"/>
              </w:rPr>
              <w:t>合理化建议</w:t>
            </w:r>
            <w:r>
              <w:rPr>
                <w:rFonts w:hint="default" w:ascii="Times New Roman" w:hAnsi="Times New Roman" w:eastAsia="宋体" w:cs="Times New Roman"/>
                <w:b w:val="0"/>
                <w:bCs w:val="0"/>
                <w:sz w:val="22"/>
                <w:szCs w:val="22"/>
                <w:lang w:eastAsia="zh-CN"/>
              </w:rPr>
              <w:t>。</w:t>
            </w:r>
          </w:p>
          <w:p w14:paraId="40B0946A">
            <w:pPr>
              <w:keepNext w:val="0"/>
              <w:keepLines w:val="0"/>
              <w:pageBreakBefore w:val="0"/>
              <w:widowControl w:val="0"/>
              <w:kinsoku/>
              <w:overflowPunct/>
              <w:topLinePunct w:val="0"/>
              <w:autoSpaceDE/>
              <w:autoSpaceDN/>
              <w:bidi w:val="0"/>
              <w:adjustRightInd/>
              <w:snapToGrid/>
              <w:spacing w:line="360" w:lineRule="exact"/>
              <w:textAlignment w:val="auto"/>
              <w:rPr>
                <w:rFonts w:hint="default" w:ascii="Times New Roman" w:hAnsi="Times New Roman" w:eastAsia="宋体" w:cs="Times New Roman"/>
                <w:b/>
                <w:bCs/>
                <w:sz w:val="22"/>
                <w:szCs w:val="22"/>
              </w:rPr>
            </w:pPr>
            <w:r>
              <w:rPr>
                <w:rFonts w:hint="default" w:ascii="Times New Roman" w:hAnsi="Times New Roman" w:eastAsia="宋体" w:cs="Times New Roman"/>
                <w:b/>
                <w:bCs/>
                <w:sz w:val="22"/>
                <w:szCs w:val="22"/>
              </w:rPr>
              <w:t>（二）评分标准：</w:t>
            </w:r>
          </w:p>
          <w:p w14:paraId="7BF2C1DF">
            <w:pPr>
              <w:keepNext w:val="0"/>
              <w:keepLines w:val="0"/>
              <w:pageBreakBefore w:val="0"/>
              <w:widowControl w:val="0"/>
              <w:kinsoku/>
              <w:wordWrap/>
              <w:overflowPunct/>
              <w:topLinePunct w:val="0"/>
              <w:autoSpaceDE/>
              <w:autoSpaceDN/>
              <w:bidi w:val="0"/>
              <w:spacing w:line="360" w:lineRule="exact"/>
              <w:jc w:val="left"/>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每提供以上1点得</w:t>
            </w:r>
            <w:r>
              <w:rPr>
                <w:rFonts w:hint="default" w:ascii="Times New Roman" w:hAnsi="Times New Roman" w:eastAsia="宋体" w:cs="Times New Roman"/>
                <w:sz w:val="22"/>
                <w:szCs w:val="22"/>
                <w:lang w:val="en-US" w:eastAsia="zh-CN"/>
              </w:rPr>
              <w:t>3</w:t>
            </w:r>
            <w:r>
              <w:rPr>
                <w:rFonts w:hint="default" w:ascii="Times New Roman" w:hAnsi="Times New Roman" w:eastAsia="宋体" w:cs="Times New Roman"/>
                <w:sz w:val="22"/>
                <w:szCs w:val="22"/>
              </w:rPr>
              <w:t>分，最高得</w:t>
            </w:r>
            <w:r>
              <w:rPr>
                <w:rFonts w:hint="default" w:ascii="Times New Roman" w:hAnsi="Times New Roman" w:eastAsia="宋体" w:cs="Times New Roman"/>
                <w:sz w:val="22"/>
                <w:szCs w:val="22"/>
                <w:lang w:val="en-US" w:eastAsia="zh-CN"/>
              </w:rPr>
              <w:t>9</w:t>
            </w:r>
            <w:r>
              <w:rPr>
                <w:rFonts w:hint="default" w:ascii="Times New Roman" w:hAnsi="Times New Roman" w:eastAsia="宋体" w:cs="Times New Roman"/>
                <w:sz w:val="22"/>
                <w:szCs w:val="22"/>
              </w:rPr>
              <w:t>分，缺项不得分。在此基础上，专家根据内容的合理性进行评分：</w:t>
            </w:r>
          </w:p>
          <w:p w14:paraId="78FF2452">
            <w:pPr>
              <w:keepNext w:val="0"/>
              <w:keepLines w:val="0"/>
              <w:pageBreakBefore w:val="0"/>
              <w:widowControl w:val="0"/>
              <w:kinsoku/>
              <w:wordWrap/>
              <w:overflowPunct/>
              <w:topLinePunct w:val="0"/>
              <w:autoSpaceDE/>
              <w:autoSpaceDN/>
              <w:bidi w:val="0"/>
              <w:spacing w:line="360" w:lineRule="exact"/>
              <w:jc w:val="left"/>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优评分标准：方案符合实际、完整、规范、思路清晰，内容合理性强。</w:t>
            </w:r>
          </w:p>
          <w:p w14:paraId="3C37A02A">
            <w:pPr>
              <w:keepNext w:val="0"/>
              <w:keepLines w:val="0"/>
              <w:pageBreakBefore w:val="0"/>
              <w:widowControl w:val="0"/>
              <w:kinsoku/>
              <w:wordWrap/>
              <w:overflowPunct/>
              <w:topLinePunct w:val="0"/>
              <w:autoSpaceDE/>
              <w:autoSpaceDN/>
              <w:bidi w:val="0"/>
              <w:spacing w:line="360" w:lineRule="exact"/>
              <w:jc w:val="left"/>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良评分标准：方案较符合实际、较完整规范、思路较清晰，内容合理性较强。</w:t>
            </w:r>
          </w:p>
          <w:p w14:paraId="275EDDF7">
            <w:pPr>
              <w:keepNext w:val="0"/>
              <w:keepLines w:val="0"/>
              <w:pageBreakBefore w:val="0"/>
              <w:widowControl w:val="0"/>
              <w:kinsoku/>
              <w:wordWrap/>
              <w:overflowPunct/>
              <w:topLinePunct w:val="0"/>
              <w:autoSpaceDE/>
              <w:autoSpaceDN/>
              <w:bidi w:val="0"/>
              <w:spacing w:line="360" w:lineRule="exact"/>
              <w:jc w:val="left"/>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中评分标准：方案较普通、完整性规范性一般，思路不够清晰，内容合理性一般。</w:t>
            </w:r>
          </w:p>
          <w:p w14:paraId="1D87F714">
            <w:pPr>
              <w:keepNext w:val="0"/>
              <w:keepLines w:val="0"/>
              <w:pageBreakBefore w:val="0"/>
              <w:widowControl w:val="0"/>
              <w:kinsoku/>
              <w:wordWrap/>
              <w:overflowPunct/>
              <w:topLinePunct w:val="0"/>
              <w:autoSpaceDE/>
              <w:autoSpaceDN/>
              <w:bidi w:val="0"/>
              <w:spacing w:line="360" w:lineRule="exact"/>
              <w:jc w:val="left"/>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差评分标准</w:t>
            </w:r>
            <w:r>
              <w:rPr>
                <w:rFonts w:hint="default" w:ascii="Times New Roman" w:hAnsi="Times New Roman" w:eastAsia="宋体" w:cs="Times New Roman"/>
                <w:sz w:val="22"/>
                <w:szCs w:val="22"/>
                <w:lang w:eastAsia="zh-CN"/>
              </w:rPr>
              <w:t>：</w:t>
            </w:r>
            <w:r>
              <w:rPr>
                <w:rFonts w:hint="default" w:ascii="Times New Roman" w:hAnsi="Times New Roman" w:eastAsia="宋体" w:cs="Times New Roman"/>
                <w:sz w:val="22"/>
                <w:szCs w:val="22"/>
              </w:rPr>
              <w:t>方案不完整、不规范，思路不清晰，内容合理性较差或未提供。</w:t>
            </w:r>
          </w:p>
          <w:p w14:paraId="15E75E0C">
            <w:pPr>
              <w:keepNext w:val="0"/>
              <w:keepLines w:val="0"/>
              <w:pageBreakBefore w:val="0"/>
              <w:widowControl w:val="0"/>
              <w:kinsoku/>
              <w:wordWrap/>
              <w:overflowPunct/>
              <w:topLinePunct w:val="0"/>
              <w:autoSpaceDE/>
              <w:autoSpaceDN/>
              <w:bidi w:val="0"/>
              <w:spacing w:line="360" w:lineRule="exact"/>
              <w:jc w:val="left"/>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评价为优加</w:t>
            </w:r>
            <w:r>
              <w:rPr>
                <w:rFonts w:hint="default" w:ascii="Times New Roman" w:hAnsi="Times New Roman" w:eastAsia="宋体" w:cs="Times New Roman"/>
                <w:sz w:val="22"/>
                <w:szCs w:val="22"/>
                <w:lang w:val="en-US" w:eastAsia="zh-CN"/>
              </w:rPr>
              <w:t>6</w:t>
            </w:r>
            <w:r>
              <w:rPr>
                <w:rFonts w:hint="default" w:ascii="Times New Roman" w:hAnsi="Times New Roman" w:eastAsia="宋体" w:cs="Times New Roman"/>
                <w:sz w:val="22"/>
                <w:szCs w:val="22"/>
              </w:rPr>
              <w:t>分。</w:t>
            </w:r>
          </w:p>
          <w:p w14:paraId="7BDAD834">
            <w:pPr>
              <w:keepNext w:val="0"/>
              <w:keepLines w:val="0"/>
              <w:pageBreakBefore w:val="0"/>
              <w:widowControl w:val="0"/>
              <w:kinsoku/>
              <w:wordWrap/>
              <w:overflowPunct/>
              <w:topLinePunct w:val="0"/>
              <w:autoSpaceDE/>
              <w:autoSpaceDN/>
              <w:bidi w:val="0"/>
              <w:spacing w:line="360" w:lineRule="exact"/>
              <w:jc w:val="left"/>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评价为良加</w:t>
            </w:r>
            <w:r>
              <w:rPr>
                <w:rFonts w:hint="default" w:ascii="Times New Roman" w:hAnsi="Times New Roman" w:eastAsia="宋体" w:cs="Times New Roman"/>
                <w:sz w:val="22"/>
                <w:szCs w:val="22"/>
                <w:lang w:val="en-US" w:eastAsia="zh-CN"/>
              </w:rPr>
              <w:t>4</w:t>
            </w:r>
            <w:r>
              <w:rPr>
                <w:rFonts w:hint="default" w:ascii="Times New Roman" w:hAnsi="Times New Roman" w:eastAsia="宋体" w:cs="Times New Roman"/>
                <w:sz w:val="22"/>
                <w:szCs w:val="22"/>
              </w:rPr>
              <w:t>分。</w:t>
            </w:r>
          </w:p>
          <w:p w14:paraId="4F9A989F">
            <w:pPr>
              <w:keepNext w:val="0"/>
              <w:keepLines w:val="0"/>
              <w:pageBreakBefore w:val="0"/>
              <w:widowControl w:val="0"/>
              <w:kinsoku/>
              <w:wordWrap/>
              <w:overflowPunct/>
              <w:topLinePunct w:val="0"/>
              <w:autoSpaceDE/>
              <w:autoSpaceDN/>
              <w:bidi w:val="0"/>
              <w:spacing w:line="360" w:lineRule="exact"/>
              <w:jc w:val="left"/>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评价为中加</w:t>
            </w:r>
            <w:r>
              <w:rPr>
                <w:rFonts w:hint="default" w:ascii="Times New Roman" w:hAnsi="Times New Roman" w:eastAsia="宋体" w:cs="Times New Roman"/>
                <w:sz w:val="22"/>
                <w:szCs w:val="22"/>
                <w:lang w:val="en-US" w:eastAsia="zh-CN"/>
              </w:rPr>
              <w:t>2</w:t>
            </w:r>
            <w:r>
              <w:rPr>
                <w:rFonts w:hint="default" w:ascii="Times New Roman" w:hAnsi="Times New Roman" w:eastAsia="宋体" w:cs="Times New Roman"/>
                <w:sz w:val="22"/>
                <w:szCs w:val="22"/>
              </w:rPr>
              <w:t>分。</w:t>
            </w:r>
          </w:p>
          <w:p w14:paraId="16C92268">
            <w:pPr>
              <w:keepNext w:val="0"/>
              <w:keepLines w:val="0"/>
              <w:pageBreakBefore w:val="0"/>
              <w:widowControl w:val="0"/>
              <w:kinsoku/>
              <w:overflowPunct/>
              <w:topLinePunct w:val="0"/>
              <w:autoSpaceDE/>
              <w:autoSpaceDN/>
              <w:bidi w:val="0"/>
              <w:adjustRightInd/>
              <w:snapToGrid/>
              <w:spacing w:line="360" w:lineRule="exact"/>
              <w:textAlignment w:val="auto"/>
              <w:rPr>
                <w:rFonts w:hint="default" w:ascii="Times New Roman" w:hAnsi="Times New Roman" w:eastAsia="宋体" w:cs="Times New Roman"/>
                <w:b w:val="0"/>
                <w:bCs w:val="0"/>
                <w:color w:val="000000" w:themeColor="text1"/>
                <w:sz w:val="22"/>
                <w:szCs w:val="22"/>
                <w14:textFill>
                  <w14:solidFill>
                    <w14:schemeClr w14:val="tx1"/>
                  </w14:solidFill>
                </w14:textFill>
              </w:rPr>
            </w:pPr>
            <w:r>
              <w:rPr>
                <w:rFonts w:hint="default" w:ascii="Times New Roman" w:hAnsi="Times New Roman" w:eastAsia="宋体" w:cs="Times New Roman"/>
                <w:sz w:val="22"/>
                <w:szCs w:val="22"/>
              </w:rPr>
              <w:t>评价为差不得分。如评审为差，评审专家须书面说明理由，并记录在档。</w:t>
            </w:r>
          </w:p>
        </w:tc>
      </w:tr>
      <w:tr w14:paraId="63D1B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3" w:type="dxa"/>
            <w:vAlign w:val="center"/>
          </w:tcPr>
          <w:p w14:paraId="15F5D8E5">
            <w:pPr>
              <w:keepNext w:val="0"/>
              <w:keepLines w:val="0"/>
              <w:pageBreakBefore w:val="0"/>
              <w:widowControl w:val="0"/>
              <w:kinsoku/>
              <w:overflowPunct/>
              <w:topLinePunct w:val="0"/>
              <w:autoSpaceDE/>
              <w:autoSpaceDN/>
              <w:bidi w:val="0"/>
              <w:spacing w:line="360" w:lineRule="exact"/>
              <w:jc w:val="center"/>
              <w:textAlignment w:val="auto"/>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3</w:t>
            </w:r>
          </w:p>
        </w:tc>
        <w:tc>
          <w:tcPr>
            <w:tcW w:w="1850" w:type="dxa"/>
            <w:vAlign w:val="center"/>
          </w:tcPr>
          <w:p w14:paraId="341A8410">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val="0"/>
                <w:color w:val="000000" w:themeColor="text1"/>
                <w:sz w:val="22"/>
                <w:szCs w:val="22"/>
                <w14:textFill>
                  <w14:solidFill>
                    <w14:schemeClr w14:val="tx1"/>
                  </w14:solidFill>
                </w14:textFill>
              </w:rPr>
            </w:pPr>
            <w:r>
              <w:rPr>
                <w:rFonts w:hint="default" w:ascii="Times New Roman" w:hAnsi="Times New Roman" w:eastAsia="宋体" w:cs="Times New Roman"/>
                <w:b w:val="0"/>
                <w:bCs w:val="0"/>
                <w:sz w:val="22"/>
                <w:szCs w:val="22"/>
              </w:rPr>
              <w:t>保障措施及方案</w:t>
            </w:r>
          </w:p>
        </w:tc>
        <w:tc>
          <w:tcPr>
            <w:tcW w:w="868" w:type="dxa"/>
            <w:vAlign w:val="center"/>
          </w:tcPr>
          <w:p w14:paraId="2F3A8B23">
            <w:pPr>
              <w:keepNext w:val="0"/>
              <w:keepLines w:val="0"/>
              <w:pageBreakBefore w:val="0"/>
              <w:widowControl w:val="0"/>
              <w:kinsoku/>
              <w:overflowPunct/>
              <w:topLinePunct w:val="0"/>
              <w:autoSpaceDE/>
              <w:autoSpaceDN/>
              <w:bidi w:val="0"/>
              <w:adjustRightInd/>
              <w:snapToGrid/>
              <w:spacing w:line="360" w:lineRule="exact"/>
              <w:jc w:val="center"/>
              <w:textAlignment w:val="auto"/>
              <w:rPr>
                <w:rFonts w:hint="default" w:ascii="Times New Roman" w:hAnsi="Times New Roman" w:eastAsia="宋体" w:cs="Times New Roman"/>
                <w:b w:val="0"/>
                <w:bCs w:val="0"/>
                <w:color w:val="000000" w:themeColor="text1"/>
                <w:sz w:val="22"/>
                <w:szCs w:val="22"/>
                <w:lang w:val="en-US" w:eastAsia="zh-CN"/>
                <w14:textFill>
                  <w14:solidFill>
                    <w14:schemeClr w14:val="tx1"/>
                  </w14:solidFill>
                </w14:textFill>
              </w:rPr>
            </w:pPr>
            <w:r>
              <w:rPr>
                <w:rFonts w:hint="default" w:ascii="Times New Roman" w:hAnsi="Times New Roman" w:eastAsia="宋体" w:cs="Times New Roman"/>
                <w:b w:val="0"/>
                <w:bCs w:val="0"/>
                <w:sz w:val="22"/>
                <w:szCs w:val="22"/>
                <w:lang w:val="en-US" w:eastAsia="zh-CN"/>
              </w:rPr>
              <w:t>12</w:t>
            </w:r>
          </w:p>
        </w:tc>
        <w:tc>
          <w:tcPr>
            <w:tcW w:w="5005" w:type="dxa"/>
            <w:vAlign w:val="center"/>
          </w:tcPr>
          <w:p w14:paraId="51179353">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default" w:ascii="Times New Roman" w:hAnsi="Times New Roman" w:eastAsia="宋体" w:cs="Times New Roman"/>
                <w:b/>
                <w:bCs/>
                <w:sz w:val="22"/>
                <w:szCs w:val="22"/>
              </w:rPr>
            </w:pPr>
            <w:r>
              <w:rPr>
                <w:rFonts w:hint="default" w:ascii="Times New Roman" w:hAnsi="Times New Roman" w:eastAsia="宋体" w:cs="Times New Roman"/>
                <w:b/>
                <w:bCs/>
                <w:sz w:val="22"/>
                <w:szCs w:val="22"/>
              </w:rPr>
              <w:t>（一）评分内容：</w:t>
            </w:r>
          </w:p>
          <w:p w14:paraId="61C8CDDD">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default" w:ascii="Times New Roman" w:hAnsi="Times New Roman" w:eastAsia="宋体" w:cs="Times New Roman"/>
                <w:b w:val="0"/>
                <w:bCs w:val="0"/>
                <w:kern w:val="0"/>
                <w:sz w:val="22"/>
                <w:szCs w:val="22"/>
              </w:rPr>
            </w:pPr>
            <w:r>
              <w:rPr>
                <w:rFonts w:hint="default" w:ascii="Times New Roman" w:hAnsi="Times New Roman" w:eastAsia="宋体" w:cs="Times New Roman"/>
                <w:b w:val="0"/>
                <w:bCs w:val="0"/>
                <w:sz w:val="22"/>
                <w:szCs w:val="22"/>
              </w:rPr>
              <w:t>投标人根据</w:t>
            </w:r>
            <w:r>
              <w:rPr>
                <w:rFonts w:hint="default" w:ascii="Times New Roman" w:hAnsi="Times New Roman" w:eastAsia="宋体" w:cs="Times New Roman"/>
                <w:b w:val="0"/>
                <w:bCs w:val="0"/>
                <w:sz w:val="22"/>
                <w:szCs w:val="22"/>
                <w:lang w:eastAsia="zh-CN"/>
              </w:rPr>
              <w:t>采购文件制定保障措施及方案</w:t>
            </w:r>
            <w:r>
              <w:rPr>
                <w:rFonts w:hint="default" w:ascii="Times New Roman" w:hAnsi="Times New Roman" w:eastAsia="宋体" w:cs="Times New Roman"/>
                <w:b w:val="0"/>
                <w:bCs w:val="0"/>
                <w:kern w:val="0"/>
                <w:sz w:val="22"/>
                <w:szCs w:val="22"/>
              </w:rPr>
              <w:t>，包括但不限于以下内容：</w:t>
            </w:r>
          </w:p>
          <w:p w14:paraId="47FD9345">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textAlignment w:val="auto"/>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1.人员到位保障措施及方案；</w:t>
            </w:r>
          </w:p>
          <w:p w14:paraId="6316BC8C">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textAlignment w:val="auto"/>
              <w:rPr>
                <w:rFonts w:hint="default" w:ascii="Times New Roman" w:hAnsi="Times New Roman" w:eastAsia="宋体" w:cs="Times New Roman"/>
                <w:b w:val="0"/>
                <w:bCs w:val="0"/>
                <w:kern w:val="0"/>
                <w:sz w:val="22"/>
                <w:szCs w:val="22"/>
                <w:lang w:val="en-US" w:eastAsia="zh-CN"/>
              </w:rPr>
            </w:pPr>
            <w:r>
              <w:rPr>
                <w:rFonts w:hint="default" w:ascii="Times New Roman" w:hAnsi="Times New Roman" w:eastAsia="宋体" w:cs="Times New Roman"/>
                <w:b w:val="0"/>
                <w:bCs w:val="0"/>
                <w:kern w:val="0"/>
                <w:sz w:val="22"/>
                <w:szCs w:val="22"/>
                <w:lang w:val="en-US" w:eastAsia="zh-CN"/>
              </w:rPr>
              <w:t>2.人员素质保障措施及方案</w:t>
            </w:r>
            <w:r>
              <w:rPr>
                <w:rFonts w:hint="eastAsia" w:ascii="Times New Roman" w:hAnsi="Times New Roman" w:cs="Times New Roman"/>
                <w:b w:val="0"/>
                <w:bCs w:val="0"/>
                <w:kern w:val="0"/>
                <w:sz w:val="22"/>
                <w:szCs w:val="22"/>
                <w:lang w:val="en-US" w:eastAsia="zh-CN"/>
              </w:rPr>
              <w:t>；</w:t>
            </w:r>
          </w:p>
          <w:p w14:paraId="2501078E">
            <w:pPr>
              <w:keepNext w:val="0"/>
              <w:keepLines w:val="0"/>
              <w:pageBreakBefore w:val="0"/>
              <w:widowControl w:val="0"/>
              <w:numPr>
                <w:ilvl w:val="0"/>
                <w:numId w:val="0"/>
              </w:numPr>
              <w:kinsoku/>
              <w:wordWrap w:val="0"/>
              <w:overflowPunct/>
              <w:topLinePunct w:val="0"/>
              <w:autoSpaceDE/>
              <w:autoSpaceDN/>
              <w:bidi w:val="0"/>
              <w:adjustRightInd/>
              <w:snapToGrid/>
              <w:spacing w:line="360" w:lineRule="exact"/>
              <w:textAlignment w:val="auto"/>
              <w:rPr>
                <w:rFonts w:hint="default" w:ascii="Times New Roman" w:hAnsi="Times New Roman" w:eastAsia="宋体" w:cs="Times New Roman"/>
                <w:b w:val="0"/>
                <w:bCs w:val="0"/>
                <w:kern w:val="0"/>
                <w:sz w:val="22"/>
                <w:szCs w:val="22"/>
                <w:lang w:eastAsia="zh-CN"/>
              </w:rPr>
            </w:pPr>
            <w:r>
              <w:rPr>
                <w:rFonts w:hint="default" w:ascii="Times New Roman" w:hAnsi="Times New Roman" w:eastAsia="宋体" w:cs="Times New Roman"/>
                <w:b w:val="0"/>
                <w:bCs w:val="0"/>
                <w:kern w:val="0"/>
                <w:sz w:val="22"/>
                <w:szCs w:val="22"/>
                <w:lang w:val="en-US" w:eastAsia="zh-CN"/>
              </w:rPr>
              <w:t>3.人员培训保障措施及方案</w:t>
            </w:r>
            <w:r>
              <w:rPr>
                <w:rFonts w:hint="default" w:ascii="Times New Roman" w:hAnsi="Times New Roman" w:eastAsia="宋体" w:cs="Times New Roman"/>
                <w:b w:val="0"/>
                <w:bCs w:val="0"/>
                <w:kern w:val="0"/>
                <w:sz w:val="22"/>
                <w:szCs w:val="22"/>
                <w:lang w:eastAsia="zh-CN"/>
              </w:rPr>
              <w:t>。</w:t>
            </w:r>
          </w:p>
          <w:p w14:paraId="2169B680">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default" w:ascii="Times New Roman" w:hAnsi="Times New Roman" w:eastAsia="宋体" w:cs="Times New Roman"/>
                <w:b/>
                <w:bCs/>
                <w:kern w:val="0"/>
                <w:sz w:val="22"/>
                <w:szCs w:val="22"/>
              </w:rPr>
            </w:pPr>
            <w:r>
              <w:rPr>
                <w:rFonts w:hint="default" w:ascii="Times New Roman" w:hAnsi="Times New Roman" w:eastAsia="宋体" w:cs="Times New Roman"/>
                <w:b/>
                <w:bCs/>
                <w:kern w:val="0"/>
                <w:sz w:val="22"/>
                <w:szCs w:val="22"/>
              </w:rPr>
              <w:t>（二）评分标准：</w:t>
            </w:r>
          </w:p>
          <w:p w14:paraId="51072A93">
            <w:pPr>
              <w:keepNext w:val="0"/>
              <w:keepLines w:val="0"/>
              <w:pageBreakBefore w:val="0"/>
              <w:widowControl w:val="0"/>
              <w:kinsoku/>
              <w:wordWrap/>
              <w:overflowPunct/>
              <w:topLinePunct w:val="0"/>
              <w:autoSpaceDE/>
              <w:autoSpaceDN/>
              <w:bidi w:val="0"/>
              <w:spacing w:line="360" w:lineRule="exact"/>
              <w:jc w:val="left"/>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每提供以上1点得</w:t>
            </w:r>
            <w:r>
              <w:rPr>
                <w:rFonts w:hint="default" w:ascii="Times New Roman" w:hAnsi="Times New Roman" w:eastAsia="宋体" w:cs="Times New Roman"/>
                <w:sz w:val="22"/>
                <w:szCs w:val="22"/>
                <w:lang w:val="en-US" w:eastAsia="zh-CN"/>
              </w:rPr>
              <w:t>2</w:t>
            </w:r>
            <w:r>
              <w:rPr>
                <w:rFonts w:hint="default" w:ascii="Times New Roman" w:hAnsi="Times New Roman" w:eastAsia="宋体" w:cs="Times New Roman"/>
                <w:sz w:val="22"/>
                <w:szCs w:val="22"/>
              </w:rPr>
              <w:t>分，最高得</w:t>
            </w:r>
            <w:r>
              <w:rPr>
                <w:rFonts w:hint="default" w:ascii="Times New Roman" w:hAnsi="Times New Roman" w:eastAsia="宋体" w:cs="Times New Roman"/>
                <w:sz w:val="22"/>
                <w:szCs w:val="22"/>
                <w:lang w:val="en-US" w:eastAsia="zh-CN"/>
              </w:rPr>
              <w:t>6</w:t>
            </w:r>
            <w:r>
              <w:rPr>
                <w:rFonts w:hint="default" w:ascii="Times New Roman" w:hAnsi="Times New Roman" w:eastAsia="宋体" w:cs="Times New Roman"/>
                <w:sz w:val="22"/>
                <w:szCs w:val="22"/>
              </w:rPr>
              <w:t>分，缺项不得分。</w:t>
            </w:r>
          </w:p>
          <w:p w14:paraId="17423C20">
            <w:pPr>
              <w:keepNext w:val="0"/>
              <w:keepLines w:val="0"/>
              <w:pageBreakBefore w:val="0"/>
              <w:widowControl w:val="0"/>
              <w:kinsoku/>
              <w:wordWrap/>
              <w:overflowPunct/>
              <w:topLinePunct w:val="0"/>
              <w:autoSpaceDE/>
              <w:autoSpaceDN/>
              <w:bidi w:val="0"/>
              <w:spacing w:line="360" w:lineRule="exact"/>
              <w:jc w:val="left"/>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在此基础上，专家根据内容的合理性进行评分：</w:t>
            </w:r>
          </w:p>
          <w:p w14:paraId="76640C59">
            <w:pPr>
              <w:keepNext w:val="0"/>
              <w:keepLines w:val="0"/>
              <w:pageBreakBefore w:val="0"/>
              <w:widowControl w:val="0"/>
              <w:kinsoku/>
              <w:wordWrap/>
              <w:overflowPunct/>
              <w:topLinePunct w:val="0"/>
              <w:autoSpaceDE/>
              <w:autoSpaceDN/>
              <w:bidi w:val="0"/>
              <w:spacing w:line="360" w:lineRule="exact"/>
              <w:jc w:val="left"/>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优评分标准：方案符合实际、完整、规范、思路清晰，内容合理性强。</w:t>
            </w:r>
          </w:p>
          <w:p w14:paraId="13B547EA">
            <w:pPr>
              <w:keepNext w:val="0"/>
              <w:keepLines w:val="0"/>
              <w:pageBreakBefore w:val="0"/>
              <w:widowControl w:val="0"/>
              <w:kinsoku/>
              <w:wordWrap/>
              <w:overflowPunct/>
              <w:topLinePunct w:val="0"/>
              <w:autoSpaceDE/>
              <w:autoSpaceDN/>
              <w:bidi w:val="0"/>
              <w:spacing w:line="360" w:lineRule="exact"/>
              <w:jc w:val="left"/>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良评分标准：方案较符合实际、较完整规范、思路较清晰，内容合理性较强。</w:t>
            </w:r>
          </w:p>
          <w:p w14:paraId="04D3061B">
            <w:pPr>
              <w:keepNext w:val="0"/>
              <w:keepLines w:val="0"/>
              <w:pageBreakBefore w:val="0"/>
              <w:widowControl w:val="0"/>
              <w:kinsoku/>
              <w:wordWrap/>
              <w:overflowPunct/>
              <w:topLinePunct w:val="0"/>
              <w:autoSpaceDE/>
              <w:autoSpaceDN/>
              <w:bidi w:val="0"/>
              <w:spacing w:line="360" w:lineRule="exact"/>
              <w:jc w:val="left"/>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中评分标准：方案较普通、完整性规范性一般，思路不够清晰，内容合理性一般。</w:t>
            </w:r>
          </w:p>
          <w:p w14:paraId="7A65E7D3">
            <w:pPr>
              <w:keepNext w:val="0"/>
              <w:keepLines w:val="0"/>
              <w:pageBreakBefore w:val="0"/>
              <w:widowControl w:val="0"/>
              <w:kinsoku/>
              <w:wordWrap/>
              <w:overflowPunct/>
              <w:topLinePunct w:val="0"/>
              <w:autoSpaceDE/>
              <w:autoSpaceDN/>
              <w:bidi w:val="0"/>
              <w:spacing w:line="360" w:lineRule="exact"/>
              <w:jc w:val="left"/>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差评分标准</w:t>
            </w:r>
            <w:r>
              <w:rPr>
                <w:rFonts w:hint="default" w:ascii="Times New Roman" w:hAnsi="Times New Roman" w:eastAsia="宋体" w:cs="Times New Roman"/>
                <w:sz w:val="22"/>
                <w:szCs w:val="22"/>
                <w:lang w:eastAsia="zh-CN"/>
              </w:rPr>
              <w:t>：</w:t>
            </w:r>
            <w:r>
              <w:rPr>
                <w:rFonts w:hint="default" w:ascii="Times New Roman" w:hAnsi="Times New Roman" w:eastAsia="宋体" w:cs="Times New Roman"/>
                <w:sz w:val="22"/>
                <w:szCs w:val="22"/>
              </w:rPr>
              <w:t>方案不完整、不规范，思路不清晰，内容合理性较差或未提供。</w:t>
            </w:r>
          </w:p>
          <w:p w14:paraId="743C660E">
            <w:pPr>
              <w:keepNext w:val="0"/>
              <w:keepLines w:val="0"/>
              <w:pageBreakBefore w:val="0"/>
              <w:widowControl w:val="0"/>
              <w:kinsoku/>
              <w:wordWrap/>
              <w:overflowPunct/>
              <w:topLinePunct w:val="0"/>
              <w:autoSpaceDE/>
              <w:autoSpaceDN/>
              <w:bidi w:val="0"/>
              <w:spacing w:line="360" w:lineRule="exact"/>
              <w:jc w:val="left"/>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评价为优加</w:t>
            </w:r>
            <w:r>
              <w:rPr>
                <w:rFonts w:hint="default" w:ascii="Times New Roman" w:hAnsi="Times New Roman" w:eastAsia="宋体" w:cs="Times New Roman"/>
                <w:sz w:val="22"/>
                <w:szCs w:val="22"/>
                <w:lang w:val="en-US" w:eastAsia="zh-CN"/>
              </w:rPr>
              <w:t>6</w:t>
            </w:r>
            <w:r>
              <w:rPr>
                <w:rFonts w:hint="default" w:ascii="Times New Roman" w:hAnsi="Times New Roman" w:eastAsia="宋体" w:cs="Times New Roman"/>
                <w:sz w:val="22"/>
                <w:szCs w:val="22"/>
              </w:rPr>
              <w:t>分。</w:t>
            </w:r>
          </w:p>
          <w:p w14:paraId="0F4E1C4B">
            <w:pPr>
              <w:keepNext w:val="0"/>
              <w:keepLines w:val="0"/>
              <w:pageBreakBefore w:val="0"/>
              <w:widowControl w:val="0"/>
              <w:kinsoku/>
              <w:wordWrap/>
              <w:overflowPunct/>
              <w:topLinePunct w:val="0"/>
              <w:autoSpaceDE/>
              <w:autoSpaceDN/>
              <w:bidi w:val="0"/>
              <w:spacing w:line="360" w:lineRule="exact"/>
              <w:jc w:val="left"/>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评价为良加</w:t>
            </w:r>
            <w:r>
              <w:rPr>
                <w:rFonts w:hint="default" w:ascii="Times New Roman" w:hAnsi="Times New Roman" w:eastAsia="宋体" w:cs="Times New Roman"/>
                <w:sz w:val="22"/>
                <w:szCs w:val="22"/>
                <w:lang w:val="en-US" w:eastAsia="zh-CN"/>
              </w:rPr>
              <w:t>3</w:t>
            </w:r>
            <w:r>
              <w:rPr>
                <w:rFonts w:hint="default" w:ascii="Times New Roman" w:hAnsi="Times New Roman" w:eastAsia="宋体" w:cs="Times New Roman"/>
                <w:sz w:val="22"/>
                <w:szCs w:val="22"/>
              </w:rPr>
              <w:t>分。</w:t>
            </w:r>
          </w:p>
          <w:p w14:paraId="4D55664B">
            <w:pPr>
              <w:keepNext w:val="0"/>
              <w:keepLines w:val="0"/>
              <w:pageBreakBefore w:val="0"/>
              <w:widowControl w:val="0"/>
              <w:kinsoku/>
              <w:wordWrap/>
              <w:overflowPunct/>
              <w:topLinePunct w:val="0"/>
              <w:autoSpaceDE/>
              <w:autoSpaceDN/>
              <w:bidi w:val="0"/>
              <w:spacing w:line="360" w:lineRule="exact"/>
              <w:jc w:val="left"/>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评价为中加</w:t>
            </w:r>
            <w:r>
              <w:rPr>
                <w:rFonts w:hint="default" w:ascii="Times New Roman" w:hAnsi="Times New Roman" w:eastAsia="宋体" w:cs="Times New Roman"/>
                <w:sz w:val="22"/>
                <w:szCs w:val="22"/>
                <w:lang w:val="en-US" w:eastAsia="zh-CN"/>
              </w:rPr>
              <w:t>1</w:t>
            </w:r>
            <w:r>
              <w:rPr>
                <w:rFonts w:hint="default" w:ascii="Times New Roman" w:hAnsi="Times New Roman" w:eastAsia="宋体" w:cs="Times New Roman"/>
                <w:sz w:val="22"/>
                <w:szCs w:val="22"/>
              </w:rPr>
              <w:t>分。</w:t>
            </w:r>
          </w:p>
          <w:p w14:paraId="07B52D2D">
            <w:pPr>
              <w:keepNext w:val="0"/>
              <w:keepLines w:val="0"/>
              <w:pageBreakBefore w:val="0"/>
              <w:widowControl w:val="0"/>
              <w:kinsoku/>
              <w:overflowPunct/>
              <w:topLinePunct w:val="0"/>
              <w:autoSpaceDE/>
              <w:autoSpaceDN/>
              <w:bidi w:val="0"/>
              <w:adjustRightInd/>
              <w:snapToGrid/>
              <w:spacing w:line="360" w:lineRule="exact"/>
              <w:textAlignment w:val="auto"/>
              <w:rPr>
                <w:rFonts w:hint="default" w:ascii="Times New Roman" w:hAnsi="Times New Roman" w:eastAsia="宋体" w:cs="Times New Roman"/>
                <w:b w:val="0"/>
                <w:bCs w:val="0"/>
                <w:color w:val="000000" w:themeColor="text1"/>
                <w:sz w:val="22"/>
                <w:szCs w:val="22"/>
                <w14:textFill>
                  <w14:solidFill>
                    <w14:schemeClr w14:val="tx1"/>
                  </w14:solidFill>
                </w14:textFill>
              </w:rPr>
            </w:pPr>
            <w:r>
              <w:rPr>
                <w:rFonts w:hint="default" w:ascii="Times New Roman" w:hAnsi="Times New Roman" w:eastAsia="宋体" w:cs="Times New Roman"/>
                <w:sz w:val="22"/>
                <w:szCs w:val="22"/>
              </w:rPr>
              <w:t>评价为差不得分。如评审为差，评审专家须书面说明理由，并记录在档。</w:t>
            </w:r>
          </w:p>
        </w:tc>
      </w:tr>
      <w:tr w14:paraId="44653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3" w:type="dxa"/>
            <w:vAlign w:val="center"/>
          </w:tcPr>
          <w:p w14:paraId="54BAB968">
            <w:pPr>
              <w:keepNext w:val="0"/>
              <w:keepLines w:val="0"/>
              <w:pageBreakBefore w:val="0"/>
              <w:widowControl w:val="0"/>
              <w:kinsoku/>
              <w:overflowPunct/>
              <w:topLinePunct w:val="0"/>
              <w:autoSpaceDE/>
              <w:autoSpaceDN/>
              <w:bidi w:val="0"/>
              <w:spacing w:line="360" w:lineRule="exact"/>
              <w:jc w:val="center"/>
              <w:textAlignment w:val="auto"/>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4</w:t>
            </w:r>
          </w:p>
        </w:tc>
        <w:tc>
          <w:tcPr>
            <w:tcW w:w="1850" w:type="dxa"/>
            <w:shd w:val="clear" w:color="auto" w:fill="auto"/>
            <w:vAlign w:val="center"/>
          </w:tcPr>
          <w:p w14:paraId="25870F97">
            <w:pPr>
              <w:keepNext w:val="0"/>
              <w:keepLines w:val="0"/>
              <w:pageBreakBefore w:val="0"/>
              <w:widowControl w:val="0"/>
              <w:kinsoku/>
              <w:wordWrap/>
              <w:overflowPunct/>
              <w:topLinePunct w:val="0"/>
              <w:autoSpaceDE/>
              <w:autoSpaceDN/>
              <w:bidi w:val="0"/>
              <w:spacing w:line="360" w:lineRule="exact"/>
              <w:jc w:val="center"/>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lang w:val="en-US" w:eastAsia="zh-CN"/>
              </w:rPr>
              <w:t>项目完成（服务期满）后的服务承诺</w:t>
            </w:r>
          </w:p>
        </w:tc>
        <w:tc>
          <w:tcPr>
            <w:tcW w:w="868" w:type="dxa"/>
            <w:shd w:val="clear" w:color="auto" w:fill="auto"/>
            <w:vAlign w:val="center"/>
          </w:tcPr>
          <w:p w14:paraId="335FED53">
            <w:pPr>
              <w:keepNext w:val="0"/>
              <w:keepLines w:val="0"/>
              <w:pageBreakBefore w:val="0"/>
              <w:widowControl w:val="0"/>
              <w:kinsoku/>
              <w:wordWrap/>
              <w:overflowPunct/>
              <w:topLinePunct w:val="0"/>
              <w:autoSpaceDE/>
              <w:autoSpaceDN/>
              <w:bidi w:val="0"/>
              <w:spacing w:line="360" w:lineRule="exact"/>
              <w:jc w:val="center"/>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rPr>
              <w:t>5</w:t>
            </w:r>
          </w:p>
        </w:tc>
        <w:tc>
          <w:tcPr>
            <w:tcW w:w="5005" w:type="dxa"/>
            <w:shd w:val="clear" w:color="auto" w:fill="auto"/>
            <w:vAlign w:val="top"/>
          </w:tcPr>
          <w:p w14:paraId="7F59FA58">
            <w:pPr>
              <w:keepNext w:val="0"/>
              <w:keepLines w:val="0"/>
              <w:pageBreakBefore w:val="0"/>
              <w:widowControl w:val="0"/>
              <w:kinsoku/>
              <w:wordWrap/>
              <w:overflowPunct/>
              <w:topLinePunct w:val="0"/>
              <w:autoSpaceDE/>
              <w:autoSpaceDN/>
              <w:bidi w:val="0"/>
              <w:spacing w:line="360" w:lineRule="exact"/>
              <w:jc w:val="left"/>
              <w:textAlignment w:val="auto"/>
              <w:rPr>
                <w:rFonts w:hint="default" w:ascii="Times New Roman" w:hAnsi="Times New Roman" w:eastAsia="宋体" w:cs="Times New Roman"/>
                <w:b/>
                <w:bCs/>
                <w:sz w:val="22"/>
                <w:szCs w:val="22"/>
                <w:lang w:val="en-US" w:eastAsia="zh-CN"/>
              </w:rPr>
            </w:pPr>
            <w:r>
              <w:rPr>
                <w:rFonts w:hint="default" w:ascii="Times New Roman" w:hAnsi="Times New Roman" w:eastAsia="宋体" w:cs="Times New Roman"/>
                <w:b/>
                <w:bCs/>
                <w:sz w:val="22"/>
                <w:szCs w:val="22"/>
                <w:lang w:val="en-US" w:eastAsia="zh-CN"/>
              </w:rPr>
              <w:t>（一）评分内容：</w:t>
            </w:r>
          </w:p>
          <w:p w14:paraId="0A213F77">
            <w:pPr>
              <w:keepNext w:val="0"/>
              <w:keepLines w:val="0"/>
              <w:pageBreakBefore w:val="0"/>
              <w:widowControl w:val="0"/>
              <w:kinsoku/>
              <w:wordWrap/>
              <w:overflowPunct/>
              <w:topLinePunct w:val="0"/>
              <w:autoSpaceDE/>
              <w:autoSpaceDN/>
              <w:bidi w:val="0"/>
              <w:spacing w:line="360"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针对本项目的需求提供项目完成（服务期满）后的服务承诺，内容包括：</w:t>
            </w:r>
          </w:p>
          <w:p w14:paraId="1B9F0068">
            <w:pPr>
              <w:keepNext w:val="0"/>
              <w:keepLines w:val="0"/>
              <w:pageBreakBefore w:val="0"/>
              <w:widowControl w:val="0"/>
              <w:kinsoku/>
              <w:wordWrap/>
              <w:overflowPunct/>
              <w:topLinePunct w:val="0"/>
              <w:autoSpaceDE/>
              <w:autoSpaceDN/>
              <w:bidi w:val="0"/>
              <w:spacing w:line="360"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 xml:space="preserve">1.服务期满后主动离岗； </w:t>
            </w:r>
          </w:p>
          <w:p w14:paraId="18E415FF">
            <w:pPr>
              <w:keepNext w:val="0"/>
              <w:keepLines w:val="0"/>
              <w:pageBreakBefore w:val="0"/>
              <w:widowControl w:val="0"/>
              <w:kinsoku/>
              <w:wordWrap/>
              <w:overflowPunct/>
              <w:topLinePunct w:val="0"/>
              <w:autoSpaceDE/>
              <w:autoSpaceDN/>
              <w:bidi w:val="0"/>
              <w:spacing w:line="360"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 xml:space="preserve">2.与后续服务公司进行交接； </w:t>
            </w:r>
          </w:p>
          <w:p w14:paraId="111B02E2">
            <w:pPr>
              <w:keepNext w:val="0"/>
              <w:keepLines w:val="0"/>
              <w:pageBreakBefore w:val="0"/>
              <w:widowControl w:val="0"/>
              <w:kinsoku/>
              <w:wordWrap/>
              <w:overflowPunct/>
              <w:topLinePunct w:val="0"/>
              <w:autoSpaceDE/>
              <w:autoSpaceDN/>
              <w:bidi w:val="0"/>
              <w:spacing w:line="360"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3.服务期满，后续服务公司未到位前仍按原合同服务承诺提供服务。</w:t>
            </w:r>
          </w:p>
          <w:p w14:paraId="66A8C2AD">
            <w:pPr>
              <w:keepNext w:val="0"/>
              <w:keepLines w:val="0"/>
              <w:pageBreakBefore w:val="0"/>
              <w:widowControl w:val="0"/>
              <w:kinsoku/>
              <w:wordWrap/>
              <w:overflowPunct/>
              <w:topLinePunct w:val="0"/>
              <w:autoSpaceDE/>
              <w:autoSpaceDN/>
              <w:bidi w:val="0"/>
              <w:spacing w:line="360"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投标人承诺以上全部三项的得5分，否则不得分。</w:t>
            </w:r>
          </w:p>
          <w:p w14:paraId="3AD8C091">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default" w:ascii="Times New Roman" w:hAnsi="Times New Roman" w:eastAsia="宋体" w:cs="Times New Roman"/>
                <w:b/>
                <w:bCs/>
                <w:kern w:val="0"/>
                <w:sz w:val="22"/>
                <w:szCs w:val="22"/>
              </w:rPr>
            </w:pPr>
            <w:r>
              <w:rPr>
                <w:rFonts w:hint="default" w:ascii="Times New Roman" w:hAnsi="Times New Roman" w:eastAsia="宋体" w:cs="Times New Roman"/>
                <w:b/>
                <w:bCs/>
                <w:kern w:val="0"/>
                <w:sz w:val="22"/>
                <w:szCs w:val="22"/>
              </w:rPr>
              <w:t>（二）评分标准：</w:t>
            </w:r>
          </w:p>
          <w:p w14:paraId="1245DB91">
            <w:pPr>
              <w:keepNext w:val="0"/>
              <w:keepLines w:val="0"/>
              <w:pageBreakBefore w:val="0"/>
              <w:widowControl w:val="0"/>
              <w:kinsoku/>
              <w:wordWrap/>
              <w:overflowPunct/>
              <w:topLinePunct w:val="0"/>
              <w:autoSpaceDE/>
              <w:autoSpaceDN/>
              <w:bidi w:val="0"/>
              <w:spacing w:line="360" w:lineRule="exact"/>
              <w:jc w:val="left"/>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lang w:val="en-US" w:eastAsia="zh-CN"/>
              </w:rPr>
              <w:t>要求提供承诺（格式自定）作为得分依据，未提供承诺或承诺内容不满足要求不得分。</w:t>
            </w:r>
          </w:p>
        </w:tc>
      </w:tr>
      <w:tr w14:paraId="020CB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3" w:type="dxa"/>
            <w:vAlign w:val="center"/>
          </w:tcPr>
          <w:p w14:paraId="192FB96D">
            <w:pPr>
              <w:keepNext w:val="0"/>
              <w:keepLines w:val="0"/>
              <w:pageBreakBefore w:val="0"/>
              <w:widowControl w:val="0"/>
              <w:kinsoku/>
              <w:overflowPunct/>
              <w:topLinePunct w:val="0"/>
              <w:autoSpaceDE/>
              <w:autoSpaceDN/>
              <w:bidi w:val="0"/>
              <w:spacing w:line="360" w:lineRule="exact"/>
              <w:jc w:val="center"/>
              <w:textAlignment w:val="auto"/>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5</w:t>
            </w:r>
          </w:p>
        </w:tc>
        <w:tc>
          <w:tcPr>
            <w:tcW w:w="1850" w:type="dxa"/>
            <w:vAlign w:val="center"/>
          </w:tcPr>
          <w:p w14:paraId="3FB22B86">
            <w:pPr>
              <w:keepNext w:val="0"/>
              <w:keepLines w:val="0"/>
              <w:pageBreakBefore w:val="0"/>
              <w:widowControl w:val="0"/>
              <w:kinsoku/>
              <w:wordWrap/>
              <w:overflowPunct/>
              <w:topLinePunct w:val="0"/>
              <w:autoSpaceDE/>
              <w:autoSpaceDN/>
              <w:bidi w:val="0"/>
              <w:spacing w:line="360" w:lineRule="exact"/>
              <w:jc w:val="center"/>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lang w:val="en-US" w:eastAsia="zh-CN"/>
              </w:rPr>
              <w:t>违约承诺</w:t>
            </w:r>
          </w:p>
        </w:tc>
        <w:tc>
          <w:tcPr>
            <w:tcW w:w="868" w:type="dxa"/>
            <w:vAlign w:val="center"/>
          </w:tcPr>
          <w:p w14:paraId="0BCB9530">
            <w:pPr>
              <w:keepNext w:val="0"/>
              <w:keepLines w:val="0"/>
              <w:pageBreakBefore w:val="0"/>
              <w:widowControl w:val="0"/>
              <w:kinsoku/>
              <w:wordWrap/>
              <w:overflowPunct/>
              <w:topLinePunct w:val="0"/>
              <w:autoSpaceDE/>
              <w:autoSpaceDN/>
              <w:bidi w:val="0"/>
              <w:spacing w:line="360" w:lineRule="exact"/>
              <w:jc w:val="center"/>
              <w:textAlignment w:val="auto"/>
              <w:rPr>
                <w:rFonts w:hint="default" w:ascii="Times New Roman" w:hAnsi="Times New Roman" w:eastAsia="宋体" w:cs="Times New Roman"/>
                <w:sz w:val="22"/>
                <w:szCs w:val="22"/>
                <w:lang w:eastAsia="zh-CN"/>
              </w:rPr>
            </w:pPr>
            <w:r>
              <w:rPr>
                <w:rFonts w:hint="default" w:ascii="Times New Roman" w:hAnsi="Times New Roman" w:eastAsia="宋体" w:cs="Times New Roman"/>
                <w:sz w:val="22"/>
                <w:szCs w:val="22"/>
              </w:rPr>
              <w:t>5</w:t>
            </w:r>
          </w:p>
        </w:tc>
        <w:tc>
          <w:tcPr>
            <w:tcW w:w="5005" w:type="dxa"/>
            <w:vAlign w:val="top"/>
          </w:tcPr>
          <w:p w14:paraId="2E5E951F">
            <w:pPr>
              <w:keepNext w:val="0"/>
              <w:keepLines w:val="0"/>
              <w:pageBreakBefore w:val="0"/>
              <w:widowControl w:val="0"/>
              <w:kinsoku/>
              <w:wordWrap/>
              <w:overflowPunct/>
              <w:topLinePunct w:val="0"/>
              <w:autoSpaceDE/>
              <w:autoSpaceDN/>
              <w:bidi w:val="0"/>
              <w:spacing w:line="360" w:lineRule="exact"/>
              <w:jc w:val="left"/>
              <w:textAlignment w:val="auto"/>
              <w:rPr>
                <w:rFonts w:hint="default" w:ascii="Times New Roman" w:hAnsi="Times New Roman" w:eastAsia="宋体" w:cs="Times New Roman"/>
                <w:b/>
                <w:bCs/>
                <w:sz w:val="22"/>
                <w:szCs w:val="22"/>
                <w:lang w:val="en-US" w:eastAsia="zh-CN"/>
              </w:rPr>
            </w:pPr>
            <w:r>
              <w:rPr>
                <w:rFonts w:hint="default" w:ascii="Times New Roman" w:hAnsi="Times New Roman" w:eastAsia="宋体" w:cs="Times New Roman"/>
                <w:b/>
                <w:bCs/>
                <w:sz w:val="22"/>
                <w:szCs w:val="22"/>
                <w:lang w:val="en-US" w:eastAsia="zh-CN"/>
              </w:rPr>
              <w:t>（一）评分内容：</w:t>
            </w:r>
          </w:p>
          <w:p w14:paraId="64D39F48">
            <w:pPr>
              <w:keepNext w:val="0"/>
              <w:keepLines w:val="0"/>
              <w:pageBreakBefore w:val="0"/>
              <w:widowControl w:val="0"/>
              <w:kinsoku/>
              <w:wordWrap/>
              <w:overflowPunct/>
              <w:topLinePunct w:val="0"/>
              <w:autoSpaceDE/>
              <w:autoSpaceDN/>
              <w:bidi w:val="0"/>
              <w:spacing w:line="360"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针对本项目的需求提供违约承诺，内容包括：</w:t>
            </w:r>
          </w:p>
          <w:p w14:paraId="1A3DF82C">
            <w:pPr>
              <w:keepNext w:val="0"/>
              <w:keepLines w:val="0"/>
              <w:pageBreakBefore w:val="0"/>
              <w:widowControl w:val="0"/>
              <w:kinsoku/>
              <w:wordWrap/>
              <w:overflowPunct/>
              <w:topLinePunct w:val="0"/>
              <w:autoSpaceDE/>
              <w:autoSpaceDN/>
              <w:bidi w:val="0"/>
              <w:spacing w:line="360"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1.人员严格按照招标文件及投标承诺配置；</w:t>
            </w:r>
          </w:p>
          <w:p w14:paraId="6F78AD62">
            <w:pPr>
              <w:keepNext w:val="0"/>
              <w:keepLines w:val="0"/>
              <w:pageBreakBefore w:val="0"/>
              <w:widowControl w:val="0"/>
              <w:kinsoku/>
              <w:wordWrap/>
              <w:overflowPunct/>
              <w:topLinePunct w:val="0"/>
              <w:autoSpaceDE/>
              <w:autoSpaceDN/>
              <w:bidi w:val="0"/>
              <w:spacing w:line="360"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2.服务质量达到招标文件要求；</w:t>
            </w:r>
          </w:p>
          <w:p w14:paraId="406CFC6A">
            <w:pPr>
              <w:keepNext w:val="0"/>
              <w:keepLines w:val="0"/>
              <w:pageBreakBefore w:val="0"/>
              <w:widowControl w:val="0"/>
              <w:kinsoku/>
              <w:wordWrap/>
              <w:overflowPunct/>
              <w:topLinePunct w:val="0"/>
              <w:autoSpaceDE/>
              <w:autoSpaceDN/>
              <w:bidi w:val="0"/>
              <w:spacing w:line="360"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3.对未能达到的管理要求承担管理责任。</w:t>
            </w:r>
          </w:p>
          <w:p w14:paraId="12B424E5">
            <w:pPr>
              <w:keepNext w:val="0"/>
              <w:keepLines w:val="0"/>
              <w:pageBreakBefore w:val="0"/>
              <w:widowControl w:val="0"/>
              <w:kinsoku/>
              <w:wordWrap/>
              <w:overflowPunct/>
              <w:topLinePunct w:val="0"/>
              <w:autoSpaceDE/>
              <w:autoSpaceDN/>
              <w:bidi w:val="0"/>
              <w:spacing w:line="360"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投标人承诺以上全部三项的得5分，否则不得分。</w:t>
            </w:r>
          </w:p>
          <w:p w14:paraId="295BCEF6">
            <w:pPr>
              <w:keepNext w:val="0"/>
              <w:keepLines w:val="0"/>
              <w:pageBreakBefore w:val="0"/>
              <w:widowControl w:val="0"/>
              <w:kinsoku/>
              <w:wordWrap w:val="0"/>
              <w:overflowPunct/>
              <w:topLinePunct w:val="0"/>
              <w:autoSpaceDE/>
              <w:autoSpaceDN/>
              <w:bidi w:val="0"/>
              <w:adjustRightInd/>
              <w:snapToGrid/>
              <w:spacing w:line="360" w:lineRule="exact"/>
              <w:textAlignment w:val="auto"/>
              <w:rPr>
                <w:rFonts w:hint="default" w:ascii="Times New Roman" w:hAnsi="Times New Roman" w:eastAsia="宋体" w:cs="Times New Roman"/>
                <w:b/>
                <w:bCs/>
                <w:kern w:val="0"/>
                <w:sz w:val="22"/>
                <w:szCs w:val="22"/>
              </w:rPr>
            </w:pPr>
            <w:r>
              <w:rPr>
                <w:rFonts w:hint="default" w:ascii="Times New Roman" w:hAnsi="Times New Roman" w:eastAsia="宋体" w:cs="Times New Roman"/>
                <w:b/>
                <w:bCs/>
                <w:kern w:val="0"/>
                <w:sz w:val="22"/>
                <w:szCs w:val="22"/>
              </w:rPr>
              <w:t>（二）评分标准：</w:t>
            </w:r>
          </w:p>
          <w:p w14:paraId="36713312">
            <w:pPr>
              <w:keepNext w:val="0"/>
              <w:keepLines w:val="0"/>
              <w:pageBreakBefore w:val="0"/>
              <w:widowControl w:val="0"/>
              <w:kinsoku/>
              <w:wordWrap/>
              <w:overflowPunct/>
              <w:topLinePunct w:val="0"/>
              <w:autoSpaceDE/>
              <w:autoSpaceDN/>
              <w:bidi w:val="0"/>
              <w:spacing w:line="360" w:lineRule="exact"/>
              <w:jc w:val="left"/>
              <w:textAlignment w:val="auto"/>
              <w:rPr>
                <w:rFonts w:hint="default" w:ascii="Times New Roman" w:hAnsi="Times New Roman" w:eastAsia="宋体" w:cs="Times New Roman"/>
                <w:sz w:val="22"/>
                <w:szCs w:val="22"/>
              </w:rPr>
            </w:pPr>
            <w:r>
              <w:rPr>
                <w:rFonts w:hint="default" w:ascii="Times New Roman" w:hAnsi="Times New Roman" w:eastAsia="宋体" w:cs="Times New Roman"/>
                <w:sz w:val="22"/>
                <w:szCs w:val="22"/>
                <w:lang w:val="en-US" w:eastAsia="zh-CN"/>
              </w:rPr>
              <w:t>要求提供承诺（格式自定）作为得分依据，未提供承诺或承诺内容不满足要求不得分。</w:t>
            </w:r>
          </w:p>
        </w:tc>
      </w:tr>
      <w:tr w14:paraId="231CA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3" w:type="dxa"/>
            <w:vAlign w:val="center"/>
          </w:tcPr>
          <w:p w14:paraId="403045F5">
            <w:pPr>
              <w:keepNext w:val="0"/>
              <w:keepLines w:val="0"/>
              <w:pageBreakBefore w:val="0"/>
              <w:widowControl w:val="0"/>
              <w:kinsoku/>
              <w:overflowPunct/>
              <w:topLinePunct w:val="0"/>
              <w:autoSpaceDE/>
              <w:autoSpaceDN/>
              <w:bidi w:val="0"/>
              <w:spacing w:line="360" w:lineRule="exact"/>
              <w:jc w:val="center"/>
              <w:textAlignment w:val="auto"/>
              <w:rPr>
                <w:rFonts w:hint="default" w:ascii="Times New Roman" w:hAnsi="Times New Roman" w:eastAsia="宋体" w:cs="Times New Roman"/>
                <w:color w:val="000000" w:themeColor="text1"/>
                <w:sz w:val="22"/>
                <w:szCs w:val="22"/>
                <w:lang w:val="en-US" w:eastAsia="zh-CN"/>
                <w14:textFill>
                  <w14:solidFill>
                    <w14:schemeClr w14:val="tx1"/>
                  </w14:solidFill>
                </w14:textFill>
              </w:rPr>
            </w:pPr>
            <w:r>
              <w:rPr>
                <w:rFonts w:hint="default" w:ascii="Times New Roman" w:hAnsi="Times New Roman" w:eastAsia="宋体" w:cs="Times New Roman"/>
                <w:color w:val="000000" w:themeColor="text1"/>
                <w:sz w:val="22"/>
                <w:szCs w:val="22"/>
                <w:lang w:val="en-US" w:eastAsia="zh-CN"/>
                <w14:textFill>
                  <w14:solidFill>
                    <w14:schemeClr w14:val="tx1"/>
                  </w14:solidFill>
                </w14:textFill>
              </w:rPr>
              <w:t>6</w:t>
            </w:r>
          </w:p>
        </w:tc>
        <w:tc>
          <w:tcPr>
            <w:tcW w:w="1850" w:type="dxa"/>
            <w:vAlign w:val="center"/>
          </w:tcPr>
          <w:p w14:paraId="320BAC8A">
            <w:pPr>
              <w:keepNext w:val="0"/>
              <w:keepLines w:val="0"/>
              <w:pageBreakBefore w:val="0"/>
              <w:widowControl w:val="0"/>
              <w:kinsoku/>
              <w:wordWrap/>
              <w:overflowPunct/>
              <w:topLinePunct w:val="0"/>
              <w:autoSpaceDE/>
              <w:autoSpaceDN/>
              <w:bidi w:val="0"/>
              <w:spacing w:line="360" w:lineRule="exact"/>
              <w:jc w:val="center"/>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拟安排的项目负责人情况（仅限一人）</w:t>
            </w:r>
          </w:p>
        </w:tc>
        <w:tc>
          <w:tcPr>
            <w:tcW w:w="868" w:type="dxa"/>
            <w:vAlign w:val="center"/>
          </w:tcPr>
          <w:p w14:paraId="746F19D8">
            <w:pPr>
              <w:keepNext w:val="0"/>
              <w:keepLines w:val="0"/>
              <w:pageBreakBefore w:val="0"/>
              <w:widowControl w:val="0"/>
              <w:kinsoku/>
              <w:wordWrap/>
              <w:overflowPunct/>
              <w:topLinePunct w:val="0"/>
              <w:autoSpaceDE/>
              <w:autoSpaceDN/>
              <w:bidi w:val="0"/>
              <w:spacing w:line="360" w:lineRule="exact"/>
              <w:jc w:val="center"/>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5</w:t>
            </w:r>
          </w:p>
        </w:tc>
        <w:tc>
          <w:tcPr>
            <w:tcW w:w="5005" w:type="dxa"/>
            <w:vAlign w:val="top"/>
          </w:tcPr>
          <w:p w14:paraId="45B5FDC9">
            <w:pPr>
              <w:keepNext w:val="0"/>
              <w:keepLines w:val="0"/>
              <w:pageBreakBefore w:val="0"/>
              <w:widowControl w:val="0"/>
              <w:kinsoku/>
              <w:wordWrap/>
              <w:overflowPunct/>
              <w:topLinePunct w:val="0"/>
              <w:autoSpaceDE/>
              <w:autoSpaceDN/>
              <w:bidi w:val="0"/>
              <w:spacing w:line="360" w:lineRule="exact"/>
              <w:jc w:val="left"/>
              <w:textAlignment w:val="auto"/>
              <w:rPr>
                <w:rFonts w:hint="default" w:ascii="Times New Roman" w:hAnsi="Times New Roman" w:eastAsia="宋体" w:cs="Times New Roman"/>
                <w:b/>
                <w:bCs/>
                <w:sz w:val="22"/>
                <w:szCs w:val="22"/>
                <w:lang w:val="en-US" w:eastAsia="zh-CN"/>
              </w:rPr>
            </w:pPr>
            <w:r>
              <w:rPr>
                <w:rFonts w:hint="default" w:ascii="Times New Roman" w:hAnsi="Times New Roman" w:eastAsia="宋体" w:cs="Times New Roman"/>
                <w:b/>
                <w:bCs/>
                <w:sz w:val="22"/>
                <w:szCs w:val="22"/>
                <w:lang w:val="en-US" w:eastAsia="zh-CN"/>
              </w:rPr>
              <w:t>（一）评分内容：</w:t>
            </w:r>
          </w:p>
          <w:p w14:paraId="55BE9D0B">
            <w:pPr>
              <w:keepNext w:val="0"/>
              <w:keepLines w:val="0"/>
              <w:pageBreakBefore w:val="0"/>
              <w:widowControl w:val="0"/>
              <w:kinsoku/>
              <w:wordWrap/>
              <w:overflowPunct/>
              <w:topLinePunct w:val="0"/>
              <w:autoSpaceDE/>
              <w:autoSpaceDN/>
              <w:bidi w:val="0"/>
              <w:spacing w:line="360"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拟安排项目负责人（仅限一人）为投标单位员工（以社保为准），否则本项不得分。</w:t>
            </w:r>
          </w:p>
          <w:p w14:paraId="48866ABC">
            <w:pPr>
              <w:keepNext w:val="0"/>
              <w:keepLines w:val="0"/>
              <w:pageBreakBefore w:val="0"/>
              <w:widowControl w:val="0"/>
              <w:kinsoku/>
              <w:wordWrap/>
              <w:overflowPunct/>
              <w:topLinePunct w:val="0"/>
              <w:autoSpaceDE/>
              <w:autoSpaceDN/>
              <w:bidi w:val="0"/>
              <w:spacing w:line="360"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1.具有管理类硕士研究生或以上学历的，得1分；</w:t>
            </w:r>
          </w:p>
          <w:p w14:paraId="312BFA25">
            <w:pPr>
              <w:keepNext w:val="0"/>
              <w:keepLines w:val="0"/>
              <w:pageBreakBefore w:val="0"/>
              <w:widowControl w:val="0"/>
              <w:kinsoku/>
              <w:wordWrap/>
              <w:overflowPunct/>
              <w:topLinePunct w:val="0"/>
              <w:autoSpaceDE/>
              <w:autoSpaceDN/>
              <w:bidi w:val="0"/>
              <w:spacing w:line="360" w:lineRule="exact"/>
              <w:jc w:val="left"/>
              <w:textAlignment w:val="auto"/>
              <w:rPr>
                <w:rFonts w:hint="default" w:ascii="Times New Roman" w:hAnsi="Times New Roman" w:eastAsia="宋体" w:cs="Times New Roman"/>
                <w:strike w:val="0"/>
                <w:sz w:val="22"/>
                <w:szCs w:val="22"/>
                <w:lang w:val="en-US" w:eastAsia="zh-CN"/>
              </w:rPr>
            </w:pPr>
            <w:r>
              <w:rPr>
                <w:rFonts w:hint="default" w:ascii="Times New Roman" w:hAnsi="Times New Roman" w:eastAsia="宋体" w:cs="Times New Roman"/>
                <w:strike w:val="0"/>
                <w:sz w:val="22"/>
                <w:szCs w:val="22"/>
                <w:lang w:val="en-US" w:eastAsia="zh-CN"/>
              </w:rPr>
              <w:t>2.具有行政机关或事业单位或评价机构颁发的企业人力资源管理师（“一级/高级技师”）或</w:t>
            </w:r>
            <w:r>
              <w:rPr>
                <w:rFonts w:hint="default" w:ascii="Times New Roman" w:hAnsi="Times New Roman" w:eastAsia="宋体" w:cs="Times New Roman"/>
                <w:sz w:val="22"/>
                <w:szCs w:val="22"/>
                <w:lang w:val="en-US" w:eastAsia="zh-CN"/>
              </w:rPr>
              <w:t>人社部门颁发的人力资源管理师证书的</w:t>
            </w:r>
            <w:r>
              <w:rPr>
                <w:rFonts w:hint="default" w:ascii="Times New Roman" w:hAnsi="Times New Roman" w:eastAsia="宋体" w:cs="Times New Roman"/>
                <w:strike w:val="0"/>
                <w:sz w:val="22"/>
                <w:szCs w:val="22"/>
                <w:lang w:val="en-US" w:eastAsia="zh-CN"/>
              </w:rPr>
              <w:t>，得1分；</w:t>
            </w:r>
          </w:p>
          <w:p w14:paraId="33759E5C">
            <w:pPr>
              <w:keepNext w:val="0"/>
              <w:keepLines w:val="0"/>
              <w:pageBreakBefore w:val="0"/>
              <w:widowControl w:val="0"/>
              <w:kinsoku/>
              <w:wordWrap/>
              <w:overflowPunct/>
              <w:topLinePunct w:val="0"/>
              <w:autoSpaceDE/>
              <w:autoSpaceDN/>
              <w:bidi w:val="0"/>
              <w:spacing w:line="360"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2.具有劳动关系协调员（一级/高级技师）职业资格证书或职业技能等级证书的，得3分；</w:t>
            </w:r>
          </w:p>
          <w:p w14:paraId="288EA782">
            <w:pPr>
              <w:keepNext w:val="0"/>
              <w:keepLines w:val="0"/>
              <w:pageBreakBefore w:val="0"/>
              <w:widowControl w:val="0"/>
              <w:kinsoku/>
              <w:wordWrap/>
              <w:overflowPunct/>
              <w:topLinePunct w:val="0"/>
              <w:autoSpaceDE/>
              <w:autoSpaceDN/>
              <w:bidi w:val="0"/>
              <w:spacing w:line="360"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以上三项累加计分，最高得5分。</w:t>
            </w:r>
          </w:p>
          <w:p w14:paraId="0CB5177D">
            <w:pPr>
              <w:keepNext w:val="0"/>
              <w:keepLines w:val="0"/>
              <w:pageBreakBefore w:val="0"/>
              <w:widowControl w:val="0"/>
              <w:kinsoku/>
              <w:wordWrap/>
              <w:overflowPunct/>
              <w:topLinePunct w:val="0"/>
              <w:autoSpaceDE/>
              <w:autoSpaceDN/>
              <w:bidi w:val="0"/>
              <w:spacing w:line="360"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b/>
                <w:bCs/>
                <w:kern w:val="0"/>
                <w:sz w:val="22"/>
                <w:szCs w:val="22"/>
              </w:rPr>
              <w:t>（二）评分标准：</w:t>
            </w:r>
          </w:p>
          <w:p w14:paraId="07741501">
            <w:pPr>
              <w:keepNext w:val="0"/>
              <w:keepLines w:val="0"/>
              <w:pageBreakBefore w:val="0"/>
              <w:widowControl w:val="0"/>
              <w:kinsoku/>
              <w:wordWrap/>
              <w:overflowPunct/>
              <w:topLinePunct w:val="0"/>
              <w:autoSpaceDE/>
              <w:autoSpaceDN/>
              <w:bidi w:val="0"/>
              <w:spacing w:line="360"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1.提供相关证书扫描件。</w:t>
            </w:r>
          </w:p>
          <w:p w14:paraId="7302BBC3">
            <w:pPr>
              <w:keepNext w:val="0"/>
              <w:keepLines w:val="0"/>
              <w:pageBreakBefore w:val="0"/>
              <w:widowControl w:val="0"/>
              <w:kinsoku/>
              <w:wordWrap/>
              <w:overflowPunct/>
              <w:topLinePunct w:val="0"/>
              <w:autoSpaceDE/>
              <w:autoSpaceDN/>
              <w:bidi w:val="0"/>
              <w:spacing w:line="360"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2.要求提供通过投标人缴纳的近一个月的社保证明作为本单位员工的证明依据，如供应商成立不足一个月或员工入职不足一个月的，提供情况说明函（格式自拟），无需提供相关人员社保，亦可得分。</w:t>
            </w:r>
          </w:p>
          <w:p w14:paraId="5BE14AFB">
            <w:pPr>
              <w:keepNext w:val="0"/>
              <w:keepLines w:val="0"/>
              <w:pageBreakBefore w:val="0"/>
              <w:widowControl w:val="0"/>
              <w:kinsoku/>
              <w:wordWrap/>
              <w:overflowPunct/>
              <w:topLinePunct w:val="0"/>
              <w:autoSpaceDE/>
              <w:autoSpaceDN/>
              <w:bidi w:val="0"/>
              <w:spacing w:line="360"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3.其中涉及学历</w:t>
            </w:r>
            <w:r>
              <w:rPr>
                <w:rFonts w:hint="eastAsia" w:ascii="Times New Roman" w:hAnsi="Times New Roman" w:cs="Times New Roman"/>
                <w:sz w:val="22"/>
                <w:szCs w:val="22"/>
                <w:lang w:val="en-US" w:eastAsia="zh-CN"/>
              </w:rPr>
              <w:t>学位</w:t>
            </w:r>
            <w:r>
              <w:rPr>
                <w:rFonts w:hint="default" w:ascii="Times New Roman" w:hAnsi="Times New Roman" w:eastAsia="宋体" w:cs="Times New Roman"/>
                <w:sz w:val="22"/>
                <w:szCs w:val="22"/>
                <w:lang w:val="en-US" w:eastAsia="zh-CN"/>
              </w:rPr>
              <w:t>证书的，需同时提供学历</w:t>
            </w:r>
            <w:r>
              <w:rPr>
                <w:rFonts w:hint="eastAsia" w:ascii="Times New Roman" w:hAnsi="Times New Roman" w:cs="Times New Roman"/>
                <w:sz w:val="22"/>
                <w:szCs w:val="22"/>
                <w:lang w:val="en-US" w:eastAsia="zh-CN"/>
              </w:rPr>
              <w:t>学位</w:t>
            </w:r>
            <w:r>
              <w:rPr>
                <w:rFonts w:hint="default" w:ascii="Times New Roman" w:hAnsi="Times New Roman" w:eastAsia="宋体" w:cs="Times New Roman"/>
                <w:sz w:val="22"/>
                <w:szCs w:val="22"/>
                <w:lang w:val="en-US" w:eastAsia="zh-CN"/>
              </w:rPr>
              <w:t>证书扫描件及学信网查询记录截图（如较早颁发的学历</w:t>
            </w:r>
            <w:r>
              <w:rPr>
                <w:rFonts w:hint="eastAsia" w:ascii="Times New Roman" w:hAnsi="Times New Roman" w:cs="Times New Roman"/>
                <w:sz w:val="22"/>
                <w:szCs w:val="22"/>
                <w:lang w:val="en-US" w:eastAsia="zh-CN"/>
              </w:rPr>
              <w:t>学位</w:t>
            </w:r>
            <w:r>
              <w:rPr>
                <w:rFonts w:hint="default" w:ascii="Times New Roman" w:hAnsi="Times New Roman" w:eastAsia="宋体" w:cs="Times New Roman"/>
                <w:sz w:val="22"/>
                <w:szCs w:val="22"/>
                <w:lang w:val="en-US" w:eastAsia="zh-CN"/>
              </w:rPr>
              <w:t>证书，学信网无法查询的，可提供毕业院校或教育或人社部门等颁发机构或监管机构等出具的证明，如海外留学（含港澳台）人学历</w:t>
            </w:r>
            <w:r>
              <w:rPr>
                <w:rFonts w:hint="eastAsia" w:ascii="Times New Roman" w:hAnsi="Times New Roman" w:cs="Times New Roman"/>
                <w:sz w:val="22"/>
                <w:szCs w:val="22"/>
                <w:lang w:val="en-US" w:eastAsia="zh-CN"/>
              </w:rPr>
              <w:t>学位</w:t>
            </w:r>
            <w:r>
              <w:rPr>
                <w:rFonts w:hint="default" w:ascii="Times New Roman" w:hAnsi="Times New Roman" w:eastAsia="宋体" w:cs="Times New Roman"/>
                <w:sz w:val="22"/>
                <w:szCs w:val="22"/>
                <w:lang w:val="en-US" w:eastAsia="zh-CN"/>
              </w:rPr>
              <w:t>无法通过学信网站查询的，应当提供教育部留学服务中心出具的国外学历</w:t>
            </w:r>
            <w:r>
              <w:rPr>
                <w:rFonts w:hint="eastAsia" w:ascii="Times New Roman" w:hAnsi="Times New Roman" w:cs="Times New Roman"/>
                <w:sz w:val="22"/>
                <w:szCs w:val="22"/>
                <w:lang w:val="en-US" w:eastAsia="zh-CN"/>
              </w:rPr>
              <w:t>学位</w:t>
            </w:r>
            <w:r>
              <w:rPr>
                <w:rFonts w:hint="default" w:ascii="Times New Roman" w:hAnsi="Times New Roman" w:eastAsia="宋体" w:cs="Times New Roman"/>
                <w:sz w:val="22"/>
                <w:szCs w:val="22"/>
                <w:lang w:val="en-US" w:eastAsia="zh-CN"/>
              </w:rPr>
              <w:t>认证证书以及教育部留学服务中心官网查询截图。若证明文件为其它语言，附中文译文，以中文译文为准）。</w:t>
            </w:r>
          </w:p>
          <w:p w14:paraId="71D666EC">
            <w:pPr>
              <w:keepNext w:val="0"/>
              <w:keepLines w:val="0"/>
              <w:pageBreakBefore w:val="0"/>
              <w:widowControl w:val="0"/>
              <w:kinsoku/>
              <w:wordWrap/>
              <w:overflowPunct/>
              <w:topLinePunct w:val="0"/>
              <w:autoSpaceDE/>
              <w:autoSpaceDN/>
              <w:bidi w:val="0"/>
              <w:spacing w:line="360"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4.提供相关证书扫描件，由人力资源和社会保障（或原劳动和社会保障）行政主管部门或在人力资源和社会保障部门备案的第三方评价机构颁发的证书，还需提供技能人才评价证书全国联网查询截图（查询网址：http://zscx.osta.org.cn 或者</w:t>
            </w:r>
          </w:p>
          <w:p w14:paraId="23816475">
            <w:pPr>
              <w:keepNext w:val="0"/>
              <w:keepLines w:val="0"/>
              <w:pageBreakBefore w:val="0"/>
              <w:widowControl w:val="0"/>
              <w:kinsoku/>
              <w:wordWrap/>
              <w:overflowPunct/>
              <w:topLinePunct w:val="0"/>
              <w:autoSpaceDE/>
              <w:autoSpaceDN/>
              <w:bidi w:val="0"/>
              <w:spacing w:line="360"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http://jndj.osta.org.cn），若证书由社会组织（协会或学会）颁发的，则还需同时提供该机构在中国社会组织政务服务平台（网址：https://chinanpo.mca.gov.cn）的查询“正常”页面截图，否则不予认可，视为无效证书；</w:t>
            </w:r>
          </w:p>
          <w:p w14:paraId="1088608E">
            <w:pPr>
              <w:keepNext w:val="0"/>
              <w:keepLines w:val="0"/>
              <w:pageBreakBefore w:val="0"/>
              <w:widowControl w:val="0"/>
              <w:kinsoku/>
              <w:wordWrap/>
              <w:overflowPunct/>
              <w:topLinePunct w:val="0"/>
              <w:autoSpaceDE/>
              <w:autoSpaceDN/>
              <w:bidi w:val="0"/>
              <w:spacing w:line="360"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5.以上资料要求提供扫描件并加盖投标人公章，原件备查。未按要求提供相关材料或不清晰导致无法判断内容的不得分。</w:t>
            </w:r>
          </w:p>
        </w:tc>
      </w:tr>
      <w:tr w14:paraId="259E3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3" w:type="dxa"/>
            <w:vAlign w:val="center"/>
          </w:tcPr>
          <w:p w14:paraId="0026A2AE">
            <w:pPr>
              <w:keepNext w:val="0"/>
              <w:keepLines w:val="0"/>
              <w:pageBreakBefore w:val="0"/>
              <w:widowControl w:val="0"/>
              <w:kinsoku/>
              <w:overflowPunct/>
              <w:topLinePunct w:val="0"/>
              <w:autoSpaceDE/>
              <w:autoSpaceDN/>
              <w:bidi w:val="0"/>
              <w:spacing w:line="360" w:lineRule="exact"/>
              <w:jc w:val="center"/>
              <w:textAlignment w:val="auto"/>
              <w:rPr>
                <w:rFonts w:hint="default" w:ascii="Times New Roman" w:hAnsi="Times New Roman" w:eastAsia="宋体" w:cs="Times New Roman"/>
                <w:color w:val="000000" w:themeColor="text1"/>
                <w:sz w:val="22"/>
                <w:szCs w:val="22"/>
                <w:lang w:val="en-US" w:eastAsia="zh-CN"/>
                <w14:textFill>
                  <w14:solidFill>
                    <w14:schemeClr w14:val="tx1"/>
                  </w14:solidFill>
                </w14:textFill>
              </w:rPr>
            </w:pPr>
            <w:r>
              <w:rPr>
                <w:rFonts w:hint="default" w:ascii="Times New Roman" w:hAnsi="Times New Roman" w:eastAsia="宋体" w:cs="Times New Roman"/>
                <w:color w:val="000000" w:themeColor="text1"/>
                <w:sz w:val="22"/>
                <w:szCs w:val="22"/>
                <w:lang w:val="en-US" w:eastAsia="zh-CN"/>
                <w14:textFill>
                  <w14:solidFill>
                    <w14:schemeClr w14:val="tx1"/>
                  </w14:solidFill>
                </w14:textFill>
              </w:rPr>
              <w:t>7</w:t>
            </w:r>
          </w:p>
        </w:tc>
        <w:tc>
          <w:tcPr>
            <w:tcW w:w="1850" w:type="dxa"/>
            <w:vAlign w:val="center"/>
          </w:tcPr>
          <w:p w14:paraId="71C31B8B">
            <w:pPr>
              <w:keepNext w:val="0"/>
              <w:keepLines w:val="0"/>
              <w:pageBreakBefore w:val="0"/>
              <w:widowControl w:val="0"/>
              <w:kinsoku/>
              <w:wordWrap/>
              <w:overflowPunct/>
              <w:topLinePunct w:val="0"/>
              <w:autoSpaceDE/>
              <w:autoSpaceDN/>
              <w:bidi w:val="0"/>
              <w:spacing w:line="360" w:lineRule="exact"/>
              <w:jc w:val="center"/>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拟安排的项目主要团队成员（主要技术人员）情况（项目负责人除外）</w:t>
            </w:r>
          </w:p>
        </w:tc>
        <w:tc>
          <w:tcPr>
            <w:tcW w:w="868" w:type="dxa"/>
            <w:vAlign w:val="center"/>
          </w:tcPr>
          <w:p w14:paraId="526D0A15">
            <w:pPr>
              <w:keepNext w:val="0"/>
              <w:keepLines w:val="0"/>
              <w:pageBreakBefore w:val="0"/>
              <w:widowControl w:val="0"/>
              <w:kinsoku/>
              <w:wordWrap/>
              <w:overflowPunct/>
              <w:topLinePunct w:val="0"/>
              <w:autoSpaceDE/>
              <w:autoSpaceDN/>
              <w:bidi w:val="0"/>
              <w:spacing w:line="360" w:lineRule="exact"/>
              <w:jc w:val="center"/>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10</w:t>
            </w:r>
          </w:p>
        </w:tc>
        <w:tc>
          <w:tcPr>
            <w:tcW w:w="5005" w:type="dxa"/>
            <w:vAlign w:val="top"/>
          </w:tcPr>
          <w:p w14:paraId="10CD3564">
            <w:pPr>
              <w:keepNext w:val="0"/>
              <w:keepLines w:val="0"/>
              <w:pageBreakBefore w:val="0"/>
              <w:widowControl w:val="0"/>
              <w:kinsoku/>
              <w:wordWrap/>
              <w:overflowPunct/>
              <w:topLinePunct w:val="0"/>
              <w:autoSpaceDE/>
              <w:autoSpaceDN/>
              <w:bidi w:val="0"/>
              <w:spacing w:line="360" w:lineRule="exact"/>
              <w:jc w:val="left"/>
              <w:textAlignment w:val="auto"/>
              <w:rPr>
                <w:rFonts w:hint="default" w:ascii="Times New Roman" w:hAnsi="Times New Roman" w:eastAsia="宋体" w:cs="Times New Roman"/>
                <w:b/>
                <w:bCs/>
                <w:sz w:val="22"/>
                <w:szCs w:val="22"/>
                <w:lang w:val="en-US" w:eastAsia="zh-CN"/>
              </w:rPr>
            </w:pPr>
            <w:r>
              <w:rPr>
                <w:rFonts w:hint="default" w:ascii="Times New Roman" w:hAnsi="Times New Roman" w:eastAsia="宋体" w:cs="Times New Roman"/>
                <w:b/>
                <w:bCs/>
                <w:sz w:val="22"/>
                <w:szCs w:val="22"/>
                <w:lang w:val="en-US" w:eastAsia="zh-CN"/>
              </w:rPr>
              <w:t>（一）评分内容：</w:t>
            </w:r>
          </w:p>
          <w:p w14:paraId="733A95DD">
            <w:pPr>
              <w:keepNext w:val="0"/>
              <w:keepLines w:val="0"/>
              <w:pageBreakBefore w:val="0"/>
              <w:widowControl w:val="0"/>
              <w:kinsoku/>
              <w:wordWrap/>
              <w:overflowPunct/>
              <w:topLinePunct w:val="0"/>
              <w:autoSpaceDE/>
              <w:autoSpaceDN/>
              <w:bidi w:val="0"/>
              <w:spacing w:line="360"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拟安排项目主要团队成员（项目负责人除外）为投标单位员工（以社保为准），否则该人员情况不计分。</w:t>
            </w:r>
          </w:p>
          <w:p w14:paraId="3F1E6661">
            <w:pPr>
              <w:keepNext w:val="0"/>
              <w:keepLines w:val="0"/>
              <w:pageBreakBefore w:val="0"/>
              <w:widowControl w:val="0"/>
              <w:kinsoku/>
              <w:wordWrap/>
              <w:overflowPunct/>
              <w:topLinePunct w:val="0"/>
              <w:autoSpaceDE/>
              <w:autoSpaceDN/>
              <w:bidi w:val="0"/>
              <w:spacing w:line="360"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1.具有大专或以上学历；</w:t>
            </w:r>
          </w:p>
          <w:p w14:paraId="55373590">
            <w:pPr>
              <w:keepNext w:val="0"/>
              <w:keepLines w:val="0"/>
              <w:pageBreakBefore w:val="0"/>
              <w:widowControl w:val="0"/>
              <w:kinsoku/>
              <w:wordWrap/>
              <w:overflowPunct/>
              <w:topLinePunct w:val="0"/>
              <w:autoSpaceDE/>
              <w:autoSpaceDN/>
              <w:bidi w:val="0"/>
              <w:spacing w:line="360"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2.具有行政机关或事业单位或评价机构颁发的企业人力资源管理师（“二级/技师”或“一级/高级技师”或人社部门颁发的人力资源管理师证书；</w:t>
            </w:r>
          </w:p>
          <w:p w14:paraId="338F6E59">
            <w:pPr>
              <w:keepNext w:val="0"/>
              <w:keepLines w:val="0"/>
              <w:pageBreakBefore w:val="0"/>
              <w:widowControl w:val="0"/>
              <w:kinsoku/>
              <w:wordWrap/>
              <w:overflowPunct/>
              <w:topLinePunct w:val="0"/>
              <w:autoSpaceDE/>
              <w:autoSpaceDN/>
              <w:bidi w:val="0"/>
              <w:spacing w:line="360"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每提供1人同时具有以上两项要求的，得2分，最高得10分。</w:t>
            </w:r>
          </w:p>
          <w:p w14:paraId="277290B6">
            <w:pPr>
              <w:keepNext w:val="0"/>
              <w:keepLines w:val="0"/>
              <w:pageBreakBefore w:val="0"/>
              <w:widowControl w:val="0"/>
              <w:kinsoku/>
              <w:wordWrap/>
              <w:overflowPunct/>
              <w:topLinePunct w:val="0"/>
              <w:autoSpaceDE/>
              <w:autoSpaceDN/>
              <w:bidi w:val="0"/>
              <w:spacing w:line="360" w:lineRule="exact"/>
              <w:jc w:val="left"/>
              <w:textAlignment w:val="auto"/>
              <w:rPr>
                <w:rFonts w:hint="default" w:ascii="Times New Roman" w:hAnsi="Times New Roman" w:eastAsia="宋体" w:cs="Times New Roman"/>
                <w:b/>
                <w:bCs/>
                <w:sz w:val="22"/>
                <w:szCs w:val="22"/>
                <w:lang w:val="en-US" w:eastAsia="zh-CN"/>
              </w:rPr>
            </w:pPr>
            <w:r>
              <w:rPr>
                <w:rFonts w:hint="default" w:ascii="Times New Roman" w:hAnsi="Times New Roman" w:eastAsia="宋体" w:cs="Times New Roman"/>
                <w:b/>
                <w:bCs/>
                <w:sz w:val="22"/>
                <w:szCs w:val="22"/>
                <w:lang w:val="en-US" w:eastAsia="zh-CN"/>
              </w:rPr>
              <w:t>（二）评分标准：</w:t>
            </w:r>
          </w:p>
          <w:p w14:paraId="6E218922">
            <w:pPr>
              <w:keepNext w:val="0"/>
              <w:keepLines w:val="0"/>
              <w:pageBreakBefore w:val="0"/>
              <w:widowControl w:val="0"/>
              <w:kinsoku/>
              <w:wordWrap/>
              <w:overflowPunct/>
              <w:topLinePunct w:val="0"/>
              <w:autoSpaceDE/>
              <w:autoSpaceDN/>
              <w:bidi w:val="0"/>
              <w:spacing w:line="360"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1.提供相关证书扫描件。</w:t>
            </w:r>
          </w:p>
          <w:p w14:paraId="4914B7DB">
            <w:pPr>
              <w:keepNext w:val="0"/>
              <w:keepLines w:val="0"/>
              <w:pageBreakBefore w:val="0"/>
              <w:widowControl w:val="0"/>
              <w:kinsoku/>
              <w:wordWrap/>
              <w:overflowPunct/>
              <w:topLinePunct w:val="0"/>
              <w:autoSpaceDE/>
              <w:autoSpaceDN/>
              <w:bidi w:val="0"/>
              <w:spacing w:line="360"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2.要求提供通过投标人缴纳的近一个月的社保证明作为本单位员工的证明依据，如供应商成立不足一个月或员工入职不足一个月的，提供情况说明函（格式自拟），无需提供相关人员社保，亦可得分。</w:t>
            </w:r>
          </w:p>
          <w:p w14:paraId="566DE12D">
            <w:pPr>
              <w:keepNext w:val="0"/>
              <w:keepLines w:val="0"/>
              <w:pageBreakBefore w:val="0"/>
              <w:widowControl w:val="0"/>
              <w:kinsoku/>
              <w:wordWrap/>
              <w:overflowPunct/>
              <w:topLinePunct w:val="0"/>
              <w:autoSpaceDE/>
              <w:autoSpaceDN/>
              <w:bidi w:val="0"/>
              <w:spacing w:line="360"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3.其中涉及学历证书的，需同时提供学历证书扫描件及学信网查询记录截图（如较早颁发的学历证书，学信网无法查询的，可提供毕业院校或教育或人社部门等颁发机构或监管机构等出具的证明，如海外留学（含港澳台）人学历无法通过学信网站查询的，应当提供教育部留学服务中心出具的国外学历认证证书以及教育部留学服务中心官网查询截图。若证明文件为其它语言，附中文译文，以中文译文为准）。</w:t>
            </w:r>
          </w:p>
          <w:p w14:paraId="5784E32A">
            <w:pPr>
              <w:keepNext w:val="0"/>
              <w:keepLines w:val="0"/>
              <w:pageBreakBefore w:val="0"/>
              <w:widowControl w:val="0"/>
              <w:kinsoku/>
              <w:wordWrap/>
              <w:overflowPunct/>
              <w:topLinePunct w:val="0"/>
              <w:autoSpaceDE/>
              <w:autoSpaceDN/>
              <w:bidi w:val="0"/>
              <w:spacing w:line="360"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4.提供相关证书扫描件，由人力资源和社会保障（或原劳动和社会保障）行政主管部门或在人力资源和社会保障部门备案的第三方评价机构颁发的证书，还需提供技能人才评价证书全国联网查询截图（查询网址：http://zscx.osta.org.cn 或者http://jndj.osta.org.cn），若证书由社会组织（协会或学会）颁发的，则还需同时提供该机构在中国社会组织政务服务平台（网址：https://chinanpo.mca.gov.cn）的查询“正常”页面截图，否则不予认可，视为无效证书；</w:t>
            </w:r>
          </w:p>
          <w:p w14:paraId="322953B9">
            <w:pPr>
              <w:keepNext w:val="0"/>
              <w:keepLines w:val="0"/>
              <w:pageBreakBefore w:val="0"/>
              <w:widowControl w:val="0"/>
              <w:kinsoku/>
              <w:wordWrap/>
              <w:overflowPunct/>
              <w:topLinePunct w:val="0"/>
              <w:autoSpaceDE/>
              <w:autoSpaceDN/>
              <w:bidi w:val="0"/>
              <w:spacing w:line="360"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5.以上资料要求提供扫描件并加盖投标人公章，原件备查。未按要求提供相关材料或不清晰导致无法判断内容的不得分。</w:t>
            </w:r>
          </w:p>
        </w:tc>
      </w:tr>
      <w:tr w14:paraId="5A3F1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jc w:val="center"/>
        </w:trPr>
        <w:tc>
          <w:tcPr>
            <w:tcW w:w="3461" w:type="dxa"/>
            <w:gridSpan w:val="3"/>
            <w:vAlign w:val="center"/>
          </w:tcPr>
          <w:p w14:paraId="42B39951">
            <w:pPr>
              <w:keepNext w:val="0"/>
              <w:keepLines w:val="0"/>
              <w:pageBreakBefore w:val="0"/>
              <w:widowControl w:val="0"/>
              <w:kinsoku/>
              <w:overflowPunct/>
              <w:topLinePunct w:val="0"/>
              <w:autoSpaceDE/>
              <w:autoSpaceDN/>
              <w:bidi w:val="0"/>
              <w:spacing w:line="360" w:lineRule="exact"/>
              <w:jc w:val="center"/>
              <w:textAlignment w:val="auto"/>
              <w:rPr>
                <w:rFonts w:hint="default" w:ascii="Times New Roman" w:hAnsi="Times New Roman" w:eastAsia="宋体" w:cs="Times New Roman"/>
                <w:b/>
                <w:bCs/>
                <w:color w:val="000000" w:themeColor="text1"/>
                <w:sz w:val="22"/>
                <w:szCs w:val="22"/>
                <w14:textFill>
                  <w14:solidFill>
                    <w14:schemeClr w14:val="tx1"/>
                  </w14:solidFill>
                </w14:textFill>
              </w:rPr>
            </w:pPr>
            <w:r>
              <w:rPr>
                <w:rFonts w:hint="default" w:ascii="Times New Roman" w:hAnsi="Times New Roman" w:eastAsia="宋体" w:cs="Times New Roman"/>
                <w:b/>
                <w:bCs/>
                <w:color w:val="000000" w:themeColor="text1"/>
                <w:sz w:val="22"/>
                <w:szCs w:val="22"/>
                <w14:textFill>
                  <w14:solidFill>
                    <w14:schemeClr w14:val="tx1"/>
                  </w14:solidFill>
                </w14:textFill>
              </w:rPr>
              <w:t>商务部分</w:t>
            </w:r>
          </w:p>
        </w:tc>
        <w:tc>
          <w:tcPr>
            <w:tcW w:w="5005" w:type="dxa"/>
            <w:vAlign w:val="center"/>
          </w:tcPr>
          <w:p w14:paraId="2DFB040F">
            <w:pPr>
              <w:keepNext w:val="0"/>
              <w:keepLines w:val="0"/>
              <w:pageBreakBefore w:val="0"/>
              <w:widowControl w:val="0"/>
              <w:kinsoku/>
              <w:overflowPunct/>
              <w:topLinePunct w:val="0"/>
              <w:autoSpaceDE/>
              <w:autoSpaceDN/>
              <w:bidi w:val="0"/>
              <w:spacing w:line="360" w:lineRule="exact"/>
              <w:jc w:val="center"/>
              <w:textAlignment w:val="auto"/>
              <w:rPr>
                <w:rFonts w:hint="default" w:ascii="Times New Roman" w:hAnsi="Times New Roman" w:eastAsia="宋体" w:cs="Times New Roman"/>
                <w:b/>
                <w:bCs/>
                <w:color w:val="000000" w:themeColor="text1"/>
                <w:sz w:val="22"/>
                <w:szCs w:val="22"/>
                <w:lang w:val="en-US" w:eastAsia="zh-CN"/>
                <w14:textFill>
                  <w14:solidFill>
                    <w14:schemeClr w14:val="tx1"/>
                  </w14:solidFill>
                </w14:textFill>
              </w:rPr>
            </w:pPr>
            <w:r>
              <w:rPr>
                <w:rFonts w:hint="default" w:ascii="Times New Roman" w:hAnsi="Times New Roman" w:eastAsia="宋体" w:cs="Times New Roman"/>
                <w:b/>
                <w:bCs/>
                <w:color w:val="000000" w:themeColor="text1"/>
                <w:sz w:val="22"/>
                <w:szCs w:val="22"/>
                <w:lang w:val="en-US" w:eastAsia="zh-CN"/>
                <w14:textFill>
                  <w14:solidFill>
                    <w14:schemeClr w14:val="tx1"/>
                  </w14:solidFill>
                </w14:textFill>
              </w:rPr>
              <w:t>23</w:t>
            </w:r>
          </w:p>
        </w:tc>
      </w:tr>
      <w:tr w14:paraId="7016A9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743" w:type="dxa"/>
            <w:shd w:val="clear" w:color="auto" w:fill="BDD6EE"/>
            <w:vAlign w:val="center"/>
          </w:tcPr>
          <w:p w14:paraId="72FE91C7">
            <w:pPr>
              <w:keepNext w:val="0"/>
              <w:keepLines w:val="0"/>
              <w:pageBreakBefore w:val="0"/>
              <w:widowControl w:val="0"/>
              <w:kinsoku/>
              <w:overflowPunct/>
              <w:topLinePunct w:val="0"/>
              <w:autoSpaceDE/>
              <w:autoSpaceDN/>
              <w:bidi w:val="0"/>
              <w:spacing w:line="360" w:lineRule="exact"/>
              <w:jc w:val="center"/>
              <w:textAlignment w:val="auto"/>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序号</w:t>
            </w:r>
          </w:p>
        </w:tc>
        <w:tc>
          <w:tcPr>
            <w:tcW w:w="1850" w:type="dxa"/>
            <w:shd w:val="clear" w:color="auto" w:fill="BDD6EE"/>
            <w:vAlign w:val="center"/>
          </w:tcPr>
          <w:p w14:paraId="0043214D">
            <w:pPr>
              <w:keepNext w:val="0"/>
              <w:keepLines w:val="0"/>
              <w:pageBreakBefore w:val="0"/>
              <w:widowControl w:val="0"/>
              <w:kinsoku/>
              <w:overflowPunct/>
              <w:topLinePunct w:val="0"/>
              <w:autoSpaceDE/>
              <w:autoSpaceDN/>
              <w:bidi w:val="0"/>
              <w:spacing w:line="360" w:lineRule="exact"/>
              <w:jc w:val="center"/>
              <w:textAlignment w:val="auto"/>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评分因素</w:t>
            </w:r>
          </w:p>
        </w:tc>
        <w:tc>
          <w:tcPr>
            <w:tcW w:w="868" w:type="dxa"/>
            <w:shd w:val="clear" w:color="auto" w:fill="BDD6EE"/>
            <w:vAlign w:val="center"/>
          </w:tcPr>
          <w:p w14:paraId="57095310">
            <w:pPr>
              <w:keepNext w:val="0"/>
              <w:keepLines w:val="0"/>
              <w:pageBreakBefore w:val="0"/>
              <w:widowControl w:val="0"/>
              <w:kinsoku/>
              <w:overflowPunct/>
              <w:topLinePunct w:val="0"/>
              <w:autoSpaceDE/>
              <w:autoSpaceDN/>
              <w:bidi w:val="0"/>
              <w:spacing w:line="360" w:lineRule="exact"/>
              <w:jc w:val="center"/>
              <w:textAlignment w:val="auto"/>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分值</w:t>
            </w:r>
          </w:p>
        </w:tc>
        <w:tc>
          <w:tcPr>
            <w:tcW w:w="5005" w:type="dxa"/>
            <w:shd w:val="clear" w:color="auto" w:fill="BDD6EE"/>
            <w:vAlign w:val="center"/>
          </w:tcPr>
          <w:p w14:paraId="45E7A59E">
            <w:pPr>
              <w:keepNext w:val="0"/>
              <w:keepLines w:val="0"/>
              <w:pageBreakBefore w:val="0"/>
              <w:widowControl w:val="0"/>
              <w:kinsoku/>
              <w:overflowPunct/>
              <w:topLinePunct w:val="0"/>
              <w:autoSpaceDE/>
              <w:autoSpaceDN/>
              <w:bidi w:val="0"/>
              <w:spacing w:line="360" w:lineRule="exact"/>
              <w:jc w:val="center"/>
              <w:textAlignment w:val="auto"/>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评分准则</w:t>
            </w:r>
          </w:p>
        </w:tc>
      </w:tr>
      <w:tr w14:paraId="01F4C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3" w:type="dxa"/>
            <w:vAlign w:val="center"/>
          </w:tcPr>
          <w:p w14:paraId="5E38D4D5">
            <w:pPr>
              <w:keepNext w:val="0"/>
              <w:keepLines w:val="0"/>
              <w:pageBreakBefore w:val="0"/>
              <w:widowControl w:val="0"/>
              <w:kinsoku/>
              <w:overflowPunct/>
              <w:topLinePunct w:val="0"/>
              <w:autoSpaceDE/>
              <w:autoSpaceDN/>
              <w:bidi w:val="0"/>
              <w:spacing w:line="360" w:lineRule="exact"/>
              <w:jc w:val="center"/>
              <w:textAlignment w:val="auto"/>
              <w:rPr>
                <w:rFonts w:hint="default" w:ascii="Times New Roman" w:hAnsi="Times New Roman" w:eastAsia="宋体" w:cs="Times New Roman"/>
                <w:color w:val="000000" w:themeColor="text1"/>
                <w:sz w:val="22"/>
                <w:szCs w:val="22"/>
                <w:lang w:val="en-US" w:eastAsia="zh-CN"/>
                <w14:textFill>
                  <w14:solidFill>
                    <w14:schemeClr w14:val="tx1"/>
                  </w14:solidFill>
                </w14:textFill>
              </w:rPr>
            </w:pPr>
            <w:r>
              <w:rPr>
                <w:rFonts w:hint="default" w:ascii="Times New Roman" w:hAnsi="Times New Roman" w:eastAsia="宋体" w:cs="Times New Roman"/>
                <w:color w:val="000000" w:themeColor="text1"/>
                <w:sz w:val="22"/>
                <w:szCs w:val="22"/>
                <w:lang w:val="en-US" w:eastAsia="zh-CN"/>
                <w14:textFill>
                  <w14:solidFill>
                    <w14:schemeClr w14:val="tx1"/>
                  </w14:solidFill>
                </w14:textFill>
              </w:rPr>
              <w:t>1</w:t>
            </w:r>
          </w:p>
        </w:tc>
        <w:tc>
          <w:tcPr>
            <w:tcW w:w="1850" w:type="dxa"/>
            <w:vAlign w:val="center"/>
          </w:tcPr>
          <w:p w14:paraId="771C28C3">
            <w:pPr>
              <w:keepNext w:val="0"/>
              <w:keepLines w:val="0"/>
              <w:pageBreakBefore w:val="0"/>
              <w:widowControl w:val="0"/>
              <w:tabs>
                <w:tab w:val="left" w:pos="426"/>
              </w:tabs>
              <w:kinsoku/>
              <w:wordWrap w:val="0"/>
              <w:overflowPunct/>
              <w:topLinePunct w:val="0"/>
              <w:autoSpaceDE/>
              <w:autoSpaceDN/>
              <w:bidi w:val="0"/>
              <w:spacing w:line="360" w:lineRule="exact"/>
              <w:jc w:val="center"/>
              <w:textAlignment w:val="auto"/>
              <w:rPr>
                <w:rFonts w:hint="default" w:ascii="Times New Roman" w:hAnsi="Times New Roman" w:eastAsia="宋体" w:cs="Times New Roman"/>
                <w:color w:val="000000" w:themeColor="text1"/>
                <w:kern w:val="0"/>
                <w:sz w:val="22"/>
                <w:szCs w:val="22"/>
                <w:lang w:bidi="ar"/>
                <w14:textFill>
                  <w14:solidFill>
                    <w14:schemeClr w14:val="tx1"/>
                  </w14:solidFill>
                </w14:textFill>
              </w:rPr>
            </w:pPr>
            <w:r>
              <w:rPr>
                <w:rFonts w:hint="default" w:ascii="Times New Roman" w:hAnsi="Times New Roman" w:eastAsia="宋体" w:cs="Times New Roman"/>
                <w:sz w:val="22"/>
                <w:szCs w:val="22"/>
              </w:rPr>
              <w:t>供应商认证情况</w:t>
            </w:r>
          </w:p>
        </w:tc>
        <w:tc>
          <w:tcPr>
            <w:tcW w:w="868" w:type="dxa"/>
            <w:vAlign w:val="center"/>
          </w:tcPr>
          <w:p w14:paraId="453B35C8">
            <w:pPr>
              <w:keepNext w:val="0"/>
              <w:keepLines w:val="0"/>
              <w:pageBreakBefore w:val="0"/>
              <w:widowControl w:val="0"/>
              <w:tabs>
                <w:tab w:val="left" w:pos="426"/>
              </w:tabs>
              <w:kinsoku/>
              <w:wordWrap w:val="0"/>
              <w:overflowPunct/>
              <w:topLinePunct w:val="0"/>
              <w:autoSpaceDE/>
              <w:autoSpaceDN/>
              <w:bidi w:val="0"/>
              <w:spacing w:line="360" w:lineRule="exact"/>
              <w:jc w:val="center"/>
              <w:textAlignment w:val="auto"/>
              <w:rPr>
                <w:rFonts w:hint="default" w:ascii="Times New Roman" w:hAnsi="Times New Roman" w:eastAsia="宋体" w:cs="Times New Roman"/>
                <w:color w:val="000000" w:themeColor="text1"/>
                <w:sz w:val="22"/>
                <w:szCs w:val="22"/>
                <w:lang w:val="en-US" w:eastAsia="zh-CN"/>
                <w14:textFill>
                  <w14:solidFill>
                    <w14:schemeClr w14:val="tx1"/>
                  </w14:solidFill>
                </w14:textFill>
              </w:rPr>
            </w:pPr>
            <w:r>
              <w:rPr>
                <w:rFonts w:hint="default" w:ascii="Times New Roman" w:hAnsi="Times New Roman" w:eastAsia="宋体" w:cs="Times New Roman"/>
                <w:sz w:val="22"/>
                <w:szCs w:val="22"/>
              </w:rPr>
              <w:t>5</w:t>
            </w:r>
          </w:p>
        </w:tc>
        <w:tc>
          <w:tcPr>
            <w:tcW w:w="5005" w:type="dxa"/>
            <w:vAlign w:val="top"/>
          </w:tcPr>
          <w:p w14:paraId="52DAACF2">
            <w:pPr>
              <w:keepNext w:val="0"/>
              <w:keepLines w:val="0"/>
              <w:pageBreakBefore w:val="0"/>
              <w:widowControl w:val="0"/>
              <w:kinsoku/>
              <w:wordWrap/>
              <w:overflowPunct/>
              <w:topLinePunct w:val="0"/>
              <w:autoSpaceDE/>
              <w:autoSpaceDN/>
              <w:bidi w:val="0"/>
              <w:spacing w:line="360" w:lineRule="exact"/>
              <w:jc w:val="left"/>
              <w:textAlignment w:val="auto"/>
              <w:rPr>
                <w:rFonts w:hint="default" w:ascii="Times New Roman" w:hAnsi="Times New Roman" w:eastAsia="宋体" w:cs="Times New Roman"/>
                <w:b/>
                <w:bCs/>
                <w:sz w:val="22"/>
                <w:szCs w:val="22"/>
                <w:lang w:val="en-US" w:eastAsia="zh-CN"/>
              </w:rPr>
            </w:pPr>
            <w:r>
              <w:rPr>
                <w:rFonts w:hint="default" w:ascii="Times New Roman" w:hAnsi="Times New Roman" w:eastAsia="宋体" w:cs="Times New Roman"/>
                <w:b/>
                <w:bCs/>
                <w:sz w:val="22"/>
                <w:szCs w:val="22"/>
                <w:lang w:val="en-US" w:eastAsia="zh-CN"/>
              </w:rPr>
              <w:t>（一）评分内容：</w:t>
            </w:r>
          </w:p>
          <w:p w14:paraId="242141E8">
            <w:pPr>
              <w:keepNext w:val="0"/>
              <w:keepLines w:val="0"/>
              <w:pageBreakBefore w:val="0"/>
              <w:widowControl w:val="0"/>
              <w:kinsoku/>
              <w:wordWrap/>
              <w:overflowPunct/>
              <w:topLinePunct w:val="0"/>
              <w:autoSpaceDE/>
              <w:autoSpaceDN/>
              <w:bidi w:val="0"/>
              <w:spacing w:line="360"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 xml:space="preserve">1.具有质量管理体系认证证书，得1分； </w:t>
            </w:r>
          </w:p>
          <w:p w14:paraId="75583AC7">
            <w:pPr>
              <w:keepNext w:val="0"/>
              <w:keepLines w:val="0"/>
              <w:pageBreakBefore w:val="0"/>
              <w:widowControl w:val="0"/>
              <w:kinsoku/>
              <w:wordWrap/>
              <w:overflowPunct/>
              <w:topLinePunct w:val="0"/>
              <w:autoSpaceDE/>
              <w:autoSpaceDN/>
              <w:bidi w:val="0"/>
              <w:spacing w:line="360"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 xml:space="preserve">2.具有环境管理体系认证证书，得1分； </w:t>
            </w:r>
          </w:p>
          <w:p w14:paraId="15A5BD6B">
            <w:pPr>
              <w:keepNext w:val="0"/>
              <w:keepLines w:val="0"/>
              <w:pageBreakBefore w:val="0"/>
              <w:widowControl w:val="0"/>
              <w:kinsoku/>
              <w:wordWrap/>
              <w:overflowPunct/>
              <w:topLinePunct w:val="0"/>
              <w:autoSpaceDE/>
              <w:autoSpaceDN/>
              <w:bidi w:val="0"/>
              <w:spacing w:line="360"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3.具有职业健康安全体系认证证书，得1分；</w:t>
            </w:r>
          </w:p>
          <w:p w14:paraId="39E454BE">
            <w:pPr>
              <w:keepNext w:val="0"/>
              <w:keepLines w:val="0"/>
              <w:pageBreakBefore w:val="0"/>
              <w:widowControl w:val="0"/>
              <w:kinsoku/>
              <w:wordWrap/>
              <w:overflowPunct/>
              <w:topLinePunct w:val="0"/>
              <w:autoSpaceDE/>
              <w:autoSpaceDN/>
              <w:bidi w:val="0"/>
              <w:spacing w:line="360"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4.履约能力达标测评认证证书（5A级）证书，得1分；</w:t>
            </w:r>
          </w:p>
          <w:p w14:paraId="69BC33C4">
            <w:pPr>
              <w:keepNext w:val="0"/>
              <w:keepLines w:val="0"/>
              <w:pageBreakBefore w:val="0"/>
              <w:widowControl w:val="0"/>
              <w:kinsoku/>
              <w:wordWrap/>
              <w:overflowPunct/>
              <w:topLinePunct w:val="0"/>
              <w:autoSpaceDE/>
              <w:autoSpaceDN/>
              <w:bidi w:val="0"/>
              <w:spacing w:line="360"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5.具有服务质量评价体系认证证书，得1分</w:t>
            </w:r>
            <w:r>
              <w:rPr>
                <w:rFonts w:hint="eastAsia" w:ascii="Times New Roman" w:hAnsi="Times New Roman" w:cs="Times New Roman"/>
                <w:sz w:val="22"/>
                <w:szCs w:val="22"/>
                <w:lang w:val="en-US" w:eastAsia="zh-CN"/>
              </w:rPr>
              <w:t>。</w:t>
            </w:r>
          </w:p>
          <w:p w14:paraId="5CCEE41C">
            <w:pPr>
              <w:keepNext w:val="0"/>
              <w:keepLines w:val="0"/>
              <w:pageBreakBefore w:val="0"/>
              <w:widowControl w:val="0"/>
              <w:kinsoku/>
              <w:wordWrap/>
              <w:overflowPunct/>
              <w:topLinePunct w:val="0"/>
              <w:autoSpaceDE/>
              <w:autoSpaceDN/>
              <w:bidi w:val="0"/>
              <w:spacing w:line="360"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以上累计最高得5分。</w:t>
            </w:r>
          </w:p>
          <w:p w14:paraId="5C61C6E5">
            <w:pPr>
              <w:keepNext w:val="0"/>
              <w:keepLines w:val="0"/>
              <w:pageBreakBefore w:val="0"/>
              <w:widowControl w:val="0"/>
              <w:kinsoku/>
              <w:wordWrap/>
              <w:overflowPunct/>
              <w:topLinePunct w:val="0"/>
              <w:autoSpaceDE/>
              <w:autoSpaceDN/>
              <w:bidi w:val="0"/>
              <w:spacing w:line="360" w:lineRule="exact"/>
              <w:jc w:val="left"/>
              <w:textAlignment w:val="auto"/>
              <w:rPr>
                <w:rFonts w:hint="default" w:ascii="Times New Roman" w:hAnsi="Times New Roman" w:eastAsia="宋体" w:cs="Times New Roman"/>
                <w:b/>
                <w:bCs/>
                <w:sz w:val="22"/>
                <w:szCs w:val="22"/>
                <w:lang w:val="en-US" w:eastAsia="zh-CN"/>
              </w:rPr>
            </w:pPr>
            <w:r>
              <w:rPr>
                <w:rFonts w:hint="default" w:ascii="Times New Roman" w:hAnsi="Times New Roman" w:eastAsia="宋体" w:cs="Times New Roman"/>
                <w:b/>
                <w:bCs/>
                <w:sz w:val="22"/>
                <w:szCs w:val="22"/>
                <w:lang w:val="en-US" w:eastAsia="zh-CN"/>
              </w:rPr>
              <w:t>（二）评分依据：</w:t>
            </w:r>
          </w:p>
          <w:p w14:paraId="7F3614AA">
            <w:pPr>
              <w:keepNext w:val="0"/>
              <w:keepLines w:val="0"/>
              <w:pageBreakBefore w:val="0"/>
              <w:widowControl w:val="0"/>
              <w:kinsoku/>
              <w:wordWrap/>
              <w:overflowPunct/>
              <w:topLinePunct w:val="0"/>
              <w:autoSpaceDE/>
              <w:autoSpaceDN/>
              <w:bidi w:val="0"/>
              <w:spacing w:line="360"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1.要求提供有效的认证证书作为得分依据。</w:t>
            </w:r>
          </w:p>
          <w:p w14:paraId="026A485E">
            <w:pPr>
              <w:keepNext w:val="0"/>
              <w:keepLines w:val="0"/>
              <w:pageBreakBefore w:val="0"/>
              <w:widowControl w:val="0"/>
              <w:kinsoku/>
              <w:wordWrap/>
              <w:overflowPunct/>
              <w:topLinePunct w:val="0"/>
              <w:autoSpaceDE/>
              <w:autoSpaceDN/>
              <w:bidi w:val="0"/>
              <w:spacing w:line="360"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2.如供应商因成立时间导致不满足以上证书申请条件的，需提供成立情况说明函（格式自拟），无需提供相关证书，亦可得分。</w:t>
            </w:r>
          </w:p>
          <w:p w14:paraId="5BA068DA">
            <w:pPr>
              <w:keepNext w:val="0"/>
              <w:keepLines w:val="0"/>
              <w:pageBreakBefore w:val="0"/>
              <w:widowControl w:val="0"/>
              <w:kinsoku/>
              <w:wordWrap/>
              <w:overflowPunct/>
              <w:topLinePunct w:val="0"/>
              <w:autoSpaceDE/>
              <w:autoSpaceDN/>
              <w:bidi w:val="0"/>
              <w:spacing w:line="360"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3.以上资料均要求提供扫描件（或官方网站截图），原件备查。评分中出现无证明资料或专家无法凭所提供资料判断是否得分的情况，一律作不得分处理。</w:t>
            </w:r>
          </w:p>
        </w:tc>
      </w:tr>
      <w:tr w14:paraId="28563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3" w:type="dxa"/>
            <w:vAlign w:val="center"/>
          </w:tcPr>
          <w:p w14:paraId="24AEC0BA">
            <w:pPr>
              <w:keepNext w:val="0"/>
              <w:keepLines w:val="0"/>
              <w:pageBreakBefore w:val="0"/>
              <w:widowControl w:val="0"/>
              <w:kinsoku/>
              <w:overflowPunct/>
              <w:topLinePunct w:val="0"/>
              <w:autoSpaceDE/>
              <w:autoSpaceDN/>
              <w:bidi w:val="0"/>
              <w:spacing w:line="360" w:lineRule="exact"/>
              <w:jc w:val="center"/>
              <w:textAlignment w:val="auto"/>
              <w:rPr>
                <w:rFonts w:hint="default" w:ascii="Times New Roman" w:hAnsi="Times New Roman" w:eastAsia="宋体" w:cs="Times New Roman"/>
                <w:color w:val="000000" w:themeColor="text1"/>
                <w:sz w:val="22"/>
                <w:szCs w:val="22"/>
                <w:lang w:eastAsia="zh-CN"/>
                <w14:textFill>
                  <w14:solidFill>
                    <w14:schemeClr w14:val="tx1"/>
                  </w14:solidFill>
                </w14:textFill>
              </w:rPr>
            </w:pPr>
            <w:r>
              <w:rPr>
                <w:rFonts w:hint="default" w:ascii="Times New Roman" w:hAnsi="Times New Roman" w:eastAsia="宋体" w:cs="Times New Roman"/>
                <w:color w:val="000000" w:themeColor="text1"/>
                <w:sz w:val="22"/>
                <w:szCs w:val="22"/>
                <w:lang w:val="en-US" w:eastAsia="zh-CN"/>
                <w14:textFill>
                  <w14:solidFill>
                    <w14:schemeClr w14:val="tx1"/>
                  </w14:solidFill>
                </w14:textFill>
              </w:rPr>
              <w:t>2</w:t>
            </w:r>
          </w:p>
        </w:tc>
        <w:tc>
          <w:tcPr>
            <w:tcW w:w="1850" w:type="dxa"/>
            <w:vAlign w:val="center"/>
          </w:tcPr>
          <w:p w14:paraId="0A3A2196">
            <w:pPr>
              <w:keepNext w:val="0"/>
              <w:keepLines w:val="0"/>
              <w:pageBreakBefore w:val="0"/>
              <w:widowControl w:val="0"/>
              <w:tabs>
                <w:tab w:val="left" w:pos="426"/>
              </w:tabs>
              <w:kinsoku/>
              <w:wordWrap w:val="0"/>
              <w:overflowPunct/>
              <w:topLinePunct w:val="0"/>
              <w:autoSpaceDE/>
              <w:autoSpaceDN/>
              <w:bidi w:val="0"/>
              <w:spacing w:line="360" w:lineRule="exact"/>
              <w:jc w:val="center"/>
              <w:textAlignment w:val="auto"/>
              <w:rPr>
                <w:rFonts w:hint="default" w:ascii="Times New Roman" w:hAnsi="Times New Roman" w:eastAsia="宋体" w:cs="Times New Roman"/>
                <w:color w:val="000000" w:themeColor="text1"/>
                <w:kern w:val="0"/>
                <w:sz w:val="22"/>
                <w:szCs w:val="22"/>
                <w:lang w:bidi="ar"/>
                <w14:textFill>
                  <w14:solidFill>
                    <w14:schemeClr w14:val="tx1"/>
                  </w14:solidFill>
                </w14:textFill>
              </w:rPr>
            </w:pPr>
            <w:r>
              <w:rPr>
                <w:rFonts w:hint="default" w:ascii="Times New Roman" w:hAnsi="Times New Roman" w:eastAsia="宋体" w:cs="Times New Roman"/>
                <w:sz w:val="22"/>
                <w:szCs w:val="22"/>
              </w:rPr>
              <w:t>供应商同类项目业绩情况</w:t>
            </w:r>
          </w:p>
        </w:tc>
        <w:tc>
          <w:tcPr>
            <w:tcW w:w="868" w:type="dxa"/>
            <w:vAlign w:val="center"/>
          </w:tcPr>
          <w:p w14:paraId="18ABD7E8">
            <w:pPr>
              <w:keepNext w:val="0"/>
              <w:keepLines w:val="0"/>
              <w:pageBreakBefore w:val="0"/>
              <w:widowControl w:val="0"/>
              <w:tabs>
                <w:tab w:val="left" w:pos="426"/>
              </w:tabs>
              <w:kinsoku/>
              <w:wordWrap w:val="0"/>
              <w:overflowPunct/>
              <w:topLinePunct w:val="0"/>
              <w:autoSpaceDE/>
              <w:autoSpaceDN/>
              <w:bidi w:val="0"/>
              <w:spacing w:line="360" w:lineRule="exact"/>
              <w:jc w:val="center"/>
              <w:textAlignment w:val="auto"/>
              <w:rPr>
                <w:rFonts w:hint="default" w:ascii="Times New Roman" w:hAnsi="Times New Roman" w:eastAsia="宋体" w:cs="Times New Roman"/>
                <w:color w:val="000000" w:themeColor="text1"/>
                <w:sz w:val="22"/>
                <w:szCs w:val="22"/>
                <w:lang w:val="en-US" w:eastAsia="zh-CN"/>
                <w14:textFill>
                  <w14:solidFill>
                    <w14:schemeClr w14:val="tx1"/>
                  </w14:solidFill>
                </w14:textFill>
              </w:rPr>
            </w:pPr>
            <w:r>
              <w:rPr>
                <w:rFonts w:hint="default" w:ascii="Times New Roman" w:hAnsi="Times New Roman" w:eastAsia="宋体" w:cs="Times New Roman"/>
                <w:sz w:val="22"/>
                <w:szCs w:val="22"/>
              </w:rPr>
              <w:t>10</w:t>
            </w:r>
          </w:p>
        </w:tc>
        <w:tc>
          <w:tcPr>
            <w:tcW w:w="5005" w:type="dxa"/>
            <w:vAlign w:val="top"/>
          </w:tcPr>
          <w:p w14:paraId="496DAFB0">
            <w:pPr>
              <w:keepNext w:val="0"/>
              <w:keepLines w:val="0"/>
              <w:pageBreakBefore w:val="0"/>
              <w:widowControl w:val="0"/>
              <w:kinsoku/>
              <w:wordWrap/>
              <w:overflowPunct/>
              <w:topLinePunct w:val="0"/>
              <w:autoSpaceDE/>
              <w:autoSpaceDN/>
              <w:bidi w:val="0"/>
              <w:spacing w:line="360" w:lineRule="exact"/>
              <w:jc w:val="left"/>
              <w:textAlignment w:val="auto"/>
              <w:rPr>
                <w:rFonts w:hint="default" w:ascii="Times New Roman" w:hAnsi="Times New Roman" w:eastAsia="宋体" w:cs="Times New Roman"/>
                <w:b/>
                <w:bCs/>
                <w:sz w:val="22"/>
                <w:szCs w:val="22"/>
                <w:lang w:val="en-US" w:eastAsia="zh-CN"/>
              </w:rPr>
            </w:pPr>
            <w:r>
              <w:rPr>
                <w:rFonts w:hint="default" w:ascii="Times New Roman" w:hAnsi="Times New Roman" w:eastAsia="宋体" w:cs="Times New Roman"/>
                <w:b/>
                <w:bCs/>
                <w:sz w:val="22"/>
                <w:szCs w:val="22"/>
                <w:lang w:val="en-US" w:eastAsia="zh-CN"/>
              </w:rPr>
              <w:t>（一）评分内容：</w:t>
            </w:r>
          </w:p>
          <w:p w14:paraId="1EC4CDF0">
            <w:pPr>
              <w:keepNext w:val="0"/>
              <w:keepLines w:val="0"/>
              <w:pageBreakBefore w:val="0"/>
              <w:widowControl w:val="0"/>
              <w:kinsoku/>
              <w:wordWrap/>
              <w:overflowPunct/>
              <w:topLinePunct w:val="0"/>
              <w:autoSpaceDE/>
              <w:autoSpaceDN/>
              <w:bidi w:val="0"/>
              <w:spacing w:line="360"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2022年1月1日至本项目响应截止之日，投标人具有同类项目业绩合同，每提供1个得2分，累计最高得10分。</w:t>
            </w:r>
          </w:p>
          <w:p w14:paraId="129038E6">
            <w:pPr>
              <w:keepNext w:val="0"/>
              <w:keepLines w:val="0"/>
              <w:pageBreakBefore w:val="0"/>
              <w:widowControl w:val="0"/>
              <w:kinsoku/>
              <w:wordWrap/>
              <w:overflowPunct/>
              <w:topLinePunct w:val="0"/>
              <w:autoSpaceDE/>
              <w:autoSpaceDN/>
              <w:bidi w:val="0"/>
              <w:spacing w:line="360" w:lineRule="exact"/>
              <w:jc w:val="left"/>
              <w:textAlignment w:val="auto"/>
              <w:rPr>
                <w:rFonts w:hint="default" w:ascii="Times New Roman" w:hAnsi="Times New Roman" w:eastAsia="宋体" w:cs="Times New Roman"/>
                <w:b/>
                <w:bCs/>
                <w:sz w:val="22"/>
                <w:szCs w:val="22"/>
                <w:lang w:val="en-US" w:eastAsia="zh-CN"/>
              </w:rPr>
            </w:pPr>
            <w:r>
              <w:rPr>
                <w:rFonts w:hint="default" w:ascii="Times New Roman" w:hAnsi="Times New Roman" w:eastAsia="宋体" w:cs="Times New Roman"/>
                <w:b/>
                <w:bCs/>
                <w:sz w:val="22"/>
                <w:szCs w:val="22"/>
                <w:lang w:val="en-US" w:eastAsia="zh-CN"/>
              </w:rPr>
              <w:t>（二）评分依据：</w:t>
            </w:r>
          </w:p>
          <w:p w14:paraId="1FECA020">
            <w:pPr>
              <w:keepNext w:val="0"/>
              <w:keepLines w:val="0"/>
              <w:pageBreakBefore w:val="0"/>
              <w:widowControl w:val="0"/>
              <w:kinsoku/>
              <w:wordWrap/>
              <w:overflowPunct/>
              <w:topLinePunct w:val="0"/>
              <w:autoSpaceDE/>
              <w:autoSpaceDN/>
              <w:bidi w:val="0"/>
              <w:spacing w:line="360"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1.要求同时提供合同关键信息和履约评价合格（或以上）证明文件作为得分依据，履约评价合格（或以上）证明文件需加盖合同甲方公章（或甲方业务章）。</w:t>
            </w:r>
          </w:p>
          <w:p w14:paraId="58B886AF">
            <w:pPr>
              <w:keepNext w:val="0"/>
              <w:keepLines w:val="0"/>
              <w:pageBreakBefore w:val="0"/>
              <w:widowControl w:val="0"/>
              <w:kinsoku/>
              <w:wordWrap/>
              <w:overflowPunct/>
              <w:topLinePunct w:val="0"/>
              <w:autoSpaceDE/>
              <w:autoSpaceDN/>
              <w:bidi w:val="0"/>
              <w:spacing w:line="360"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2.通过合同关键信息无法判断是否得分的，还须同时提供能证明得分的其它证明资料，如项目报告或合同甲方出具的证明文件等。</w:t>
            </w:r>
          </w:p>
          <w:p w14:paraId="6D64D497">
            <w:pPr>
              <w:keepNext w:val="0"/>
              <w:keepLines w:val="0"/>
              <w:pageBreakBefore w:val="0"/>
              <w:widowControl w:val="0"/>
              <w:kinsoku/>
              <w:wordWrap/>
              <w:overflowPunct/>
              <w:topLinePunct w:val="0"/>
              <w:autoSpaceDE/>
              <w:autoSpaceDN/>
              <w:bidi w:val="0"/>
              <w:spacing w:line="360" w:lineRule="exac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3.以上资料均要求提供扫描件，原件备查。评分中出现无证明资料或专家无法凭所提供资料判断是否得分的情况，一律作不得分处理。</w:t>
            </w:r>
          </w:p>
        </w:tc>
      </w:tr>
      <w:tr w14:paraId="4976F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3" w:type="dxa"/>
            <w:vAlign w:val="center"/>
          </w:tcPr>
          <w:p w14:paraId="158088CE">
            <w:pPr>
              <w:keepNext w:val="0"/>
              <w:keepLines w:val="0"/>
              <w:pageBreakBefore w:val="0"/>
              <w:widowControl w:val="0"/>
              <w:kinsoku/>
              <w:overflowPunct/>
              <w:topLinePunct w:val="0"/>
              <w:autoSpaceDE/>
              <w:autoSpaceDN/>
              <w:bidi w:val="0"/>
              <w:spacing w:line="360" w:lineRule="exact"/>
              <w:jc w:val="center"/>
              <w:textAlignment w:val="auto"/>
              <w:rPr>
                <w:rFonts w:hint="default" w:ascii="Times New Roman" w:hAnsi="Times New Roman" w:eastAsia="宋体" w:cs="Times New Roman"/>
                <w:color w:val="000000" w:themeColor="text1"/>
                <w:sz w:val="22"/>
                <w:szCs w:val="22"/>
                <w:lang w:val="en-US" w:eastAsia="zh-CN"/>
                <w14:textFill>
                  <w14:solidFill>
                    <w14:schemeClr w14:val="tx1"/>
                  </w14:solidFill>
                </w14:textFill>
              </w:rPr>
            </w:pPr>
            <w:r>
              <w:rPr>
                <w:rFonts w:hint="default" w:ascii="Times New Roman" w:hAnsi="Times New Roman" w:eastAsia="宋体" w:cs="Times New Roman"/>
                <w:color w:val="000000" w:themeColor="text1"/>
                <w:sz w:val="22"/>
                <w:szCs w:val="22"/>
                <w:lang w:val="en-US" w:eastAsia="zh-CN"/>
                <w14:textFill>
                  <w14:solidFill>
                    <w14:schemeClr w14:val="tx1"/>
                  </w14:solidFill>
                </w14:textFill>
              </w:rPr>
              <w:t>4</w:t>
            </w:r>
          </w:p>
        </w:tc>
        <w:tc>
          <w:tcPr>
            <w:tcW w:w="1850" w:type="dxa"/>
            <w:shd w:val="clear" w:color="auto" w:fill="auto"/>
            <w:vAlign w:val="center"/>
          </w:tcPr>
          <w:p w14:paraId="75B88638">
            <w:pPr>
              <w:keepNext w:val="0"/>
              <w:keepLines w:val="0"/>
              <w:pageBreakBefore w:val="0"/>
              <w:widowControl w:val="0"/>
              <w:kinsoku/>
              <w:overflowPunct/>
              <w:topLinePunct w:val="0"/>
              <w:autoSpaceDE/>
              <w:autoSpaceDN/>
              <w:bidi w:val="0"/>
              <w:spacing w:line="360" w:lineRule="exact"/>
              <w:jc w:val="center"/>
              <w:textAlignment w:val="auto"/>
              <w:rPr>
                <w:rFonts w:hint="default" w:ascii="Times New Roman" w:hAnsi="Times New Roman" w:eastAsia="宋体" w:cs="Times New Roman"/>
                <w:color w:val="000000" w:themeColor="text1"/>
                <w:kern w:val="2"/>
                <w:sz w:val="22"/>
                <w:szCs w:val="22"/>
                <w:lang w:val="en-US" w:eastAsia="zh-CN" w:bidi="ar-SA"/>
                <w14:textFill>
                  <w14:solidFill>
                    <w14:schemeClr w14:val="tx1"/>
                  </w14:solidFill>
                </w14:textFill>
              </w:rPr>
            </w:pPr>
            <w:r>
              <w:rPr>
                <w:rFonts w:hint="default" w:ascii="Times New Roman" w:hAnsi="Times New Roman" w:eastAsia="宋体" w:cs="Times New Roman"/>
                <w:color w:val="000000" w:themeColor="text1"/>
                <w:sz w:val="22"/>
                <w:szCs w:val="22"/>
                <w:lang w:eastAsia="zh-CN"/>
                <w14:textFill>
                  <w14:solidFill>
                    <w14:schemeClr w14:val="tx1"/>
                  </w14:solidFill>
                </w14:textFill>
              </w:rPr>
              <w:t>服务网点</w:t>
            </w:r>
          </w:p>
        </w:tc>
        <w:tc>
          <w:tcPr>
            <w:tcW w:w="868" w:type="dxa"/>
            <w:shd w:val="clear" w:color="auto" w:fill="auto"/>
            <w:vAlign w:val="center"/>
          </w:tcPr>
          <w:p w14:paraId="04772938">
            <w:pPr>
              <w:keepNext w:val="0"/>
              <w:keepLines w:val="0"/>
              <w:pageBreakBefore w:val="0"/>
              <w:widowControl w:val="0"/>
              <w:kinsoku/>
              <w:overflowPunct/>
              <w:topLinePunct w:val="0"/>
              <w:autoSpaceDE/>
              <w:autoSpaceDN/>
              <w:bidi w:val="0"/>
              <w:spacing w:line="360" w:lineRule="exact"/>
              <w:jc w:val="center"/>
              <w:textAlignment w:val="auto"/>
              <w:rPr>
                <w:rFonts w:hint="default" w:ascii="Times New Roman" w:hAnsi="Times New Roman" w:eastAsia="宋体" w:cs="Times New Roman"/>
                <w:color w:val="000000" w:themeColor="text1"/>
                <w:kern w:val="2"/>
                <w:sz w:val="22"/>
                <w:szCs w:val="22"/>
                <w:lang w:val="en-US" w:eastAsia="zh-CN" w:bidi="ar-SA"/>
                <w14:textFill>
                  <w14:solidFill>
                    <w14:schemeClr w14:val="tx1"/>
                  </w14:solidFill>
                </w14:textFill>
              </w:rPr>
            </w:pPr>
            <w:r>
              <w:rPr>
                <w:rFonts w:hint="default" w:ascii="Times New Roman" w:hAnsi="Times New Roman" w:eastAsia="宋体" w:cs="Times New Roman"/>
                <w:color w:val="000000" w:themeColor="text1"/>
                <w:sz w:val="22"/>
                <w:szCs w:val="22"/>
                <w:lang w:val="en-US" w:eastAsia="zh-CN"/>
                <w14:textFill>
                  <w14:solidFill>
                    <w14:schemeClr w14:val="tx1"/>
                  </w14:solidFill>
                </w14:textFill>
              </w:rPr>
              <w:t>3</w:t>
            </w:r>
          </w:p>
        </w:tc>
        <w:tc>
          <w:tcPr>
            <w:tcW w:w="5005" w:type="dxa"/>
            <w:shd w:val="clear" w:color="auto" w:fill="auto"/>
            <w:vAlign w:val="center"/>
          </w:tcPr>
          <w:p w14:paraId="70CC78B7">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b/>
                <w:bCs/>
                <w:color w:val="000000"/>
                <w:sz w:val="22"/>
                <w:szCs w:val="22"/>
                <w:lang w:bidi="ar"/>
              </w:rPr>
            </w:pPr>
            <w:r>
              <w:rPr>
                <w:rFonts w:hint="default" w:ascii="Times New Roman" w:hAnsi="Times New Roman" w:eastAsia="宋体" w:cs="Times New Roman"/>
                <w:b/>
                <w:bCs/>
                <w:color w:val="000000"/>
                <w:sz w:val="22"/>
                <w:szCs w:val="22"/>
                <w:lang w:bidi="ar"/>
              </w:rPr>
              <w:t>（一）</w:t>
            </w:r>
            <w:r>
              <w:rPr>
                <w:rFonts w:hint="default" w:ascii="Times New Roman" w:hAnsi="Times New Roman" w:eastAsia="宋体" w:cs="Times New Roman"/>
                <w:b/>
                <w:bCs/>
                <w:sz w:val="22"/>
                <w:szCs w:val="22"/>
              </w:rPr>
              <w:t>评分内容</w:t>
            </w:r>
            <w:r>
              <w:rPr>
                <w:rFonts w:hint="default" w:ascii="Times New Roman" w:hAnsi="Times New Roman" w:eastAsia="宋体" w:cs="Times New Roman"/>
                <w:b/>
                <w:bCs/>
                <w:color w:val="000000"/>
                <w:sz w:val="22"/>
                <w:szCs w:val="22"/>
                <w:lang w:bidi="ar"/>
              </w:rPr>
              <w:t xml:space="preserve">： </w:t>
            </w:r>
          </w:p>
          <w:p w14:paraId="2685EB2A">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color w:val="000000"/>
                <w:sz w:val="22"/>
                <w:szCs w:val="22"/>
                <w:lang w:bidi="ar"/>
              </w:rPr>
            </w:pPr>
            <w:r>
              <w:rPr>
                <w:rFonts w:hint="default" w:ascii="Times New Roman" w:hAnsi="Times New Roman" w:eastAsia="宋体" w:cs="Times New Roman"/>
                <w:color w:val="000000"/>
                <w:sz w:val="22"/>
                <w:szCs w:val="22"/>
                <w:lang w:bidi="ar"/>
              </w:rPr>
              <w:t>供应商承诺中标后提供本地经营（服务）网点的，得3分。</w:t>
            </w:r>
          </w:p>
          <w:p w14:paraId="04D60A96">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default" w:ascii="Times New Roman" w:hAnsi="Times New Roman" w:eastAsia="宋体" w:cs="Times New Roman"/>
                <w:b/>
                <w:bCs/>
                <w:color w:val="000000"/>
                <w:sz w:val="22"/>
                <w:szCs w:val="22"/>
                <w:lang w:bidi="ar"/>
              </w:rPr>
            </w:pPr>
            <w:r>
              <w:rPr>
                <w:rFonts w:hint="default" w:ascii="Times New Roman" w:hAnsi="Times New Roman" w:eastAsia="宋体" w:cs="Times New Roman"/>
                <w:b/>
                <w:bCs/>
                <w:color w:val="000000"/>
                <w:sz w:val="22"/>
                <w:szCs w:val="22"/>
                <w:lang w:bidi="ar"/>
              </w:rPr>
              <w:t>（二）评分</w:t>
            </w:r>
            <w:r>
              <w:rPr>
                <w:rFonts w:hint="default" w:ascii="Times New Roman" w:hAnsi="Times New Roman" w:eastAsia="宋体" w:cs="Times New Roman"/>
                <w:b/>
                <w:bCs/>
                <w:kern w:val="0"/>
                <w:sz w:val="22"/>
                <w:szCs w:val="22"/>
              </w:rPr>
              <w:t>标准</w:t>
            </w:r>
            <w:r>
              <w:rPr>
                <w:rFonts w:hint="default" w:ascii="Times New Roman" w:hAnsi="Times New Roman" w:eastAsia="宋体" w:cs="Times New Roman"/>
                <w:b/>
                <w:bCs/>
                <w:color w:val="000000"/>
                <w:sz w:val="22"/>
                <w:szCs w:val="22"/>
                <w:lang w:bidi="ar"/>
              </w:rPr>
              <w:t>：</w:t>
            </w:r>
          </w:p>
          <w:p w14:paraId="3E23C1C4">
            <w:pPr>
              <w:keepNext w:val="0"/>
              <w:keepLines w:val="0"/>
              <w:pageBreakBefore w:val="0"/>
              <w:widowControl w:val="0"/>
              <w:kinsoku/>
              <w:overflowPunct/>
              <w:topLinePunct w:val="0"/>
              <w:autoSpaceDE/>
              <w:autoSpaceDN/>
              <w:bidi w:val="0"/>
              <w:spacing w:line="360" w:lineRule="exact"/>
              <w:textAlignment w:val="auto"/>
              <w:rPr>
                <w:rFonts w:hint="default" w:ascii="Times New Roman" w:hAnsi="Times New Roman" w:eastAsia="宋体" w:cs="Times New Roman"/>
                <w:color w:val="000000" w:themeColor="text1"/>
                <w:kern w:val="2"/>
                <w:sz w:val="22"/>
                <w:szCs w:val="22"/>
                <w:lang w:val="en-US" w:eastAsia="zh-CN" w:bidi="ar-SA"/>
                <w14:textFill>
                  <w14:solidFill>
                    <w14:schemeClr w14:val="tx1"/>
                  </w14:solidFill>
                </w14:textFill>
              </w:rPr>
            </w:pPr>
            <w:r>
              <w:rPr>
                <w:rFonts w:hint="default" w:ascii="Times New Roman" w:hAnsi="Times New Roman" w:eastAsia="宋体" w:cs="Times New Roman"/>
                <w:color w:val="000000"/>
                <w:sz w:val="22"/>
                <w:szCs w:val="22"/>
                <w:lang w:bidi="ar"/>
              </w:rPr>
              <w:t>要求提供承诺函（格式自拟）作为得分依据，未按采购文件要求提供承诺函的不得分。</w:t>
            </w:r>
          </w:p>
        </w:tc>
      </w:tr>
      <w:tr w14:paraId="4ABBB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43" w:type="dxa"/>
            <w:vAlign w:val="center"/>
          </w:tcPr>
          <w:p w14:paraId="73F8C96C">
            <w:pPr>
              <w:keepNext w:val="0"/>
              <w:keepLines w:val="0"/>
              <w:pageBreakBefore w:val="0"/>
              <w:widowControl w:val="0"/>
              <w:kinsoku/>
              <w:overflowPunct/>
              <w:topLinePunct w:val="0"/>
              <w:autoSpaceDE/>
              <w:autoSpaceDN/>
              <w:bidi w:val="0"/>
              <w:spacing w:line="360" w:lineRule="exact"/>
              <w:jc w:val="center"/>
              <w:textAlignment w:val="auto"/>
              <w:rPr>
                <w:rFonts w:hint="default" w:ascii="Times New Roman" w:hAnsi="Times New Roman" w:eastAsia="宋体" w:cs="Times New Roman"/>
                <w:color w:val="000000" w:themeColor="text1"/>
                <w:sz w:val="22"/>
                <w:szCs w:val="22"/>
                <w:lang w:eastAsia="zh-CN"/>
                <w14:textFill>
                  <w14:solidFill>
                    <w14:schemeClr w14:val="tx1"/>
                  </w14:solidFill>
                </w14:textFill>
              </w:rPr>
            </w:pPr>
            <w:r>
              <w:rPr>
                <w:rFonts w:hint="default" w:ascii="Times New Roman" w:hAnsi="Times New Roman" w:eastAsia="宋体" w:cs="Times New Roman"/>
                <w:color w:val="000000" w:themeColor="text1"/>
                <w:sz w:val="22"/>
                <w:szCs w:val="22"/>
                <w:lang w:val="en-US" w:eastAsia="zh-CN"/>
                <w14:textFill>
                  <w14:solidFill>
                    <w14:schemeClr w14:val="tx1"/>
                  </w14:solidFill>
                </w14:textFill>
              </w:rPr>
              <w:t>5</w:t>
            </w:r>
          </w:p>
        </w:tc>
        <w:tc>
          <w:tcPr>
            <w:tcW w:w="1850" w:type="dxa"/>
            <w:vAlign w:val="center"/>
          </w:tcPr>
          <w:p w14:paraId="385AB775">
            <w:pPr>
              <w:keepNext w:val="0"/>
              <w:keepLines w:val="0"/>
              <w:pageBreakBefore w:val="0"/>
              <w:widowControl w:val="0"/>
              <w:kinsoku/>
              <w:overflowPunct/>
              <w:topLinePunct w:val="0"/>
              <w:autoSpaceDE/>
              <w:autoSpaceDN/>
              <w:bidi w:val="0"/>
              <w:spacing w:line="360" w:lineRule="exact"/>
              <w:jc w:val="center"/>
              <w:textAlignment w:val="auto"/>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诚信</w:t>
            </w:r>
          </w:p>
        </w:tc>
        <w:tc>
          <w:tcPr>
            <w:tcW w:w="868" w:type="dxa"/>
            <w:vAlign w:val="center"/>
          </w:tcPr>
          <w:p w14:paraId="56287B9C">
            <w:pPr>
              <w:keepNext w:val="0"/>
              <w:keepLines w:val="0"/>
              <w:pageBreakBefore w:val="0"/>
              <w:widowControl w:val="0"/>
              <w:kinsoku/>
              <w:overflowPunct/>
              <w:topLinePunct w:val="0"/>
              <w:autoSpaceDE/>
              <w:autoSpaceDN/>
              <w:bidi w:val="0"/>
              <w:spacing w:line="360" w:lineRule="exact"/>
              <w:jc w:val="center"/>
              <w:textAlignment w:val="auto"/>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5</w:t>
            </w:r>
          </w:p>
        </w:tc>
        <w:tc>
          <w:tcPr>
            <w:tcW w:w="5005" w:type="dxa"/>
            <w:vAlign w:val="center"/>
          </w:tcPr>
          <w:p w14:paraId="69CD6A9D">
            <w:pPr>
              <w:keepNext w:val="0"/>
              <w:keepLines w:val="0"/>
              <w:pageBreakBefore w:val="0"/>
              <w:widowControl w:val="0"/>
              <w:kinsoku/>
              <w:overflowPunct/>
              <w:topLinePunct w:val="0"/>
              <w:autoSpaceDE/>
              <w:autoSpaceDN/>
              <w:bidi w:val="0"/>
              <w:spacing w:line="360" w:lineRule="exact"/>
              <w:textAlignment w:val="auto"/>
              <w:rPr>
                <w:rFonts w:hint="default" w:ascii="Times New Roman" w:hAnsi="Times New Roman" w:eastAsia="宋体" w:cs="Times New Roman"/>
                <w:b/>
                <w:bCs/>
                <w:sz w:val="22"/>
                <w:szCs w:val="22"/>
              </w:rPr>
            </w:pPr>
            <w:r>
              <w:rPr>
                <w:rFonts w:hint="default" w:ascii="Times New Roman" w:hAnsi="Times New Roman" w:eastAsia="宋体" w:cs="Times New Roman"/>
                <w:b/>
                <w:bCs/>
                <w:sz w:val="22"/>
                <w:szCs w:val="22"/>
              </w:rPr>
              <w:t>（一）评分内容：</w:t>
            </w:r>
          </w:p>
          <w:p w14:paraId="3450082B">
            <w:pPr>
              <w:keepNext w:val="0"/>
              <w:keepLines w:val="0"/>
              <w:pageBreakBefore w:val="0"/>
              <w:widowControl w:val="0"/>
              <w:kinsoku/>
              <w:overflowPunct/>
              <w:topLinePunct w:val="0"/>
              <w:autoSpaceDE/>
              <w:autoSpaceDN/>
              <w:bidi w:val="0"/>
              <w:spacing w:line="360" w:lineRule="exact"/>
              <w:textAlignment w:val="auto"/>
              <w:rPr>
                <w:rFonts w:hint="default" w:ascii="Times New Roman" w:hAnsi="Times New Roman" w:eastAsia="宋体" w:cs="Times New Roman"/>
                <w:color w:val="000000" w:themeColor="text1"/>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根据《深圳市财政局关于印发&lt;深圳市财政局政府采购供应商信用信息管理办法&gt;的通知》（深财规〔2023〕3号）相关规定，如供应商在全国范围内存在因政府采购违法、违规行为受到财政部门罚款等一般行政处罚信息，或者存在该办法第十一条所称在本市集中采购活动中的一般违法失信行为记录信息，且在公示期内的，本项不得分，否则得5分。</w:t>
            </w:r>
          </w:p>
          <w:p w14:paraId="35EC7D0C">
            <w:pPr>
              <w:keepNext w:val="0"/>
              <w:keepLines w:val="0"/>
              <w:pageBreakBefore w:val="0"/>
              <w:widowControl w:val="0"/>
              <w:kinsoku/>
              <w:overflowPunct/>
              <w:topLinePunct w:val="0"/>
              <w:autoSpaceDE/>
              <w:autoSpaceDN/>
              <w:bidi w:val="0"/>
              <w:spacing w:line="360" w:lineRule="exact"/>
              <w:textAlignment w:val="auto"/>
              <w:rPr>
                <w:rFonts w:hint="default" w:ascii="Times New Roman" w:hAnsi="Times New Roman" w:eastAsia="宋体" w:cs="Times New Roman"/>
                <w:b/>
                <w:bCs/>
                <w:sz w:val="22"/>
                <w:szCs w:val="22"/>
              </w:rPr>
            </w:pPr>
            <w:r>
              <w:rPr>
                <w:rFonts w:hint="default" w:ascii="Times New Roman" w:hAnsi="Times New Roman" w:eastAsia="宋体" w:cs="Times New Roman"/>
                <w:b/>
                <w:bCs/>
                <w:sz w:val="22"/>
                <w:szCs w:val="22"/>
              </w:rPr>
              <w:t>（二）评分</w:t>
            </w:r>
            <w:r>
              <w:rPr>
                <w:rFonts w:hint="default" w:ascii="Times New Roman" w:hAnsi="Times New Roman" w:eastAsia="宋体" w:cs="Times New Roman"/>
                <w:b/>
                <w:bCs/>
                <w:kern w:val="0"/>
                <w:sz w:val="22"/>
                <w:szCs w:val="22"/>
              </w:rPr>
              <w:t>标准</w:t>
            </w:r>
            <w:r>
              <w:rPr>
                <w:rFonts w:hint="default" w:ascii="Times New Roman" w:hAnsi="Times New Roman" w:eastAsia="宋体" w:cs="Times New Roman"/>
                <w:b/>
                <w:bCs/>
                <w:sz w:val="22"/>
                <w:szCs w:val="22"/>
              </w:rPr>
              <w:t>：</w:t>
            </w:r>
          </w:p>
          <w:p w14:paraId="46D9F7AB">
            <w:pPr>
              <w:keepNext w:val="0"/>
              <w:keepLines w:val="0"/>
              <w:pageBreakBefore w:val="0"/>
              <w:widowControl w:val="0"/>
              <w:kinsoku/>
              <w:overflowPunct/>
              <w:topLinePunct w:val="0"/>
              <w:autoSpaceDE/>
              <w:autoSpaceDN/>
              <w:bidi w:val="0"/>
              <w:spacing w:line="360" w:lineRule="exact"/>
              <w:textAlignment w:val="auto"/>
              <w:rPr>
                <w:rFonts w:hint="default" w:ascii="Times New Roman" w:hAnsi="Times New Roman" w:eastAsia="宋体" w:cs="Times New Roman"/>
                <w:color w:val="000000" w:themeColor="text1"/>
                <w:kern w:val="0"/>
                <w:sz w:val="22"/>
                <w:szCs w:val="22"/>
                <w14:textFill>
                  <w14:solidFill>
                    <w14:schemeClr w14:val="tx1"/>
                  </w14:solidFill>
                </w14:textFill>
              </w:rPr>
            </w:pPr>
            <w:r>
              <w:rPr>
                <w:rFonts w:hint="default" w:ascii="Times New Roman" w:hAnsi="Times New Roman" w:eastAsia="宋体" w:cs="Times New Roman"/>
                <w:color w:val="000000" w:themeColor="text1"/>
                <w:sz w:val="22"/>
                <w:szCs w:val="22"/>
                <w14:textFill>
                  <w14:solidFill>
                    <w14:schemeClr w14:val="tx1"/>
                  </w14:solidFill>
                </w14:textFill>
              </w:rPr>
              <w:t>采购代理机构通过“信用中国”、“中国政府采购网”、“深圳市政府采购监管网”以及市、区财政部门认定的其他渠道查询供应商信用信息，投标人无需提供证明材料。</w:t>
            </w:r>
          </w:p>
        </w:tc>
      </w:tr>
    </w:tbl>
    <w:p w14:paraId="53D296DE">
      <w:pPr>
        <w:spacing w:line="360" w:lineRule="exact"/>
        <w:rPr>
          <w:rFonts w:ascii="宋体" w:hAnsi="宋体" w:cs="宋体"/>
          <w:sz w:val="22"/>
          <w:szCs w:val="22"/>
        </w:rPr>
      </w:pPr>
      <w:r>
        <w:rPr>
          <w:rFonts w:hint="eastAsia" w:ascii="宋体" w:hAnsi="宋体" w:cs="宋体"/>
          <w:sz w:val="22"/>
          <w:szCs w:val="22"/>
        </w:rPr>
        <w:t>备注：</w:t>
      </w:r>
    </w:p>
    <w:p w14:paraId="64DC975D">
      <w:pPr>
        <w:spacing w:line="360" w:lineRule="exact"/>
        <w:rPr>
          <w:rFonts w:ascii="宋体" w:hAnsi="宋体" w:cs="宋体"/>
          <w:sz w:val="22"/>
          <w:szCs w:val="22"/>
        </w:rPr>
      </w:pPr>
      <w:r>
        <w:rPr>
          <w:rFonts w:hint="eastAsia" w:ascii="宋体" w:hAnsi="宋体" w:cs="宋体"/>
          <w:sz w:val="22"/>
          <w:szCs w:val="22"/>
        </w:rPr>
        <w:t>1.价格、技术、商务部分累加分为100分。</w:t>
      </w:r>
    </w:p>
    <w:p w14:paraId="78D859E5">
      <w:pPr>
        <w:spacing w:line="360" w:lineRule="exact"/>
        <w:jc w:val="left"/>
        <w:rPr>
          <w:rFonts w:ascii="宋体" w:hAnsi="宋体" w:cs="宋体"/>
          <w:sz w:val="22"/>
          <w:szCs w:val="22"/>
        </w:rPr>
      </w:pPr>
      <w:r>
        <w:rPr>
          <w:rFonts w:hint="eastAsia" w:ascii="宋体" w:hAnsi="宋体" w:cs="宋体"/>
          <w:sz w:val="22"/>
          <w:szCs w:val="22"/>
        </w:rPr>
        <w:t>2.各投标人得分精确到小数点后两位。</w:t>
      </w:r>
    </w:p>
    <w:p w14:paraId="5B5CEF5F">
      <w:pPr>
        <w:rPr>
          <w:rFonts w:ascii="宋体" w:hAnsi="宋体" w:cs="宋体"/>
          <w:sz w:val="22"/>
          <w:szCs w:val="22"/>
        </w:rPr>
      </w:pPr>
      <w:r>
        <w:rPr>
          <w:rFonts w:hint="eastAsia" w:ascii="宋体" w:hAnsi="宋体" w:cs="宋体"/>
          <w:sz w:val="22"/>
          <w:szCs w:val="22"/>
        </w:rPr>
        <w:br w:type="page"/>
      </w:r>
    </w:p>
    <w:p w14:paraId="24434CBD">
      <w:pPr>
        <w:pStyle w:val="40"/>
        <w:ind w:firstLine="0"/>
        <w:rPr>
          <w:rFonts w:ascii="宋体" w:hAnsi="宋体" w:eastAsia="宋体" w:cs="宋体"/>
          <w:b/>
          <w:sz w:val="52"/>
          <w:szCs w:val="52"/>
        </w:rPr>
      </w:pPr>
    </w:p>
    <w:p w14:paraId="537B4696">
      <w:pPr>
        <w:pStyle w:val="40"/>
        <w:rPr>
          <w:rFonts w:ascii="宋体" w:hAnsi="宋体" w:eastAsia="宋体" w:cs="宋体"/>
          <w:b/>
          <w:sz w:val="52"/>
          <w:szCs w:val="52"/>
        </w:rPr>
      </w:pPr>
    </w:p>
    <w:p w14:paraId="6F41E3C2">
      <w:pPr>
        <w:pStyle w:val="40"/>
        <w:rPr>
          <w:rFonts w:ascii="宋体" w:hAnsi="宋体" w:eastAsia="宋体" w:cs="宋体"/>
          <w:b/>
          <w:sz w:val="52"/>
          <w:szCs w:val="52"/>
        </w:rPr>
      </w:pPr>
    </w:p>
    <w:p w14:paraId="3D8BD53D"/>
    <w:p w14:paraId="65311B9D"/>
    <w:p w14:paraId="03213200">
      <w:pPr>
        <w:rPr>
          <w:rFonts w:ascii="宋体" w:hAnsi="宋体" w:cs="宋体"/>
          <w:b/>
          <w:sz w:val="52"/>
          <w:szCs w:val="52"/>
        </w:rPr>
      </w:pPr>
    </w:p>
    <w:p w14:paraId="347F80DE">
      <w:pPr>
        <w:pStyle w:val="28"/>
      </w:pPr>
    </w:p>
    <w:p w14:paraId="6402C463"/>
    <w:p w14:paraId="644D9E18">
      <w:pPr>
        <w:pStyle w:val="4"/>
        <w:rPr>
          <w:rFonts w:ascii="Times New Roman" w:hAnsi="Times New Roman"/>
          <w:b/>
          <w:sz w:val="44"/>
        </w:rPr>
      </w:pPr>
      <w:r>
        <w:rPr>
          <w:rFonts w:ascii="Times New Roman" w:hAnsi="Times New Roman"/>
          <w:b/>
          <w:sz w:val="52"/>
          <w:szCs w:val="52"/>
        </w:rPr>
        <w:t>第一册  专用条款</w:t>
      </w:r>
      <w:r>
        <w:rPr>
          <w:rFonts w:ascii="Times New Roman" w:hAnsi="Times New Roman"/>
          <w:b/>
        </w:rPr>
        <w:br w:type="page"/>
      </w:r>
    </w:p>
    <w:p w14:paraId="6E03C12A">
      <w:pPr>
        <w:pStyle w:val="5"/>
        <w:rPr>
          <w:rFonts w:ascii="Times New Roman" w:hAnsi="Times New Roman"/>
          <w:sz w:val="22"/>
        </w:rPr>
      </w:pPr>
      <w:bookmarkStart w:id="0" w:name="bt项目管理班子配备情况"/>
      <w:bookmarkEnd w:id="0"/>
      <w:bookmarkStart w:id="1" w:name="bt合同条款及格式"/>
      <w:bookmarkEnd w:id="1"/>
      <w:bookmarkStart w:id="2" w:name="bt投标文件签署授权委托书"/>
      <w:bookmarkEnd w:id="2"/>
      <w:bookmarkStart w:id="3" w:name="bt本工程承诺书"/>
      <w:bookmarkEnd w:id="3"/>
      <w:bookmarkStart w:id="4" w:name="bt投标函"/>
      <w:bookmarkEnd w:id="4"/>
      <w:bookmarkStart w:id="5" w:name="bt投标报价汇总表"/>
      <w:bookmarkEnd w:id="5"/>
      <w:bookmarkStart w:id="6" w:name="合同格式"/>
      <w:bookmarkEnd w:id="6"/>
      <w:bookmarkStart w:id="7" w:name="bt投标人须知"/>
      <w:bookmarkEnd w:id="7"/>
      <w:bookmarkStart w:id="8" w:name="bt其他资料由投标人自定"/>
      <w:bookmarkEnd w:id="8"/>
      <w:bookmarkStart w:id="9" w:name="bt合同条款"/>
      <w:bookmarkEnd w:id="9"/>
      <w:bookmarkStart w:id="10" w:name="bt商务标投标文件格式"/>
      <w:bookmarkEnd w:id="10"/>
      <w:bookmarkStart w:id="11" w:name="bt说明"/>
      <w:bookmarkEnd w:id="11"/>
      <w:bookmarkStart w:id="12" w:name="bt合同格式"/>
      <w:bookmarkEnd w:id="12"/>
      <w:bookmarkStart w:id="13" w:name="bt投标人情况介绍"/>
      <w:bookmarkEnd w:id="13"/>
      <w:bookmarkStart w:id="14" w:name="bt其他资料2"/>
      <w:bookmarkEnd w:id="14"/>
      <w:bookmarkStart w:id="15" w:name="bt开标一览表"/>
      <w:bookmarkEnd w:id="15"/>
      <w:bookmarkStart w:id="16" w:name="bt技术标投标文件格式"/>
      <w:bookmarkEnd w:id="16"/>
      <w:r>
        <w:rPr>
          <w:rFonts w:ascii="Times New Roman" w:hAnsi="Times New Roman"/>
          <w:sz w:val="36"/>
          <w:szCs w:val="22"/>
        </w:rPr>
        <w:t>第一章  招标公告</w:t>
      </w:r>
    </w:p>
    <w:p w14:paraId="1DDFD76C">
      <w:pPr>
        <w:widowControl/>
        <w:shd w:val="clear" w:color="auto" w:fill="FFFFFF"/>
        <w:spacing w:line="360" w:lineRule="atLeast"/>
        <w:ind w:firstLine="435"/>
        <w:jc w:val="left"/>
        <w:rPr>
          <w:rFonts w:ascii="Times New Roman" w:hAnsi="Times New Roman"/>
          <w:color w:val="000000"/>
          <w:sz w:val="24"/>
        </w:rPr>
      </w:pPr>
      <w:r>
        <w:rPr>
          <w:rFonts w:ascii="Times New Roman" w:hAnsi="Times New Roman"/>
          <w:color w:val="000000"/>
          <w:sz w:val="22"/>
          <w:szCs w:val="22"/>
          <w:shd w:val="clear" w:color="auto" w:fill="FFFFFF"/>
        </w:rPr>
        <w:t>深圳市东海国际招标有限公司（以下简称“采购代理机构”）受采购人委托，就</w:t>
      </w:r>
      <w:r>
        <w:rPr>
          <w:rFonts w:hint="eastAsia" w:ascii="Times New Roman" w:hAnsi="Times New Roman"/>
          <w:color w:val="000000"/>
          <w:sz w:val="22"/>
          <w:szCs w:val="22"/>
          <w:shd w:val="clear" w:color="auto" w:fill="FFFFFF"/>
          <w:lang w:eastAsia="zh-CN"/>
        </w:rPr>
        <w:t>深圳市龙岗区南京师范大学附属龙岗学校购买教育服务项目</w:t>
      </w:r>
      <w:r>
        <w:rPr>
          <w:rFonts w:ascii="Times New Roman" w:hAnsi="Times New Roman"/>
          <w:color w:val="000000"/>
          <w:sz w:val="22"/>
          <w:szCs w:val="22"/>
          <w:shd w:val="clear" w:color="auto" w:fill="FFFFFF"/>
        </w:rPr>
        <w:t>进行公开招标，欢迎符合资格条件的投标人前来投标。</w:t>
      </w:r>
      <w:r>
        <w:rPr>
          <w:rFonts w:hint="eastAsia" w:ascii="Times New Roman" w:hAnsi="Times New Roman"/>
          <w:color w:val="000000"/>
          <w:sz w:val="22"/>
          <w:szCs w:val="22"/>
          <w:shd w:val="clear" w:color="auto" w:fill="FFFFFF"/>
          <w:lang w:eastAsia="zh-CN"/>
        </w:rPr>
        <w:t>深圳市龙岗区南京师范大学附属龙岗学校购买教育服务项目</w:t>
      </w:r>
      <w:r>
        <w:rPr>
          <w:rFonts w:ascii="Times New Roman" w:hAnsi="Times New Roman"/>
          <w:color w:val="000000"/>
          <w:sz w:val="22"/>
          <w:szCs w:val="22"/>
          <w:shd w:val="clear" w:color="auto" w:fill="FFFFFF"/>
        </w:rPr>
        <w:t>的潜在投标人应在深圳市罗湖区太宁路2号百仕达大厦27B获取招标文件，并于</w:t>
      </w:r>
      <w:r>
        <w:rPr>
          <w:rFonts w:ascii="Times New Roman" w:hAnsi="Times New Roman"/>
          <w:color w:val="000000"/>
          <w:sz w:val="22"/>
          <w:szCs w:val="22"/>
        </w:rPr>
        <w:t>202</w:t>
      </w:r>
      <w:r>
        <w:rPr>
          <w:rFonts w:hint="eastAsia" w:ascii="Times New Roman" w:hAnsi="Times New Roman"/>
          <w:color w:val="000000"/>
          <w:sz w:val="22"/>
          <w:szCs w:val="22"/>
        </w:rPr>
        <w:t>5</w:t>
      </w:r>
      <w:r>
        <w:rPr>
          <w:rFonts w:ascii="Times New Roman" w:hAnsi="Times New Roman"/>
          <w:color w:val="000000"/>
          <w:sz w:val="22"/>
          <w:szCs w:val="22"/>
        </w:rPr>
        <w:t>年</w:t>
      </w:r>
      <w:r>
        <w:rPr>
          <w:rFonts w:hint="eastAsia" w:ascii="Times New Roman" w:hAnsi="Times New Roman"/>
          <w:color w:val="000000"/>
          <w:sz w:val="22"/>
          <w:szCs w:val="22"/>
          <w:lang w:val="en-US" w:eastAsia="zh-CN"/>
        </w:rPr>
        <w:t>8</w:t>
      </w:r>
      <w:r>
        <w:rPr>
          <w:rFonts w:ascii="Times New Roman" w:hAnsi="Times New Roman"/>
          <w:color w:val="000000"/>
          <w:sz w:val="22"/>
          <w:szCs w:val="22"/>
        </w:rPr>
        <w:t>月</w:t>
      </w:r>
      <w:r>
        <w:rPr>
          <w:rFonts w:hint="eastAsia" w:ascii="Times New Roman" w:hAnsi="Times New Roman"/>
          <w:color w:val="000000"/>
          <w:sz w:val="22"/>
          <w:szCs w:val="22"/>
          <w:lang w:val="en-US" w:eastAsia="zh-CN"/>
        </w:rPr>
        <w:t>11</w:t>
      </w:r>
      <w:r>
        <w:rPr>
          <w:rFonts w:ascii="Times New Roman" w:hAnsi="Times New Roman"/>
          <w:color w:val="000000"/>
          <w:sz w:val="22"/>
          <w:szCs w:val="22"/>
        </w:rPr>
        <w:t>日</w:t>
      </w:r>
      <w:r>
        <w:rPr>
          <w:rFonts w:hint="eastAsia" w:ascii="Times New Roman" w:hAnsi="Times New Roman"/>
          <w:color w:val="000000"/>
          <w:sz w:val="22"/>
          <w:szCs w:val="22"/>
        </w:rPr>
        <w:t>14</w:t>
      </w:r>
      <w:r>
        <w:rPr>
          <w:rFonts w:ascii="Times New Roman" w:hAnsi="Times New Roman"/>
          <w:color w:val="000000"/>
          <w:sz w:val="22"/>
          <w:szCs w:val="22"/>
        </w:rPr>
        <w:t>点30分</w:t>
      </w:r>
      <w:r>
        <w:rPr>
          <w:rFonts w:ascii="Times New Roman" w:hAnsi="Times New Roman"/>
          <w:color w:val="000000"/>
          <w:sz w:val="22"/>
          <w:szCs w:val="22"/>
          <w:shd w:val="clear" w:color="auto" w:fill="FFFFFF"/>
        </w:rPr>
        <w:t>（北京时间）前递交投标文件。</w:t>
      </w:r>
    </w:p>
    <w:p w14:paraId="3BA19766">
      <w:pPr>
        <w:adjustRightInd w:val="0"/>
        <w:spacing w:before="260" w:after="260" w:line="360" w:lineRule="exact"/>
        <w:jc w:val="left"/>
        <w:textAlignment w:val="baseline"/>
        <w:outlineLvl w:val="1"/>
        <w:rPr>
          <w:rFonts w:ascii="Times New Roman" w:hAnsi="Times New Roman"/>
          <w:b/>
          <w:kern w:val="0"/>
          <w:sz w:val="22"/>
          <w:szCs w:val="22"/>
        </w:rPr>
      </w:pPr>
      <w:r>
        <w:rPr>
          <w:rFonts w:ascii="Times New Roman" w:hAnsi="Times New Roman"/>
          <w:b/>
          <w:kern w:val="0"/>
          <w:sz w:val="22"/>
          <w:szCs w:val="22"/>
        </w:rPr>
        <w:t>一、项目基本情况</w:t>
      </w:r>
    </w:p>
    <w:p w14:paraId="1327155F">
      <w:pPr>
        <w:spacing w:line="360" w:lineRule="exact"/>
        <w:ind w:firstLine="440" w:firstLineChars="200"/>
        <w:rPr>
          <w:rFonts w:hint="eastAsia" w:ascii="Times New Roman" w:hAnsi="Times New Roman" w:eastAsia="宋体"/>
          <w:sz w:val="22"/>
          <w:szCs w:val="22"/>
          <w:lang w:eastAsia="zh-CN"/>
        </w:rPr>
      </w:pPr>
      <w:r>
        <w:rPr>
          <w:rFonts w:ascii="Times New Roman" w:hAnsi="Times New Roman"/>
          <w:sz w:val="22"/>
          <w:szCs w:val="22"/>
        </w:rPr>
        <w:t>1.项目编号：</w:t>
      </w:r>
      <w:r>
        <w:rPr>
          <w:rFonts w:hint="eastAsia" w:ascii="Times New Roman" w:hAnsi="Times New Roman"/>
          <w:sz w:val="22"/>
          <w:szCs w:val="22"/>
          <w:lang w:eastAsia="zh-CN"/>
        </w:rPr>
        <w:t>3324-DH2532F1142</w:t>
      </w:r>
    </w:p>
    <w:p w14:paraId="401F83A0">
      <w:pPr>
        <w:spacing w:line="360" w:lineRule="exact"/>
        <w:ind w:firstLine="440" w:firstLineChars="200"/>
        <w:rPr>
          <w:rFonts w:hint="eastAsia" w:ascii="Times New Roman" w:hAnsi="Times New Roman" w:eastAsia="宋体"/>
          <w:sz w:val="22"/>
          <w:szCs w:val="22"/>
          <w:lang w:eastAsia="zh-CN"/>
        </w:rPr>
      </w:pPr>
      <w:r>
        <w:rPr>
          <w:rFonts w:ascii="Times New Roman" w:hAnsi="Times New Roman"/>
          <w:sz w:val="22"/>
          <w:szCs w:val="22"/>
        </w:rPr>
        <w:t>2.项目名称：</w:t>
      </w:r>
      <w:r>
        <w:rPr>
          <w:rFonts w:hint="eastAsia" w:ascii="Times New Roman" w:hAnsi="Times New Roman"/>
          <w:sz w:val="22"/>
          <w:szCs w:val="22"/>
          <w:lang w:eastAsia="zh-CN"/>
        </w:rPr>
        <w:t>深圳市龙岗区南京师范大学附属龙岗学校购买教育服务项目</w:t>
      </w:r>
    </w:p>
    <w:p w14:paraId="1819FAC2">
      <w:pPr>
        <w:spacing w:line="360" w:lineRule="exact"/>
        <w:ind w:firstLine="440" w:firstLineChars="200"/>
        <w:rPr>
          <w:rFonts w:ascii="Times New Roman" w:hAnsi="Times New Roman"/>
          <w:sz w:val="22"/>
          <w:szCs w:val="22"/>
        </w:rPr>
      </w:pPr>
      <w:r>
        <w:rPr>
          <w:rFonts w:ascii="Times New Roman" w:hAnsi="Times New Roman"/>
          <w:sz w:val="22"/>
          <w:szCs w:val="22"/>
        </w:rPr>
        <w:t>3.预算金额：人民币</w:t>
      </w:r>
      <w:r>
        <w:rPr>
          <w:rFonts w:hint="eastAsia" w:ascii="Times New Roman" w:hAnsi="Times New Roman"/>
          <w:sz w:val="22"/>
          <w:szCs w:val="22"/>
          <w:lang w:eastAsia="zh-CN"/>
        </w:rPr>
        <w:t>307,200.00</w:t>
      </w:r>
      <w:r>
        <w:rPr>
          <w:rFonts w:ascii="Times New Roman" w:hAnsi="Times New Roman"/>
          <w:sz w:val="22"/>
          <w:szCs w:val="22"/>
        </w:rPr>
        <w:t>元</w:t>
      </w:r>
    </w:p>
    <w:p w14:paraId="4765D138">
      <w:pPr>
        <w:spacing w:line="360" w:lineRule="exact"/>
        <w:ind w:firstLine="440" w:firstLineChars="200"/>
        <w:rPr>
          <w:rFonts w:ascii="Times New Roman" w:hAnsi="Times New Roman"/>
          <w:sz w:val="22"/>
          <w:szCs w:val="22"/>
        </w:rPr>
      </w:pPr>
      <w:r>
        <w:rPr>
          <w:rFonts w:ascii="Times New Roman" w:hAnsi="Times New Roman"/>
          <w:sz w:val="22"/>
          <w:szCs w:val="22"/>
        </w:rPr>
        <w:t>4.最高限价：人民币</w:t>
      </w:r>
      <w:r>
        <w:rPr>
          <w:rFonts w:hint="eastAsia" w:ascii="Times New Roman" w:hAnsi="Times New Roman"/>
          <w:sz w:val="22"/>
          <w:szCs w:val="22"/>
          <w:lang w:eastAsia="zh-CN"/>
        </w:rPr>
        <w:t>307,200.00</w:t>
      </w:r>
      <w:r>
        <w:rPr>
          <w:rFonts w:ascii="Times New Roman" w:hAnsi="Times New Roman"/>
          <w:sz w:val="22"/>
          <w:szCs w:val="22"/>
        </w:rPr>
        <w:t>元</w:t>
      </w:r>
    </w:p>
    <w:p w14:paraId="513D6363">
      <w:pPr>
        <w:spacing w:line="360" w:lineRule="exact"/>
        <w:ind w:firstLine="440" w:firstLineChars="200"/>
        <w:rPr>
          <w:rFonts w:ascii="Times New Roman" w:hAnsi="Times New Roman"/>
          <w:sz w:val="22"/>
          <w:szCs w:val="22"/>
        </w:rPr>
      </w:pPr>
      <w:r>
        <w:rPr>
          <w:rFonts w:ascii="Times New Roman" w:hAnsi="Times New Roman"/>
          <w:sz w:val="22"/>
          <w:szCs w:val="22"/>
        </w:rPr>
        <w:t>5.采购需求：详见招标文件。</w:t>
      </w:r>
    </w:p>
    <w:p w14:paraId="7C516F0F">
      <w:pPr>
        <w:spacing w:line="360" w:lineRule="exact"/>
        <w:ind w:firstLine="440" w:firstLineChars="200"/>
        <w:rPr>
          <w:rFonts w:ascii="Times New Roman" w:hAnsi="Times New Roman"/>
          <w:sz w:val="22"/>
          <w:szCs w:val="22"/>
        </w:rPr>
      </w:pPr>
      <w:r>
        <w:rPr>
          <w:rFonts w:ascii="Times New Roman" w:hAnsi="Times New Roman"/>
          <w:sz w:val="22"/>
          <w:szCs w:val="22"/>
        </w:rPr>
        <w:t>6.合同履行期限：详见招标文件。</w:t>
      </w:r>
    </w:p>
    <w:p w14:paraId="18DA7104">
      <w:pPr>
        <w:spacing w:line="360" w:lineRule="exact"/>
        <w:ind w:firstLine="440" w:firstLineChars="200"/>
        <w:rPr>
          <w:rFonts w:ascii="Times New Roman" w:hAnsi="Times New Roman"/>
          <w:sz w:val="22"/>
          <w:szCs w:val="22"/>
        </w:rPr>
      </w:pPr>
      <w:r>
        <w:rPr>
          <w:rFonts w:ascii="Times New Roman" w:hAnsi="Times New Roman"/>
          <w:sz w:val="22"/>
          <w:szCs w:val="22"/>
        </w:rPr>
        <w:t>7.本项目不接受联合体投标。</w:t>
      </w:r>
    </w:p>
    <w:p w14:paraId="648D587D">
      <w:pPr>
        <w:adjustRightInd w:val="0"/>
        <w:spacing w:before="260" w:after="260" w:line="360" w:lineRule="exact"/>
        <w:jc w:val="left"/>
        <w:textAlignment w:val="baseline"/>
        <w:outlineLvl w:val="1"/>
        <w:rPr>
          <w:rFonts w:ascii="Times New Roman" w:hAnsi="Times New Roman"/>
          <w:b/>
          <w:kern w:val="0"/>
          <w:sz w:val="22"/>
          <w:szCs w:val="22"/>
        </w:rPr>
      </w:pPr>
      <w:r>
        <w:rPr>
          <w:rFonts w:ascii="Times New Roman" w:hAnsi="Times New Roman"/>
          <w:b/>
          <w:kern w:val="0"/>
          <w:sz w:val="22"/>
          <w:szCs w:val="22"/>
        </w:rPr>
        <w:t>二、申请人的资格要求</w:t>
      </w:r>
    </w:p>
    <w:p w14:paraId="2ED4A006">
      <w:pPr>
        <w:widowControl/>
        <w:shd w:val="clear" w:color="auto" w:fill="FFFFFF"/>
        <w:spacing w:line="360" w:lineRule="atLeast"/>
        <w:ind w:firstLine="440" w:firstLineChars="200"/>
        <w:jc w:val="left"/>
        <w:rPr>
          <w:rFonts w:ascii="Times New Roman" w:hAnsi="Times New Roman" w:eastAsia="微软雅黑"/>
          <w:color w:val="000000"/>
          <w:sz w:val="22"/>
          <w:szCs w:val="22"/>
        </w:rPr>
      </w:pPr>
      <w:r>
        <w:rPr>
          <w:rFonts w:ascii="Times New Roman" w:hAnsi="Times New Roman"/>
          <w:color w:val="000000"/>
          <w:sz w:val="22"/>
          <w:szCs w:val="22"/>
          <w:shd w:val="clear" w:color="auto" w:fill="FFFFFF"/>
        </w:rPr>
        <w:t>1.满足《中华人民共和国政府采购法》第二十二条规定（须提供具有独立承担民事责任能力的法人或其他组织的营业执照或法人证书等证明材料复印件或扫描件以及《政府采购投标及履约承诺函》加盖投标人公章），总公司或者分公司只允许一家投标，不允许同时参与本项目投标，以分公司名义参与投标的，须提供总公司或具有独立法人资格的上一级公司出具的愿为其参与本项目投标以及履约等行为承担民事责任的加盖总公司公章的授权函，并提供总公司及分公司的营业执照复印件或扫描件加盖投标人公章，原件备查；</w:t>
      </w:r>
    </w:p>
    <w:p w14:paraId="3124D808">
      <w:pPr>
        <w:widowControl/>
        <w:shd w:val="clear" w:color="auto" w:fill="FFFFFF"/>
        <w:spacing w:line="360" w:lineRule="atLeast"/>
        <w:ind w:firstLine="440" w:firstLineChars="200"/>
        <w:jc w:val="left"/>
        <w:rPr>
          <w:rFonts w:ascii="Times New Roman" w:hAnsi="Times New Roman" w:eastAsia="微软雅黑"/>
          <w:color w:val="000000"/>
          <w:sz w:val="22"/>
          <w:szCs w:val="22"/>
        </w:rPr>
      </w:pPr>
      <w:r>
        <w:rPr>
          <w:rFonts w:ascii="Times New Roman" w:hAnsi="Times New Roman"/>
          <w:color w:val="000000"/>
          <w:sz w:val="22"/>
          <w:szCs w:val="22"/>
          <w:shd w:val="clear" w:color="auto" w:fill="FFFFFF"/>
        </w:rPr>
        <w:t>2.落实政府采购政策需满足的资格要求：无；</w:t>
      </w:r>
    </w:p>
    <w:p w14:paraId="72720630">
      <w:pPr>
        <w:widowControl/>
        <w:shd w:val="clear" w:color="auto" w:fill="FFFFFF"/>
        <w:spacing w:line="360" w:lineRule="atLeast"/>
        <w:ind w:firstLine="440" w:firstLineChars="200"/>
        <w:jc w:val="left"/>
        <w:rPr>
          <w:rFonts w:ascii="Times New Roman" w:hAnsi="Times New Roman" w:eastAsia="微软雅黑"/>
          <w:color w:val="000000"/>
          <w:sz w:val="22"/>
          <w:szCs w:val="22"/>
        </w:rPr>
      </w:pPr>
      <w:r>
        <w:rPr>
          <w:rFonts w:ascii="Times New Roman" w:hAnsi="Times New Roman"/>
          <w:color w:val="000000"/>
          <w:sz w:val="22"/>
          <w:szCs w:val="22"/>
          <w:shd w:val="clear" w:color="auto" w:fill="FFFFFF"/>
        </w:rPr>
        <w:t>3.本项目的特定资格要求：</w:t>
      </w:r>
    </w:p>
    <w:p w14:paraId="1D22B116">
      <w:pPr>
        <w:widowControl/>
        <w:shd w:val="clear" w:color="auto" w:fill="FFFFFF"/>
        <w:spacing w:line="360" w:lineRule="atLeast"/>
        <w:ind w:firstLine="440" w:firstLineChars="200"/>
        <w:jc w:val="left"/>
        <w:rPr>
          <w:rFonts w:ascii="Times New Roman" w:hAnsi="Times New Roman" w:eastAsia="微软雅黑"/>
          <w:color w:val="000000"/>
          <w:sz w:val="22"/>
          <w:szCs w:val="22"/>
        </w:rPr>
      </w:pPr>
      <w:r>
        <w:rPr>
          <w:rFonts w:ascii="Times New Roman" w:hAnsi="Times New Roman"/>
          <w:color w:val="000000"/>
          <w:sz w:val="22"/>
          <w:szCs w:val="22"/>
          <w:shd w:val="clear" w:color="auto" w:fill="FFFFFF"/>
        </w:rPr>
        <w:t>（1）参与本项目投标前三年内，在经营活动中没有重大违法记录（须按本项目投标文件格式要求提供《政府采购投标及履约承诺函》加盖投标人公章）；</w:t>
      </w:r>
    </w:p>
    <w:p w14:paraId="6017B49C">
      <w:pPr>
        <w:widowControl/>
        <w:shd w:val="clear" w:color="auto" w:fill="FFFFFF"/>
        <w:spacing w:line="360" w:lineRule="atLeast"/>
        <w:ind w:firstLine="440" w:firstLineChars="200"/>
        <w:jc w:val="left"/>
        <w:rPr>
          <w:rFonts w:ascii="Times New Roman" w:hAnsi="Times New Roman" w:eastAsia="微软雅黑"/>
          <w:color w:val="000000"/>
          <w:sz w:val="22"/>
          <w:szCs w:val="22"/>
        </w:rPr>
      </w:pPr>
      <w:r>
        <w:rPr>
          <w:rFonts w:ascii="Times New Roman" w:hAnsi="Times New Roman"/>
          <w:color w:val="000000"/>
          <w:sz w:val="22"/>
          <w:szCs w:val="22"/>
          <w:shd w:val="clear" w:color="auto" w:fill="FFFFFF"/>
        </w:rPr>
        <w:t>（2）参与本项目政府采购活动时不存在被有关部门禁止参与政府采购活动且在有效期内的情况（须按本项目投标文件格式要求提供《政府采购投标及履约承诺函》加盖投标人公章）；</w:t>
      </w:r>
    </w:p>
    <w:p w14:paraId="4E9BAC1A">
      <w:pPr>
        <w:widowControl/>
        <w:shd w:val="clear" w:color="auto" w:fill="FFFFFF"/>
        <w:spacing w:line="360" w:lineRule="atLeast"/>
        <w:ind w:firstLine="440" w:firstLineChars="200"/>
        <w:jc w:val="left"/>
        <w:rPr>
          <w:rFonts w:ascii="Times New Roman" w:hAnsi="Times New Roman" w:eastAsia="微软雅黑"/>
          <w:color w:val="000000"/>
          <w:sz w:val="22"/>
          <w:szCs w:val="22"/>
        </w:rPr>
      </w:pPr>
      <w:r>
        <w:rPr>
          <w:rFonts w:ascii="Times New Roman" w:hAnsi="Times New Roman"/>
          <w:color w:val="000000"/>
          <w:sz w:val="22"/>
          <w:szCs w:val="22"/>
          <w:shd w:val="clear" w:color="auto" w:fill="FFFFFF"/>
        </w:rPr>
        <w:t>（3）单位负责人为同一人或者存在直接控股、管理关系的不同供应商，不得参加同一合同项下的政府采购活动（须按本项目投标文件格式要求提供《政府采购投标及履约承诺函》加盖投标人公章）；</w:t>
      </w:r>
    </w:p>
    <w:p w14:paraId="2B962F7A">
      <w:pPr>
        <w:widowControl/>
        <w:shd w:val="clear" w:color="auto" w:fill="FFFFFF"/>
        <w:spacing w:line="360" w:lineRule="atLeast"/>
        <w:ind w:firstLine="440" w:firstLineChars="200"/>
        <w:jc w:val="left"/>
        <w:rPr>
          <w:rFonts w:ascii="Times New Roman" w:hAnsi="Times New Roman" w:eastAsia="微软雅黑"/>
          <w:color w:val="000000"/>
          <w:sz w:val="22"/>
          <w:szCs w:val="22"/>
        </w:rPr>
      </w:pPr>
      <w:r>
        <w:rPr>
          <w:rFonts w:ascii="Times New Roman" w:hAnsi="Times New Roman"/>
          <w:color w:val="000000"/>
          <w:sz w:val="22"/>
          <w:szCs w:val="22"/>
          <w:shd w:val="clear" w:color="auto" w:fill="FFFFFF"/>
        </w:rPr>
        <w:t>（4）除单一来源采购项目外，为采购项目提供整体设计、规范编制或者项目管理、监理、检测等服务的供应商，不得再参加该采购项目的其他采购活动（须按本项目投标文件格式要求提供《政府采购投标及履约承诺函》加盖投标人公章）；</w:t>
      </w:r>
    </w:p>
    <w:p w14:paraId="5D0F2166">
      <w:pPr>
        <w:widowControl/>
        <w:shd w:val="clear" w:color="auto" w:fill="FFFFFF"/>
        <w:spacing w:line="360" w:lineRule="atLeast"/>
        <w:ind w:firstLine="440" w:firstLineChars="200"/>
        <w:jc w:val="left"/>
        <w:rPr>
          <w:rFonts w:ascii="Times New Roman" w:hAnsi="Times New Roman"/>
          <w:color w:val="000000"/>
          <w:sz w:val="22"/>
          <w:szCs w:val="22"/>
          <w:shd w:val="clear" w:color="auto" w:fill="FFFFFF"/>
        </w:rPr>
      </w:pPr>
      <w:r>
        <w:rPr>
          <w:rFonts w:ascii="Times New Roman" w:hAnsi="Times New Roman"/>
          <w:color w:val="000000"/>
          <w:sz w:val="22"/>
          <w:szCs w:val="22"/>
          <w:shd w:val="clear" w:color="auto" w:fill="FFFFFF"/>
        </w:rPr>
        <w:t>（5）参与本项目不存在《深圳市财政局政府采购供应商信用信息管理办法》列明的严重违法失信行为（须按本项目投标文件格式要求提供《政府采购投标及履约承诺函》加盖投标人公章）；</w:t>
      </w:r>
    </w:p>
    <w:p w14:paraId="61C4D64F">
      <w:pPr>
        <w:widowControl/>
        <w:shd w:val="clear" w:color="auto" w:fill="FFFFFF"/>
        <w:spacing w:line="360" w:lineRule="atLeast"/>
        <w:ind w:firstLine="440" w:firstLineChars="200"/>
        <w:jc w:val="left"/>
        <w:rPr>
          <w:rFonts w:ascii="Times New Roman" w:hAnsi="Times New Roman"/>
          <w:color w:val="000000"/>
          <w:sz w:val="22"/>
          <w:szCs w:val="22"/>
          <w:shd w:val="clear" w:color="auto" w:fill="FFFFFF"/>
        </w:rPr>
      </w:pPr>
      <w:r>
        <w:rPr>
          <w:rFonts w:hint="eastAsia" w:ascii="Times New Roman" w:hAnsi="Times New Roman"/>
          <w:color w:val="000000"/>
          <w:sz w:val="22"/>
          <w:szCs w:val="22"/>
          <w:shd w:val="clear" w:color="auto" w:fill="FFFFFF"/>
        </w:rPr>
        <w:t>（6）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w:t>
      </w:r>
      <w:r>
        <w:rPr>
          <w:rFonts w:hint="eastAsia" w:ascii="Times New Roman" w:hAnsi="Times New Roman"/>
          <w:b/>
          <w:bCs/>
          <w:color w:val="000000"/>
          <w:sz w:val="22"/>
          <w:szCs w:val="22"/>
          <w:shd w:val="clear" w:color="auto" w:fill="FFFFFF"/>
        </w:rPr>
        <w:t>(由供应商填写《供应商基本情况表》相关信息)</w:t>
      </w:r>
      <w:r>
        <w:rPr>
          <w:rFonts w:hint="eastAsia" w:ascii="Times New Roman" w:hAnsi="Times New Roman"/>
          <w:color w:val="000000"/>
          <w:sz w:val="22"/>
          <w:szCs w:val="22"/>
          <w:shd w:val="clear" w:color="auto" w:fill="FFFFFF"/>
        </w:rPr>
        <w:t>；</w:t>
      </w:r>
    </w:p>
    <w:p w14:paraId="6AC39278">
      <w:pPr>
        <w:widowControl/>
        <w:shd w:val="clear" w:color="auto" w:fill="FFFFFF"/>
        <w:spacing w:line="360" w:lineRule="atLeast"/>
        <w:ind w:firstLine="440" w:firstLineChars="200"/>
        <w:jc w:val="left"/>
        <w:rPr>
          <w:rFonts w:ascii="Times New Roman" w:hAnsi="Times New Roman" w:eastAsia="微软雅黑"/>
          <w:color w:val="000000"/>
          <w:sz w:val="22"/>
          <w:szCs w:val="22"/>
        </w:rPr>
      </w:pPr>
      <w:r>
        <w:rPr>
          <w:rFonts w:ascii="Times New Roman" w:hAnsi="Times New Roman"/>
          <w:color w:val="000000"/>
          <w:sz w:val="22"/>
          <w:szCs w:val="22"/>
          <w:shd w:val="clear" w:color="auto" w:fill="FFFFFF"/>
        </w:rPr>
        <w:t>（</w:t>
      </w:r>
      <w:r>
        <w:rPr>
          <w:rFonts w:hint="eastAsia" w:ascii="Times New Roman" w:hAnsi="Times New Roman"/>
          <w:color w:val="000000"/>
          <w:sz w:val="22"/>
          <w:szCs w:val="22"/>
          <w:shd w:val="clear" w:color="auto" w:fill="FFFFFF"/>
        </w:rPr>
        <w:t>7</w:t>
      </w:r>
      <w:r>
        <w:rPr>
          <w:rFonts w:ascii="Times New Roman" w:hAnsi="Times New Roman"/>
          <w:color w:val="000000"/>
          <w:sz w:val="22"/>
          <w:szCs w:val="22"/>
          <w:shd w:val="clear" w:color="auto" w:fill="FFFFFF"/>
        </w:rPr>
        <w:t>）投标人未被列入失信被执行人、重大税收违法案件当事人名单及政府采购严重违法失信行为记录名单（“信用中国”（www.creditchina.gov.cn）“信用服务”栏的“重大税收违法失信主体”“失信被执行人”，“中国政府采购”（www.ccgp.gov.cn）“政府采购严重违法失信行为记录名单”，“深圳信用网”（www.szcredit.com.cn）以及“深圳市政府采购监管网”（zfcg.sz.gov.cn）为投标人信用信息查询渠道，相关信息以开标当日的查询结果为准。由采购代理机构查询，投标人无需提供证明材料）；</w:t>
      </w:r>
    </w:p>
    <w:p w14:paraId="27F77729">
      <w:pPr>
        <w:widowControl/>
        <w:shd w:val="clear" w:color="auto" w:fill="FFFFFF"/>
        <w:spacing w:line="360" w:lineRule="atLeast"/>
        <w:ind w:firstLine="442" w:firstLineChars="200"/>
        <w:jc w:val="left"/>
        <w:rPr>
          <w:rFonts w:ascii="Times New Roman" w:hAnsi="Times New Roman" w:eastAsia="微软雅黑"/>
          <w:color w:val="000000"/>
          <w:sz w:val="22"/>
          <w:szCs w:val="22"/>
        </w:rPr>
      </w:pPr>
      <w:r>
        <w:rPr>
          <w:rFonts w:ascii="Times New Roman" w:hAnsi="Times New Roman"/>
          <w:b/>
          <w:bCs/>
          <w:color w:val="000000"/>
          <w:sz w:val="22"/>
          <w:szCs w:val="22"/>
          <w:shd w:val="clear" w:color="auto" w:fill="FFFFFF"/>
        </w:rPr>
        <w:t>（</w:t>
      </w:r>
      <w:r>
        <w:rPr>
          <w:rFonts w:hint="eastAsia" w:ascii="Times New Roman" w:hAnsi="Times New Roman"/>
          <w:b/>
          <w:bCs/>
          <w:color w:val="000000"/>
          <w:sz w:val="22"/>
          <w:szCs w:val="22"/>
          <w:shd w:val="clear" w:color="auto" w:fill="FFFFFF"/>
        </w:rPr>
        <w:t>8</w:t>
      </w:r>
      <w:r>
        <w:rPr>
          <w:rFonts w:ascii="Times New Roman" w:hAnsi="Times New Roman"/>
          <w:b/>
          <w:bCs/>
          <w:color w:val="000000"/>
          <w:sz w:val="22"/>
          <w:szCs w:val="22"/>
          <w:shd w:val="clear" w:color="auto" w:fill="FFFFFF"/>
        </w:rPr>
        <w:t>）投标人须提供国家企业信用信息公示系统（https://www.gsxt.gov.cn/index.html）或机关赋码和事业单位登记管理网（http://www.gjsy.gov.cn/sydwfrxxcx/）或全国社会组织信用信息公示平台（https://xxgs.chinanpo.mca.gov.cn/gsxt/newList）网站截图，作为不同供应商之间不存在单位负责人为同一人或者直接控股、管理关系的补充证明；</w:t>
      </w:r>
    </w:p>
    <w:p w14:paraId="47B6EB75">
      <w:pPr>
        <w:widowControl/>
        <w:shd w:val="clear" w:color="auto" w:fill="FFFFFF"/>
        <w:spacing w:line="360" w:lineRule="atLeast"/>
        <w:ind w:firstLine="440" w:firstLineChars="200"/>
        <w:jc w:val="left"/>
        <w:rPr>
          <w:rFonts w:hint="eastAsia" w:ascii="Times New Roman" w:hAnsi="Times New Roman" w:eastAsia="宋体"/>
          <w:color w:val="000000"/>
          <w:sz w:val="22"/>
          <w:szCs w:val="22"/>
          <w:shd w:val="clear" w:color="auto" w:fill="FFFFFF"/>
          <w:lang w:eastAsia="zh-CN"/>
        </w:rPr>
      </w:pPr>
      <w:r>
        <w:rPr>
          <w:rFonts w:ascii="Times New Roman" w:hAnsi="Times New Roman"/>
          <w:color w:val="000000"/>
          <w:sz w:val="22"/>
          <w:szCs w:val="22"/>
          <w:shd w:val="clear" w:color="auto" w:fill="FFFFFF"/>
        </w:rPr>
        <w:t>（</w:t>
      </w:r>
      <w:r>
        <w:rPr>
          <w:rFonts w:hint="eastAsia" w:ascii="Times New Roman" w:hAnsi="Times New Roman"/>
          <w:color w:val="000000"/>
          <w:sz w:val="22"/>
          <w:szCs w:val="22"/>
          <w:shd w:val="clear" w:color="auto" w:fill="FFFFFF"/>
        </w:rPr>
        <w:t>9</w:t>
      </w:r>
      <w:r>
        <w:rPr>
          <w:rFonts w:ascii="Times New Roman" w:hAnsi="Times New Roman"/>
          <w:color w:val="000000"/>
          <w:sz w:val="22"/>
          <w:szCs w:val="22"/>
          <w:shd w:val="clear" w:color="auto" w:fill="FFFFFF"/>
        </w:rPr>
        <w:t>）本项目不接受联合体投标，不允许分包或转包</w:t>
      </w:r>
      <w:r>
        <w:rPr>
          <w:rFonts w:hint="eastAsia" w:ascii="Times New Roman" w:hAnsi="Times New Roman"/>
          <w:color w:val="000000"/>
          <w:sz w:val="22"/>
          <w:szCs w:val="22"/>
          <w:shd w:val="clear" w:color="auto" w:fill="FFFFFF"/>
          <w:lang w:eastAsia="zh-CN"/>
        </w:rPr>
        <w:t>。</w:t>
      </w:r>
    </w:p>
    <w:p w14:paraId="506C59FE">
      <w:pPr>
        <w:adjustRightInd w:val="0"/>
        <w:spacing w:before="260" w:after="260" w:line="360" w:lineRule="exact"/>
        <w:jc w:val="left"/>
        <w:textAlignment w:val="baseline"/>
        <w:outlineLvl w:val="1"/>
        <w:rPr>
          <w:rFonts w:ascii="Times New Roman" w:hAnsi="Times New Roman"/>
          <w:b/>
          <w:kern w:val="0"/>
          <w:sz w:val="22"/>
          <w:szCs w:val="22"/>
        </w:rPr>
      </w:pPr>
      <w:r>
        <w:rPr>
          <w:rFonts w:ascii="Times New Roman" w:hAnsi="Times New Roman"/>
          <w:b/>
          <w:kern w:val="0"/>
          <w:sz w:val="22"/>
          <w:szCs w:val="22"/>
        </w:rPr>
        <w:t>三、获取招标文件</w:t>
      </w:r>
    </w:p>
    <w:p w14:paraId="5EF09059">
      <w:pPr>
        <w:spacing w:line="360" w:lineRule="exact"/>
        <w:ind w:firstLine="540"/>
        <w:rPr>
          <w:rFonts w:ascii="Times New Roman" w:hAnsi="Times New Roman"/>
          <w:sz w:val="22"/>
          <w:szCs w:val="22"/>
        </w:rPr>
      </w:pPr>
      <w:r>
        <w:rPr>
          <w:rFonts w:ascii="Times New Roman" w:hAnsi="Times New Roman"/>
          <w:sz w:val="22"/>
          <w:szCs w:val="22"/>
        </w:rPr>
        <w:t>1.时间：</w:t>
      </w:r>
      <w:r>
        <w:rPr>
          <w:rFonts w:hint="eastAsia" w:ascii="Times New Roman" w:hAnsi="Times New Roman"/>
          <w:sz w:val="22"/>
          <w:szCs w:val="22"/>
        </w:rPr>
        <w:t>2025</w:t>
      </w:r>
      <w:r>
        <w:rPr>
          <w:rFonts w:ascii="Times New Roman" w:hAnsi="Times New Roman"/>
          <w:sz w:val="22"/>
          <w:szCs w:val="22"/>
        </w:rPr>
        <w:t>年</w:t>
      </w:r>
      <w:r>
        <w:rPr>
          <w:rFonts w:hint="eastAsia" w:ascii="Times New Roman" w:hAnsi="Times New Roman"/>
          <w:sz w:val="22"/>
          <w:szCs w:val="22"/>
          <w:lang w:val="en-US" w:eastAsia="zh-CN"/>
        </w:rPr>
        <w:t>7</w:t>
      </w:r>
      <w:r>
        <w:rPr>
          <w:rFonts w:ascii="Times New Roman" w:hAnsi="Times New Roman"/>
          <w:sz w:val="22"/>
          <w:szCs w:val="22"/>
        </w:rPr>
        <w:t>月</w:t>
      </w:r>
      <w:r>
        <w:rPr>
          <w:rFonts w:hint="eastAsia" w:ascii="Times New Roman" w:hAnsi="Times New Roman"/>
          <w:sz w:val="22"/>
          <w:szCs w:val="22"/>
          <w:lang w:val="en-US" w:eastAsia="zh-CN"/>
        </w:rPr>
        <w:t>30</w:t>
      </w:r>
      <w:r>
        <w:rPr>
          <w:rFonts w:ascii="Times New Roman" w:hAnsi="Times New Roman"/>
          <w:sz w:val="22"/>
          <w:szCs w:val="22"/>
        </w:rPr>
        <w:t>日至202</w:t>
      </w:r>
      <w:r>
        <w:rPr>
          <w:rFonts w:hint="eastAsia" w:ascii="Times New Roman" w:hAnsi="Times New Roman"/>
          <w:sz w:val="22"/>
          <w:szCs w:val="22"/>
        </w:rPr>
        <w:t>5</w:t>
      </w:r>
      <w:r>
        <w:rPr>
          <w:rFonts w:ascii="Times New Roman" w:hAnsi="Times New Roman"/>
          <w:sz w:val="22"/>
          <w:szCs w:val="22"/>
        </w:rPr>
        <w:t>年</w:t>
      </w:r>
      <w:r>
        <w:rPr>
          <w:rFonts w:hint="eastAsia" w:ascii="Times New Roman" w:hAnsi="Times New Roman"/>
          <w:sz w:val="22"/>
          <w:szCs w:val="22"/>
          <w:lang w:val="en-US" w:eastAsia="zh-CN"/>
        </w:rPr>
        <w:t>8</w:t>
      </w:r>
      <w:r>
        <w:rPr>
          <w:rFonts w:ascii="Times New Roman" w:hAnsi="Times New Roman"/>
          <w:sz w:val="22"/>
          <w:szCs w:val="22"/>
        </w:rPr>
        <w:t>月</w:t>
      </w:r>
      <w:r>
        <w:rPr>
          <w:rFonts w:hint="eastAsia" w:ascii="Times New Roman" w:hAnsi="Times New Roman"/>
          <w:sz w:val="22"/>
          <w:szCs w:val="22"/>
          <w:lang w:val="en-US" w:eastAsia="zh-CN"/>
        </w:rPr>
        <w:t>6</w:t>
      </w:r>
      <w:r>
        <w:rPr>
          <w:rFonts w:ascii="Times New Roman" w:hAnsi="Times New Roman"/>
          <w:sz w:val="22"/>
          <w:szCs w:val="22"/>
        </w:rPr>
        <w:t>日，每天上午09:00至12:00，下午14:30至17:30（北京时间，法定节假日除外）</w:t>
      </w:r>
    </w:p>
    <w:p w14:paraId="0D40107E">
      <w:pPr>
        <w:spacing w:line="360" w:lineRule="exact"/>
        <w:ind w:firstLine="540"/>
        <w:rPr>
          <w:rFonts w:ascii="Times New Roman" w:hAnsi="Times New Roman"/>
          <w:sz w:val="22"/>
          <w:szCs w:val="22"/>
        </w:rPr>
      </w:pPr>
      <w:r>
        <w:rPr>
          <w:rFonts w:ascii="Times New Roman" w:hAnsi="Times New Roman"/>
          <w:sz w:val="22"/>
          <w:szCs w:val="22"/>
        </w:rPr>
        <w:t>2.地点：深圳市罗湖区太宁路2号百仕达大厦27B</w:t>
      </w:r>
    </w:p>
    <w:p w14:paraId="5FADFD67">
      <w:pPr>
        <w:spacing w:line="360" w:lineRule="exact"/>
        <w:ind w:firstLine="540"/>
        <w:rPr>
          <w:rFonts w:ascii="Times New Roman" w:hAnsi="Times New Roman"/>
          <w:sz w:val="22"/>
          <w:szCs w:val="22"/>
        </w:rPr>
      </w:pPr>
      <w:r>
        <w:rPr>
          <w:rFonts w:ascii="Times New Roman" w:hAnsi="Times New Roman"/>
          <w:sz w:val="22"/>
          <w:szCs w:val="22"/>
        </w:rPr>
        <w:t>3.方式：现场投标报名或网上投标报名（报名资料均需加盖单位公章）</w:t>
      </w:r>
    </w:p>
    <w:p w14:paraId="45B5BC24">
      <w:pPr>
        <w:spacing w:line="360" w:lineRule="exact"/>
        <w:ind w:firstLine="540"/>
        <w:rPr>
          <w:rFonts w:ascii="Times New Roman" w:hAnsi="Times New Roman"/>
          <w:sz w:val="22"/>
          <w:szCs w:val="22"/>
        </w:rPr>
      </w:pPr>
      <w:r>
        <w:rPr>
          <w:rFonts w:ascii="Times New Roman" w:hAnsi="Times New Roman"/>
          <w:sz w:val="22"/>
          <w:szCs w:val="22"/>
        </w:rPr>
        <w:t>（1）现场投标报名：提供以下资料：1）营业执照（或事业法人登记证等证明文件）复印件；2）法定代表人证明书及授权委托书</w:t>
      </w:r>
      <w:bookmarkStart w:id="242" w:name="_GoBack"/>
      <w:bookmarkEnd w:id="242"/>
      <w:r>
        <w:rPr>
          <w:rFonts w:ascii="Times New Roman" w:hAnsi="Times New Roman"/>
          <w:sz w:val="22"/>
          <w:szCs w:val="22"/>
        </w:rPr>
        <w:t>，附上法定代表人身份证复印件</w:t>
      </w:r>
      <w:r>
        <w:rPr>
          <w:rFonts w:hint="eastAsia" w:ascii="Times New Roman" w:hAnsi="Times New Roman"/>
          <w:sz w:val="22"/>
          <w:szCs w:val="22"/>
        </w:rPr>
        <w:t>、</w:t>
      </w:r>
      <w:r>
        <w:rPr>
          <w:rFonts w:ascii="Times New Roman" w:hAnsi="Times New Roman"/>
          <w:sz w:val="22"/>
          <w:szCs w:val="22"/>
        </w:rPr>
        <w:t>授权代表身份证复印件；3）《洽购文件登记表》；4）资格要求中其他资质证明文件。注：以上资料均需加盖公章。</w:t>
      </w:r>
    </w:p>
    <w:p w14:paraId="30C73C00">
      <w:pPr>
        <w:spacing w:line="360" w:lineRule="exact"/>
        <w:ind w:firstLine="540"/>
        <w:rPr>
          <w:rFonts w:ascii="Times New Roman" w:hAnsi="Times New Roman"/>
          <w:sz w:val="22"/>
          <w:szCs w:val="22"/>
        </w:rPr>
      </w:pPr>
      <w:r>
        <w:rPr>
          <w:rFonts w:ascii="Times New Roman" w:hAnsi="Times New Roman"/>
          <w:sz w:val="22"/>
          <w:szCs w:val="22"/>
        </w:rPr>
        <w:t>（2）网上投标报名：发送报名资料至我司邮箱进行报名登记及获取招标文件，邮箱地址：dh@szdhit.com。报名邮件需附以下资料：1）营业执照（或事业法人登记证等证明文件）复印件；2）法定代表人证明书及授权委托书，附上法定代表人身份证复印件</w:t>
      </w:r>
      <w:r>
        <w:rPr>
          <w:rFonts w:hint="eastAsia" w:ascii="Times New Roman" w:hAnsi="Times New Roman"/>
          <w:sz w:val="22"/>
          <w:szCs w:val="22"/>
        </w:rPr>
        <w:t>、</w:t>
      </w:r>
      <w:r>
        <w:rPr>
          <w:rFonts w:ascii="Times New Roman" w:hAnsi="Times New Roman"/>
          <w:sz w:val="22"/>
          <w:szCs w:val="22"/>
        </w:rPr>
        <w:t>授权代表身份证复印件；3）《洽购文件登记表》；4）资格要求中其他资质证明文件；5）购买标书费用银行转账凭证。注：以上资料均需加盖公章。报名时间以邮件收到时间为准，工作人员将在第二个工作日与报名资料完整的投标人联系。</w:t>
      </w:r>
    </w:p>
    <w:p w14:paraId="14A1BCD0">
      <w:pPr>
        <w:spacing w:line="360" w:lineRule="exact"/>
        <w:ind w:firstLine="540"/>
        <w:rPr>
          <w:rFonts w:ascii="Times New Roman" w:hAnsi="Times New Roman"/>
          <w:sz w:val="22"/>
          <w:szCs w:val="22"/>
        </w:rPr>
      </w:pPr>
      <w:r>
        <w:rPr>
          <w:rFonts w:ascii="Times New Roman" w:hAnsi="Times New Roman"/>
          <w:sz w:val="22"/>
          <w:szCs w:val="22"/>
        </w:rPr>
        <w:t>（3）供应商可到采购代理机构网站（www.szdhit.com）下载中心免费下载</w:t>
      </w:r>
      <w:bookmarkStart w:id="17" w:name="OLE_LINK26"/>
      <w:r>
        <w:rPr>
          <w:rFonts w:ascii="Times New Roman" w:hAnsi="Times New Roman"/>
          <w:sz w:val="22"/>
          <w:szCs w:val="22"/>
        </w:rPr>
        <w:t>《洽购文件登记表》</w:t>
      </w:r>
      <w:bookmarkEnd w:id="17"/>
      <w:r>
        <w:rPr>
          <w:rFonts w:ascii="Times New Roman" w:hAnsi="Times New Roman"/>
          <w:sz w:val="22"/>
          <w:szCs w:val="22"/>
        </w:rPr>
        <w:t>及《法定代表人证明书及授权委托书》。</w:t>
      </w:r>
    </w:p>
    <w:p w14:paraId="79311B16">
      <w:pPr>
        <w:spacing w:line="360" w:lineRule="exact"/>
        <w:ind w:firstLine="540"/>
        <w:rPr>
          <w:rFonts w:ascii="Times New Roman" w:hAnsi="Times New Roman"/>
          <w:b/>
          <w:bCs/>
          <w:sz w:val="22"/>
          <w:szCs w:val="22"/>
        </w:rPr>
      </w:pPr>
      <w:r>
        <w:rPr>
          <w:rFonts w:ascii="Times New Roman" w:hAnsi="Times New Roman"/>
          <w:b/>
          <w:bCs/>
          <w:sz w:val="22"/>
          <w:szCs w:val="22"/>
        </w:rPr>
        <w:t>（4）标书发售联系人及联系方式：葛小姐，0755-86959378转8001</w:t>
      </w:r>
    </w:p>
    <w:p w14:paraId="21A21395">
      <w:pPr>
        <w:spacing w:line="360" w:lineRule="exact"/>
        <w:ind w:firstLine="540"/>
        <w:rPr>
          <w:rFonts w:ascii="Times New Roman" w:hAnsi="Times New Roman"/>
          <w:sz w:val="22"/>
          <w:szCs w:val="22"/>
        </w:rPr>
      </w:pPr>
      <w:r>
        <w:rPr>
          <w:rFonts w:ascii="Times New Roman" w:hAnsi="Times New Roman"/>
          <w:sz w:val="22"/>
          <w:szCs w:val="22"/>
        </w:rPr>
        <w:t>4.售价：500.00元（售后不退）</w:t>
      </w:r>
    </w:p>
    <w:p w14:paraId="33066F57">
      <w:pPr>
        <w:spacing w:line="360" w:lineRule="exact"/>
        <w:ind w:firstLine="540"/>
        <w:rPr>
          <w:rFonts w:ascii="Times New Roman" w:hAnsi="Times New Roman"/>
          <w:sz w:val="22"/>
          <w:szCs w:val="22"/>
        </w:rPr>
      </w:pPr>
      <w:r>
        <w:rPr>
          <w:rFonts w:ascii="Times New Roman" w:hAnsi="Times New Roman"/>
          <w:sz w:val="22"/>
          <w:szCs w:val="22"/>
        </w:rPr>
        <w:t>（1）开户行名称及账号</w:t>
      </w:r>
    </w:p>
    <w:p w14:paraId="1CD8576A">
      <w:pPr>
        <w:spacing w:line="360" w:lineRule="exact"/>
        <w:ind w:firstLine="540"/>
        <w:rPr>
          <w:rFonts w:ascii="Times New Roman" w:hAnsi="Times New Roman"/>
          <w:sz w:val="22"/>
          <w:szCs w:val="22"/>
        </w:rPr>
      </w:pPr>
      <w:r>
        <w:rPr>
          <w:rFonts w:ascii="Times New Roman" w:hAnsi="Times New Roman"/>
          <w:sz w:val="22"/>
          <w:szCs w:val="22"/>
        </w:rPr>
        <w:t>开户行：中国农业银行股份有限公司深圳东湖支行</w:t>
      </w:r>
    </w:p>
    <w:p w14:paraId="5BF84527">
      <w:pPr>
        <w:spacing w:line="360" w:lineRule="exact"/>
        <w:ind w:firstLine="540"/>
        <w:rPr>
          <w:rFonts w:ascii="Times New Roman" w:hAnsi="Times New Roman"/>
          <w:sz w:val="22"/>
          <w:szCs w:val="22"/>
        </w:rPr>
      </w:pPr>
      <w:r>
        <w:rPr>
          <w:rFonts w:ascii="Times New Roman" w:hAnsi="Times New Roman"/>
          <w:sz w:val="22"/>
          <w:szCs w:val="22"/>
        </w:rPr>
        <w:t>账户名称：深圳市东海国际招标有限公司</w:t>
      </w:r>
    </w:p>
    <w:p w14:paraId="4A0B8331">
      <w:pPr>
        <w:spacing w:line="360" w:lineRule="exact"/>
        <w:ind w:firstLine="540"/>
        <w:rPr>
          <w:rFonts w:ascii="Times New Roman" w:hAnsi="Times New Roman"/>
          <w:sz w:val="22"/>
          <w:szCs w:val="22"/>
        </w:rPr>
      </w:pPr>
      <w:r>
        <w:rPr>
          <w:rFonts w:ascii="Times New Roman" w:hAnsi="Times New Roman"/>
          <w:sz w:val="22"/>
          <w:szCs w:val="22"/>
        </w:rPr>
        <w:t>账号：4100 1800 0400 2656 1</w:t>
      </w:r>
    </w:p>
    <w:p w14:paraId="6A01A679">
      <w:pPr>
        <w:spacing w:line="360" w:lineRule="exact"/>
        <w:ind w:firstLine="540"/>
        <w:rPr>
          <w:rFonts w:ascii="Times New Roman" w:hAnsi="Times New Roman"/>
          <w:sz w:val="22"/>
          <w:szCs w:val="22"/>
        </w:rPr>
      </w:pPr>
      <w:r>
        <w:rPr>
          <w:rFonts w:ascii="Times New Roman" w:hAnsi="Times New Roman"/>
          <w:sz w:val="22"/>
          <w:szCs w:val="22"/>
        </w:rPr>
        <w:t>付款时请备注公司名称+付款原因（购买采购文件或中标服务费付款）</w:t>
      </w:r>
    </w:p>
    <w:p w14:paraId="51455B14">
      <w:pPr>
        <w:adjustRightInd w:val="0"/>
        <w:spacing w:before="260" w:after="260" w:line="360" w:lineRule="exact"/>
        <w:jc w:val="left"/>
        <w:textAlignment w:val="baseline"/>
        <w:outlineLvl w:val="1"/>
        <w:rPr>
          <w:rFonts w:ascii="Times New Roman" w:hAnsi="Times New Roman"/>
          <w:b/>
          <w:kern w:val="0"/>
          <w:sz w:val="22"/>
          <w:szCs w:val="22"/>
        </w:rPr>
      </w:pPr>
      <w:r>
        <w:rPr>
          <w:rFonts w:ascii="Times New Roman" w:hAnsi="Times New Roman"/>
          <w:b/>
          <w:kern w:val="0"/>
          <w:sz w:val="22"/>
          <w:szCs w:val="22"/>
        </w:rPr>
        <w:t>四、提交投标文件截止时间、开标时间和地点</w:t>
      </w:r>
    </w:p>
    <w:p w14:paraId="3A94EE38">
      <w:pPr>
        <w:spacing w:line="360" w:lineRule="exact"/>
        <w:ind w:firstLine="440" w:firstLineChars="200"/>
        <w:rPr>
          <w:rFonts w:ascii="Times New Roman" w:hAnsi="Times New Roman"/>
          <w:kern w:val="0"/>
          <w:sz w:val="22"/>
          <w:szCs w:val="22"/>
        </w:rPr>
      </w:pPr>
      <w:r>
        <w:rPr>
          <w:rFonts w:ascii="Times New Roman" w:hAnsi="Times New Roman"/>
          <w:kern w:val="0"/>
          <w:sz w:val="22"/>
          <w:szCs w:val="22"/>
        </w:rPr>
        <w:t>1.时间：</w:t>
      </w:r>
      <w:r>
        <w:rPr>
          <w:rFonts w:ascii="Times New Roman" w:hAnsi="Times New Roman"/>
          <w:color w:val="000000"/>
          <w:sz w:val="22"/>
          <w:szCs w:val="22"/>
        </w:rPr>
        <w:t>202</w:t>
      </w:r>
      <w:r>
        <w:rPr>
          <w:rFonts w:hint="eastAsia" w:ascii="Times New Roman" w:hAnsi="Times New Roman"/>
          <w:color w:val="000000"/>
          <w:sz w:val="22"/>
          <w:szCs w:val="22"/>
        </w:rPr>
        <w:t>5</w:t>
      </w:r>
      <w:r>
        <w:rPr>
          <w:rFonts w:ascii="Times New Roman" w:hAnsi="Times New Roman"/>
          <w:color w:val="000000"/>
          <w:sz w:val="22"/>
          <w:szCs w:val="22"/>
        </w:rPr>
        <w:t>年</w:t>
      </w:r>
      <w:r>
        <w:rPr>
          <w:rFonts w:hint="eastAsia" w:ascii="Times New Roman" w:hAnsi="Times New Roman"/>
          <w:color w:val="000000"/>
          <w:sz w:val="22"/>
          <w:szCs w:val="22"/>
          <w:lang w:val="en-US" w:eastAsia="zh-CN"/>
        </w:rPr>
        <w:t>8</w:t>
      </w:r>
      <w:r>
        <w:rPr>
          <w:rFonts w:ascii="Times New Roman" w:hAnsi="Times New Roman"/>
          <w:color w:val="000000"/>
          <w:sz w:val="22"/>
          <w:szCs w:val="22"/>
        </w:rPr>
        <w:t>月</w:t>
      </w:r>
      <w:r>
        <w:rPr>
          <w:rFonts w:hint="eastAsia" w:ascii="Times New Roman" w:hAnsi="Times New Roman"/>
          <w:color w:val="000000"/>
          <w:sz w:val="22"/>
          <w:szCs w:val="22"/>
          <w:lang w:val="en-US" w:eastAsia="zh-CN"/>
        </w:rPr>
        <w:t>11</w:t>
      </w:r>
      <w:r>
        <w:rPr>
          <w:rFonts w:ascii="Times New Roman" w:hAnsi="Times New Roman"/>
          <w:color w:val="000000"/>
          <w:sz w:val="22"/>
          <w:szCs w:val="22"/>
        </w:rPr>
        <w:t>日</w:t>
      </w:r>
      <w:r>
        <w:rPr>
          <w:rFonts w:hint="eastAsia" w:ascii="Times New Roman" w:hAnsi="Times New Roman"/>
          <w:color w:val="000000"/>
          <w:sz w:val="22"/>
          <w:szCs w:val="22"/>
        </w:rPr>
        <w:t>14</w:t>
      </w:r>
      <w:r>
        <w:rPr>
          <w:rFonts w:ascii="Times New Roman" w:hAnsi="Times New Roman"/>
          <w:color w:val="000000"/>
          <w:sz w:val="22"/>
          <w:szCs w:val="22"/>
        </w:rPr>
        <w:t>点30分</w:t>
      </w:r>
      <w:r>
        <w:rPr>
          <w:rFonts w:ascii="Times New Roman" w:hAnsi="Times New Roman"/>
          <w:kern w:val="0"/>
          <w:sz w:val="22"/>
          <w:szCs w:val="22"/>
        </w:rPr>
        <w:t>（北京时间）</w:t>
      </w:r>
    </w:p>
    <w:p w14:paraId="29E0E712">
      <w:pPr>
        <w:spacing w:line="360" w:lineRule="exact"/>
        <w:ind w:firstLine="440" w:firstLineChars="200"/>
        <w:rPr>
          <w:rFonts w:ascii="Times New Roman" w:hAnsi="Times New Roman"/>
          <w:kern w:val="0"/>
          <w:sz w:val="22"/>
          <w:szCs w:val="22"/>
        </w:rPr>
      </w:pPr>
      <w:r>
        <w:rPr>
          <w:rFonts w:ascii="Times New Roman" w:hAnsi="Times New Roman"/>
          <w:kern w:val="0"/>
          <w:sz w:val="22"/>
          <w:szCs w:val="22"/>
        </w:rPr>
        <w:t>2.地点：深圳市罗湖区太宁路2号百仕达大厦27B深圳市东海国际招标有限公司</w:t>
      </w:r>
      <w:r>
        <w:rPr>
          <w:rFonts w:hint="eastAsia" w:ascii="Times New Roman" w:hAnsi="Times New Roman"/>
          <w:kern w:val="0"/>
          <w:sz w:val="22"/>
          <w:szCs w:val="22"/>
          <w:lang w:val="en-US" w:eastAsia="zh-CN"/>
        </w:rPr>
        <w:t>1</w:t>
      </w:r>
      <w:r>
        <w:rPr>
          <w:rFonts w:ascii="Times New Roman" w:hAnsi="Times New Roman"/>
          <w:sz w:val="22"/>
          <w:szCs w:val="22"/>
        </w:rPr>
        <w:t>号</w:t>
      </w:r>
      <w:r>
        <w:rPr>
          <w:rFonts w:ascii="Times New Roman" w:hAnsi="Times New Roman"/>
          <w:kern w:val="0"/>
          <w:sz w:val="22"/>
          <w:szCs w:val="22"/>
        </w:rPr>
        <w:t>开标室</w:t>
      </w:r>
    </w:p>
    <w:p w14:paraId="356414FB">
      <w:pPr>
        <w:adjustRightInd w:val="0"/>
        <w:spacing w:before="260" w:after="260" w:line="360" w:lineRule="exact"/>
        <w:jc w:val="left"/>
        <w:textAlignment w:val="baseline"/>
        <w:outlineLvl w:val="1"/>
        <w:rPr>
          <w:rFonts w:ascii="Times New Roman" w:hAnsi="Times New Roman"/>
          <w:b/>
          <w:kern w:val="0"/>
          <w:sz w:val="22"/>
          <w:szCs w:val="22"/>
        </w:rPr>
      </w:pPr>
      <w:r>
        <w:rPr>
          <w:rFonts w:ascii="Times New Roman" w:hAnsi="Times New Roman"/>
          <w:b/>
          <w:kern w:val="0"/>
          <w:sz w:val="22"/>
          <w:szCs w:val="22"/>
        </w:rPr>
        <w:t>五、公告期限</w:t>
      </w:r>
    </w:p>
    <w:p w14:paraId="3DA1466E">
      <w:pPr>
        <w:spacing w:line="360" w:lineRule="exact"/>
        <w:ind w:firstLine="440" w:firstLineChars="200"/>
        <w:rPr>
          <w:rFonts w:ascii="Times New Roman" w:hAnsi="Times New Roman"/>
          <w:kern w:val="0"/>
          <w:sz w:val="22"/>
          <w:szCs w:val="22"/>
        </w:rPr>
      </w:pPr>
      <w:r>
        <w:rPr>
          <w:rFonts w:ascii="Times New Roman" w:hAnsi="Times New Roman"/>
          <w:kern w:val="0"/>
          <w:sz w:val="22"/>
          <w:szCs w:val="22"/>
        </w:rPr>
        <w:t>自本公告发布之日起5个工作日。</w:t>
      </w:r>
    </w:p>
    <w:p w14:paraId="5B7C1F1C">
      <w:pPr>
        <w:adjustRightInd w:val="0"/>
        <w:spacing w:before="260" w:after="260" w:line="360" w:lineRule="exact"/>
        <w:jc w:val="left"/>
        <w:textAlignment w:val="baseline"/>
        <w:outlineLvl w:val="1"/>
        <w:rPr>
          <w:rFonts w:ascii="Times New Roman" w:hAnsi="Times New Roman"/>
          <w:b/>
          <w:kern w:val="0"/>
          <w:sz w:val="22"/>
          <w:szCs w:val="22"/>
        </w:rPr>
      </w:pPr>
      <w:r>
        <w:rPr>
          <w:rFonts w:ascii="Times New Roman" w:hAnsi="Times New Roman"/>
          <w:b/>
          <w:kern w:val="0"/>
          <w:sz w:val="22"/>
          <w:szCs w:val="22"/>
        </w:rPr>
        <w:t>六、其他补充事宜</w:t>
      </w:r>
    </w:p>
    <w:p w14:paraId="657488E9">
      <w:pPr>
        <w:spacing w:line="360" w:lineRule="exact"/>
        <w:ind w:firstLine="440" w:firstLineChars="200"/>
        <w:jc w:val="left"/>
        <w:rPr>
          <w:rFonts w:ascii="Times New Roman" w:hAnsi="Times New Roman"/>
          <w:sz w:val="22"/>
          <w:szCs w:val="22"/>
        </w:rPr>
      </w:pPr>
      <w:r>
        <w:rPr>
          <w:rFonts w:ascii="Times New Roman" w:hAnsi="Times New Roman"/>
          <w:sz w:val="22"/>
          <w:szCs w:val="22"/>
        </w:rPr>
        <w:t>1.公示网站</w:t>
      </w:r>
    </w:p>
    <w:p w14:paraId="37A95F05">
      <w:pPr>
        <w:spacing w:line="360" w:lineRule="exact"/>
        <w:ind w:firstLine="440" w:firstLineChars="200"/>
        <w:jc w:val="left"/>
        <w:rPr>
          <w:rFonts w:hint="default" w:ascii="Times New Roman" w:hAnsi="Times New Roman" w:eastAsia="宋体" w:cs="Times New Roman"/>
          <w:color w:val="auto"/>
          <w:sz w:val="22"/>
          <w:szCs w:val="22"/>
          <w:lang w:val="en-US" w:eastAsia="zh-CN"/>
        </w:rPr>
      </w:pPr>
      <w:r>
        <w:rPr>
          <w:rFonts w:hint="default" w:ascii="Times New Roman" w:hAnsi="Times New Roman" w:eastAsia="宋体" w:cs="Times New Roman"/>
          <w:color w:val="auto"/>
          <w:sz w:val="22"/>
          <w:szCs w:val="22"/>
          <w:lang w:val="en-US" w:eastAsia="zh-CN"/>
        </w:rPr>
        <w:t>深圳公共资源交易网：www.szggzy.com</w:t>
      </w:r>
    </w:p>
    <w:p w14:paraId="69EE3FA9">
      <w:pPr>
        <w:spacing w:line="360" w:lineRule="exact"/>
        <w:ind w:firstLine="440" w:firstLineChars="200"/>
        <w:jc w:val="left"/>
        <w:rPr>
          <w:rFonts w:ascii="Times New Roman" w:hAnsi="Times New Roman"/>
          <w:sz w:val="22"/>
          <w:szCs w:val="22"/>
        </w:rPr>
      </w:pPr>
      <w:r>
        <w:rPr>
          <w:rFonts w:hint="default" w:ascii="Times New Roman" w:hAnsi="Times New Roman" w:eastAsia="宋体" w:cs="Times New Roman"/>
          <w:color w:val="auto"/>
          <w:sz w:val="22"/>
          <w:szCs w:val="22"/>
          <w:lang w:val="en-US" w:eastAsia="zh-CN"/>
        </w:rPr>
        <w:t>深圳市东海国际招标有限公司官网：www.szdhit.com</w:t>
      </w:r>
    </w:p>
    <w:p w14:paraId="33B90D90">
      <w:pPr>
        <w:spacing w:line="360" w:lineRule="exact"/>
        <w:ind w:firstLine="440" w:firstLineChars="200"/>
        <w:jc w:val="left"/>
        <w:rPr>
          <w:rFonts w:ascii="Times New Roman" w:hAnsi="Times New Roman"/>
          <w:sz w:val="22"/>
          <w:szCs w:val="22"/>
        </w:rPr>
      </w:pPr>
      <w:r>
        <w:rPr>
          <w:rFonts w:ascii="Times New Roman" w:hAnsi="Times New Roman"/>
          <w:sz w:val="22"/>
          <w:szCs w:val="22"/>
        </w:rPr>
        <w:t>2.其他事项：</w:t>
      </w:r>
    </w:p>
    <w:p w14:paraId="26103DB5">
      <w:pPr>
        <w:spacing w:line="360" w:lineRule="exact"/>
        <w:ind w:firstLine="440" w:firstLineChars="200"/>
        <w:jc w:val="left"/>
        <w:rPr>
          <w:rFonts w:ascii="Times New Roman" w:hAnsi="Times New Roman"/>
          <w:sz w:val="22"/>
          <w:szCs w:val="22"/>
        </w:rPr>
      </w:pPr>
      <w:r>
        <w:rPr>
          <w:rFonts w:ascii="Times New Roman" w:hAnsi="Times New Roman"/>
          <w:sz w:val="22"/>
          <w:szCs w:val="22"/>
        </w:rPr>
        <w:t>本项目投标人可通过“顺丰速运”的邮寄方式（不接受其他邮寄方式或顺丰同城、闪送、美团跑腿等同城服务递交），按照规定的提交投标文件截止时间前将投标文件邮寄至我司，送达时间以我司工作人员签收时间为准。快递箱封面需用A4纸清晰标注项目名称、项目编号和投标人名称，投标人自行承担因寄错地址、逾期送达、未按照招标文件要求密封或者邮寄过程中出现包装密封破损等可能导致投标无效情形的责任与后果。投标人未参加开标会的，视同认可开标结果。</w:t>
      </w:r>
    </w:p>
    <w:p w14:paraId="061A5A63">
      <w:pPr>
        <w:spacing w:line="360" w:lineRule="exact"/>
        <w:ind w:firstLine="440" w:firstLineChars="200"/>
        <w:jc w:val="left"/>
        <w:rPr>
          <w:rFonts w:ascii="Times New Roman" w:hAnsi="Times New Roman"/>
          <w:sz w:val="22"/>
          <w:szCs w:val="22"/>
        </w:rPr>
      </w:pPr>
      <w:r>
        <w:rPr>
          <w:rFonts w:ascii="Times New Roman" w:hAnsi="Times New Roman"/>
          <w:sz w:val="22"/>
          <w:szCs w:val="22"/>
        </w:rPr>
        <w:t>邮寄地址：深圳市罗湖区太宁路2号百仕达大厦27B深圳市东海国际招标有限公司，收件人：葛小姐，联系电话：0755-86959378转8001。</w:t>
      </w:r>
    </w:p>
    <w:p w14:paraId="417F0BA2">
      <w:pPr>
        <w:adjustRightInd w:val="0"/>
        <w:spacing w:before="260" w:after="260" w:line="360" w:lineRule="exact"/>
        <w:jc w:val="left"/>
        <w:textAlignment w:val="baseline"/>
        <w:outlineLvl w:val="1"/>
        <w:rPr>
          <w:rFonts w:ascii="Times New Roman" w:hAnsi="Times New Roman"/>
          <w:b/>
          <w:kern w:val="0"/>
          <w:sz w:val="22"/>
          <w:szCs w:val="22"/>
        </w:rPr>
      </w:pPr>
      <w:r>
        <w:rPr>
          <w:rFonts w:ascii="Times New Roman" w:hAnsi="Times New Roman"/>
          <w:b/>
          <w:kern w:val="0"/>
          <w:sz w:val="22"/>
          <w:szCs w:val="22"/>
        </w:rPr>
        <w:t>七、对本次招标提出询问，请按以下方式联系。</w:t>
      </w:r>
    </w:p>
    <w:p w14:paraId="550C9D85">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both"/>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1.采购人信息</w:t>
      </w:r>
    </w:p>
    <w:p w14:paraId="4F5BF87B">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both"/>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名称：深圳市龙岗区南京师范大学附属龙岗学校</w:t>
      </w:r>
    </w:p>
    <w:p w14:paraId="0AEBC413">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both"/>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地址：深圳市龙岗区吉华街道三联社区文樾路3号</w:t>
      </w:r>
    </w:p>
    <w:p w14:paraId="2404B79C">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both"/>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联系方式：余老师，0755-84510335</w:t>
      </w:r>
    </w:p>
    <w:p w14:paraId="6DE2FD52">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both"/>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2.采购代理机构信息</w:t>
      </w:r>
    </w:p>
    <w:p w14:paraId="5EEA67A7">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both"/>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名称：深圳市东海国际招标有限公司</w:t>
      </w:r>
    </w:p>
    <w:p w14:paraId="71F81E77">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both"/>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地址：深圳市罗湖区太宁路2号百仕达大厦27B</w:t>
      </w:r>
    </w:p>
    <w:p w14:paraId="16F3299A">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both"/>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联系方式：0755-86959378</w:t>
      </w:r>
    </w:p>
    <w:p w14:paraId="45B4435E">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both"/>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3.项目联系方式</w:t>
      </w:r>
    </w:p>
    <w:p w14:paraId="564E51F1">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both"/>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项目联系人：</w:t>
      </w:r>
      <w:r>
        <w:rPr>
          <w:rFonts w:hint="eastAsia" w:ascii="Times New Roman" w:hAnsi="Times New Roman" w:eastAsia="宋体" w:cs="Times New Roman"/>
          <w:sz w:val="22"/>
          <w:szCs w:val="22"/>
          <w:lang w:val="en-US" w:eastAsia="zh-CN"/>
        </w:rPr>
        <w:t>钟小姐</w:t>
      </w:r>
      <w:r>
        <w:rPr>
          <w:rFonts w:hint="default" w:ascii="Times New Roman" w:hAnsi="Times New Roman" w:eastAsia="宋体" w:cs="Times New Roman"/>
          <w:sz w:val="22"/>
          <w:szCs w:val="22"/>
          <w:lang w:val="en-US" w:eastAsia="zh-CN"/>
        </w:rPr>
        <w:t>/段小姐</w:t>
      </w:r>
    </w:p>
    <w:p w14:paraId="310E19D6">
      <w:pPr>
        <w:keepNext w:val="0"/>
        <w:keepLines w:val="0"/>
        <w:pageBreakBefore w:val="0"/>
        <w:widowControl w:val="0"/>
        <w:kinsoku/>
        <w:wordWrap/>
        <w:overflowPunct/>
        <w:topLinePunct w:val="0"/>
        <w:autoSpaceDE/>
        <w:autoSpaceDN/>
        <w:bidi w:val="0"/>
        <w:adjustRightInd/>
        <w:snapToGrid/>
        <w:spacing w:line="360" w:lineRule="exact"/>
        <w:ind w:firstLine="440" w:firstLineChars="200"/>
        <w:jc w:val="both"/>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电话：0755-86959378或86959778转80</w:t>
      </w:r>
      <w:r>
        <w:rPr>
          <w:rFonts w:hint="eastAsia" w:ascii="Times New Roman" w:hAnsi="Times New Roman" w:eastAsia="宋体" w:cs="Times New Roman"/>
          <w:sz w:val="22"/>
          <w:szCs w:val="22"/>
          <w:lang w:val="en-US" w:eastAsia="zh-CN"/>
        </w:rPr>
        <w:t>10</w:t>
      </w:r>
      <w:r>
        <w:rPr>
          <w:rFonts w:hint="default" w:ascii="Times New Roman" w:hAnsi="Times New Roman" w:eastAsia="宋体" w:cs="Times New Roman"/>
          <w:sz w:val="22"/>
          <w:szCs w:val="22"/>
          <w:lang w:val="en-US" w:eastAsia="zh-CN"/>
        </w:rPr>
        <w:t>/80</w:t>
      </w:r>
      <w:r>
        <w:rPr>
          <w:rFonts w:hint="eastAsia" w:ascii="Times New Roman" w:hAnsi="Times New Roman" w:eastAsia="宋体" w:cs="Times New Roman"/>
          <w:sz w:val="22"/>
          <w:szCs w:val="22"/>
          <w:lang w:val="en-US" w:eastAsia="zh-CN"/>
        </w:rPr>
        <w:t>15</w:t>
      </w:r>
    </w:p>
    <w:p w14:paraId="6C794462">
      <w:pPr>
        <w:spacing w:line="360" w:lineRule="exact"/>
        <w:ind w:firstLine="440" w:firstLineChars="200"/>
        <w:rPr>
          <w:rFonts w:hint="default" w:ascii="Times New Roman" w:hAnsi="Times New Roman"/>
          <w:sz w:val="22"/>
          <w:szCs w:val="22"/>
          <w:lang w:val="en-US"/>
        </w:rPr>
      </w:pPr>
      <w:r>
        <w:rPr>
          <w:rFonts w:hint="default" w:ascii="Times New Roman" w:hAnsi="Times New Roman" w:eastAsia="宋体" w:cs="Times New Roman"/>
          <w:sz w:val="22"/>
          <w:szCs w:val="22"/>
          <w:lang w:val="en-US" w:eastAsia="zh-CN"/>
        </w:rPr>
        <w:t>4.监督电话：</w:t>
      </w:r>
      <w:r>
        <w:rPr>
          <w:rFonts w:hint="eastAsia" w:ascii="Times New Roman" w:hAnsi="Times New Roman" w:eastAsia="宋体" w:cs="Times New Roman"/>
          <w:sz w:val="22"/>
          <w:szCs w:val="22"/>
          <w:lang w:val="en-US" w:eastAsia="zh-CN"/>
        </w:rPr>
        <w:t>刘</w:t>
      </w:r>
      <w:r>
        <w:rPr>
          <w:rFonts w:hint="default" w:ascii="Times New Roman" w:hAnsi="Times New Roman" w:eastAsia="宋体" w:cs="Times New Roman"/>
          <w:sz w:val="22"/>
          <w:szCs w:val="22"/>
          <w:lang w:val="en-US" w:eastAsia="zh-CN"/>
        </w:rPr>
        <w:t>先生，</w:t>
      </w:r>
      <w:r>
        <w:rPr>
          <w:rFonts w:hint="eastAsia" w:ascii="Times New Roman" w:hAnsi="Times New Roman" w:eastAsia="宋体" w:cs="Times New Roman"/>
          <w:sz w:val="22"/>
          <w:szCs w:val="22"/>
          <w:lang w:val="en-US" w:eastAsia="zh-CN"/>
        </w:rPr>
        <w:t>13823779877</w:t>
      </w:r>
    </w:p>
    <w:p w14:paraId="64FABC7D">
      <w:pPr>
        <w:ind w:left="-3780" w:leftChars="-1800"/>
        <w:jc w:val="right"/>
        <w:rPr>
          <w:rFonts w:ascii="Times New Roman" w:hAnsi="Times New Roman"/>
          <w:color w:val="000000"/>
          <w:kern w:val="0"/>
          <w:sz w:val="22"/>
          <w:szCs w:val="22"/>
          <w:shd w:val="clear" w:color="auto" w:fill="FFFFFF"/>
          <w:lang w:bidi="ar"/>
        </w:rPr>
      </w:pPr>
    </w:p>
    <w:p w14:paraId="4540EB4E">
      <w:pPr>
        <w:ind w:left="-3780" w:leftChars="-1800"/>
        <w:jc w:val="right"/>
        <w:rPr>
          <w:rFonts w:ascii="Times New Roman" w:hAnsi="Times New Roman"/>
          <w:color w:val="000000"/>
          <w:kern w:val="0"/>
          <w:sz w:val="22"/>
          <w:szCs w:val="22"/>
          <w:shd w:val="clear" w:color="auto" w:fill="FFFFFF"/>
          <w:lang w:bidi="ar"/>
        </w:rPr>
      </w:pPr>
    </w:p>
    <w:p w14:paraId="0F1310E7">
      <w:pPr>
        <w:ind w:left="-3780" w:leftChars="-1800"/>
        <w:jc w:val="right"/>
        <w:rPr>
          <w:rFonts w:ascii="Times New Roman" w:hAnsi="Times New Roman"/>
          <w:color w:val="000000"/>
          <w:kern w:val="0"/>
          <w:sz w:val="22"/>
          <w:szCs w:val="22"/>
          <w:shd w:val="clear" w:color="auto" w:fill="FFFFFF"/>
          <w:lang w:bidi="ar"/>
        </w:rPr>
      </w:pPr>
    </w:p>
    <w:p w14:paraId="1B4BE198">
      <w:pPr>
        <w:ind w:left="-3780" w:leftChars="-1800"/>
        <w:jc w:val="right"/>
        <w:rPr>
          <w:rFonts w:ascii="Times New Roman" w:hAnsi="Times New Roman"/>
          <w:color w:val="000000"/>
          <w:kern w:val="0"/>
          <w:sz w:val="22"/>
          <w:szCs w:val="22"/>
          <w:shd w:val="clear" w:color="auto" w:fill="FFFFFF"/>
          <w:lang w:bidi="ar"/>
        </w:rPr>
      </w:pPr>
      <w:r>
        <w:rPr>
          <w:rFonts w:ascii="Times New Roman" w:hAnsi="Times New Roman"/>
          <w:color w:val="000000"/>
          <w:kern w:val="0"/>
          <w:sz w:val="22"/>
          <w:szCs w:val="22"/>
          <w:shd w:val="clear" w:color="auto" w:fill="FFFFFF"/>
          <w:lang w:bidi="ar"/>
        </w:rPr>
        <w:t>深圳市东海国际招标有限公司</w:t>
      </w:r>
    </w:p>
    <w:p w14:paraId="4946026F">
      <w:pPr>
        <w:ind w:left="-3780" w:leftChars="-1800"/>
        <w:jc w:val="right"/>
        <w:rPr>
          <w:rFonts w:ascii="Times New Roman" w:hAnsi="Times New Roman"/>
          <w:color w:val="000000"/>
          <w:kern w:val="0"/>
          <w:sz w:val="22"/>
          <w:szCs w:val="22"/>
          <w:shd w:val="clear" w:color="auto" w:fill="FFFFFF"/>
          <w:lang w:bidi="ar"/>
        </w:rPr>
      </w:pPr>
      <w:r>
        <w:rPr>
          <w:rFonts w:hint="eastAsia" w:ascii="Times New Roman" w:hAnsi="Times New Roman"/>
          <w:color w:val="000000"/>
          <w:kern w:val="0"/>
          <w:sz w:val="22"/>
          <w:szCs w:val="22"/>
          <w:shd w:val="clear" w:color="auto" w:fill="FFFFFF"/>
          <w:lang w:bidi="ar"/>
        </w:rPr>
        <w:t>2025</w:t>
      </w:r>
      <w:r>
        <w:rPr>
          <w:rFonts w:ascii="Times New Roman" w:hAnsi="Times New Roman"/>
          <w:color w:val="000000"/>
          <w:kern w:val="0"/>
          <w:sz w:val="22"/>
          <w:szCs w:val="22"/>
          <w:shd w:val="clear" w:color="auto" w:fill="FFFFFF"/>
          <w:lang w:bidi="ar"/>
        </w:rPr>
        <w:t>年</w:t>
      </w:r>
      <w:r>
        <w:rPr>
          <w:rFonts w:hint="eastAsia" w:ascii="Times New Roman" w:hAnsi="Times New Roman"/>
          <w:color w:val="000000"/>
          <w:kern w:val="0"/>
          <w:sz w:val="22"/>
          <w:szCs w:val="22"/>
          <w:shd w:val="clear" w:color="auto" w:fill="FFFFFF"/>
          <w:lang w:val="en-US" w:eastAsia="zh-CN" w:bidi="ar"/>
        </w:rPr>
        <w:t>7</w:t>
      </w:r>
      <w:r>
        <w:rPr>
          <w:rFonts w:ascii="Times New Roman" w:hAnsi="Times New Roman"/>
          <w:color w:val="000000"/>
          <w:kern w:val="0"/>
          <w:sz w:val="22"/>
          <w:szCs w:val="22"/>
          <w:shd w:val="clear" w:color="auto" w:fill="FFFFFF"/>
          <w:lang w:bidi="ar"/>
        </w:rPr>
        <w:t>月</w:t>
      </w:r>
      <w:r>
        <w:rPr>
          <w:rFonts w:hint="eastAsia" w:ascii="Times New Roman" w:hAnsi="Times New Roman"/>
          <w:color w:val="000000"/>
          <w:kern w:val="0"/>
          <w:sz w:val="22"/>
          <w:szCs w:val="22"/>
          <w:shd w:val="clear" w:color="auto" w:fill="FFFFFF"/>
          <w:lang w:val="en-US" w:eastAsia="zh-CN" w:bidi="ar"/>
        </w:rPr>
        <w:t>30</w:t>
      </w:r>
      <w:r>
        <w:rPr>
          <w:rFonts w:ascii="Times New Roman" w:hAnsi="Times New Roman"/>
          <w:color w:val="000000"/>
          <w:kern w:val="0"/>
          <w:sz w:val="22"/>
          <w:szCs w:val="22"/>
          <w:shd w:val="clear" w:color="auto" w:fill="FFFFFF"/>
          <w:lang w:bidi="ar"/>
        </w:rPr>
        <w:t>日</w:t>
      </w:r>
    </w:p>
    <w:p w14:paraId="3A27F9D7"/>
    <w:p w14:paraId="45A535A2">
      <w:pPr>
        <w:rPr>
          <w:rFonts w:ascii="Times New Roman" w:hAnsi="Times New Roman"/>
          <w:color w:val="000000"/>
          <w:kern w:val="0"/>
          <w:sz w:val="22"/>
          <w:szCs w:val="22"/>
          <w:shd w:val="clear" w:color="auto" w:fill="FFFFFF"/>
          <w:lang w:bidi="ar"/>
        </w:rPr>
      </w:pPr>
      <w:r>
        <w:rPr>
          <w:rFonts w:ascii="Times New Roman" w:hAnsi="Times New Roman"/>
          <w:color w:val="000000"/>
          <w:kern w:val="0"/>
          <w:sz w:val="22"/>
          <w:szCs w:val="22"/>
          <w:shd w:val="clear" w:color="auto" w:fill="FFFFFF"/>
          <w:lang w:bidi="ar"/>
        </w:rPr>
        <w:br w:type="page"/>
      </w:r>
    </w:p>
    <w:p w14:paraId="7061B8BD">
      <w:pPr>
        <w:pStyle w:val="3"/>
      </w:pPr>
    </w:p>
    <w:p w14:paraId="2BE0B419">
      <w:pPr>
        <w:pStyle w:val="5"/>
        <w:rPr>
          <w:sz w:val="36"/>
          <w:szCs w:val="22"/>
        </w:rPr>
      </w:pPr>
      <w:r>
        <w:rPr>
          <w:rFonts w:hint="eastAsia"/>
          <w:sz w:val="36"/>
          <w:szCs w:val="22"/>
        </w:rPr>
        <w:t>第二章  招标项目需求</w:t>
      </w:r>
    </w:p>
    <w:p w14:paraId="7A0A9C2B">
      <w:pPr>
        <w:pStyle w:val="5"/>
        <w:numPr>
          <w:ilvl w:val="0"/>
          <w:numId w:val="3"/>
        </w:numPr>
        <w:adjustRightInd/>
        <w:textAlignment w:val="auto"/>
        <w:rPr>
          <w:rFonts w:ascii="Times New Roman" w:hAnsi="Times New Roman"/>
        </w:rPr>
      </w:pPr>
      <w:r>
        <w:rPr>
          <w:rFonts w:ascii="Times New Roman" w:hAnsi="Times New Roman"/>
          <w:sz w:val="32"/>
          <w:szCs w:val="32"/>
        </w:rPr>
        <w:t>项目</w:t>
      </w:r>
      <w:r>
        <w:rPr>
          <w:rFonts w:hint="eastAsia" w:ascii="Times New Roman" w:hAnsi="Times New Roman"/>
          <w:sz w:val="32"/>
          <w:szCs w:val="32"/>
          <w:lang w:eastAsia="zh-CN"/>
        </w:rPr>
        <w:t>基本信息</w:t>
      </w:r>
    </w:p>
    <w:tbl>
      <w:tblPr>
        <w:tblStyle w:val="29"/>
        <w:tblW w:w="4998" w:type="pct"/>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4"/>
        <w:gridCol w:w="2234"/>
        <w:gridCol w:w="768"/>
        <w:gridCol w:w="845"/>
        <w:gridCol w:w="1313"/>
        <w:gridCol w:w="1555"/>
        <w:gridCol w:w="1147"/>
      </w:tblGrid>
      <w:tr w14:paraId="4977C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right"/>
        </w:trPr>
        <w:tc>
          <w:tcPr>
            <w:tcW w:w="389" w:type="pct"/>
            <w:vAlign w:val="center"/>
          </w:tcPr>
          <w:p w14:paraId="5919C07A">
            <w:pPr>
              <w:spacing w:line="360" w:lineRule="exact"/>
              <w:jc w:val="center"/>
              <w:rPr>
                <w:rFonts w:ascii="Times New Roman" w:hAnsi="Times New Roman"/>
                <w:b/>
                <w:sz w:val="22"/>
                <w:szCs w:val="22"/>
              </w:rPr>
            </w:pPr>
            <w:r>
              <w:rPr>
                <w:rFonts w:ascii="Times New Roman" w:hAnsi="Times New Roman"/>
                <w:b/>
                <w:sz w:val="22"/>
                <w:szCs w:val="22"/>
              </w:rPr>
              <w:t>序号</w:t>
            </w:r>
          </w:p>
        </w:tc>
        <w:tc>
          <w:tcPr>
            <w:tcW w:w="1309" w:type="pct"/>
            <w:vAlign w:val="center"/>
          </w:tcPr>
          <w:p w14:paraId="7C4BDADE">
            <w:pPr>
              <w:spacing w:line="360" w:lineRule="exact"/>
              <w:jc w:val="center"/>
              <w:rPr>
                <w:rFonts w:ascii="Times New Roman" w:hAnsi="Times New Roman"/>
                <w:b/>
                <w:sz w:val="22"/>
                <w:szCs w:val="22"/>
              </w:rPr>
            </w:pPr>
            <w:r>
              <w:rPr>
                <w:rFonts w:ascii="Times New Roman" w:hAnsi="Times New Roman"/>
                <w:b/>
                <w:sz w:val="22"/>
                <w:szCs w:val="22"/>
              </w:rPr>
              <w:t>服务内容</w:t>
            </w:r>
          </w:p>
        </w:tc>
        <w:tc>
          <w:tcPr>
            <w:tcW w:w="450" w:type="pct"/>
            <w:vAlign w:val="center"/>
          </w:tcPr>
          <w:p w14:paraId="2460403A">
            <w:pPr>
              <w:spacing w:line="360" w:lineRule="exact"/>
              <w:jc w:val="center"/>
              <w:rPr>
                <w:rFonts w:ascii="Times New Roman" w:hAnsi="Times New Roman"/>
                <w:b/>
                <w:sz w:val="22"/>
                <w:szCs w:val="22"/>
              </w:rPr>
            </w:pPr>
            <w:r>
              <w:rPr>
                <w:rFonts w:ascii="Times New Roman" w:hAnsi="Times New Roman"/>
                <w:b/>
                <w:sz w:val="22"/>
                <w:szCs w:val="22"/>
              </w:rPr>
              <w:t>数量</w:t>
            </w:r>
          </w:p>
        </w:tc>
        <w:tc>
          <w:tcPr>
            <w:tcW w:w="495" w:type="pct"/>
            <w:vAlign w:val="center"/>
          </w:tcPr>
          <w:p w14:paraId="70F3518F">
            <w:pPr>
              <w:spacing w:line="360" w:lineRule="exact"/>
              <w:jc w:val="center"/>
              <w:rPr>
                <w:rFonts w:ascii="Times New Roman" w:hAnsi="Times New Roman"/>
                <w:b/>
                <w:sz w:val="22"/>
                <w:szCs w:val="22"/>
              </w:rPr>
            </w:pPr>
            <w:r>
              <w:rPr>
                <w:rFonts w:ascii="Times New Roman" w:hAnsi="Times New Roman"/>
                <w:b/>
                <w:sz w:val="22"/>
                <w:szCs w:val="22"/>
              </w:rPr>
              <w:t>单位</w:t>
            </w:r>
          </w:p>
        </w:tc>
        <w:tc>
          <w:tcPr>
            <w:tcW w:w="769" w:type="pct"/>
            <w:vAlign w:val="center"/>
          </w:tcPr>
          <w:p w14:paraId="77360C44">
            <w:pPr>
              <w:spacing w:line="360" w:lineRule="exact"/>
              <w:jc w:val="center"/>
              <w:rPr>
                <w:rFonts w:ascii="Times New Roman" w:hAnsi="Times New Roman"/>
                <w:b/>
                <w:sz w:val="22"/>
                <w:szCs w:val="22"/>
              </w:rPr>
            </w:pPr>
            <w:r>
              <w:rPr>
                <w:rFonts w:ascii="Times New Roman" w:hAnsi="Times New Roman"/>
                <w:b/>
                <w:sz w:val="22"/>
                <w:szCs w:val="22"/>
              </w:rPr>
              <w:t>预算限额（元）</w:t>
            </w:r>
          </w:p>
        </w:tc>
        <w:tc>
          <w:tcPr>
            <w:tcW w:w="911" w:type="pct"/>
            <w:vAlign w:val="center"/>
          </w:tcPr>
          <w:p w14:paraId="5C90EECC">
            <w:pPr>
              <w:spacing w:line="360" w:lineRule="exact"/>
              <w:jc w:val="center"/>
              <w:rPr>
                <w:rFonts w:ascii="Times New Roman" w:hAnsi="Times New Roman"/>
                <w:b/>
                <w:sz w:val="22"/>
                <w:szCs w:val="22"/>
              </w:rPr>
            </w:pPr>
            <w:r>
              <w:rPr>
                <w:rFonts w:hint="eastAsia" w:ascii="Times New Roman" w:hAnsi="Times New Roman"/>
                <w:b/>
                <w:sz w:val="22"/>
                <w:szCs w:val="22"/>
              </w:rPr>
              <w:t>最高限</w:t>
            </w:r>
            <w:r>
              <w:rPr>
                <w:rFonts w:hint="eastAsia" w:ascii="Times New Roman" w:hAnsi="Times New Roman"/>
                <w:b/>
                <w:bCs w:val="0"/>
                <w:sz w:val="22"/>
                <w:szCs w:val="22"/>
              </w:rPr>
              <w:t>价（</w:t>
            </w:r>
            <w:r>
              <w:rPr>
                <w:rFonts w:hint="eastAsia" w:ascii="宋体" w:hAnsi="宋体" w:cs="宋体"/>
                <w:b/>
                <w:bCs w:val="0"/>
                <w:sz w:val="22"/>
                <w:szCs w:val="22"/>
                <w:shd w:val="clear" w:color="auto" w:fill="FFFFFF"/>
                <w:lang w:eastAsia="zh-CN"/>
              </w:rPr>
              <w:t>元</w:t>
            </w:r>
            <w:r>
              <w:rPr>
                <w:rFonts w:hint="eastAsia" w:ascii="宋体" w:hAnsi="宋体" w:cs="宋体"/>
                <w:b/>
                <w:bCs w:val="0"/>
                <w:sz w:val="22"/>
                <w:szCs w:val="22"/>
                <w:shd w:val="clear" w:color="auto" w:fill="FFFFFF"/>
                <w:lang w:val="en-US" w:eastAsia="zh-CN"/>
              </w:rPr>
              <w:t>/人/月</w:t>
            </w:r>
            <w:r>
              <w:rPr>
                <w:rFonts w:hint="eastAsia" w:ascii="Times New Roman" w:hAnsi="Times New Roman"/>
                <w:b/>
                <w:bCs w:val="0"/>
                <w:sz w:val="22"/>
                <w:szCs w:val="22"/>
              </w:rPr>
              <w:t>）</w:t>
            </w:r>
          </w:p>
        </w:tc>
        <w:tc>
          <w:tcPr>
            <w:tcW w:w="672" w:type="pct"/>
            <w:vAlign w:val="center"/>
          </w:tcPr>
          <w:p w14:paraId="0C6E20C4">
            <w:pPr>
              <w:spacing w:line="360" w:lineRule="exact"/>
              <w:jc w:val="center"/>
              <w:rPr>
                <w:rFonts w:hint="eastAsia" w:ascii="Times New Roman" w:hAnsi="Times New Roman" w:eastAsia="宋体"/>
                <w:b/>
                <w:sz w:val="22"/>
                <w:szCs w:val="22"/>
                <w:lang w:eastAsia="zh-CN"/>
              </w:rPr>
            </w:pPr>
            <w:r>
              <w:rPr>
                <w:rFonts w:hint="eastAsia" w:ascii="Times New Roman" w:hAnsi="Times New Roman"/>
                <w:b/>
                <w:sz w:val="22"/>
                <w:szCs w:val="22"/>
                <w:lang w:eastAsia="zh-CN"/>
              </w:rPr>
              <w:t>备注</w:t>
            </w:r>
          </w:p>
        </w:tc>
      </w:tr>
      <w:tr w14:paraId="1A321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jc w:val="right"/>
        </w:trPr>
        <w:tc>
          <w:tcPr>
            <w:tcW w:w="389" w:type="pct"/>
            <w:vMerge w:val="restart"/>
            <w:vAlign w:val="center"/>
          </w:tcPr>
          <w:p w14:paraId="14558B84">
            <w:pPr>
              <w:adjustRightInd w:val="0"/>
              <w:snapToGrid w:val="0"/>
              <w:spacing w:line="360" w:lineRule="exact"/>
              <w:jc w:val="center"/>
              <w:rPr>
                <w:rFonts w:ascii="Times New Roman" w:hAnsi="Times New Roman"/>
                <w:color w:val="000000" w:themeColor="text1"/>
                <w:kern w:val="0"/>
                <w:sz w:val="22"/>
                <w:szCs w:val="22"/>
                <w14:textFill>
                  <w14:solidFill>
                    <w14:schemeClr w14:val="tx1"/>
                  </w14:solidFill>
                </w14:textFill>
              </w:rPr>
            </w:pPr>
            <w:r>
              <w:rPr>
                <w:rFonts w:ascii="Times New Roman" w:hAnsi="Times New Roman"/>
                <w:color w:val="000000" w:themeColor="text1"/>
                <w:kern w:val="0"/>
                <w:sz w:val="22"/>
                <w:szCs w:val="22"/>
                <w14:textFill>
                  <w14:solidFill>
                    <w14:schemeClr w14:val="tx1"/>
                  </w14:solidFill>
                </w14:textFill>
              </w:rPr>
              <w:t>1</w:t>
            </w:r>
          </w:p>
        </w:tc>
        <w:tc>
          <w:tcPr>
            <w:tcW w:w="1309" w:type="pct"/>
            <w:vMerge w:val="restart"/>
            <w:vAlign w:val="center"/>
          </w:tcPr>
          <w:p w14:paraId="04BE8CCB">
            <w:pPr>
              <w:spacing w:line="360" w:lineRule="exact"/>
              <w:jc w:val="center"/>
              <w:rPr>
                <w:rFonts w:hint="default" w:ascii="Times New Roman" w:hAnsi="Times New Roman" w:eastAsia="宋体" w:cs="Times New Roman"/>
                <w:bCs/>
                <w:sz w:val="22"/>
                <w:szCs w:val="22"/>
                <w:lang w:eastAsia="zh-CN"/>
              </w:rPr>
            </w:pPr>
            <w:r>
              <w:rPr>
                <w:rFonts w:hint="default" w:ascii="Times New Roman" w:hAnsi="Times New Roman" w:cs="Times New Roman"/>
                <w:bCs/>
                <w:sz w:val="22"/>
                <w:szCs w:val="22"/>
                <w:lang w:eastAsia="zh-CN"/>
              </w:rPr>
              <w:t>深圳市龙岗区南京师范大学附属龙岗学校购买教育服务项目</w:t>
            </w:r>
          </w:p>
        </w:tc>
        <w:tc>
          <w:tcPr>
            <w:tcW w:w="450" w:type="pct"/>
            <w:vMerge w:val="restart"/>
            <w:vAlign w:val="center"/>
          </w:tcPr>
          <w:p w14:paraId="530FDB96">
            <w:pPr>
              <w:spacing w:line="360" w:lineRule="exact"/>
              <w:jc w:val="center"/>
              <w:rPr>
                <w:rFonts w:hint="default" w:ascii="Times New Roman" w:hAnsi="Times New Roman" w:cs="Times New Roman"/>
                <w:bCs/>
                <w:sz w:val="22"/>
                <w:szCs w:val="22"/>
              </w:rPr>
            </w:pPr>
            <w:r>
              <w:rPr>
                <w:rFonts w:hint="default" w:ascii="Times New Roman" w:hAnsi="Times New Roman" w:cs="Times New Roman"/>
                <w:bCs/>
                <w:sz w:val="22"/>
                <w:szCs w:val="22"/>
              </w:rPr>
              <w:t>1</w:t>
            </w:r>
          </w:p>
        </w:tc>
        <w:tc>
          <w:tcPr>
            <w:tcW w:w="495" w:type="pct"/>
            <w:vMerge w:val="restart"/>
            <w:vAlign w:val="center"/>
          </w:tcPr>
          <w:p w14:paraId="225B251A">
            <w:pPr>
              <w:spacing w:line="360" w:lineRule="exact"/>
              <w:jc w:val="center"/>
              <w:rPr>
                <w:rFonts w:hint="default" w:ascii="Times New Roman" w:hAnsi="Times New Roman" w:cs="Times New Roman"/>
                <w:bCs/>
                <w:sz w:val="22"/>
                <w:szCs w:val="22"/>
              </w:rPr>
            </w:pPr>
            <w:r>
              <w:rPr>
                <w:rFonts w:hint="default" w:ascii="Times New Roman" w:hAnsi="Times New Roman" w:cs="Times New Roman"/>
                <w:bCs/>
                <w:sz w:val="22"/>
                <w:szCs w:val="22"/>
              </w:rPr>
              <w:t>项</w:t>
            </w:r>
          </w:p>
        </w:tc>
        <w:tc>
          <w:tcPr>
            <w:tcW w:w="769" w:type="pct"/>
            <w:vMerge w:val="restart"/>
            <w:vAlign w:val="center"/>
          </w:tcPr>
          <w:p w14:paraId="40FFDFE9">
            <w:pPr>
              <w:spacing w:line="360" w:lineRule="exact"/>
              <w:jc w:val="center"/>
              <w:rPr>
                <w:rFonts w:hint="default" w:ascii="Times New Roman" w:hAnsi="Times New Roman" w:eastAsia="宋体" w:cs="Times New Roman"/>
                <w:bCs/>
                <w:sz w:val="22"/>
                <w:szCs w:val="22"/>
                <w:lang w:eastAsia="zh-CN"/>
              </w:rPr>
            </w:pPr>
            <w:r>
              <w:rPr>
                <w:rFonts w:hint="default" w:ascii="Times New Roman" w:hAnsi="Times New Roman" w:cs="Times New Roman"/>
                <w:bCs/>
                <w:sz w:val="22"/>
                <w:szCs w:val="22"/>
                <w:lang w:eastAsia="zh-CN"/>
              </w:rPr>
              <w:t>307,200.00</w:t>
            </w:r>
          </w:p>
        </w:tc>
        <w:tc>
          <w:tcPr>
            <w:tcW w:w="911" w:type="pct"/>
            <w:vAlign w:val="center"/>
          </w:tcPr>
          <w:p w14:paraId="769F0808">
            <w:pPr>
              <w:spacing w:line="360" w:lineRule="exact"/>
              <w:jc w:val="center"/>
              <w:rPr>
                <w:rFonts w:hint="default" w:ascii="Times New Roman" w:hAnsi="Times New Roman" w:cs="Times New Roman"/>
                <w:bCs/>
                <w:sz w:val="22"/>
                <w:szCs w:val="22"/>
                <w:lang w:eastAsia="zh-CN"/>
              </w:rPr>
            </w:pPr>
            <w:r>
              <w:rPr>
                <w:rFonts w:hint="default" w:ascii="Times New Roman" w:hAnsi="Times New Roman" w:cs="Times New Roman"/>
                <w:sz w:val="22"/>
                <w:szCs w:val="22"/>
                <w:highlight w:val="none"/>
                <w:shd w:val="clear" w:color="auto" w:fill="FFFFFF"/>
                <w:lang w:val="en-US" w:eastAsia="zh-CN"/>
              </w:rPr>
              <w:t>1,328.00</w:t>
            </w:r>
          </w:p>
        </w:tc>
        <w:tc>
          <w:tcPr>
            <w:tcW w:w="672" w:type="pct"/>
            <w:vAlign w:val="center"/>
          </w:tcPr>
          <w:p w14:paraId="6A4A4669">
            <w:pPr>
              <w:spacing w:line="360" w:lineRule="exact"/>
              <w:jc w:val="center"/>
              <w:rPr>
                <w:rFonts w:hint="eastAsia" w:ascii="宋体" w:hAnsi="宋体" w:cs="宋体"/>
                <w:sz w:val="22"/>
                <w:szCs w:val="22"/>
                <w:highlight w:val="none"/>
                <w:shd w:val="clear" w:color="auto" w:fill="FFFFFF"/>
                <w:lang w:val="en-US" w:eastAsia="zh-CN"/>
              </w:rPr>
            </w:pPr>
            <w:r>
              <w:rPr>
                <w:rFonts w:hint="eastAsia" w:ascii="宋体" w:hAnsi="宋体" w:cs="宋体"/>
                <w:sz w:val="22"/>
                <w:szCs w:val="22"/>
                <w:highlight w:val="none"/>
                <w:shd w:val="clear" w:color="auto" w:fill="FFFFFF"/>
                <w:lang w:val="en-US" w:eastAsia="zh-CN"/>
              </w:rPr>
              <w:t>初中岗位</w:t>
            </w:r>
          </w:p>
        </w:tc>
      </w:tr>
      <w:tr w14:paraId="436C4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right"/>
        </w:trPr>
        <w:tc>
          <w:tcPr>
            <w:tcW w:w="389" w:type="pct"/>
            <w:vMerge w:val="continue"/>
            <w:vAlign w:val="center"/>
          </w:tcPr>
          <w:p w14:paraId="351CC664">
            <w:pPr>
              <w:adjustRightInd w:val="0"/>
              <w:snapToGrid w:val="0"/>
              <w:spacing w:line="360" w:lineRule="exact"/>
              <w:jc w:val="center"/>
              <w:rPr>
                <w:rFonts w:ascii="Times New Roman" w:hAnsi="Times New Roman"/>
                <w:color w:val="000000" w:themeColor="text1"/>
                <w:kern w:val="0"/>
                <w:sz w:val="22"/>
                <w:szCs w:val="22"/>
                <w14:textFill>
                  <w14:solidFill>
                    <w14:schemeClr w14:val="tx1"/>
                  </w14:solidFill>
                </w14:textFill>
              </w:rPr>
            </w:pPr>
          </w:p>
        </w:tc>
        <w:tc>
          <w:tcPr>
            <w:tcW w:w="1309" w:type="pct"/>
            <w:vMerge w:val="continue"/>
            <w:vAlign w:val="center"/>
          </w:tcPr>
          <w:p w14:paraId="0DAD8C87">
            <w:pPr>
              <w:spacing w:line="360" w:lineRule="exact"/>
              <w:jc w:val="center"/>
              <w:rPr>
                <w:rFonts w:hint="default" w:ascii="Times New Roman" w:hAnsi="Times New Roman" w:cs="Times New Roman"/>
                <w:bCs/>
                <w:sz w:val="22"/>
                <w:szCs w:val="22"/>
                <w:lang w:eastAsia="zh-CN"/>
              </w:rPr>
            </w:pPr>
          </w:p>
        </w:tc>
        <w:tc>
          <w:tcPr>
            <w:tcW w:w="450" w:type="pct"/>
            <w:vMerge w:val="continue"/>
            <w:vAlign w:val="center"/>
          </w:tcPr>
          <w:p w14:paraId="0D01704E">
            <w:pPr>
              <w:spacing w:line="360" w:lineRule="exact"/>
              <w:jc w:val="center"/>
              <w:rPr>
                <w:rFonts w:hint="default" w:ascii="Times New Roman" w:hAnsi="Times New Roman" w:cs="Times New Roman"/>
                <w:bCs/>
                <w:sz w:val="22"/>
                <w:szCs w:val="22"/>
              </w:rPr>
            </w:pPr>
          </w:p>
        </w:tc>
        <w:tc>
          <w:tcPr>
            <w:tcW w:w="495" w:type="pct"/>
            <w:vMerge w:val="continue"/>
            <w:vAlign w:val="center"/>
          </w:tcPr>
          <w:p w14:paraId="6D74C342">
            <w:pPr>
              <w:spacing w:line="360" w:lineRule="exact"/>
              <w:jc w:val="center"/>
              <w:rPr>
                <w:rFonts w:hint="default" w:ascii="Times New Roman" w:hAnsi="Times New Roman" w:cs="Times New Roman"/>
                <w:bCs/>
                <w:sz w:val="22"/>
                <w:szCs w:val="22"/>
              </w:rPr>
            </w:pPr>
          </w:p>
        </w:tc>
        <w:tc>
          <w:tcPr>
            <w:tcW w:w="769" w:type="pct"/>
            <w:vMerge w:val="continue"/>
            <w:vAlign w:val="center"/>
          </w:tcPr>
          <w:p w14:paraId="3CAEF701">
            <w:pPr>
              <w:spacing w:line="360" w:lineRule="exact"/>
              <w:jc w:val="center"/>
              <w:rPr>
                <w:rFonts w:hint="default" w:ascii="Times New Roman" w:hAnsi="Times New Roman" w:cs="Times New Roman"/>
                <w:bCs/>
                <w:sz w:val="22"/>
                <w:szCs w:val="22"/>
                <w:lang w:eastAsia="zh-CN"/>
              </w:rPr>
            </w:pPr>
          </w:p>
        </w:tc>
        <w:tc>
          <w:tcPr>
            <w:tcW w:w="911" w:type="pct"/>
            <w:vAlign w:val="center"/>
          </w:tcPr>
          <w:p w14:paraId="45D112DB">
            <w:pPr>
              <w:spacing w:line="360" w:lineRule="exact"/>
              <w:jc w:val="center"/>
              <w:rPr>
                <w:rFonts w:hint="default" w:ascii="Times New Roman" w:hAnsi="Times New Roman" w:cs="Times New Roman"/>
                <w:bCs/>
                <w:sz w:val="22"/>
                <w:szCs w:val="22"/>
                <w:lang w:val="en-US" w:eastAsia="zh-CN"/>
              </w:rPr>
            </w:pPr>
            <w:r>
              <w:rPr>
                <w:rFonts w:hint="default" w:ascii="Times New Roman" w:hAnsi="Times New Roman" w:cs="Times New Roman"/>
                <w:bCs/>
                <w:sz w:val="22"/>
                <w:szCs w:val="22"/>
                <w:lang w:val="en-US" w:eastAsia="zh-CN"/>
              </w:rPr>
              <w:t>1,208.00</w:t>
            </w:r>
          </w:p>
        </w:tc>
        <w:tc>
          <w:tcPr>
            <w:tcW w:w="672" w:type="pct"/>
            <w:vAlign w:val="center"/>
          </w:tcPr>
          <w:p w14:paraId="717F1C00">
            <w:pPr>
              <w:spacing w:line="360" w:lineRule="exact"/>
              <w:jc w:val="center"/>
              <w:rPr>
                <w:rFonts w:hint="eastAsia" w:ascii="Times New Roman" w:hAnsi="Times New Roman"/>
                <w:bCs/>
                <w:sz w:val="22"/>
                <w:szCs w:val="22"/>
                <w:lang w:eastAsia="zh-CN"/>
              </w:rPr>
            </w:pPr>
            <w:r>
              <w:rPr>
                <w:rFonts w:hint="eastAsia" w:ascii="Times New Roman" w:hAnsi="Times New Roman"/>
                <w:bCs/>
                <w:sz w:val="22"/>
                <w:szCs w:val="22"/>
                <w:lang w:eastAsia="zh-CN"/>
              </w:rPr>
              <w:t>小学岗位</w:t>
            </w:r>
          </w:p>
        </w:tc>
      </w:tr>
    </w:tbl>
    <w:p w14:paraId="154A3649">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imes New Roman" w:hAnsi="Times New Roman"/>
          <w:b/>
          <w:bCs/>
          <w:sz w:val="22"/>
          <w:szCs w:val="22"/>
          <w:lang w:val="en-US" w:eastAsia="zh-CN"/>
        </w:rPr>
      </w:pPr>
      <w:r>
        <w:rPr>
          <w:rFonts w:ascii="Times New Roman" w:hAnsi="Times New Roman"/>
          <w:sz w:val="22"/>
          <w:szCs w:val="22"/>
        </w:rPr>
        <w:t xml:space="preserve">    </w:t>
      </w:r>
      <w:r>
        <w:rPr>
          <w:rFonts w:ascii="Times New Roman" w:hAnsi="Times New Roman"/>
          <w:b/>
          <w:bCs/>
          <w:sz w:val="22"/>
          <w:szCs w:val="22"/>
        </w:rPr>
        <w:t xml:space="preserve"> </w:t>
      </w:r>
      <w:r>
        <w:rPr>
          <w:rFonts w:hint="eastAsia" w:ascii="Times New Roman" w:hAnsi="Times New Roman"/>
          <w:b/>
          <w:bCs/>
          <w:sz w:val="22"/>
          <w:szCs w:val="22"/>
        </w:rPr>
        <w:t>本项目在预算金额下设定最高限价，如投标人的投标报价超过最高限价，将按照符合性审查要求作投标无效处理</w:t>
      </w:r>
      <w:r>
        <w:rPr>
          <w:rFonts w:hint="eastAsia" w:ascii="Times New Roman" w:hAnsi="Times New Roman"/>
          <w:b/>
          <w:bCs/>
          <w:sz w:val="22"/>
          <w:szCs w:val="22"/>
          <w:lang w:val="en-US" w:eastAsia="zh-CN"/>
        </w:rPr>
        <w:t>。</w:t>
      </w:r>
    </w:p>
    <w:p w14:paraId="3029C330">
      <w:pPr>
        <w:pStyle w:val="3"/>
        <w:rPr>
          <w:rFonts w:hint="eastAsia"/>
          <w:lang w:val="en-US" w:eastAsia="zh-CN"/>
        </w:rPr>
      </w:pPr>
    </w:p>
    <w:p w14:paraId="0F0E603A">
      <w:pPr>
        <w:pStyle w:val="5"/>
        <w:numPr>
          <w:ilvl w:val="0"/>
          <w:numId w:val="3"/>
        </w:numPr>
        <w:adjustRightInd/>
        <w:textAlignment w:val="auto"/>
        <w:rPr>
          <w:rFonts w:ascii="Times New Roman" w:hAnsi="Times New Roman"/>
        </w:rPr>
      </w:pPr>
      <w:r>
        <w:rPr>
          <w:rFonts w:hint="eastAsia" w:ascii="Times New Roman" w:hAnsi="Times New Roman"/>
          <w:sz w:val="32"/>
          <w:szCs w:val="32"/>
          <w:lang w:eastAsia="zh-CN"/>
        </w:rPr>
        <w:t>项目概况</w:t>
      </w:r>
    </w:p>
    <w:p w14:paraId="70268D20">
      <w:pPr>
        <w:keepNext w:val="0"/>
        <w:keepLines w:val="0"/>
        <w:pageBreakBefore w:val="0"/>
        <w:kinsoku/>
        <w:wordWrap/>
        <w:overflowPunct/>
        <w:topLinePunct w:val="0"/>
        <w:autoSpaceDE/>
        <w:autoSpaceDN/>
        <w:bidi w:val="0"/>
        <w:adjustRightInd/>
        <w:snapToGrid/>
        <w:spacing w:line="360" w:lineRule="exact"/>
        <w:ind w:firstLine="440" w:firstLineChars="200"/>
        <w:jc w:val="left"/>
        <w:textAlignment w:val="auto"/>
        <w:rPr>
          <w:rFonts w:hint="eastAsia" w:ascii="Times New Roman" w:hAnsi="Times New Roman" w:eastAsia="宋体" w:cs="Times New Roman"/>
          <w:kern w:val="2"/>
          <w:sz w:val="22"/>
          <w:szCs w:val="22"/>
          <w:lang w:val="en-US" w:eastAsia="zh-CN" w:bidi="ar-SA"/>
        </w:rPr>
      </w:pPr>
      <w:r>
        <w:rPr>
          <w:rFonts w:hint="eastAsia" w:ascii="Times New Roman" w:hAnsi="Times New Roman" w:eastAsia="宋体" w:cs="Times New Roman"/>
          <w:kern w:val="2"/>
          <w:sz w:val="22"/>
          <w:szCs w:val="22"/>
          <w:lang w:val="en-US" w:eastAsia="zh-CN" w:bidi="ar-SA"/>
        </w:rPr>
        <w:t>为配合我校教育教学工作，提高教育治理体系和治理</w:t>
      </w:r>
      <w:r>
        <w:rPr>
          <w:rFonts w:hint="eastAsia" w:ascii="Times New Roman" w:hAnsi="Times New Roman" w:eastAsia="宋体" w:cs="Times New Roman"/>
          <w:kern w:val="2"/>
          <w:sz w:val="22"/>
          <w:szCs w:val="22"/>
          <w:highlight w:val="none"/>
          <w:lang w:val="en-US" w:eastAsia="zh-CN" w:bidi="ar-SA"/>
        </w:rPr>
        <w:t>能力现代化建设，同时更好地适应今后长远的发展需要，现计划采用购买教育服务的方式完成采购部分课时服务。购</w:t>
      </w:r>
      <w:r>
        <w:rPr>
          <w:rFonts w:hint="eastAsia" w:ascii="Times New Roman" w:hAnsi="Times New Roman" w:eastAsia="宋体" w:cs="Times New Roman"/>
          <w:kern w:val="2"/>
          <w:sz w:val="22"/>
          <w:szCs w:val="22"/>
          <w:lang w:val="en-US" w:eastAsia="zh-CN" w:bidi="ar-SA"/>
        </w:rPr>
        <w:t>买服务内容包括购买服务人员的招聘及补充、劳动合同签订、社保公积金缴交、发放工资、代扣个税、日常管理以及用人风险承担等。</w:t>
      </w:r>
    </w:p>
    <w:p w14:paraId="05B27BED">
      <w:pPr>
        <w:pStyle w:val="3"/>
        <w:rPr>
          <w:rFonts w:hint="eastAsia"/>
          <w:lang w:val="en-US" w:eastAsia="zh-CN"/>
        </w:rPr>
      </w:pPr>
    </w:p>
    <w:p w14:paraId="45CA6F72">
      <w:pPr>
        <w:pStyle w:val="5"/>
        <w:numPr>
          <w:ilvl w:val="0"/>
          <w:numId w:val="3"/>
        </w:numPr>
        <w:adjustRightInd/>
        <w:textAlignment w:val="auto"/>
        <w:rPr>
          <w:rFonts w:ascii="Times New Roman" w:hAnsi="Times New Roman"/>
        </w:rPr>
      </w:pPr>
      <w:r>
        <w:rPr>
          <w:rFonts w:hint="eastAsia" w:ascii="Times New Roman" w:hAnsi="Times New Roman"/>
          <w:sz w:val="32"/>
          <w:szCs w:val="32"/>
          <w:lang w:eastAsia="zh-CN"/>
        </w:rPr>
        <w:t>服务需求明细</w:t>
      </w:r>
    </w:p>
    <w:tbl>
      <w:tblPr>
        <w:tblStyle w:val="29"/>
        <w:tblW w:w="4998" w:type="pct"/>
        <w:jc w:val="center"/>
        <w:shd w:val="clear" w:color="auto" w:fill="FFFFFF"/>
        <w:tblLayout w:type="autofit"/>
        <w:tblCellMar>
          <w:top w:w="0" w:type="dxa"/>
          <w:left w:w="0" w:type="dxa"/>
          <w:bottom w:w="0" w:type="dxa"/>
          <w:right w:w="0" w:type="dxa"/>
        </w:tblCellMar>
      </w:tblPr>
      <w:tblGrid>
        <w:gridCol w:w="1369"/>
        <w:gridCol w:w="1742"/>
        <w:gridCol w:w="2671"/>
        <w:gridCol w:w="2738"/>
      </w:tblGrid>
      <w:tr w14:paraId="115AB60E">
        <w:tblPrEx>
          <w:shd w:val="clear" w:color="auto" w:fill="FFFFFF"/>
          <w:tblCellMar>
            <w:top w:w="0" w:type="dxa"/>
            <w:left w:w="0" w:type="dxa"/>
            <w:bottom w:w="0" w:type="dxa"/>
            <w:right w:w="0" w:type="dxa"/>
          </w:tblCellMar>
        </w:tblPrEx>
        <w:trPr>
          <w:trHeight w:val="23" w:hRule="atLeast"/>
          <w:jc w:val="center"/>
        </w:trPr>
        <w:tc>
          <w:tcPr>
            <w:tcW w:w="803" w:type="pct"/>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4274BAE7">
            <w:pPr>
              <w:pStyle w:val="25"/>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default" w:ascii="Times New Roman" w:hAnsi="Times New Roman" w:eastAsia="宋体" w:cs="Times New Roman"/>
                <w:b/>
                <w:bCs/>
                <w:sz w:val="22"/>
                <w:szCs w:val="22"/>
                <w:shd w:val="clear" w:color="auto" w:fill="FFFFFF"/>
              </w:rPr>
            </w:pPr>
            <w:r>
              <w:rPr>
                <w:rFonts w:hint="default" w:ascii="Times New Roman" w:hAnsi="Times New Roman" w:eastAsia="宋体" w:cs="Times New Roman"/>
                <w:b/>
                <w:bCs/>
                <w:sz w:val="22"/>
                <w:szCs w:val="22"/>
                <w:shd w:val="clear" w:color="auto" w:fill="FFFFFF"/>
              </w:rPr>
              <w:t>岗位名称</w:t>
            </w:r>
          </w:p>
        </w:tc>
        <w:tc>
          <w:tcPr>
            <w:tcW w:w="1022" w:type="pc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5624C0F9">
            <w:pPr>
              <w:pStyle w:val="25"/>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default" w:ascii="Times New Roman" w:hAnsi="Times New Roman" w:eastAsia="宋体" w:cs="Times New Roman"/>
                <w:b/>
                <w:bCs/>
                <w:sz w:val="22"/>
                <w:szCs w:val="22"/>
                <w:shd w:val="clear" w:color="auto" w:fill="FFFFFF"/>
              </w:rPr>
            </w:pPr>
            <w:r>
              <w:rPr>
                <w:rFonts w:hint="default" w:ascii="Times New Roman" w:hAnsi="Times New Roman" w:cs="Times New Roman"/>
                <w:b/>
                <w:bCs/>
                <w:sz w:val="22"/>
                <w:szCs w:val="22"/>
                <w:lang w:eastAsia="zh-CN"/>
              </w:rPr>
              <w:t>预计</w:t>
            </w:r>
            <w:r>
              <w:rPr>
                <w:rFonts w:hint="default" w:ascii="Times New Roman" w:hAnsi="Times New Roman" w:eastAsia="宋体" w:cs="Times New Roman"/>
                <w:b/>
                <w:bCs/>
                <w:sz w:val="22"/>
                <w:szCs w:val="22"/>
                <w:shd w:val="clear" w:color="auto" w:fill="FFFFFF"/>
              </w:rPr>
              <w:t>需求人数</w:t>
            </w:r>
          </w:p>
        </w:tc>
        <w:tc>
          <w:tcPr>
            <w:tcW w:w="1567" w:type="pc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123D1FD0">
            <w:pPr>
              <w:pStyle w:val="25"/>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default" w:ascii="Times New Roman" w:hAnsi="Times New Roman" w:eastAsia="宋体" w:cs="Times New Roman"/>
                <w:b/>
                <w:bCs/>
                <w:sz w:val="22"/>
                <w:szCs w:val="22"/>
                <w:shd w:val="clear" w:color="auto" w:fill="FFFFFF"/>
              </w:rPr>
            </w:pPr>
            <w:r>
              <w:rPr>
                <w:rFonts w:hint="default" w:ascii="Times New Roman" w:hAnsi="Times New Roman" w:cs="Times New Roman"/>
                <w:b/>
                <w:bCs/>
                <w:sz w:val="22"/>
                <w:szCs w:val="22"/>
                <w:lang w:eastAsia="zh-CN"/>
              </w:rPr>
              <w:t>预计</w:t>
            </w:r>
            <w:r>
              <w:rPr>
                <w:rFonts w:hint="default" w:ascii="Times New Roman" w:hAnsi="Times New Roman" w:eastAsia="宋体" w:cs="Times New Roman"/>
                <w:b/>
                <w:bCs/>
                <w:sz w:val="22"/>
                <w:szCs w:val="22"/>
                <w:shd w:val="clear" w:color="auto" w:fill="FFFFFF"/>
              </w:rPr>
              <w:t>每人服务期限（月）</w:t>
            </w:r>
          </w:p>
        </w:tc>
        <w:tc>
          <w:tcPr>
            <w:tcW w:w="1606" w:type="pc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3FB6D979">
            <w:pPr>
              <w:pStyle w:val="25"/>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default" w:ascii="Times New Roman" w:hAnsi="Times New Roman" w:eastAsia="宋体" w:cs="Times New Roman"/>
                <w:b/>
                <w:bCs/>
                <w:sz w:val="22"/>
                <w:szCs w:val="22"/>
                <w:shd w:val="clear" w:color="auto" w:fill="FFFFFF"/>
                <w:lang w:eastAsia="zh-CN"/>
              </w:rPr>
            </w:pPr>
            <w:r>
              <w:rPr>
                <w:rFonts w:hint="default" w:ascii="Times New Roman" w:hAnsi="Times New Roman" w:cs="Times New Roman"/>
                <w:b/>
                <w:bCs/>
                <w:sz w:val="22"/>
                <w:szCs w:val="22"/>
                <w:shd w:val="clear" w:color="auto" w:fill="FFFFFF"/>
                <w:lang w:eastAsia="zh-CN"/>
              </w:rPr>
              <w:t>最高限价（元</w:t>
            </w:r>
            <w:r>
              <w:rPr>
                <w:rFonts w:hint="default" w:ascii="Times New Roman" w:hAnsi="Times New Roman" w:cs="Times New Roman"/>
                <w:b/>
                <w:bCs/>
                <w:sz w:val="22"/>
                <w:szCs w:val="22"/>
                <w:shd w:val="clear" w:color="auto" w:fill="FFFFFF"/>
                <w:lang w:val="en-US" w:eastAsia="zh-CN"/>
              </w:rPr>
              <w:t>/人/月</w:t>
            </w:r>
            <w:r>
              <w:rPr>
                <w:rFonts w:hint="default" w:ascii="Times New Roman" w:hAnsi="Times New Roman" w:cs="Times New Roman"/>
                <w:b/>
                <w:bCs/>
                <w:sz w:val="22"/>
                <w:szCs w:val="22"/>
                <w:shd w:val="clear" w:color="auto" w:fill="FFFFFF"/>
                <w:lang w:eastAsia="zh-CN"/>
              </w:rPr>
              <w:t>）</w:t>
            </w:r>
          </w:p>
        </w:tc>
      </w:tr>
      <w:tr w14:paraId="4222A03A">
        <w:tblPrEx>
          <w:tblCellMar>
            <w:top w:w="0" w:type="dxa"/>
            <w:left w:w="0" w:type="dxa"/>
            <w:bottom w:w="0" w:type="dxa"/>
            <w:right w:w="0" w:type="dxa"/>
          </w:tblCellMar>
        </w:tblPrEx>
        <w:trPr>
          <w:trHeight w:val="23" w:hRule="atLeast"/>
          <w:jc w:val="center"/>
        </w:trPr>
        <w:tc>
          <w:tcPr>
            <w:tcW w:w="803" w:type="pct"/>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394CA75C">
            <w:pPr>
              <w:pStyle w:val="25"/>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default" w:ascii="Times New Roman" w:hAnsi="Times New Roman" w:eastAsia="宋体" w:cs="Times New Roman"/>
                <w:sz w:val="22"/>
                <w:szCs w:val="22"/>
                <w:highlight w:val="none"/>
                <w:shd w:val="clear" w:color="auto" w:fill="FFFFFF"/>
                <w:lang w:val="en-US" w:eastAsia="zh-CN"/>
              </w:rPr>
            </w:pPr>
            <w:r>
              <w:rPr>
                <w:rFonts w:hint="default" w:ascii="Times New Roman" w:hAnsi="Times New Roman" w:eastAsia="宋体" w:cs="Times New Roman"/>
                <w:sz w:val="22"/>
                <w:szCs w:val="22"/>
                <w:highlight w:val="none"/>
                <w:shd w:val="clear" w:color="auto" w:fill="FFFFFF"/>
                <w:lang w:val="en-US" w:eastAsia="zh-CN"/>
              </w:rPr>
              <w:t>初中</w:t>
            </w:r>
            <w:r>
              <w:rPr>
                <w:rFonts w:hint="default" w:ascii="Times New Roman" w:hAnsi="Times New Roman" w:cs="Times New Roman"/>
                <w:sz w:val="22"/>
                <w:szCs w:val="22"/>
                <w:highlight w:val="none"/>
                <w:shd w:val="clear" w:color="auto" w:fill="FFFFFF"/>
                <w:lang w:val="en-US" w:eastAsia="zh-CN"/>
              </w:rPr>
              <w:t>岗位</w:t>
            </w:r>
          </w:p>
        </w:tc>
        <w:tc>
          <w:tcPr>
            <w:tcW w:w="1022" w:type="pc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15617247">
            <w:pPr>
              <w:pStyle w:val="25"/>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default" w:ascii="Times New Roman" w:hAnsi="Times New Roman" w:eastAsia="宋体" w:cs="Times New Roman"/>
                <w:sz w:val="22"/>
                <w:szCs w:val="22"/>
                <w:highlight w:val="none"/>
                <w:shd w:val="clear" w:color="auto" w:fill="FFFFFF"/>
                <w:lang w:val="en-US" w:eastAsia="zh-CN"/>
              </w:rPr>
            </w:pPr>
            <w:r>
              <w:rPr>
                <w:rFonts w:hint="default" w:ascii="Times New Roman" w:hAnsi="Times New Roman" w:cs="Times New Roman"/>
                <w:sz w:val="22"/>
                <w:szCs w:val="22"/>
                <w:highlight w:val="none"/>
                <w:shd w:val="clear" w:color="auto" w:fill="FFFFFF"/>
                <w:lang w:val="en-US" w:eastAsia="zh-CN"/>
              </w:rPr>
              <w:t>12</w:t>
            </w:r>
          </w:p>
        </w:tc>
        <w:tc>
          <w:tcPr>
            <w:tcW w:w="1567" w:type="pc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17C56FC4">
            <w:pPr>
              <w:pStyle w:val="25"/>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default" w:ascii="Times New Roman" w:hAnsi="Times New Roman" w:eastAsia="宋体" w:cs="Times New Roman"/>
                <w:sz w:val="22"/>
                <w:szCs w:val="22"/>
                <w:highlight w:val="none"/>
                <w:shd w:val="clear" w:color="auto" w:fill="FFFFFF"/>
              </w:rPr>
            </w:pPr>
            <w:r>
              <w:rPr>
                <w:rFonts w:hint="default" w:ascii="Times New Roman" w:hAnsi="Times New Roman" w:eastAsia="宋体" w:cs="Times New Roman"/>
                <w:sz w:val="22"/>
                <w:szCs w:val="22"/>
                <w:highlight w:val="none"/>
                <w:shd w:val="clear" w:color="auto" w:fill="FFFFFF"/>
              </w:rPr>
              <w:t>12</w:t>
            </w:r>
          </w:p>
        </w:tc>
        <w:tc>
          <w:tcPr>
            <w:tcW w:w="1606" w:type="pc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6A5EBFA0">
            <w:pPr>
              <w:pStyle w:val="25"/>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default" w:ascii="Times New Roman" w:hAnsi="Times New Roman" w:eastAsia="宋体" w:cs="Times New Roman"/>
                <w:sz w:val="22"/>
                <w:szCs w:val="22"/>
                <w:highlight w:val="none"/>
                <w:shd w:val="clear" w:color="auto" w:fill="FFFFFF"/>
                <w:lang w:val="en-US" w:eastAsia="zh-CN"/>
              </w:rPr>
            </w:pPr>
            <w:r>
              <w:rPr>
                <w:rFonts w:hint="default" w:ascii="Times New Roman" w:hAnsi="Times New Roman" w:cs="Times New Roman"/>
                <w:sz w:val="22"/>
                <w:szCs w:val="22"/>
                <w:highlight w:val="none"/>
                <w:shd w:val="clear" w:color="auto" w:fill="FFFFFF"/>
                <w:lang w:val="en-US" w:eastAsia="zh-CN"/>
              </w:rPr>
              <w:t>1,328.00</w:t>
            </w:r>
          </w:p>
        </w:tc>
      </w:tr>
      <w:tr w14:paraId="61D1ACBE">
        <w:tblPrEx>
          <w:tblCellMar>
            <w:top w:w="0" w:type="dxa"/>
            <w:left w:w="0" w:type="dxa"/>
            <w:bottom w:w="0" w:type="dxa"/>
            <w:right w:w="0" w:type="dxa"/>
          </w:tblCellMar>
        </w:tblPrEx>
        <w:trPr>
          <w:trHeight w:val="23" w:hRule="atLeast"/>
          <w:jc w:val="center"/>
        </w:trPr>
        <w:tc>
          <w:tcPr>
            <w:tcW w:w="803" w:type="pct"/>
            <w:tcBorders>
              <w:top w:val="single" w:color="auto" w:sz="6" w:space="0"/>
              <w:left w:val="single" w:color="auto" w:sz="6" w:space="0"/>
              <w:bottom w:val="single" w:color="auto" w:sz="6" w:space="0"/>
              <w:right w:val="single" w:color="auto" w:sz="6" w:space="0"/>
            </w:tcBorders>
            <w:shd w:val="clear" w:color="auto" w:fill="auto"/>
            <w:tcMar>
              <w:left w:w="105" w:type="dxa"/>
              <w:right w:w="105" w:type="dxa"/>
            </w:tcMar>
            <w:vAlign w:val="center"/>
          </w:tcPr>
          <w:p w14:paraId="2CC1B39C">
            <w:pPr>
              <w:pStyle w:val="25"/>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default" w:ascii="Times New Roman" w:hAnsi="Times New Roman" w:eastAsia="宋体" w:cs="Times New Roman"/>
                <w:sz w:val="22"/>
                <w:szCs w:val="22"/>
                <w:highlight w:val="none"/>
                <w:shd w:val="clear" w:color="auto" w:fill="FFFFFF"/>
                <w:lang w:val="en-US" w:eastAsia="zh-CN"/>
              </w:rPr>
            </w:pPr>
            <w:r>
              <w:rPr>
                <w:rFonts w:hint="default" w:ascii="Times New Roman" w:hAnsi="Times New Roman" w:cs="Times New Roman"/>
                <w:sz w:val="22"/>
                <w:szCs w:val="22"/>
                <w:highlight w:val="none"/>
                <w:shd w:val="clear" w:color="auto" w:fill="FFFFFF"/>
                <w:lang w:val="en-US" w:eastAsia="zh-CN"/>
              </w:rPr>
              <w:t>小学岗位</w:t>
            </w:r>
          </w:p>
        </w:tc>
        <w:tc>
          <w:tcPr>
            <w:tcW w:w="1022" w:type="pc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4382E283">
            <w:pPr>
              <w:pStyle w:val="25"/>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default" w:ascii="Times New Roman" w:hAnsi="Times New Roman" w:eastAsia="宋体" w:cs="Times New Roman"/>
                <w:sz w:val="22"/>
                <w:szCs w:val="22"/>
                <w:highlight w:val="none"/>
                <w:shd w:val="clear" w:color="auto" w:fill="FFFFFF"/>
                <w:lang w:val="en-US" w:eastAsia="zh-CN"/>
              </w:rPr>
            </w:pPr>
            <w:r>
              <w:rPr>
                <w:rFonts w:hint="default" w:ascii="Times New Roman" w:hAnsi="Times New Roman" w:cs="Times New Roman"/>
                <w:sz w:val="22"/>
                <w:szCs w:val="22"/>
                <w:highlight w:val="none"/>
                <w:shd w:val="clear" w:color="auto" w:fill="FFFFFF"/>
                <w:lang w:val="en-US" w:eastAsia="zh-CN"/>
              </w:rPr>
              <w:t>8</w:t>
            </w:r>
          </w:p>
        </w:tc>
        <w:tc>
          <w:tcPr>
            <w:tcW w:w="1567" w:type="pc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31554108">
            <w:pPr>
              <w:pStyle w:val="25"/>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default" w:ascii="Times New Roman" w:hAnsi="Times New Roman" w:eastAsia="宋体" w:cs="Times New Roman"/>
                <w:sz w:val="22"/>
                <w:szCs w:val="22"/>
                <w:highlight w:val="none"/>
                <w:shd w:val="clear" w:color="auto" w:fill="FFFFFF"/>
              </w:rPr>
            </w:pPr>
            <w:r>
              <w:rPr>
                <w:rFonts w:hint="default" w:ascii="Times New Roman" w:hAnsi="Times New Roman" w:eastAsia="宋体" w:cs="Times New Roman"/>
                <w:sz w:val="22"/>
                <w:szCs w:val="22"/>
                <w:highlight w:val="none"/>
                <w:shd w:val="clear" w:color="auto" w:fill="FFFFFF"/>
              </w:rPr>
              <w:t>12</w:t>
            </w:r>
          </w:p>
        </w:tc>
        <w:tc>
          <w:tcPr>
            <w:tcW w:w="1606" w:type="pct"/>
            <w:tcBorders>
              <w:top w:val="single" w:color="auto" w:sz="6" w:space="0"/>
              <w:left w:val="nil"/>
              <w:bottom w:val="single" w:color="auto" w:sz="6" w:space="0"/>
              <w:right w:val="single" w:color="auto" w:sz="6" w:space="0"/>
            </w:tcBorders>
            <w:shd w:val="clear" w:color="auto" w:fill="auto"/>
            <w:tcMar>
              <w:left w:w="105" w:type="dxa"/>
              <w:right w:w="105" w:type="dxa"/>
            </w:tcMar>
            <w:vAlign w:val="center"/>
          </w:tcPr>
          <w:p w14:paraId="5FF12638">
            <w:pPr>
              <w:pStyle w:val="25"/>
              <w:keepNext w:val="0"/>
              <w:keepLines w:val="0"/>
              <w:pageBreakBefore w:val="0"/>
              <w:widowControl/>
              <w:kinsoku/>
              <w:wordWrap/>
              <w:overflowPunct/>
              <w:topLinePunct w:val="0"/>
              <w:autoSpaceDE/>
              <w:autoSpaceDN/>
              <w:bidi w:val="0"/>
              <w:adjustRightInd/>
              <w:snapToGrid/>
              <w:spacing w:beforeAutospacing="0" w:afterAutospacing="0" w:line="360" w:lineRule="exact"/>
              <w:jc w:val="center"/>
              <w:textAlignment w:val="auto"/>
              <w:rPr>
                <w:rFonts w:hint="default" w:ascii="Times New Roman" w:hAnsi="Times New Roman" w:eastAsia="宋体" w:cs="Times New Roman"/>
                <w:sz w:val="22"/>
                <w:szCs w:val="22"/>
                <w:highlight w:val="none"/>
                <w:shd w:val="clear" w:color="auto" w:fill="FFFFFF"/>
                <w:lang w:val="en-US" w:eastAsia="zh-CN"/>
              </w:rPr>
            </w:pPr>
            <w:r>
              <w:rPr>
                <w:rFonts w:hint="default" w:ascii="Times New Roman" w:hAnsi="Times New Roman" w:cs="Times New Roman"/>
                <w:sz w:val="22"/>
                <w:szCs w:val="22"/>
                <w:highlight w:val="none"/>
                <w:shd w:val="clear" w:color="auto" w:fill="FFFFFF"/>
                <w:lang w:val="en-US" w:eastAsia="zh-CN"/>
              </w:rPr>
              <w:t>1,208.00</w:t>
            </w:r>
          </w:p>
        </w:tc>
      </w:tr>
    </w:tbl>
    <w:p w14:paraId="43D7DEA9"/>
    <w:p w14:paraId="3EECC3CD">
      <w:pPr>
        <w:pStyle w:val="5"/>
        <w:numPr>
          <w:ilvl w:val="0"/>
          <w:numId w:val="3"/>
        </w:numPr>
        <w:adjustRightInd/>
        <w:textAlignment w:val="auto"/>
        <w:rPr>
          <w:rFonts w:ascii="Times New Roman" w:hAnsi="Times New Roman"/>
        </w:rPr>
      </w:pPr>
      <w:r>
        <w:rPr>
          <w:rFonts w:ascii="Times New Roman" w:hAnsi="Times New Roman"/>
          <w:sz w:val="32"/>
          <w:szCs w:val="32"/>
        </w:rPr>
        <w:t>实质性条款</w:t>
      </w:r>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7766"/>
      </w:tblGrid>
      <w:tr w14:paraId="110D8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6" w:type="pct"/>
            <w:shd w:val="clear" w:color="auto" w:fill="auto"/>
            <w:vAlign w:val="center"/>
          </w:tcPr>
          <w:p w14:paraId="40F6852A">
            <w:pPr>
              <w:adjustRightInd w:val="0"/>
              <w:snapToGrid w:val="0"/>
              <w:spacing w:line="360" w:lineRule="exact"/>
              <w:jc w:val="center"/>
              <w:rPr>
                <w:rFonts w:ascii="Times New Roman" w:hAnsi="Times New Roman"/>
                <w:b/>
                <w:bCs/>
                <w:color w:val="000000" w:themeColor="text1"/>
                <w:kern w:val="0"/>
                <w:sz w:val="22"/>
                <w:szCs w:val="22"/>
                <w14:textFill>
                  <w14:solidFill>
                    <w14:schemeClr w14:val="tx1"/>
                  </w14:solidFill>
                </w14:textFill>
              </w:rPr>
            </w:pPr>
            <w:r>
              <w:rPr>
                <w:rFonts w:ascii="Times New Roman" w:hAnsi="Times New Roman"/>
                <w:b/>
                <w:bCs/>
                <w:color w:val="000000" w:themeColor="text1"/>
                <w:kern w:val="0"/>
                <w:sz w:val="22"/>
                <w:szCs w:val="22"/>
                <w14:textFill>
                  <w14:solidFill>
                    <w14:schemeClr w14:val="tx1"/>
                  </w14:solidFill>
                </w14:textFill>
              </w:rPr>
              <w:t>序号</w:t>
            </w:r>
          </w:p>
        </w:tc>
        <w:tc>
          <w:tcPr>
            <w:tcW w:w="4553" w:type="pct"/>
            <w:shd w:val="clear" w:color="auto" w:fill="auto"/>
            <w:vAlign w:val="center"/>
          </w:tcPr>
          <w:p w14:paraId="4377C994">
            <w:pPr>
              <w:adjustRightInd w:val="0"/>
              <w:snapToGrid w:val="0"/>
              <w:spacing w:line="360" w:lineRule="exact"/>
              <w:jc w:val="center"/>
              <w:rPr>
                <w:rFonts w:ascii="Times New Roman" w:hAnsi="Times New Roman"/>
                <w:b/>
                <w:bCs/>
                <w:color w:val="000000" w:themeColor="text1"/>
                <w:kern w:val="0"/>
                <w:sz w:val="22"/>
                <w:szCs w:val="22"/>
                <w14:textFill>
                  <w14:solidFill>
                    <w14:schemeClr w14:val="tx1"/>
                  </w14:solidFill>
                </w14:textFill>
              </w:rPr>
            </w:pPr>
            <w:r>
              <w:rPr>
                <w:rFonts w:ascii="Times New Roman" w:hAnsi="Times New Roman"/>
                <w:b/>
                <w:bCs/>
                <w:color w:val="000000" w:themeColor="text1"/>
                <w:kern w:val="0"/>
                <w:sz w:val="22"/>
                <w:szCs w:val="22"/>
                <w14:textFill>
                  <w14:solidFill>
                    <w14:schemeClr w14:val="tx1"/>
                  </w14:solidFill>
                </w14:textFill>
              </w:rPr>
              <w:t>具体内容</w:t>
            </w:r>
          </w:p>
        </w:tc>
      </w:tr>
      <w:tr w14:paraId="5FF618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trPr>
        <w:tc>
          <w:tcPr>
            <w:tcW w:w="446" w:type="pct"/>
            <w:vAlign w:val="center"/>
          </w:tcPr>
          <w:p w14:paraId="14ED6EA0">
            <w:pPr>
              <w:adjustRightInd w:val="0"/>
              <w:snapToGrid w:val="0"/>
              <w:spacing w:line="360" w:lineRule="exact"/>
              <w:jc w:val="center"/>
              <w:rPr>
                <w:rFonts w:ascii="Times New Roman" w:hAnsi="Times New Roman"/>
                <w:color w:val="000000" w:themeColor="text1"/>
                <w:kern w:val="0"/>
                <w:sz w:val="22"/>
                <w:szCs w:val="22"/>
                <w14:textFill>
                  <w14:solidFill>
                    <w14:schemeClr w14:val="tx1"/>
                  </w14:solidFill>
                </w14:textFill>
              </w:rPr>
            </w:pPr>
            <w:r>
              <w:rPr>
                <w:rFonts w:ascii="Times New Roman" w:hAnsi="Times New Roman"/>
                <w:color w:val="000000" w:themeColor="text1"/>
                <w:kern w:val="0"/>
                <w:sz w:val="22"/>
                <w:szCs w:val="22"/>
                <w14:textFill>
                  <w14:solidFill>
                    <w14:schemeClr w14:val="tx1"/>
                  </w14:solidFill>
                </w14:textFill>
              </w:rPr>
              <w:t>1</w:t>
            </w:r>
          </w:p>
        </w:tc>
        <w:tc>
          <w:tcPr>
            <w:tcW w:w="4553" w:type="pct"/>
            <w:vAlign w:val="center"/>
          </w:tcPr>
          <w:p w14:paraId="2011E669">
            <w:pPr>
              <w:spacing w:line="360" w:lineRule="exact"/>
              <w:jc w:val="center"/>
              <w:rPr>
                <w:rFonts w:ascii="Times New Roman" w:hAnsi="Times New Roman"/>
                <w:color w:val="000000" w:themeColor="text1"/>
                <w:kern w:val="0"/>
                <w:sz w:val="22"/>
                <w:szCs w:val="22"/>
                <w14:textFill>
                  <w14:solidFill>
                    <w14:schemeClr w14:val="tx1"/>
                  </w14:solidFill>
                </w14:textFill>
              </w:rPr>
            </w:pPr>
            <w:r>
              <w:rPr>
                <w:rFonts w:ascii="Times New Roman" w:hAnsi="Times New Roman"/>
                <w:color w:val="000000" w:themeColor="text1"/>
                <w:sz w:val="22"/>
                <w:szCs w:val="22"/>
                <w14:textFill>
                  <w14:solidFill>
                    <w14:schemeClr w14:val="tx1"/>
                  </w14:solidFill>
                </w14:textFill>
              </w:rPr>
              <w:t>满足本项目标★的条款要求。</w:t>
            </w:r>
          </w:p>
        </w:tc>
      </w:tr>
    </w:tbl>
    <w:p w14:paraId="792C29F2">
      <w:pPr>
        <w:pStyle w:val="28"/>
        <w:rPr>
          <w:rFonts w:ascii="Times New Roman" w:hAnsi="Times New Roman"/>
        </w:rPr>
      </w:pPr>
    </w:p>
    <w:p w14:paraId="778D5579">
      <w:pPr>
        <w:pStyle w:val="5"/>
        <w:numPr>
          <w:ilvl w:val="0"/>
          <w:numId w:val="3"/>
        </w:numPr>
        <w:adjustRightInd/>
        <w:textAlignment w:val="auto"/>
        <w:rPr>
          <w:rFonts w:ascii="Times New Roman" w:hAnsi="Times New Roman"/>
          <w:sz w:val="32"/>
          <w:szCs w:val="32"/>
        </w:rPr>
      </w:pPr>
      <w:r>
        <w:rPr>
          <w:rFonts w:hint="eastAsia" w:ascii="Times New Roman" w:hAnsi="Times New Roman"/>
          <w:sz w:val="32"/>
          <w:szCs w:val="32"/>
          <w:lang w:eastAsia="zh-CN"/>
        </w:rPr>
        <w:t>服务要求</w:t>
      </w:r>
    </w:p>
    <w:p w14:paraId="7AD06D14">
      <w:pPr>
        <w:pStyle w:val="72"/>
        <w:spacing w:line="360" w:lineRule="exact"/>
        <w:ind w:firstLine="442" w:firstLineChars="200"/>
        <w:jc w:val="left"/>
        <w:rPr>
          <w:rFonts w:hint="eastAsia" w:ascii="Times New Roman" w:hAnsi="Times New Roman"/>
          <w:b/>
          <w:bCs/>
          <w:sz w:val="22"/>
          <w:szCs w:val="22"/>
          <w:lang w:val="en-US" w:eastAsia="zh-CN"/>
        </w:rPr>
      </w:pPr>
      <w:r>
        <w:rPr>
          <w:rFonts w:hint="eastAsia" w:ascii="Times New Roman" w:hAnsi="Times New Roman"/>
          <w:b/>
          <w:bCs/>
          <w:sz w:val="22"/>
          <w:szCs w:val="22"/>
          <w:lang w:val="en-US" w:eastAsia="zh-CN"/>
        </w:rPr>
        <w:t>（一）管理要求</w:t>
      </w:r>
    </w:p>
    <w:p w14:paraId="07F5416E">
      <w:pPr>
        <w:pStyle w:val="72"/>
        <w:spacing w:line="360" w:lineRule="exact"/>
        <w:ind w:firstLine="440" w:firstLineChars="200"/>
        <w:jc w:val="left"/>
        <w:rPr>
          <w:rFonts w:hint="eastAsia" w:ascii="Times New Roman" w:hAnsi="Times New Roman"/>
          <w:sz w:val="22"/>
          <w:szCs w:val="22"/>
          <w:lang w:val="en-US" w:eastAsia="zh-CN"/>
        </w:rPr>
      </w:pPr>
      <w:r>
        <w:rPr>
          <w:rFonts w:hint="eastAsia" w:ascii="Times New Roman" w:hAnsi="Times New Roman"/>
          <w:sz w:val="22"/>
          <w:szCs w:val="22"/>
          <w:lang w:val="en-US" w:eastAsia="zh-CN"/>
        </w:rPr>
        <w:t>1、中标单位需有储备的人才库，随时为采购单位提供充裕的购买服务人员。</w:t>
      </w:r>
    </w:p>
    <w:p w14:paraId="7B2CDFE0">
      <w:pPr>
        <w:pStyle w:val="72"/>
        <w:spacing w:line="360" w:lineRule="exact"/>
        <w:ind w:firstLine="440" w:firstLineChars="200"/>
        <w:jc w:val="left"/>
        <w:rPr>
          <w:rFonts w:hint="eastAsia" w:ascii="Times New Roman" w:hAnsi="Times New Roman"/>
          <w:sz w:val="22"/>
          <w:szCs w:val="22"/>
          <w:lang w:val="en-US" w:eastAsia="zh-CN"/>
        </w:rPr>
      </w:pPr>
      <w:r>
        <w:rPr>
          <w:rFonts w:hint="eastAsia" w:ascii="Times New Roman" w:hAnsi="Times New Roman"/>
          <w:sz w:val="22"/>
          <w:szCs w:val="22"/>
          <w:lang w:val="en-US" w:eastAsia="zh-CN"/>
        </w:rPr>
        <w:t>2、采购单位通过考核方式确定购买服务人员。服务试用期为1个月，试用期内考核不合格的，或购买服务人员不符合采购项目需求的，退回给中标单位，由中标单位再次提供购买服务人员。购买服务人员不符合采购项目需求被退回的，采购单位将不予支付相应的购买服务费用。试用期内考核不合格被退回的，采购单位按实际服务天数支付购买费用。</w:t>
      </w:r>
    </w:p>
    <w:p w14:paraId="34DE08A7">
      <w:pPr>
        <w:pStyle w:val="72"/>
        <w:spacing w:line="360" w:lineRule="exact"/>
        <w:ind w:firstLine="440" w:firstLineChars="200"/>
        <w:jc w:val="left"/>
        <w:rPr>
          <w:rFonts w:hint="eastAsia" w:ascii="Times New Roman" w:hAnsi="Times New Roman"/>
          <w:sz w:val="22"/>
          <w:szCs w:val="22"/>
          <w:lang w:val="en-US" w:eastAsia="zh-CN"/>
        </w:rPr>
      </w:pPr>
      <w:r>
        <w:rPr>
          <w:rFonts w:hint="eastAsia" w:ascii="Times New Roman" w:hAnsi="Times New Roman"/>
          <w:sz w:val="22"/>
          <w:szCs w:val="22"/>
          <w:lang w:val="en-US" w:eastAsia="zh-CN"/>
        </w:rPr>
        <w:t>3、中标单位组织购买服务人员进行体检和入职培训。提交课时服务教师的身份证、学历证、学历验证证明、教师资格证、体检表、《购买服务函》给采购单位；提交教辅工勤岗位服务人员的身份证、学历证、岗位相关证件、体检表、《购买服务函》给采购单位。</w:t>
      </w:r>
    </w:p>
    <w:p w14:paraId="732A296A">
      <w:pPr>
        <w:pStyle w:val="72"/>
        <w:spacing w:line="360" w:lineRule="exact"/>
        <w:ind w:firstLine="440" w:firstLineChars="200"/>
        <w:jc w:val="left"/>
        <w:rPr>
          <w:rFonts w:hint="eastAsia" w:ascii="Times New Roman" w:hAnsi="Times New Roman"/>
          <w:sz w:val="22"/>
          <w:szCs w:val="22"/>
          <w:lang w:val="en-US" w:eastAsia="zh-CN"/>
        </w:rPr>
      </w:pPr>
      <w:r>
        <w:rPr>
          <w:rFonts w:hint="eastAsia" w:ascii="Times New Roman" w:hAnsi="Times New Roman"/>
          <w:sz w:val="22"/>
          <w:szCs w:val="22"/>
          <w:lang w:val="en-US" w:eastAsia="zh-CN"/>
        </w:rPr>
        <w:t>4、中标单位按合同条款规定提供符合条件的购买服务人员到采购单位提供服务。对于采购单位按合同相关条款停止购买服务并退回中标单位的购买服务人员，中标单位应予接收并负责处理与购买服务人员之间的劳动关系等后续工作，避免对采购单位的正常运作造成不利影响。</w:t>
      </w:r>
    </w:p>
    <w:p w14:paraId="15A2F37D">
      <w:pPr>
        <w:pStyle w:val="72"/>
        <w:spacing w:line="360" w:lineRule="exact"/>
        <w:ind w:firstLine="440" w:firstLineChars="200"/>
        <w:jc w:val="left"/>
        <w:rPr>
          <w:rFonts w:hint="eastAsia" w:ascii="Times New Roman" w:hAnsi="Times New Roman"/>
          <w:sz w:val="22"/>
          <w:szCs w:val="22"/>
          <w:lang w:val="en-US" w:eastAsia="zh-CN"/>
        </w:rPr>
      </w:pPr>
      <w:r>
        <w:rPr>
          <w:rFonts w:hint="eastAsia" w:ascii="Times New Roman" w:hAnsi="Times New Roman"/>
          <w:sz w:val="22"/>
          <w:szCs w:val="22"/>
          <w:lang w:val="en-US" w:eastAsia="zh-CN"/>
        </w:rPr>
        <w:t>5、中标单位负责建立相应完善的管理制度以实现对采购单位购买服务人员的聘用管理、人事管理和后勤服务等。</w:t>
      </w:r>
    </w:p>
    <w:p w14:paraId="6154699E">
      <w:pPr>
        <w:keepNext w:val="0"/>
        <w:keepLines w:val="0"/>
        <w:pageBreakBefore w:val="0"/>
        <w:kinsoku/>
        <w:wordWrap/>
        <w:overflowPunct/>
        <w:topLinePunct w:val="0"/>
        <w:autoSpaceDE/>
        <w:autoSpaceDN/>
        <w:bidi w:val="0"/>
        <w:adjustRightInd/>
        <w:snapToGrid/>
        <w:spacing w:line="360" w:lineRule="exact"/>
        <w:ind w:firstLine="442" w:firstLineChars="200"/>
        <w:jc w:val="left"/>
        <w:textAlignment w:val="auto"/>
        <w:rPr>
          <w:rFonts w:hint="eastAsia" w:ascii="Times New Roman" w:hAnsi="Times New Roman" w:eastAsia="宋体" w:cs="Times New Roman"/>
          <w:b/>
          <w:bCs/>
          <w:sz w:val="22"/>
          <w:szCs w:val="22"/>
        </w:rPr>
      </w:pPr>
      <w:r>
        <w:rPr>
          <w:rFonts w:hint="eastAsia" w:ascii="Times New Roman" w:hAnsi="Times New Roman" w:cs="Times New Roman"/>
          <w:b/>
          <w:bCs/>
          <w:sz w:val="22"/>
          <w:szCs w:val="22"/>
          <w:lang w:eastAsia="zh-CN"/>
        </w:rPr>
        <w:t>（二）</w:t>
      </w:r>
      <w:r>
        <w:rPr>
          <w:rFonts w:hint="eastAsia" w:ascii="Times New Roman" w:hAnsi="Times New Roman" w:eastAsia="宋体" w:cs="Times New Roman"/>
          <w:b/>
          <w:bCs/>
          <w:sz w:val="22"/>
          <w:szCs w:val="22"/>
        </w:rPr>
        <w:t>服务要求</w:t>
      </w:r>
    </w:p>
    <w:p w14:paraId="08BB77AA">
      <w:pPr>
        <w:keepNext w:val="0"/>
        <w:keepLines w:val="0"/>
        <w:pageBreakBefore w:val="0"/>
        <w:kinsoku/>
        <w:wordWrap/>
        <w:overflowPunct/>
        <w:topLinePunct w:val="0"/>
        <w:autoSpaceDE/>
        <w:autoSpaceDN/>
        <w:bidi w:val="0"/>
        <w:adjustRightInd/>
        <w:snapToGrid/>
        <w:spacing w:line="360" w:lineRule="exact"/>
        <w:ind w:firstLine="440" w:firstLineChars="200"/>
        <w:jc w:val="left"/>
        <w:textAlignment w:val="auto"/>
        <w:rPr>
          <w:rFonts w:hint="eastAsia" w:ascii="Times New Roman" w:hAnsi="Times New Roman" w:eastAsia="宋体" w:cs="Times New Roman"/>
          <w:sz w:val="22"/>
          <w:szCs w:val="22"/>
        </w:rPr>
      </w:pPr>
      <w:r>
        <w:rPr>
          <w:rFonts w:hint="eastAsia" w:ascii="Times New Roman" w:hAnsi="Times New Roman" w:cs="Times New Roman"/>
          <w:sz w:val="22"/>
          <w:szCs w:val="22"/>
          <w:lang w:val="en-US" w:eastAsia="zh-CN"/>
        </w:rPr>
        <w:t>1、</w:t>
      </w:r>
      <w:r>
        <w:rPr>
          <w:rFonts w:hint="eastAsia" w:ascii="Times New Roman" w:hAnsi="Times New Roman" w:eastAsia="宋体" w:cs="Times New Roman"/>
          <w:sz w:val="22"/>
          <w:szCs w:val="22"/>
        </w:rPr>
        <w:t>中标单位须负责服务人员的人事、劳资、保险办理社会保险和商业保险、计生等人事劳资管理工作，并提供为服务人员办理劳动用工手续</w:t>
      </w:r>
      <w:r>
        <w:rPr>
          <w:rFonts w:hint="eastAsia" w:ascii="Times New Roman" w:hAnsi="Times New Roman" w:eastAsia="宋体" w:cs="Times New Roman"/>
          <w:sz w:val="22"/>
          <w:szCs w:val="22"/>
          <w:highlight w:val="none"/>
        </w:rPr>
        <w:t>、结算发放工资、发放</w:t>
      </w:r>
      <w:r>
        <w:rPr>
          <w:rFonts w:hint="eastAsia" w:ascii="Times New Roman" w:hAnsi="Times New Roman" w:eastAsia="宋体" w:cs="Times New Roman"/>
          <w:sz w:val="22"/>
          <w:szCs w:val="22"/>
        </w:rPr>
        <w:t>经济补偿金、缴纳社会保险、处理保险理赔、管理人事档案等方面的管理服务；按照采购人的要求，及时更换不能胜任工作的服务人员；负责处理合同服务期内所有劳资纠纷和调解管理纠纷；落实采购人根据规章制度和工作需要提出的其他管理要求，并向采购人提供相关证明材料备案。</w:t>
      </w:r>
    </w:p>
    <w:p w14:paraId="691A288A">
      <w:pPr>
        <w:keepNext w:val="0"/>
        <w:keepLines w:val="0"/>
        <w:pageBreakBefore w:val="0"/>
        <w:kinsoku/>
        <w:wordWrap/>
        <w:overflowPunct/>
        <w:topLinePunct w:val="0"/>
        <w:autoSpaceDE/>
        <w:autoSpaceDN/>
        <w:bidi w:val="0"/>
        <w:adjustRightInd/>
        <w:snapToGrid/>
        <w:spacing w:line="360" w:lineRule="exact"/>
        <w:ind w:firstLine="440" w:firstLineChars="200"/>
        <w:jc w:val="left"/>
        <w:textAlignment w:val="auto"/>
        <w:rPr>
          <w:rFonts w:hint="eastAsia" w:ascii="Times New Roman" w:hAnsi="Times New Roman" w:eastAsia="宋体" w:cs="Times New Roman"/>
          <w:sz w:val="22"/>
          <w:szCs w:val="22"/>
        </w:rPr>
      </w:pPr>
      <w:r>
        <w:rPr>
          <w:rFonts w:hint="eastAsia" w:ascii="Times New Roman" w:hAnsi="Times New Roman" w:cs="Times New Roman"/>
          <w:sz w:val="22"/>
          <w:szCs w:val="22"/>
          <w:lang w:val="en-US" w:eastAsia="zh-CN"/>
        </w:rPr>
        <w:t>2、</w:t>
      </w:r>
      <w:r>
        <w:rPr>
          <w:rFonts w:hint="eastAsia" w:ascii="Times New Roman" w:hAnsi="Times New Roman" w:eastAsia="宋体" w:cs="Times New Roman"/>
          <w:sz w:val="22"/>
          <w:szCs w:val="22"/>
        </w:rPr>
        <w:t>中标单位须根据采购人意见为服务人员办理办理社会保险和工伤保险的理赔手续和发放保险金，并向采购人提供相关证明材料备案。</w:t>
      </w:r>
    </w:p>
    <w:p w14:paraId="1A083376">
      <w:pPr>
        <w:keepNext w:val="0"/>
        <w:keepLines w:val="0"/>
        <w:pageBreakBefore w:val="0"/>
        <w:kinsoku/>
        <w:wordWrap/>
        <w:overflowPunct/>
        <w:topLinePunct w:val="0"/>
        <w:autoSpaceDE/>
        <w:autoSpaceDN/>
        <w:bidi w:val="0"/>
        <w:adjustRightInd/>
        <w:snapToGrid/>
        <w:spacing w:line="360" w:lineRule="exact"/>
        <w:ind w:firstLine="440" w:firstLineChars="200"/>
        <w:jc w:val="left"/>
        <w:textAlignment w:val="auto"/>
        <w:rPr>
          <w:rFonts w:hint="eastAsia" w:ascii="Times New Roman" w:hAnsi="Times New Roman" w:eastAsia="宋体" w:cs="Times New Roman"/>
          <w:sz w:val="22"/>
          <w:szCs w:val="22"/>
        </w:rPr>
      </w:pPr>
      <w:r>
        <w:rPr>
          <w:rFonts w:hint="eastAsia" w:ascii="Times New Roman" w:hAnsi="Times New Roman" w:cs="Times New Roman"/>
          <w:sz w:val="22"/>
          <w:szCs w:val="22"/>
          <w:lang w:val="en-US" w:eastAsia="zh-CN"/>
        </w:rPr>
        <w:t>3、</w:t>
      </w:r>
      <w:r>
        <w:rPr>
          <w:rFonts w:hint="eastAsia" w:ascii="Times New Roman" w:hAnsi="Times New Roman" w:eastAsia="宋体" w:cs="Times New Roman"/>
          <w:sz w:val="22"/>
          <w:szCs w:val="22"/>
        </w:rPr>
        <w:t>中标单位负责按照合同约定时间，向全体服务人员按时发放工资和其他薪酬，工资发放数额不得低于同年度深圳市最低工资标准。非经采购人书面通知，不得扣发服务人员工资和其他薪酬，不得缩减或变更服务人员社会保险缴付金额和险种。</w:t>
      </w:r>
    </w:p>
    <w:p w14:paraId="404D5F7A">
      <w:pPr>
        <w:keepNext w:val="0"/>
        <w:keepLines w:val="0"/>
        <w:pageBreakBefore w:val="0"/>
        <w:kinsoku/>
        <w:wordWrap/>
        <w:overflowPunct/>
        <w:topLinePunct w:val="0"/>
        <w:autoSpaceDE/>
        <w:autoSpaceDN/>
        <w:bidi w:val="0"/>
        <w:adjustRightInd/>
        <w:snapToGrid/>
        <w:spacing w:line="360" w:lineRule="exact"/>
        <w:ind w:firstLine="440" w:firstLineChars="200"/>
        <w:jc w:val="left"/>
        <w:textAlignment w:val="auto"/>
        <w:rPr>
          <w:rFonts w:hint="eastAsia" w:ascii="Times New Roman" w:hAnsi="Times New Roman" w:eastAsia="宋体" w:cs="Times New Roman"/>
          <w:sz w:val="22"/>
          <w:szCs w:val="22"/>
        </w:rPr>
      </w:pPr>
      <w:r>
        <w:rPr>
          <w:rFonts w:hint="eastAsia" w:ascii="Times New Roman" w:hAnsi="Times New Roman" w:cs="Times New Roman"/>
          <w:sz w:val="22"/>
          <w:szCs w:val="22"/>
          <w:lang w:val="en-US" w:eastAsia="zh-CN"/>
        </w:rPr>
        <w:t>4、</w:t>
      </w:r>
      <w:r>
        <w:rPr>
          <w:rFonts w:hint="eastAsia" w:ascii="Times New Roman" w:hAnsi="Times New Roman" w:eastAsia="宋体" w:cs="Times New Roman"/>
          <w:sz w:val="22"/>
          <w:szCs w:val="22"/>
        </w:rPr>
        <w:t>工作时间：全体服务人员工作时间及具体轮休时间由用人单位根据国家有关规定及实际工作需要做具体安排。</w:t>
      </w:r>
    </w:p>
    <w:p w14:paraId="3C97495C">
      <w:pPr>
        <w:keepNext w:val="0"/>
        <w:keepLines w:val="0"/>
        <w:pageBreakBefore w:val="0"/>
        <w:kinsoku/>
        <w:wordWrap/>
        <w:overflowPunct/>
        <w:topLinePunct w:val="0"/>
        <w:autoSpaceDE/>
        <w:autoSpaceDN/>
        <w:bidi w:val="0"/>
        <w:adjustRightInd/>
        <w:snapToGrid/>
        <w:spacing w:line="360" w:lineRule="exact"/>
        <w:ind w:firstLine="440" w:firstLineChars="200"/>
        <w:jc w:val="left"/>
        <w:textAlignment w:val="auto"/>
        <w:rPr>
          <w:rFonts w:hint="eastAsia" w:ascii="Times New Roman" w:hAnsi="Times New Roman" w:eastAsia="宋体" w:cs="Times New Roman"/>
          <w:sz w:val="22"/>
          <w:szCs w:val="22"/>
        </w:rPr>
      </w:pPr>
      <w:r>
        <w:rPr>
          <w:rFonts w:hint="eastAsia" w:ascii="Times New Roman" w:hAnsi="Times New Roman" w:cs="Times New Roman"/>
          <w:sz w:val="22"/>
          <w:szCs w:val="22"/>
          <w:lang w:val="en-US" w:eastAsia="zh-CN"/>
        </w:rPr>
        <w:t>5、</w:t>
      </w:r>
      <w:r>
        <w:rPr>
          <w:rFonts w:hint="eastAsia" w:ascii="Times New Roman" w:hAnsi="Times New Roman" w:eastAsia="宋体" w:cs="Times New Roman"/>
          <w:sz w:val="22"/>
          <w:szCs w:val="22"/>
        </w:rPr>
        <w:t>服务责任：中标单位落实队伍管理主体责任，根据有关法律、法规、规章、政策、招标文件的约定，制订辅助服务的各项办法、服务标准、规章制度、实施细则，在服务区域内开展服务，但不得损害国家、集体及第三人的合法权益、获得不正当利益，由此所产生的一切法律责任由乙方承担。因中标单位原因或服务人员工作失职或故意行为或违法犯罪行为造成采购人声誉影响或经济损失的，中标单位应根据公安机关的立案调查结果或法院判决，承担相应的赔偿责任；因中标单位自身原因所引发的一切纠纷，由中标单位负完全责任；因中标单位自身原因导致纠纷扩大或未能减少采购人相关损失的，由中标单位承担相应责任；服务人员在非工作时间内发生的人身意外或其他纠纷，由中标单位负责处理。如中标单位挪用服务人员工资和其他薪酬、社会保险和商业保险投保费用，除承担由此引发的一切法律责任外，采购人有权向</w:t>
      </w:r>
      <w:r>
        <w:rPr>
          <w:rFonts w:hint="eastAsia" w:ascii="Times New Roman" w:hAnsi="Times New Roman" w:eastAsia="宋体" w:cs="Times New Roman"/>
          <w:sz w:val="22"/>
          <w:szCs w:val="22"/>
          <w:lang w:val="en-US" w:eastAsia="zh-CN"/>
        </w:rPr>
        <w:t>深圳市</w:t>
      </w:r>
      <w:r>
        <w:rPr>
          <w:rFonts w:hint="eastAsia" w:ascii="Times New Roman" w:hAnsi="Times New Roman" w:eastAsia="宋体" w:cs="Times New Roman"/>
          <w:sz w:val="22"/>
          <w:szCs w:val="22"/>
        </w:rPr>
        <w:t>有关部门申请终止服务合同。</w:t>
      </w:r>
    </w:p>
    <w:p w14:paraId="276F6C9B">
      <w:pPr>
        <w:keepNext w:val="0"/>
        <w:keepLines w:val="0"/>
        <w:pageBreakBefore w:val="0"/>
        <w:kinsoku/>
        <w:wordWrap/>
        <w:overflowPunct/>
        <w:topLinePunct w:val="0"/>
        <w:autoSpaceDE/>
        <w:autoSpaceDN/>
        <w:bidi w:val="0"/>
        <w:adjustRightInd/>
        <w:snapToGrid/>
        <w:spacing w:line="360" w:lineRule="exact"/>
        <w:ind w:firstLine="440" w:firstLineChars="200"/>
        <w:jc w:val="left"/>
        <w:textAlignment w:val="auto"/>
        <w:rPr>
          <w:rFonts w:hint="eastAsia" w:ascii="Times New Roman" w:hAnsi="Times New Roman" w:eastAsia="宋体" w:cs="Times New Roman"/>
          <w:sz w:val="22"/>
          <w:szCs w:val="22"/>
        </w:rPr>
      </w:pPr>
      <w:r>
        <w:rPr>
          <w:rFonts w:hint="eastAsia" w:ascii="Times New Roman" w:hAnsi="Times New Roman" w:cs="Times New Roman"/>
          <w:sz w:val="22"/>
          <w:szCs w:val="22"/>
          <w:lang w:val="en-US" w:eastAsia="zh-CN"/>
        </w:rPr>
        <w:t>6、</w:t>
      </w:r>
      <w:r>
        <w:rPr>
          <w:rFonts w:hint="eastAsia" w:ascii="Times New Roman" w:hAnsi="Times New Roman" w:eastAsia="宋体" w:cs="Times New Roman"/>
          <w:sz w:val="22"/>
          <w:szCs w:val="22"/>
        </w:rPr>
        <w:t>在服务过程中，中标单位所派驻的服务人员必须服从采购人的指挥和管理，配合采购人教育服务工作。服务人员不服从采购单位日常工作管理以及违反采购单位的劳动纪律的，采购单位有权依据有关管理规定通知中标单位进行相应的处罚，有权要求调换不适合相关工作的服务人员。</w:t>
      </w:r>
    </w:p>
    <w:p w14:paraId="05186042">
      <w:pPr>
        <w:keepNext w:val="0"/>
        <w:keepLines w:val="0"/>
        <w:pageBreakBefore w:val="0"/>
        <w:kinsoku/>
        <w:wordWrap/>
        <w:overflowPunct/>
        <w:topLinePunct w:val="0"/>
        <w:autoSpaceDE/>
        <w:autoSpaceDN/>
        <w:bidi w:val="0"/>
        <w:adjustRightInd/>
        <w:snapToGrid/>
        <w:spacing w:line="360" w:lineRule="exact"/>
        <w:ind w:firstLine="440" w:firstLineChars="200"/>
        <w:jc w:val="left"/>
        <w:textAlignment w:val="auto"/>
        <w:rPr>
          <w:rFonts w:hint="eastAsia" w:ascii="Times New Roman" w:hAnsi="Times New Roman" w:eastAsia="宋体" w:cs="Times New Roman"/>
          <w:sz w:val="22"/>
          <w:szCs w:val="22"/>
        </w:rPr>
      </w:pPr>
      <w:r>
        <w:rPr>
          <w:rFonts w:hint="eastAsia" w:ascii="Times New Roman" w:hAnsi="Times New Roman" w:cs="Times New Roman"/>
          <w:sz w:val="22"/>
          <w:szCs w:val="22"/>
          <w:lang w:val="en-US" w:eastAsia="zh-CN"/>
        </w:rPr>
        <w:t>7、</w:t>
      </w:r>
      <w:r>
        <w:rPr>
          <w:rFonts w:hint="eastAsia" w:ascii="Times New Roman" w:hAnsi="Times New Roman" w:eastAsia="宋体" w:cs="Times New Roman"/>
          <w:sz w:val="22"/>
          <w:szCs w:val="22"/>
        </w:rPr>
        <w:t>中标单位须落实文明管理服务的措施，提供文明优质的服务。</w:t>
      </w:r>
    </w:p>
    <w:p w14:paraId="1394B3DE">
      <w:pPr>
        <w:keepNext w:val="0"/>
        <w:keepLines w:val="0"/>
        <w:pageBreakBefore w:val="0"/>
        <w:kinsoku/>
        <w:wordWrap/>
        <w:overflowPunct/>
        <w:topLinePunct w:val="0"/>
        <w:autoSpaceDE/>
        <w:autoSpaceDN/>
        <w:bidi w:val="0"/>
        <w:adjustRightInd/>
        <w:snapToGrid/>
        <w:spacing w:line="360" w:lineRule="exact"/>
        <w:ind w:firstLine="442" w:firstLineChars="200"/>
        <w:jc w:val="left"/>
        <w:textAlignment w:val="auto"/>
        <w:rPr>
          <w:rFonts w:hint="eastAsia" w:ascii="Times New Roman" w:hAnsi="Times New Roman" w:eastAsia="宋体" w:cs="Times New Roman"/>
          <w:b/>
          <w:bCs/>
          <w:sz w:val="22"/>
          <w:szCs w:val="22"/>
        </w:rPr>
      </w:pPr>
      <w:r>
        <w:rPr>
          <w:rFonts w:hint="eastAsia" w:ascii="Times New Roman" w:hAnsi="Times New Roman" w:cs="Times New Roman"/>
          <w:b/>
          <w:bCs/>
          <w:sz w:val="22"/>
          <w:szCs w:val="22"/>
          <w:lang w:val="en-US" w:eastAsia="zh-CN"/>
        </w:rPr>
        <w:t>（三）</w:t>
      </w:r>
      <w:r>
        <w:rPr>
          <w:rFonts w:hint="eastAsia" w:ascii="Times New Roman" w:hAnsi="Times New Roman" w:eastAsia="宋体" w:cs="Times New Roman"/>
          <w:b/>
          <w:bCs/>
          <w:sz w:val="22"/>
          <w:szCs w:val="22"/>
        </w:rPr>
        <w:t>人员要求</w:t>
      </w:r>
    </w:p>
    <w:p w14:paraId="4AB9F391">
      <w:pPr>
        <w:pStyle w:val="3"/>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Times New Roman" w:hAnsi="Times New Roman" w:eastAsia="宋体" w:cs="Times New Roman"/>
          <w:b w:val="0"/>
          <w:bCs w:val="0"/>
          <w:kern w:val="2"/>
          <w:sz w:val="22"/>
          <w:szCs w:val="22"/>
          <w:lang w:val="en-US" w:eastAsia="zh-CN" w:bidi="ar-SA"/>
        </w:rPr>
      </w:pPr>
      <w:r>
        <w:rPr>
          <w:rFonts w:hint="eastAsia" w:ascii="Times New Roman" w:hAnsi="Times New Roman" w:cs="Times New Roman"/>
          <w:b w:val="0"/>
          <w:bCs w:val="0"/>
          <w:kern w:val="2"/>
          <w:sz w:val="22"/>
          <w:szCs w:val="22"/>
          <w:lang w:val="en-US" w:eastAsia="zh-CN" w:bidi="ar-SA"/>
        </w:rPr>
        <w:t>1、</w:t>
      </w:r>
      <w:r>
        <w:rPr>
          <w:rFonts w:hint="eastAsia" w:ascii="Times New Roman" w:hAnsi="Times New Roman" w:eastAsia="宋体" w:cs="Times New Roman"/>
          <w:b/>
          <w:bCs/>
          <w:kern w:val="2"/>
          <w:sz w:val="22"/>
          <w:szCs w:val="22"/>
          <w:lang w:val="en-US" w:eastAsia="zh-CN" w:bidi="ar-SA"/>
        </w:rPr>
        <w:t xml:space="preserve">购买服务人员配备： </w:t>
      </w:r>
      <w:r>
        <w:rPr>
          <w:rFonts w:hint="eastAsia" w:ascii="Times New Roman" w:hAnsi="Times New Roman" w:cs="Times New Roman"/>
          <w:b/>
          <w:bCs/>
          <w:kern w:val="2"/>
          <w:sz w:val="22"/>
          <w:szCs w:val="22"/>
          <w:lang w:val="en-US" w:eastAsia="zh-CN" w:bidi="ar-SA"/>
        </w:rPr>
        <w:t>预计</w:t>
      </w:r>
      <w:r>
        <w:rPr>
          <w:rFonts w:hint="eastAsia" w:ascii="Times New Roman" w:hAnsi="Times New Roman" w:eastAsia="宋体" w:cs="Times New Roman"/>
          <w:b/>
          <w:bCs/>
          <w:kern w:val="2"/>
          <w:sz w:val="22"/>
          <w:szCs w:val="22"/>
          <w:lang w:val="en-US" w:eastAsia="zh-CN" w:bidi="ar-SA"/>
        </w:rPr>
        <w:t xml:space="preserve">购买课时服务 </w:t>
      </w:r>
      <w:r>
        <w:rPr>
          <w:rFonts w:hint="eastAsia" w:ascii="Times New Roman" w:hAnsi="Times New Roman" w:cs="Times New Roman"/>
          <w:b/>
          <w:bCs/>
          <w:kern w:val="2"/>
          <w:sz w:val="22"/>
          <w:szCs w:val="22"/>
          <w:lang w:val="en-US" w:eastAsia="zh-CN" w:bidi="ar-SA"/>
        </w:rPr>
        <w:t>20</w:t>
      </w:r>
      <w:r>
        <w:rPr>
          <w:rFonts w:hint="eastAsia" w:ascii="Times New Roman" w:hAnsi="Times New Roman" w:eastAsia="宋体" w:cs="Times New Roman"/>
          <w:b/>
          <w:bCs/>
          <w:kern w:val="2"/>
          <w:sz w:val="22"/>
          <w:szCs w:val="22"/>
          <w:lang w:val="en-US" w:eastAsia="zh-CN" w:bidi="ar-SA"/>
        </w:rPr>
        <w:t xml:space="preserve"> 人，其中初中购买课时服务</w:t>
      </w:r>
      <w:r>
        <w:rPr>
          <w:rFonts w:hint="eastAsia" w:ascii="Times New Roman" w:hAnsi="Times New Roman" w:cs="Times New Roman"/>
          <w:b/>
          <w:bCs/>
          <w:kern w:val="2"/>
          <w:sz w:val="22"/>
          <w:szCs w:val="22"/>
          <w:lang w:val="en-US" w:eastAsia="zh-CN" w:bidi="ar-SA"/>
        </w:rPr>
        <w:t>12</w:t>
      </w:r>
      <w:r>
        <w:rPr>
          <w:rFonts w:hint="eastAsia" w:ascii="Times New Roman" w:hAnsi="Times New Roman" w:eastAsia="宋体" w:cs="Times New Roman"/>
          <w:b/>
          <w:bCs/>
          <w:kern w:val="2"/>
          <w:sz w:val="22"/>
          <w:szCs w:val="22"/>
          <w:lang w:val="en-US" w:eastAsia="zh-CN" w:bidi="ar-SA"/>
        </w:rPr>
        <w:t>人</w:t>
      </w:r>
      <w:r>
        <w:rPr>
          <w:rFonts w:hint="eastAsia" w:ascii="Times New Roman" w:hAnsi="Times New Roman" w:cs="Times New Roman"/>
          <w:b/>
          <w:bCs/>
          <w:kern w:val="2"/>
          <w:sz w:val="22"/>
          <w:szCs w:val="22"/>
          <w:lang w:val="en-US" w:eastAsia="zh-CN" w:bidi="ar-SA"/>
        </w:rPr>
        <w:t>，</w:t>
      </w:r>
      <w:r>
        <w:rPr>
          <w:rFonts w:hint="eastAsia" w:ascii="Times New Roman" w:hAnsi="Times New Roman" w:eastAsia="宋体" w:cs="Times New Roman"/>
          <w:b/>
          <w:bCs/>
          <w:kern w:val="2"/>
          <w:sz w:val="22"/>
          <w:szCs w:val="22"/>
          <w:lang w:val="en-US" w:eastAsia="zh-CN" w:bidi="ar-SA"/>
        </w:rPr>
        <w:t>小学购买课时服务</w:t>
      </w:r>
      <w:r>
        <w:rPr>
          <w:rFonts w:hint="eastAsia" w:ascii="Times New Roman" w:hAnsi="Times New Roman" w:cs="Times New Roman"/>
          <w:b/>
          <w:bCs/>
          <w:kern w:val="2"/>
          <w:sz w:val="22"/>
          <w:szCs w:val="22"/>
          <w:lang w:val="en-US" w:eastAsia="zh-CN" w:bidi="ar-SA"/>
        </w:rPr>
        <w:t>8</w:t>
      </w:r>
      <w:r>
        <w:rPr>
          <w:rFonts w:hint="eastAsia" w:ascii="Times New Roman" w:hAnsi="Times New Roman" w:eastAsia="宋体" w:cs="Times New Roman"/>
          <w:b/>
          <w:bCs/>
          <w:kern w:val="2"/>
          <w:sz w:val="22"/>
          <w:szCs w:val="22"/>
          <w:lang w:val="en-US" w:eastAsia="zh-CN" w:bidi="ar-SA"/>
        </w:rPr>
        <w:t>人</w:t>
      </w:r>
      <w:r>
        <w:rPr>
          <w:rFonts w:hint="eastAsia" w:ascii="Times New Roman" w:hAnsi="Times New Roman" w:cs="Times New Roman"/>
          <w:b/>
          <w:bCs/>
          <w:kern w:val="2"/>
          <w:sz w:val="22"/>
          <w:szCs w:val="22"/>
          <w:lang w:val="en-US" w:eastAsia="zh-CN" w:bidi="ar-SA"/>
        </w:rPr>
        <w:t>。</w:t>
      </w:r>
    </w:p>
    <w:p w14:paraId="5E3B0240">
      <w:pPr>
        <w:pStyle w:val="3"/>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Times New Roman" w:hAnsi="Times New Roman" w:eastAsia="宋体" w:cs="Times New Roman"/>
          <w:b w:val="0"/>
          <w:bCs w:val="0"/>
          <w:kern w:val="2"/>
          <w:sz w:val="22"/>
          <w:szCs w:val="22"/>
          <w:lang w:val="en-US" w:eastAsia="zh-CN" w:bidi="ar-SA"/>
        </w:rPr>
      </w:pPr>
      <w:r>
        <w:rPr>
          <w:rFonts w:hint="eastAsia" w:ascii="Times New Roman" w:hAnsi="Times New Roman" w:cs="Times New Roman"/>
          <w:b w:val="0"/>
          <w:bCs w:val="0"/>
          <w:kern w:val="2"/>
          <w:sz w:val="22"/>
          <w:szCs w:val="22"/>
          <w:lang w:val="en-US" w:eastAsia="zh-CN" w:bidi="ar-SA"/>
        </w:rPr>
        <w:t>2、</w:t>
      </w:r>
      <w:r>
        <w:rPr>
          <w:rFonts w:hint="eastAsia" w:ascii="Times New Roman" w:hAnsi="Times New Roman" w:eastAsia="宋体" w:cs="Times New Roman"/>
          <w:b w:val="0"/>
          <w:bCs w:val="0"/>
          <w:kern w:val="2"/>
          <w:sz w:val="22"/>
          <w:szCs w:val="22"/>
          <w:lang w:val="en-US" w:eastAsia="zh-CN" w:bidi="ar-SA"/>
        </w:rPr>
        <w:t>中标单位在提供购买教育服务的履约过程中，中标单位实际投入的服务用工人员数量不得超过招标文件约定的人员配备数量上限。</w:t>
      </w:r>
    </w:p>
    <w:p w14:paraId="7CEDCD9F">
      <w:pPr>
        <w:pStyle w:val="3"/>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Times New Roman" w:hAnsi="Times New Roman" w:eastAsia="宋体" w:cs="Times New Roman"/>
          <w:b w:val="0"/>
          <w:bCs w:val="0"/>
          <w:kern w:val="2"/>
          <w:sz w:val="22"/>
          <w:szCs w:val="22"/>
          <w:lang w:val="en-US" w:eastAsia="zh-CN" w:bidi="ar-SA"/>
        </w:rPr>
      </w:pPr>
      <w:r>
        <w:rPr>
          <w:rFonts w:hint="eastAsia" w:ascii="Times New Roman" w:hAnsi="Times New Roman" w:eastAsia="宋体" w:cs="Times New Roman"/>
          <w:b w:val="0"/>
          <w:bCs w:val="0"/>
          <w:kern w:val="2"/>
          <w:sz w:val="22"/>
          <w:szCs w:val="22"/>
          <w:lang w:val="en-US" w:eastAsia="zh-CN" w:bidi="ar-SA"/>
        </w:rPr>
        <w:t>3</w:t>
      </w:r>
      <w:r>
        <w:rPr>
          <w:rFonts w:hint="eastAsia" w:ascii="Times New Roman" w:hAnsi="Times New Roman" w:cs="Times New Roman"/>
          <w:b w:val="0"/>
          <w:bCs w:val="0"/>
          <w:kern w:val="2"/>
          <w:sz w:val="22"/>
          <w:szCs w:val="22"/>
          <w:lang w:val="en-US" w:eastAsia="zh-CN" w:bidi="ar-SA"/>
        </w:rPr>
        <w:t>、</w:t>
      </w:r>
      <w:r>
        <w:rPr>
          <w:rFonts w:hint="eastAsia" w:ascii="Times New Roman" w:hAnsi="Times New Roman" w:eastAsia="宋体" w:cs="Times New Roman"/>
          <w:b w:val="0"/>
          <w:bCs w:val="0"/>
          <w:kern w:val="2"/>
          <w:sz w:val="22"/>
          <w:szCs w:val="22"/>
          <w:lang w:val="en-US" w:eastAsia="zh-CN" w:bidi="ar-SA"/>
        </w:rPr>
        <w:t>人员素质：</w:t>
      </w:r>
    </w:p>
    <w:p w14:paraId="003E22C8">
      <w:pPr>
        <w:pStyle w:val="3"/>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Times New Roman" w:hAnsi="Times New Roman" w:eastAsia="宋体" w:cs="Times New Roman"/>
          <w:b w:val="0"/>
          <w:bCs w:val="0"/>
          <w:kern w:val="2"/>
          <w:sz w:val="22"/>
          <w:szCs w:val="22"/>
          <w:lang w:val="en-US" w:eastAsia="zh-CN" w:bidi="ar-SA"/>
        </w:rPr>
      </w:pPr>
      <w:r>
        <w:rPr>
          <w:rFonts w:hint="eastAsia" w:ascii="Times New Roman" w:hAnsi="Times New Roman" w:eastAsia="宋体" w:cs="Times New Roman"/>
          <w:b w:val="0"/>
          <w:bCs w:val="0"/>
          <w:kern w:val="2"/>
          <w:sz w:val="22"/>
          <w:szCs w:val="22"/>
          <w:lang w:val="en-US" w:eastAsia="zh-CN" w:bidi="ar-SA"/>
        </w:rPr>
        <w:t>中标单位提供课时服务教师基本条件：</w:t>
      </w:r>
    </w:p>
    <w:p w14:paraId="656EAA66">
      <w:pPr>
        <w:pStyle w:val="3"/>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Times New Roman" w:hAnsi="Times New Roman" w:eastAsia="宋体" w:cs="Times New Roman"/>
          <w:b w:val="0"/>
          <w:bCs w:val="0"/>
          <w:kern w:val="2"/>
          <w:sz w:val="22"/>
          <w:szCs w:val="22"/>
          <w:lang w:val="en-US" w:eastAsia="zh-CN" w:bidi="ar-SA"/>
        </w:rPr>
      </w:pPr>
      <w:r>
        <w:rPr>
          <w:rFonts w:hint="eastAsia" w:ascii="Times New Roman" w:hAnsi="Times New Roman" w:eastAsia="宋体" w:cs="Times New Roman"/>
          <w:b w:val="0"/>
          <w:bCs w:val="0"/>
          <w:kern w:val="2"/>
          <w:sz w:val="22"/>
          <w:szCs w:val="22"/>
          <w:lang w:val="en-US" w:eastAsia="zh-CN" w:bidi="ar-SA"/>
        </w:rPr>
        <w:t>1）遵守我国法律、法规，具有良好的政治素质和职业道德；</w:t>
      </w:r>
    </w:p>
    <w:p w14:paraId="09F39693">
      <w:pPr>
        <w:pStyle w:val="3"/>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Times New Roman" w:hAnsi="Times New Roman" w:eastAsia="宋体" w:cs="Times New Roman"/>
          <w:b w:val="0"/>
          <w:bCs w:val="0"/>
          <w:kern w:val="2"/>
          <w:sz w:val="22"/>
          <w:szCs w:val="22"/>
          <w:lang w:val="en-US" w:eastAsia="zh-CN" w:bidi="ar-SA"/>
        </w:rPr>
      </w:pPr>
      <w:r>
        <w:rPr>
          <w:rFonts w:hint="eastAsia" w:ascii="Times New Roman" w:hAnsi="Times New Roman" w:eastAsia="宋体" w:cs="Times New Roman"/>
          <w:b w:val="0"/>
          <w:bCs w:val="0"/>
          <w:kern w:val="2"/>
          <w:sz w:val="22"/>
          <w:szCs w:val="22"/>
          <w:lang w:val="en-US" w:eastAsia="zh-CN" w:bidi="ar-SA"/>
        </w:rPr>
        <w:t>2）具备本科及以上学历；</w:t>
      </w:r>
    </w:p>
    <w:p w14:paraId="49D4D99C">
      <w:pPr>
        <w:pStyle w:val="3"/>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Times New Roman" w:hAnsi="Times New Roman" w:eastAsia="宋体" w:cs="Times New Roman"/>
          <w:b w:val="0"/>
          <w:bCs w:val="0"/>
          <w:kern w:val="2"/>
          <w:sz w:val="22"/>
          <w:szCs w:val="22"/>
          <w:lang w:val="en-US" w:eastAsia="zh-CN" w:bidi="ar-SA"/>
        </w:rPr>
      </w:pPr>
      <w:r>
        <w:rPr>
          <w:rFonts w:hint="eastAsia" w:ascii="Times New Roman" w:hAnsi="Times New Roman" w:eastAsia="宋体" w:cs="Times New Roman"/>
          <w:b w:val="0"/>
          <w:bCs w:val="0"/>
          <w:kern w:val="2"/>
          <w:sz w:val="22"/>
          <w:szCs w:val="22"/>
          <w:lang w:val="en-US" w:eastAsia="zh-CN" w:bidi="ar-SA"/>
        </w:rPr>
        <w:t>★3）具备相应或以上学段、学科教师资格；</w:t>
      </w:r>
    </w:p>
    <w:p w14:paraId="0E3A533F">
      <w:pPr>
        <w:pStyle w:val="3"/>
        <w:keepNext w:val="0"/>
        <w:keepLines w:val="0"/>
        <w:pageBreakBefore w:val="0"/>
        <w:widowControl w:val="0"/>
        <w:numPr>
          <w:ilvl w:val="0"/>
          <w:numId w:val="0"/>
        </w:numPr>
        <w:kinsoku/>
        <w:wordWrap/>
        <w:overflowPunct/>
        <w:topLinePunct w:val="0"/>
        <w:autoSpaceDE/>
        <w:autoSpaceDN/>
        <w:bidi w:val="0"/>
        <w:adjustRightInd/>
        <w:snapToGrid/>
        <w:spacing w:line="360" w:lineRule="exact"/>
        <w:ind w:firstLine="440" w:firstLineChars="200"/>
        <w:textAlignment w:val="auto"/>
        <w:rPr>
          <w:rFonts w:hint="eastAsia" w:ascii="Times New Roman" w:hAnsi="Times New Roman" w:eastAsia="宋体" w:cs="Times New Roman"/>
          <w:b w:val="0"/>
          <w:bCs w:val="0"/>
          <w:kern w:val="2"/>
          <w:sz w:val="22"/>
          <w:szCs w:val="22"/>
          <w:lang w:val="en-US" w:eastAsia="zh-CN" w:bidi="ar-SA"/>
        </w:rPr>
      </w:pPr>
      <w:r>
        <w:rPr>
          <w:rFonts w:hint="eastAsia" w:ascii="Times New Roman" w:hAnsi="Times New Roman" w:eastAsia="宋体" w:cs="Times New Roman"/>
          <w:b w:val="0"/>
          <w:bCs w:val="0"/>
          <w:kern w:val="2"/>
          <w:sz w:val="22"/>
          <w:szCs w:val="22"/>
          <w:lang w:val="en-US" w:eastAsia="zh-CN" w:bidi="ar-SA"/>
        </w:rPr>
        <w:t>4）</w:t>
      </w:r>
      <w:r>
        <w:rPr>
          <w:rFonts w:hint="eastAsia" w:ascii="Times New Roman" w:hAnsi="Times New Roman" w:eastAsia="宋体" w:cs="Times New Roman"/>
          <w:b w:val="0"/>
          <w:bCs w:val="0"/>
          <w:kern w:val="2"/>
          <w:sz w:val="22"/>
          <w:szCs w:val="22"/>
          <w:lang w:val="en-US" w:eastAsia="zh-CN" w:bidi="ar-SA"/>
        </w:rPr>
        <w:t>购买退休教师课时服务年龄要求：原则上不超过40周岁</w:t>
      </w:r>
      <w:r>
        <w:rPr>
          <w:rFonts w:hint="eastAsia" w:ascii="Times New Roman" w:hAnsi="Times New Roman" w:cs="Times New Roman"/>
          <w:b w:val="0"/>
          <w:bCs w:val="0"/>
          <w:kern w:val="2"/>
          <w:sz w:val="22"/>
          <w:szCs w:val="22"/>
          <w:lang w:val="en-US" w:eastAsia="zh-CN" w:bidi="ar-SA"/>
        </w:rPr>
        <w:t>；</w:t>
      </w:r>
    </w:p>
    <w:p w14:paraId="3E4D397F">
      <w:pPr>
        <w:pStyle w:val="3"/>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Times New Roman" w:hAnsi="Times New Roman" w:eastAsia="宋体" w:cs="Times New Roman"/>
          <w:b w:val="0"/>
          <w:bCs w:val="0"/>
          <w:kern w:val="2"/>
          <w:sz w:val="22"/>
          <w:szCs w:val="22"/>
          <w:lang w:val="en-US" w:eastAsia="zh-CN" w:bidi="ar-SA"/>
        </w:rPr>
      </w:pPr>
      <w:r>
        <w:rPr>
          <w:rFonts w:hint="eastAsia" w:ascii="Times New Roman" w:hAnsi="Times New Roman" w:eastAsia="宋体" w:cs="Times New Roman"/>
          <w:b w:val="0"/>
          <w:bCs w:val="0"/>
          <w:kern w:val="2"/>
          <w:sz w:val="22"/>
          <w:szCs w:val="22"/>
          <w:lang w:val="en-US" w:eastAsia="zh-CN" w:bidi="ar-SA"/>
        </w:rPr>
        <w:t>5）具备适应岗位要求的身心条件；</w:t>
      </w:r>
    </w:p>
    <w:p w14:paraId="69123551">
      <w:pPr>
        <w:pStyle w:val="3"/>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Times New Roman" w:hAnsi="Times New Roman" w:eastAsia="宋体" w:cs="Times New Roman"/>
          <w:b w:val="0"/>
          <w:bCs w:val="0"/>
          <w:kern w:val="2"/>
          <w:sz w:val="22"/>
          <w:szCs w:val="22"/>
          <w:lang w:val="en-US" w:eastAsia="zh-CN" w:bidi="ar-SA"/>
        </w:rPr>
      </w:pPr>
      <w:r>
        <w:rPr>
          <w:rFonts w:hint="eastAsia" w:ascii="Times New Roman" w:hAnsi="Times New Roman" w:eastAsia="宋体" w:cs="Times New Roman"/>
          <w:b w:val="0"/>
          <w:bCs w:val="0"/>
          <w:kern w:val="2"/>
          <w:sz w:val="22"/>
          <w:szCs w:val="22"/>
          <w:lang w:val="en-US" w:eastAsia="zh-CN" w:bidi="ar-SA"/>
        </w:rPr>
        <w:t>6）品行端正，无违法违纪记录；</w:t>
      </w:r>
    </w:p>
    <w:p w14:paraId="557E5A57">
      <w:pPr>
        <w:keepNext w:val="0"/>
        <w:keepLines w:val="0"/>
        <w:pageBreakBefore w:val="0"/>
        <w:widowControl/>
        <w:kinsoku/>
        <w:wordWrap/>
        <w:overflowPunct/>
        <w:topLinePunct w:val="0"/>
        <w:autoSpaceDE/>
        <w:autoSpaceDN/>
        <w:bidi w:val="0"/>
        <w:adjustRightInd/>
        <w:snapToGrid/>
        <w:spacing w:line="360" w:lineRule="exact"/>
        <w:ind w:left="1" w:firstLine="431" w:firstLineChars="196"/>
        <w:textAlignment w:val="auto"/>
        <w:rPr>
          <w:rFonts w:hint="eastAsia" w:ascii="Times New Roman" w:hAnsi="Times New Roman" w:eastAsia="宋体" w:cs="Times New Roman"/>
          <w:b w:val="0"/>
          <w:bCs w:val="0"/>
          <w:kern w:val="2"/>
          <w:sz w:val="22"/>
          <w:szCs w:val="22"/>
          <w:lang w:val="en-US" w:eastAsia="zh-CN" w:bidi="ar-SA"/>
        </w:rPr>
      </w:pPr>
      <w:r>
        <w:rPr>
          <w:rFonts w:hint="eastAsia" w:ascii="Times New Roman" w:hAnsi="Times New Roman" w:eastAsia="宋体" w:cs="Times New Roman"/>
          <w:b w:val="0"/>
          <w:bCs w:val="0"/>
          <w:kern w:val="2"/>
          <w:sz w:val="22"/>
          <w:szCs w:val="22"/>
          <w:lang w:val="en-US" w:eastAsia="zh-CN" w:bidi="ar-SA"/>
        </w:rPr>
        <w:t>7）符合法律规定的其他条件。</w:t>
      </w:r>
    </w:p>
    <w:p w14:paraId="1154BCD5">
      <w:pPr>
        <w:keepNext w:val="0"/>
        <w:keepLines w:val="0"/>
        <w:pageBreakBefore w:val="0"/>
        <w:kinsoku/>
        <w:wordWrap/>
        <w:overflowPunct/>
        <w:topLinePunct w:val="0"/>
        <w:autoSpaceDE/>
        <w:autoSpaceDN/>
        <w:bidi w:val="0"/>
        <w:adjustRightInd/>
        <w:snapToGrid/>
        <w:spacing w:line="360" w:lineRule="exact"/>
        <w:ind w:firstLine="442" w:firstLineChars="200"/>
        <w:jc w:val="left"/>
        <w:textAlignment w:val="auto"/>
        <w:rPr>
          <w:rFonts w:hint="eastAsia" w:ascii="Times New Roman" w:hAnsi="Times New Roman" w:cs="Times New Roman"/>
          <w:b/>
          <w:bCs/>
          <w:sz w:val="22"/>
          <w:szCs w:val="22"/>
          <w:lang w:val="en-US" w:eastAsia="zh-CN"/>
        </w:rPr>
      </w:pPr>
      <w:r>
        <w:rPr>
          <w:rFonts w:hint="eastAsia" w:ascii="Times New Roman" w:hAnsi="Times New Roman" w:cs="Times New Roman"/>
          <w:b/>
          <w:bCs/>
          <w:sz w:val="22"/>
          <w:szCs w:val="22"/>
          <w:lang w:val="en-US" w:eastAsia="zh-CN"/>
        </w:rPr>
        <w:t>（四）其他事项</w:t>
      </w:r>
    </w:p>
    <w:p w14:paraId="46014817">
      <w:pPr>
        <w:pStyle w:val="3"/>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Times New Roman" w:hAnsi="Times New Roman" w:eastAsia="宋体" w:cs="Times New Roman"/>
          <w:b w:val="0"/>
          <w:bCs w:val="0"/>
          <w:kern w:val="2"/>
          <w:sz w:val="22"/>
          <w:szCs w:val="22"/>
          <w:highlight w:val="none"/>
          <w:lang w:val="en-US" w:eastAsia="zh-CN" w:bidi="ar-SA"/>
        </w:rPr>
      </w:pPr>
      <w:r>
        <w:rPr>
          <w:rFonts w:hint="eastAsia" w:ascii="Times New Roman" w:hAnsi="Times New Roman" w:eastAsia="宋体" w:cs="Times New Roman"/>
          <w:b w:val="0"/>
          <w:bCs w:val="0"/>
          <w:kern w:val="2"/>
          <w:sz w:val="22"/>
          <w:szCs w:val="22"/>
          <w:highlight w:val="none"/>
          <w:lang w:val="en-US" w:eastAsia="zh-CN" w:bidi="ar-SA"/>
        </w:rPr>
        <w:t>本项目购买教育服务费用包含综合管理费人民币307,200.00元和人员工资福利费人民币3,456,000.00元，两项合计为人民币3,763,200.00元。</w:t>
      </w:r>
      <w:r>
        <w:rPr>
          <w:rFonts w:hint="eastAsia" w:ascii="Times New Roman" w:hAnsi="Times New Roman" w:eastAsia="宋体" w:cs="Times New Roman"/>
          <w:b/>
          <w:bCs/>
          <w:kern w:val="2"/>
          <w:sz w:val="22"/>
          <w:szCs w:val="22"/>
          <w:highlight w:val="none"/>
          <w:lang w:val="en-US" w:eastAsia="zh-CN" w:bidi="ar-SA"/>
        </w:rPr>
        <w:t>本项目仅针对综合管理费进行招标。</w:t>
      </w:r>
    </w:p>
    <w:p w14:paraId="5A06FF17">
      <w:pPr>
        <w:pStyle w:val="3"/>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Times New Roman" w:hAnsi="Times New Roman" w:eastAsia="宋体" w:cs="Times New Roman"/>
          <w:b w:val="0"/>
          <w:bCs w:val="0"/>
          <w:kern w:val="2"/>
          <w:sz w:val="22"/>
          <w:szCs w:val="22"/>
          <w:highlight w:val="none"/>
          <w:lang w:val="en-US" w:eastAsia="zh-CN" w:bidi="ar-SA"/>
        </w:rPr>
      </w:pPr>
      <w:r>
        <w:rPr>
          <w:rFonts w:hint="eastAsia" w:ascii="Times New Roman" w:hAnsi="Times New Roman" w:eastAsia="宋体" w:cs="Times New Roman"/>
          <w:b w:val="0"/>
          <w:bCs w:val="0"/>
          <w:kern w:val="2"/>
          <w:sz w:val="22"/>
          <w:szCs w:val="22"/>
          <w:highlight w:val="none"/>
          <w:lang w:val="en-US" w:eastAsia="zh-CN" w:bidi="ar-SA"/>
        </w:rPr>
        <w:t>服务人员工资及福利性经费，按照深圳市社保政策足额缴交社保、公积金和综合经费</w:t>
      </w:r>
      <w:r>
        <w:rPr>
          <w:rFonts w:hint="eastAsia" w:ascii="Times New Roman" w:hAnsi="Times New Roman" w:cs="Times New Roman"/>
          <w:b w:val="0"/>
          <w:bCs w:val="0"/>
          <w:kern w:val="2"/>
          <w:sz w:val="22"/>
          <w:szCs w:val="22"/>
          <w:highlight w:val="none"/>
          <w:lang w:val="en-US" w:eastAsia="zh-CN" w:bidi="ar-SA"/>
        </w:rPr>
        <w:t>。中标人需</w:t>
      </w:r>
      <w:r>
        <w:rPr>
          <w:rFonts w:hint="eastAsia" w:ascii="Times New Roman" w:hAnsi="Times New Roman" w:eastAsia="宋体" w:cs="Times New Roman"/>
          <w:b w:val="0"/>
          <w:bCs w:val="0"/>
          <w:kern w:val="2"/>
          <w:sz w:val="22"/>
          <w:szCs w:val="22"/>
          <w:highlight w:val="none"/>
          <w:lang w:val="en-US" w:eastAsia="zh-CN" w:bidi="ar-SA"/>
        </w:rPr>
        <w:t>按月足额支付教育服务人员的工资及费用，支付费用标准详见表1。</w:t>
      </w:r>
    </w:p>
    <w:p w14:paraId="6A363041">
      <w:pPr>
        <w:pStyle w:val="3"/>
        <w:keepNext w:val="0"/>
        <w:keepLines w:val="0"/>
        <w:pageBreakBefore w:val="0"/>
        <w:widowControl w:val="0"/>
        <w:kinsoku/>
        <w:wordWrap/>
        <w:overflowPunct/>
        <w:topLinePunct w:val="0"/>
        <w:autoSpaceDE/>
        <w:autoSpaceDN/>
        <w:bidi w:val="0"/>
        <w:adjustRightInd/>
        <w:snapToGrid/>
        <w:spacing w:line="360" w:lineRule="exact"/>
        <w:ind w:firstLine="440" w:firstLineChars="200"/>
        <w:textAlignment w:val="auto"/>
        <w:rPr>
          <w:rFonts w:hint="eastAsia" w:ascii="Times New Roman" w:hAnsi="Times New Roman" w:eastAsia="宋体" w:cs="Times New Roman"/>
          <w:b w:val="0"/>
          <w:bCs w:val="0"/>
          <w:kern w:val="2"/>
          <w:sz w:val="22"/>
          <w:szCs w:val="22"/>
          <w:highlight w:val="none"/>
          <w:lang w:val="en-US" w:eastAsia="zh-CN" w:bidi="ar-SA"/>
        </w:rPr>
      </w:pPr>
      <w:r>
        <w:rPr>
          <w:rFonts w:hint="eastAsia" w:ascii="Times New Roman" w:hAnsi="Times New Roman" w:eastAsia="宋体" w:cs="Times New Roman"/>
          <w:b w:val="0"/>
          <w:bCs w:val="0"/>
          <w:kern w:val="2"/>
          <w:sz w:val="22"/>
          <w:szCs w:val="22"/>
          <w:highlight w:val="none"/>
          <w:lang w:val="en-US" w:eastAsia="zh-CN" w:bidi="ar-SA"/>
        </w:rPr>
        <w:t>在服务有效期限内，如上级部门对人员工资福利经费进行调整，</w:t>
      </w:r>
      <w:r>
        <w:rPr>
          <w:rFonts w:hint="eastAsia" w:ascii="Times New Roman" w:hAnsi="Times New Roman" w:cs="Times New Roman"/>
          <w:b w:val="0"/>
          <w:bCs w:val="0"/>
          <w:kern w:val="2"/>
          <w:sz w:val="22"/>
          <w:szCs w:val="22"/>
          <w:highlight w:val="none"/>
          <w:lang w:val="en-US" w:eastAsia="zh-CN" w:bidi="ar-SA"/>
        </w:rPr>
        <w:t>采购人和中标人</w:t>
      </w:r>
      <w:r>
        <w:rPr>
          <w:rFonts w:hint="eastAsia" w:ascii="Times New Roman" w:hAnsi="Times New Roman" w:eastAsia="宋体" w:cs="Times New Roman"/>
          <w:b w:val="0"/>
          <w:bCs w:val="0"/>
          <w:kern w:val="2"/>
          <w:sz w:val="22"/>
          <w:szCs w:val="22"/>
          <w:highlight w:val="none"/>
          <w:lang w:val="en-US" w:eastAsia="zh-CN" w:bidi="ar-SA"/>
        </w:rPr>
        <w:t>须按上级通知要求以签订补充协议的方式，解决所调整的服务人员经费支付事宜，如产生税费等由</w:t>
      </w:r>
      <w:r>
        <w:rPr>
          <w:rFonts w:hint="eastAsia" w:ascii="Times New Roman" w:hAnsi="Times New Roman" w:cs="Times New Roman"/>
          <w:b w:val="0"/>
          <w:bCs w:val="0"/>
          <w:kern w:val="2"/>
          <w:sz w:val="22"/>
          <w:szCs w:val="22"/>
          <w:highlight w:val="none"/>
          <w:lang w:val="en-US" w:eastAsia="zh-CN" w:bidi="ar-SA"/>
        </w:rPr>
        <w:t>中标人</w:t>
      </w:r>
      <w:r>
        <w:rPr>
          <w:rFonts w:hint="eastAsia" w:ascii="Times New Roman" w:hAnsi="Times New Roman" w:eastAsia="宋体" w:cs="Times New Roman"/>
          <w:b w:val="0"/>
          <w:bCs w:val="0"/>
          <w:kern w:val="2"/>
          <w:sz w:val="22"/>
          <w:szCs w:val="22"/>
          <w:highlight w:val="none"/>
          <w:lang w:val="en-US" w:eastAsia="zh-CN" w:bidi="ar-SA"/>
        </w:rPr>
        <w:t>承担，签订补充协议时</w:t>
      </w:r>
      <w:r>
        <w:rPr>
          <w:rFonts w:hint="eastAsia" w:ascii="Times New Roman" w:hAnsi="Times New Roman" w:cs="Times New Roman"/>
          <w:b w:val="0"/>
          <w:bCs w:val="0"/>
          <w:kern w:val="2"/>
          <w:sz w:val="22"/>
          <w:szCs w:val="22"/>
          <w:highlight w:val="none"/>
          <w:lang w:val="en-US" w:eastAsia="zh-CN" w:bidi="ar-SA"/>
        </w:rPr>
        <w:t>采购人</w:t>
      </w:r>
      <w:r>
        <w:rPr>
          <w:rFonts w:hint="eastAsia" w:ascii="Times New Roman" w:hAnsi="Times New Roman" w:eastAsia="宋体" w:cs="Times New Roman"/>
          <w:b w:val="0"/>
          <w:bCs w:val="0"/>
          <w:kern w:val="2"/>
          <w:sz w:val="22"/>
          <w:szCs w:val="22"/>
          <w:highlight w:val="none"/>
          <w:lang w:val="en-US" w:eastAsia="zh-CN" w:bidi="ar-SA"/>
        </w:rPr>
        <w:t>只支付所调整的服务人员经费，不再支付综合管理费用及其他任何费用。</w:t>
      </w:r>
    </w:p>
    <w:p w14:paraId="5333844A">
      <w:pPr>
        <w:widowControl/>
        <w:spacing w:line="360" w:lineRule="auto"/>
        <w:ind w:left="1" w:hanging="1"/>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表1：教育服务人员费用支付标准表</w:t>
      </w:r>
      <w:r>
        <w:rPr>
          <w:rFonts w:hint="eastAsia" w:ascii="宋体" w:hAnsi="宋体" w:eastAsia="宋体" w:cs="宋体"/>
          <w:color w:val="auto"/>
          <w:kern w:val="0"/>
          <w:sz w:val="22"/>
          <w:szCs w:val="22"/>
          <w:lang w:val="en-US"/>
        </w:rPr>
        <w:t>（</w:t>
      </w:r>
      <w:r>
        <w:rPr>
          <w:rFonts w:hint="eastAsia" w:ascii="宋体" w:hAnsi="宋体" w:eastAsia="宋体" w:cs="宋体"/>
          <w:color w:val="auto"/>
          <w:kern w:val="0"/>
          <w:sz w:val="22"/>
          <w:szCs w:val="22"/>
        </w:rPr>
        <w:t>含综合管理费</w:t>
      </w:r>
      <w:r>
        <w:rPr>
          <w:rFonts w:hint="eastAsia" w:ascii="宋体" w:hAnsi="宋体" w:eastAsia="宋体" w:cs="宋体"/>
          <w:color w:val="auto"/>
          <w:kern w:val="0"/>
          <w:sz w:val="22"/>
          <w:szCs w:val="22"/>
          <w:lang w:val="en-US"/>
        </w:rPr>
        <w:t>）</w:t>
      </w:r>
    </w:p>
    <w:tbl>
      <w:tblPr>
        <w:tblStyle w:val="29"/>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64"/>
        <w:gridCol w:w="1800"/>
        <w:gridCol w:w="1621"/>
        <w:gridCol w:w="1544"/>
      </w:tblGrid>
      <w:tr w14:paraId="0153F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pct"/>
            <w:vMerge w:val="restart"/>
            <w:noWrap w:val="0"/>
            <w:vAlign w:val="top"/>
          </w:tcPr>
          <w:p w14:paraId="7B61BD0F">
            <w:pPr>
              <w:widowControl/>
              <w:spacing w:before="312" w:beforeLines="100" w:line="360" w:lineRule="auto"/>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购买教育服务类别</w:t>
            </w:r>
          </w:p>
        </w:tc>
        <w:tc>
          <w:tcPr>
            <w:tcW w:w="2909" w:type="pct"/>
            <w:gridSpan w:val="3"/>
            <w:noWrap w:val="0"/>
            <w:vAlign w:val="top"/>
          </w:tcPr>
          <w:p w14:paraId="1408453E">
            <w:pPr>
              <w:widowControl/>
              <w:spacing w:line="360" w:lineRule="auto"/>
              <w:jc w:val="center"/>
              <w:rPr>
                <w:rFonts w:hint="eastAsia" w:ascii="宋体" w:hAnsi="宋体" w:eastAsia="宋体" w:cs="宋体"/>
                <w:color w:val="auto"/>
                <w:kern w:val="0"/>
                <w:sz w:val="22"/>
                <w:szCs w:val="22"/>
              </w:rPr>
            </w:pPr>
            <w:r>
              <w:rPr>
                <w:rFonts w:hint="eastAsia" w:ascii="宋体" w:hAnsi="宋体" w:eastAsia="宋体" w:cs="宋体"/>
                <w:b/>
                <w:bCs/>
                <w:color w:val="auto"/>
                <w:kern w:val="0"/>
                <w:sz w:val="22"/>
                <w:szCs w:val="22"/>
              </w:rPr>
              <w:t>购买教育服务费用</w:t>
            </w:r>
          </w:p>
        </w:tc>
      </w:tr>
      <w:tr w14:paraId="1E3BE8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pct"/>
            <w:vMerge w:val="continue"/>
            <w:noWrap w:val="0"/>
            <w:vAlign w:val="top"/>
          </w:tcPr>
          <w:p w14:paraId="7A43153E">
            <w:pPr>
              <w:widowControl/>
              <w:spacing w:line="360" w:lineRule="auto"/>
              <w:jc w:val="center"/>
              <w:rPr>
                <w:rFonts w:hint="eastAsia" w:ascii="宋体" w:hAnsi="宋体" w:eastAsia="宋体" w:cs="宋体"/>
                <w:color w:val="auto"/>
                <w:kern w:val="0"/>
                <w:sz w:val="22"/>
                <w:szCs w:val="22"/>
              </w:rPr>
            </w:pPr>
          </w:p>
        </w:tc>
        <w:tc>
          <w:tcPr>
            <w:tcW w:w="1055" w:type="pct"/>
            <w:noWrap w:val="0"/>
            <w:vAlign w:val="top"/>
          </w:tcPr>
          <w:p w14:paraId="24D8E636">
            <w:pPr>
              <w:widowControl/>
              <w:spacing w:line="360" w:lineRule="auto"/>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高中</w:t>
            </w:r>
          </w:p>
        </w:tc>
        <w:tc>
          <w:tcPr>
            <w:tcW w:w="950" w:type="pct"/>
            <w:noWrap w:val="0"/>
            <w:vAlign w:val="top"/>
          </w:tcPr>
          <w:p w14:paraId="344F0FD4">
            <w:pPr>
              <w:widowControl/>
              <w:spacing w:line="360" w:lineRule="auto"/>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初中</w:t>
            </w:r>
          </w:p>
        </w:tc>
        <w:tc>
          <w:tcPr>
            <w:tcW w:w="903" w:type="pct"/>
            <w:noWrap w:val="0"/>
            <w:vAlign w:val="top"/>
          </w:tcPr>
          <w:p w14:paraId="63516279">
            <w:pPr>
              <w:widowControl/>
              <w:spacing w:line="360" w:lineRule="auto"/>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小学</w:t>
            </w:r>
          </w:p>
        </w:tc>
      </w:tr>
      <w:tr w14:paraId="4E2F9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90" w:type="pct"/>
            <w:noWrap w:val="0"/>
            <w:vAlign w:val="top"/>
          </w:tcPr>
          <w:p w14:paraId="32C83428">
            <w:pPr>
              <w:widowControl/>
              <w:spacing w:line="360" w:lineRule="auto"/>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rPr>
              <w:t>购买一般课时、短期课时教师岗位</w:t>
            </w:r>
          </w:p>
        </w:tc>
        <w:tc>
          <w:tcPr>
            <w:tcW w:w="1055" w:type="pct"/>
            <w:noWrap w:val="0"/>
            <w:vAlign w:val="top"/>
          </w:tcPr>
          <w:p w14:paraId="404FF182">
            <w:pPr>
              <w:widowControl/>
              <w:spacing w:line="360" w:lineRule="auto"/>
              <w:ind w:firstLine="220" w:firstLineChars="100"/>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u w:val="single"/>
                <w:lang w:val="en-US" w:eastAsia="zh-CN"/>
              </w:rPr>
              <w:t>17500</w:t>
            </w:r>
            <w:r>
              <w:rPr>
                <w:rFonts w:hint="eastAsia" w:ascii="宋体" w:hAnsi="宋体" w:eastAsia="宋体" w:cs="宋体"/>
                <w:color w:val="auto"/>
                <w:kern w:val="0"/>
                <w:sz w:val="22"/>
                <w:szCs w:val="22"/>
              </w:rPr>
              <w:t>元/月</w:t>
            </w:r>
          </w:p>
        </w:tc>
        <w:tc>
          <w:tcPr>
            <w:tcW w:w="950" w:type="pct"/>
            <w:noWrap w:val="0"/>
            <w:vAlign w:val="top"/>
          </w:tcPr>
          <w:p w14:paraId="4C23CA88">
            <w:pPr>
              <w:widowControl/>
              <w:spacing w:line="360" w:lineRule="auto"/>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u w:val="single"/>
                <w:lang w:val="en-US" w:eastAsia="zh-CN"/>
              </w:rPr>
              <w:t>16200</w:t>
            </w:r>
            <w:r>
              <w:rPr>
                <w:rFonts w:hint="eastAsia" w:ascii="宋体" w:hAnsi="宋体" w:eastAsia="宋体" w:cs="宋体"/>
                <w:color w:val="auto"/>
                <w:kern w:val="0"/>
                <w:sz w:val="22"/>
                <w:szCs w:val="22"/>
              </w:rPr>
              <w:t>元/月</w:t>
            </w:r>
          </w:p>
        </w:tc>
        <w:tc>
          <w:tcPr>
            <w:tcW w:w="903" w:type="pct"/>
            <w:noWrap w:val="0"/>
            <w:vAlign w:val="top"/>
          </w:tcPr>
          <w:p w14:paraId="694D9E4B">
            <w:pPr>
              <w:widowControl/>
              <w:spacing w:line="360" w:lineRule="auto"/>
              <w:jc w:val="center"/>
              <w:rPr>
                <w:rFonts w:hint="eastAsia" w:ascii="宋体" w:hAnsi="宋体" w:eastAsia="宋体" w:cs="宋体"/>
                <w:color w:val="auto"/>
                <w:kern w:val="0"/>
                <w:sz w:val="22"/>
                <w:szCs w:val="22"/>
              </w:rPr>
            </w:pPr>
            <w:r>
              <w:rPr>
                <w:rFonts w:hint="eastAsia" w:ascii="宋体" w:hAnsi="宋体" w:eastAsia="宋体" w:cs="宋体"/>
                <w:color w:val="auto"/>
                <w:kern w:val="0"/>
                <w:sz w:val="22"/>
                <w:szCs w:val="22"/>
                <w:u w:val="single"/>
                <w:lang w:val="en-US" w:eastAsia="zh-CN"/>
              </w:rPr>
              <w:t>14900</w:t>
            </w:r>
            <w:r>
              <w:rPr>
                <w:rFonts w:hint="eastAsia" w:ascii="宋体" w:hAnsi="宋体" w:eastAsia="宋体" w:cs="宋体"/>
                <w:color w:val="auto"/>
                <w:kern w:val="0"/>
                <w:sz w:val="22"/>
                <w:szCs w:val="22"/>
              </w:rPr>
              <w:t>元/月</w:t>
            </w:r>
          </w:p>
        </w:tc>
      </w:tr>
      <w:tr w14:paraId="0119A7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00" w:type="pct"/>
            <w:gridSpan w:val="4"/>
            <w:noWrap w:val="0"/>
            <w:vAlign w:val="top"/>
          </w:tcPr>
          <w:p w14:paraId="317E0B4D">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说明：以上购买教育服务费用包含服务人员月应发工资、单位缴交社会保险、单位缴交住房公积金、月度考核、经济补偿金、绩效奖、慰问金、医疗工伤孕产假风险金以及供应商运营管理费等可能产生的各种费用。</w:t>
            </w:r>
          </w:p>
          <w:p w14:paraId="37F64991">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2"/>
                <w:szCs w:val="22"/>
              </w:rPr>
            </w:pPr>
            <w:r>
              <w:rPr>
                <w:rFonts w:hint="eastAsia" w:ascii="宋体" w:hAnsi="宋体" w:eastAsia="宋体" w:cs="宋体"/>
                <w:color w:val="auto"/>
                <w:sz w:val="22"/>
                <w:szCs w:val="22"/>
              </w:rPr>
              <w:t>满工作量情况下，</w:t>
            </w:r>
            <w:r>
              <w:rPr>
                <w:rFonts w:hint="eastAsia" w:ascii="宋体" w:hAnsi="宋体" w:eastAsia="宋体" w:cs="宋体"/>
                <w:color w:val="auto"/>
                <w:sz w:val="22"/>
                <w:szCs w:val="22"/>
                <w:lang w:eastAsia="zh-CN"/>
              </w:rPr>
              <w:t>中标人</w:t>
            </w:r>
            <w:r>
              <w:rPr>
                <w:rFonts w:hint="eastAsia" w:ascii="宋体" w:hAnsi="宋体" w:eastAsia="宋体" w:cs="宋体"/>
                <w:color w:val="auto"/>
                <w:sz w:val="22"/>
                <w:szCs w:val="22"/>
              </w:rPr>
              <w:t>向教师岗位服务人员支付的月应发工资不低于高中11420元、初中10540元、小学9660元，月度考核750元。此部分为服务人员规定所得，</w:t>
            </w:r>
            <w:r>
              <w:rPr>
                <w:rFonts w:hint="eastAsia" w:ascii="宋体" w:hAnsi="宋体" w:eastAsia="宋体" w:cs="宋体"/>
                <w:color w:val="auto"/>
                <w:sz w:val="22"/>
                <w:szCs w:val="22"/>
                <w:lang w:eastAsia="zh-CN"/>
              </w:rPr>
              <w:t>中标人</w:t>
            </w:r>
            <w:r>
              <w:rPr>
                <w:rFonts w:hint="eastAsia" w:ascii="宋体" w:hAnsi="宋体" w:eastAsia="宋体" w:cs="宋体"/>
                <w:color w:val="auto"/>
                <w:sz w:val="22"/>
                <w:szCs w:val="22"/>
              </w:rPr>
              <w:t>不得克扣。单位负担的综合社保以社保局规定基数足额缴交，公积金按公积金中心规定基数的12%缴交。</w:t>
            </w:r>
          </w:p>
          <w:p w14:paraId="035E7EF1">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22"/>
                <w:szCs w:val="22"/>
              </w:rPr>
            </w:pPr>
            <w:r>
              <w:rPr>
                <w:rFonts w:hint="eastAsia" w:ascii="宋体" w:hAnsi="宋体" w:eastAsia="宋体" w:cs="宋体"/>
                <w:color w:val="auto"/>
                <w:sz w:val="22"/>
                <w:szCs w:val="22"/>
              </w:rPr>
              <w:t>工作不满月情况下，服务人员费用按实际工作量占满工作量比例折算。</w:t>
            </w:r>
          </w:p>
        </w:tc>
      </w:tr>
    </w:tbl>
    <w:p w14:paraId="322B243F">
      <w:pPr>
        <w:spacing w:line="360" w:lineRule="exact"/>
        <w:ind w:firstLine="360" w:firstLineChars="200"/>
        <w:rPr>
          <w:rFonts w:ascii="Times New Roman" w:hAnsi="Times New Roman"/>
          <w:sz w:val="18"/>
          <w:szCs w:val="18"/>
        </w:rPr>
      </w:pPr>
      <w:r>
        <w:rPr>
          <w:rFonts w:ascii="Times New Roman" w:hAnsi="Times New Roman"/>
          <w:sz w:val="18"/>
          <w:szCs w:val="18"/>
        </w:rPr>
        <w:t>注：带“▲”号的部分为重要条款，负偏离将导致严重扣分，但不导致投标无效。带“★”号的条款为实质性条款，任何一条负偏离将被视为未实质性满足招标文件要求作投标无效处理。</w:t>
      </w:r>
    </w:p>
    <w:p w14:paraId="1742F5A8">
      <w:pPr>
        <w:pStyle w:val="5"/>
        <w:numPr>
          <w:ilvl w:val="0"/>
          <w:numId w:val="3"/>
        </w:numPr>
        <w:adjustRightInd/>
        <w:spacing w:line="360" w:lineRule="exact"/>
        <w:textAlignment w:val="auto"/>
        <w:rPr>
          <w:rFonts w:ascii="Times New Roman" w:hAnsi="Times New Roman"/>
          <w:sz w:val="32"/>
          <w:szCs w:val="32"/>
        </w:rPr>
      </w:pPr>
      <w:r>
        <w:rPr>
          <w:rFonts w:ascii="Times New Roman" w:hAnsi="Times New Roman"/>
          <w:sz w:val="32"/>
          <w:szCs w:val="32"/>
        </w:rPr>
        <w:t>商务需求</w:t>
      </w:r>
    </w:p>
    <w:tbl>
      <w:tblPr>
        <w:tblStyle w:val="30"/>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1"/>
        <w:gridCol w:w="1353"/>
        <w:gridCol w:w="6343"/>
      </w:tblGrid>
      <w:tr w14:paraId="7ABBC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487" w:type="pct"/>
            <w:vAlign w:val="center"/>
          </w:tcPr>
          <w:p w14:paraId="171CA1C4">
            <w:pPr>
              <w:keepNext w:val="0"/>
              <w:keepLines w:val="0"/>
              <w:pageBreakBefore w:val="0"/>
              <w:widowControl/>
              <w:kinsoku/>
              <w:wordWrap/>
              <w:overflowPunct/>
              <w:topLinePunct w:val="0"/>
              <w:autoSpaceDE/>
              <w:autoSpaceDN/>
              <w:bidi w:val="0"/>
              <w:adjustRightInd/>
              <w:snapToGrid/>
              <w:spacing w:line="360" w:lineRule="atLeast"/>
              <w:jc w:val="center"/>
              <w:textAlignment w:val="auto"/>
              <w:rPr>
                <w:b/>
                <w:sz w:val="22"/>
                <w:szCs w:val="22"/>
              </w:rPr>
            </w:pPr>
            <w:r>
              <w:rPr>
                <w:rFonts w:hint="eastAsia"/>
                <w:b/>
                <w:sz w:val="22"/>
                <w:szCs w:val="22"/>
              </w:rPr>
              <w:t>序号</w:t>
            </w:r>
          </w:p>
        </w:tc>
        <w:tc>
          <w:tcPr>
            <w:tcW w:w="793" w:type="pct"/>
            <w:vAlign w:val="center"/>
          </w:tcPr>
          <w:p w14:paraId="5AED7467">
            <w:pPr>
              <w:keepNext w:val="0"/>
              <w:keepLines w:val="0"/>
              <w:pageBreakBefore w:val="0"/>
              <w:widowControl/>
              <w:kinsoku/>
              <w:wordWrap/>
              <w:overflowPunct/>
              <w:topLinePunct w:val="0"/>
              <w:autoSpaceDE/>
              <w:autoSpaceDN/>
              <w:bidi w:val="0"/>
              <w:adjustRightInd/>
              <w:snapToGrid/>
              <w:spacing w:line="360" w:lineRule="atLeast"/>
              <w:jc w:val="center"/>
              <w:textAlignment w:val="auto"/>
              <w:rPr>
                <w:b/>
                <w:sz w:val="22"/>
                <w:szCs w:val="22"/>
              </w:rPr>
            </w:pPr>
            <w:r>
              <w:rPr>
                <w:rFonts w:hint="eastAsia"/>
                <w:b/>
                <w:sz w:val="22"/>
                <w:szCs w:val="22"/>
              </w:rPr>
              <w:t>目录</w:t>
            </w:r>
          </w:p>
        </w:tc>
        <w:tc>
          <w:tcPr>
            <w:tcW w:w="3718" w:type="pct"/>
            <w:vAlign w:val="center"/>
          </w:tcPr>
          <w:p w14:paraId="109D6E1D">
            <w:pPr>
              <w:keepNext w:val="0"/>
              <w:keepLines w:val="0"/>
              <w:pageBreakBefore w:val="0"/>
              <w:widowControl/>
              <w:kinsoku/>
              <w:wordWrap/>
              <w:overflowPunct/>
              <w:topLinePunct w:val="0"/>
              <w:autoSpaceDE/>
              <w:autoSpaceDN/>
              <w:bidi w:val="0"/>
              <w:adjustRightInd/>
              <w:snapToGrid/>
              <w:spacing w:line="360" w:lineRule="atLeast"/>
              <w:jc w:val="center"/>
              <w:textAlignment w:val="auto"/>
              <w:rPr>
                <w:b/>
                <w:sz w:val="22"/>
                <w:szCs w:val="22"/>
              </w:rPr>
            </w:pPr>
            <w:r>
              <w:rPr>
                <w:rFonts w:hint="eastAsia"/>
                <w:b/>
                <w:sz w:val="22"/>
                <w:szCs w:val="22"/>
              </w:rPr>
              <w:t>商务条款要求</w:t>
            </w:r>
          </w:p>
        </w:tc>
      </w:tr>
      <w:tr w14:paraId="4827E3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Align w:val="center"/>
          </w:tcPr>
          <w:p w14:paraId="617FA992">
            <w:pPr>
              <w:keepNext w:val="0"/>
              <w:keepLines w:val="0"/>
              <w:pageBreakBefore w:val="0"/>
              <w:kinsoku/>
              <w:wordWrap/>
              <w:overflowPunct/>
              <w:topLinePunct w:val="0"/>
              <w:autoSpaceDE/>
              <w:autoSpaceDN/>
              <w:bidi w:val="0"/>
              <w:adjustRightInd/>
              <w:snapToGrid/>
              <w:spacing w:line="360" w:lineRule="atLeast"/>
              <w:jc w:val="center"/>
              <w:textAlignment w:val="auto"/>
              <w:outlineLvl w:val="0"/>
              <w:rPr>
                <w:rFonts w:hint="default" w:ascii="Times New Roman" w:hAnsi="Times New Roman" w:cs="Times New Roman"/>
                <w:b/>
                <w:bCs/>
                <w:sz w:val="22"/>
                <w:szCs w:val="22"/>
              </w:rPr>
            </w:pPr>
            <w:r>
              <w:rPr>
                <w:rFonts w:hint="default" w:ascii="Times New Roman" w:hAnsi="Times New Roman" w:cs="Times New Roman"/>
                <w:b/>
                <w:bCs/>
                <w:sz w:val="22"/>
                <w:szCs w:val="22"/>
              </w:rPr>
              <w:t>1</w:t>
            </w:r>
          </w:p>
        </w:tc>
        <w:tc>
          <w:tcPr>
            <w:tcW w:w="793" w:type="pct"/>
            <w:vAlign w:val="center"/>
          </w:tcPr>
          <w:p w14:paraId="08220343">
            <w:pPr>
              <w:keepNext w:val="0"/>
              <w:keepLines w:val="0"/>
              <w:pageBreakBefore w:val="0"/>
              <w:kinsoku/>
              <w:wordWrap/>
              <w:overflowPunct/>
              <w:topLinePunct w:val="0"/>
              <w:autoSpaceDE/>
              <w:autoSpaceDN/>
              <w:bidi w:val="0"/>
              <w:adjustRightInd/>
              <w:snapToGrid/>
              <w:spacing w:line="360" w:lineRule="atLeast"/>
              <w:jc w:val="center"/>
              <w:textAlignment w:val="auto"/>
              <w:outlineLvl w:val="0"/>
              <w:rPr>
                <w:rFonts w:hint="default" w:ascii="Times New Roman" w:hAnsi="Times New Roman" w:eastAsia="宋体" w:cs="Times New Roman"/>
                <w:b/>
                <w:bCs/>
                <w:sz w:val="22"/>
                <w:szCs w:val="22"/>
                <w:lang w:eastAsia="zh-CN"/>
              </w:rPr>
            </w:pPr>
            <w:r>
              <w:rPr>
                <w:rFonts w:hint="default" w:ascii="Times New Roman" w:hAnsi="Times New Roman" w:eastAsia="宋体" w:cs="Times New Roman"/>
                <w:b/>
                <w:bCs/>
                <w:sz w:val="22"/>
                <w:szCs w:val="22"/>
              </w:rPr>
              <w:t>服务</w:t>
            </w:r>
            <w:r>
              <w:rPr>
                <w:rFonts w:hint="default" w:ascii="Times New Roman" w:hAnsi="Times New Roman" w:eastAsia="宋体" w:cs="Times New Roman"/>
                <w:b/>
                <w:bCs/>
                <w:sz w:val="22"/>
                <w:szCs w:val="22"/>
                <w:lang w:eastAsia="zh-CN"/>
              </w:rPr>
              <w:t>期限</w:t>
            </w:r>
          </w:p>
        </w:tc>
        <w:tc>
          <w:tcPr>
            <w:tcW w:w="3718" w:type="pct"/>
          </w:tcPr>
          <w:p w14:paraId="0AEB51CA">
            <w:pPr>
              <w:keepNext w:val="0"/>
              <w:keepLines w:val="0"/>
              <w:pageBreakBefore w:val="0"/>
              <w:kinsoku/>
              <w:wordWrap/>
              <w:overflowPunct/>
              <w:topLinePunct w:val="0"/>
              <w:autoSpaceDE/>
              <w:autoSpaceDN/>
              <w:bidi w:val="0"/>
              <w:adjustRightInd/>
              <w:snapToGrid/>
              <w:spacing w:line="360" w:lineRule="atLeast"/>
              <w:jc w:val="left"/>
              <w:textAlignment w:val="auto"/>
              <w:rPr>
                <w:rFonts w:hint="default" w:ascii="Times New Roman" w:hAnsi="Times New Roman" w:eastAsia="宋体" w:cs="Times New Roman"/>
                <w:sz w:val="22"/>
                <w:szCs w:val="22"/>
              </w:rPr>
            </w:pPr>
            <w:r>
              <w:rPr>
                <w:rFonts w:hint="default" w:ascii="Times New Roman" w:hAnsi="Times New Roman" w:cs="Times New Roman"/>
                <w:sz w:val="22"/>
                <w:szCs w:val="22"/>
                <w:lang w:eastAsia="zh-CN"/>
              </w:rPr>
              <w:t>自</w:t>
            </w:r>
            <w:r>
              <w:rPr>
                <w:rFonts w:hint="default" w:ascii="Times New Roman" w:hAnsi="Times New Roman" w:eastAsia="宋体" w:cs="Times New Roman"/>
                <w:sz w:val="22"/>
                <w:szCs w:val="22"/>
              </w:rPr>
              <w:t>2025年9月1日起至2026年08月31日止</w:t>
            </w:r>
            <w:r>
              <w:rPr>
                <w:rFonts w:hint="eastAsia" w:ascii="Times New Roman" w:hAnsi="Times New Roman" w:cs="Times New Roman"/>
                <w:sz w:val="22"/>
                <w:szCs w:val="22"/>
                <w:lang w:eastAsia="zh-CN"/>
              </w:rPr>
              <w:t>。</w:t>
            </w:r>
            <w:r>
              <w:rPr>
                <w:rFonts w:hint="default" w:ascii="Times New Roman" w:hAnsi="Times New Roman" w:eastAsia="宋体" w:cs="Times New Roman"/>
                <w:sz w:val="22"/>
                <w:szCs w:val="22"/>
              </w:rPr>
              <w:t>本项目服务期限为1年，1年期满后，经履约考核合格及以上的可按原合同条款续签下一年度合同，每次续签年限为1年，最多续签2次。</w:t>
            </w:r>
          </w:p>
        </w:tc>
      </w:tr>
      <w:tr w14:paraId="384B3F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Align w:val="center"/>
          </w:tcPr>
          <w:p w14:paraId="155E8B00">
            <w:pPr>
              <w:keepNext w:val="0"/>
              <w:keepLines w:val="0"/>
              <w:pageBreakBefore w:val="0"/>
              <w:kinsoku/>
              <w:wordWrap/>
              <w:overflowPunct/>
              <w:topLinePunct w:val="0"/>
              <w:autoSpaceDE/>
              <w:autoSpaceDN/>
              <w:bidi w:val="0"/>
              <w:adjustRightInd/>
              <w:snapToGrid/>
              <w:spacing w:line="360" w:lineRule="atLeast"/>
              <w:jc w:val="center"/>
              <w:textAlignment w:val="auto"/>
              <w:outlineLvl w:val="0"/>
              <w:rPr>
                <w:rFonts w:hint="default" w:ascii="Times New Roman" w:hAnsi="Times New Roman" w:cs="Times New Roman"/>
                <w:b/>
                <w:bCs/>
                <w:sz w:val="22"/>
                <w:szCs w:val="22"/>
              </w:rPr>
            </w:pPr>
            <w:r>
              <w:rPr>
                <w:rFonts w:hint="default" w:ascii="Times New Roman" w:hAnsi="Times New Roman" w:cs="Times New Roman"/>
                <w:b/>
                <w:bCs/>
                <w:sz w:val="22"/>
                <w:szCs w:val="22"/>
              </w:rPr>
              <w:t>2</w:t>
            </w:r>
          </w:p>
        </w:tc>
        <w:tc>
          <w:tcPr>
            <w:tcW w:w="793" w:type="pct"/>
            <w:vAlign w:val="center"/>
          </w:tcPr>
          <w:p w14:paraId="6B7DF49D">
            <w:pPr>
              <w:keepNext w:val="0"/>
              <w:keepLines w:val="0"/>
              <w:pageBreakBefore w:val="0"/>
              <w:kinsoku/>
              <w:wordWrap/>
              <w:overflowPunct/>
              <w:topLinePunct w:val="0"/>
              <w:autoSpaceDE/>
              <w:autoSpaceDN/>
              <w:bidi w:val="0"/>
              <w:adjustRightInd/>
              <w:snapToGrid/>
              <w:spacing w:line="360" w:lineRule="atLeast"/>
              <w:jc w:val="center"/>
              <w:textAlignment w:val="auto"/>
              <w:outlineLvl w:val="0"/>
              <w:rPr>
                <w:rFonts w:hint="default" w:ascii="Times New Roman" w:hAnsi="Times New Roman" w:eastAsia="宋体" w:cs="Times New Roman"/>
                <w:b/>
                <w:bCs/>
                <w:sz w:val="22"/>
                <w:szCs w:val="22"/>
              </w:rPr>
            </w:pPr>
            <w:r>
              <w:rPr>
                <w:rFonts w:hint="default" w:ascii="Times New Roman" w:hAnsi="Times New Roman" w:eastAsia="宋体" w:cs="Times New Roman"/>
                <w:b/>
                <w:bCs/>
                <w:sz w:val="22"/>
                <w:szCs w:val="22"/>
              </w:rPr>
              <w:t>服务地点</w:t>
            </w:r>
          </w:p>
        </w:tc>
        <w:tc>
          <w:tcPr>
            <w:tcW w:w="3718" w:type="pct"/>
          </w:tcPr>
          <w:p w14:paraId="7195DEEA">
            <w:pPr>
              <w:keepNext w:val="0"/>
              <w:keepLines w:val="0"/>
              <w:pageBreakBefore w:val="0"/>
              <w:kinsoku/>
              <w:wordWrap/>
              <w:overflowPunct/>
              <w:topLinePunct w:val="0"/>
              <w:autoSpaceDE/>
              <w:autoSpaceDN/>
              <w:bidi w:val="0"/>
              <w:adjustRightInd/>
              <w:snapToGrid/>
              <w:spacing w:line="360" w:lineRule="atLeast"/>
              <w:jc w:val="left"/>
              <w:textAlignment w:val="auto"/>
              <w:rPr>
                <w:rFonts w:hint="default" w:ascii="Times New Roman" w:hAnsi="Times New Roman" w:eastAsia="宋体" w:cs="Times New Roman"/>
                <w:sz w:val="22"/>
                <w:szCs w:val="22"/>
                <w:lang w:val="en-US" w:eastAsia="zh-CN"/>
              </w:rPr>
            </w:pPr>
            <w:r>
              <w:rPr>
                <w:rFonts w:hint="default" w:ascii="Times New Roman" w:hAnsi="Times New Roman" w:eastAsia="宋体" w:cs="Times New Roman"/>
                <w:sz w:val="22"/>
                <w:szCs w:val="22"/>
                <w:lang w:val="en-US" w:eastAsia="zh-CN"/>
              </w:rPr>
              <w:t>深圳市龙岗区吉华街道三联社区文樾路3号</w:t>
            </w:r>
            <w:r>
              <w:rPr>
                <w:rFonts w:hint="eastAsia" w:ascii="Times New Roman" w:hAnsi="Times New Roman" w:cs="Times New Roman"/>
                <w:sz w:val="22"/>
                <w:szCs w:val="22"/>
                <w:lang w:val="en-US" w:eastAsia="zh-CN"/>
              </w:rPr>
              <w:t>。</w:t>
            </w:r>
          </w:p>
        </w:tc>
      </w:tr>
      <w:tr w14:paraId="11E61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Merge w:val="restart"/>
            <w:vAlign w:val="center"/>
          </w:tcPr>
          <w:p w14:paraId="7ED1523F">
            <w:pPr>
              <w:keepNext w:val="0"/>
              <w:keepLines w:val="0"/>
              <w:pageBreakBefore w:val="0"/>
              <w:kinsoku/>
              <w:wordWrap/>
              <w:overflowPunct/>
              <w:topLinePunct w:val="0"/>
              <w:autoSpaceDE/>
              <w:autoSpaceDN/>
              <w:bidi w:val="0"/>
              <w:adjustRightInd/>
              <w:snapToGrid/>
              <w:spacing w:line="360" w:lineRule="atLeast"/>
              <w:jc w:val="center"/>
              <w:textAlignment w:val="auto"/>
              <w:outlineLvl w:val="0"/>
              <w:rPr>
                <w:rFonts w:hint="default" w:ascii="Times New Roman" w:hAnsi="Times New Roman" w:cs="Times New Roman"/>
                <w:b/>
                <w:bCs/>
                <w:sz w:val="22"/>
                <w:szCs w:val="22"/>
              </w:rPr>
            </w:pPr>
            <w:r>
              <w:rPr>
                <w:rFonts w:hint="default" w:ascii="Times New Roman" w:hAnsi="Times New Roman" w:cs="Times New Roman"/>
                <w:b/>
                <w:bCs/>
                <w:sz w:val="22"/>
                <w:szCs w:val="22"/>
              </w:rPr>
              <w:t>3</w:t>
            </w:r>
          </w:p>
        </w:tc>
        <w:tc>
          <w:tcPr>
            <w:tcW w:w="793" w:type="pct"/>
            <w:vMerge w:val="restart"/>
            <w:vAlign w:val="center"/>
          </w:tcPr>
          <w:p w14:paraId="362F8CE2">
            <w:pPr>
              <w:keepNext w:val="0"/>
              <w:keepLines w:val="0"/>
              <w:pageBreakBefore w:val="0"/>
              <w:kinsoku/>
              <w:wordWrap/>
              <w:overflowPunct/>
              <w:topLinePunct w:val="0"/>
              <w:autoSpaceDE/>
              <w:autoSpaceDN/>
              <w:bidi w:val="0"/>
              <w:adjustRightInd/>
              <w:snapToGrid/>
              <w:spacing w:line="360" w:lineRule="atLeast"/>
              <w:jc w:val="center"/>
              <w:textAlignment w:val="auto"/>
              <w:outlineLvl w:val="0"/>
              <w:rPr>
                <w:rFonts w:hint="default" w:ascii="Times New Roman" w:hAnsi="Times New Roman" w:eastAsia="宋体" w:cs="Times New Roman"/>
                <w:b/>
                <w:bCs/>
                <w:sz w:val="22"/>
                <w:szCs w:val="22"/>
              </w:rPr>
            </w:pPr>
            <w:r>
              <w:rPr>
                <w:rFonts w:hint="default" w:ascii="Times New Roman" w:hAnsi="Times New Roman" w:eastAsia="宋体" w:cs="Times New Roman"/>
                <w:b/>
                <w:bCs/>
                <w:sz w:val="22"/>
                <w:szCs w:val="22"/>
              </w:rPr>
              <w:t>付款方式</w:t>
            </w:r>
          </w:p>
        </w:tc>
        <w:tc>
          <w:tcPr>
            <w:tcW w:w="3718" w:type="pct"/>
          </w:tcPr>
          <w:p w14:paraId="2067E325">
            <w:pPr>
              <w:keepNext w:val="0"/>
              <w:keepLines w:val="0"/>
              <w:pageBreakBefore w:val="0"/>
              <w:kinsoku/>
              <w:wordWrap/>
              <w:overflowPunct/>
              <w:topLinePunct w:val="0"/>
              <w:autoSpaceDE/>
              <w:autoSpaceDN/>
              <w:bidi w:val="0"/>
              <w:adjustRightInd/>
              <w:snapToGrid/>
              <w:spacing w:line="360" w:lineRule="atLeast"/>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3.1</w:t>
            </w:r>
            <w:r>
              <w:rPr>
                <w:rFonts w:hint="default" w:ascii="Times New Roman" w:hAnsi="Times New Roman" w:eastAsia="宋体" w:cs="Times New Roman"/>
                <w:sz w:val="22"/>
                <w:szCs w:val="22"/>
              </w:rPr>
              <w:t>采购人在中标人实际提供服务的次月，由中标人向采购人提供发票7个工作日内将服务费用支付给中标人，当采购人因跨年请款等原因无法按时支付费用时，中标人须先行垫付服务人员</w:t>
            </w:r>
            <w:r>
              <w:rPr>
                <w:rFonts w:hint="eastAsia" w:ascii="Times New Roman" w:hAnsi="Times New Roman" w:cs="Times New Roman"/>
                <w:sz w:val="22"/>
                <w:szCs w:val="22"/>
                <w:lang w:eastAsia="zh-CN"/>
              </w:rPr>
              <w:t>相关费用</w:t>
            </w:r>
            <w:r>
              <w:rPr>
                <w:rFonts w:hint="default" w:ascii="Times New Roman" w:hAnsi="Times New Roman" w:eastAsia="宋体" w:cs="Times New Roman"/>
                <w:sz w:val="22"/>
                <w:szCs w:val="22"/>
              </w:rPr>
              <w:t>。</w:t>
            </w:r>
          </w:p>
        </w:tc>
      </w:tr>
      <w:tr w14:paraId="51C2B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Merge w:val="continue"/>
            <w:vAlign w:val="center"/>
          </w:tcPr>
          <w:p w14:paraId="7C4FBAFE">
            <w:pPr>
              <w:keepNext w:val="0"/>
              <w:keepLines w:val="0"/>
              <w:pageBreakBefore w:val="0"/>
              <w:kinsoku/>
              <w:wordWrap/>
              <w:overflowPunct/>
              <w:topLinePunct w:val="0"/>
              <w:autoSpaceDE/>
              <w:autoSpaceDN/>
              <w:bidi w:val="0"/>
              <w:adjustRightInd/>
              <w:snapToGrid/>
              <w:spacing w:line="360" w:lineRule="atLeast"/>
              <w:jc w:val="center"/>
              <w:textAlignment w:val="auto"/>
              <w:outlineLvl w:val="0"/>
              <w:rPr>
                <w:rFonts w:hint="default" w:ascii="Times New Roman" w:hAnsi="Times New Roman" w:cs="Times New Roman"/>
                <w:b/>
                <w:bCs/>
                <w:sz w:val="22"/>
                <w:szCs w:val="22"/>
              </w:rPr>
            </w:pPr>
          </w:p>
        </w:tc>
        <w:tc>
          <w:tcPr>
            <w:tcW w:w="793" w:type="pct"/>
            <w:vMerge w:val="continue"/>
            <w:vAlign w:val="center"/>
          </w:tcPr>
          <w:p w14:paraId="1CCBD0AF">
            <w:pPr>
              <w:keepNext w:val="0"/>
              <w:keepLines w:val="0"/>
              <w:pageBreakBefore w:val="0"/>
              <w:kinsoku/>
              <w:wordWrap/>
              <w:overflowPunct/>
              <w:topLinePunct w:val="0"/>
              <w:autoSpaceDE/>
              <w:autoSpaceDN/>
              <w:bidi w:val="0"/>
              <w:adjustRightInd/>
              <w:snapToGrid/>
              <w:spacing w:line="360" w:lineRule="atLeast"/>
              <w:jc w:val="center"/>
              <w:textAlignment w:val="auto"/>
              <w:outlineLvl w:val="0"/>
              <w:rPr>
                <w:rFonts w:hint="default" w:ascii="Times New Roman" w:hAnsi="Times New Roman" w:eastAsia="宋体" w:cs="Times New Roman"/>
                <w:b/>
                <w:bCs/>
                <w:sz w:val="22"/>
                <w:szCs w:val="22"/>
              </w:rPr>
            </w:pPr>
          </w:p>
        </w:tc>
        <w:tc>
          <w:tcPr>
            <w:tcW w:w="3718" w:type="pct"/>
          </w:tcPr>
          <w:p w14:paraId="37F8BE1B">
            <w:pPr>
              <w:keepNext w:val="0"/>
              <w:keepLines w:val="0"/>
              <w:pageBreakBefore w:val="0"/>
              <w:kinsoku/>
              <w:wordWrap/>
              <w:overflowPunct/>
              <w:topLinePunct w:val="0"/>
              <w:autoSpaceDE/>
              <w:autoSpaceDN/>
              <w:bidi w:val="0"/>
              <w:adjustRightInd/>
              <w:snapToGrid/>
              <w:spacing w:line="360" w:lineRule="atLeast"/>
              <w:textAlignment w:val="auto"/>
              <w:rPr>
                <w:rFonts w:hint="eastAsia" w:ascii="Times New Roman" w:hAnsi="Times New Roman" w:cs="Times New Roman"/>
                <w:sz w:val="22"/>
                <w:szCs w:val="22"/>
                <w:lang w:val="en-US" w:eastAsia="zh-CN"/>
              </w:rPr>
            </w:pPr>
            <w:r>
              <w:rPr>
                <w:rFonts w:hint="eastAsia" w:ascii="Times New Roman" w:hAnsi="Times New Roman" w:cs="Times New Roman"/>
                <w:sz w:val="22"/>
                <w:szCs w:val="22"/>
                <w:lang w:val="en-US" w:eastAsia="zh-CN"/>
              </w:rPr>
              <w:t>3.2</w:t>
            </w:r>
            <w:r>
              <w:rPr>
                <w:rFonts w:hint="default" w:ascii="Times New Roman" w:hAnsi="Times New Roman" w:eastAsia="宋体" w:cs="Times New Roman"/>
                <w:sz w:val="22"/>
                <w:szCs w:val="22"/>
              </w:rPr>
              <w:t>以上为预计付款方式，合同订立时，采购人可根据实际情况最终确定支付方式，并在合同中予以明确。</w:t>
            </w:r>
          </w:p>
        </w:tc>
      </w:tr>
      <w:tr w14:paraId="26A66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Merge w:val="continue"/>
            <w:vAlign w:val="center"/>
          </w:tcPr>
          <w:p w14:paraId="4442AAAB">
            <w:pPr>
              <w:keepNext w:val="0"/>
              <w:keepLines w:val="0"/>
              <w:pageBreakBefore w:val="0"/>
              <w:kinsoku/>
              <w:wordWrap/>
              <w:overflowPunct/>
              <w:topLinePunct w:val="0"/>
              <w:autoSpaceDE/>
              <w:autoSpaceDN/>
              <w:bidi w:val="0"/>
              <w:adjustRightInd/>
              <w:snapToGrid/>
              <w:spacing w:line="360" w:lineRule="atLeast"/>
              <w:jc w:val="center"/>
              <w:textAlignment w:val="auto"/>
              <w:outlineLvl w:val="0"/>
              <w:rPr>
                <w:rFonts w:hint="default" w:ascii="Times New Roman" w:hAnsi="Times New Roman" w:cs="Times New Roman"/>
                <w:b/>
                <w:bCs/>
                <w:sz w:val="22"/>
                <w:szCs w:val="22"/>
              </w:rPr>
            </w:pPr>
          </w:p>
        </w:tc>
        <w:tc>
          <w:tcPr>
            <w:tcW w:w="793" w:type="pct"/>
            <w:vMerge w:val="continue"/>
            <w:vAlign w:val="center"/>
          </w:tcPr>
          <w:p w14:paraId="6BB9E3E0">
            <w:pPr>
              <w:keepNext w:val="0"/>
              <w:keepLines w:val="0"/>
              <w:pageBreakBefore w:val="0"/>
              <w:kinsoku/>
              <w:wordWrap/>
              <w:overflowPunct/>
              <w:topLinePunct w:val="0"/>
              <w:autoSpaceDE/>
              <w:autoSpaceDN/>
              <w:bidi w:val="0"/>
              <w:adjustRightInd/>
              <w:snapToGrid/>
              <w:spacing w:line="360" w:lineRule="atLeast"/>
              <w:jc w:val="center"/>
              <w:textAlignment w:val="auto"/>
              <w:outlineLvl w:val="0"/>
              <w:rPr>
                <w:rFonts w:hint="default" w:ascii="Times New Roman" w:hAnsi="Times New Roman" w:eastAsia="宋体" w:cs="Times New Roman"/>
                <w:b/>
                <w:bCs/>
                <w:sz w:val="22"/>
                <w:szCs w:val="22"/>
              </w:rPr>
            </w:pPr>
          </w:p>
        </w:tc>
        <w:tc>
          <w:tcPr>
            <w:tcW w:w="3718" w:type="pct"/>
          </w:tcPr>
          <w:p w14:paraId="3697E8D9">
            <w:pPr>
              <w:keepNext w:val="0"/>
              <w:keepLines w:val="0"/>
              <w:pageBreakBefore w:val="0"/>
              <w:kinsoku/>
              <w:wordWrap/>
              <w:overflowPunct/>
              <w:topLinePunct w:val="0"/>
              <w:autoSpaceDE/>
              <w:autoSpaceDN/>
              <w:bidi w:val="0"/>
              <w:adjustRightInd/>
              <w:snapToGrid/>
              <w:spacing w:line="360" w:lineRule="atLeast"/>
              <w:textAlignment w:val="auto"/>
              <w:rPr>
                <w:rFonts w:hint="default" w:ascii="Times New Roman" w:hAnsi="Times New Roman" w:eastAsia="宋体" w:cs="Times New Roman"/>
                <w:sz w:val="22"/>
                <w:szCs w:val="22"/>
              </w:rPr>
            </w:pPr>
            <w:r>
              <w:rPr>
                <w:rFonts w:hint="eastAsia" w:ascii="Times New Roman" w:hAnsi="Times New Roman" w:cs="Times New Roman"/>
                <w:sz w:val="22"/>
                <w:szCs w:val="22"/>
                <w:lang w:val="en-US" w:eastAsia="zh-CN"/>
              </w:rPr>
              <w:t>3.3</w:t>
            </w:r>
            <w:r>
              <w:rPr>
                <w:rFonts w:hint="default" w:ascii="Times New Roman" w:hAnsi="Times New Roman" w:eastAsia="宋体" w:cs="Times New Roman"/>
                <w:sz w:val="22"/>
                <w:szCs w:val="22"/>
              </w:rPr>
              <w:t>最终按照实际服务时间、服务人数结算，但支付</w:t>
            </w:r>
            <w:r>
              <w:rPr>
                <w:rFonts w:hint="eastAsia" w:ascii="Times New Roman" w:hAnsi="Times New Roman" w:eastAsia="宋体" w:cs="Times New Roman"/>
                <w:b w:val="0"/>
                <w:bCs w:val="0"/>
                <w:kern w:val="2"/>
                <w:sz w:val="22"/>
                <w:szCs w:val="22"/>
                <w:lang w:val="en-US" w:eastAsia="zh-CN" w:bidi="ar-SA"/>
              </w:rPr>
              <w:t>综合管理费</w:t>
            </w:r>
            <w:r>
              <w:rPr>
                <w:rFonts w:hint="default" w:ascii="Times New Roman" w:hAnsi="Times New Roman" w:eastAsia="宋体" w:cs="Times New Roman"/>
                <w:sz w:val="22"/>
                <w:szCs w:val="22"/>
              </w:rPr>
              <w:t>不得超过本项目的</w:t>
            </w:r>
            <w:r>
              <w:rPr>
                <w:rFonts w:hint="eastAsia" w:ascii="Times New Roman" w:hAnsi="Times New Roman" w:cs="Times New Roman"/>
                <w:sz w:val="22"/>
                <w:szCs w:val="22"/>
                <w:lang w:eastAsia="zh-CN"/>
              </w:rPr>
              <w:t>中标</w:t>
            </w:r>
            <w:r>
              <w:rPr>
                <w:rFonts w:hint="default" w:ascii="Times New Roman" w:hAnsi="Times New Roman" w:eastAsia="宋体" w:cs="Times New Roman"/>
                <w:sz w:val="22"/>
                <w:szCs w:val="22"/>
              </w:rPr>
              <w:t>金额</w:t>
            </w:r>
            <w:r>
              <w:rPr>
                <w:rFonts w:hint="eastAsia" w:ascii="Times New Roman" w:hAnsi="Times New Roman" w:cs="Times New Roman"/>
                <w:sz w:val="22"/>
                <w:szCs w:val="22"/>
                <w:lang w:eastAsia="zh-CN"/>
              </w:rPr>
              <w:t>，</w:t>
            </w:r>
            <w:r>
              <w:rPr>
                <w:rFonts w:hint="eastAsia" w:ascii="Times New Roman" w:hAnsi="Times New Roman" w:eastAsia="宋体" w:cs="Times New Roman"/>
                <w:b w:val="0"/>
                <w:bCs w:val="0"/>
                <w:kern w:val="2"/>
                <w:sz w:val="22"/>
                <w:szCs w:val="22"/>
                <w:lang w:val="en-US" w:eastAsia="zh-CN" w:bidi="ar-SA"/>
              </w:rPr>
              <w:t>人员工资福利费</w:t>
            </w:r>
            <w:r>
              <w:rPr>
                <w:rFonts w:hint="default" w:ascii="Times New Roman" w:hAnsi="Times New Roman" w:eastAsia="宋体" w:cs="Times New Roman"/>
                <w:sz w:val="22"/>
                <w:szCs w:val="22"/>
              </w:rPr>
              <w:t>不得超过</w:t>
            </w:r>
            <w:r>
              <w:rPr>
                <w:rFonts w:hint="eastAsia" w:ascii="Times New Roman" w:hAnsi="Times New Roman" w:eastAsia="宋体" w:cs="Times New Roman"/>
                <w:b w:val="0"/>
                <w:bCs w:val="0"/>
                <w:kern w:val="2"/>
                <w:sz w:val="22"/>
                <w:szCs w:val="22"/>
                <w:lang w:val="en-US" w:eastAsia="zh-CN" w:bidi="ar-SA"/>
              </w:rPr>
              <w:t>人民币3,456,000.00元</w:t>
            </w:r>
            <w:r>
              <w:rPr>
                <w:rFonts w:hint="default" w:ascii="Times New Roman" w:hAnsi="Times New Roman" w:eastAsia="宋体" w:cs="Times New Roman"/>
                <w:sz w:val="22"/>
                <w:szCs w:val="22"/>
              </w:rPr>
              <w:t>。</w:t>
            </w:r>
          </w:p>
        </w:tc>
      </w:tr>
      <w:tr w14:paraId="03E2BC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Align w:val="center"/>
          </w:tcPr>
          <w:p w14:paraId="41076DFF">
            <w:pPr>
              <w:keepNext w:val="0"/>
              <w:keepLines w:val="0"/>
              <w:pageBreakBefore w:val="0"/>
              <w:kinsoku/>
              <w:wordWrap/>
              <w:overflowPunct/>
              <w:topLinePunct w:val="0"/>
              <w:autoSpaceDE/>
              <w:autoSpaceDN/>
              <w:bidi w:val="0"/>
              <w:adjustRightInd/>
              <w:snapToGrid/>
              <w:spacing w:line="360" w:lineRule="atLeast"/>
              <w:jc w:val="center"/>
              <w:textAlignment w:val="auto"/>
              <w:outlineLvl w:val="0"/>
              <w:rPr>
                <w:rFonts w:hint="default" w:ascii="Times New Roman" w:hAnsi="Times New Roman" w:eastAsia="宋体" w:cs="Times New Roman"/>
                <w:b/>
                <w:bCs/>
                <w:sz w:val="22"/>
                <w:szCs w:val="22"/>
                <w:highlight w:val="none"/>
                <w:lang w:val="en-US" w:eastAsia="zh-CN"/>
              </w:rPr>
            </w:pPr>
            <w:r>
              <w:rPr>
                <w:rFonts w:hint="default" w:ascii="Times New Roman" w:hAnsi="Times New Roman" w:cs="Times New Roman"/>
                <w:b/>
                <w:bCs/>
                <w:sz w:val="22"/>
                <w:szCs w:val="22"/>
                <w:highlight w:val="none"/>
                <w:lang w:val="en-US" w:eastAsia="zh-CN"/>
              </w:rPr>
              <w:t>4</w:t>
            </w:r>
          </w:p>
        </w:tc>
        <w:tc>
          <w:tcPr>
            <w:tcW w:w="793" w:type="pct"/>
            <w:vAlign w:val="center"/>
          </w:tcPr>
          <w:p w14:paraId="00252A89">
            <w:pPr>
              <w:keepNext w:val="0"/>
              <w:keepLines w:val="0"/>
              <w:pageBreakBefore w:val="0"/>
              <w:kinsoku/>
              <w:wordWrap/>
              <w:overflowPunct/>
              <w:topLinePunct w:val="0"/>
              <w:autoSpaceDE/>
              <w:autoSpaceDN/>
              <w:bidi w:val="0"/>
              <w:adjustRightInd/>
              <w:snapToGrid/>
              <w:spacing w:line="360" w:lineRule="atLeast"/>
              <w:jc w:val="center"/>
              <w:textAlignment w:val="auto"/>
              <w:outlineLvl w:val="0"/>
              <w:rPr>
                <w:rFonts w:hint="default" w:ascii="Times New Roman" w:hAnsi="Times New Roman" w:eastAsia="宋体" w:cs="Times New Roman"/>
                <w:b/>
                <w:bCs/>
                <w:sz w:val="22"/>
                <w:szCs w:val="22"/>
                <w:highlight w:val="none"/>
                <w:lang w:eastAsia="zh-CN"/>
              </w:rPr>
            </w:pPr>
            <w:r>
              <w:rPr>
                <w:rFonts w:hint="default" w:ascii="Times New Roman" w:hAnsi="Times New Roman" w:eastAsia="宋体" w:cs="Times New Roman"/>
                <w:b/>
                <w:bCs/>
                <w:sz w:val="22"/>
                <w:szCs w:val="22"/>
                <w:highlight w:val="none"/>
                <w:lang w:eastAsia="zh-CN"/>
              </w:rPr>
              <w:t>报价要求</w:t>
            </w:r>
          </w:p>
        </w:tc>
        <w:tc>
          <w:tcPr>
            <w:tcW w:w="3718" w:type="pct"/>
          </w:tcPr>
          <w:p w14:paraId="15A7920D">
            <w:pPr>
              <w:keepNext w:val="0"/>
              <w:keepLines w:val="0"/>
              <w:pageBreakBefore w:val="0"/>
              <w:tabs>
                <w:tab w:val="left" w:pos="1260"/>
              </w:tabs>
              <w:kinsoku/>
              <w:wordWrap/>
              <w:overflowPunct/>
              <w:topLinePunct w:val="0"/>
              <w:autoSpaceDE/>
              <w:autoSpaceDN/>
              <w:bidi w:val="0"/>
              <w:adjustRightInd/>
              <w:snapToGrid/>
              <w:spacing w:line="360" w:lineRule="atLeast"/>
              <w:textAlignment w:val="auto"/>
              <w:rPr>
                <w:rFonts w:hint="default" w:ascii="Times New Roman" w:hAnsi="Times New Roman" w:eastAsia="宋体" w:cs="Times New Roman"/>
                <w:bCs/>
                <w:sz w:val="22"/>
                <w:szCs w:val="22"/>
                <w:highlight w:val="none"/>
              </w:rPr>
            </w:pPr>
            <w:r>
              <w:rPr>
                <w:rFonts w:hint="eastAsia" w:ascii="Times New Roman" w:hAnsi="Times New Roman" w:eastAsia="宋体" w:cs="Times New Roman"/>
                <w:b w:val="0"/>
                <w:bCs w:val="0"/>
                <w:kern w:val="2"/>
                <w:sz w:val="22"/>
                <w:szCs w:val="22"/>
                <w:highlight w:val="none"/>
                <w:lang w:val="en-US" w:eastAsia="zh-CN" w:bidi="ar-SA"/>
              </w:rPr>
              <w:t>★</w:t>
            </w:r>
            <w:r>
              <w:rPr>
                <w:rFonts w:hint="eastAsia" w:ascii="Times New Roman" w:hAnsi="Times New Roman" w:eastAsia="宋体" w:cs="Times New Roman"/>
                <w:bCs/>
                <w:sz w:val="22"/>
                <w:szCs w:val="22"/>
                <w:highlight w:val="none"/>
                <w:lang w:val="en-US" w:eastAsia="zh-CN"/>
              </w:rPr>
              <w:t>本项目仅以综合管理费进行报价，最高不能超过307,200.00元，其中初中岗位12人，综合管理费不超过1,328.00元/人/月，小学岗位8人，综合管理费不超过1,208.00元/人/月</w:t>
            </w:r>
            <w:r>
              <w:rPr>
                <w:rFonts w:hint="eastAsia" w:ascii="Times New Roman" w:hAnsi="Times New Roman" w:cs="Times New Roman"/>
                <w:bCs/>
                <w:sz w:val="22"/>
                <w:szCs w:val="22"/>
                <w:highlight w:val="none"/>
                <w:lang w:val="en-US" w:eastAsia="zh-CN"/>
              </w:rPr>
              <w:t>。</w:t>
            </w:r>
          </w:p>
        </w:tc>
      </w:tr>
      <w:tr w14:paraId="399D0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Merge w:val="restart"/>
            <w:vAlign w:val="center"/>
          </w:tcPr>
          <w:p w14:paraId="5A422491">
            <w:pPr>
              <w:keepNext w:val="0"/>
              <w:keepLines w:val="0"/>
              <w:pageBreakBefore w:val="0"/>
              <w:kinsoku/>
              <w:wordWrap/>
              <w:overflowPunct/>
              <w:topLinePunct w:val="0"/>
              <w:autoSpaceDE/>
              <w:autoSpaceDN/>
              <w:bidi w:val="0"/>
              <w:adjustRightInd/>
              <w:snapToGrid/>
              <w:spacing w:line="360" w:lineRule="atLeast"/>
              <w:jc w:val="center"/>
              <w:textAlignment w:val="auto"/>
              <w:outlineLvl w:val="0"/>
              <w:rPr>
                <w:rFonts w:hint="default" w:ascii="Times New Roman" w:hAnsi="Times New Roman" w:eastAsia="宋体" w:cs="Times New Roman"/>
                <w:b/>
                <w:bCs/>
                <w:sz w:val="22"/>
                <w:szCs w:val="22"/>
                <w:lang w:eastAsia="zh-CN"/>
              </w:rPr>
            </w:pPr>
            <w:r>
              <w:rPr>
                <w:rFonts w:hint="default" w:ascii="Times New Roman" w:hAnsi="Times New Roman" w:cs="Times New Roman"/>
                <w:b/>
                <w:bCs/>
                <w:sz w:val="22"/>
                <w:szCs w:val="22"/>
                <w:lang w:val="en-US" w:eastAsia="zh-CN"/>
              </w:rPr>
              <w:t>5</w:t>
            </w:r>
          </w:p>
        </w:tc>
        <w:tc>
          <w:tcPr>
            <w:tcW w:w="793" w:type="pct"/>
            <w:vMerge w:val="restart"/>
            <w:vAlign w:val="center"/>
          </w:tcPr>
          <w:p w14:paraId="76F7231A">
            <w:pPr>
              <w:keepNext w:val="0"/>
              <w:keepLines w:val="0"/>
              <w:pageBreakBefore w:val="0"/>
              <w:kinsoku/>
              <w:wordWrap/>
              <w:overflowPunct/>
              <w:topLinePunct w:val="0"/>
              <w:autoSpaceDE/>
              <w:autoSpaceDN/>
              <w:bidi w:val="0"/>
              <w:adjustRightInd/>
              <w:snapToGrid/>
              <w:spacing w:line="360" w:lineRule="atLeast"/>
              <w:jc w:val="center"/>
              <w:textAlignment w:val="auto"/>
              <w:rPr>
                <w:rFonts w:hint="default" w:ascii="Times New Roman" w:hAnsi="Times New Roman" w:eastAsia="宋体" w:cs="Times New Roman"/>
                <w:b/>
                <w:bCs/>
                <w:sz w:val="22"/>
                <w:szCs w:val="22"/>
              </w:rPr>
            </w:pPr>
          </w:p>
          <w:p w14:paraId="0946F422">
            <w:pPr>
              <w:keepNext w:val="0"/>
              <w:keepLines w:val="0"/>
              <w:pageBreakBefore w:val="0"/>
              <w:kinsoku/>
              <w:wordWrap/>
              <w:overflowPunct/>
              <w:topLinePunct w:val="0"/>
              <w:autoSpaceDE/>
              <w:autoSpaceDN/>
              <w:bidi w:val="0"/>
              <w:adjustRightInd/>
              <w:snapToGrid/>
              <w:spacing w:line="360" w:lineRule="atLeast"/>
              <w:jc w:val="center"/>
              <w:textAlignment w:val="auto"/>
              <w:rPr>
                <w:rFonts w:hint="default" w:ascii="Times New Roman" w:hAnsi="Times New Roman" w:eastAsia="宋体" w:cs="Times New Roman"/>
                <w:b/>
                <w:bCs/>
                <w:sz w:val="22"/>
                <w:szCs w:val="22"/>
              </w:rPr>
            </w:pPr>
            <w:r>
              <w:rPr>
                <w:rFonts w:hint="default" w:ascii="Times New Roman" w:hAnsi="Times New Roman" w:eastAsia="宋体" w:cs="Times New Roman"/>
                <w:b/>
                <w:bCs/>
                <w:sz w:val="22"/>
                <w:szCs w:val="22"/>
              </w:rPr>
              <w:t>关于验收</w:t>
            </w:r>
          </w:p>
          <w:p w14:paraId="51A9C2A5">
            <w:pPr>
              <w:keepNext w:val="0"/>
              <w:keepLines w:val="0"/>
              <w:pageBreakBefore w:val="0"/>
              <w:kinsoku/>
              <w:wordWrap/>
              <w:overflowPunct/>
              <w:topLinePunct w:val="0"/>
              <w:autoSpaceDE/>
              <w:autoSpaceDN/>
              <w:bidi w:val="0"/>
              <w:adjustRightInd/>
              <w:snapToGrid/>
              <w:spacing w:line="360" w:lineRule="atLeast"/>
              <w:jc w:val="center"/>
              <w:textAlignment w:val="auto"/>
              <w:outlineLvl w:val="0"/>
              <w:rPr>
                <w:rFonts w:hint="default" w:ascii="Times New Roman" w:hAnsi="Times New Roman" w:eastAsia="宋体" w:cs="Times New Roman"/>
                <w:b/>
                <w:bCs/>
                <w:sz w:val="22"/>
                <w:szCs w:val="22"/>
              </w:rPr>
            </w:pPr>
          </w:p>
        </w:tc>
        <w:tc>
          <w:tcPr>
            <w:tcW w:w="3718" w:type="pct"/>
          </w:tcPr>
          <w:p w14:paraId="23384050">
            <w:pPr>
              <w:keepNext w:val="0"/>
              <w:keepLines w:val="0"/>
              <w:pageBreakBefore w:val="0"/>
              <w:kinsoku/>
              <w:wordWrap/>
              <w:overflowPunct/>
              <w:topLinePunct w:val="0"/>
              <w:autoSpaceDE/>
              <w:autoSpaceDN/>
              <w:bidi w:val="0"/>
              <w:adjustRightInd/>
              <w:snapToGrid/>
              <w:spacing w:line="360" w:lineRule="atLeast"/>
              <w:textAlignment w:val="auto"/>
              <w:rPr>
                <w:rFonts w:hint="default" w:ascii="Times New Roman" w:hAnsi="Times New Roman" w:eastAsia="宋体" w:cs="Times New Roman"/>
                <w:sz w:val="22"/>
                <w:szCs w:val="22"/>
              </w:rPr>
            </w:pPr>
            <w:r>
              <w:rPr>
                <w:rFonts w:hint="default" w:ascii="Times New Roman" w:hAnsi="Times New Roman" w:eastAsia="宋体" w:cs="Times New Roman"/>
                <w:bCs/>
                <w:sz w:val="22"/>
                <w:szCs w:val="22"/>
                <w:lang w:val="en-US" w:eastAsia="zh-CN"/>
              </w:rPr>
              <w:t>5.1</w:t>
            </w:r>
            <w:r>
              <w:rPr>
                <w:rFonts w:hint="default" w:ascii="Times New Roman" w:hAnsi="Times New Roman" w:eastAsia="宋体" w:cs="Times New Roman"/>
                <w:bCs/>
                <w:sz w:val="22"/>
                <w:szCs w:val="22"/>
              </w:rPr>
              <w:t>服务经过双方检验认可后，签署验收报告。</w:t>
            </w:r>
          </w:p>
        </w:tc>
      </w:tr>
      <w:tr w14:paraId="7A931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7" w:type="pct"/>
            <w:vMerge w:val="continue"/>
            <w:vAlign w:val="center"/>
          </w:tcPr>
          <w:p w14:paraId="59403C28">
            <w:pPr>
              <w:keepNext w:val="0"/>
              <w:keepLines w:val="0"/>
              <w:pageBreakBefore w:val="0"/>
              <w:kinsoku/>
              <w:wordWrap/>
              <w:overflowPunct/>
              <w:topLinePunct w:val="0"/>
              <w:autoSpaceDE/>
              <w:autoSpaceDN/>
              <w:bidi w:val="0"/>
              <w:adjustRightInd/>
              <w:snapToGrid/>
              <w:spacing w:line="360" w:lineRule="atLeast"/>
              <w:jc w:val="center"/>
              <w:textAlignment w:val="auto"/>
              <w:outlineLvl w:val="0"/>
              <w:rPr>
                <w:rFonts w:hint="default" w:ascii="Times New Roman" w:hAnsi="Times New Roman" w:cs="Times New Roman"/>
                <w:b/>
                <w:bCs/>
                <w:sz w:val="22"/>
                <w:szCs w:val="22"/>
                <w:lang w:val="en-US" w:eastAsia="zh-CN"/>
              </w:rPr>
            </w:pPr>
          </w:p>
        </w:tc>
        <w:tc>
          <w:tcPr>
            <w:tcW w:w="793" w:type="pct"/>
            <w:vMerge w:val="continue"/>
            <w:vAlign w:val="center"/>
          </w:tcPr>
          <w:p w14:paraId="52E99D3F">
            <w:pPr>
              <w:keepNext w:val="0"/>
              <w:keepLines w:val="0"/>
              <w:pageBreakBefore w:val="0"/>
              <w:kinsoku/>
              <w:wordWrap/>
              <w:overflowPunct/>
              <w:topLinePunct w:val="0"/>
              <w:autoSpaceDE/>
              <w:autoSpaceDN/>
              <w:bidi w:val="0"/>
              <w:adjustRightInd/>
              <w:snapToGrid/>
              <w:spacing w:line="360" w:lineRule="atLeast"/>
              <w:jc w:val="center"/>
              <w:textAlignment w:val="auto"/>
              <w:outlineLvl w:val="0"/>
              <w:rPr>
                <w:rFonts w:hint="default" w:ascii="Times New Roman" w:hAnsi="Times New Roman" w:eastAsia="宋体" w:cs="Times New Roman"/>
                <w:b/>
                <w:bCs/>
                <w:sz w:val="22"/>
                <w:szCs w:val="22"/>
              </w:rPr>
            </w:pPr>
          </w:p>
        </w:tc>
        <w:tc>
          <w:tcPr>
            <w:tcW w:w="3718" w:type="pct"/>
          </w:tcPr>
          <w:p w14:paraId="48746900">
            <w:pPr>
              <w:keepNext w:val="0"/>
              <w:keepLines w:val="0"/>
              <w:pageBreakBefore w:val="0"/>
              <w:kinsoku/>
              <w:wordWrap/>
              <w:overflowPunct/>
              <w:topLinePunct w:val="0"/>
              <w:autoSpaceDE/>
              <w:autoSpaceDN/>
              <w:bidi w:val="0"/>
              <w:adjustRightInd/>
              <w:snapToGrid/>
              <w:spacing w:line="360" w:lineRule="atLeast"/>
              <w:textAlignment w:val="auto"/>
              <w:rPr>
                <w:rFonts w:hint="default" w:ascii="Times New Roman" w:hAnsi="Times New Roman" w:eastAsia="宋体" w:cs="Times New Roman"/>
                <w:bCs/>
                <w:sz w:val="22"/>
                <w:szCs w:val="22"/>
              </w:rPr>
            </w:pPr>
            <w:r>
              <w:rPr>
                <w:rFonts w:hint="default" w:ascii="Times New Roman" w:hAnsi="Times New Roman" w:eastAsia="宋体" w:cs="Times New Roman"/>
                <w:bCs/>
                <w:sz w:val="22"/>
                <w:szCs w:val="22"/>
                <w:lang w:val="en-US" w:eastAsia="zh-CN"/>
              </w:rPr>
              <w:t>5.2</w:t>
            </w:r>
            <w:r>
              <w:rPr>
                <w:rFonts w:hint="default" w:ascii="Times New Roman" w:hAnsi="Times New Roman" w:eastAsia="宋体" w:cs="Times New Roman"/>
                <w:bCs/>
                <w:sz w:val="22"/>
                <w:szCs w:val="22"/>
              </w:rPr>
              <w:t>当满足以下条件时，采购人才向中标人签发验收报告：</w:t>
            </w:r>
          </w:p>
          <w:p w14:paraId="7497EDA9">
            <w:pPr>
              <w:keepNext w:val="0"/>
              <w:keepLines w:val="0"/>
              <w:pageBreakBefore w:val="0"/>
              <w:tabs>
                <w:tab w:val="left" w:pos="1260"/>
              </w:tabs>
              <w:kinsoku/>
              <w:wordWrap/>
              <w:overflowPunct/>
              <w:topLinePunct w:val="0"/>
              <w:autoSpaceDE/>
              <w:autoSpaceDN/>
              <w:bidi w:val="0"/>
              <w:adjustRightInd/>
              <w:snapToGrid/>
              <w:spacing w:line="360" w:lineRule="atLeast"/>
              <w:textAlignment w:val="auto"/>
              <w:rPr>
                <w:rFonts w:hint="default" w:ascii="Times New Roman" w:hAnsi="Times New Roman" w:eastAsia="宋体" w:cs="Times New Roman"/>
                <w:bCs/>
                <w:sz w:val="22"/>
                <w:szCs w:val="22"/>
              </w:rPr>
            </w:pPr>
            <w:r>
              <w:rPr>
                <w:rFonts w:hint="default" w:ascii="Times New Roman" w:hAnsi="Times New Roman" w:eastAsia="宋体" w:cs="Times New Roman"/>
                <w:bCs/>
                <w:sz w:val="22"/>
                <w:szCs w:val="22"/>
              </w:rPr>
              <w:t>a、中标人已按照合同规定提供了全部技术资料。</w:t>
            </w:r>
          </w:p>
          <w:p w14:paraId="2E4965A9">
            <w:pPr>
              <w:keepNext w:val="0"/>
              <w:keepLines w:val="0"/>
              <w:pageBreakBefore w:val="0"/>
              <w:tabs>
                <w:tab w:val="left" w:pos="1260"/>
              </w:tabs>
              <w:kinsoku/>
              <w:wordWrap/>
              <w:overflowPunct/>
              <w:topLinePunct w:val="0"/>
              <w:autoSpaceDE/>
              <w:autoSpaceDN/>
              <w:bidi w:val="0"/>
              <w:adjustRightInd/>
              <w:snapToGrid/>
              <w:spacing w:line="360" w:lineRule="atLeast"/>
              <w:textAlignment w:val="auto"/>
              <w:rPr>
                <w:rFonts w:hint="default" w:ascii="Times New Roman" w:hAnsi="Times New Roman" w:eastAsia="宋体" w:cs="Times New Roman"/>
                <w:bCs/>
                <w:sz w:val="22"/>
                <w:szCs w:val="22"/>
                <w:lang w:val="en-US" w:eastAsia="zh-CN"/>
              </w:rPr>
            </w:pPr>
            <w:r>
              <w:rPr>
                <w:rFonts w:hint="default" w:ascii="Times New Roman" w:hAnsi="Times New Roman" w:eastAsia="宋体" w:cs="Times New Roman"/>
                <w:bCs/>
                <w:sz w:val="22"/>
                <w:szCs w:val="22"/>
              </w:rPr>
              <w:t>b、服务项目符合招标文件的服务要求</w:t>
            </w:r>
            <w:r>
              <w:rPr>
                <w:rFonts w:hint="default" w:ascii="Times New Roman" w:hAnsi="Times New Roman" w:eastAsia="宋体" w:cs="Times New Roman"/>
                <w:bCs/>
                <w:sz w:val="22"/>
                <w:szCs w:val="22"/>
                <w:lang w:eastAsia="zh-CN"/>
              </w:rPr>
              <w:t>。</w:t>
            </w:r>
          </w:p>
        </w:tc>
      </w:tr>
    </w:tbl>
    <w:p w14:paraId="5CDCC88D">
      <w:pPr>
        <w:spacing w:line="360" w:lineRule="exact"/>
        <w:ind w:firstLine="360" w:firstLineChars="200"/>
        <w:rPr>
          <w:rFonts w:ascii="Times New Roman" w:hAnsi="Times New Roman"/>
          <w:sz w:val="18"/>
          <w:szCs w:val="18"/>
        </w:rPr>
      </w:pPr>
      <w:r>
        <w:rPr>
          <w:rFonts w:ascii="Times New Roman" w:hAnsi="Times New Roman"/>
          <w:sz w:val="18"/>
          <w:szCs w:val="18"/>
        </w:rPr>
        <w:t>注：带“▲”号的部分为重要条款，负偏离将导致严重扣分，但不导致投标无效。带“★”号的条款为实质性条款，任何一条负偏离将被视为未实质性满足招标文件要求作投标无效处理。</w:t>
      </w:r>
    </w:p>
    <w:p w14:paraId="474AAB33">
      <w:pPr>
        <w:pStyle w:val="28"/>
        <w:rPr>
          <w:rFonts w:ascii="Times New Roman" w:hAnsi="Times New Roman"/>
        </w:rPr>
      </w:pPr>
    </w:p>
    <w:p w14:paraId="2D5F47E2">
      <w:pPr>
        <w:pStyle w:val="5"/>
        <w:numPr>
          <w:ilvl w:val="0"/>
          <w:numId w:val="3"/>
        </w:numPr>
        <w:adjustRightInd/>
        <w:textAlignment w:val="auto"/>
        <w:rPr>
          <w:rFonts w:ascii="Times New Roman" w:hAnsi="Times New Roman"/>
          <w:sz w:val="32"/>
          <w:szCs w:val="32"/>
        </w:rPr>
      </w:pPr>
      <w:r>
        <w:rPr>
          <w:rFonts w:ascii="Times New Roman" w:hAnsi="Times New Roman"/>
          <w:sz w:val="32"/>
          <w:szCs w:val="32"/>
        </w:rPr>
        <w:t>政策导向</w:t>
      </w:r>
    </w:p>
    <w:p w14:paraId="536AAF8B">
      <w:pPr>
        <w:spacing w:line="360" w:lineRule="exact"/>
        <w:ind w:firstLine="440" w:firstLineChars="200"/>
        <w:jc w:val="left"/>
        <w:rPr>
          <w:rFonts w:ascii="Times New Roman" w:hAnsi="Times New Roman"/>
          <w:color w:val="000000" w:themeColor="text1"/>
          <w:sz w:val="22"/>
          <w:szCs w:val="22"/>
          <w14:textFill>
            <w14:solidFill>
              <w14:schemeClr w14:val="tx1"/>
            </w14:solidFill>
          </w14:textFill>
        </w:rPr>
      </w:pPr>
      <w:r>
        <w:rPr>
          <w:rFonts w:ascii="Times New Roman" w:hAnsi="Times New Roman"/>
          <w:color w:val="000000" w:themeColor="text1"/>
          <w:sz w:val="22"/>
          <w:szCs w:val="22"/>
          <w14:textFill>
            <w14:solidFill>
              <w14:schemeClr w14:val="tx1"/>
            </w14:solidFill>
          </w14:textFill>
        </w:rPr>
        <w:t>（1）投标人提供的服务全部均由优惠主体承接，则对其投标总价给予</w:t>
      </w:r>
      <w:r>
        <w:rPr>
          <w:rFonts w:hint="eastAsia" w:ascii="Times New Roman" w:hAnsi="Times New Roman"/>
          <w:b/>
          <w:bCs/>
          <w:color w:val="000000" w:themeColor="text1"/>
          <w:sz w:val="22"/>
          <w:szCs w:val="22"/>
          <w:u w:val="single"/>
          <w14:textFill>
            <w14:solidFill>
              <w14:schemeClr w14:val="tx1"/>
            </w14:solidFill>
          </w14:textFill>
        </w:rPr>
        <w:t>10</w:t>
      </w:r>
      <w:r>
        <w:rPr>
          <w:rFonts w:ascii="Times New Roman" w:hAnsi="Times New Roman"/>
          <w:b/>
          <w:bCs/>
          <w:color w:val="000000" w:themeColor="text1"/>
          <w:sz w:val="22"/>
          <w:szCs w:val="22"/>
          <w:u w:val="single"/>
          <w14:textFill>
            <w14:solidFill>
              <w14:schemeClr w14:val="tx1"/>
            </w14:solidFill>
          </w14:textFill>
        </w:rPr>
        <w:t>%</w:t>
      </w:r>
      <w:r>
        <w:rPr>
          <w:rFonts w:ascii="Times New Roman" w:hAnsi="Times New Roman"/>
          <w:color w:val="000000" w:themeColor="text1"/>
          <w:sz w:val="22"/>
          <w:szCs w:val="22"/>
          <w14:textFill>
            <w14:solidFill>
              <w14:schemeClr w14:val="tx1"/>
            </w14:solidFill>
          </w14:textFill>
        </w:rPr>
        <w:t>的扣除，用扣除后的价格参与评审。满足多项优惠政策的企业，不重复享受多项价格扣除政策。</w:t>
      </w:r>
    </w:p>
    <w:p w14:paraId="78E1ED41">
      <w:pPr>
        <w:spacing w:line="360" w:lineRule="exact"/>
        <w:ind w:firstLine="440" w:firstLineChars="200"/>
        <w:jc w:val="left"/>
        <w:rPr>
          <w:rFonts w:ascii="Times New Roman" w:hAnsi="Times New Roman"/>
          <w:sz w:val="22"/>
          <w:szCs w:val="22"/>
        </w:rPr>
      </w:pPr>
      <w:r>
        <w:rPr>
          <w:rFonts w:ascii="Times New Roman" w:hAnsi="Times New Roman"/>
          <w:sz w:val="22"/>
          <w:szCs w:val="22"/>
        </w:rPr>
        <w:t>备注：（a）优惠主体包括小型企业、微型企业、监狱企业、残疾人福利性单位；中小企业是指在中华人民共和国境内依法设立，依据国务院批准的中小企业划分标准确定的中型企业、小型企业、微型企业，但与大企业的负责人为同一人，或者与大企业存在直接控股、管理关系的除外；符合中小企业划分标准的个体工商户，在政府采购活动中视同中小企业；(b)优惠主体承接是指提供服务的人员为中小企业依照《中华人民共和国劳动合同法》订立劳动合同的从业人员。</w:t>
      </w:r>
    </w:p>
    <w:p w14:paraId="4F39FDBD">
      <w:pPr>
        <w:spacing w:line="360" w:lineRule="exact"/>
        <w:ind w:firstLine="440" w:firstLineChars="200"/>
        <w:jc w:val="left"/>
        <w:rPr>
          <w:rFonts w:ascii="Times New Roman" w:hAnsi="Times New Roman"/>
          <w:sz w:val="22"/>
          <w:szCs w:val="22"/>
        </w:rPr>
      </w:pPr>
      <w:r>
        <w:rPr>
          <w:rFonts w:ascii="Times New Roman" w:hAnsi="Times New Roman"/>
          <w:sz w:val="22"/>
          <w:szCs w:val="22"/>
        </w:rPr>
        <w:t>（2）根据《工业和信息化部、国家统计局、国家发展和改革委员会、财政部关于印发中小企业划型标准规定的通知》（工信部联企业〔2011〕300 号），本项目采购标的（项目需求）对应的中小企业划分标准所属行业为</w:t>
      </w:r>
      <w:r>
        <w:rPr>
          <w:rFonts w:hint="eastAsia" w:ascii="Times New Roman" w:hAnsi="Times New Roman"/>
          <w:b/>
          <w:bCs/>
          <w:sz w:val="22"/>
          <w:szCs w:val="22"/>
          <w:u w:val="single"/>
          <w:lang w:eastAsia="zh-CN"/>
        </w:rPr>
        <w:t>租赁和商务服务业</w:t>
      </w:r>
      <w:r>
        <w:rPr>
          <w:rFonts w:ascii="Times New Roman" w:hAnsi="Times New Roman"/>
          <w:sz w:val="22"/>
          <w:szCs w:val="22"/>
        </w:rPr>
        <w:t>。</w:t>
      </w:r>
    </w:p>
    <w:p w14:paraId="77CD3076">
      <w:pPr>
        <w:spacing w:line="360" w:lineRule="exact"/>
        <w:ind w:firstLine="440" w:firstLineChars="200"/>
        <w:jc w:val="left"/>
        <w:rPr>
          <w:rFonts w:ascii="Times New Roman" w:hAnsi="Times New Roman"/>
          <w:sz w:val="22"/>
          <w:szCs w:val="22"/>
        </w:rPr>
      </w:pPr>
      <w:r>
        <w:rPr>
          <w:rFonts w:ascii="Times New Roman" w:hAnsi="Times New Roman"/>
          <w:sz w:val="22"/>
          <w:szCs w:val="22"/>
        </w:rPr>
        <w:t>（3）小型企业、微型企业、残疾人福利性单位作为优惠主体的认定资料为《中小企业声明函》、《残疾人福利性单位声明函》；监狱企业作为优惠主体的认定资料为省级以上监狱管理局、戒毒管理局出具的监狱企业证明文件。声明函样式见本招标文件第三章“投标文件格式、附件”中“中小企业、残疾人福利性单位和监狱企业政策导向”章节提供的格式）。监狱企业或者代理提供监狱企业货物的供应商如须享受优惠政策，除上述资料外，还须提供省级以上监狱管理局、戒毒管理局出具的监狱企业证明文件。</w:t>
      </w:r>
    </w:p>
    <w:p w14:paraId="266683F4">
      <w:pPr>
        <w:spacing w:line="360" w:lineRule="exact"/>
        <w:ind w:firstLine="440" w:firstLineChars="200"/>
        <w:jc w:val="left"/>
        <w:rPr>
          <w:rFonts w:ascii="Times New Roman" w:hAnsi="Times New Roman"/>
          <w:szCs w:val="22"/>
        </w:rPr>
      </w:pPr>
      <w:r>
        <w:rPr>
          <w:rFonts w:ascii="Times New Roman" w:hAnsi="Times New Roman"/>
          <w:sz w:val="22"/>
          <w:szCs w:val="22"/>
        </w:rPr>
        <w:t>（4）享受价格扣除获得政府采购合同的，小微企业不得将合同分包给大中型企业。</w:t>
      </w:r>
      <w:r>
        <w:rPr>
          <w:rFonts w:ascii="Times New Roman" w:hAnsi="Times New Roman"/>
          <w:szCs w:val="21"/>
        </w:rPr>
        <w:br w:type="page"/>
      </w:r>
    </w:p>
    <w:p w14:paraId="5887C232">
      <w:pPr>
        <w:rPr>
          <w:rFonts w:ascii="Times New Roman" w:hAnsi="Times New Roman"/>
          <w:szCs w:val="22"/>
        </w:rPr>
      </w:pPr>
    </w:p>
    <w:p w14:paraId="2C34B26E">
      <w:pPr>
        <w:rPr>
          <w:rFonts w:ascii="Times New Roman" w:hAnsi="Times New Roman"/>
          <w:szCs w:val="22"/>
        </w:rPr>
      </w:pPr>
    </w:p>
    <w:p w14:paraId="19CD5BD2">
      <w:pPr>
        <w:rPr>
          <w:rFonts w:ascii="Times New Roman" w:hAnsi="Times New Roman"/>
          <w:szCs w:val="22"/>
        </w:rPr>
      </w:pPr>
    </w:p>
    <w:p w14:paraId="2D32FDD2">
      <w:pPr>
        <w:rPr>
          <w:rFonts w:ascii="Times New Roman" w:hAnsi="Times New Roman"/>
          <w:szCs w:val="22"/>
        </w:rPr>
      </w:pPr>
    </w:p>
    <w:p w14:paraId="15989ECA">
      <w:pPr>
        <w:pStyle w:val="3"/>
      </w:pPr>
    </w:p>
    <w:p w14:paraId="01B2B8A2">
      <w:pPr>
        <w:rPr>
          <w:rFonts w:ascii="宋体" w:hAnsi="宋体" w:cs="宋体"/>
          <w:szCs w:val="22"/>
        </w:rPr>
      </w:pPr>
    </w:p>
    <w:p w14:paraId="3CAB8AF9">
      <w:pPr>
        <w:rPr>
          <w:rFonts w:ascii="宋体" w:hAnsi="宋体" w:cs="宋体"/>
          <w:szCs w:val="22"/>
        </w:rPr>
      </w:pPr>
    </w:p>
    <w:p w14:paraId="0C93F0C7">
      <w:pPr>
        <w:rPr>
          <w:rFonts w:ascii="宋体" w:hAnsi="宋体" w:cs="宋体"/>
          <w:szCs w:val="22"/>
        </w:rPr>
      </w:pPr>
    </w:p>
    <w:p w14:paraId="3582779A">
      <w:pPr>
        <w:rPr>
          <w:rFonts w:ascii="宋体" w:hAnsi="宋体" w:cs="宋体"/>
          <w:szCs w:val="22"/>
        </w:rPr>
      </w:pPr>
    </w:p>
    <w:p w14:paraId="1F81D567">
      <w:pPr>
        <w:rPr>
          <w:rFonts w:ascii="宋体" w:hAnsi="宋体" w:cs="宋体"/>
          <w:szCs w:val="22"/>
        </w:rPr>
      </w:pPr>
    </w:p>
    <w:p w14:paraId="6D5425D0">
      <w:pPr>
        <w:rPr>
          <w:rFonts w:ascii="宋体" w:hAnsi="宋体" w:cs="宋体"/>
          <w:szCs w:val="22"/>
        </w:rPr>
      </w:pPr>
    </w:p>
    <w:p w14:paraId="5FC965DB">
      <w:pPr>
        <w:pStyle w:val="5"/>
        <w:rPr>
          <w:rFonts w:cs="宋体"/>
          <w:bCs/>
          <w:kern w:val="28"/>
          <w:sz w:val="44"/>
          <w:szCs w:val="44"/>
        </w:rPr>
      </w:pPr>
      <w:r>
        <w:rPr>
          <w:rFonts w:hint="eastAsia" w:cs="宋体"/>
          <w:bCs/>
          <w:kern w:val="28"/>
          <w:sz w:val="44"/>
          <w:szCs w:val="44"/>
        </w:rPr>
        <w:t>第三章  投标文件格式、附件</w:t>
      </w:r>
    </w:p>
    <w:p w14:paraId="7F802E61">
      <w:pPr>
        <w:pStyle w:val="5"/>
        <w:rPr>
          <w:rFonts w:cs="宋体"/>
          <w:bCs/>
          <w:kern w:val="28"/>
          <w:sz w:val="44"/>
          <w:szCs w:val="44"/>
        </w:rPr>
      </w:pPr>
      <w:r>
        <w:rPr>
          <w:rFonts w:hint="eastAsia" w:cs="宋体"/>
          <w:bCs/>
          <w:kern w:val="28"/>
          <w:sz w:val="44"/>
          <w:szCs w:val="44"/>
        </w:rPr>
        <w:br w:type="page"/>
      </w:r>
      <w:r>
        <w:rPr>
          <w:rFonts w:hint="eastAsia" w:cs="宋体"/>
          <w:sz w:val="32"/>
          <w:szCs w:val="32"/>
        </w:rPr>
        <w:t>附件1：开标文件</w:t>
      </w:r>
    </w:p>
    <w:p w14:paraId="5DB3F6B1">
      <w:pPr>
        <w:pStyle w:val="42"/>
        <w:rPr>
          <w:rFonts w:ascii="宋体" w:hAnsi="宋体" w:eastAsia="宋体" w:cs="宋体"/>
          <w:lang w:eastAsia="zh-CN"/>
        </w:rPr>
      </w:pPr>
    </w:p>
    <w:p w14:paraId="2D07CEF5">
      <w:pPr>
        <w:pStyle w:val="42"/>
        <w:rPr>
          <w:rFonts w:ascii="宋体" w:hAnsi="宋体" w:eastAsia="宋体" w:cs="宋体"/>
          <w:lang w:eastAsia="zh-CN"/>
        </w:rPr>
      </w:pPr>
    </w:p>
    <w:p w14:paraId="743567FD">
      <w:pPr>
        <w:pStyle w:val="42"/>
        <w:rPr>
          <w:rFonts w:ascii="宋体" w:hAnsi="宋体" w:eastAsia="宋体" w:cs="宋体"/>
          <w:lang w:eastAsia="zh-CN"/>
        </w:rPr>
      </w:pPr>
    </w:p>
    <w:p w14:paraId="7798957D">
      <w:pPr>
        <w:jc w:val="center"/>
        <w:rPr>
          <w:rFonts w:hint="eastAsia" w:ascii="宋体" w:hAnsi="宋体" w:eastAsia="宋体" w:cs="宋体"/>
          <w:sz w:val="40"/>
          <w:szCs w:val="40"/>
          <w:lang w:eastAsia="zh-CN"/>
        </w:rPr>
      </w:pPr>
      <w:r>
        <w:rPr>
          <w:rFonts w:hint="eastAsia" w:ascii="宋体" w:hAnsi="宋体" w:cs="宋体"/>
          <w:sz w:val="40"/>
          <w:szCs w:val="40"/>
          <w:lang w:eastAsia="zh-CN"/>
        </w:rPr>
        <w:t>深圳市龙岗区南京师范大学附属龙岗学校购买教育服务项目</w:t>
      </w:r>
    </w:p>
    <w:p w14:paraId="29315C7D">
      <w:pPr>
        <w:jc w:val="center"/>
        <w:rPr>
          <w:rFonts w:ascii="宋体" w:hAnsi="宋体" w:cs="宋体"/>
          <w:sz w:val="44"/>
          <w:szCs w:val="44"/>
        </w:rPr>
      </w:pPr>
      <w:r>
        <w:rPr>
          <w:rFonts w:hint="eastAsia" w:ascii="宋体" w:hAnsi="宋体" w:cs="宋体"/>
          <w:sz w:val="44"/>
          <w:szCs w:val="44"/>
        </w:rPr>
        <w:t>（唱标信封）</w:t>
      </w:r>
    </w:p>
    <w:p w14:paraId="7EF53AF7">
      <w:pPr>
        <w:jc w:val="center"/>
        <w:rPr>
          <w:rFonts w:ascii="宋体" w:hAnsi="宋体" w:cs="宋体"/>
          <w:sz w:val="44"/>
          <w:szCs w:val="44"/>
        </w:rPr>
      </w:pPr>
    </w:p>
    <w:p w14:paraId="241EDAD8">
      <w:pPr>
        <w:jc w:val="center"/>
        <w:rPr>
          <w:rFonts w:ascii="宋体" w:hAnsi="宋体" w:cs="宋体"/>
          <w:sz w:val="44"/>
          <w:szCs w:val="44"/>
        </w:rPr>
      </w:pPr>
    </w:p>
    <w:p w14:paraId="533BD117">
      <w:pPr>
        <w:jc w:val="center"/>
        <w:rPr>
          <w:rFonts w:ascii="宋体" w:hAnsi="宋体" w:cs="宋体"/>
          <w:sz w:val="44"/>
          <w:szCs w:val="44"/>
        </w:rPr>
      </w:pPr>
    </w:p>
    <w:p w14:paraId="0BC583CF">
      <w:pPr>
        <w:jc w:val="center"/>
        <w:rPr>
          <w:rFonts w:ascii="宋体" w:hAnsi="宋体" w:cs="宋体"/>
          <w:sz w:val="44"/>
          <w:szCs w:val="44"/>
        </w:rPr>
      </w:pPr>
    </w:p>
    <w:p w14:paraId="58D95A18">
      <w:pPr>
        <w:rPr>
          <w:rFonts w:ascii="宋体" w:hAnsi="宋体" w:cs="宋体"/>
          <w:sz w:val="44"/>
          <w:szCs w:val="44"/>
        </w:rPr>
      </w:pPr>
    </w:p>
    <w:p w14:paraId="450C288C">
      <w:pPr>
        <w:spacing w:line="480" w:lineRule="auto"/>
        <w:ind w:firstLine="1400" w:firstLineChars="500"/>
        <w:rPr>
          <w:rFonts w:ascii="宋体" w:hAnsi="宋体" w:cs="宋体"/>
          <w:sz w:val="28"/>
          <w:szCs w:val="28"/>
          <w:u w:val="single"/>
        </w:rPr>
      </w:pPr>
      <w:r>
        <w:rPr>
          <w:rFonts w:hint="eastAsia" w:ascii="宋体" w:hAnsi="宋体" w:cs="宋体"/>
          <w:sz w:val="28"/>
          <w:szCs w:val="28"/>
        </w:rPr>
        <w:t>项目编号：_____________________________</w:t>
      </w:r>
    </w:p>
    <w:p w14:paraId="62BC71F7">
      <w:pPr>
        <w:spacing w:line="480" w:lineRule="auto"/>
        <w:ind w:firstLine="1400" w:firstLineChars="500"/>
        <w:rPr>
          <w:rFonts w:ascii="宋体" w:hAnsi="宋体" w:cs="宋体"/>
          <w:sz w:val="28"/>
          <w:szCs w:val="28"/>
          <w:u w:val="single"/>
        </w:rPr>
      </w:pPr>
      <w:r>
        <w:rPr>
          <w:rFonts w:hint="eastAsia" w:ascii="宋体" w:hAnsi="宋体" w:cs="宋体"/>
          <w:sz w:val="28"/>
          <w:szCs w:val="28"/>
        </w:rPr>
        <w:t>供应商（盖章）：___________________________</w:t>
      </w:r>
    </w:p>
    <w:p w14:paraId="431E8816">
      <w:pPr>
        <w:spacing w:line="480" w:lineRule="auto"/>
        <w:ind w:firstLine="1400" w:firstLineChars="500"/>
        <w:rPr>
          <w:rFonts w:ascii="宋体" w:hAnsi="宋体" w:cs="宋体"/>
          <w:sz w:val="28"/>
          <w:szCs w:val="28"/>
        </w:rPr>
      </w:pPr>
      <w:r>
        <w:rPr>
          <w:rFonts w:hint="eastAsia" w:ascii="宋体" w:hAnsi="宋体" w:cs="宋体"/>
          <w:sz w:val="28"/>
          <w:szCs w:val="28"/>
        </w:rPr>
        <w:t>法定代表人或授权委托人签字：__________________</w:t>
      </w:r>
    </w:p>
    <w:p w14:paraId="4E5F1212">
      <w:pPr>
        <w:spacing w:line="360" w:lineRule="auto"/>
        <w:ind w:firstLine="1400" w:firstLineChars="500"/>
        <w:rPr>
          <w:rFonts w:ascii="宋体" w:hAnsi="宋体" w:cs="宋体"/>
          <w:sz w:val="28"/>
          <w:szCs w:val="28"/>
        </w:rPr>
      </w:pPr>
      <w:r>
        <w:rPr>
          <w:rFonts w:hint="eastAsia" w:ascii="宋体" w:hAnsi="宋体" w:cs="宋体"/>
          <w:sz w:val="28"/>
          <w:szCs w:val="28"/>
        </w:rPr>
        <w:t>投标日期：____________年_____月______日</w:t>
      </w:r>
    </w:p>
    <w:p w14:paraId="283E53CC">
      <w:pPr>
        <w:spacing w:line="360" w:lineRule="auto"/>
        <w:ind w:firstLine="1400" w:firstLineChars="500"/>
        <w:rPr>
          <w:rFonts w:ascii="宋体" w:hAnsi="宋体" w:cs="宋体"/>
          <w:sz w:val="28"/>
          <w:szCs w:val="28"/>
        </w:rPr>
      </w:pPr>
    </w:p>
    <w:p w14:paraId="6ACDF2D1">
      <w:pPr>
        <w:spacing w:line="360" w:lineRule="auto"/>
        <w:ind w:firstLine="1400" w:firstLineChars="500"/>
        <w:rPr>
          <w:rFonts w:ascii="宋体" w:hAnsi="宋体" w:cs="宋体"/>
          <w:sz w:val="28"/>
          <w:szCs w:val="28"/>
        </w:rPr>
      </w:pPr>
    </w:p>
    <w:p w14:paraId="564D5FED">
      <w:pPr>
        <w:spacing w:line="360" w:lineRule="auto"/>
        <w:ind w:firstLine="1400" w:firstLineChars="500"/>
        <w:rPr>
          <w:rFonts w:ascii="宋体" w:hAnsi="宋体" w:cs="宋体"/>
          <w:sz w:val="28"/>
          <w:szCs w:val="28"/>
        </w:rPr>
      </w:pPr>
    </w:p>
    <w:p w14:paraId="2D4BBC9D">
      <w:pPr>
        <w:pStyle w:val="28"/>
        <w:ind w:left="0" w:leftChars="0" w:firstLine="0" w:firstLineChars="0"/>
        <w:rPr>
          <w:rFonts w:ascii="宋体" w:hAnsi="宋体" w:cs="宋体"/>
        </w:rPr>
      </w:pPr>
      <w:r>
        <w:rPr>
          <w:rFonts w:hint="eastAsia" w:ascii="宋体" w:hAnsi="宋体" w:cs="宋体"/>
        </w:rPr>
        <w:br w:type="page"/>
      </w:r>
    </w:p>
    <w:p w14:paraId="4BFBF5EA">
      <w:pPr>
        <w:pStyle w:val="6"/>
        <w:spacing w:before="120" w:after="120"/>
        <w:jc w:val="center"/>
        <w:rPr>
          <w:rFonts w:eastAsia="宋体" w:cs="宋体"/>
          <w:snapToGrid w:val="0"/>
          <w:sz w:val="32"/>
        </w:rPr>
      </w:pPr>
      <w:r>
        <w:rPr>
          <w:rFonts w:hint="eastAsia" w:eastAsia="宋体" w:cs="宋体"/>
          <w:sz w:val="32"/>
        </w:rPr>
        <w:t>一、开标一览表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22"/>
        <w:gridCol w:w="2930"/>
        <w:gridCol w:w="3474"/>
      </w:tblGrid>
      <w:tr w14:paraId="1849C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2122" w:type="dxa"/>
            <w:vAlign w:val="center"/>
          </w:tcPr>
          <w:p w14:paraId="25BC3DCF">
            <w:pPr>
              <w:spacing w:line="360" w:lineRule="auto"/>
              <w:ind w:right="525"/>
              <w:rPr>
                <w:rFonts w:ascii="宋体" w:hAnsi="宋体" w:cs="宋体"/>
                <w:snapToGrid w:val="0"/>
                <w:kern w:val="0"/>
                <w:sz w:val="22"/>
                <w:szCs w:val="22"/>
              </w:rPr>
            </w:pPr>
            <w:r>
              <w:rPr>
                <w:rFonts w:hint="eastAsia" w:ascii="宋体" w:hAnsi="宋体" w:cs="宋体"/>
                <w:sz w:val="22"/>
                <w:szCs w:val="22"/>
              </w:rPr>
              <w:t xml:space="preserve"> </w:t>
            </w:r>
            <w:r>
              <w:rPr>
                <w:rFonts w:hint="eastAsia" w:ascii="宋体" w:hAnsi="宋体" w:cs="宋体"/>
                <w:bCs/>
                <w:snapToGrid w:val="0"/>
                <w:kern w:val="0"/>
                <w:sz w:val="22"/>
                <w:szCs w:val="22"/>
              </w:rPr>
              <w:t>项目编号</w:t>
            </w:r>
          </w:p>
        </w:tc>
        <w:tc>
          <w:tcPr>
            <w:tcW w:w="2930" w:type="dxa"/>
            <w:vAlign w:val="center"/>
          </w:tcPr>
          <w:p w14:paraId="1255780B">
            <w:pPr>
              <w:spacing w:line="360" w:lineRule="auto"/>
              <w:jc w:val="center"/>
              <w:rPr>
                <w:rFonts w:ascii="宋体" w:hAnsi="宋体" w:cs="宋体"/>
                <w:snapToGrid w:val="0"/>
                <w:kern w:val="0"/>
                <w:sz w:val="22"/>
                <w:szCs w:val="22"/>
              </w:rPr>
            </w:pPr>
            <w:r>
              <w:rPr>
                <w:rFonts w:hint="eastAsia" w:ascii="宋体" w:hAnsi="宋体" w:cs="宋体"/>
                <w:snapToGrid w:val="0"/>
                <w:kern w:val="0"/>
                <w:sz w:val="22"/>
                <w:szCs w:val="22"/>
              </w:rPr>
              <w:t>项目名称</w:t>
            </w:r>
          </w:p>
        </w:tc>
        <w:tc>
          <w:tcPr>
            <w:tcW w:w="3474" w:type="dxa"/>
            <w:vAlign w:val="center"/>
          </w:tcPr>
          <w:p w14:paraId="444F86D6">
            <w:pPr>
              <w:spacing w:line="360" w:lineRule="auto"/>
              <w:jc w:val="center"/>
              <w:rPr>
                <w:rFonts w:ascii="宋体" w:hAnsi="宋体" w:cs="宋体"/>
                <w:snapToGrid w:val="0"/>
                <w:kern w:val="0"/>
                <w:sz w:val="22"/>
                <w:szCs w:val="22"/>
              </w:rPr>
            </w:pPr>
            <w:r>
              <w:rPr>
                <w:rFonts w:hint="eastAsia" w:ascii="宋体" w:hAnsi="宋体" w:cs="宋体"/>
                <w:snapToGrid w:val="0"/>
                <w:kern w:val="0"/>
                <w:sz w:val="22"/>
                <w:szCs w:val="22"/>
              </w:rPr>
              <w:t>投标总价（元）</w:t>
            </w:r>
          </w:p>
        </w:tc>
      </w:tr>
      <w:tr w14:paraId="4D7E68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2122" w:type="dxa"/>
            <w:vAlign w:val="center"/>
          </w:tcPr>
          <w:p w14:paraId="4D830ADB">
            <w:pPr>
              <w:spacing w:line="360" w:lineRule="auto"/>
              <w:jc w:val="center"/>
              <w:rPr>
                <w:rFonts w:ascii="宋体" w:hAnsi="宋体" w:cs="宋体"/>
                <w:snapToGrid w:val="0"/>
                <w:kern w:val="0"/>
                <w:sz w:val="22"/>
                <w:szCs w:val="22"/>
              </w:rPr>
            </w:pPr>
          </w:p>
        </w:tc>
        <w:tc>
          <w:tcPr>
            <w:tcW w:w="2930" w:type="dxa"/>
            <w:vAlign w:val="center"/>
          </w:tcPr>
          <w:p w14:paraId="591EFAEB">
            <w:pPr>
              <w:widowControl/>
              <w:spacing w:line="360" w:lineRule="auto"/>
              <w:jc w:val="center"/>
              <w:rPr>
                <w:rFonts w:ascii="宋体" w:hAnsi="宋体" w:cs="宋体"/>
                <w:kern w:val="0"/>
                <w:sz w:val="22"/>
                <w:szCs w:val="22"/>
              </w:rPr>
            </w:pPr>
          </w:p>
        </w:tc>
        <w:tc>
          <w:tcPr>
            <w:tcW w:w="3474" w:type="dxa"/>
            <w:vAlign w:val="center"/>
          </w:tcPr>
          <w:p w14:paraId="3B4A30DE">
            <w:pPr>
              <w:spacing w:line="360" w:lineRule="auto"/>
              <w:rPr>
                <w:rFonts w:ascii="宋体" w:hAnsi="宋体" w:cs="宋体"/>
                <w:snapToGrid w:val="0"/>
                <w:kern w:val="0"/>
                <w:sz w:val="22"/>
                <w:szCs w:val="22"/>
              </w:rPr>
            </w:pPr>
            <w:r>
              <w:rPr>
                <w:rFonts w:hint="eastAsia" w:ascii="宋体" w:hAnsi="宋体" w:cs="宋体"/>
                <w:snapToGrid w:val="0"/>
                <w:kern w:val="0"/>
                <w:sz w:val="22"/>
                <w:szCs w:val="22"/>
              </w:rPr>
              <w:t>大写：</w:t>
            </w:r>
          </w:p>
          <w:p w14:paraId="61AFF0F9">
            <w:pPr>
              <w:spacing w:line="360" w:lineRule="auto"/>
              <w:rPr>
                <w:rFonts w:ascii="宋体" w:hAnsi="宋体" w:cs="宋体"/>
                <w:snapToGrid w:val="0"/>
                <w:kern w:val="0"/>
                <w:sz w:val="22"/>
                <w:szCs w:val="22"/>
              </w:rPr>
            </w:pPr>
            <w:r>
              <w:rPr>
                <w:rFonts w:hint="eastAsia" w:ascii="宋体" w:hAnsi="宋体" w:cs="宋体"/>
                <w:snapToGrid w:val="0"/>
                <w:kern w:val="0"/>
                <w:sz w:val="22"/>
                <w:szCs w:val="22"/>
              </w:rPr>
              <w:t>小写：</w:t>
            </w:r>
          </w:p>
        </w:tc>
      </w:tr>
    </w:tbl>
    <w:p w14:paraId="2B3F8071">
      <w:pPr>
        <w:spacing w:line="360" w:lineRule="auto"/>
        <w:rPr>
          <w:rFonts w:ascii="宋体" w:hAnsi="宋体" w:cs="宋体"/>
          <w:snapToGrid w:val="0"/>
          <w:kern w:val="0"/>
          <w:sz w:val="22"/>
          <w:szCs w:val="22"/>
        </w:rPr>
      </w:pPr>
    </w:p>
    <w:p w14:paraId="02A6E435">
      <w:pPr>
        <w:spacing w:line="360" w:lineRule="exact"/>
        <w:rPr>
          <w:rFonts w:ascii="宋体" w:hAnsi="宋体" w:cs="宋体"/>
          <w:snapToGrid w:val="0"/>
          <w:kern w:val="0"/>
          <w:sz w:val="22"/>
        </w:rPr>
      </w:pPr>
      <w:r>
        <w:rPr>
          <w:rFonts w:hint="eastAsia" w:ascii="宋体" w:hAnsi="宋体" w:cs="宋体"/>
          <w:snapToGrid w:val="0"/>
          <w:kern w:val="0"/>
          <w:sz w:val="22"/>
          <w:szCs w:val="22"/>
        </w:rPr>
        <w:t>注：</w:t>
      </w:r>
      <w:r>
        <w:rPr>
          <w:rFonts w:hint="eastAsia" w:ascii="宋体" w:hAnsi="宋体" w:cs="宋体"/>
          <w:snapToGrid w:val="0"/>
          <w:kern w:val="0"/>
          <w:sz w:val="22"/>
        </w:rPr>
        <w:t>此表应与法定代表人证明书、法定代表人授权书一同密封单独提交。</w:t>
      </w:r>
    </w:p>
    <w:p w14:paraId="66D9E031">
      <w:pPr>
        <w:spacing w:line="360" w:lineRule="auto"/>
        <w:ind w:right="2100" w:rightChars="1000"/>
        <w:jc w:val="right"/>
        <w:rPr>
          <w:rFonts w:ascii="宋体" w:hAnsi="宋体" w:cs="宋体"/>
          <w:snapToGrid w:val="0"/>
          <w:kern w:val="0"/>
          <w:sz w:val="22"/>
          <w:szCs w:val="22"/>
        </w:rPr>
      </w:pPr>
    </w:p>
    <w:p w14:paraId="11DCF9B8">
      <w:pPr>
        <w:spacing w:line="360" w:lineRule="auto"/>
        <w:ind w:right="2100" w:rightChars="1000"/>
        <w:jc w:val="left"/>
        <w:rPr>
          <w:rFonts w:ascii="宋体" w:hAnsi="宋体" w:cs="宋体"/>
          <w:snapToGrid w:val="0"/>
          <w:kern w:val="0"/>
          <w:sz w:val="22"/>
          <w:szCs w:val="22"/>
        </w:rPr>
      </w:pPr>
      <w:r>
        <w:rPr>
          <w:rFonts w:hint="eastAsia" w:ascii="宋体" w:hAnsi="宋体" w:cs="宋体"/>
          <w:snapToGrid w:val="0"/>
          <w:kern w:val="0"/>
          <w:sz w:val="22"/>
          <w:szCs w:val="22"/>
          <w:lang w:val="zh-CN"/>
        </w:rPr>
        <w:t>法定代表人（</w:t>
      </w:r>
      <w:r>
        <w:rPr>
          <w:rFonts w:hint="eastAsia" w:ascii="宋体" w:hAnsi="宋体" w:cs="宋体"/>
          <w:snapToGrid w:val="0"/>
          <w:kern w:val="0"/>
          <w:sz w:val="22"/>
          <w:szCs w:val="22"/>
        </w:rPr>
        <w:t>单位负责人</w:t>
      </w:r>
      <w:r>
        <w:rPr>
          <w:rFonts w:hint="eastAsia" w:ascii="宋体" w:hAnsi="宋体" w:cs="宋体"/>
          <w:snapToGrid w:val="0"/>
          <w:kern w:val="0"/>
          <w:sz w:val="22"/>
          <w:szCs w:val="22"/>
          <w:lang w:val="zh-CN"/>
        </w:rPr>
        <w:t>）或其授权代表（签字</w:t>
      </w:r>
      <w:r>
        <w:rPr>
          <w:rFonts w:hint="eastAsia" w:ascii="宋体" w:hAnsi="宋体" w:cs="宋体"/>
          <w:snapToGrid w:val="0"/>
          <w:kern w:val="0"/>
          <w:sz w:val="22"/>
          <w:szCs w:val="22"/>
        </w:rPr>
        <w:t>或盖章</w:t>
      </w:r>
      <w:r>
        <w:rPr>
          <w:rFonts w:hint="eastAsia" w:ascii="宋体" w:hAnsi="宋体" w:cs="宋体"/>
          <w:snapToGrid w:val="0"/>
          <w:kern w:val="0"/>
          <w:sz w:val="22"/>
          <w:szCs w:val="22"/>
          <w:lang w:val="zh-CN"/>
        </w:rPr>
        <w:t>）</w:t>
      </w:r>
      <w:r>
        <w:rPr>
          <w:rFonts w:hint="eastAsia" w:ascii="宋体" w:hAnsi="宋体" w:cs="宋体"/>
          <w:snapToGrid w:val="0"/>
          <w:kern w:val="0"/>
          <w:sz w:val="22"/>
          <w:szCs w:val="22"/>
        </w:rPr>
        <w:t xml:space="preserve">：                   </w:t>
      </w:r>
    </w:p>
    <w:p w14:paraId="0EE54E82">
      <w:pPr>
        <w:spacing w:line="360" w:lineRule="auto"/>
        <w:ind w:right="2100" w:rightChars="1000"/>
        <w:jc w:val="left"/>
        <w:rPr>
          <w:rFonts w:ascii="宋体" w:hAnsi="宋体" w:cs="宋体"/>
          <w:snapToGrid w:val="0"/>
          <w:kern w:val="0"/>
          <w:sz w:val="22"/>
          <w:szCs w:val="22"/>
        </w:rPr>
      </w:pPr>
      <w:r>
        <w:rPr>
          <w:rFonts w:hint="eastAsia" w:ascii="宋体" w:hAnsi="宋体" w:cs="宋体"/>
          <w:snapToGrid w:val="0"/>
          <w:kern w:val="0"/>
          <w:sz w:val="22"/>
          <w:szCs w:val="22"/>
        </w:rPr>
        <w:t xml:space="preserve">投标人名称（盖章）：                        </w:t>
      </w:r>
    </w:p>
    <w:p w14:paraId="34603EF9">
      <w:pPr>
        <w:spacing w:line="360" w:lineRule="auto"/>
        <w:ind w:right="2100" w:rightChars="1000"/>
        <w:jc w:val="left"/>
        <w:rPr>
          <w:rFonts w:ascii="宋体" w:hAnsi="宋体" w:cs="宋体"/>
          <w:snapToGrid w:val="0"/>
          <w:kern w:val="0"/>
          <w:sz w:val="22"/>
          <w:szCs w:val="22"/>
        </w:rPr>
      </w:pPr>
      <w:r>
        <w:rPr>
          <w:rFonts w:hint="eastAsia" w:ascii="宋体" w:hAnsi="宋体" w:cs="宋体"/>
          <w:snapToGrid w:val="0"/>
          <w:kern w:val="0"/>
          <w:sz w:val="22"/>
          <w:szCs w:val="22"/>
        </w:rPr>
        <w:t>日期：   年   月   日</w:t>
      </w:r>
    </w:p>
    <w:p w14:paraId="61DD08A3">
      <w:pPr>
        <w:spacing w:line="360" w:lineRule="exact"/>
        <w:ind w:right="2100" w:rightChars="1000"/>
        <w:jc w:val="left"/>
        <w:rPr>
          <w:rFonts w:ascii="宋体" w:hAnsi="宋体" w:cs="宋体"/>
          <w:snapToGrid w:val="0"/>
          <w:kern w:val="0"/>
        </w:rPr>
      </w:pPr>
    </w:p>
    <w:p w14:paraId="1F2387DC">
      <w:pPr>
        <w:pStyle w:val="28"/>
        <w:rPr>
          <w:rFonts w:ascii="宋体" w:hAnsi="宋体" w:cs="宋体"/>
          <w:snapToGrid w:val="0"/>
          <w:kern w:val="0"/>
        </w:rPr>
      </w:pPr>
    </w:p>
    <w:p w14:paraId="1A1A23D9">
      <w:pPr>
        <w:pStyle w:val="28"/>
        <w:rPr>
          <w:rFonts w:ascii="宋体" w:hAnsi="宋体" w:cs="宋体"/>
          <w:snapToGrid w:val="0"/>
          <w:kern w:val="0"/>
        </w:rPr>
      </w:pPr>
    </w:p>
    <w:p w14:paraId="067F7943">
      <w:r>
        <w:rPr>
          <w:rFonts w:hint="eastAsia"/>
        </w:rPr>
        <w:t xml:space="preserve">            </w:t>
      </w:r>
    </w:p>
    <w:p w14:paraId="5D7E83AB"/>
    <w:p w14:paraId="6CEF0699"/>
    <w:p w14:paraId="587F4DD2"/>
    <w:p w14:paraId="44AECEBE"/>
    <w:p w14:paraId="0AF2D73F"/>
    <w:p w14:paraId="2B73461E"/>
    <w:p w14:paraId="5C58A873"/>
    <w:p w14:paraId="57DF22E0"/>
    <w:p w14:paraId="2D73DCF4"/>
    <w:p w14:paraId="2837BCA2"/>
    <w:p w14:paraId="44BC3E77">
      <w:r>
        <w:rPr>
          <w:rFonts w:hint="eastAsia"/>
        </w:rPr>
        <w:br w:type="page"/>
      </w:r>
    </w:p>
    <w:p w14:paraId="17288067">
      <w:pPr>
        <w:pStyle w:val="6"/>
        <w:spacing w:before="120" w:after="120"/>
        <w:jc w:val="center"/>
        <w:rPr>
          <w:rFonts w:eastAsia="宋体" w:cs="宋体"/>
          <w:sz w:val="32"/>
        </w:rPr>
      </w:pPr>
      <w:r>
        <w:rPr>
          <w:rFonts w:hint="eastAsia" w:eastAsia="宋体" w:cs="宋体"/>
          <w:sz w:val="32"/>
        </w:rPr>
        <w:t>二、法定代表人（负责人）证明书</w:t>
      </w:r>
    </w:p>
    <w:p w14:paraId="1043C53B">
      <w:pPr>
        <w:rPr>
          <w:rFonts w:ascii="宋体" w:hAnsi="宋体" w:cs="宋体"/>
        </w:rPr>
      </w:pPr>
    </w:p>
    <w:p w14:paraId="43C74428">
      <w:pPr>
        <w:spacing w:line="300" w:lineRule="auto"/>
        <w:ind w:left="140"/>
        <w:rPr>
          <w:rFonts w:ascii="宋体" w:hAnsi="宋体"/>
          <w:sz w:val="22"/>
          <w:szCs w:val="22"/>
        </w:rPr>
      </w:pPr>
      <w:r>
        <w:rPr>
          <w:rFonts w:hint="eastAsia" w:ascii="宋体" w:hAnsi="宋体"/>
          <w:sz w:val="22"/>
          <w:szCs w:val="22"/>
          <w:u w:val="single"/>
        </w:rPr>
        <w:t xml:space="preserve">  （姓名）  </w:t>
      </w:r>
      <w:r>
        <w:rPr>
          <w:rFonts w:hint="eastAsia" w:ascii="宋体" w:hAnsi="宋体"/>
          <w:sz w:val="22"/>
          <w:szCs w:val="22"/>
        </w:rPr>
        <w:t>同志，现任我单位</w:t>
      </w:r>
      <w:r>
        <w:rPr>
          <w:rFonts w:hint="eastAsia" w:ascii="宋体" w:hAnsi="宋体"/>
          <w:sz w:val="22"/>
          <w:szCs w:val="22"/>
          <w:u w:val="single"/>
        </w:rPr>
        <w:t xml:space="preserve">       </w:t>
      </w:r>
      <w:r>
        <w:rPr>
          <w:rFonts w:hint="eastAsia" w:ascii="宋体" w:hAnsi="宋体"/>
          <w:sz w:val="22"/>
          <w:szCs w:val="22"/>
        </w:rPr>
        <w:t>职务，为我单位法定代表人（负责人）。</w:t>
      </w:r>
    </w:p>
    <w:p w14:paraId="1684F74E">
      <w:pPr>
        <w:spacing w:line="300" w:lineRule="auto"/>
        <w:ind w:left="140"/>
        <w:rPr>
          <w:rFonts w:ascii="宋体" w:hAnsi="宋体"/>
          <w:sz w:val="22"/>
          <w:szCs w:val="22"/>
          <w:u w:val="single"/>
        </w:rPr>
      </w:pPr>
      <w:r>
        <w:rPr>
          <w:rFonts w:hint="eastAsia" w:ascii="宋体" w:hAnsi="宋体"/>
          <w:sz w:val="22"/>
          <w:szCs w:val="22"/>
        </w:rPr>
        <w:t xml:space="preserve">身份证号： </w:t>
      </w:r>
      <w:r>
        <w:rPr>
          <w:rFonts w:hint="eastAsia" w:ascii="宋体" w:hAnsi="宋体"/>
          <w:sz w:val="22"/>
          <w:szCs w:val="22"/>
          <w:u w:val="single"/>
        </w:rPr>
        <w:t xml:space="preserve">              </w:t>
      </w:r>
    </w:p>
    <w:p w14:paraId="18C6BA62">
      <w:pPr>
        <w:spacing w:line="300" w:lineRule="auto"/>
        <w:ind w:left="140"/>
        <w:rPr>
          <w:rFonts w:ascii="宋体" w:hAnsi="宋体"/>
          <w:sz w:val="22"/>
          <w:szCs w:val="22"/>
          <w:u w:val="single"/>
        </w:rPr>
      </w:pPr>
      <w:r>
        <w:rPr>
          <w:rFonts w:hint="eastAsia" w:ascii="宋体" w:hAnsi="宋体"/>
          <w:sz w:val="22"/>
          <w:szCs w:val="22"/>
        </w:rPr>
        <w:t xml:space="preserve">联系电话：  </w:t>
      </w:r>
      <w:r>
        <w:rPr>
          <w:rFonts w:hint="eastAsia" w:ascii="宋体" w:hAnsi="宋体"/>
          <w:sz w:val="22"/>
          <w:szCs w:val="22"/>
          <w:u w:val="single"/>
        </w:rPr>
        <w:t xml:space="preserve">             </w:t>
      </w:r>
    </w:p>
    <w:p w14:paraId="46A28705">
      <w:pPr>
        <w:spacing w:line="300" w:lineRule="auto"/>
        <w:ind w:left="140"/>
        <w:rPr>
          <w:rFonts w:ascii="宋体" w:hAnsi="宋体"/>
          <w:b/>
          <w:sz w:val="22"/>
          <w:szCs w:val="22"/>
        </w:rPr>
      </w:pPr>
      <w:r>
        <w:rPr>
          <w:rFonts w:hint="eastAsia" w:ascii="宋体" w:hAnsi="宋体"/>
          <w:sz w:val="22"/>
          <w:szCs w:val="22"/>
        </w:rPr>
        <w:t>特此证明。</w:t>
      </w:r>
    </w:p>
    <w:p w14:paraId="3EBB101E">
      <w:pPr>
        <w:spacing w:line="300" w:lineRule="auto"/>
        <w:rPr>
          <w:rFonts w:ascii="Arial" w:hAnsi="Arial"/>
          <w:sz w:val="22"/>
          <w:szCs w:val="22"/>
        </w:rPr>
      </w:pPr>
    </w:p>
    <w:p w14:paraId="79FC1D61">
      <w:pPr>
        <w:spacing w:line="300" w:lineRule="auto"/>
        <w:rPr>
          <w:rFonts w:ascii="Arial" w:hAnsi="Arial"/>
          <w:sz w:val="22"/>
          <w:szCs w:val="22"/>
        </w:rPr>
      </w:pPr>
      <w:r>
        <w:rPr>
          <w:rFonts w:hint="eastAsia" w:ascii="Arial" w:hAnsi="Arial"/>
          <w:sz w:val="22"/>
          <w:szCs w:val="22"/>
        </w:rPr>
        <w:t>投标人（投标单位）：</w:t>
      </w:r>
      <w:r>
        <w:rPr>
          <w:rFonts w:ascii="Arial" w:hAnsi="Arial"/>
          <w:sz w:val="22"/>
          <w:szCs w:val="22"/>
          <w:u w:val="single"/>
        </w:rPr>
        <w:t xml:space="preserve">           </w:t>
      </w:r>
    </w:p>
    <w:p w14:paraId="1FA421E9">
      <w:pPr>
        <w:spacing w:line="300" w:lineRule="auto"/>
        <w:rPr>
          <w:rFonts w:ascii="Arial" w:hAnsi="Arial"/>
          <w:sz w:val="22"/>
          <w:szCs w:val="22"/>
        </w:rPr>
      </w:pPr>
      <w:r>
        <w:rPr>
          <w:rFonts w:hint="eastAsia" w:ascii="Arial" w:hAnsi="Arial"/>
          <w:sz w:val="22"/>
          <w:szCs w:val="22"/>
        </w:rPr>
        <w:t>日</w:t>
      </w:r>
      <w:r>
        <w:rPr>
          <w:rFonts w:ascii="Arial" w:hAnsi="Arial"/>
          <w:sz w:val="22"/>
          <w:szCs w:val="22"/>
        </w:rPr>
        <w:t xml:space="preserve">  </w:t>
      </w:r>
      <w:r>
        <w:rPr>
          <w:rFonts w:hint="eastAsia" w:ascii="Arial" w:hAnsi="Arial"/>
          <w:sz w:val="22"/>
          <w:szCs w:val="22"/>
        </w:rPr>
        <w:t>期：</w:t>
      </w:r>
      <w:r>
        <w:rPr>
          <w:rFonts w:ascii="Arial" w:hAnsi="Arial"/>
          <w:sz w:val="22"/>
          <w:szCs w:val="22"/>
          <w:u w:val="single"/>
        </w:rPr>
        <w:t xml:space="preserve">     </w:t>
      </w:r>
      <w:r>
        <w:rPr>
          <w:rFonts w:hint="eastAsia" w:ascii="Arial" w:hAnsi="Arial"/>
          <w:sz w:val="22"/>
          <w:szCs w:val="22"/>
        </w:rPr>
        <w:t>年</w:t>
      </w:r>
      <w:r>
        <w:rPr>
          <w:rFonts w:ascii="Arial" w:hAnsi="Arial"/>
          <w:sz w:val="22"/>
          <w:szCs w:val="22"/>
          <w:u w:val="single"/>
        </w:rPr>
        <w:t xml:space="preserve">     </w:t>
      </w:r>
      <w:r>
        <w:rPr>
          <w:rFonts w:hint="eastAsia" w:ascii="Arial" w:hAnsi="Arial"/>
          <w:sz w:val="22"/>
          <w:szCs w:val="22"/>
        </w:rPr>
        <w:t>月</w:t>
      </w:r>
      <w:r>
        <w:rPr>
          <w:rFonts w:ascii="Arial" w:hAnsi="Arial"/>
          <w:sz w:val="22"/>
          <w:szCs w:val="22"/>
          <w:u w:val="single"/>
        </w:rPr>
        <w:t xml:space="preserve">     </w:t>
      </w:r>
      <w:r>
        <w:rPr>
          <w:rFonts w:hint="eastAsia" w:ascii="Arial" w:hAnsi="Arial"/>
          <w:sz w:val="22"/>
          <w:szCs w:val="22"/>
        </w:rPr>
        <w:t>日</w:t>
      </w:r>
    </w:p>
    <w:p w14:paraId="75BA023B">
      <w:pPr>
        <w:spacing w:line="500" w:lineRule="exact"/>
        <w:rPr>
          <w:rFonts w:ascii="Arial" w:hAnsi="Arial"/>
          <w:sz w:val="22"/>
          <w:szCs w:val="22"/>
        </w:rPr>
      </w:pPr>
    </w:p>
    <w:p w14:paraId="590ED01D">
      <w:pPr>
        <w:spacing w:line="360" w:lineRule="exact"/>
        <w:rPr>
          <w:rFonts w:ascii="宋体" w:hAnsi="宋体" w:cs="宋体"/>
          <w:b/>
          <w:sz w:val="22"/>
          <w:szCs w:val="22"/>
        </w:rPr>
      </w:pPr>
      <w:r>
        <w:rPr>
          <w:rFonts w:hint="eastAsia" w:ascii="宋体" w:hAnsi="宋体" w:cs="宋体"/>
          <w:b/>
          <w:sz w:val="22"/>
          <w:szCs w:val="22"/>
        </w:rPr>
        <w:t>必须提供法定代表人（负责人）有效期内身份证的正反面扫描件（港澳台居民可提供往来通行证），非中国国籍管辖范围的，可提供公安部门认可的身份证明材料，否则将导致投标无效。</w:t>
      </w:r>
    </w:p>
    <w:tbl>
      <w:tblPr>
        <w:tblStyle w:val="30"/>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5F28A6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tcPr>
          <w:p w14:paraId="0CB82403">
            <w:pPr>
              <w:jc w:val="center"/>
            </w:pPr>
            <w:r>
              <w:rPr>
                <w:rFonts w:hint="eastAsia"/>
              </w:rPr>
              <w:t>证件扫描件正面</w:t>
            </w:r>
          </w:p>
          <w:p w14:paraId="04B86863">
            <w:pPr>
              <w:pStyle w:val="3"/>
            </w:pPr>
          </w:p>
          <w:p w14:paraId="5CACD3F8">
            <w:pPr>
              <w:pStyle w:val="24"/>
            </w:pPr>
          </w:p>
          <w:p w14:paraId="3ACDA097">
            <w:pPr>
              <w:pStyle w:val="24"/>
            </w:pPr>
          </w:p>
          <w:p w14:paraId="09E85C09">
            <w:pPr>
              <w:pStyle w:val="24"/>
            </w:pPr>
          </w:p>
        </w:tc>
        <w:tc>
          <w:tcPr>
            <w:tcW w:w="4265" w:type="dxa"/>
          </w:tcPr>
          <w:p w14:paraId="5516C894">
            <w:pPr>
              <w:jc w:val="center"/>
            </w:pPr>
            <w:r>
              <w:rPr>
                <w:rFonts w:hint="eastAsia"/>
              </w:rPr>
              <w:t>证件扫描件反面</w:t>
            </w:r>
          </w:p>
          <w:p w14:paraId="0DAA02E7">
            <w:pPr>
              <w:pStyle w:val="3"/>
              <w:jc w:val="center"/>
            </w:pPr>
          </w:p>
          <w:p w14:paraId="6E162542">
            <w:pPr>
              <w:pStyle w:val="24"/>
              <w:jc w:val="center"/>
            </w:pPr>
          </w:p>
        </w:tc>
      </w:tr>
    </w:tbl>
    <w:p w14:paraId="71AFDBB0">
      <w:pPr>
        <w:snapToGrid w:val="0"/>
        <w:spacing w:line="360" w:lineRule="exact"/>
        <w:rPr>
          <w:rFonts w:ascii="宋体" w:hAnsi="宋体" w:cs="宋体"/>
          <w:bCs/>
          <w:sz w:val="22"/>
          <w:szCs w:val="22"/>
        </w:rPr>
      </w:pPr>
      <w:r>
        <w:rPr>
          <w:rFonts w:hint="eastAsia" w:ascii="宋体" w:hAnsi="宋体" w:cs="宋体"/>
          <w:bCs/>
          <w:sz w:val="22"/>
          <w:szCs w:val="22"/>
        </w:rPr>
        <w:t>备注：</w:t>
      </w:r>
    </w:p>
    <w:p w14:paraId="3E2D0A76">
      <w:pPr>
        <w:snapToGrid w:val="0"/>
        <w:spacing w:line="360" w:lineRule="exact"/>
        <w:rPr>
          <w:rFonts w:ascii="宋体" w:hAnsi="宋体" w:cs="宋体"/>
          <w:bCs/>
          <w:sz w:val="22"/>
          <w:szCs w:val="22"/>
        </w:rPr>
      </w:pPr>
      <w:r>
        <w:rPr>
          <w:rFonts w:hint="eastAsia" w:ascii="宋体" w:hAnsi="宋体" w:cs="宋体"/>
          <w:bCs/>
          <w:sz w:val="22"/>
          <w:szCs w:val="22"/>
        </w:rPr>
        <w:t>1、如发现上述人员非投标人法定代表人（负责人），视同提供虚假资料，按投标无效处理，并将依法承担相应法律责任。</w:t>
      </w:r>
    </w:p>
    <w:p w14:paraId="225A7050">
      <w:pPr>
        <w:snapToGrid w:val="0"/>
        <w:spacing w:line="360" w:lineRule="exact"/>
        <w:rPr>
          <w:rFonts w:ascii="宋体" w:hAnsi="宋体" w:cs="宋体"/>
          <w:bCs/>
          <w:sz w:val="22"/>
          <w:szCs w:val="22"/>
        </w:rPr>
      </w:pPr>
      <w:r>
        <w:rPr>
          <w:rFonts w:hint="eastAsia" w:ascii="宋体" w:hAnsi="宋体" w:cs="宋体"/>
          <w:bCs/>
          <w:sz w:val="22"/>
          <w:szCs w:val="22"/>
        </w:rPr>
        <w:t>2、法定代表人为投标人（企业事业单位、国家机关、社会团体）的主要行政负责人。</w:t>
      </w:r>
    </w:p>
    <w:p w14:paraId="1F0895B0">
      <w:pPr>
        <w:snapToGrid w:val="0"/>
        <w:spacing w:line="360" w:lineRule="exact"/>
        <w:rPr>
          <w:rFonts w:ascii="宋体" w:hAnsi="宋体" w:cs="宋体"/>
          <w:bCs/>
          <w:sz w:val="22"/>
          <w:szCs w:val="22"/>
        </w:rPr>
      </w:pPr>
      <w:r>
        <w:rPr>
          <w:rFonts w:hint="eastAsia" w:ascii="宋体" w:hAnsi="宋体" w:cs="宋体"/>
          <w:bCs/>
          <w:sz w:val="22"/>
          <w:szCs w:val="22"/>
        </w:rPr>
        <w:t>3、本证明书要求投标供应商同时提供法定代表人（负责人）的身份证扫描件（正反两面）作为附件方为有效。</w:t>
      </w:r>
    </w:p>
    <w:p w14:paraId="60AB734C">
      <w:pPr>
        <w:snapToGrid w:val="0"/>
        <w:spacing w:line="360" w:lineRule="exact"/>
        <w:rPr>
          <w:rFonts w:ascii="宋体" w:hAnsi="宋体" w:cs="宋体"/>
          <w:bCs/>
          <w:sz w:val="22"/>
          <w:szCs w:val="22"/>
        </w:rPr>
      </w:pPr>
      <w:r>
        <w:rPr>
          <w:rFonts w:hint="eastAsia" w:ascii="宋体" w:hAnsi="宋体" w:cs="宋体"/>
          <w:bCs/>
          <w:sz w:val="22"/>
          <w:szCs w:val="22"/>
        </w:rPr>
        <w:t>4、本项目投标授权代表为法定代表人（负责人）的，无需提供《法定代表人（负责人）授权书》。</w:t>
      </w:r>
    </w:p>
    <w:p w14:paraId="284FAC95">
      <w:pPr>
        <w:snapToGrid w:val="0"/>
        <w:spacing w:line="360" w:lineRule="exact"/>
        <w:rPr>
          <w:rFonts w:ascii="宋体" w:hAnsi="宋体" w:cs="宋体"/>
          <w:bCs/>
          <w:sz w:val="22"/>
          <w:szCs w:val="22"/>
        </w:rPr>
      </w:pPr>
      <w:r>
        <w:rPr>
          <w:rFonts w:hint="eastAsia" w:ascii="宋体" w:hAnsi="宋体" w:cs="宋体"/>
          <w:bCs/>
          <w:sz w:val="22"/>
          <w:szCs w:val="22"/>
        </w:rPr>
        <w:t>5、内容必须填写真实、清楚，涂改无效，不得转让、买卖。</w:t>
      </w:r>
    </w:p>
    <w:p w14:paraId="3F1D121E">
      <w:pPr>
        <w:pStyle w:val="5"/>
      </w:pPr>
    </w:p>
    <w:p w14:paraId="74E3649B">
      <w:pPr>
        <w:pStyle w:val="71"/>
        <w:ind w:firstLine="0" w:firstLineChars="0"/>
        <w:rPr>
          <w:b w:val="0"/>
          <w:bCs/>
        </w:rPr>
      </w:pPr>
      <w:r>
        <w:rPr>
          <w:rFonts w:hint="eastAsia" w:ascii="宋体" w:hAnsi="宋体" w:cs="宋体"/>
          <w:b w:val="0"/>
          <w:bCs/>
          <w:sz w:val="22"/>
        </w:rPr>
        <w:t>温馨提示：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62F4E4FD">
      <w:pPr>
        <w:jc w:val="center"/>
        <w:rPr>
          <w:rFonts w:ascii="宋体" w:hAnsi="宋体" w:cs="宋体"/>
          <w:bCs/>
          <w:sz w:val="24"/>
        </w:rPr>
      </w:pPr>
      <w:r>
        <w:rPr>
          <w:rFonts w:hint="eastAsia" w:ascii="宋体" w:hAnsi="宋体" w:cs="宋体"/>
          <w:bCs/>
          <w:sz w:val="24"/>
        </w:rPr>
        <w:br w:type="page"/>
      </w:r>
    </w:p>
    <w:p w14:paraId="68EA8F1C">
      <w:pPr>
        <w:pStyle w:val="6"/>
        <w:spacing w:before="120" w:after="120"/>
        <w:jc w:val="center"/>
        <w:rPr>
          <w:rFonts w:eastAsia="宋体" w:cs="宋体"/>
          <w:sz w:val="32"/>
        </w:rPr>
      </w:pPr>
      <w:r>
        <w:rPr>
          <w:rFonts w:hint="eastAsia" w:eastAsia="宋体" w:cs="宋体"/>
          <w:sz w:val="32"/>
        </w:rPr>
        <w:t>三、法定代表人（负责人）授权书</w:t>
      </w:r>
    </w:p>
    <w:p w14:paraId="2F4635D2">
      <w:pPr>
        <w:rPr>
          <w:rFonts w:ascii="宋体" w:hAnsi="宋体" w:cs="宋体"/>
          <w:bCs/>
          <w:sz w:val="24"/>
        </w:rPr>
      </w:pPr>
    </w:p>
    <w:p w14:paraId="0B625815">
      <w:pPr>
        <w:spacing w:line="360" w:lineRule="auto"/>
        <w:ind w:firstLine="440" w:firstLineChars="200"/>
        <w:rPr>
          <w:rFonts w:ascii="Arial" w:hAnsi="Arial"/>
          <w:sz w:val="22"/>
          <w:szCs w:val="22"/>
        </w:rPr>
      </w:pPr>
      <w:r>
        <w:rPr>
          <w:rFonts w:hint="eastAsia" w:ascii="Arial" w:hAnsi="Arial"/>
          <w:sz w:val="22"/>
          <w:szCs w:val="22"/>
        </w:rPr>
        <w:t>本授权委托书声明：我</w:t>
      </w:r>
      <w:r>
        <w:rPr>
          <w:rFonts w:ascii="Arial" w:hAnsi="Arial"/>
          <w:sz w:val="22"/>
          <w:szCs w:val="22"/>
          <w:u w:val="single"/>
        </w:rPr>
        <w:t xml:space="preserve">  </w:t>
      </w:r>
      <w:r>
        <w:rPr>
          <w:rFonts w:hint="eastAsia" w:ascii="Arial" w:hAnsi="Arial"/>
          <w:sz w:val="22"/>
          <w:szCs w:val="22"/>
          <w:u w:val="single"/>
        </w:rPr>
        <w:t>（姓名）</w:t>
      </w:r>
      <w:r>
        <w:rPr>
          <w:rFonts w:ascii="Arial" w:hAnsi="Arial"/>
          <w:sz w:val="22"/>
          <w:szCs w:val="22"/>
          <w:u w:val="single"/>
        </w:rPr>
        <w:t xml:space="preserve">  </w:t>
      </w:r>
      <w:r>
        <w:rPr>
          <w:rFonts w:hint="eastAsia" w:ascii="Arial" w:hAnsi="Arial"/>
          <w:sz w:val="22"/>
          <w:szCs w:val="22"/>
        </w:rPr>
        <w:t>系</w:t>
      </w:r>
      <w:r>
        <w:rPr>
          <w:rFonts w:ascii="Arial" w:hAnsi="Arial"/>
          <w:sz w:val="22"/>
          <w:szCs w:val="22"/>
          <w:u w:val="single"/>
        </w:rPr>
        <w:t xml:space="preserve">  </w:t>
      </w:r>
      <w:r>
        <w:rPr>
          <w:rFonts w:hint="eastAsia" w:ascii="Arial" w:hAnsi="Arial"/>
          <w:sz w:val="22"/>
          <w:szCs w:val="22"/>
          <w:u w:val="single"/>
        </w:rPr>
        <w:t>（投标人名称）</w:t>
      </w:r>
      <w:r>
        <w:rPr>
          <w:rFonts w:ascii="Arial" w:hAnsi="Arial"/>
          <w:sz w:val="22"/>
          <w:szCs w:val="22"/>
          <w:u w:val="single"/>
        </w:rPr>
        <w:t xml:space="preserve">   </w:t>
      </w:r>
      <w:r>
        <w:rPr>
          <w:rFonts w:hint="eastAsia" w:ascii="Arial" w:hAnsi="Arial"/>
          <w:sz w:val="22"/>
          <w:szCs w:val="22"/>
        </w:rPr>
        <w:t>的法定代表人（负责人），现授权委托</w:t>
      </w:r>
      <w:r>
        <w:rPr>
          <w:rFonts w:ascii="Arial" w:hAnsi="Arial"/>
          <w:sz w:val="22"/>
          <w:szCs w:val="22"/>
          <w:u w:val="single"/>
        </w:rPr>
        <w:t xml:space="preserve">  </w:t>
      </w:r>
      <w:r>
        <w:rPr>
          <w:rFonts w:hint="eastAsia" w:ascii="Arial" w:hAnsi="Arial"/>
          <w:sz w:val="22"/>
          <w:szCs w:val="22"/>
          <w:u w:val="single"/>
        </w:rPr>
        <w:t>（姓名）</w:t>
      </w:r>
      <w:r>
        <w:rPr>
          <w:rFonts w:ascii="Arial" w:hAnsi="Arial"/>
          <w:sz w:val="22"/>
          <w:szCs w:val="22"/>
          <w:u w:val="single"/>
        </w:rPr>
        <w:t xml:space="preserve">  </w:t>
      </w:r>
      <w:r>
        <w:rPr>
          <w:rFonts w:hint="eastAsia" w:ascii="Arial" w:hAnsi="Arial"/>
          <w:sz w:val="22"/>
          <w:szCs w:val="22"/>
        </w:rPr>
        <w:t>为我单位签署本项目已递交的投标文件的法定代表人（负责人）的授权委托代理人，代表我单位签署本项目的投标文件、参与项目投标、澄清投标文件、签署合同和处理与该项目有关的一切事务。在此过程中代理人所签署的一切文件及处理与该项目有关的一切事务，我均予以承认。</w:t>
      </w:r>
    </w:p>
    <w:p w14:paraId="2189CC0C">
      <w:pPr>
        <w:spacing w:line="360" w:lineRule="auto"/>
        <w:ind w:firstLine="440" w:firstLineChars="200"/>
        <w:rPr>
          <w:rFonts w:ascii="Arial" w:hAnsi="Arial"/>
          <w:sz w:val="22"/>
          <w:szCs w:val="22"/>
        </w:rPr>
      </w:pPr>
      <w:r>
        <w:rPr>
          <w:rFonts w:hint="eastAsia" w:ascii="Arial" w:hAnsi="Arial"/>
          <w:sz w:val="22"/>
          <w:szCs w:val="22"/>
        </w:rPr>
        <w:t>授权书有效期内被授权人签署的所有文件不因授权的撤销而失效。被授权人无转委托权。</w:t>
      </w:r>
    </w:p>
    <w:p w14:paraId="11490B49">
      <w:pPr>
        <w:spacing w:line="360" w:lineRule="auto"/>
        <w:ind w:left="3360" w:leftChars="1600"/>
        <w:rPr>
          <w:rFonts w:ascii="Arial" w:hAnsi="Arial"/>
          <w:sz w:val="22"/>
          <w:szCs w:val="22"/>
          <w:u w:val="single"/>
        </w:rPr>
      </w:pPr>
      <w:r>
        <w:rPr>
          <w:rFonts w:hint="eastAsia" w:ascii="Arial" w:hAnsi="Arial"/>
          <w:sz w:val="22"/>
          <w:szCs w:val="22"/>
        </w:rPr>
        <w:t>代理人：</w:t>
      </w:r>
      <w:r>
        <w:rPr>
          <w:rFonts w:ascii="Arial" w:hAnsi="Arial"/>
          <w:sz w:val="22"/>
          <w:szCs w:val="22"/>
          <w:u w:val="single"/>
        </w:rPr>
        <w:t xml:space="preserve">     </w:t>
      </w:r>
      <w:r>
        <w:rPr>
          <w:rFonts w:hint="eastAsia" w:ascii="Arial" w:hAnsi="Arial"/>
          <w:sz w:val="22"/>
          <w:szCs w:val="22"/>
          <w:u w:val="single"/>
        </w:rPr>
        <w:t xml:space="preserve">     </w:t>
      </w:r>
      <w:r>
        <w:rPr>
          <w:rFonts w:ascii="Arial" w:hAnsi="Arial"/>
          <w:sz w:val="22"/>
          <w:szCs w:val="22"/>
          <w:u w:val="single"/>
        </w:rPr>
        <w:t xml:space="preserve">        </w:t>
      </w:r>
      <w:r>
        <w:rPr>
          <w:rFonts w:hint="eastAsia" w:ascii="Arial" w:hAnsi="Arial"/>
          <w:sz w:val="22"/>
          <w:szCs w:val="22"/>
        </w:rPr>
        <w:t>性别：</w:t>
      </w:r>
      <w:r>
        <w:rPr>
          <w:rFonts w:ascii="Arial" w:hAnsi="Arial"/>
          <w:sz w:val="22"/>
          <w:szCs w:val="22"/>
          <w:u w:val="single"/>
        </w:rPr>
        <w:t xml:space="preserve">   </w:t>
      </w:r>
      <w:r>
        <w:rPr>
          <w:rFonts w:hint="eastAsia" w:ascii="Arial" w:hAnsi="Arial"/>
          <w:sz w:val="22"/>
          <w:szCs w:val="22"/>
          <w:u w:val="single"/>
        </w:rPr>
        <w:t xml:space="preserve">  </w:t>
      </w:r>
      <w:r>
        <w:rPr>
          <w:rFonts w:ascii="Arial" w:hAnsi="Arial"/>
          <w:sz w:val="22"/>
          <w:szCs w:val="22"/>
          <w:u w:val="single"/>
        </w:rPr>
        <w:t xml:space="preserve"> </w:t>
      </w:r>
      <w:r>
        <w:rPr>
          <w:rFonts w:hint="eastAsia" w:ascii="Arial" w:hAnsi="Arial"/>
          <w:sz w:val="22"/>
          <w:szCs w:val="22"/>
          <w:u w:val="single"/>
        </w:rPr>
        <w:t xml:space="preserve">    </w:t>
      </w:r>
      <w:r>
        <w:rPr>
          <w:rFonts w:ascii="Arial" w:hAnsi="Arial"/>
          <w:sz w:val="22"/>
          <w:szCs w:val="22"/>
          <w:u w:val="single"/>
        </w:rPr>
        <w:t xml:space="preserve"> </w:t>
      </w:r>
    </w:p>
    <w:p w14:paraId="621D7392">
      <w:pPr>
        <w:spacing w:line="360" w:lineRule="auto"/>
        <w:ind w:left="3360" w:leftChars="1600"/>
        <w:rPr>
          <w:rFonts w:ascii="Arial" w:hAnsi="Arial"/>
          <w:sz w:val="22"/>
          <w:szCs w:val="22"/>
        </w:rPr>
      </w:pPr>
      <w:r>
        <w:rPr>
          <w:rFonts w:hint="eastAsia" w:ascii="Arial" w:hAnsi="Arial"/>
          <w:sz w:val="22"/>
          <w:szCs w:val="22"/>
        </w:rPr>
        <w:t>联系电话：</w:t>
      </w:r>
      <w:r>
        <w:rPr>
          <w:rFonts w:ascii="Arial" w:hAnsi="Arial"/>
          <w:sz w:val="22"/>
          <w:szCs w:val="22"/>
          <w:u w:val="single"/>
        </w:rPr>
        <w:t xml:space="preserve">              </w:t>
      </w:r>
      <w:r>
        <w:rPr>
          <w:rFonts w:hint="eastAsia" w:ascii="Arial" w:hAnsi="Arial"/>
          <w:sz w:val="22"/>
          <w:szCs w:val="22"/>
        </w:rPr>
        <w:t>手机：</w:t>
      </w:r>
      <w:r>
        <w:rPr>
          <w:rFonts w:ascii="Arial" w:hAnsi="Arial"/>
          <w:sz w:val="22"/>
          <w:szCs w:val="22"/>
          <w:u w:val="single"/>
        </w:rPr>
        <w:t xml:space="preserve">                 </w:t>
      </w:r>
    </w:p>
    <w:p w14:paraId="76646F10">
      <w:pPr>
        <w:spacing w:line="360" w:lineRule="auto"/>
        <w:ind w:left="3360" w:leftChars="1600"/>
        <w:rPr>
          <w:rFonts w:ascii="Arial" w:hAnsi="Arial"/>
          <w:sz w:val="22"/>
          <w:szCs w:val="22"/>
          <w:u w:val="single"/>
        </w:rPr>
      </w:pPr>
      <w:r>
        <w:rPr>
          <w:rFonts w:hint="eastAsia" w:ascii="Arial" w:hAnsi="Arial"/>
          <w:sz w:val="22"/>
          <w:szCs w:val="22"/>
        </w:rPr>
        <w:t>身份证号码：</w:t>
      </w:r>
      <w:r>
        <w:rPr>
          <w:rFonts w:ascii="Arial" w:hAnsi="Arial"/>
          <w:sz w:val="22"/>
          <w:szCs w:val="22"/>
          <w:u w:val="single"/>
        </w:rPr>
        <w:t xml:space="preserve">                       </w:t>
      </w:r>
      <w:r>
        <w:rPr>
          <w:rFonts w:hint="eastAsia" w:ascii="Arial" w:hAnsi="Arial"/>
          <w:sz w:val="22"/>
          <w:szCs w:val="22"/>
        </w:rPr>
        <w:t>职务：</w:t>
      </w:r>
      <w:r>
        <w:rPr>
          <w:rFonts w:ascii="Arial" w:hAnsi="Arial"/>
          <w:sz w:val="22"/>
          <w:szCs w:val="22"/>
          <w:u w:val="single"/>
        </w:rPr>
        <w:t xml:space="preserve">   </w:t>
      </w:r>
      <w:r>
        <w:rPr>
          <w:rFonts w:hint="eastAsia" w:ascii="Arial" w:hAnsi="Arial"/>
          <w:sz w:val="22"/>
          <w:szCs w:val="22"/>
          <w:u w:val="single"/>
        </w:rPr>
        <w:t xml:space="preserve"> </w:t>
      </w:r>
      <w:r>
        <w:rPr>
          <w:rFonts w:ascii="Arial" w:hAnsi="Arial"/>
          <w:sz w:val="22"/>
          <w:szCs w:val="22"/>
          <w:u w:val="single"/>
        </w:rPr>
        <w:t xml:space="preserve">  </w:t>
      </w:r>
    </w:p>
    <w:p w14:paraId="15D3EAFB">
      <w:pPr>
        <w:spacing w:line="360" w:lineRule="auto"/>
        <w:ind w:left="3360" w:leftChars="1600"/>
        <w:rPr>
          <w:rFonts w:ascii="Arial" w:hAnsi="Arial"/>
          <w:sz w:val="22"/>
          <w:szCs w:val="22"/>
        </w:rPr>
      </w:pPr>
      <w:r>
        <w:rPr>
          <w:rFonts w:hint="eastAsia" w:ascii="Arial" w:hAnsi="Arial"/>
          <w:sz w:val="22"/>
          <w:szCs w:val="22"/>
        </w:rPr>
        <w:t>投标人（投标单位）：</w:t>
      </w:r>
      <w:r>
        <w:rPr>
          <w:rFonts w:ascii="Arial" w:hAnsi="Arial"/>
          <w:sz w:val="22"/>
          <w:szCs w:val="22"/>
          <w:u w:val="single"/>
        </w:rPr>
        <w:t xml:space="preserve">                            </w:t>
      </w:r>
    </w:p>
    <w:p w14:paraId="64810589">
      <w:pPr>
        <w:spacing w:line="360" w:lineRule="auto"/>
        <w:ind w:left="3360" w:leftChars="1600"/>
        <w:rPr>
          <w:rFonts w:ascii="Arial" w:hAnsi="Arial"/>
          <w:sz w:val="22"/>
          <w:szCs w:val="22"/>
        </w:rPr>
      </w:pPr>
      <w:r>
        <w:rPr>
          <w:rFonts w:hint="eastAsia" w:ascii="Arial" w:hAnsi="Arial"/>
          <w:sz w:val="22"/>
          <w:szCs w:val="22"/>
        </w:rPr>
        <w:t>授权委托日期：</w:t>
      </w:r>
      <w:r>
        <w:rPr>
          <w:rFonts w:ascii="Arial" w:hAnsi="Arial"/>
          <w:sz w:val="22"/>
          <w:szCs w:val="22"/>
          <w:u w:val="single"/>
        </w:rPr>
        <w:t xml:space="preserve">         </w:t>
      </w:r>
      <w:r>
        <w:rPr>
          <w:rFonts w:hint="eastAsia" w:ascii="Arial" w:hAnsi="Arial"/>
          <w:sz w:val="22"/>
          <w:szCs w:val="22"/>
        </w:rPr>
        <w:t>年</w:t>
      </w:r>
      <w:r>
        <w:rPr>
          <w:rFonts w:ascii="Arial" w:hAnsi="Arial"/>
          <w:sz w:val="22"/>
          <w:szCs w:val="22"/>
          <w:u w:val="single"/>
        </w:rPr>
        <w:t xml:space="preserve">   </w:t>
      </w:r>
      <w:r>
        <w:rPr>
          <w:rFonts w:hint="eastAsia" w:ascii="Arial" w:hAnsi="Arial"/>
          <w:sz w:val="22"/>
          <w:szCs w:val="22"/>
          <w:u w:val="single"/>
        </w:rPr>
        <w:t xml:space="preserve"> </w:t>
      </w:r>
      <w:r>
        <w:rPr>
          <w:rFonts w:ascii="Arial" w:hAnsi="Arial"/>
          <w:sz w:val="22"/>
          <w:szCs w:val="22"/>
          <w:u w:val="single"/>
        </w:rPr>
        <w:t xml:space="preserve">  </w:t>
      </w:r>
      <w:r>
        <w:rPr>
          <w:rFonts w:hint="eastAsia" w:ascii="Arial" w:hAnsi="Arial"/>
          <w:sz w:val="22"/>
          <w:szCs w:val="22"/>
        </w:rPr>
        <w:t>月</w:t>
      </w:r>
      <w:r>
        <w:rPr>
          <w:rFonts w:ascii="Arial" w:hAnsi="Arial"/>
          <w:sz w:val="22"/>
          <w:szCs w:val="22"/>
        </w:rPr>
        <w:t xml:space="preserve"> </w:t>
      </w:r>
      <w:r>
        <w:rPr>
          <w:rFonts w:ascii="Arial" w:hAnsi="Arial"/>
          <w:sz w:val="22"/>
          <w:szCs w:val="22"/>
          <w:u w:val="single"/>
        </w:rPr>
        <w:t xml:space="preserve">      </w:t>
      </w:r>
      <w:r>
        <w:rPr>
          <w:rFonts w:hint="eastAsia" w:ascii="Arial" w:hAnsi="Arial"/>
          <w:sz w:val="22"/>
          <w:szCs w:val="22"/>
        </w:rPr>
        <w:t>日</w:t>
      </w:r>
    </w:p>
    <w:p w14:paraId="75DEC029">
      <w:pPr>
        <w:spacing w:line="500" w:lineRule="exact"/>
        <w:ind w:firstLine="440" w:firstLineChars="200"/>
        <w:rPr>
          <w:rFonts w:ascii="Arial" w:hAnsi="Arial"/>
          <w:sz w:val="22"/>
          <w:szCs w:val="22"/>
        </w:rPr>
      </w:pPr>
    </w:p>
    <w:p w14:paraId="0D507E2F">
      <w:pPr>
        <w:spacing w:line="360" w:lineRule="exact"/>
        <w:rPr>
          <w:rFonts w:ascii="宋体" w:hAnsi="宋体" w:cs="宋体"/>
          <w:b/>
          <w:sz w:val="22"/>
          <w:szCs w:val="22"/>
        </w:rPr>
      </w:pPr>
      <w:r>
        <w:rPr>
          <w:rFonts w:hint="eastAsia" w:ascii="宋体" w:hAnsi="宋体" w:cs="宋体"/>
          <w:b/>
          <w:sz w:val="22"/>
          <w:szCs w:val="22"/>
        </w:rPr>
        <w:t>必须提供代理人有效期内身份证的正反面扫描件（港澳台居民可提供往来通行证），非中国国籍管辖范围的，可提供公安部门认可的身份证明材料，否则将导致投标无效。</w:t>
      </w:r>
    </w:p>
    <w:tbl>
      <w:tblPr>
        <w:tblStyle w:val="30"/>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1B053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tcPr>
          <w:p w14:paraId="44F29767">
            <w:pPr>
              <w:jc w:val="center"/>
            </w:pPr>
            <w:r>
              <w:rPr>
                <w:rFonts w:hint="eastAsia"/>
              </w:rPr>
              <w:t>证件扫描件正面</w:t>
            </w:r>
          </w:p>
          <w:p w14:paraId="1315AA1A">
            <w:pPr>
              <w:pStyle w:val="3"/>
            </w:pPr>
          </w:p>
          <w:p w14:paraId="251EFBAC">
            <w:pPr>
              <w:pStyle w:val="24"/>
            </w:pPr>
          </w:p>
          <w:p w14:paraId="47690325">
            <w:pPr>
              <w:pStyle w:val="24"/>
            </w:pPr>
          </w:p>
          <w:p w14:paraId="20C7A9A8">
            <w:pPr>
              <w:pStyle w:val="24"/>
            </w:pPr>
          </w:p>
        </w:tc>
        <w:tc>
          <w:tcPr>
            <w:tcW w:w="4265" w:type="dxa"/>
          </w:tcPr>
          <w:p w14:paraId="68AB6F29">
            <w:pPr>
              <w:jc w:val="center"/>
            </w:pPr>
            <w:r>
              <w:rPr>
                <w:rFonts w:hint="eastAsia"/>
              </w:rPr>
              <w:t>证件扫描件反面</w:t>
            </w:r>
          </w:p>
          <w:p w14:paraId="17F38C92">
            <w:pPr>
              <w:pStyle w:val="3"/>
              <w:jc w:val="center"/>
            </w:pPr>
          </w:p>
          <w:p w14:paraId="544F618E">
            <w:pPr>
              <w:pStyle w:val="24"/>
              <w:jc w:val="center"/>
            </w:pPr>
          </w:p>
        </w:tc>
      </w:tr>
    </w:tbl>
    <w:p w14:paraId="7DB2996B">
      <w:pPr>
        <w:spacing w:line="360" w:lineRule="exact"/>
        <w:rPr>
          <w:rFonts w:ascii="宋体" w:hAnsi="宋体" w:cs="宋体"/>
          <w:b/>
          <w:sz w:val="22"/>
          <w:szCs w:val="22"/>
        </w:rPr>
      </w:pPr>
    </w:p>
    <w:p w14:paraId="6F0BAD8D">
      <w:pPr>
        <w:tabs>
          <w:tab w:val="left" w:pos="651"/>
        </w:tabs>
        <w:snapToGrid w:val="0"/>
        <w:spacing w:line="360" w:lineRule="exact"/>
        <w:rPr>
          <w:rFonts w:ascii="宋体" w:hAnsi="宋体" w:eastAsia="宋体" w:cs="宋体"/>
          <w:sz w:val="22"/>
          <w:szCs w:val="22"/>
        </w:rPr>
      </w:pPr>
      <w:r>
        <w:rPr>
          <w:rFonts w:hint="eastAsia" w:ascii="宋体" w:hAnsi="宋体" w:eastAsia="宋体" w:cs="宋体"/>
          <w:sz w:val="22"/>
          <w:szCs w:val="22"/>
        </w:rPr>
        <w:t>备注：</w:t>
      </w:r>
    </w:p>
    <w:p w14:paraId="194811CA">
      <w:pPr>
        <w:tabs>
          <w:tab w:val="left" w:pos="651"/>
        </w:tabs>
        <w:snapToGrid w:val="0"/>
        <w:spacing w:line="360" w:lineRule="exact"/>
        <w:rPr>
          <w:rFonts w:ascii="宋体" w:hAnsi="宋体" w:eastAsia="宋体" w:cs="宋体"/>
          <w:sz w:val="22"/>
          <w:szCs w:val="22"/>
        </w:rPr>
      </w:pPr>
      <w:r>
        <w:rPr>
          <w:rFonts w:hint="eastAsia" w:ascii="宋体" w:hAnsi="宋体" w:eastAsia="宋体" w:cs="宋体"/>
          <w:sz w:val="22"/>
          <w:szCs w:val="22"/>
        </w:rPr>
        <w:t>1、本项目投标授权代表为法定代表人（负责人）的，无需提供《</w:t>
      </w:r>
      <w:r>
        <w:rPr>
          <w:rFonts w:hint="eastAsia" w:ascii="宋体" w:hAnsi="宋体" w:cs="宋体"/>
          <w:sz w:val="22"/>
          <w:szCs w:val="22"/>
          <w:lang w:eastAsia="zh-CN"/>
        </w:rPr>
        <w:t>法定代表人（负责人）授权书</w:t>
      </w:r>
      <w:r>
        <w:rPr>
          <w:rFonts w:hint="eastAsia" w:ascii="宋体" w:hAnsi="宋体" w:eastAsia="宋体" w:cs="宋体"/>
          <w:sz w:val="22"/>
          <w:szCs w:val="22"/>
        </w:rPr>
        <w:t>》。</w:t>
      </w:r>
    </w:p>
    <w:p w14:paraId="17F57F58">
      <w:pPr>
        <w:tabs>
          <w:tab w:val="left" w:pos="651"/>
        </w:tabs>
        <w:snapToGrid w:val="0"/>
        <w:spacing w:line="360" w:lineRule="exact"/>
        <w:rPr>
          <w:rFonts w:hint="eastAsia" w:ascii="宋体" w:hAnsi="宋体" w:eastAsia="宋体" w:cs="宋体"/>
          <w:sz w:val="22"/>
          <w:szCs w:val="22"/>
          <w:lang w:val="en-US" w:eastAsia="zh-CN"/>
        </w:rPr>
      </w:pPr>
      <w:r>
        <w:rPr>
          <w:rFonts w:hint="eastAsia" w:ascii="宋体" w:hAnsi="宋体" w:eastAsia="宋体" w:cs="宋体"/>
          <w:sz w:val="22"/>
          <w:szCs w:val="22"/>
        </w:rPr>
        <w:t>2、投标授权代表须为投标供应商在职人员（在职期限应包括开标当日），且仅代表本投标供应商进行投标。投标文件中无需提供证明材料，采购</w:t>
      </w:r>
      <w:r>
        <w:rPr>
          <w:rFonts w:hint="eastAsia" w:ascii="宋体" w:hAnsi="宋体" w:eastAsia="宋体" w:cs="宋体"/>
          <w:sz w:val="22"/>
          <w:szCs w:val="22"/>
          <w:lang w:val="en-US" w:eastAsia="zh-CN"/>
        </w:rPr>
        <w:t>人和招标机构保留对投标授权代表社保情况、 劳动合同等进行调查核实的权利。如发现投标授权代表非投标人在职人员，视同提供虚假资料，按投标无效处理，并将依法承担相应法律责任。</w:t>
      </w:r>
    </w:p>
    <w:p w14:paraId="67A5660A">
      <w:pPr>
        <w:tabs>
          <w:tab w:val="left" w:pos="651"/>
        </w:tabs>
        <w:snapToGrid w:val="0"/>
        <w:spacing w:line="360" w:lineRule="exact"/>
        <w:rPr>
          <w:rFonts w:hint="eastAsia" w:ascii="宋体" w:hAnsi="宋体" w:eastAsia="宋体" w:cs="宋体"/>
          <w:sz w:val="22"/>
          <w:szCs w:val="22"/>
          <w:lang w:val="en-US" w:eastAsia="zh-CN"/>
        </w:rPr>
      </w:pPr>
    </w:p>
    <w:p w14:paraId="612F3F75">
      <w:pPr>
        <w:tabs>
          <w:tab w:val="left" w:pos="651"/>
        </w:tabs>
        <w:snapToGrid w:val="0"/>
        <w:spacing w:line="360" w:lineRule="exact"/>
      </w:pPr>
      <w:r>
        <w:rPr>
          <w:rFonts w:hint="eastAsia" w:ascii="宋体" w:hAnsi="宋体" w:eastAsia="宋体" w:cs="宋体"/>
          <w:sz w:val="22"/>
          <w:szCs w:val="22"/>
          <w:lang w:val="en-US" w:eastAsia="zh-CN"/>
        </w:rPr>
        <w:t>温馨提示：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34E7F631">
      <w:pPr>
        <w:pStyle w:val="5"/>
        <w:rPr>
          <w:rFonts w:cs="宋体"/>
          <w:sz w:val="32"/>
          <w:szCs w:val="32"/>
        </w:rPr>
      </w:pPr>
      <w:r>
        <w:rPr>
          <w:rFonts w:hint="eastAsia" w:cs="宋体"/>
          <w:bCs/>
          <w:sz w:val="22"/>
        </w:rPr>
        <w:br w:type="page"/>
      </w:r>
      <w:r>
        <w:rPr>
          <w:rFonts w:hint="eastAsia" w:cs="宋体"/>
          <w:sz w:val="32"/>
          <w:szCs w:val="32"/>
        </w:rPr>
        <w:t>附件2、投标文件</w:t>
      </w:r>
    </w:p>
    <w:p w14:paraId="13B032F0">
      <w:pPr>
        <w:ind w:left="907" w:leftChars="432" w:firstLine="990" w:firstLineChars="450"/>
        <w:rPr>
          <w:rFonts w:ascii="宋体" w:hAnsi="宋体" w:cs="宋体"/>
          <w:bCs/>
          <w:sz w:val="22"/>
        </w:rPr>
      </w:pPr>
    </w:p>
    <w:p w14:paraId="2DF72469">
      <w:pPr>
        <w:ind w:left="907" w:leftChars="432" w:firstLine="990" w:firstLineChars="450"/>
        <w:rPr>
          <w:rFonts w:ascii="宋体" w:hAnsi="宋体" w:cs="宋体"/>
          <w:bCs/>
          <w:sz w:val="22"/>
        </w:rPr>
      </w:pPr>
    </w:p>
    <w:p w14:paraId="7F9FF138">
      <w:pPr>
        <w:ind w:left="907" w:leftChars="432" w:firstLine="990" w:firstLineChars="450"/>
        <w:rPr>
          <w:rFonts w:ascii="宋体" w:hAnsi="宋体" w:cs="宋体"/>
          <w:bCs/>
          <w:sz w:val="22"/>
        </w:rPr>
      </w:pPr>
    </w:p>
    <w:p w14:paraId="3178F2E5">
      <w:pPr>
        <w:ind w:left="907" w:leftChars="432" w:firstLine="990" w:firstLineChars="450"/>
        <w:rPr>
          <w:rFonts w:ascii="宋体" w:hAnsi="宋体" w:cs="宋体"/>
          <w:bCs/>
          <w:sz w:val="22"/>
        </w:rPr>
      </w:pPr>
    </w:p>
    <w:p w14:paraId="09A0A69C">
      <w:pPr>
        <w:ind w:left="907" w:leftChars="432" w:firstLine="990" w:firstLineChars="450"/>
        <w:rPr>
          <w:rFonts w:ascii="宋体" w:hAnsi="宋体" w:cs="宋体"/>
          <w:bCs/>
          <w:sz w:val="22"/>
        </w:rPr>
      </w:pPr>
    </w:p>
    <w:p w14:paraId="2D622712">
      <w:pPr>
        <w:ind w:left="907" w:leftChars="432" w:firstLine="990" w:firstLineChars="450"/>
        <w:rPr>
          <w:rFonts w:ascii="宋体" w:hAnsi="宋体" w:cs="宋体"/>
          <w:bCs/>
          <w:sz w:val="22"/>
        </w:rPr>
      </w:pPr>
    </w:p>
    <w:p w14:paraId="571FA5D7">
      <w:pPr>
        <w:jc w:val="center"/>
        <w:rPr>
          <w:rFonts w:hint="eastAsia" w:ascii="宋体" w:hAnsi="宋体" w:eastAsia="宋体" w:cs="宋体"/>
          <w:snapToGrid w:val="0"/>
          <w:kern w:val="0"/>
          <w:sz w:val="48"/>
          <w:szCs w:val="48"/>
          <w:lang w:eastAsia="zh-CN"/>
        </w:rPr>
      </w:pPr>
      <w:r>
        <w:rPr>
          <w:rFonts w:hint="eastAsia" w:ascii="宋体" w:hAnsi="宋体" w:cs="宋体"/>
          <w:sz w:val="40"/>
          <w:szCs w:val="40"/>
          <w:lang w:eastAsia="zh-CN"/>
        </w:rPr>
        <w:t>深圳市龙岗区南京师范大学附属龙岗学校购买教育服务项目</w:t>
      </w:r>
    </w:p>
    <w:p w14:paraId="08F028C3">
      <w:pPr>
        <w:jc w:val="center"/>
        <w:rPr>
          <w:rFonts w:ascii="宋体" w:hAnsi="宋体" w:cs="宋体"/>
          <w:sz w:val="44"/>
          <w:szCs w:val="44"/>
        </w:rPr>
      </w:pPr>
      <w:r>
        <w:rPr>
          <w:rFonts w:hint="eastAsia" w:ascii="宋体" w:hAnsi="宋体" w:cs="宋体"/>
          <w:sz w:val="44"/>
          <w:szCs w:val="44"/>
        </w:rPr>
        <w:t>（投标文件）</w:t>
      </w:r>
    </w:p>
    <w:p w14:paraId="1550D2D0">
      <w:pPr>
        <w:jc w:val="center"/>
        <w:rPr>
          <w:rFonts w:ascii="宋体" w:hAnsi="宋体" w:cs="宋体"/>
          <w:sz w:val="44"/>
          <w:szCs w:val="44"/>
        </w:rPr>
      </w:pPr>
    </w:p>
    <w:p w14:paraId="5A163683">
      <w:pPr>
        <w:jc w:val="center"/>
        <w:rPr>
          <w:rFonts w:ascii="宋体" w:hAnsi="宋体" w:cs="宋体"/>
          <w:sz w:val="44"/>
          <w:szCs w:val="44"/>
        </w:rPr>
      </w:pPr>
    </w:p>
    <w:p w14:paraId="4326DFCB">
      <w:pPr>
        <w:jc w:val="center"/>
        <w:rPr>
          <w:rFonts w:ascii="宋体" w:hAnsi="宋体" w:cs="宋体"/>
          <w:sz w:val="44"/>
          <w:szCs w:val="44"/>
        </w:rPr>
      </w:pPr>
    </w:p>
    <w:p w14:paraId="407AE8BA">
      <w:pPr>
        <w:jc w:val="center"/>
        <w:rPr>
          <w:rFonts w:ascii="宋体" w:hAnsi="宋体" w:cs="宋体"/>
          <w:sz w:val="44"/>
          <w:szCs w:val="44"/>
        </w:rPr>
      </w:pPr>
    </w:p>
    <w:p w14:paraId="5DA79AD4">
      <w:pPr>
        <w:rPr>
          <w:rFonts w:ascii="宋体" w:hAnsi="宋体" w:cs="宋体"/>
          <w:sz w:val="44"/>
          <w:szCs w:val="44"/>
        </w:rPr>
      </w:pPr>
    </w:p>
    <w:p w14:paraId="51938346">
      <w:pPr>
        <w:spacing w:line="480" w:lineRule="auto"/>
        <w:ind w:firstLine="1400" w:firstLineChars="500"/>
        <w:rPr>
          <w:rFonts w:ascii="宋体" w:hAnsi="宋体" w:cs="宋体"/>
          <w:sz w:val="28"/>
          <w:szCs w:val="28"/>
          <w:u w:val="single"/>
        </w:rPr>
      </w:pPr>
      <w:r>
        <w:rPr>
          <w:rFonts w:hint="eastAsia" w:ascii="宋体" w:hAnsi="宋体" w:cs="宋体"/>
          <w:sz w:val="28"/>
          <w:szCs w:val="28"/>
        </w:rPr>
        <w:t>项目编号：_____________________________</w:t>
      </w:r>
    </w:p>
    <w:p w14:paraId="009A7A64">
      <w:pPr>
        <w:spacing w:line="480" w:lineRule="auto"/>
        <w:ind w:firstLine="1400" w:firstLineChars="500"/>
        <w:rPr>
          <w:rFonts w:ascii="宋体" w:hAnsi="宋体" w:cs="宋体"/>
          <w:sz w:val="28"/>
          <w:szCs w:val="28"/>
          <w:u w:val="single"/>
        </w:rPr>
      </w:pPr>
      <w:r>
        <w:rPr>
          <w:rFonts w:hint="eastAsia" w:ascii="宋体" w:hAnsi="宋体" w:cs="宋体"/>
          <w:sz w:val="28"/>
          <w:szCs w:val="28"/>
        </w:rPr>
        <w:t>供应商（盖章）：___________________________</w:t>
      </w:r>
    </w:p>
    <w:p w14:paraId="3596772A">
      <w:pPr>
        <w:spacing w:line="480" w:lineRule="auto"/>
        <w:ind w:firstLine="1400" w:firstLineChars="500"/>
        <w:rPr>
          <w:rFonts w:ascii="宋体" w:hAnsi="宋体" w:cs="宋体"/>
          <w:sz w:val="28"/>
          <w:szCs w:val="28"/>
        </w:rPr>
      </w:pPr>
      <w:r>
        <w:rPr>
          <w:rFonts w:hint="eastAsia" w:ascii="宋体" w:hAnsi="宋体" w:cs="宋体"/>
          <w:sz w:val="28"/>
          <w:szCs w:val="28"/>
        </w:rPr>
        <w:t>法定代表人或授权委托人签字：__________________</w:t>
      </w:r>
    </w:p>
    <w:p w14:paraId="71F17445">
      <w:pPr>
        <w:ind w:firstLine="1400" w:firstLineChars="500"/>
        <w:jc w:val="left"/>
        <w:rPr>
          <w:rFonts w:ascii="宋体" w:hAnsi="宋体" w:cs="宋体"/>
          <w:sz w:val="28"/>
          <w:szCs w:val="28"/>
        </w:rPr>
      </w:pPr>
      <w:r>
        <w:rPr>
          <w:rFonts w:hint="eastAsia" w:ascii="宋体" w:hAnsi="宋体" w:cs="宋体"/>
          <w:sz w:val="28"/>
          <w:szCs w:val="28"/>
        </w:rPr>
        <w:t>投标日期：____________年_____月______日</w:t>
      </w:r>
    </w:p>
    <w:p w14:paraId="11828FBB">
      <w:pPr>
        <w:pStyle w:val="28"/>
        <w:ind w:firstLine="560"/>
        <w:rPr>
          <w:rFonts w:ascii="宋体" w:hAnsi="宋体" w:cs="宋体"/>
          <w:sz w:val="28"/>
          <w:szCs w:val="28"/>
        </w:rPr>
      </w:pPr>
    </w:p>
    <w:p w14:paraId="231D2C38">
      <w:pPr>
        <w:pStyle w:val="28"/>
        <w:ind w:firstLine="560"/>
        <w:rPr>
          <w:rFonts w:ascii="宋体" w:hAnsi="宋体" w:cs="宋体"/>
          <w:sz w:val="28"/>
          <w:szCs w:val="28"/>
        </w:rPr>
      </w:pPr>
    </w:p>
    <w:p w14:paraId="6D4AA39A">
      <w:pPr>
        <w:pStyle w:val="28"/>
        <w:ind w:firstLine="560"/>
        <w:rPr>
          <w:rFonts w:ascii="宋体" w:hAnsi="宋体" w:cs="宋体"/>
          <w:sz w:val="28"/>
          <w:szCs w:val="28"/>
        </w:rPr>
      </w:pPr>
    </w:p>
    <w:p w14:paraId="6F73F638">
      <w:pPr>
        <w:pStyle w:val="28"/>
        <w:ind w:firstLine="560"/>
        <w:rPr>
          <w:rFonts w:ascii="宋体" w:hAnsi="宋体" w:cs="宋体"/>
          <w:sz w:val="28"/>
          <w:szCs w:val="28"/>
        </w:rPr>
      </w:pPr>
    </w:p>
    <w:p w14:paraId="06766747">
      <w:pPr>
        <w:pStyle w:val="28"/>
        <w:ind w:firstLine="560"/>
        <w:rPr>
          <w:rFonts w:ascii="宋体" w:hAnsi="宋体" w:cs="宋体"/>
          <w:sz w:val="28"/>
          <w:szCs w:val="28"/>
        </w:rPr>
      </w:pPr>
    </w:p>
    <w:p w14:paraId="03BA3DC6">
      <w:pPr>
        <w:jc w:val="center"/>
        <w:rPr>
          <w:rFonts w:ascii="宋体" w:hAnsi="宋体" w:cs="宋体"/>
          <w:b/>
          <w:bCs/>
          <w:sz w:val="32"/>
          <w:szCs w:val="32"/>
        </w:rPr>
      </w:pPr>
    </w:p>
    <w:p w14:paraId="7A8AE59F">
      <w:pPr>
        <w:rPr>
          <w:rFonts w:ascii="宋体" w:hAnsi="宋体" w:cs="宋体"/>
          <w:b/>
          <w:bCs/>
          <w:sz w:val="32"/>
          <w:szCs w:val="32"/>
        </w:rPr>
      </w:pPr>
      <w:r>
        <w:rPr>
          <w:rFonts w:hint="eastAsia" w:ascii="宋体" w:hAnsi="宋体" w:cs="宋体"/>
          <w:b/>
          <w:bCs/>
          <w:sz w:val="32"/>
          <w:szCs w:val="32"/>
        </w:rPr>
        <w:br w:type="page"/>
      </w:r>
    </w:p>
    <w:p w14:paraId="3019D9B1">
      <w:pPr>
        <w:jc w:val="center"/>
        <w:rPr>
          <w:rFonts w:ascii="宋体" w:hAnsi="宋体" w:cs="宋体"/>
          <w:bCs/>
          <w:sz w:val="22"/>
        </w:rPr>
      </w:pPr>
      <w:r>
        <w:rPr>
          <w:rFonts w:hint="eastAsia" w:ascii="宋体" w:hAnsi="宋体" w:cs="宋体"/>
          <w:b/>
          <w:bCs/>
          <w:sz w:val="32"/>
          <w:szCs w:val="32"/>
        </w:rPr>
        <w:t>投标文件目录</w:t>
      </w:r>
      <w:r>
        <w:rPr>
          <w:rFonts w:hint="eastAsia"/>
          <w:b/>
          <w:bCs/>
          <w:sz w:val="32"/>
          <w:szCs w:val="32"/>
        </w:rPr>
        <w:t>（标明页码）</w:t>
      </w:r>
    </w:p>
    <w:p w14:paraId="15E93F2D">
      <w:pPr>
        <w:ind w:firstLine="1100" w:firstLineChars="500"/>
        <w:jc w:val="left"/>
        <w:rPr>
          <w:rFonts w:ascii="宋体" w:hAnsi="宋体" w:cs="宋体"/>
          <w:bCs/>
          <w:sz w:val="22"/>
        </w:rPr>
      </w:pPr>
    </w:p>
    <w:p w14:paraId="430A5A81">
      <w:pPr>
        <w:numPr>
          <w:ilvl w:val="0"/>
          <w:numId w:val="4"/>
        </w:numPr>
        <w:spacing w:line="360" w:lineRule="auto"/>
        <w:rPr>
          <w:rFonts w:ascii="宋体" w:hAnsi="宋体" w:cs="宋体"/>
          <w:sz w:val="22"/>
          <w:szCs w:val="22"/>
        </w:rPr>
      </w:pPr>
      <w:r>
        <w:rPr>
          <w:rFonts w:hint="eastAsia" w:ascii="宋体" w:hAnsi="宋体" w:cs="宋体"/>
          <w:sz w:val="22"/>
          <w:szCs w:val="22"/>
        </w:rPr>
        <w:t>评标指引表</w:t>
      </w:r>
    </w:p>
    <w:p w14:paraId="769877D0">
      <w:pPr>
        <w:numPr>
          <w:ilvl w:val="0"/>
          <w:numId w:val="4"/>
        </w:numPr>
        <w:spacing w:line="360" w:lineRule="auto"/>
        <w:rPr>
          <w:rFonts w:ascii="宋体" w:hAnsi="宋体" w:cs="宋体"/>
          <w:sz w:val="22"/>
          <w:szCs w:val="22"/>
        </w:rPr>
      </w:pPr>
      <w:r>
        <w:rPr>
          <w:rFonts w:hint="eastAsia" w:ascii="宋体" w:hAnsi="宋体" w:cs="宋体"/>
          <w:sz w:val="22"/>
          <w:szCs w:val="22"/>
        </w:rPr>
        <w:t>投标函及投标保证金交纳凭证</w:t>
      </w:r>
    </w:p>
    <w:p w14:paraId="3B9DD98A">
      <w:pPr>
        <w:numPr>
          <w:ilvl w:val="0"/>
          <w:numId w:val="4"/>
        </w:numPr>
        <w:spacing w:line="360" w:lineRule="auto"/>
        <w:rPr>
          <w:rFonts w:ascii="宋体" w:hAnsi="宋体" w:cs="宋体"/>
          <w:sz w:val="22"/>
          <w:szCs w:val="22"/>
        </w:rPr>
      </w:pPr>
      <w:r>
        <w:rPr>
          <w:rFonts w:hint="eastAsia" w:ascii="宋体" w:hAnsi="宋体" w:cs="宋体"/>
          <w:sz w:val="22"/>
          <w:szCs w:val="22"/>
        </w:rPr>
        <w:t>政府采购投标及履约承诺函</w:t>
      </w:r>
    </w:p>
    <w:p w14:paraId="7DE34A90">
      <w:pPr>
        <w:numPr>
          <w:ilvl w:val="0"/>
          <w:numId w:val="4"/>
        </w:numPr>
        <w:spacing w:line="360" w:lineRule="auto"/>
      </w:pPr>
      <w:r>
        <w:rPr>
          <w:rFonts w:hint="eastAsia" w:ascii="宋体" w:hAnsi="宋体" w:cs="宋体"/>
          <w:sz w:val="22"/>
          <w:szCs w:val="22"/>
        </w:rPr>
        <w:t>诚信承诺函</w:t>
      </w:r>
    </w:p>
    <w:p w14:paraId="7DEA14BE">
      <w:pPr>
        <w:numPr>
          <w:ilvl w:val="0"/>
          <w:numId w:val="4"/>
        </w:numPr>
        <w:spacing w:line="360" w:lineRule="auto"/>
      </w:pPr>
      <w:r>
        <w:rPr>
          <w:rFonts w:hint="eastAsia" w:ascii="宋体" w:hAnsi="宋体" w:cs="宋体"/>
          <w:sz w:val="22"/>
        </w:rPr>
        <w:t>政府采购违法行为风险知悉确认书</w:t>
      </w:r>
    </w:p>
    <w:p w14:paraId="4263DCCC">
      <w:pPr>
        <w:numPr>
          <w:ilvl w:val="0"/>
          <w:numId w:val="4"/>
        </w:numPr>
        <w:spacing w:line="360" w:lineRule="auto"/>
        <w:rPr>
          <w:rFonts w:ascii="宋体" w:hAnsi="宋体" w:cs="宋体"/>
          <w:sz w:val="22"/>
          <w:szCs w:val="22"/>
        </w:rPr>
      </w:pPr>
      <w:r>
        <w:rPr>
          <w:rFonts w:hint="eastAsia" w:ascii="宋体" w:hAnsi="宋体" w:cs="宋体"/>
          <w:sz w:val="22"/>
          <w:szCs w:val="22"/>
        </w:rPr>
        <w:t>法定代表人（负责人）证明书</w:t>
      </w:r>
    </w:p>
    <w:p w14:paraId="46B4BD87">
      <w:pPr>
        <w:numPr>
          <w:ilvl w:val="0"/>
          <w:numId w:val="4"/>
        </w:numPr>
        <w:spacing w:line="360" w:lineRule="auto"/>
        <w:rPr>
          <w:rFonts w:ascii="宋体" w:hAnsi="宋体" w:cs="宋体"/>
          <w:sz w:val="22"/>
          <w:szCs w:val="22"/>
        </w:rPr>
      </w:pPr>
      <w:r>
        <w:rPr>
          <w:rFonts w:hint="eastAsia" w:ascii="宋体" w:hAnsi="宋体" w:cs="宋体"/>
          <w:sz w:val="22"/>
          <w:szCs w:val="22"/>
        </w:rPr>
        <w:t>法定代表人（负责人）授权书</w:t>
      </w:r>
    </w:p>
    <w:p w14:paraId="1DCD56EF">
      <w:pPr>
        <w:numPr>
          <w:ilvl w:val="0"/>
          <w:numId w:val="4"/>
        </w:numPr>
        <w:spacing w:line="360" w:lineRule="auto"/>
        <w:rPr>
          <w:rFonts w:ascii="宋体" w:hAnsi="宋体" w:cs="宋体"/>
          <w:sz w:val="22"/>
          <w:szCs w:val="22"/>
        </w:rPr>
      </w:pPr>
      <w:r>
        <w:rPr>
          <w:rFonts w:hint="eastAsia" w:ascii="宋体" w:hAnsi="宋体" w:cs="宋体"/>
          <w:sz w:val="22"/>
          <w:szCs w:val="22"/>
        </w:rPr>
        <w:t>招标代理服务费承诺函</w:t>
      </w:r>
    </w:p>
    <w:p w14:paraId="40019CF6">
      <w:pPr>
        <w:numPr>
          <w:ilvl w:val="0"/>
          <w:numId w:val="4"/>
        </w:numPr>
        <w:spacing w:line="360" w:lineRule="auto"/>
        <w:rPr>
          <w:rFonts w:ascii="宋体" w:hAnsi="宋体" w:cs="宋体"/>
          <w:sz w:val="22"/>
          <w:szCs w:val="22"/>
        </w:rPr>
      </w:pPr>
      <w:r>
        <w:rPr>
          <w:rFonts w:hint="eastAsia" w:ascii="宋体" w:hAnsi="宋体" w:cs="宋体"/>
          <w:sz w:val="22"/>
          <w:szCs w:val="22"/>
        </w:rPr>
        <w:t>报价清单表</w:t>
      </w:r>
    </w:p>
    <w:p w14:paraId="3C1498D4">
      <w:pPr>
        <w:numPr>
          <w:ilvl w:val="0"/>
          <w:numId w:val="4"/>
        </w:numPr>
        <w:spacing w:line="360" w:lineRule="auto"/>
        <w:rPr>
          <w:rFonts w:ascii="宋体" w:hAnsi="宋体" w:cs="宋体"/>
          <w:sz w:val="22"/>
          <w:szCs w:val="22"/>
        </w:rPr>
      </w:pPr>
      <w:r>
        <w:rPr>
          <w:rFonts w:hint="eastAsia" w:ascii="宋体" w:hAnsi="宋体" w:cs="宋体"/>
          <w:sz w:val="22"/>
          <w:szCs w:val="22"/>
        </w:rPr>
        <w:t>供应商情况介绍</w:t>
      </w:r>
    </w:p>
    <w:p w14:paraId="0D989F40">
      <w:pPr>
        <w:numPr>
          <w:ilvl w:val="0"/>
          <w:numId w:val="4"/>
        </w:numPr>
        <w:spacing w:line="360" w:lineRule="auto"/>
        <w:rPr>
          <w:rFonts w:ascii="宋体" w:hAnsi="宋体" w:cs="宋体"/>
          <w:sz w:val="22"/>
          <w:szCs w:val="22"/>
        </w:rPr>
      </w:pPr>
      <w:r>
        <w:rPr>
          <w:rFonts w:hint="eastAsia" w:ascii="宋体" w:hAnsi="宋体" w:cs="宋体"/>
          <w:sz w:val="22"/>
          <w:szCs w:val="22"/>
        </w:rPr>
        <w:t>项目主要管理及技术人员情况</w:t>
      </w:r>
    </w:p>
    <w:p w14:paraId="487F52ED">
      <w:pPr>
        <w:numPr>
          <w:ilvl w:val="0"/>
          <w:numId w:val="4"/>
        </w:numPr>
        <w:spacing w:line="360" w:lineRule="auto"/>
        <w:rPr>
          <w:rFonts w:ascii="宋体" w:hAnsi="宋体" w:cs="宋体"/>
          <w:sz w:val="22"/>
          <w:szCs w:val="22"/>
        </w:rPr>
      </w:pPr>
      <w:r>
        <w:rPr>
          <w:rFonts w:hint="eastAsia" w:ascii="宋体" w:hAnsi="宋体" w:cs="宋体"/>
          <w:sz w:val="22"/>
          <w:szCs w:val="22"/>
        </w:rPr>
        <w:t>项目具体方案</w:t>
      </w:r>
    </w:p>
    <w:p w14:paraId="17123BB0">
      <w:pPr>
        <w:numPr>
          <w:ilvl w:val="0"/>
          <w:numId w:val="4"/>
        </w:numPr>
        <w:spacing w:line="360" w:lineRule="auto"/>
        <w:rPr>
          <w:rFonts w:ascii="宋体" w:hAnsi="宋体" w:cs="宋体"/>
          <w:sz w:val="22"/>
          <w:szCs w:val="22"/>
        </w:rPr>
      </w:pPr>
      <w:r>
        <w:rPr>
          <w:rFonts w:hint="eastAsia" w:ascii="宋体" w:hAnsi="宋体" w:cs="宋体"/>
          <w:sz w:val="22"/>
          <w:szCs w:val="22"/>
        </w:rPr>
        <w:t>商务条款偏离表</w:t>
      </w:r>
    </w:p>
    <w:p w14:paraId="54F99998">
      <w:pPr>
        <w:numPr>
          <w:ilvl w:val="0"/>
          <w:numId w:val="4"/>
        </w:numPr>
        <w:spacing w:line="360" w:lineRule="auto"/>
        <w:rPr>
          <w:rFonts w:ascii="宋体" w:hAnsi="宋体" w:cs="宋体"/>
          <w:sz w:val="22"/>
          <w:szCs w:val="22"/>
        </w:rPr>
      </w:pPr>
      <w:r>
        <w:rPr>
          <w:rFonts w:hint="eastAsia" w:ascii="宋体" w:hAnsi="宋体" w:cs="宋体"/>
          <w:sz w:val="22"/>
          <w:szCs w:val="22"/>
        </w:rPr>
        <w:t>服务条款偏离表</w:t>
      </w:r>
    </w:p>
    <w:p w14:paraId="4D0A6109">
      <w:pPr>
        <w:numPr>
          <w:ilvl w:val="0"/>
          <w:numId w:val="4"/>
        </w:numPr>
        <w:spacing w:line="360" w:lineRule="auto"/>
        <w:rPr>
          <w:rFonts w:ascii="宋体" w:hAnsi="宋体" w:cs="宋体"/>
          <w:sz w:val="22"/>
          <w:szCs w:val="22"/>
        </w:rPr>
      </w:pPr>
      <w:r>
        <w:rPr>
          <w:rFonts w:hint="eastAsia" w:ascii="宋体" w:hAnsi="宋体" w:cs="宋体"/>
          <w:sz w:val="22"/>
          <w:szCs w:val="22"/>
        </w:rPr>
        <w:t>实质性条款响应情况表</w:t>
      </w:r>
    </w:p>
    <w:p w14:paraId="714BEFB7">
      <w:pPr>
        <w:numPr>
          <w:ilvl w:val="0"/>
          <w:numId w:val="4"/>
        </w:numPr>
        <w:spacing w:line="360" w:lineRule="auto"/>
        <w:rPr>
          <w:rFonts w:ascii="宋体" w:hAnsi="宋体" w:cs="宋体"/>
          <w:sz w:val="22"/>
          <w:szCs w:val="22"/>
        </w:rPr>
      </w:pPr>
      <w:r>
        <w:rPr>
          <w:rFonts w:hint="eastAsia" w:ascii="宋体" w:hAnsi="宋体" w:cs="宋体"/>
          <w:sz w:val="22"/>
          <w:szCs w:val="22"/>
        </w:rPr>
        <w:t>中小企业、残疾人福利性单位和监狱企业政策导向</w:t>
      </w:r>
    </w:p>
    <w:p w14:paraId="30F00AE4">
      <w:pPr>
        <w:numPr>
          <w:ilvl w:val="0"/>
          <w:numId w:val="4"/>
        </w:numPr>
        <w:spacing w:line="360" w:lineRule="auto"/>
        <w:rPr>
          <w:rFonts w:ascii="宋体" w:hAnsi="宋体" w:cs="宋体"/>
          <w:sz w:val="22"/>
          <w:szCs w:val="22"/>
        </w:rPr>
      </w:pPr>
      <w:r>
        <w:rPr>
          <w:rFonts w:hint="eastAsia" w:ascii="宋体" w:hAnsi="宋体" w:cs="宋体"/>
          <w:sz w:val="22"/>
          <w:szCs w:val="22"/>
        </w:rPr>
        <w:t>招标文件要求的其他内容及投标人认为需要加以说明的其他内容</w:t>
      </w:r>
    </w:p>
    <w:p w14:paraId="7991ECE4">
      <w:pPr>
        <w:jc w:val="center"/>
        <w:rPr>
          <w:rFonts w:ascii="宋体" w:hAnsi="宋体" w:cs="宋体"/>
          <w:bCs/>
          <w:kern w:val="28"/>
          <w:sz w:val="44"/>
          <w:szCs w:val="44"/>
        </w:rPr>
      </w:pPr>
    </w:p>
    <w:p w14:paraId="4629D9EC">
      <w:pPr>
        <w:numPr>
          <w:ilvl w:val="0"/>
          <w:numId w:val="5"/>
        </w:numPr>
        <w:ind w:left="420" w:firstLine="0"/>
        <w:jc w:val="center"/>
        <w:outlineLvl w:val="2"/>
        <w:rPr>
          <w:rFonts w:ascii="宋体" w:hAnsi="宋体" w:cs="宋体"/>
          <w:b/>
          <w:bCs/>
          <w:sz w:val="32"/>
          <w:szCs w:val="32"/>
        </w:rPr>
      </w:pPr>
      <w:r>
        <w:rPr>
          <w:rFonts w:hint="eastAsia" w:ascii="宋体" w:hAnsi="宋体" w:cs="宋体"/>
          <w:bCs/>
          <w:kern w:val="28"/>
          <w:sz w:val="44"/>
          <w:szCs w:val="44"/>
        </w:rPr>
        <w:br w:type="page"/>
      </w:r>
      <w:r>
        <w:rPr>
          <w:rFonts w:hint="eastAsia" w:ascii="宋体" w:hAnsi="宋体" w:cs="宋体"/>
          <w:b/>
          <w:bCs/>
          <w:sz w:val="32"/>
          <w:szCs w:val="32"/>
        </w:rPr>
        <w:t>评标指引表</w:t>
      </w:r>
    </w:p>
    <w:p w14:paraId="36B01880">
      <w:pPr>
        <w:jc w:val="center"/>
        <w:rPr>
          <w:rFonts w:ascii="宋体" w:hAnsi="宋体" w:cs="宋体"/>
          <w:b/>
          <w:sz w:val="22"/>
          <w:szCs w:val="22"/>
        </w:rPr>
      </w:pPr>
      <w:r>
        <w:rPr>
          <w:rFonts w:hint="eastAsia" w:ascii="宋体" w:hAnsi="宋体" w:cs="宋体"/>
          <w:b/>
          <w:sz w:val="22"/>
          <w:szCs w:val="22"/>
        </w:rPr>
        <w:t>（置于投标文件的首页）</w:t>
      </w:r>
    </w:p>
    <w:p w14:paraId="0D82BBF7">
      <w:pPr>
        <w:jc w:val="center"/>
        <w:rPr>
          <w:rFonts w:ascii="宋体" w:hAnsi="宋体" w:cs="宋体"/>
          <w:b/>
          <w:sz w:val="22"/>
          <w:szCs w:val="22"/>
        </w:rPr>
      </w:pPr>
    </w:p>
    <w:p w14:paraId="34A5FFEA">
      <w:pPr>
        <w:ind w:firstLine="440" w:firstLineChars="200"/>
        <w:rPr>
          <w:rFonts w:ascii="宋体" w:hAnsi="宋体" w:cs="宋体"/>
          <w:sz w:val="22"/>
          <w:szCs w:val="22"/>
        </w:rPr>
      </w:pPr>
      <w:r>
        <w:rPr>
          <w:rFonts w:hint="eastAsia" w:ascii="宋体" w:hAnsi="宋体" w:cs="宋体"/>
          <w:sz w:val="22"/>
          <w:szCs w:val="22"/>
        </w:rPr>
        <w:t>为方便参与该项目的评委专家的评标，快速找到评标事项与该项目投标文件所对应的位置，请投标人参照下表格式，编制本项目评标指引表。</w:t>
      </w:r>
    </w:p>
    <w:p w14:paraId="21DFB3B9">
      <w:pPr>
        <w:jc w:val="center"/>
        <w:rPr>
          <w:rFonts w:ascii="宋体" w:hAnsi="宋体" w:cs="宋体"/>
          <w:b/>
          <w:sz w:val="22"/>
          <w:szCs w:val="22"/>
        </w:rPr>
      </w:pPr>
      <w:r>
        <w:rPr>
          <w:rFonts w:hint="eastAsia" w:ascii="宋体" w:hAnsi="宋体" w:cs="宋体"/>
          <w:b/>
          <w:sz w:val="22"/>
          <w:szCs w:val="22"/>
        </w:rPr>
        <w:t>评标指引表</w:t>
      </w:r>
    </w:p>
    <w:tbl>
      <w:tblPr>
        <w:tblStyle w:val="29"/>
        <w:tblW w:w="83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1"/>
        <w:gridCol w:w="2947"/>
        <w:gridCol w:w="1014"/>
        <w:gridCol w:w="1371"/>
        <w:gridCol w:w="1106"/>
        <w:gridCol w:w="1201"/>
      </w:tblGrid>
      <w:tr w14:paraId="624C5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8340" w:type="dxa"/>
            <w:gridSpan w:val="6"/>
          </w:tcPr>
          <w:p w14:paraId="77F2BF61">
            <w:pPr>
              <w:jc w:val="center"/>
              <w:rPr>
                <w:rFonts w:ascii="宋体" w:hAnsi="宋体" w:cs="宋体"/>
                <w:b/>
                <w:sz w:val="22"/>
                <w:szCs w:val="22"/>
              </w:rPr>
            </w:pPr>
            <w:r>
              <w:rPr>
                <w:rFonts w:hint="eastAsia" w:ascii="宋体" w:hAnsi="宋体" w:cs="宋体"/>
                <w:b/>
                <w:sz w:val="22"/>
                <w:szCs w:val="22"/>
              </w:rPr>
              <w:t>一、资格性审查指引</w:t>
            </w:r>
          </w:p>
        </w:tc>
      </w:tr>
      <w:tr w14:paraId="1D56D3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701" w:type="dxa"/>
          </w:tcPr>
          <w:p w14:paraId="0599DF56">
            <w:pPr>
              <w:jc w:val="center"/>
              <w:rPr>
                <w:rFonts w:ascii="宋体" w:hAnsi="宋体" w:cs="宋体"/>
                <w:b/>
                <w:sz w:val="22"/>
                <w:szCs w:val="22"/>
              </w:rPr>
            </w:pPr>
            <w:r>
              <w:rPr>
                <w:rFonts w:hint="eastAsia" w:ascii="宋体" w:hAnsi="宋体" w:cs="宋体"/>
                <w:b/>
                <w:sz w:val="22"/>
                <w:szCs w:val="22"/>
              </w:rPr>
              <w:t>序号</w:t>
            </w:r>
          </w:p>
        </w:tc>
        <w:tc>
          <w:tcPr>
            <w:tcW w:w="2947" w:type="dxa"/>
            <w:vAlign w:val="center"/>
          </w:tcPr>
          <w:p w14:paraId="356A6672">
            <w:pPr>
              <w:jc w:val="center"/>
              <w:rPr>
                <w:rFonts w:ascii="宋体" w:hAnsi="宋体" w:cs="宋体"/>
                <w:b/>
                <w:sz w:val="22"/>
                <w:szCs w:val="22"/>
              </w:rPr>
            </w:pPr>
            <w:r>
              <w:rPr>
                <w:rFonts w:hint="eastAsia" w:ascii="宋体" w:hAnsi="宋体" w:cs="宋体"/>
                <w:b/>
                <w:sz w:val="22"/>
                <w:szCs w:val="22"/>
              </w:rPr>
              <w:t>资格性检查项目</w:t>
            </w:r>
          </w:p>
        </w:tc>
        <w:tc>
          <w:tcPr>
            <w:tcW w:w="3491" w:type="dxa"/>
            <w:gridSpan w:val="3"/>
            <w:vAlign w:val="center"/>
          </w:tcPr>
          <w:p w14:paraId="64E4800A">
            <w:pPr>
              <w:jc w:val="center"/>
              <w:rPr>
                <w:rFonts w:ascii="宋体" w:hAnsi="宋体" w:cs="宋体"/>
                <w:b/>
                <w:sz w:val="22"/>
                <w:szCs w:val="22"/>
              </w:rPr>
            </w:pPr>
            <w:r>
              <w:rPr>
                <w:rFonts w:hint="eastAsia" w:ascii="宋体" w:hAnsi="宋体" w:cs="宋体"/>
                <w:b/>
                <w:sz w:val="22"/>
                <w:szCs w:val="22"/>
              </w:rPr>
              <w:t>证明文件</w:t>
            </w:r>
          </w:p>
        </w:tc>
        <w:tc>
          <w:tcPr>
            <w:tcW w:w="1201" w:type="dxa"/>
            <w:vAlign w:val="center"/>
          </w:tcPr>
          <w:p w14:paraId="08459C0D">
            <w:pPr>
              <w:jc w:val="center"/>
              <w:rPr>
                <w:rFonts w:ascii="宋体" w:hAnsi="宋体" w:cs="宋体"/>
                <w:b/>
                <w:sz w:val="22"/>
                <w:szCs w:val="22"/>
              </w:rPr>
            </w:pPr>
            <w:r>
              <w:rPr>
                <w:rFonts w:hint="eastAsia" w:ascii="宋体" w:hAnsi="宋体" w:cs="宋体"/>
                <w:b/>
                <w:sz w:val="22"/>
                <w:szCs w:val="22"/>
              </w:rPr>
              <w:t>起止页码</w:t>
            </w:r>
          </w:p>
        </w:tc>
      </w:tr>
      <w:tr w14:paraId="63081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701" w:type="dxa"/>
          </w:tcPr>
          <w:p w14:paraId="63C27888">
            <w:pPr>
              <w:jc w:val="center"/>
              <w:rPr>
                <w:rFonts w:ascii="宋体" w:hAnsi="宋体" w:cs="宋体"/>
                <w:b/>
                <w:sz w:val="22"/>
                <w:szCs w:val="22"/>
              </w:rPr>
            </w:pPr>
            <w:r>
              <w:rPr>
                <w:rFonts w:hint="eastAsia" w:ascii="宋体" w:hAnsi="宋体" w:cs="宋体"/>
                <w:b/>
                <w:sz w:val="22"/>
                <w:szCs w:val="22"/>
              </w:rPr>
              <w:t>1</w:t>
            </w:r>
          </w:p>
        </w:tc>
        <w:tc>
          <w:tcPr>
            <w:tcW w:w="2947" w:type="dxa"/>
            <w:vAlign w:val="center"/>
          </w:tcPr>
          <w:p w14:paraId="22ED0550">
            <w:pPr>
              <w:jc w:val="center"/>
              <w:rPr>
                <w:rFonts w:ascii="宋体" w:hAnsi="宋体" w:cs="宋体"/>
                <w:b/>
                <w:sz w:val="22"/>
                <w:szCs w:val="22"/>
              </w:rPr>
            </w:pPr>
          </w:p>
        </w:tc>
        <w:tc>
          <w:tcPr>
            <w:tcW w:w="3491" w:type="dxa"/>
            <w:gridSpan w:val="3"/>
            <w:vAlign w:val="center"/>
          </w:tcPr>
          <w:p w14:paraId="726A3235">
            <w:pPr>
              <w:jc w:val="center"/>
              <w:rPr>
                <w:rFonts w:ascii="宋体" w:hAnsi="宋体" w:cs="宋体"/>
                <w:b/>
                <w:sz w:val="22"/>
                <w:szCs w:val="22"/>
              </w:rPr>
            </w:pPr>
          </w:p>
        </w:tc>
        <w:tc>
          <w:tcPr>
            <w:tcW w:w="1201" w:type="dxa"/>
            <w:vAlign w:val="center"/>
          </w:tcPr>
          <w:p w14:paraId="3A1A39B4">
            <w:pPr>
              <w:jc w:val="center"/>
              <w:rPr>
                <w:rFonts w:ascii="宋体" w:hAnsi="宋体" w:cs="宋体"/>
                <w:b/>
                <w:sz w:val="22"/>
                <w:szCs w:val="22"/>
              </w:rPr>
            </w:pPr>
          </w:p>
        </w:tc>
      </w:tr>
      <w:tr w14:paraId="06776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701" w:type="dxa"/>
          </w:tcPr>
          <w:p w14:paraId="5A135EC5">
            <w:pPr>
              <w:jc w:val="center"/>
              <w:rPr>
                <w:rFonts w:ascii="宋体" w:hAnsi="宋体" w:cs="宋体"/>
                <w:b/>
                <w:sz w:val="22"/>
                <w:szCs w:val="22"/>
              </w:rPr>
            </w:pPr>
            <w:r>
              <w:rPr>
                <w:rFonts w:hint="eastAsia" w:ascii="宋体" w:hAnsi="宋体" w:cs="宋体"/>
                <w:b/>
                <w:sz w:val="22"/>
                <w:szCs w:val="22"/>
              </w:rPr>
              <w:t>2</w:t>
            </w:r>
          </w:p>
        </w:tc>
        <w:tc>
          <w:tcPr>
            <w:tcW w:w="2947" w:type="dxa"/>
            <w:vAlign w:val="center"/>
          </w:tcPr>
          <w:p w14:paraId="0E53CE46">
            <w:pPr>
              <w:jc w:val="center"/>
              <w:rPr>
                <w:rFonts w:ascii="宋体" w:hAnsi="宋体" w:cs="宋体"/>
                <w:b/>
                <w:sz w:val="22"/>
                <w:szCs w:val="22"/>
              </w:rPr>
            </w:pPr>
          </w:p>
        </w:tc>
        <w:tc>
          <w:tcPr>
            <w:tcW w:w="3491" w:type="dxa"/>
            <w:gridSpan w:val="3"/>
            <w:vAlign w:val="center"/>
          </w:tcPr>
          <w:p w14:paraId="03D53AA4">
            <w:pPr>
              <w:jc w:val="center"/>
              <w:rPr>
                <w:rFonts w:ascii="宋体" w:hAnsi="宋体" w:cs="宋体"/>
                <w:b/>
                <w:sz w:val="22"/>
                <w:szCs w:val="22"/>
              </w:rPr>
            </w:pPr>
          </w:p>
        </w:tc>
        <w:tc>
          <w:tcPr>
            <w:tcW w:w="1201" w:type="dxa"/>
            <w:vAlign w:val="center"/>
          </w:tcPr>
          <w:p w14:paraId="3696660D">
            <w:pPr>
              <w:jc w:val="center"/>
              <w:rPr>
                <w:rFonts w:ascii="宋体" w:hAnsi="宋体" w:cs="宋体"/>
                <w:b/>
                <w:sz w:val="22"/>
                <w:szCs w:val="22"/>
              </w:rPr>
            </w:pPr>
          </w:p>
        </w:tc>
      </w:tr>
      <w:tr w14:paraId="03F4D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701" w:type="dxa"/>
          </w:tcPr>
          <w:p w14:paraId="40F7E331">
            <w:pPr>
              <w:jc w:val="center"/>
              <w:rPr>
                <w:rFonts w:ascii="宋体" w:hAnsi="宋体" w:cs="宋体"/>
                <w:b/>
                <w:sz w:val="22"/>
                <w:szCs w:val="22"/>
              </w:rPr>
            </w:pPr>
            <w:r>
              <w:rPr>
                <w:rFonts w:hint="eastAsia" w:ascii="宋体" w:hAnsi="宋体" w:cs="宋体"/>
                <w:b/>
                <w:sz w:val="22"/>
                <w:szCs w:val="22"/>
              </w:rPr>
              <w:t>……</w:t>
            </w:r>
          </w:p>
        </w:tc>
        <w:tc>
          <w:tcPr>
            <w:tcW w:w="2947" w:type="dxa"/>
            <w:vAlign w:val="center"/>
          </w:tcPr>
          <w:p w14:paraId="2EC9235D">
            <w:pPr>
              <w:jc w:val="center"/>
              <w:rPr>
                <w:rFonts w:ascii="宋体" w:hAnsi="宋体" w:cs="宋体"/>
                <w:b/>
                <w:sz w:val="22"/>
                <w:szCs w:val="22"/>
              </w:rPr>
            </w:pPr>
            <w:r>
              <w:rPr>
                <w:rFonts w:hint="eastAsia" w:ascii="宋体" w:hAnsi="宋体" w:cs="宋体"/>
                <w:b/>
                <w:sz w:val="22"/>
                <w:szCs w:val="22"/>
              </w:rPr>
              <w:t>…………</w:t>
            </w:r>
          </w:p>
        </w:tc>
        <w:tc>
          <w:tcPr>
            <w:tcW w:w="3491" w:type="dxa"/>
            <w:gridSpan w:val="3"/>
            <w:vAlign w:val="center"/>
          </w:tcPr>
          <w:p w14:paraId="3531555F">
            <w:pPr>
              <w:jc w:val="center"/>
              <w:rPr>
                <w:rFonts w:ascii="宋体" w:hAnsi="宋体" w:cs="宋体"/>
                <w:b/>
                <w:sz w:val="22"/>
                <w:szCs w:val="22"/>
              </w:rPr>
            </w:pPr>
          </w:p>
        </w:tc>
        <w:tc>
          <w:tcPr>
            <w:tcW w:w="1201" w:type="dxa"/>
            <w:vAlign w:val="center"/>
          </w:tcPr>
          <w:p w14:paraId="3FCA8E25">
            <w:pPr>
              <w:jc w:val="center"/>
              <w:rPr>
                <w:rFonts w:ascii="宋体" w:hAnsi="宋体" w:cs="宋体"/>
                <w:b/>
                <w:sz w:val="22"/>
                <w:szCs w:val="22"/>
              </w:rPr>
            </w:pPr>
          </w:p>
        </w:tc>
      </w:tr>
      <w:tr w14:paraId="0A203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8340" w:type="dxa"/>
            <w:gridSpan w:val="6"/>
          </w:tcPr>
          <w:p w14:paraId="4CEDEA8C">
            <w:pPr>
              <w:jc w:val="center"/>
              <w:rPr>
                <w:rFonts w:ascii="宋体" w:hAnsi="宋体" w:cs="宋体"/>
                <w:b/>
                <w:sz w:val="22"/>
                <w:szCs w:val="22"/>
              </w:rPr>
            </w:pPr>
            <w:r>
              <w:rPr>
                <w:rFonts w:hint="eastAsia" w:ascii="宋体" w:hAnsi="宋体" w:cs="宋体"/>
                <w:b/>
                <w:sz w:val="22"/>
                <w:szCs w:val="22"/>
              </w:rPr>
              <w:t>二、符合性审查指引</w:t>
            </w:r>
          </w:p>
        </w:tc>
      </w:tr>
      <w:tr w14:paraId="66F8C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701" w:type="dxa"/>
          </w:tcPr>
          <w:p w14:paraId="6A5A9245">
            <w:pPr>
              <w:jc w:val="center"/>
              <w:rPr>
                <w:rFonts w:ascii="宋体" w:hAnsi="宋体" w:cs="宋体"/>
                <w:b/>
                <w:sz w:val="22"/>
                <w:szCs w:val="22"/>
              </w:rPr>
            </w:pPr>
            <w:r>
              <w:rPr>
                <w:rFonts w:hint="eastAsia" w:ascii="宋体" w:hAnsi="宋体" w:cs="宋体"/>
                <w:b/>
                <w:sz w:val="22"/>
                <w:szCs w:val="22"/>
              </w:rPr>
              <w:t>序号</w:t>
            </w:r>
          </w:p>
        </w:tc>
        <w:tc>
          <w:tcPr>
            <w:tcW w:w="2947" w:type="dxa"/>
            <w:vAlign w:val="center"/>
          </w:tcPr>
          <w:p w14:paraId="02D01356">
            <w:pPr>
              <w:jc w:val="center"/>
              <w:rPr>
                <w:rFonts w:ascii="宋体" w:hAnsi="宋体" w:cs="宋体"/>
                <w:b/>
                <w:sz w:val="22"/>
                <w:szCs w:val="22"/>
              </w:rPr>
            </w:pPr>
            <w:r>
              <w:rPr>
                <w:rFonts w:hint="eastAsia" w:ascii="宋体" w:hAnsi="宋体" w:cs="宋体"/>
                <w:b/>
                <w:sz w:val="22"/>
                <w:szCs w:val="22"/>
              </w:rPr>
              <w:t>符合性检查项目</w:t>
            </w:r>
          </w:p>
        </w:tc>
        <w:tc>
          <w:tcPr>
            <w:tcW w:w="3491" w:type="dxa"/>
            <w:gridSpan w:val="3"/>
            <w:vAlign w:val="center"/>
          </w:tcPr>
          <w:p w14:paraId="0D8BF181">
            <w:pPr>
              <w:jc w:val="center"/>
              <w:rPr>
                <w:rFonts w:ascii="宋体" w:hAnsi="宋体" w:cs="宋体"/>
                <w:b/>
                <w:sz w:val="22"/>
                <w:szCs w:val="22"/>
              </w:rPr>
            </w:pPr>
            <w:r>
              <w:rPr>
                <w:rFonts w:hint="eastAsia" w:ascii="宋体" w:hAnsi="宋体" w:cs="宋体"/>
                <w:b/>
                <w:sz w:val="22"/>
                <w:szCs w:val="22"/>
              </w:rPr>
              <w:t>说明</w:t>
            </w:r>
          </w:p>
        </w:tc>
        <w:tc>
          <w:tcPr>
            <w:tcW w:w="1201" w:type="dxa"/>
            <w:vAlign w:val="center"/>
          </w:tcPr>
          <w:p w14:paraId="7CB851B0">
            <w:pPr>
              <w:jc w:val="center"/>
              <w:rPr>
                <w:rFonts w:ascii="宋体" w:hAnsi="宋体" w:cs="宋体"/>
                <w:b/>
                <w:sz w:val="22"/>
                <w:szCs w:val="22"/>
              </w:rPr>
            </w:pPr>
            <w:r>
              <w:rPr>
                <w:rFonts w:hint="eastAsia" w:ascii="宋体" w:hAnsi="宋体" w:cs="宋体"/>
                <w:b/>
                <w:sz w:val="22"/>
                <w:szCs w:val="22"/>
              </w:rPr>
              <w:t>起止页码</w:t>
            </w:r>
          </w:p>
        </w:tc>
      </w:tr>
      <w:tr w14:paraId="4182C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701" w:type="dxa"/>
          </w:tcPr>
          <w:p w14:paraId="5EE7EE13">
            <w:pPr>
              <w:jc w:val="center"/>
              <w:rPr>
                <w:rFonts w:ascii="宋体" w:hAnsi="宋体" w:cs="宋体"/>
                <w:b/>
                <w:sz w:val="22"/>
                <w:szCs w:val="22"/>
              </w:rPr>
            </w:pPr>
            <w:r>
              <w:rPr>
                <w:rFonts w:hint="eastAsia" w:ascii="宋体" w:hAnsi="宋体" w:cs="宋体"/>
                <w:b/>
                <w:sz w:val="22"/>
                <w:szCs w:val="22"/>
              </w:rPr>
              <w:t>1</w:t>
            </w:r>
          </w:p>
        </w:tc>
        <w:tc>
          <w:tcPr>
            <w:tcW w:w="2947" w:type="dxa"/>
          </w:tcPr>
          <w:p w14:paraId="08B9DB94">
            <w:pPr>
              <w:jc w:val="center"/>
              <w:rPr>
                <w:rFonts w:ascii="宋体" w:hAnsi="宋体" w:cs="宋体"/>
                <w:b/>
                <w:sz w:val="22"/>
                <w:szCs w:val="22"/>
              </w:rPr>
            </w:pPr>
          </w:p>
        </w:tc>
        <w:tc>
          <w:tcPr>
            <w:tcW w:w="3491" w:type="dxa"/>
            <w:gridSpan w:val="3"/>
            <w:vAlign w:val="center"/>
          </w:tcPr>
          <w:p w14:paraId="7E4CB296">
            <w:pPr>
              <w:jc w:val="center"/>
              <w:rPr>
                <w:rFonts w:ascii="宋体" w:hAnsi="宋体" w:cs="宋体"/>
                <w:b/>
                <w:sz w:val="22"/>
                <w:szCs w:val="22"/>
              </w:rPr>
            </w:pPr>
          </w:p>
        </w:tc>
        <w:tc>
          <w:tcPr>
            <w:tcW w:w="1201" w:type="dxa"/>
            <w:vAlign w:val="center"/>
          </w:tcPr>
          <w:p w14:paraId="0640B322">
            <w:pPr>
              <w:jc w:val="center"/>
              <w:rPr>
                <w:rFonts w:ascii="宋体" w:hAnsi="宋体" w:cs="宋体"/>
                <w:b/>
                <w:sz w:val="22"/>
                <w:szCs w:val="22"/>
              </w:rPr>
            </w:pPr>
          </w:p>
        </w:tc>
      </w:tr>
      <w:tr w14:paraId="1524B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701" w:type="dxa"/>
          </w:tcPr>
          <w:p w14:paraId="2238A14B">
            <w:pPr>
              <w:jc w:val="center"/>
              <w:rPr>
                <w:rFonts w:ascii="宋体" w:hAnsi="宋体" w:cs="宋体"/>
                <w:b/>
                <w:sz w:val="22"/>
                <w:szCs w:val="22"/>
              </w:rPr>
            </w:pPr>
            <w:r>
              <w:rPr>
                <w:rFonts w:hint="eastAsia" w:ascii="宋体" w:hAnsi="宋体" w:cs="宋体"/>
                <w:b/>
                <w:sz w:val="22"/>
                <w:szCs w:val="22"/>
              </w:rPr>
              <w:t>2</w:t>
            </w:r>
          </w:p>
        </w:tc>
        <w:tc>
          <w:tcPr>
            <w:tcW w:w="2947" w:type="dxa"/>
          </w:tcPr>
          <w:p w14:paraId="49E16D86">
            <w:pPr>
              <w:jc w:val="center"/>
              <w:rPr>
                <w:rFonts w:ascii="宋体" w:hAnsi="宋体" w:cs="宋体"/>
                <w:b/>
                <w:sz w:val="22"/>
                <w:szCs w:val="22"/>
              </w:rPr>
            </w:pPr>
          </w:p>
        </w:tc>
        <w:tc>
          <w:tcPr>
            <w:tcW w:w="3491" w:type="dxa"/>
            <w:gridSpan w:val="3"/>
            <w:vAlign w:val="center"/>
          </w:tcPr>
          <w:p w14:paraId="7F6DCDCE">
            <w:pPr>
              <w:jc w:val="center"/>
              <w:rPr>
                <w:rFonts w:ascii="宋体" w:hAnsi="宋体" w:cs="宋体"/>
                <w:b/>
                <w:sz w:val="22"/>
                <w:szCs w:val="22"/>
              </w:rPr>
            </w:pPr>
          </w:p>
        </w:tc>
        <w:tc>
          <w:tcPr>
            <w:tcW w:w="1201" w:type="dxa"/>
            <w:vAlign w:val="center"/>
          </w:tcPr>
          <w:p w14:paraId="524A74DB">
            <w:pPr>
              <w:jc w:val="center"/>
              <w:rPr>
                <w:rFonts w:ascii="宋体" w:hAnsi="宋体" w:cs="宋体"/>
                <w:b/>
                <w:sz w:val="22"/>
                <w:szCs w:val="22"/>
              </w:rPr>
            </w:pPr>
          </w:p>
        </w:tc>
      </w:tr>
      <w:tr w14:paraId="0CD8A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701" w:type="dxa"/>
          </w:tcPr>
          <w:p w14:paraId="321507BB">
            <w:pPr>
              <w:jc w:val="center"/>
              <w:rPr>
                <w:rFonts w:ascii="宋体" w:hAnsi="宋体" w:cs="宋体"/>
                <w:b/>
                <w:sz w:val="22"/>
                <w:szCs w:val="22"/>
              </w:rPr>
            </w:pPr>
            <w:r>
              <w:rPr>
                <w:rFonts w:hint="eastAsia" w:ascii="宋体" w:hAnsi="宋体" w:cs="宋体"/>
                <w:b/>
                <w:sz w:val="22"/>
                <w:szCs w:val="22"/>
              </w:rPr>
              <w:t>3</w:t>
            </w:r>
          </w:p>
        </w:tc>
        <w:tc>
          <w:tcPr>
            <w:tcW w:w="2947" w:type="dxa"/>
          </w:tcPr>
          <w:p w14:paraId="2EF472BE">
            <w:pPr>
              <w:jc w:val="center"/>
              <w:rPr>
                <w:rFonts w:ascii="宋体" w:hAnsi="宋体" w:cs="宋体"/>
                <w:b/>
                <w:sz w:val="22"/>
                <w:szCs w:val="22"/>
              </w:rPr>
            </w:pPr>
          </w:p>
        </w:tc>
        <w:tc>
          <w:tcPr>
            <w:tcW w:w="3491" w:type="dxa"/>
            <w:gridSpan w:val="3"/>
            <w:vAlign w:val="center"/>
          </w:tcPr>
          <w:p w14:paraId="5C14EDF3">
            <w:pPr>
              <w:jc w:val="center"/>
              <w:rPr>
                <w:rFonts w:ascii="宋体" w:hAnsi="宋体" w:cs="宋体"/>
                <w:b/>
                <w:sz w:val="22"/>
                <w:szCs w:val="22"/>
              </w:rPr>
            </w:pPr>
          </w:p>
        </w:tc>
        <w:tc>
          <w:tcPr>
            <w:tcW w:w="1201" w:type="dxa"/>
            <w:vAlign w:val="center"/>
          </w:tcPr>
          <w:p w14:paraId="3C1A5F20">
            <w:pPr>
              <w:jc w:val="center"/>
              <w:rPr>
                <w:rFonts w:ascii="宋体" w:hAnsi="宋体" w:cs="宋体"/>
                <w:b/>
                <w:sz w:val="22"/>
                <w:szCs w:val="22"/>
              </w:rPr>
            </w:pPr>
          </w:p>
        </w:tc>
      </w:tr>
      <w:tr w14:paraId="7A17F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701" w:type="dxa"/>
          </w:tcPr>
          <w:p w14:paraId="7DD0B328">
            <w:pPr>
              <w:jc w:val="center"/>
              <w:rPr>
                <w:rFonts w:ascii="宋体" w:hAnsi="宋体" w:cs="宋体"/>
                <w:b/>
                <w:sz w:val="22"/>
                <w:szCs w:val="22"/>
              </w:rPr>
            </w:pPr>
            <w:r>
              <w:rPr>
                <w:rFonts w:hint="eastAsia" w:ascii="宋体" w:hAnsi="宋体" w:cs="宋体"/>
                <w:b/>
                <w:sz w:val="22"/>
                <w:szCs w:val="22"/>
              </w:rPr>
              <w:t>4</w:t>
            </w:r>
          </w:p>
        </w:tc>
        <w:tc>
          <w:tcPr>
            <w:tcW w:w="2947" w:type="dxa"/>
          </w:tcPr>
          <w:p w14:paraId="19BF0B78">
            <w:pPr>
              <w:jc w:val="center"/>
              <w:rPr>
                <w:rFonts w:ascii="宋体" w:hAnsi="宋体" w:cs="宋体"/>
                <w:b/>
                <w:sz w:val="22"/>
                <w:szCs w:val="22"/>
              </w:rPr>
            </w:pPr>
          </w:p>
        </w:tc>
        <w:tc>
          <w:tcPr>
            <w:tcW w:w="3491" w:type="dxa"/>
            <w:gridSpan w:val="3"/>
            <w:vAlign w:val="center"/>
          </w:tcPr>
          <w:p w14:paraId="23EACEF4">
            <w:pPr>
              <w:jc w:val="center"/>
              <w:rPr>
                <w:rFonts w:ascii="宋体" w:hAnsi="宋体" w:cs="宋体"/>
                <w:b/>
                <w:sz w:val="22"/>
                <w:szCs w:val="22"/>
              </w:rPr>
            </w:pPr>
          </w:p>
        </w:tc>
        <w:tc>
          <w:tcPr>
            <w:tcW w:w="1201" w:type="dxa"/>
            <w:vAlign w:val="center"/>
          </w:tcPr>
          <w:p w14:paraId="692FDDD6">
            <w:pPr>
              <w:jc w:val="center"/>
              <w:rPr>
                <w:rFonts w:ascii="宋体" w:hAnsi="宋体" w:cs="宋体"/>
                <w:b/>
                <w:sz w:val="22"/>
                <w:szCs w:val="22"/>
              </w:rPr>
            </w:pPr>
          </w:p>
        </w:tc>
      </w:tr>
      <w:tr w14:paraId="5A2A6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701" w:type="dxa"/>
          </w:tcPr>
          <w:p w14:paraId="57A8FFA9">
            <w:pPr>
              <w:jc w:val="center"/>
              <w:rPr>
                <w:rFonts w:ascii="宋体" w:hAnsi="宋体" w:cs="宋体"/>
                <w:b/>
                <w:sz w:val="22"/>
                <w:szCs w:val="22"/>
              </w:rPr>
            </w:pPr>
            <w:r>
              <w:rPr>
                <w:rFonts w:hint="eastAsia" w:ascii="宋体" w:hAnsi="宋体" w:cs="宋体"/>
                <w:b/>
                <w:sz w:val="22"/>
                <w:szCs w:val="22"/>
              </w:rPr>
              <w:t>5</w:t>
            </w:r>
          </w:p>
        </w:tc>
        <w:tc>
          <w:tcPr>
            <w:tcW w:w="2947" w:type="dxa"/>
          </w:tcPr>
          <w:p w14:paraId="30011DE5">
            <w:pPr>
              <w:jc w:val="center"/>
              <w:rPr>
                <w:rFonts w:ascii="宋体" w:hAnsi="宋体" w:cs="宋体"/>
                <w:sz w:val="22"/>
                <w:szCs w:val="22"/>
              </w:rPr>
            </w:pPr>
          </w:p>
        </w:tc>
        <w:tc>
          <w:tcPr>
            <w:tcW w:w="3491" w:type="dxa"/>
            <w:gridSpan w:val="3"/>
            <w:vAlign w:val="center"/>
          </w:tcPr>
          <w:p w14:paraId="7A4DD9CA">
            <w:pPr>
              <w:jc w:val="center"/>
              <w:rPr>
                <w:rFonts w:ascii="宋体" w:hAnsi="宋体" w:cs="宋体"/>
                <w:b/>
                <w:sz w:val="22"/>
                <w:szCs w:val="22"/>
              </w:rPr>
            </w:pPr>
          </w:p>
        </w:tc>
        <w:tc>
          <w:tcPr>
            <w:tcW w:w="1201" w:type="dxa"/>
            <w:vAlign w:val="center"/>
          </w:tcPr>
          <w:p w14:paraId="6F7E8458">
            <w:pPr>
              <w:jc w:val="center"/>
              <w:rPr>
                <w:rFonts w:ascii="宋体" w:hAnsi="宋体" w:cs="宋体"/>
                <w:b/>
                <w:sz w:val="22"/>
                <w:szCs w:val="22"/>
              </w:rPr>
            </w:pPr>
          </w:p>
        </w:tc>
      </w:tr>
      <w:tr w14:paraId="14A58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701" w:type="dxa"/>
          </w:tcPr>
          <w:p w14:paraId="76678B74">
            <w:pPr>
              <w:jc w:val="center"/>
              <w:rPr>
                <w:rFonts w:ascii="宋体" w:hAnsi="宋体" w:cs="宋体"/>
                <w:b/>
                <w:sz w:val="22"/>
                <w:szCs w:val="22"/>
              </w:rPr>
            </w:pPr>
            <w:r>
              <w:rPr>
                <w:rFonts w:hint="eastAsia" w:ascii="宋体" w:hAnsi="宋体" w:cs="宋体"/>
                <w:b/>
                <w:sz w:val="22"/>
                <w:szCs w:val="22"/>
              </w:rPr>
              <w:t>6</w:t>
            </w:r>
          </w:p>
        </w:tc>
        <w:tc>
          <w:tcPr>
            <w:tcW w:w="2947" w:type="dxa"/>
          </w:tcPr>
          <w:p w14:paraId="151F13C5">
            <w:pPr>
              <w:jc w:val="center"/>
              <w:rPr>
                <w:rFonts w:ascii="宋体" w:hAnsi="宋体" w:cs="宋体"/>
                <w:sz w:val="22"/>
                <w:szCs w:val="22"/>
              </w:rPr>
            </w:pPr>
          </w:p>
        </w:tc>
        <w:tc>
          <w:tcPr>
            <w:tcW w:w="3491" w:type="dxa"/>
            <w:gridSpan w:val="3"/>
            <w:vAlign w:val="center"/>
          </w:tcPr>
          <w:p w14:paraId="633A2C9D">
            <w:pPr>
              <w:jc w:val="center"/>
              <w:rPr>
                <w:rFonts w:ascii="宋体" w:hAnsi="宋体" w:cs="宋体"/>
                <w:b/>
                <w:sz w:val="22"/>
                <w:szCs w:val="22"/>
              </w:rPr>
            </w:pPr>
          </w:p>
        </w:tc>
        <w:tc>
          <w:tcPr>
            <w:tcW w:w="1201" w:type="dxa"/>
            <w:vAlign w:val="center"/>
          </w:tcPr>
          <w:p w14:paraId="0CB9D95A">
            <w:pPr>
              <w:jc w:val="center"/>
              <w:rPr>
                <w:rFonts w:ascii="宋体" w:hAnsi="宋体" w:cs="宋体"/>
                <w:b/>
                <w:sz w:val="22"/>
                <w:szCs w:val="22"/>
              </w:rPr>
            </w:pPr>
          </w:p>
        </w:tc>
      </w:tr>
      <w:tr w14:paraId="426F8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701" w:type="dxa"/>
          </w:tcPr>
          <w:p w14:paraId="726884FC">
            <w:pPr>
              <w:jc w:val="center"/>
              <w:rPr>
                <w:rFonts w:ascii="宋体" w:hAnsi="宋体" w:cs="宋体"/>
                <w:b/>
                <w:sz w:val="22"/>
                <w:szCs w:val="22"/>
              </w:rPr>
            </w:pPr>
            <w:r>
              <w:rPr>
                <w:rFonts w:hint="eastAsia" w:ascii="宋体" w:hAnsi="宋体" w:cs="宋体"/>
                <w:b/>
                <w:sz w:val="22"/>
                <w:szCs w:val="22"/>
              </w:rPr>
              <w:t>7</w:t>
            </w:r>
          </w:p>
        </w:tc>
        <w:tc>
          <w:tcPr>
            <w:tcW w:w="2947" w:type="dxa"/>
          </w:tcPr>
          <w:p w14:paraId="7509B8A2">
            <w:pPr>
              <w:jc w:val="center"/>
              <w:rPr>
                <w:rFonts w:ascii="宋体" w:hAnsi="宋体" w:cs="宋体"/>
                <w:sz w:val="22"/>
                <w:szCs w:val="22"/>
              </w:rPr>
            </w:pPr>
          </w:p>
        </w:tc>
        <w:tc>
          <w:tcPr>
            <w:tcW w:w="3491" w:type="dxa"/>
            <w:gridSpan w:val="3"/>
            <w:vAlign w:val="center"/>
          </w:tcPr>
          <w:p w14:paraId="7D11354B">
            <w:pPr>
              <w:jc w:val="center"/>
              <w:rPr>
                <w:rFonts w:ascii="宋体" w:hAnsi="宋体" w:cs="宋体"/>
                <w:b/>
                <w:sz w:val="22"/>
                <w:szCs w:val="22"/>
              </w:rPr>
            </w:pPr>
          </w:p>
        </w:tc>
        <w:tc>
          <w:tcPr>
            <w:tcW w:w="1201" w:type="dxa"/>
            <w:vAlign w:val="center"/>
          </w:tcPr>
          <w:p w14:paraId="16F62DC6">
            <w:pPr>
              <w:jc w:val="center"/>
              <w:rPr>
                <w:rFonts w:ascii="宋体" w:hAnsi="宋体" w:cs="宋体"/>
                <w:b/>
                <w:sz w:val="22"/>
                <w:szCs w:val="22"/>
              </w:rPr>
            </w:pPr>
          </w:p>
        </w:tc>
      </w:tr>
      <w:tr w14:paraId="6CB103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701" w:type="dxa"/>
          </w:tcPr>
          <w:p w14:paraId="1039137B">
            <w:pPr>
              <w:jc w:val="center"/>
              <w:rPr>
                <w:rFonts w:ascii="宋体" w:hAnsi="宋体" w:cs="宋体"/>
                <w:b/>
                <w:sz w:val="22"/>
                <w:szCs w:val="22"/>
              </w:rPr>
            </w:pPr>
            <w:r>
              <w:rPr>
                <w:rFonts w:hint="eastAsia" w:ascii="宋体" w:hAnsi="宋体" w:cs="宋体"/>
                <w:b/>
                <w:sz w:val="22"/>
                <w:szCs w:val="22"/>
              </w:rPr>
              <w:t>8</w:t>
            </w:r>
          </w:p>
        </w:tc>
        <w:tc>
          <w:tcPr>
            <w:tcW w:w="2947" w:type="dxa"/>
          </w:tcPr>
          <w:p w14:paraId="31AE309B">
            <w:pPr>
              <w:jc w:val="center"/>
              <w:rPr>
                <w:rFonts w:ascii="宋体" w:hAnsi="宋体" w:cs="宋体"/>
                <w:b/>
                <w:sz w:val="22"/>
                <w:szCs w:val="22"/>
              </w:rPr>
            </w:pPr>
          </w:p>
        </w:tc>
        <w:tc>
          <w:tcPr>
            <w:tcW w:w="3491" w:type="dxa"/>
            <w:gridSpan w:val="3"/>
            <w:vAlign w:val="center"/>
          </w:tcPr>
          <w:p w14:paraId="651A7527">
            <w:pPr>
              <w:jc w:val="center"/>
              <w:rPr>
                <w:rFonts w:ascii="宋体" w:hAnsi="宋体" w:cs="宋体"/>
                <w:b/>
                <w:sz w:val="22"/>
                <w:szCs w:val="22"/>
              </w:rPr>
            </w:pPr>
          </w:p>
        </w:tc>
        <w:tc>
          <w:tcPr>
            <w:tcW w:w="1201" w:type="dxa"/>
            <w:vAlign w:val="center"/>
          </w:tcPr>
          <w:p w14:paraId="2ED12821">
            <w:pPr>
              <w:jc w:val="center"/>
              <w:rPr>
                <w:rFonts w:ascii="宋体" w:hAnsi="宋体" w:cs="宋体"/>
                <w:b/>
                <w:sz w:val="22"/>
                <w:szCs w:val="22"/>
              </w:rPr>
            </w:pPr>
          </w:p>
        </w:tc>
      </w:tr>
      <w:tr w14:paraId="7CB5C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8340" w:type="dxa"/>
            <w:gridSpan w:val="6"/>
          </w:tcPr>
          <w:p w14:paraId="76CB4560">
            <w:pPr>
              <w:jc w:val="center"/>
              <w:rPr>
                <w:rFonts w:ascii="宋体" w:hAnsi="宋体" w:cs="宋体"/>
                <w:b/>
                <w:sz w:val="22"/>
                <w:szCs w:val="22"/>
              </w:rPr>
            </w:pPr>
            <w:r>
              <w:rPr>
                <w:rFonts w:hint="eastAsia" w:ascii="宋体" w:hAnsi="宋体" w:cs="宋体"/>
                <w:b/>
                <w:sz w:val="22"/>
                <w:szCs w:val="22"/>
              </w:rPr>
              <w:t>三、综合评分指引</w:t>
            </w:r>
          </w:p>
        </w:tc>
      </w:tr>
      <w:tr w14:paraId="10196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701" w:type="dxa"/>
          </w:tcPr>
          <w:p w14:paraId="1E795F58">
            <w:pPr>
              <w:jc w:val="center"/>
              <w:rPr>
                <w:rFonts w:ascii="宋体" w:hAnsi="宋体" w:cs="宋体"/>
                <w:b/>
                <w:sz w:val="22"/>
                <w:szCs w:val="22"/>
              </w:rPr>
            </w:pPr>
            <w:r>
              <w:rPr>
                <w:rFonts w:hint="eastAsia" w:ascii="宋体" w:hAnsi="宋体" w:cs="宋体"/>
                <w:b/>
                <w:sz w:val="22"/>
                <w:szCs w:val="22"/>
              </w:rPr>
              <w:t>评分类别</w:t>
            </w:r>
          </w:p>
        </w:tc>
        <w:tc>
          <w:tcPr>
            <w:tcW w:w="3961" w:type="dxa"/>
            <w:gridSpan w:val="2"/>
            <w:vAlign w:val="center"/>
          </w:tcPr>
          <w:p w14:paraId="04CB087E">
            <w:pPr>
              <w:jc w:val="center"/>
              <w:rPr>
                <w:rFonts w:ascii="宋体" w:hAnsi="宋体" w:cs="宋体"/>
                <w:b/>
                <w:sz w:val="22"/>
                <w:szCs w:val="22"/>
              </w:rPr>
            </w:pPr>
            <w:r>
              <w:rPr>
                <w:rFonts w:hint="eastAsia" w:ascii="宋体" w:hAnsi="宋体" w:cs="宋体"/>
                <w:b/>
                <w:sz w:val="22"/>
                <w:szCs w:val="22"/>
              </w:rPr>
              <w:t>评分项目</w:t>
            </w:r>
          </w:p>
        </w:tc>
        <w:tc>
          <w:tcPr>
            <w:tcW w:w="1371" w:type="dxa"/>
            <w:vAlign w:val="center"/>
          </w:tcPr>
          <w:p w14:paraId="24F7B301">
            <w:pPr>
              <w:jc w:val="center"/>
              <w:rPr>
                <w:rFonts w:ascii="宋体" w:hAnsi="宋体" w:cs="宋体"/>
                <w:b/>
                <w:sz w:val="22"/>
                <w:szCs w:val="22"/>
              </w:rPr>
            </w:pPr>
            <w:r>
              <w:rPr>
                <w:rFonts w:hint="eastAsia" w:ascii="宋体" w:hAnsi="宋体" w:cs="宋体"/>
                <w:b/>
                <w:sz w:val="22"/>
                <w:szCs w:val="22"/>
              </w:rPr>
              <w:t>分值</w:t>
            </w:r>
          </w:p>
          <w:p w14:paraId="501B64E1">
            <w:pPr>
              <w:jc w:val="center"/>
              <w:rPr>
                <w:rFonts w:ascii="宋体" w:hAnsi="宋体" w:cs="宋体"/>
                <w:b/>
                <w:sz w:val="22"/>
                <w:szCs w:val="22"/>
              </w:rPr>
            </w:pPr>
            <w:r>
              <w:rPr>
                <w:rFonts w:hint="eastAsia" w:ascii="宋体" w:hAnsi="宋体" w:cs="宋体"/>
                <w:b/>
                <w:sz w:val="22"/>
                <w:szCs w:val="22"/>
              </w:rPr>
              <w:t>（或权重）</w:t>
            </w:r>
          </w:p>
        </w:tc>
        <w:tc>
          <w:tcPr>
            <w:tcW w:w="1106" w:type="dxa"/>
            <w:vAlign w:val="center"/>
          </w:tcPr>
          <w:p w14:paraId="4561371B">
            <w:pPr>
              <w:jc w:val="center"/>
              <w:rPr>
                <w:rFonts w:ascii="宋体" w:hAnsi="宋体" w:cs="宋体"/>
                <w:b/>
                <w:sz w:val="22"/>
                <w:szCs w:val="22"/>
              </w:rPr>
            </w:pPr>
            <w:r>
              <w:rPr>
                <w:rFonts w:hint="eastAsia" w:ascii="宋体" w:hAnsi="宋体" w:cs="宋体"/>
                <w:b/>
                <w:sz w:val="22"/>
                <w:szCs w:val="22"/>
              </w:rPr>
              <w:t>对应章节</w:t>
            </w:r>
          </w:p>
        </w:tc>
        <w:tc>
          <w:tcPr>
            <w:tcW w:w="1201" w:type="dxa"/>
            <w:vAlign w:val="center"/>
          </w:tcPr>
          <w:p w14:paraId="1BD65F42">
            <w:pPr>
              <w:jc w:val="center"/>
              <w:rPr>
                <w:rFonts w:ascii="宋体" w:hAnsi="宋体" w:cs="宋体"/>
                <w:b/>
                <w:sz w:val="22"/>
                <w:szCs w:val="22"/>
              </w:rPr>
            </w:pPr>
            <w:r>
              <w:rPr>
                <w:rFonts w:hint="eastAsia" w:ascii="宋体" w:hAnsi="宋体" w:cs="宋体"/>
                <w:b/>
                <w:sz w:val="22"/>
                <w:szCs w:val="22"/>
              </w:rPr>
              <w:t>起止页码</w:t>
            </w:r>
          </w:p>
        </w:tc>
      </w:tr>
      <w:tr w14:paraId="0F75F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01" w:type="dxa"/>
            <w:vMerge w:val="restart"/>
            <w:vAlign w:val="center"/>
          </w:tcPr>
          <w:p w14:paraId="50FE6071">
            <w:pPr>
              <w:jc w:val="center"/>
              <w:rPr>
                <w:rFonts w:ascii="宋体" w:hAnsi="宋体" w:cs="宋体"/>
                <w:b/>
                <w:sz w:val="22"/>
                <w:szCs w:val="22"/>
              </w:rPr>
            </w:pPr>
            <w:r>
              <w:rPr>
                <w:rFonts w:hint="eastAsia" w:ascii="宋体" w:hAnsi="宋体" w:cs="宋体"/>
                <w:b/>
                <w:sz w:val="22"/>
                <w:szCs w:val="22"/>
              </w:rPr>
              <w:t>技术部分</w:t>
            </w:r>
          </w:p>
        </w:tc>
        <w:tc>
          <w:tcPr>
            <w:tcW w:w="3961" w:type="dxa"/>
            <w:gridSpan w:val="2"/>
          </w:tcPr>
          <w:p w14:paraId="5192C6BB">
            <w:pPr>
              <w:jc w:val="center"/>
              <w:rPr>
                <w:rFonts w:ascii="宋体" w:hAnsi="宋体" w:cs="宋体"/>
                <w:b/>
                <w:sz w:val="22"/>
                <w:szCs w:val="22"/>
              </w:rPr>
            </w:pPr>
            <w:r>
              <w:rPr>
                <w:rFonts w:hint="eastAsia" w:ascii="宋体" w:hAnsi="宋体" w:cs="宋体"/>
                <w:b/>
                <w:sz w:val="22"/>
                <w:szCs w:val="22"/>
              </w:rPr>
              <w:t>1.…………</w:t>
            </w:r>
          </w:p>
        </w:tc>
        <w:tc>
          <w:tcPr>
            <w:tcW w:w="1371" w:type="dxa"/>
          </w:tcPr>
          <w:p w14:paraId="381685C3">
            <w:pPr>
              <w:jc w:val="center"/>
              <w:rPr>
                <w:rFonts w:ascii="宋体" w:hAnsi="宋体" w:cs="宋体"/>
                <w:b/>
                <w:sz w:val="22"/>
                <w:szCs w:val="22"/>
              </w:rPr>
            </w:pPr>
          </w:p>
        </w:tc>
        <w:tc>
          <w:tcPr>
            <w:tcW w:w="1106" w:type="dxa"/>
          </w:tcPr>
          <w:p w14:paraId="32935432">
            <w:pPr>
              <w:jc w:val="center"/>
              <w:rPr>
                <w:rFonts w:ascii="宋体" w:hAnsi="宋体" w:cs="宋体"/>
                <w:b/>
                <w:sz w:val="22"/>
                <w:szCs w:val="22"/>
              </w:rPr>
            </w:pPr>
          </w:p>
        </w:tc>
        <w:tc>
          <w:tcPr>
            <w:tcW w:w="1201" w:type="dxa"/>
          </w:tcPr>
          <w:p w14:paraId="40977812">
            <w:pPr>
              <w:jc w:val="center"/>
              <w:rPr>
                <w:rFonts w:ascii="宋体" w:hAnsi="宋体" w:cs="宋体"/>
                <w:b/>
                <w:sz w:val="22"/>
                <w:szCs w:val="22"/>
              </w:rPr>
            </w:pPr>
          </w:p>
        </w:tc>
      </w:tr>
      <w:tr w14:paraId="489660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01" w:type="dxa"/>
            <w:vMerge w:val="continue"/>
            <w:vAlign w:val="center"/>
          </w:tcPr>
          <w:p w14:paraId="17307666">
            <w:pPr>
              <w:jc w:val="center"/>
              <w:rPr>
                <w:rFonts w:ascii="宋体" w:hAnsi="宋体" w:cs="宋体"/>
                <w:b/>
                <w:sz w:val="22"/>
                <w:szCs w:val="22"/>
              </w:rPr>
            </w:pPr>
          </w:p>
        </w:tc>
        <w:tc>
          <w:tcPr>
            <w:tcW w:w="3961" w:type="dxa"/>
            <w:gridSpan w:val="2"/>
          </w:tcPr>
          <w:p w14:paraId="7788B4C0">
            <w:pPr>
              <w:jc w:val="center"/>
              <w:rPr>
                <w:rFonts w:ascii="宋体" w:hAnsi="宋体" w:cs="宋体"/>
                <w:b/>
                <w:sz w:val="22"/>
                <w:szCs w:val="22"/>
              </w:rPr>
            </w:pPr>
            <w:r>
              <w:rPr>
                <w:rFonts w:hint="eastAsia" w:ascii="宋体" w:hAnsi="宋体" w:cs="宋体"/>
                <w:b/>
                <w:sz w:val="22"/>
                <w:szCs w:val="22"/>
              </w:rPr>
              <w:t>2.…………</w:t>
            </w:r>
          </w:p>
        </w:tc>
        <w:tc>
          <w:tcPr>
            <w:tcW w:w="1371" w:type="dxa"/>
          </w:tcPr>
          <w:p w14:paraId="77C338F9">
            <w:pPr>
              <w:jc w:val="center"/>
              <w:rPr>
                <w:rFonts w:ascii="宋体" w:hAnsi="宋体" w:cs="宋体"/>
                <w:b/>
                <w:sz w:val="22"/>
                <w:szCs w:val="22"/>
              </w:rPr>
            </w:pPr>
          </w:p>
        </w:tc>
        <w:tc>
          <w:tcPr>
            <w:tcW w:w="1106" w:type="dxa"/>
          </w:tcPr>
          <w:p w14:paraId="63909B76">
            <w:pPr>
              <w:jc w:val="center"/>
              <w:rPr>
                <w:rFonts w:ascii="宋体" w:hAnsi="宋体" w:cs="宋体"/>
                <w:b/>
                <w:sz w:val="22"/>
                <w:szCs w:val="22"/>
              </w:rPr>
            </w:pPr>
          </w:p>
        </w:tc>
        <w:tc>
          <w:tcPr>
            <w:tcW w:w="1201" w:type="dxa"/>
          </w:tcPr>
          <w:p w14:paraId="10401A6A">
            <w:pPr>
              <w:jc w:val="center"/>
              <w:rPr>
                <w:rFonts w:ascii="宋体" w:hAnsi="宋体" w:cs="宋体"/>
                <w:b/>
                <w:sz w:val="22"/>
                <w:szCs w:val="22"/>
              </w:rPr>
            </w:pPr>
          </w:p>
        </w:tc>
      </w:tr>
      <w:tr w14:paraId="548027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701" w:type="dxa"/>
            <w:vMerge w:val="continue"/>
            <w:vAlign w:val="center"/>
          </w:tcPr>
          <w:p w14:paraId="261EFD7A">
            <w:pPr>
              <w:jc w:val="center"/>
              <w:rPr>
                <w:rFonts w:ascii="宋体" w:hAnsi="宋体" w:cs="宋体"/>
                <w:b/>
                <w:sz w:val="22"/>
                <w:szCs w:val="22"/>
              </w:rPr>
            </w:pPr>
          </w:p>
        </w:tc>
        <w:tc>
          <w:tcPr>
            <w:tcW w:w="3961" w:type="dxa"/>
            <w:gridSpan w:val="2"/>
          </w:tcPr>
          <w:p w14:paraId="1E7246DA">
            <w:pPr>
              <w:jc w:val="center"/>
              <w:rPr>
                <w:rFonts w:ascii="宋体" w:hAnsi="宋体" w:cs="宋体"/>
                <w:b/>
                <w:sz w:val="22"/>
                <w:szCs w:val="22"/>
              </w:rPr>
            </w:pPr>
            <w:r>
              <w:rPr>
                <w:rFonts w:hint="eastAsia" w:ascii="宋体" w:hAnsi="宋体" w:cs="宋体"/>
                <w:b/>
                <w:sz w:val="22"/>
                <w:szCs w:val="22"/>
              </w:rPr>
              <w:t>…………</w:t>
            </w:r>
          </w:p>
        </w:tc>
        <w:tc>
          <w:tcPr>
            <w:tcW w:w="1371" w:type="dxa"/>
          </w:tcPr>
          <w:p w14:paraId="5ECC6E07">
            <w:pPr>
              <w:jc w:val="center"/>
              <w:rPr>
                <w:rFonts w:ascii="宋体" w:hAnsi="宋体" w:cs="宋体"/>
                <w:b/>
                <w:sz w:val="22"/>
                <w:szCs w:val="22"/>
              </w:rPr>
            </w:pPr>
          </w:p>
        </w:tc>
        <w:tc>
          <w:tcPr>
            <w:tcW w:w="1106" w:type="dxa"/>
          </w:tcPr>
          <w:p w14:paraId="6FE230A5">
            <w:pPr>
              <w:jc w:val="center"/>
              <w:rPr>
                <w:rFonts w:ascii="宋体" w:hAnsi="宋体" w:cs="宋体"/>
                <w:b/>
                <w:sz w:val="22"/>
                <w:szCs w:val="22"/>
              </w:rPr>
            </w:pPr>
          </w:p>
        </w:tc>
        <w:tc>
          <w:tcPr>
            <w:tcW w:w="1201" w:type="dxa"/>
          </w:tcPr>
          <w:p w14:paraId="701C0CED">
            <w:pPr>
              <w:jc w:val="center"/>
              <w:rPr>
                <w:rFonts w:ascii="宋体" w:hAnsi="宋体" w:cs="宋体"/>
                <w:b/>
                <w:sz w:val="22"/>
                <w:szCs w:val="22"/>
              </w:rPr>
            </w:pPr>
          </w:p>
        </w:tc>
      </w:tr>
      <w:tr w14:paraId="1536F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701" w:type="dxa"/>
            <w:vMerge w:val="restart"/>
            <w:vAlign w:val="center"/>
          </w:tcPr>
          <w:p w14:paraId="4C6897BA">
            <w:pPr>
              <w:jc w:val="center"/>
              <w:rPr>
                <w:rFonts w:ascii="宋体" w:hAnsi="宋体" w:cs="宋体"/>
                <w:b/>
                <w:sz w:val="22"/>
                <w:szCs w:val="22"/>
              </w:rPr>
            </w:pPr>
            <w:r>
              <w:rPr>
                <w:rFonts w:hint="eastAsia" w:ascii="宋体" w:hAnsi="宋体" w:cs="宋体"/>
                <w:b/>
                <w:sz w:val="22"/>
                <w:szCs w:val="22"/>
              </w:rPr>
              <w:t>商务部分</w:t>
            </w:r>
          </w:p>
        </w:tc>
        <w:tc>
          <w:tcPr>
            <w:tcW w:w="3961" w:type="dxa"/>
            <w:gridSpan w:val="2"/>
          </w:tcPr>
          <w:p w14:paraId="0B43E783">
            <w:pPr>
              <w:jc w:val="center"/>
              <w:rPr>
                <w:rFonts w:ascii="宋体" w:hAnsi="宋体" w:cs="宋体"/>
                <w:b/>
                <w:sz w:val="22"/>
                <w:szCs w:val="22"/>
              </w:rPr>
            </w:pPr>
            <w:r>
              <w:rPr>
                <w:rFonts w:hint="eastAsia" w:ascii="宋体" w:hAnsi="宋体" w:cs="宋体"/>
                <w:b/>
                <w:sz w:val="22"/>
                <w:szCs w:val="22"/>
              </w:rPr>
              <w:t>1.…………</w:t>
            </w:r>
          </w:p>
        </w:tc>
        <w:tc>
          <w:tcPr>
            <w:tcW w:w="1371" w:type="dxa"/>
          </w:tcPr>
          <w:p w14:paraId="4B51D83C">
            <w:pPr>
              <w:jc w:val="center"/>
              <w:rPr>
                <w:rFonts w:ascii="宋体" w:hAnsi="宋体" w:cs="宋体"/>
                <w:b/>
                <w:sz w:val="22"/>
                <w:szCs w:val="22"/>
              </w:rPr>
            </w:pPr>
          </w:p>
        </w:tc>
        <w:tc>
          <w:tcPr>
            <w:tcW w:w="1106" w:type="dxa"/>
          </w:tcPr>
          <w:p w14:paraId="7F42257A">
            <w:pPr>
              <w:jc w:val="center"/>
              <w:rPr>
                <w:rFonts w:ascii="宋体" w:hAnsi="宋体" w:cs="宋体"/>
                <w:b/>
                <w:sz w:val="22"/>
                <w:szCs w:val="22"/>
              </w:rPr>
            </w:pPr>
          </w:p>
        </w:tc>
        <w:tc>
          <w:tcPr>
            <w:tcW w:w="1201" w:type="dxa"/>
          </w:tcPr>
          <w:p w14:paraId="42F0AF3C">
            <w:pPr>
              <w:jc w:val="center"/>
              <w:rPr>
                <w:rFonts w:ascii="宋体" w:hAnsi="宋体" w:cs="宋体"/>
                <w:b/>
                <w:sz w:val="22"/>
                <w:szCs w:val="22"/>
              </w:rPr>
            </w:pPr>
          </w:p>
        </w:tc>
      </w:tr>
      <w:tr w14:paraId="7A7634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701" w:type="dxa"/>
            <w:vMerge w:val="continue"/>
          </w:tcPr>
          <w:p w14:paraId="63821B00">
            <w:pPr>
              <w:jc w:val="center"/>
              <w:rPr>
                <w:rFonts w:ascii="宋体" w:hAnsi="宋体" w:cs="宋体"/>
                <w:b/>
                <w:sz w:val="22"/>
                <w:szCs w:val="22"/>
              </w:rPr>
            </w:pPr>
          </w:p>
        </w:tc>
        <w:tc>
          <w:tcPr>
            <w:tcW w:w="3961" w:type="dxa"/>
            <w:gridSpan w:val="2"/>
          </w:tcPr>
          <w:p w14:paraId="6DB26DAC">
            <w:pPr>
              <w:jc w:val="center"/>
              <w:rPr>
                <w:rFonts w:ascii="宋体" w:hAnsi="宋体" w:cs="宋体"/>
                <w:b/>
                <w:sz w:val="22"/>
                <w:szCs w:val="22"/>
              </w:rPr>
            </w:pPr>
            <w:r>
              <w:rPr>
                <w:rFonts w:hint="eastAsia" w:ascii="宋体" w:hAnsi="宋体" w:cs="宋体"/>
                <w:b/>
                <w:sz w:val="22"/>
                <w:szCs w:val="22"/>
              </w:rPr>
              <w:t>2.…………</w:t>
            </w:r>
          </w:p>
        </w:tc>
        <w:tc>
          <w:tcPr>
            <w:tcW w:w="1371" w:type="dxa"/>
          </w:tcPr>
          <w:p w14:paraId="5BE413D3">
            <w:pPr>
              <w:jc w:val="center"/>
              <w:rPr>
                <w:rFonts w:ascii="宋体" w:hAnsi="宋体" w:cs="宋体"/>
                <w:b/>
                <w:sz w:val="22"/>
                <w:szCs w:val="22"/>
              </w:rPr>
            </w:pPr>
          </w:p>
        </w:tc>
        <w:tc>
          <w:tcPr>
            <w:tcW w:w="1106" w:type="dxa"/>
          </w:tcPr>
          <w:p w14:paraId="5D5D85B8">
            <w:pPr>
              <w:jc w:val="center"/>
              <w:rPr>
                <w:rFonts w:ascii="宋体" w:hAnsi="宋体" w:cs="宋体"/>
                <w:b/>
                <w:sz w:val="22"/>
                <w:szCs w:val="22"/>
              </w:rPr>
            </w:pPr>
          </w:p>
        </w:tc>
        <w:tc>
          <w:tcPr>
            <w:tcW w:w="1201" w:type="dxa"/>
          </w:tcPr>
          <w:p w14:paraId="7F557AE1">
            <w:pPr>
              <w:jc w:val="center"/>
              <w:rPr>
                <w:rFonts w:ascii="宋体" w:hAnsi="宋体" w:cs="宋体"/>
                <w:b/>
                <w:sz w:val="22"/>
                <w:szCs w:val="22"/>
              </w:rPr>
            </w:pPr>
          </w:p>
        </w:tc>
      </w:tr>
      <w:tr w14:paraId="6ED494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701" w:type="dxa"/>
            <w:vMerge w:val="continue"/>
          </w:tcPr>
          <w:p w14:paraId="7F28EE7E">
            <w:pPr>
              <w:jc w:val="center"/>
              <w:rPr>
                <w:rFonts w:ascii="宋体" w:hAnsi="宋体" w:cs="宋体"/>
                <w:b/>
                <w:sz w:val="22"/>
                <w:szCs w:val="22"/>
              </w:rPr>
            </w:pPr>
          </w:p>
        </w:tc>
        <w:tc>
          <w:tcPr>
            <w:tcW w:w="3961" w:type="dxa"/>
            <w:gridSpan w:val="2"/>
          </w:tcPr>
          <w:p w14:paraId="289EC366">
            <w:pPr>
              <w:jc w:val="center"/>
              <w:rPr>
                <w:rFonts w:ascii="宋体" w:hAnsi="宋体" w:cs="宋体"/>
                <w:b/>
                <w:sz w:val="22"/>
                <w:szCs w:val="22"/>
              </w:rPr>
            </w:pPr>
            <w:r>
              <w:rPr>
                <w:rFonts w:hint="eastAsia" w:ascii="宋体" w:hAnsi="宋体" w:cs="宋体"/>
                <w:b/>
                <w:sz w:val="22"/>
                <w:szCs w:val="22"/>
              </w:rPr>
              <w:t>…………</w:t>
            </w:r>
          </w:p>
        </w:tc>
        <w:tc>
          <w:tcPr>
            <w:tcW w:w="1371" w:type="dxa"/>
          </w:tcPr>
          <w:p w14:paraId="2E00C7C1">
            <w:pPr>
              <w:jc w:val="center"/>
              <w:rPr>
                <w:rFonts w:ascii="宋体" w:hAnsi="宋体" w:cs="宋体"/>
                <w:b/>
                <w:sz w:val="22"/>
                <w:szCs w:val="22"/>
              </w:rPr>
            </w:pPr>
          </w:p>
        </w:tc>
        <w:tc>
          <w:tcPr>
            <w:tcW w:w="1106" w:type="dxa"/>
          </w:tcPr>
          <w:p w14:paraId="1234B876">
            <w:pPr>
              <w:jc w:val="center"/>
              <w:rPr>
                <w:rFonts w:ascii="宋体" w:hAnsi="宋体" w:cs="宋体"/>
                <w:b/>
                <w:sz w:val="22"/>
                <w:szCs w:val="22"/>
              </w:rPr>
            </w:pPr>
          </w:p>
        </w:tc>
        <w:tc>
          <w:tcPr>
            <w:tcW w:w="1201" w:type="dxa"/>
          </w:tcPr>
          <w:p w14:paraId="39CFD2F4">
            <w:pPr>
              <w:jc w:val="center"/>
              <w:rPr>
                <w:rFonts w:ascii="宋体" w:hAnsi="宋体" w:cs="宋体"/>
                <w:b/>
                <w:sz w:val="22"/>
                <w:szCs w:val="22"/>
              </w:rPr>
            </w:pPr>
          </w:p>
        </w:tc>
      </w:tr>
    </w:tbl>
    <w:p w14:paraId="2B94A650">
      <w:pPr>
        <w:ind w:firstLine="442" w:firstLineChars="200"/>
        <w:rPr>
          <w:rFonts w:ascii="宋体" w:hAnsi="宋体" w:cs="宋体"/>
          <w:b/>
          <w:sz w:val="22"/>
          <w:szCs w:val="22"/>
        </w:rPr>
      </w:pPr>
      <w:r>
        <w:rPr>
          <w:rFonts w:hint="eastAsia" w:ascii="宋体" w:hAnsi="宋体" w:cs="宋体"/>
          <w:b/>
          <w:sz w:val="22"/>
          <w:szCs w:val="22"/>
        </w:rPr>
        <w:t>注：请投标人按照“关键信息——投标文件初审表、评标信息”的审查和评分内容，自上而下的顺序填写本表。因项目次序混乱而影响评标效率及评标结果者，投标人自负其责。</w:t>
      </w:r>
    </w:p>
    <w:p w14:paraId="524F5224">
      <w:pPr>
        <w:jc w:val="center"/>
        <w:rPr>
          <w:rFonts w:ascii="宋体" w:hAnsi="宋体" w:cs="宋体"/>
          <w:szCs w:val="21"/>
        </w:rPr>
      </w:pPr>
    </w:p>
    <w:p w14:paraId="1DC2E655"/>
    <w:p w14:paraId="3DA5CD39">
      <w:pPr>
        <w:numPr>
          <w:ilvl w:val="0"/>
          <w:numId w:val="5"/>
        </w:numPr>
        <w:ind w:left="420" w:firstLine="0"/>
        <w:jc w:val="center"/>
        <w:outlineLvl w:val="2"/>
        <w:rPr>
          <w:rFonts w:ascii="宋体" w:hAnsi="宋体" w:cs="宋体"/>
          <w:b/>
          <w:sz w:val="32"/>
          <w:szCs w:val="32"/>
        </w:rPr>
      </w:pPr>
      <w:r>
        <w:rPr>
          <w:rFonts w:hint="eastAsia" w:ascii="宋体" w:hAnsi="宋体" w:cs="宋体"/>
          <w:szCs w:val="21"/>
        </w:rPr>
        <w:br w:type="page"/>
      </w:r>
      <w:r>
        <w:rPr>
          <w:rFonts w:hint="eastAsia" w:ascii="宋体" w:hAnsi="宋体" w:cs="宋体"/>
          <w:b/>
          <w:sz w:val="32"/>
          <w:szCs w:val="32"/>
        </w:rPr>
        <w:t>投标函</w:t>
      </w:r>
    </w:p>
    <w:p w14:paraId="194A2291">
      <w:pPr>
        <w:spacing w:line="360" w:lineRule="exact"/>
        <w:rPr>
          <w:rFonts w:ascii="宋体" w:hAnsi="宋体" w:cs="宋体"/>
          <w:sz w:val="22"/>
          <w:szCs w:val="22"/>
        </w:rPr>
      </w:pPr>
      <w:r>
        <w:rPr>
          <w:rFonts w:hint="eastAsia" w:ascii="宋体" w:hAnsi="宋体" w:cs="宋体"/>
          <w:sz w:val="22"/>
          <w:szCs w:val="22"/>
        </w:rPr>
        <w:t>致：</w:t>
      </w:r>
      <w:r>
        <w:rPr>
          <w:rFonts w:hint="eastAsia" w:ascii="宋体" w:hAnsi="宋体" w:cs="宋体"/>
          <w:kern w:val="0"/>
          <w:sz w:val="22"/>
          <w:szCs w:val="22"/>
        </w:rPr>
        <w:t>深圳市东海国际招标有限公司</w:t>
      </w:r>
    </w:p>
    <w:p w14:paraId="4F145F0A">
      <w:pPr>
        <w:spacing w:line="360" w:lineRule="exact"/>
        <w:ind w:firstLine="440" w:firstLineChars="200"/>
        <w:rPr>
          <w:rFonts w:ascii="宋体" w:hAnsi="宋体" w:cs="宋体"/>
          <w:sz w:val="22"/>
          <w:szCs w:val="22"/>
        </w:rPr>
      </w:pPr>
      <w:r>
        <w:rPr>
          <w:rFonts w:hint="eastAsia" w:ascii="宋体" w:hAnsi="宋体" w:cs="宋体"/>
          <w:sz w:val="22"/>
          <w:szCs w:val="22"/>
        </w:rPr>
        <w:t>根据贵方</w:t>
      </w:r>
      <w:r>
        <w:rPr>
          <w:rFonts w:hint="eastAsia" w:ascii="宋体" w:hAnsi="宋体" w:cs="宋体"/>
          <w:sz w:val="22"/>
          <w:szCs w:val="22"/>
          <w:u w:val="single"/>
        </w:rPr>
        <w:t xml:space="preserve">                     （项目名称）</w:t>
      </w:r>
      <w:r>
        <w:rPr>
          <w:rFonts w:hint="eastAsia" w:ascii="宋体" w:hAnsi="宋体" w:cs="宋体"/>
          <w:sz w:val="22"/>
          <w:szCs w:val="22"/>
        </w:rPr>
        <w:t>的招标公告</w:t>
      </w:r>
      <w:r>
        <w:rPr>
          <w:rFonts w:hint="eastAsia" w:ascii="宋体" w:hAnsi="宋体" w:cs="宋体"/>
          <w:sz w:val="22"/>
          <w:szCs w:val="22"/>
          <w:u w:val="single"/>
        </w:rPr>
        <w:t>（项目编号为      ）</w:t>
      </w:r>
      <w:r>
        <w:rPr>
          <w:rFonts w:hint="eastAsia" w:ascii="宋体" w:hAnsi="宋体" w:cs="宋体"/>
          <w:sz w:val="22"/>
          <w:szCs w:val="22"/>
        </w:rPr>
        <w:t>，本人经我方法定代表人授权正式代表投标人</w:t>
      </w:r>
      <w:r>
        <w:rPr>
          <w:rFonts w:hint="eastAsia" w:ascii="宋体" w:hAnsi="宋体" w:cs="宋体"/>
          <w:sz w:val="22"/>
          <w:szCs w:val="22"/>
          <w:u w:val="single"/>
        </w:rPr>
        <w:t xml:space="preserve">                    </w:t>
      </w:r>
      <w:r>
        <w:rPr>
          <w:rFonts w:hint="eastAsia" w:ascii="宋体" w:hAnsi="宋体" w:cs="宋体"/>
          <w:sz w:val="22"/>
          <w:szCs w:val="22"/>
        </w:rPr>
        <w:t>（投标人的名称），提交唱标信封1份及投标文件正本1份，副本5份，投标文件电子版1份（盖章扫描件）。</w:t>
      </w:r>
    </w:p>
    <w:p w14:paraId="56A6EFEC">
      <w:pPr>
        <w:spacing w:line="360" w:lineRule="exact"/>
        <w:rPr>
          <w:rFonts w:ascii="宋体" w:hAnsi="宋体" w:cs="宋体"/>
          <w:sz w:val="22"/>
          <w:szCs w:val="22"/>
        </w:rPr>
      </w:pPr>
      <w:r>
        <w:rPr>
          <w:rFonts w:hint="eastAsia" w:ascii="宋体" w:hAnsi="宋体" w:cs="宋体"/>
          <w:sz w:val="22"/>
          <w:szCs w:val="22"/>
        </w:rPr>
        <w:t xml:space="preserve">    据此函，本人代表投标方保证，所提供的全部资料是真实的。本人承诺：</w:t>
      </w:r>
    </w:p>
    <w:p w14:paraId="6273B908">
      <w:pPr>
        <w:spacing w:line="360" w:lineRule="exact"/>
        <w:ind w:firstLine="440" w:firstLineChars="200"/>
        <w:rPr>
          <w:rFonts w:ascii="宋体" w:hAnsi="宋体" w:cs="宋体"/>
          <w:sz w:val="22"/>
          <w:szCs w:val="22"/>
        </w:rPr>
      </w:pPr>
      <w:r>
        <w:rPr>
          <w:rFonts w:hint="eastAsia" w:ascii="宋体" w:hAnsi="宋体" w:cs="宋体"/>
          <w:sz w:val="22"/>
          <w:szCs w:val="22"/>
        </w:rPr>
        <w:t>（1）我方愿以开标一览表中的投标报价并按采购文件要求承包上述项目并修补其任何缺陷；</w:t>
      </w:r>
    </w:p>
    <w:p w14:paraId="52FF3649">
      <w:pPr>
        <w:spacing w:line="360" w:lineRule="exact"/>
        <w:ind w:firstLine="440" w:firstLineChars="200"/>
        <w:rPr>
          <w:rFonts w:ascii="宋体" w:hAnsi="宋体" w:cs="宋体"/>
          <w:sz w:val="22"/>
          <w:szCs w:val="22"/>
        </w:rPr>
      </w:pPr>
      <w:r>
        <w:rPr>
          <w:rFonts w:hint="eastAsia" w:ascii="宋体" w:hAnsi="宋体" w:cs="宋体"/>
          <w:sz w:val="22"/>
          <w:szCs w:val="22"/>
        </w:rPr>
        <w:t>（2）我方承担根据采购文件的规定，完成合同的责任和义务。</w:t>
      </w:r>
    </w:p>
    <w:p w14:paraId="4691DE5F">
      <w:pPr>
        <w:spacing w:line="360" w:lineRule="exact"/>
        <w:ind w:firstLine="440" w:firstLineChars="200"/>
        <w:rPr>
          <w:rFonts w:ascii="宋体" w:hAnsi="宋体" w:cs="宋体"/>
          <w:sz w:val="22"/>
          <w:szCs w:val="22"/>
        </w:rPr>
      </w:pPr>
      <w:r>
        <w:rPr>
          <w:rFonts w:hint="eastAsia" w:ascii="宋体" w:hAnsi="宋体" w:cs="宋体"/>
          <w:sz w:val="22"/>
          <w:szCs w:val="22"/>
        </w:rPr>
        <w:t>（3）我方已详细阅读了全部采购文件，包括采购文件修改书（如果有的话），参考资料及有关附件，我们完全理解并同意放弃对这方面有不清楚或误解的问题和质疑投诉的权利。</w:t>
      </w:r>
    </w:p>
    <w:p w14:paraId="3305C6E5">
      <w:pPr>
        <w:spacing w:line="360" w:lineRule="exact"/>
        <w:ind w:firstLine="440" w:firstLineChars="200"/>
        <w:rPr>
          <w:rFonts w:ascii="宋体" w:hAnsi="宋体" w:cs="宋体"/>
          <w:sz w:val="22"/>
          <w:szCs w:val="22"/>
        </w:rPr>
      </w:pPr>
      <w:r>
        <w:rPr>
          <w:rFonts w:hint="eastAsia" w:ascii="宋体" w:hAnsi="宋体" w:cs="宋体"/>
          <w:sz w:val="22"/>
          <w:szCs w:val="22"/>
        </w:rPr>
        <w:t>（4）我方同意所递交的投标文件在“关键信息-投标须知前附表”规定的投标有效期内有效，在此期间内我方的投标有可能中标，我方将受此约束。</w:t>
      </w:r>
    </w:p>
    <w:p w14:paraId="406A97A5">
      <w:pPr>
        <w:spacing w:line="360" w:lineRule="exact"/>
        <w:ind w:firstLine="440" w:firstLineChars="200"/>
        <w:rPr>
          <w:rFonts w:ascii="宋体" w:hAnsi="宋体" w:cs="宋体"/>
          <w:sz w:val="22"/>
          <w:szCs w:val="22"/>
        </w:rPr>
      </w:pPr>
      <w:r>
        <w:rPr>
          <w:rFonts w:hint="eastAsia" w:ascii="宋体" w:hAnsi="宋体" w:cs="宋体"/>
          <w:sz w:val="22"/>
          <w:szCs w:val="22"/>
        </w:rPr>
        <w:t>（5）除非另外达成协议并生效，贵方的中标通知书和本投标文件将构成约束我们双方的合同。</w:t>
      </w:r>
    </w:p>
    <w:p w14:paraId="6C86630F">
      <w:pPr>
        <w:spacing w:line="360" w:lineRule="exact"/>
        <w:ind w:firstLine="440" w:firstLineChars="200"/>
        <w:rPr>
          <w:rFonts w:ascii="宋体" w:hAnsi="宋体" w:cs="宋体"/>
          <w:sz w:val="22"/>
          <w:szCs w:val="22"/>
        </w:rPr>
      </w:pPr>
      <w:r>
        <w:rPr>
          <w:rFonts w:hint="eastAsia" w:ascii="宋体" w:hAnsi="宋体" w:cs="宋体"/>
          <w:sz w:val="22"/>
          <w:szCs w:val="22"/>
        </w:rPr>
        <w:t>（6）同意向贵方提供贵方可能要求的与本投标有关的任何证据或资料。</w:t>
      </w:r>
    </w:p>
    <w:p w14:paraId="2C222289">
      <w:pPr>
        <w:spacing w:line="360" w:lineRule="exact"/>
        <w:ind w:firstLine="440" w:firstLineChars="200"/>
        <w:rPr>
          <w:rFonts w:ascii="宋体" w:hAnsi="宋体" w:cs="宋体"/>
          <w:sz w:val="22"/>
          <w:szCs w:val="22"/>
        </w:rPr>
      </w:pPr>
      <w:r>
        <w:rPr>
          <w:rFonts w:hint="eastAsia" w:ascii="宋体" w:hAnsi="宋体" w:cs="宋体"/>
          <w:sz w:val="22"/>
          <w:szCs w:val="22"/>
        </w:rPr>
        <w:t>（7）我方完全理解贵方不一定要接受最低报价的投标或收到的任何投标。</w:t>
      </w:r>
    </w:p>
    <w:p w14:paraId="34D8BB88">
      <w:pPr>
        <w:spacing w:line="360" w:lineRule="exact"/>
        <w:ind w:firstLine="440" w:firstLineChars="200"/>
        <w:rPr>
          <w:rFonts w:ascii="宋体" w:hAnsi="宋体" w:cs="宋体"/>
          <w:sz w:val="22"/>
          <w:szCs w:val="22"/>
        </w:rPr>
      </w:pPr>
    </w:p>
    <w:p w14:paraId="059D88D3">
      <w:pPr>
        <w:spacing w:line="360" w:lineRule="exact"/>
        <w:ind w:firstLine="440" w:firstLineChars="200"/>
        <w:rPr>
          <w:rFonts w:ascii="宋体" w:hAnsi="宋体" w:cs="宋体"/>
          <w:sz w:val="22"/>
          <w:szCs w:val="22"/>
        </w:rPr>
      </w:pPr>
    </w:p>
    <w:p w14:paraId="6BFEB638">
      <w:pPr>
        <w:spacing w:line="360" w:lineRule="exact"/>
        <w:ind w:firstLine="440" w:firstLineChars="200"/>
        <w:rPr>
          <w:rFonts w:ascii="宋体" w:hAnsi="宋体" w:cs="宋体"/>
          <w:sz w:val="22"/>
          <w:szCs w:val="22"/>
        </w:rPr>
      </w:pPr>
      <w:r>
        <w:rPr>
          <w:rFonts w:hint="eastAsia" w:ascii="宋体" w:hAnsi="宋体" w:cs="宋体"/>
          <w:sz w:val="22"/>
          <w:szCs w:val="22"/>
        </w:rPr>
        <w:t>与本投标有关的正式通信方式：</w:t>
      </w:r>
    </w:p>
    <w:p w14:paraId="0A624EA4">
      <w:pPr>
        <w:spacing w:line="360" w:lineRule="exact"/>
        <w:ind w:firstLine="440" w:firstLineChars="200"/>
        <w:rPr>
          <w:rFonts w:ascii="宋体" w:hAnsi="宋体" w:cs="宋体"/>
          <w:sz w:val="22"/>
          <w:szCs w:val="22"/>
          <w:u w:val="single"/>
        </w:rPr>
      </w:pPr>
      <w:r>
        <w:rPr>
          <w:rFonts w:hint="eastAsia" w:ascii="宋体" w:hAnsi="宋体" w:cs="宋体"/>
          <w:sz w:val="22"/>
          <w:szCs w:val="22"/>
        </w:rPr>
        <w:t>地址：</w:t>
      </w:r>
      <w:r>
        <w:rPr>
          <w:rFonts w:hint="eastAsia" w:ascii="宋体" w:hAnsi="宋体" w:cs="宋体"/>
          <w:sz w:val="22"/>
          <w:szCs w:val="22"/>
          <w:u w:val="single"/>
        </w:rPr>
        <w:t xml:space="preserve">                                          </w:t>
      </w:r>
      <w:r>
        <w:rPr>
          <w:rFonts w:hint="eastAsia" w:ascii="宋体" w:hAnsi="宋体" w:cs="宋体"/>
          <w:sz w:val="22"/>
          <w:szCs w:val="22"/>
        </w:rPr>
        <w:t xml:space="preserve"> 邮政编码：</w:t>
      </w:r>
      <w:r>
        <w:rPr>
          <w:rFonts w:hint="eastAsia" w:ascii="宋体" w:hAnsi="宋体" w:cs="宋体"/>
          <w:sz w:val="22"/>
          <w:szCs w:val="22"/>
          <w:u w:val="single"/>
        </w:rPr>
        <w:t xml:space="preserve">         </w:t>
      </w:r>
    </w:p>
    <w:p w14:paraId="25396992">
      <w:pPr>
        <w:spacing w:line="360" w:lineRule="exact"/>
        <w:ind w:firstLine="440" w:firstLineChars="200"/>
        <w:rPr>
          <w:rFonts w:ascii="宋体" w:hAnsi="宋体" w:cs="宋体"/>
          <w:sz w:val="22"/>
          <w:szCs w:val="22"/>
          <w:u w:val="single"/>
        </w:rPr>
      </w:pPr>
      <w:r>
        <w:rPr>
          <w:rFonts w:hint="eastAsia" w:ascii="宋体" w:hAnsi="宋体" w:cs="宋体"/>
          <w:sz w:val="22"/>
          <w:szCs w:val="22"/>
        </w:rPr>
        <w:t>电话、手机、传真或电传：</w:t>
      </w:r>
      <w:r>
        <w:rPr>
          <w:rFonts w:hint="eastAsia" w:ascii="宋体" w:hAnsi="宋体" w:cs="宋体"/>
          <w:sz w:val="22"/>
          <w:szCs w:val="22"/>
          <w:u w:val="single"/>
        </w:rPr>
        <w:t xml:space="preserve">                                            </w:t>
      </w:r>
    </w:p>
    <w:p w14:paraId="79315CFD">
      <w:pPr>
        <w:spacing w:line="360" w:lineRule="exact"/>
        <w:ind w:firstLine="440" w:firstLineChars="200"/>
        <w:rPr>
          <w:rFonts w:ascii="宋体" w:hAnsi="宋体" w:cs="宋体"/>
          <w:sz w:val="22"/>
          <w:szCs w:val="22"/>
          <w:u w:val="single"/>
        </w:rPr>
      </w:pPr>
      <w:r>
        <w:rPr>
          <w:rFonts w:hint="eastAsia" w:ascii="宋体" w:hAnsi="宋体" w:cs="宋体"/>
          <w:sz w:val="22"/>
          <w:szCs w:val="22"/>
        </w:rPr>
        <w:t>开户银行名称：</w:t>
      </w:r>
      <w:r>
        <w:rPr>
          <w:rFonts w:hint="eastAsia" w:ascii="宋体" w:hAnsi="宋体" w:cs="宋体"/>
          <w:sz w:val="22"/>
          <w:szCs w:val="22"/>
          <w:u w:val="single"/>
        </w:rPr>
        <w:t xml:space="preserve">               </w:t>
      </w:r>
      <w:r>
        <w:rPr>
          <w:rFonts w:hint="eastAsia" w:ascii="宋体" w:hAnsi="宋体" w:cs="宋体"/>
          <w:sz w:val="22"/>
          <w:szCs w:val="22"/>
        </w:rPr>
        <w:t xml:space="preserve"> 开户银行账号：</w:t>
      </w:r>
      <w:r>
        <w:rPr>
          <w:rFonts w:hint="eastAsia" w:ascii="宋体" w:hAnsi="宋体" w:cs="宋体"/>
          <w:sz w:val="22"/>
          <w:szCs w:val="22"/>
          <w:u w:val="single"/>
        </w:rPr>
        <w:t xml:space="preserve">               </w:t>
      </w:r>
    </w:p>
    <w:p w14:paraId="55DEC4B5">
      <w:pPr>
        <w:spacing w:line="360" w:lineRule="exact"/>
        <w:ind w:firstLine="440" w:firstLineChars="200"/>
        <w:rPr>
          <w:rFonts w:ascii="宋体" w:hAnsi="宋体" w:cs="宋体"/>
          <w:sz w:val="22"/>
          <w:szCs w:val="22"/>
          <w:u w:val="single"/>
        </w:rPr>
      </w:pPr>
      <w:r>
        <w:rPr>
          <w:rFonts w:hint="eastAsia" w:ascii="宋体" w:hAnsi="宋体" w:cs="宋体"/>
          <w:sz w:val="22"/>
          <w:szCs w:val="22"/>
        </w:rPr>
        <w:t>开户银行地址：</w:t>
      </w:r>
      <w:r>
        <w:rPr>
          <w:rFonts w:hint="eastAsia" w:ascii="宋体" w:hAnsi="宋体" w:cs="宋体"/>
          <w:sz w:val="22"/>
          <w:szCs w:val="22"/>
          <w:u w:val="single"/>
        </w:rPr>
        <w:t xml:space="preserve">               </w:t>
      </w:r>
      <w:r>
        <w:rPr>
          <w:rFonts w:hint="eastAsia" w:ascii="宋体" w:hAnsi="宋体" w:cs="宋体"/>
          <w:sz w:val="22"/>
          <w:szCs w:val="22"/>
        </w:rPr>
        <w:t xml:space="preserve"> 开户银行电话：</w:t>
      </w:r>
      <w:r>
        <w:rPr>
          <w:rFonts w:hint="eastAsia" w:ascii="宋体" w:hAnsi="宋体" w:cs="宋体"/>
          <w:sz w:val="22"/>
          <w:szCs w:val="22"/>
          <w:u w:val="single"/>
        </w:rPr>
        <w:t xml:space="preserve">               </w:t>
      </w:r>
    </w:p>
    <w:p w14:paraId="554876F9">
      <w:pPr>
        <w:spacing w:line="360" w:lineRule="exact"/>
        <w:ind w:firstLine="5317" w:firstLineChars="2417"/>
        <w:rPr>
          <w:rFonts w:ascii="宋体" w:hAnsi="宋体" w:cs="宋体"/>
          <w:sz w:val="22"/>
          <w:szCs w:val="22"/>
        </w:rPr>
      </w:pPr>
    </w:p>
    <w:p w14:paraId="2403A857">
      <w:pPr>
        <w:spacing w:line="360" w:lineRule="auto"/>
        <w:rPr>
          <w:sz w:val="22"/>
        </w:rPr>
      </w:pPr>
      <w:r>
        <w:rPr>
          <w:rFonts w:hint="eastAsia" w:ascii="宋体" w:hAnsi="宋体"/>
          <w:sz w:val="22"/>
          <w:lang w:val="zh-CN"/>
        </w:rPr>
        <w:t>法定代表人（</w:t>
      </w:r>
      <w:r>
        <w:rPr>
          <w:rFonts w:hint="eastAsia" w:ascii="宋体" w:hAnsi="宋体"/>
          <w:sz w:val="22"/>
        </w:rPr>
        <w:t>单位负责人</w:t>
      </w:r>
      <w:r>
        <w:rPr>
          <w:rFonts w:hint="eastAsia" w:ascii="宋体" w:hAnsi="宋体"/>
          <w:sz w:val="22"/>
          <w:lang w:val="zh-CN"/>
        </w:rPr>
        <w:t>）或其授权代表（签字</w:t>
      </w:r>
      <w:r>
        <w:rPr>
          <w:rFonts w:hint="eastAsia" w:ascii="宋体" w:hAnsi="宋体"/>
          <w:sz w:val="22"/>
        </w:rPr>
        <w:t>或盖章</w:t>
      </w:r>
      <w:r>
        <w:rPr>
          <w:rFonts w:hint="eastAsia" w:ascii="宋体" w:hAnsi="宋体"/>
          <w:sz w:val="22"/>
          <w:lang w:val="zh-CN"/>
        </w:rPr>
        <w:t>）</w:t>
      </w:r>
      <w:r>
        <w:rPr>
          <w:rFonts w:hint="eastAsia"/>
          <w:sz w:val="22"/>
        </w:rPr>
        <w:t xml:space="preserve">：                   </w:t>
      </w:r>
    </w:p>
    <w:p w14:paraId="46931124">
      <w:pPr>
        <w:spacing w:line="360" w:lineRule="auto"/>
        <w:rPr>
          <w:sz w:val="22"/>
        </w:rPr>
      </w:pPr>
      <w:r>
        <w:rPr>
          <w:rFonts w:hint="eastAsia"/>
          <w:sz w:val="22"/>
        </w:rPr>
        <w:t xml:space="preserve">投标人名称（盖章）：                        </w:t>
      </w:r>
    </w:p>
    <w:p w14:paraId="1D456719">
      <w:pPr>
        <w:spacing w:line="360" w:lineRule="auto"/>
        <w:rPr>
          <w:sz w:val="22"/>
        </w:rPr>
      </w:pPr>
      <w:r>
        <w:rPr>
          <w:rFonts w:hint="eastAsia"/>
          <w:sz w:val="22"/>
        </w:rPr>
        <w:t>日期：   年   月   日</w:t>
      </w:r>
    </w:p>
    <w:p w14:paraId="4705C740">
      <w:pPr>
        <w:rPr>
          <w:b/>
          <w:sz w:val="24"/>
        </w:rPr>
      </w:pPr>
    </w:p>
    <w:p w14:paraId="3882BEB7">
      <w:pPr>
        <w:jc w:val="center"/>
        <w:rPr>
          <w:b/>
          <w:bCs/>
          <w:sz w:val="32"/>
          <w:szCs w:val="32"/>
        </w:rPr>
      </w:pPr>
    </w:p>
    <w:p w14:paraId="456499B5">
      <w:pPr>
        <w:spacing w:line="360" w:lineRule="auto"/>
        <w:jc w:val="center"/>
        <w:rPr>
          <w:b/>
          <w:bCs/>
          <w:sz w:val="32"/>
          <w:szCs w:val="32"/>
        </w:rPr>
      </w:pPr>
    </w:p>
    <w:p w14:paraId="3F9D9D81">
      <w:pPr>
        <w:spacing w:line="360" w:lineRule="auto"/>
        <w:rPr>
          <w:rFonts w:ascii="宋体" w:hAnsi="宋体" w:cs="宋体"/>
          <w:sz w:val="22"/>
          <w:szCs w:val="22"/>
        </w:rPr>
      </w:pPr>
    </w:p>
    <w:p w14:paraId="2D98AD2D">
      <w:pPr>
        <w:rPr>
          <w:rFonts w:ascii="宋体" w:hAnsi="宋体" w:cs="宋体"/>
          <w:szCs w:val="21"/>
        </w:rPr>
      </w:pPr>
      <w:r>
        <w:rPr>
          <w:rFonts w:hint="eastAsia" w:ascii="宋体" w:hAnsi="宋体" w:cs="宋体"/>
          <w:szCs w:val="21"/>
        </w:rPr>
        <w:br w:type="page"/>
      </w:r>
    </w:p>
    <w:p w14:paraId="6ABEA2AA"/>
    <w:p w14:paraId="6071F1A1">
      <w:pPr>
        <w:numPr>
          <w:ilvl w:val="0"/>
          <w:numId w:val="5"/>
        </w:numPr>
        <w:ind w:left="420" w:firstLine="0"/>
        <w:jc w:val="center"/>
        <w:outlineLvl w:val="2"/>
        <w:rPr>
          <w:rFonts w:ascii="宋体" w:hAnsi="宋体" w:cs="宋体"/>
          <w:b/>
          <w:bCs/>
          <w:sz w:val="32"/>
        </w:rPr>
      </w:pPr>
      <w:r>
        <w:rPr>
          <w:rFonts w:hint="eastAsia" w:ascii="宋体" w:hAnsi="宋体" w:cs="宋体"/>
          <w:b/>
          <w:bCs/>
          <w:sz w:val="32"/>
        </w:rPr>
        <w:t>政府采购投标及履约承诺函</w:t>
      </w:r>
    </w:p>
    <w:p w14:paraId="3CDB9657">
      <w:pPr>
        <w:widowControl/>
        <w:spacing w:line="240" w:lineRule="exact"/>
        <w:jc w:val="left"/>
        <w:rPr>
          <w:rFonts w:ascii="宋体" w:hAnsi="宋体" w:cs="宋体"/>
          <w:kern w:val="0"/>
          <w:sz w:val="32"/>
          <w:szCs w:val="18"/>
        </w:rPr>
      </w:pPr>
    </w:p>
    <w:p w14:paraId="3B234188">
      <w:pPr>
        <w:spacing w:line="360" w:lineRule="exact"/>
        <w:ind w:firstLine="440" w:firstLineChars="200"/>
        <w:rPr>
          <w:rFonts w:ascii="Times New Roman" w:hAnsi="Times New Roman"/>
          <w:sz w:val="22"/>
          <w:szCs w:val="22"/>
        </w:rPr>
      </w:pPr>
      <w:r>
        <w:rPr>
          <w:rFonts w:ascii="Times New Roman" w:hAnsi="Times New Roman"/>
          <w:sz w:val="22"/>
          <w:szCs w:val="22"/>
        </w:rPr>
        <w:t>我单位承诺：</w:t>
      </w:r>
    </w:p>
    <w:p w14:paraId="14FA5EC1">
      <w:pPr>
        <w:spacing w:line="360" w:lineRule="exact"/>
        <w:ind w:firstLine="440" w:firstLineChars="200"/>
        <w:rPr>
          <w:rFonts w:ascii="Times New Roman" w:hAnsi="Times New Roman"/>
          <w:sz w:val="22"/>
          <w:szCs w:val="22"/>
        </w:rPr>
      </w:pPr>
      <w:r>
        <w:rPr>
          <w:rFonts w:ascii="Times New Roman" w:hAnsi="Times New Roman"/>
          <w:sz w:val="22"/>
          <w:szCs w:val="22"/>
        </w:rPr>
        <w:t>1.我单位参与本项目所投标（响应）的货物、工程或服务，不存在侵犯知识产权的情况；已知悉并同意中标（成交）结果信息公示（公开）的内容。</w:t>
      </w:r>
    </w:p>
    <w:p w14:paraId="5B1B9BD8">
      <w:pPr>
        <w:spacing w:line="360" w:lineRule="exact"/>
        <w:ind w:firstLine="440" w:firstLineChars="200"/>
        <w:rPr>
          <w:rFonts w:ascii="Times New Roman" w:hAnsi="Times New Roman"/>
          <w:sz w:val="22"/>
          <w:szCs w:val="22"/>
        </w:rPr>
      </w:pPr>
      <w:r>
        <w:rPr>
          <w:rFonts w:ascii="Times New Roman" w:hAnsi="Times New Roman"/>
          <w:sz w:val="22"/>
          <w:szCs w:val="22"/>
        </w:rPr>
        <w:t>2.我单位参与该项目投标，符合招标文件关于联合体及进口产品的相关资格要求。</w:t>
      </w:r>
    </w:p>
    <w:p w14:paraId="035085F9">
      <w:pPr>
        <w:spacing w:line="360" w:lineRule="exact"/>
        <w:ind w:firstLine="440" w:firstLineChars="200"/>
        <w:rPr>
          <w:rFonts w:ascii="Times New Roman" w:hAnsi="Times New Roman"/>
          <w:sz w:val="22"/>
          <w:szCs w:val="22"/>
        </w:rPr>
      </w:pPr>
      <w:r>
        <w:rPr>
          <w:rFonts w:ascii="Times New Roman" w:hAnsi="Times New Roman"/>
          <w:sz w:val="22"/>
          <w:szCs w:val="22"/>
        </w:rPr>
        <w:t>3.我单位参与本项目投标前三年内，在经营活动中没有重大违法记录。</w:t>
      </w:r>
    </w:p>
    <w:p w14:paraId="516B3DB1">
      <w:pPr>
        <w:spacing w:line="360" w:lineRule="exact"/>
        <w:ind w:firstLine="440" w:firstLineChars="200"/>
        <w:rPr>
          <w:rFonts w:ascii="Times New Roman" w:hAnsi="Times New Roman"/>
          <w:sz w:val="22"/>
          <w:szCs w:val="22"/>
        </w:rPr>
      </w:pPr>
      <w:r>
        <w:rPr>
          <w:rFonts w:ascii="Times New Roman" w:hAnsi="Times New Roman"/>
          <w:sz w:val="22"/>
          <w:szCs w:val="22"/>
        </w:rPr>
        <w:t>4.我单位参与本项目政府采购活动时不存在被有关部门禁止参与政府采购活动且在有效期内的情况。</w:t>
      </w:r>
    </w:p>
    <w:p w14:paraId="646D651D">
      <w:pPr>
        <w:spacing w:line="360" w:lineRule="exact"/>
        <w:ind w:firstLine="440" w:firstLineChars="200"/>
        <w:rPr>
          <w:rFonts w:ascii="Times New Roman" w:hAnsi="Times New Roman"/>
          <w:sz w:val="22"/>
          <w:szCs w:val="22"/>
        </w:rPr>
      </w:pPr>
      <w:r>
        <w:rPr>
          <w:rFonts w:ascii="Times New Roman" w:hAnsi="Times New Roman"/>
          <w:sz w:val="22"/>
          <w:szCs w:val="22"/>
        </w:rPr>
        <w:t>5.我单位具备《中华人民共和国政府采购法》第二十二条的条件。</w:t>
      </w:r>
    </w:p>
    <w:p w14:paraId="3E239E91">
      <w:pPr>
        <w:spacing w:line="360" w:lineRule="exact"/>
        <w:ind w:firstLine="440" w:firstLineChars="200"/>
        <w:rPr>
          <w:rFonts w:ascii="Times New Roman" w:hAnsi="Times New Roman"/>
          <w:sz w:val="22"/>
          <w:szCs w:val="22"/>
        </w:rPr>
      </w:pPr>
      <w:r>
        <w:rPr>
          <w:rFonts w:ascii="Times New Roman" w:hAnsi="Times New Roman"/>
          <w:sz w:val="22"/>
          <w:szCs w:val="22"/>
        </w:rPr>
        <w:t>6.我单位未被列入失信被执行人、重大税收违法案件当事人名单（重大税收违法失信主体）、政府采购严重违法失信行为记录名单。</w:t>
      </w:r>
    </w:p>
    <w:p w14:paraId="3FFF9D74">
      <w:pPr>
        <w:spacing w:line="360" w:lineRule="exact"/>
        <w:ind w:firstLine="440" w:firstLineChars="200"/>
        <w:rPr>
          <w:rFonts w:ascii="Times New Roman" w:hAnsi="Times New Roman"/>
          <w:sz w:val="22"/>
          <w:szCs w:val="22"/>
        </w:rPr>
      </w:pPr>
      <w:r>
        <w:rPr>
          <w:rFonts w:ascii="Times New Roman" w:hAnsi="Times New Roman"/>
          <w:sz w:val="22"/>
          <w:szCs w:val="22"/>
        </w:rPr>
        <w:t>7.我单位参与该项目投标，严格遵守政府采购相关法律，不造假，不围标、串标、陪标。我单位已清楚，如违反上述要求，投标将作无效处理，被列入不良记录名单并在网上曝光，同时将被提请政府采购主管部门给予一定年限内禁止参与政府采购活动或其他处罚。</w:t>
      </w:r>
    </w:p>
    <w:p w14:paraId="0CF6C8BC">
      <w:pPr>
        <w:spacing w:line="360" w:lineRule="exact"/>
        <w:ind w:firstLine="440" w:firstLineChars="200"/>
        <w:rPr>
          <w:rFonts w:ascii="Times New Roman" w:hAnsi="Times New Roman"/>
          <w:sz w:val="22"/>
          <w:szCs w:val="22"/>
        </w:rPr>
      </w:pPr>
      <w:r>
        <w:rPr>
          <w:rFonts w:ascii="Times New Roman" w:hAnsi="Times New Roman"/>
          <w:sz w:val="22"/>
          <w:szCs w:val="22"/>
        </w:rPr>
        <w:t>8.我单位如果中标，做到守信，不偷工减料，依照本项目招标文件需求内容、签署的采购合同及本单位在投标中所作的一切承诺履约。我单位对本项目的报价负责，中标后将严格按照本项目招标文件需求、签署的采购合同及我单位在投标中所作的全部承诺履行。</w:t>
      </w:r>
    </w:p>
    <w:p w14:paraId="66733371">
      <w:pPr>
        <w:spacing w:line="360" w:lineRule="exact"/>
        <w:ind w:firstLine="440" w:firstLineChars="200"/>
        <w:rPr>
          <w:rFonts w:ascii="Times New Roman" w:hAnsi="Times New Roman"/>
          <w:sz w:val="22"/>
          <w:szCs w:val="22"/>
        </w:rPr>
      </w:pPr>
      <w:r>
        <w:rPr>
          <w:rFonts w:ascii="Times New Roman" w:hAnsi="Times New Roman"/>
          <w:sz w:val="22"/>
          <w:szCs w:val="22"/>
        </w:rPr>
        <w:t>我单位清楚，若以“报价太低而无法履约”为理由放弃本项目中标资格时，愿意接受主管部门的处理处罚。若我单位中标本项目，我单位的报价明显低于其他投标人的报价时，我单位清楚，本项目将成为重点监管、重点验收项目，我单位将按时保质保量完成，并全力配合有关监管、验收工作；若我单位未按上述要求履约，我单位愿意接受主管部门的处理处罚。</w:t>
      </w:r>
    </w:p>
    <w:p w14:paraId="27EA6372">
      <w:pPr>
        <w:spacing w:line="360" w:lineRule="exact"/>
        <w:ind w:firstLine="440" w:firstLineChars="200"/>
        <w:rPr>
          <w:rFonts w:ascii="Times New Roman" w:hAnsi="Times New Roman"/>
          <w:sz w:val="22"/>
          <w:szCs w:val="22"/>
        </w:rPr>
      </w:pPr>
      <w:r>
        <w:rPr>
          <w:rFonts w:ascii="Times New Roman" w:hAnsi="Times New Roman"/>
          <w:sz w:val="22"/>
          <w:szCs w:val="22"/>
        </w:rPr>
        <w:t>9.我单位已认真核实了投标文件的全部内容，所有资料均为真实资料。我单位对投标文件中全部投标资料的真实性负责，如被证实我单位的投标文件中存在虚假资料的，则视为我单位隐瞒真实情况、提供虚假资料，我单位愿意接受主管部门作出的行政处罚。</w:t>
      </w:r>
    </w:p>
    <w:p w14:paraId="0A138A08">
      <w:pPr>
        <w:spacing w:line="360" w:lineRule="exact"/>
        <w:ind w:firstLine="440" w:firstLineChars="200"/>
        <w:rPr>
          <w:rFonts w:ascii="Times New Roman" w:hAnsi="Times New Roman"/>
          <w:sz w:val="22"/>
          <w:szCs w:val="22"/>
        </w:rPr>
      </w:pPr>
      <w:r>
        <w:rPr>
          <w:rFonts w:ascii="Times New Roman" w:hAnsi="Times New Roman"/>
          <w:sz w:val="22"/>
          <w:szCs w:val="22"/>
        </w:rPr>
        <w:t>10.我单位承诺中标后项目不转包，未经采购人同意不进行分包。</w:t>
      </w:r>
    </w:p>
    <w:p w14:paraId="39C7450B">
      <w:pPr>
        <w:spacing w:line="360" w:lineRule="exact"/>
        <w:ind w:firstLine="440" w:firstLineChars="200"/>
        <w:rPr>
          <w:rFonts w:ascii="Times New Roman" w:hAnsi="Times New Roman"/>
          <w:sz w:val="22"/>
          <w:szCs w:val="22"/>
        </w:rPr>
      </w:pPr>
      <w:r>
        <w:rPr>
          <w:rFonts w:ascii="Times New Roman" w:hAnsi="Times New Roman"/>
          <w:sz w:val="22"/>
          <w:szCs w:val="22"/>
        </w:rPr>
        <w:t>11.我单位保证，其所提供的货物通过合法正规渠道供货，在提供给采购人前具有完全的所有权，采购人在中华人民共和国使用该货物或货物的任何一部分时，不会产生因第三方提出的包括但不限于侵犯其专利权、商标权、工业设计权等知识产权和侵犯其所有权、抵押权等物权及其他权利而引发的纠纷；如有纠纷，我单位承担全部责任。</w:t>
      </w:r>
    </w:p>
    <w:p w14:paraId="4BE8EFFA">
      <w:pPr>
        <w:spacing w:line="360" w:lineRule="exact"/>
        <w:ind w:firstLine="440" w:firstLineChars="200"/>
        <w:rPr>
          <w:rFonts w:ascii="Times New Roman" w:hAnsi="Times New Roman"/>
          <w:sz w:val="22"/>
          <w:szCs w:val="22"/>
        </w:rPr>
      </w:pPr>
      <w:r>
        <w:rPr>
          <w:rFonts w:ascii="Times New Roman" w:hAnsi="Times New Roman"/>
          <w:sz w:val="22"/>
          <w:szCs w:val="22"/>
        </w:rPr>
        <w:t>12.我单位保证，若所投货物涉及《财政部生态环境部关于印发节能产品政府采购品目清单的通知》（财库〔2019〕19号）列明的政府采购强制产品，则所投该产品符合节能产品的认证要求。</w:t>
      </w:r>
    </w:p>
    <w:p w14:paraId="1BCAF8D3">
      <w:pPr>
        <w:spacing w:line="360" w:lineRule="exact"/>
        <w:ind w:firstLine="440" w:firstLineChars="200"/>
        <w:rPr>
          <w:rFonts w:ascii="Times New Roman" w:hAnsi="Times New Roman"/>
          <w:sz w:val="22"/>
          <w:szCs w:val="22"/>
        </w:rPr>
      </w:pPr>
      <w:r>
        <w:rPr>
          <w:rFonts w:ascii="Times New Roman" w:hAnsi="Times New Roman"/>
          <w:sz w:val="22"/>
          <w:szCs w:val="22"/>
        </w:rPr>
        <w:t>13.我单位保证，不存在“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的情形。</w:t>
      </w:r>
    </w:p>
    <w:p w14:paraId="09D9F9E3">
      <w:pPr>
        <w:spacing w:line="360" w:lineRule="exact"/>
        <w:ind w:firstLine="440" w:firstLineChars="200"/>
        <w:rPr>
          <w:rFonts w:ascii="Times New Roman" w:hAnsi="Times New Roman"/>
          <w:sz w:val="22"/>
          <w:szCs w:val="22"/>
        </w:rPr>
      </w:pPr>
      <w:r>
        <w:rPr>
          <w:rFonts w:ascii="Times New Roman" w:hAnsi="Times New Roman"/>
          <w:sz w:val="22"/>
          <w:szCs w:val="22"/>
        </w:rPr>
        <w:t>14.我单位保证，若所投产品列入强制性产品认证目录的，则所投该产品须获得强制性产品认证证书（即CCC认证）；其中适用自我声明评价方式的产品，则所投该产品须具有“强制性认证产品符合性自我声明”；若所投产品列入工业产品生产许可证管理的产品目录的，则所投该产品生产者（制造商）须获得《全国工业产品生产许可证》。</w:t>
      </w:r>
    </w:p>
    <w:p w14:paraId="22A87629">
      <w:pPr>
        <w:spacing w:line="360" w:lineRule="exact"/>
        <w:ind w:firstLine="440" w:firstLineChars="200"/>
        <w:rPr>
          <w:rFonts w:ascii="Times New Roman" w:hAnsi="Times New Roman"/>
          <w:sz w:val="22"/>
          <w:szCs w:val="22"/>
        </w:rPr>
      </w:pPr>
      <w:r>
        <w:rPr>
          <w:rFonts w:ascii="Times New Roman" w:hAnsi="Times New Roman"/>
          <w:sz w:val="22"/>
          <w:szCs w:val="22"/>
        </w:rPr>
        <w:t>15.我单位清楚，如存在违反投标承诺行为情节严重的，将根据《深圳市财政局关于印发&lt;深圳市财政局政府采购供应商信用信息管理办法&gt;的通知》，依法被列入失信信息。</w:t>
      </w:r>
    </w:p>
    <w:p w14:paraId="1C276177">
      <w:pPr>
        <w:spacing w:line="360" w:lineRule="exact"/>
        <w:ind w:firstLine="440" w:firstLineChars="200"/>
        <w:rPr>
          <w:rFonts w:ascii="Times New Roman" w:hAnsi="Times New Roman"/>
          <w:sz w:val="22"/>
          <w:szCs w:val="22"/>
        </w:rPr>
      </w:pPr>
      <w:r>
        <w:rPr>
          <w:rFonts w:ascii="Times New Roman" w:hAnsi="Times New Roman"/>
          <w:sz w:val="22"/>
          <w:szCs w:val="22"/>
        </w:rPr>
        <w:t>16.我单位保证，参与本项目不存在《深圳市财政局政府采购供应商信用信息管理办法》列明的严重违法失信行为。</w:t>
      </w:r>
    </w:p>
    <w:p w14:paraId="3F3534DE">
      <w:pPr>
        <w:spacing w:line="360" w:lineRule="exact"/>
        <w:ind w:firstLine="440" w:firstLineChars="200"/>
        <w:rPr>
          <w:rFonts w:ascii="Times New Roman" w:hAnsi="Times New Roman"/>
          <w:sz w:val="22"/>
          <w:szCs w:val="22"/>
        </w:rPr>
      </w:pPr>
    </w:p>
    <w:p w14:paraId="5535C2B2">
      <w:pPr>
        <w:spacing w:line="360" w:lineRule="exact"/>
        <w:ind w:firstLine="440" w:firstLineChars="200"/>
        <w:rPr>
          <w:rFonts w:ascii="Times New Roman" w:hAnsi="Times New Roman"/>
          <w:sz w:val="22"/>
          <w:szCs w:val="22"/>
        </w:rPr>
      </w:pPr>
      <w:r>
        <w:rPr>
          <w:rFonts w:ascii="Times New Roman" w:hAnsi="Times New Roman"/>
          <w:sz w:val="22"/>
          <w:szCs w:val="22"/>
        </w:rPr>
        <w:t>以上承诺，如有违反，愿依照国家相关法律法规处理，并承担由此给采购人带来的损失。</w:t>
      </w:r>
    </w:p>
    <w:p w14:paraId="57642212">
      <w:pPr>
        <w:spacing w:line="360" w:lineRule="exact"/>
        <w:ind w:firstLine="5720" w:firstLineChars="2600"/>
        <w:rPr>
          <w:rFonts w:ascii="Times New Roman" w:hAnsi="Times New Roman"/>
          <w:sz w:val="22"/>
          <w:szCs w:val="22"/>
        </w:rPr>
      </w:pPr>
      <w:r>
        <w:rPr>
          <w:rFonts w:ascii="Times New Roman" w:hAnsi="Times New Roman"/>
          <w:sz w:val="22"/>
          <w:szCs w:val="22"/>
        </w:rPr>
        <w:t xml:space="preserve">                                    </w:t>
      </w:r>
    </w:p>
    <w:p w14:paraId="62020C05">
      <w:pPr>
        <w:spacing w:line="360" w:lineRule="exact"/>
        <w:ind w:firstLine="5720" w:firstLineChars="2600"/>
        <w:rPr>
          <w:rFonts w:ascii="Times New Roman" w:hAnsi="Times New Roman"/>
          <w:color w:val="000000" w:themeColor="text1"/>
          <w:sz w:val="22"/>
          <w:szCs w:val="22"/>
          <w14:textFill>
            <w14:solidFill>
              <w14:schemeClr w14:val="tx1"/>
            </w14:solidFill>
          </w14:textFill>
        </w:rPr>
      </w:pPr>
      <w:r>
        <w:rPr>
          <w:rFonts w:ascii="Times New Roman" w:hAnsi="Times New Roman"/>
          <w:color w:val="000000" w:themeColor="text1"/>
          <w:sz w:val="22"/>
          <w:szCs w:val="22"/>
          <w14:textFill>
            <w14:solidFill>
              <w14:schemeClr w14:val="tx1"/>
            </w14:solidFill>
          </w14:textFill>
        </w:rPr>
        <w:t>投标人：</w:t>
      </w:r>
      <w:r>
        <w:rPr>
          <w:rFonts w:ascii="Times New Roman" w:hAnsi="Times New Roman"/>
          <w:color w:val="000000" w:themeColor="text1"/>
          <w:sz w:val="22"/>
          <w:szCs w:val="22"/>
          <w:u w:val="single"/>
          <w14:textFill>
            <w14:solidFill>
              <w14:schemeClr w14:val="tx1"/>
            </w14:solidFill>
          </w14:textFill>
        </w:rPr>
        <w:t xml:space="preserve">              </w:t>
      </w:r>
    </w:p>
    <w:p w14:paraId="1276D6EF">
      <w:pPr>
        <w:spacing w:line="360" w:lineRule="exact"/>
        <w:ind w:firstLine="645"/>
        <w:rPr>
          <w:rFonts w:ascii="Times New Roman" w:hAnsi="Times New Roman"/>
          <w:color w:val="000000" w:themeColor="text1"/>
          <w:sz w:val="22"/>
          <w:szCs w:val="22"/>
          <w14:textFill>
            <w14:solidFill>
              <w14:schemeClr w14:val="tx1"/>
            </w14:solidFill>
          </w14:textFill>
        </w:rPr>
      </w:pPr>
      <w:r>
        <w:rPr>
          <w:rFonts w:ascii="Times New Roman" w:hAnsi="Times New Roman"/>
          <w:color w:val="000000" w:themeColor="text1"/>
          <w:sz w:val="22"/>
          <w:szCs w:val="22"/>
          <w14:textFill>
            <w14:solidFill>
              <w14:schemeClr w14:val="tx1"/>
            </w14:solidFill>
          </w14:textFill>
        </w:rPr>
        <w:t xml:space="preserve">                                              日期：</w:t>
      </w:r>
      <w:r>
        <w:rPr>
          <w:rFonts w:ascii="Times New Roman" w:hAnsi="Times New Roman"/>
          <w:color w:val="000000" w:themeColor="text1"/>
          <w:sz w:val="22"/>
          <w:szCs w:val="22"/>
          <w:u w:val="single"/>
          <w14:textFill>
            <w14:solidFill>
              <w14:schemeClr w14:val="tx1"/>
            </w14:solidFill>
          </w14:textFill>
        </w:rPr>
        <w:t xml:space="preserve">    </w:t>
      </w:r>
      <w:r>
        <w:rPr>
          <w:rFonts w:ascii="Times New Roman" w:hAnsi="Times New Roman"/>
          <w:color w:val="000000" w:themeColor="text1"/>
          <w:sz w:val="22"/>
          <w:szCs w:val="22"/>
          <w14:textFill>
            <w14:solidFill>
              <w14:schemeClr w14:val="tx1"/>
            </w14:solidFill>
          </w14:textFill>
        </w:rPr>
        <w:t>年</w:t>
      </w:r>
      <w:r>
        <w:rPr>
          <w:rFonts w:ascii="Times New Roman" w:hAnsi="Times New Roman"/>
          <w:color w:val="000000" w:themeColor="text1"/>
          <w:sz w:val="22"/>
          <w:szCs w:val="22"/>
          <w:u w:val="single"/>
          <w14:textFill>
            <w14:solidFill>
              <w14:schemeClr w14:val="tx1"/>
            </w14:solidFill>
          </w14:textFill>
        </w:rPr>
        <w:t xml:space="preserve">   </w:t>
      </w:r>
      <w:r>
        <w:rPr>
          <w:rFonts w:ascii="Times New Roman" w:hAnsi="Times New Roman"/>
          <w:color w:val="000000" w:themeColor="text1"/>
          <w:sz w:val="22"/>
          <w:szCs w:val="22"/>
          <w14:textFill>
            <w14:solidFill>
              <w14:schemeClr w14:val="tx1"/>
            </w14:solidFill>
          </w14:textFill>
        </w:rPr>
        <w:t>月</w:t>
      </w:r>
      <w:r>
        <w:rPr>
          <w:rFonts w:ascii="Times New Roman" w:hAnsi="Times New Roman"/>
          <w:color w:val="000000" w:themeColor="text1"/>
          <w:sz w:val="22"/>
          <w:szCs w:val="22"/>
          <w:u w:val="single"/>
          <w14:textFill>
            <w14:solidFill>
              <w14:schemeClr w14:val="tx1"/>
            </w14:solidFill>
          </w14:textFill>
        </w:rPr>
        <w:t xml:space="preserve">   </w:t>
      </w:r>
      <w:r>
        <w:rPr>
          <w:rFonts w:ascii="Times New Roman" w:hAnsi="Times New Roman"/>
          <w:color w:val="000000" w:themeColor="text1"/>
          <w:sz w:val="22"/>
          <w:szCs w:val="22"/>
          <w14:textFill>
            <w14:solidFill>
              <w14:schemeClr w14:val="tx1"/>
            </w14:solidFill>
          </w14:textFill>
        </w:rPr>
        <w:t>日</w:t>
      </w:r>
    </w:p>
    <w:p w14:paraId="483EC119">
      <w:pPr>
        <w:rPr>
          <w:rFonts w:ascii="宋体" w:hAnsi="宋体"/>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br w:type="page"/>
      </w:r>
    </w:p>
    <w:p w14:paraId="6E372B20">
      <w:pPr>
        <w:pStyle w:val="3"/>
      </w:pPr>
    </w:p>
    <w:p w14:paraId="022EF546">
      <w:pPr>
        <w:numPr>
          <w:ilvl w:val="0"/>
          <w:numId w:val="5"/>
        </w:numPr>
        <w:ind w:left="420" w:firstLine="0"/>
        <w:jc w:val="center"/>
        <w:outlineLvl w:val="2"/>
        <w:rPr>
          <w:rFonts w:ascii="宋体" w:hAnsi="宋体" w:cs="宋体"/>
          <w:b/>
          <w:bCs/>
          <w:sz w:val="32"/>
        </w:rPr>
      </w:pPr>
      <w:r>
        <w:rPr>
          <w:rFonts w:hint="eastAsia" w:ascii="宋体" w:hAnsi="宋体" w:cs="宋体"/>
          <w:b/>
          <w:bCs/>
          <w:sz w:val="32"/>
        </w:rPr>
        <w:t>诚信承诺函</w:t>
      </w:r>
    </w:p>
    <w:p w14:paraId="178BC2DA">
      <w:pPr>
        <w:spacing w:line="360" w:lineRule="auto"/>
        <w:rPr>
          <w:rFonts w:ascii="宋体" w:hAnsi="宋体" w:cs="宋体"/>
          <w:sz w:val="22"/>
          <w:szCs w:val="22"/>
        </w:rPr>
      </w:pPr>
    </w:p>
    <w:p w14:paraId="132504A0">
      <w:pPr>
        <w:spacing w:line="360" w:lineRule="auto"/>
        <w:rPr>
          <w:rFonts w:ascii="宋体" w:hAnsi="宋体" w:cs="宋体"/>
          <w:sz w:val="22"/>
          <w:szCs w:val="22"/>
        </w:rPr>
      </w:pPr>
      <w:r>
        <w:rPr>
          <w:rFonts w:hint="eastAsia" w:ascii="宋体" w:hAnsi="宋体" w:cs="宋体"/>
          <w:sz w:val="22"/>
          <w:szCs w:val="22"/>
        </w:rPr>
        <w:t>致：深圳市东海国际招标有限公司</w:t>
      </w:r>
    </w:p>
    <w:p w14:paraId="5A12B788">
      <w:pPr>
        <w:spacing w:line="360" w:lineRule="auto"/>
        <w:ind w:firstLine="440" w:firstLineChars="200"/>
        <w:rPr>
          <w:rFonts w:ascii="宋体" w:hAnsi="宋体" w:cs="宋体"/>
          <w:sz w:val="22"/>
          <w:szCs w:val="22"/>
        </w:rPr>
      </w:pPr>
      <w:r>
        <w:rPr>
          <w:rFonts w:hint="eastAsia" w:ascii="宋体" w:hAnsi="宋体" w:cs="宋体"/>
          <w:sz w:val="22"/>
          <w:szCs w:val="22"/>
        </w:rPr>
        <w:t>我公司承诺，在政府采购招标投标活动中无下列行为：</w:t>
      </w:r>
    </w:p>
    <w:p w14:paraId="59526732">
      <w:pPr>
        <w:tabs>
          <w:tab w:val="left" w:pos="567"/>
        </w:tabs>
        <w:spacing w:line="360" w:lineRule="auto"/>
        <w:ind w:left="420"/>
        <w:jc w:val="left"/>
        <w:rPr>
          <w:rFonts w:ascii="宋体" w:hAnsi="宋体" w:cs="宋体"/>
          <w:sz w:val="22"/>
          <w:szCs w:val="22"/>
        </w:rPr>
      </w:pPr>
      <w:r>
        <w:rPr>
          <w:rFonts w:hint="eastAsia" w:ascii="宋体" w:hAnsi="宋体" w:cs="宋体"/>
          <w:sz w:val="22"/>
          <w:szCs w:val="22"/>
        </w:rPr>
        <w:t>（一）被纪检监察部门立案调查，违法违规事实成立的；</w:t>
      </w:r>
    </w:p>
    <w:p w14:paraId="18C843E9">
      <w:pPr>
        <w:tabs>
          <w:tab w:val="left" w:pos="567"/>
        </w:tabs>
        <w:spacing w:line="360" w:lineRule="auto"/>
        <w:ind w:left="420"/>
        <w:jc w:val="left"/>
        <w:rPr>
          <w:rFonts w:ascii="宋体" w:hAnsi="宋体" w:cs="宋体"/>
          <w:sz w:val="22"/>
          <w:szCs w:val="22"/>
        </w:rPr>
      </w:pPr>
      <w:r>
        <w:rPr>
          <w:rFonts w:hint="eastAsia" w:ascii="宋体" w:hAnsi="宋体" w:cs="宋体"/>
          <w:sz w:val="22"/>
          <w:szCs w:val="22"/>
        </w:rPr>
        <w:t>（二）未按本条例规定签订、履行采购合同，造成严重后果的；</w:t>
      </w:r>
    </w:p>
    <w:p w14:paraId="11136FD1">
      <w:pPr>
        <w:tabs>
          <w:tab w:val="left" w:pos="567"/>
        </w:tabs>
        <w:spacing w:line="360" w:lineRule="auto"/>
        <w:ind w:left="420"/>
        <w:jc w:val="left"/>
        <w:rPr>
          <w:rFonts w:ascii="宋体" w:hAnsi="宋体" w:cs="宋体"/>
          <w:sz w:val="22"/>
          <w:szCs w:val="22"/>
        </w:rPr>
      </w:pPr>
      <w:r>
        <w:rPr>
          <w:rFonts w:hint="eastAsia" w:ascii="宋体" w:hAnsi="宋体" w:cs="宋体"/>
          <w:sz w:val="22"/>
          <w:szCs w:val="22"/>
        </w:rPr>
        <w:t>（三）隐瞒真实情况，提供虚假资料的；</w:t>
      </w:r>
    </w:p>
    <w:p w14:paraId="42E150F4">
      <w:pPr>
        <w:tabs>
          <w:tab w:val="left" w:pos="567"/>
        </w:tabs>
        <w:spacing w:line="360" w:lineRule="auto"/>
        <w:ind w:left="420"/>
        <w:jc w:val="left"/>
        <w:rPr>
          <w:rFonts w:ascii="宋体" w:hAnsi="宋体" w:cs="宋体"/>
          <w:sz w:val="22"/>
          <w:szCs w:val="22"/>
        </w:rPr>
      </w:pPr>
      <w:r>
        <w:rPr>
          <w:rFonts w:hint="eastAsia" w:ascii="宋体" w:hAnsi="宋体" w:cs="宋体"/>
          <w:sz w:val="22"/>
          <w:szCs w:val="22"/>
        </w:rPr>
        <w:t>（四）以非法手段排斥其他供应商参与竞争的；</w:t>
      </w:r>
    </w:p>
    <w:p w14:paraId="29B14D41">
      <w:pPr>
        <w:tabs>
          <w:tab w:val="left" w:pos="567"/>
        </w:tabs>
        <w:spacing w:line="360" w:lineRule="auto"/>
        <w:ind w:left="420"/>
        <w:jc w:val="left"/>
        <w:rPr>
          <w:rFonts w:ascii="宋体" w:hAnsi="宋体" w:cs="宋体"/>
          <w:sz w:val="22"/>
          <w:szCs w:val="22"/>
        </w:rPr>
      </w:pPr>
      <w:r>
        <w:rPr>
          <w:rFonts w:hint="eastAsia" w:ascii="宋体" w:hAnsi="宋体" w:cs="宋体"/>
          <w:sz w:val="22"/>
          <w:szCs w:val="22"/>
        </w:rPr>
        <w:t>（五）与其他采购参加人串通投标的；</w:t>
      </w:r>
    </w:p>
    <w:p w14:paraId="33D9DBE3">
      <w:pPr>
        <w:tabs>
          <w:tab w:val="left" w:pos="567"/>
        </w:tabs>
        <w:spacing w:line="360" w:lineRule="auto"/>
        <w:ind w:left="420"/>
        <w:jc w:val="left"/>
        <w:rPr>
          <w:rFonts w:ascii="宋体" w:hAnsi="宋体" w:cs="宋体"/>
          <w:sz w:val="22"/>
          <w:szCs w:val="22"/>
        </w:rPr>
      </w:pPr>
      <w:r>
        <w:rPr>
          <w:rFonts w:hint="eastAsia" w:ascii="宋体" w:hAnsi="宋体" w:cs="宋体"/>
          <w:sz w:val="22"/>
          <w:szCs w:val="22"/>
        </w:rPr>
        <w:t xml:space="preserve">（六）在采购活动中应当回避而未回避的； </w:t>
      </w:r>
    </w:p>
    <w:p w14:paraId="7E32FC05">
      <w:pPr>
        <w:tabs>
          <w:tab w:val="left" w:pos="567"/>
        </w:tabs>
        <w:spacing w:line="360" w:lineRule="auto"/>
        <w:ind w:left="420"/>
        <w:jc w:val="left"/>
        <w:rPr>
          <w:rFonts w:ascii="宋体" w:hAnsi="宋体" w:cs="宋体"/>
          <w:sz w:val="22"/>
          <w:szCs w:val="22"/>
        </w:rPr>
      </w:pPr>
      <w:r>
        <w:rPr>
          <w:rFonts w:hint="eastAsia" w:ascii="宋体" w:hAnsi="宋体" w:cs="宋体"/>
          <w:sz w:val="22"/>
          <w:szCs w:val="22"/>
        </w:rPr>
        <w:t xml:space="preserve">（七）恶意投诉的； </w:t>
      </w:r>
    </w:p>
    <w:p w14:paraId="49EBDE20">
      <w:pPr>
        <w:tabs>
          <w:tab w:val="left" w:pos="567"/>
        </w:tabs>
        <w:spacing w:line="360" w:lineRule="auto"/>
        <w:ind w:left="420"/>
        <w:jc w:val="left"/>
        <w:rPr>
          <w:rFonts w:ascii="宋体" w:hAnsi="宋体" w:cs="宋体"/>
          <w:sz w:val="22"/>
          <w:szCs w:val="22"/>
        </w:rPr>
      </w:pPr>
      <w:r>
        <w:rPr>
          <w:rFonts w:hint="eastAsia" w:ascii="宋体" w:hAnsi="宋体" w:cs="宋体"/>
          <w:sz w:val="22"/>
          <w:szCs w:val="22"/>
        </w:rPr>
        <w:t xml:space="preserve">（八）向采购项目相关人行贿或者提供其他不当利益的； </w:t>
      </w:r>
    </w:p>
    <w:p w14:paraId="322F86B1">
      <w:pPr>
        <w:tabs>
          <w:tab w:val="left" w:pos="567"/>
        </w:tabs>
        <w:spacing w:line="360" w:lineRule="auto"/>
        <w:ind w:left="420"/>
        <w:jc w:val="left"/>
        <w:rPr>
          <w:rFonts w:ascii="宋体" w:hAnsi="宋体" w:cs="宋体"/>
          <w:sz w:val="22"/>
          <w:szCs w:val="22"/>
        </w:rPr>
      </w:pPr>
      <w:r>
        <w:rPr>
          <w:rFonts w:hint="eastAsia" w:ascii="宋体" w:hAnsi="宋体" w:cs="宋体"/>
          <w:sz w:val="22"/>
          <w:szCs w:val="22"/>
        </w:rPr>
        <w:t>（九）阻碍、抗拒主管部门监督检查的；</w:t>
      </w:r>
    </w:p>
    <w:p w14:paraId="32D3961F">
      <w:pPr>
        <w:tabs>
          <w:tab w:val="left" w:pos="567"/>
        </w:tabs>
        <w:spacing w:line="360" w:lineRule="auto"/>
        <w:ind w:left="420"/>
        <w:jc w:val="left"/>
        <w:rPr>
          <w:rFonts w:ascii="宋体" w:hAnsi="宋体" w:cs="宋体"/>
          <w:sz w:val="22"/>
          <w:szCs w:val="22"/>
        </w:rPr>
      </w:pPr>
      <w:r>
        <w:rPr>
          <w:rFonts w:hint="eastAsia" w:ascii="宋体" w:hAnsi="宋体" w:cs="宋体"/>
          <w:sz w:val="22"/>
          <w:szCs w:val="22"/>
        </w:rPr>
        <w:t>（十）履约检查不合格或者评价为差的；</w:t>
      </w:r>
    </w:p>
    <w:p w14:paraId="3F9CF284">
      <w:pPr>
        <w:tabs>
          <w:tab w:val="left" w:pos="567"/>
        </w:tabs>
        <w:spacing w:line="360" w:lineRule="auto"/>
        <w:ind w:left="420"/>
        <w:jc w:val="left"/>
        <w:rPr>
          <w:rFonts w:ascii="宋体" w:hAnsi="宋体" w:cs="宋体"/>
          <w:sz w:val="22"/>
          <w:szCs w:val="22"/>
        </w:rPr>
      </w:pPr>
      <w:r>
        <w:rPr>
          <w:rFonts w:hint="eastAsia" w:ascii="宋体" w:hAnsi="宋体" w:cs="宋体"/>
          <w:sz w:val="22"/>
          <w:szCs w:val="22"/>
        </w:rPr>
        <w:t xml:space="preserve">（十一）参与本项目投标前三年内，在经营活动中有重大违法记录； </w:t>
      </w:r>
    </w:p>
    <w:p w14:paraId="1BB0016D">
      <w:pPr>
        <w:tabs>
          <w:tab w:val="left" w:pos="567"/>
        </w:tabs>
        <w:spacing w:line="360" w:lineRule="auto"/>
        <w:ind w:left="420"/>
        <w:jc w:val="left"/>
        <w:rPr>
          <w:rFonts w:ascii="宋体" w:hAnsi="宋体" w:cs="宋体"/>
          <w:sz w:val="22"/>
          <w:szCs w:val="22"/>
        </w:rPr>
      </w:pPr>
      <w:r>
        <w:rPr>
          <w:rFonts w:hint="eastAsia" w:ascii="宋体" w:hAnsi="宋体" w:cs="宋体"/>
          <w:sz w:val="22"/>
          <w:szCs w:val="22"/>
        </w:rPr>
        <w:t>（十二）参与本项目政府采购活动时在处于被有关部门禁止参与政府采购活动且在有效期内的情况；</w:t>
      </w:r>
    </w:p>
    <w:p w14:paraId="04572370">
      <w:pPr>
        <w:spacing w:line="360" w:lineRule="auto"/>
        <w:ind w:firstLine="440" w:firstLineChars="200"/>
        <w:rPr>
          <w:rFonts w:ascii="宋体" w:hAnsi="宋体" w:cs="宋体"/>
          <w:sz w:val="22"/>
          <w:szCs w:val="22"/>
        </w:rPr>
      </w:pPr>
      <w:r>
        <w:rPr>
          <w:rFonts w:hint="eastAsia" w:ascii="宋体" w:hAnsi="宋体" w:cs="宋体"/>
          <w:sz w:val="22"/>
          <w:szCs w:val="22"/>
        </w:rPr>
        <w:t>（十三）主管部门认定的其他情形。</w:t>
      </w:r>
    </w:p>
    <w:p w14:paraId="5E840DD8">
      <w:pPr>
        <w:spacing w:line="360" w:lineRule="auto"/>
        <w:ind w:firstLine="440" w:firstLineChars="200"/>
        <w:rPr>
          <w:rFonts w:ascii="宋体" w:hAnsi="宋体" w:cs="宋体"/>
          <w:sz w:val="22"/>
          <w:szCs w:val="22"/>
        </w:rPr>
      </w:pPr>
      <w:r>
        <w:rPr>
          <w:rFonts w:hint="eastAsia" w:ascii="宋体" w:hAnsi="宋体" w:cs="宋体"/>
          <w:sz w:val="22"/>
          <w:szCs w:val="22"/>
        </w:rPr>
        <w:t>如我司在开标日前三年内存在上述行为超出法定追诉时效未被追诉、或者上述情节轻微未给予禁止参加政府采购的行政处罚，我司自愿承担虚假应标以及其他一切不利的法律后果。</w:t>
      </w:r>
    </w:p>
    <w:p w14:paraId="63913917">
      <w:pPr>
        <w:spacing w:line="360" w:lineRule="auto"/>
        <w:ind w:firstLine="440" w:firstLineChars="200"/>
        <w:rPr>
          <w:rFonts w:ascii="宋体" w:hAnsi="宋体" w:cs="宋体"/>
          <w:sz w:val="22"/>
          <w:szCs w:val="22"/>
        </w:rPr>
      </w:pPr>
      <w:r>
        <w:rPr>
          <w:rFonts w:hint="eastAsia" w:ascii="宋体" w:hAnsi="宋体" w:cs="宋体"/>
          <w:sz w:val="22"/>
          <w:szCs w:val="22"/>
        </w:rPr>
        <w:t>特此承诺。</w:t>
      </w:r>
    </w:p>
    <w:p w14:paraId="1ADF6D29">
      <w:pPr>
        <w:spacing w:line="360" w:lineRule="auto"/>
        <w:ind w:firstLine="440" w:firstLineChars="200"/>
        <w:rPr>
          <w:rFonts w:ascii="宋体" w:hAnsi="宋体" w:cs="宋体"/>
          <w:sz w:val="22"/>
          <w:szCs w:val="22"/>
        </w:rPr>
      </w:pPr>
    </w:p>
    <w:p w14:paraId="145210FA">
      <w:pPr>
        <w:spacing w:line="360" w:lineRule="auto"/>
        <w:rPr>
          <w:rFonts w:ascii="Times New Roman" w:hAnsi="Times New Roman"/>
          <w:sz w:val="22"/>
          <w:szCs w:val="22"/>
        </w:rPr>
      </w:pPr>
      <w:r>
        <w:rPr>
          <w:rFonts w:hint="eastAsia" w:ascii="宋体" w:hAnsi="宋体"/>
          <w:sz w:val="22"/>
          <w:szCs w:val="22"/>
          <w:lang w:val="zh-CN"/>
        </w:rPr>
        <w:t>法定代表人（</w:t>
      </w:r>
      <w:r>
        <w:rPr>
          <w:rFonts w:hint="eastAsia" w:ascii="宋体" w:hAnsi="宋体"/>
          <w:sz w:val="22"/>
          <w:szCs w:val="22"/>
        </w:rPr>
        <w:t>单位负责人</w:t>
      </w:r>
      <w:r>
        <w:rPr>
          <w:rFonts w:hint="eastAsia" w:ascii="宋体" w:hAnsi="宋体"/>
          <w:sz w:val="22"/>
          <w:szCs w:val="22"/>
          <w:lang w:val="zh-CN"/>
        </w:rPr>
        <w:t>）或其授权代表（签字</w:t>
      </w:r>
      <w:r>
        <w:rPr>
          <w:rFonts w:hint="eastAsia" w:ascii="宋体" w:hAnsi="宋体"/>
          <w:sz w:val="22"/>
          <w:szCs w:val="22"/>
        </w:rPr>
        <w:t>或盖章</w:t>
      </w:r>
      <w:r>
        <w:rPr>
          <w:rFonts w:hint="eastAsia" w:ascii="宋体" w:hAnsi="宋体"/>
          <w:sz w:val="22"/>
          <w:szCs w:val="22"/>
          <w:lang w:val="zh-CN"/>
        </w:rPr>
        <w:t>）</w:t>
      </w:r>
      <w:r>
        <w:rPr>
          <w:rFonts w:hint="eastAsia" w:ascii="Times New Roman" w:hAnsi="Times New Roman"/>
          <w:sz w:val="22"/>
          <w:szCs w:val="22"/>
        </w:rPr>
        <w:t xml:space="preserve">：                   </w:t>
      </w:r>
    </w:p>
    <w:p w14:paraId="76EDD269">
      <w:pPr>
        <w:spacing w:line="360" w:lineRule="auto"/>
        <w:rPr>
          <w:rFonts w:ascii="Times New Roman" w:hAnsi="Times New Roman"/>
          <w:sz w:val="22"/>
          <w:szCs w:val="22"/>
        </w:rPr>
      </w:pPr>
      <w:r>
        <w:rPr>
          <w:rFonts w:hint="eastAsia" w:ascii="Times New Roman" w:hAnsi="Times New Roman"/>
          <w:sz w:val="22"/>
          <w:szCs w:val="22"/>
        </w:rPr>
        <w:t xml:space="preserve">投标人名称（盖章）：                        </w:t>
      </w:r>
    </w:p>
    <w:p w14:paraId="03A840A6">
      <w:pPr>
        <w:spacing w:line="360" w:lineRule="auto"/>
        <w:rPr>
          <w:rFonts w:ascii="Times New Roman" w:hAnsi="Times New Roman"/>
          <w:sz w:val="22"/>
          <w:szCs w:val="22"/>
        </w:rPr>
      </w:pPr>
      <w:r>
        <w:rPr>
          <w:rFonts w:hint="eastAsia" w:ascii="Times New Roman" w:hAnsi="Times New Roman"/>
          <w:sz w:val="22"/>
          <w:szCs w:val="22"/>
        </w:rPr>
        <w:t>日期：   年   月   日</w:t>
      </w:r>
    </w:p>
    <w:p w14:paraId="4E27F395">
      <w:pPr>
        <w:pStyle w:val="3"/>
        <w:spacing w:line="360" w:lineRule="exact"/>
        <w:ind w:firstLine="440" w:firstLineChars="200"/>
        <w:rPr>
          <w:rFonts w:ascii="宋体" w:hAnsi="宋体" w:cs="宋体"/>
          <w:b w:val="0"/>
          <w:sz w:val="22"/>
          <w:szCs w:val="22"/>
        </w:rPr>
      </w:pPr>
      <w:r>
        <w:rPr>
          <w:rFonts w:hint="eastAsia" w:ascii="宋体" w:hAnsi="宋体" w:cs="宋体"/>
          <w:b w:val="0"/>
          <w:sz w:val="22"/>
          <w:szCs w:val="22"/>
        </w:rPr>
        <w:br w:type="page"/>
      </w:r>
    </w:p>
    <w:p w14:paraId="5C34CB67">
      <w:pPr>
        <w:numPr>
          <w:ilvl w:val="0"/>
          <w:numId w:val="5"/>
        </w:numPr>
        <w:ind w:left="420" w:firstLine="0"/>
        <w:jc w:val="center"/>
        <w:outlineLvl w:val="2"/>
        <w:rPr>
          <w:rFonts w:ascii="Times New Roman" w:hAnsi="Times New Roman"/>
          <w:b/>
          <w:bCs/>
          <w:sz w:val="32"/>
          <w:szCs w:val="32"/>
        </w:rPr>
      </w:pPr>
      <w:r>
        <w:rPr>
          <w:rFonts w:hint="eastAsia" w:ascii="宋体" w:hAnsi="宋体" w:cs="FZXBSK--GBK1-0"/>
          <w:b/>
          <w:kern w:val="0"/>
          <w:sz w:val="32"/>
          <w:szCs w:val="32"/>
        </w:rPr>
        <w:t>政府采购违法行为风险知悉确认书</w:t>
      </w:r>
    </w:p>
    <w:p w14:paraId="3F7B2C11">
      <w:pPr>
        <w:adjustRightInd w:val="0"/>
        <w:spacing w:line="480" w:lineRule="atLeast"/>
        <w:textAlignment w:val="baseline"/>
        <w:rPr>
          <w:rFonts w:ascii="长城仿宋" w:hAnsi="Times New Roman"/>
          <w:kern w:val="0"/>
          <w:szCs w:val="20"/>
        </w:rPr>
      </w:pPr>
    </w:p>
    <w:p w14:paraId="6DD198B9">
      <w:pPr>
        <w:spacing w:after="120" w:afterLines="50" w:line="360" w:lineRule="exact"/>
        <w:ind w:firstLine="422" w:firstLineChars="200"/>
        <w:rPr>
          <w:rFonts w:ascii="宋体" w:hAnsi="宋体" w:cs="宋体"/>
          <w:b/>
          <w:bCs/>
          <w:szCs w:val="21"/>
        </w:rPr>
      </w:pPr>
      <w:r>
        <w:rPr>
          <w:rFonts w:hint="eastAsia" w:ascii="宋体" w:hAnsi="宋体" w:cs="宋体"/>
          <w:b/>
          <w:bCs/>
          <w:szCs w:val="21"/>
        </w:rPr>
        <w:t>我单位在投标前已充分知悉以下情形为参与政府采购活动时的重大风险事项，并承诺已对下述风险提示事项重点排查，若存在下述情况，我单位愿意依法承担被记入供应商诚信档案、罚款、取消参与政府采购资格、吊销营业执照等处罚；构成犯罪的，依法承担刑事责任。</w:t>
      </w:r>
    </w:p>
    <w:tbl>
      <w:tblPr>
        <w:tblStyle w:val="3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1"/>
        <w:gridCol w:w="7811"/>
      </w:tblGrid>
      <w:tr w14:paraId="34E94E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711" w:type="dxa"/>
          </w:tcPr>
          <w:p w14:paraId="2AF7E241">
            <w:pPr>
              <w:spacing w:line="400" w:lineRule="exact"/>
              <w:jc w:val="center"/>
              <w:rPr>
                <w:rFonts w:ascii="宋体" w:hAnsi="宋体" w:cs="宋体"/>
                <w:szCs w:val="21"/>
              </w:rPr>
            </w:pPr>
            <w:r>
              <w:rPr>
                <w:rFonts w:hint="eastAsia" w:ascii="宋体" w:hAnsi="宋体" w:cs="宋体"/>
                <w:szCs w:val="21"/>
              </w:rPr>
              <w:t>序号</w:t>
            </w:r>
          </w:p>
        </w:tc>
        <w:tc>
          <w:tcPr>
            <w:tcW w:w="7811" w:type="dxa"/>
          </w:tcPr>
          <w:p w14:paraId="32F270DD">
            <w:pPr>
              <w:spacing w:line="400" w:lineRule="exact"/>
              <w:jc w:val="center"/>
              <w:rPr>
                <w:rFonts w:ascii="宋体" w:hAnsi="宋体" w:cs="宋体"/>
                <w:szCs w:val="21"/>
              </w:rPr>
            </w:pPr>
            <w:r>
              <w:rPr>
                <w:rFonts w:hint="eastAsia" w:ascii="宋体" w:hAnsi="宋体" w:cs="宋体"/>
                <w:b/>
                <w:bCs/>
                <w:szCs w:val="21"/>
              </w:rPr>
              <w:t>供应商参与投标禁止情形</w:t>
            </w:r>
          </w:p>
        </w:tc>
      </w:tr>
      <w:tr w14:paraId="64A29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6E0007D3">
            <w:pPr>
              <w:spacing w:line="400" w:lineRule="exact"/>
              <w:jc w:val="center"/>
              <w:rPr>
                <w:rFonts w:ascii="宋体" w:hAnsi="宋体" w:cs="宋体"/>
                <w:szCs w:val="21"/>
              </w:rPr>
            </w:pPr>
            <w:r>
              <w:rPr>
                <w:rFonts w:hint="eastAsia" w:ascii="宋体" w:hAnsi="宋体" w:cs="宋体"/>
                <w:szCs w:val="21"/>
              </w:rPr>
              <w:t>1</w:t>
            </w:r>
          </w:p>
        </w:tc>
        <w:tc>
          <w:tcPr>
            <w:tcW w:w="7811" w:type="dxa"/>
            <w:vAlign w:val="center"/>
          </w:tcPr>
          <w:p w14:paraId="1FC0E7CC">
            <w:pPr>
              <w:spacing w:line="400" w:lineRule="exact"/>
              <w:jc w:val="left"/>
              <w:rPr>
                <w:rFonts w:ascii="宋体" w:hAnsi="宋体" w:cs="宋体"/>
                <w:szCs w:val="21"/>
              </w:rPr>
            </w:pPr>
            <w:r>
              <w:rPr>
                <w:rFonts w:hint="eastAsia" w:ascii="宋体" w:hAnsi="宋体" w:cs="宋体"/>
                <w:szCs w:val="21"/>
              </w:rPr>
              <w:t>与其他投标供应商的法定代表人、主要经营负责人、投标授权代表人、项目负责人、主要技术人员为</w:t>
            </w:r>
            <w:r>
              <w:rPr>
                <w:rFonts w:hint="eastAsia" w:ascii="宋体" w:hAnsi="宋体" w:cs="宋体"/>
                <w:b/>
                <w:bCs/>
                <w:szCs w:val="21"/>
              </w:rPr>
              <w:t>同一人、属同一单位或者在同一单位缴纳社会保险</w:t>
            </w:r>
            <w:r>
              <w:rPr>
                <w:rFonts w:hint="eastAsia" w:ascii="宋体" w:hAnsi="宋体" w:cs="宋体"/>
                <w:szCs w:val="21"/>
              </w:rPr>
              <w:t>。</w:t>
            </w:r>
          </w:p>
        </w:tc>
      </w:tr>
      <w:tr w14:paraId="2820C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7F1B33CD">
            <w:pPr>
              <w:spacing w:line="400" w:lineRule="exact"/>
              <w:jc w:val="center"/>
              <w:rPr>
                <w:rFonts w:ascii="宋体" w:hAnsi="宋体" w:cs="宋体"/>
                <w:szCs w:val="21"/>
              </w:rPr>
            </w:pPr>
            <w:r>
              <w:rPr>
                <w:rFonts w:hint="eastAsia" w:ascii="宋体" w:hAnsi="宋体" w:cs="宋体"/>
                <w:szCs w:val="21"/>
              </w:rPr>
              <w:t>2</w:t>
            </w:r>
          </w:p>
        </w:tc>
        <w:tc>
          <w:tcPr>
            <w:tcW w:w="7811" w:type="dxa"/>
            <w:vAlign w:val="center"/>
          </w:tcPr>
          <w:p w14:paraId="2C515AEA">
            <w:pPr>
              <w:spacing w:line="400" w:lineRule="exact"/>
              <w:jc w:val="left"/>
              <w:rPr>
                <w:rFonts w:ascii="宋体" w:hAnsi="宋体" w:cs="宋体"/>
                <w:szCs w:val="21"/>
              </w:rPr>
            </w:pPr>
            <w:r>
              <w:rPr>
                <w:rFonts w:hint="eastAsia" w:ascii="宋体" w:hAnsi="宋体" w:cs="宋体"/>
                <w:szCs w:val="21"/>
              </w:rPr>
              <w:t>参与本项目政府采购活动时，与其他投标供应商存在单位负责人为</w:t>
            </w:r>
            <w:r>
              <w:rPr>
                <w:rFonts w:hint="eastAsia" w:ascii="宋体" w:hAnsi="宋体" w:cs="宋体"/>
                <w:b/>
                <w:bCs/>
                <w:szCs w:val="21"/>
              </w:rPr>
              <w:t>同一人或直接控股、管理关系</w:t>
            </w:r>
            <w:r>
              <w:rPr>
                <w:rFonts w:hint="eastAsia" w:ascii="宋体" w:hAnsi="宋体" w:cs="宋体"/>
                <w:szCs w:val="21"/>
              </w:rPr>
              <w:t>。</w:t>
            </w:r>
          </w:p>
        </w:tc>
      </w:tr>
      <w:tr w14:paraId="2F018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6EF6F34D">
            <w:pPr>
              <w:spacing w:line="400" w:lineRule="exact"/>
              <w:jc w:val="center"/>
              <w:rPr>
                <w:rFonts w:ascii="宋体" w:hAnsi="宋体" w:cs="宋体"/>
                <w:szCs w:val="21"/>
              </w:rPr>
            </w:pPr>
            <w:r>
              <w:rPr>
                <w:rFonts w:hint="eastAsia" w:ascii="宋体" w:hAnsi="宋体" w:cs="宋体"/>
                <w:szCs w:val="21"/>
              </w:rPr>
              <w:t>3</w:t>
            </w:r>
          </w:p>
        </w:tc>
        <w:tc>
          <w:tcPr>
            <w:tcW w:w="7811" w:type="dxa"/>
            <w:vAlign w:val="center"/>
          </w:tcPr>
          <w:p w14:paraId="211ACBCF">
            <w:pPr>
              <w:spacing w:line="400" w:lineRule="exact"/>
              <w:jc w:val="left"/>
              <w:rPr>
                <w:rFonts w:ascii="宋体" w:hAnsi="宋体" w:cs="宋体"/>
                <w:szCs w:val="21"/>
              </w:rPr>
            </w:pPr>
            <w:r>
              <w:rPr>
                <w:rFonts w:hint="eastAsia" w:ascii="宋体" w:hAnsi="宋体" w:cs="宋体"/>
                <w:szCs w:val="21"/>
              </w:rPr>
              <w:t>与其他投标供应商的投标文件或部分投标文件</w:t>
            </w:r>
            <w:r>
              <w:rPr>
                <w:rFonts w:hint="eastAsia" w:ascii="宋体" w:hAnsi="宋体" w:cs="宋体"/>
                <w:b/>
                <w:bCs/>
                <w:szCs w:val="21"/>
              </w:rPr>
              <w:t>相互混装或存在非正常一致</w:t>
            </w:r>
            <w:r>
              <w:rPr>
                <w:rFonts w:hint="eastAsia" w:ascii="宋体" w:hAnsi="宋体" w:cs="宋体"/>
                <w:szCs w:val="21"/>
              </w:rPr>
              <w:t>。</w:t>
            </w:r>
          </w:p>
        </w:tc>
      </w:tr>
      <w:tr w14:paraId="26639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48A963EF">
            <w:pPr>
              <w:spacing w:line="400" w:lineRule="exact"/>
              <w:jc w:val="center"/>
              <w:rPr>
                <w:rFonts w:ascii="宋体" w:hAnsi="宋体" w:cs="宋体"/>
                <w:szCs w:val="21"/>
              </w:rPr>
            </w:pPr>
            <w:r>
              <w:rPr>
                <w:rFonts w:hint="eastAsia" w:ascii="宋体" w:hAnsi="宋体" w:cs="宋体"/>
                <w:szCs w:val="21"/>
              </w:rPr>
              <w:t>4</w:t>
            </w:r>
          </w:p>
        </w:tc>
        <w:tc>
          <w:tcPr>
            <w:tcW w:w="7811" w:type="dxa"/>
            <w:vAlign w:val="center"/>
          </w:tcPr>
          <w:p w14:paraId="5A357153">
            <w:pPr>
              <w:spacing w:line="400" w:lineRule="exact"/>
              <w:jc w:val="left"/>
              <w:rPr>
                <w:rFonts w:ascii="宋体" w:hAnsi="宋体" w:cs="宋体"/>
                <w:szCs w:val="21"/>
              </w:rPr>
            </w:pPr>
            <w:r>
              <w:rPr>
                <w:rFonts w:hint="eastAsia" w:ascii="宋体" w:hAnsi="宋体" w:cs="宋体"/>
                <w:szCs w:val="21"/>
              </w:rPr>
              <w:t>与其他投标供应商的投标文件由</w:t>
            </w:r>
            <w:r>
              <w:rPr>
                <w:rFonts w:hint="eastAsia" w:ascii="宋体" w:hAnsi="宋体" w:cs="宋体"/>
                <w:b/>
                <w:bCs/>
                <w:szCs w:val="21"/>
              </w:rPr>
              <w:t>同一单位或者同一人编制</w:t>
            </w:r>
            <w:r>
              <w:rPr>
                <w:rFonts w:hint="eastAsia" w:ascii="宋体" w:hAnsi="宋体" w:cs="宋体"/>
                <w:szCs w:val="21"/>
              </w:rPr>
              <w:t>，或者使用</w:t>
            </w:r>
            <w:r>
              <w:rPr>
                <w:rFonts w:hint="eastAsia" w:ascii="宋体" w:hAnsi="宋体" w:cs="宋体"/>
                <w:b/>
                <w:bCs/>
                <w:szCs w:val="21"/>
              </w:rPr>
              <w:t>同一设备编制</w:t>
            </w:r>
            <w:r>
              <w:rPr>
                <w:rFonts w:hint="eastAsia" w:ascii="宋体" w:hAnsi="宋体" w:cs="宋体"/>
                <w:szCs w:val="21"/>
              </w:rPr>
              <w:t>（“文件制作机器码”“文件创建标识码”一致）。</w:t>
            </w:r>
          </w:p>
        </w:tc>
      </w:tr>
      <w:tr w14:paraId="28598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11" w:type="dxa"/>
          </w:tcPr>
          <w:p w14:paraId="7771C6AD">
            <w:pPr>
              <w:spacing w:line="400" w:lineRule="exact"/>
              <w:jc w:val="center"/>
              <w:rPr>
                <w:rFonts w:ascii="宋体" w:hAnsi="宋体" w:cs="宋体"/>
                <w:szCs w:val="21"/>
              </w:rPr>
            </w:pPr>
            <w:r>
              <w:rPr>
                <w:rFonts w:hint="eastAsia" w:ascii="宋体" w:hAnsi="宋体" w:cs="宋体"/>
                <w:szCs w:val="21"/>
              </w:rPr>
              <w:t>5</w:t>
            </w:r>
          </w:p>
        </w:tc>
        <w:tc>
          <w:tcPr>
            <w:tcW w:w="7811" w:type="dxa"/>
            <w:vAlign w:val="center"/>
          </w:tcPr>
          <w:p w14:paraId="1F8E3F8A">
            <w:pPr>
              <w:spacing w:line="400" w:lineRule="exact"/>
              <w:jc w:val="left"/>
              <w:rPr>
                <w:rFonts w:ascii="宋体" w:hAnsi="宋体" w:cs="宋体"/>
                <w:szCs w:val="21"/>
              </w:rPr>
            </w:pPr>
            <w:r>
              <w:rPr>
                <w:rFonts w:hint="eastAsia" w:ascii="宋体" w:hAnsi="宋体" w:cs="宋体"/>
                <w:szCs w:val="21"/>
              </w:rPr>
              <w:t>提供</w:t>
            </w:r>
            <w:r>
              <w:rPr>
                <w:rFonts w:hint="eastAsia" w:ascii="宋体" w:hAnsi="宋体" w:cs="宋体"/>
                <w:b/>
                <w:bCs/>
                <w:szCs w:val="21"/>
              </w:rPr>
              <w:t>未经出具机构核实</w:t>
            </w:r>
            <w:r>
              <w:rPr>
                <w:rFonts w:hint="eastAsia" w:ascii="宋体" w:hAnsi="宋体" w:cs="宋体"/>
                <w:szCs w:val="21"/>
              </w:rPr>
              <w:t>的虚假的检验检测报告、业绩材料、社保缴纳证明、学历学位证书、职称认证证书等材料。</w:t>
            </w:r>
          </w:p>
        </w:tc>
      </w:tr>
      <w:tr w14:paraId="35645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1" w:type="dxa"/>
          </w:tcPr>
          <w:p w14:paraId="12FA8A29">
            <w:pPr>
              <w:spacing w:line="400" w:lineRule="exact"/>
              <w:jc w:val="center"/>
              <w:rPr>
                <w:rFonts w:ascii="宋体" w:hAnsi="宋体" w:cs="宋体"/>
                <w:szCs w:val="21"/>
              </w:rPr>
            </w:pPr>
            <w:r>
              <w:rPr>
                <w:rFonts w:hint="eastAsia" w:ascii="宋体" w:hAnsi="宋体" w:cs="宋体"/>
                <w:szCs w:val="21"/>
              </w:rPr>
              <w:t>6</w:t>
            </w:r>
          </w:p>
        </w:tc>
        <w:tc>
          <w:tcPr>
            <w:tcW w:w="7811" w:type="dxa"/>
            <w:vAlign w:val="center"/>
          </w:tcPr>
          <w:p w14:paraId="03FCCE76">
            <w:pPr>
              <w:spacing w:line="400" w:lineRule="exact"/>
              <w:jc w:val="left"/>
              <w:rPr>
                <w:rFonts w:ascii="宋体" w:hAnsi="宋体" w:cs="宋体"/>
                <w:szCs w:val="21"/>
              </w:rPr>
            </w:pPr>
            <w:r>
              <w:rPr>
                <w:rFonts w:hint="eastAsia" w:ascii="宋体" w:hAnsi="宋体" w:cs="宋体"/>
                <w:szCs w:val="21"/>
              </w:rPr>
              <w:t>擅自将投标密钥或电子营业执照出借他人使用或未妥善保管。</w:t>
            </w:r>
          </w:p>
        </w:tc>
      </w:tr>
    </w:tbl>
    <w:p w14:paraId="385810BA">
      <w:pPr>
        <w:spacing w:before="120" w:beforeLines="50" w:line="380" w:lineRule="exact"/>
        <w:ind w:firstLine="422" w:firstLineChars="200"/>
        <w:rPr>
          <w:rFonts w:ascii="宋体" w:hAnsi="宋体" w:cs="宋体"/>
          <w:b/>
          <w:szCs w:val="21"/>
        </w:rPr>
      </w:pPr>
      <w:r>
        <w:rPr>
          <w:rFonts w:hint="eastAsia" w:ascii="宋体" w:hAnsi="宋体" w:cs="宋体"/>
          <w:b/>
          <w:szCs w:val="21"/>
        </w:rPr>
        <w:t>一、我单位已充分知悉“隐瞒真实情况，提供虚假资料”的法定情形，包括但不限于：</w:t>
      </w:r>
    </w:p>
    <w:p w14:paraId="36EC9C6F">
      <w:pPr>
        <w:spacing w:line="380" w:lineRule="exact"/>
        <w:ind w:firstLine="420" w:firstLineChars="200"/>
        <w:rPr>
          <w:rFonts w:ascii="宋体" w:hAnsi="宋体" w:cs="宋体"/>
          <w:szCs w:val="21"/>
        </w:rPr>
      </w:pPr>
      <w:r>
        <w:rPr>
          <w:rFonts w:hint="eastAsia" w:ascii="宋体" w:hAnsi="宋体" w:cs="宋体"/>
          <w:szCs w:val="21"/>
        </w:rPr>
        <w:t>（一）通过转让或者租借等方式从其他单位获取资格或者资质证书投标的。</w:t>
      </w:r>
    </w:p>
    <w:p w14:paraId="031D5A73">
      <w:pPr>
        <w:spacing w:line="380" w:lineRule="exact"/>
        <w:ind w:firstLine="420" w:firstLineChars="200"/>
        <w:rPr>
          <w:rFonts w:ascii="宋体" w:hAnsi="宋体" w:cs="宋体"/>
          <w:szCs w:val="21"/>
        </w:rPr>
      </w:pPr>
      <w:r>
        <w:rPr>
          <w:rFonts w:hint="eastAsia" w:ascii="宋体" w:hAnsi="宋体" w:cs="宋体"/>
          <w:szCs w:val="21"/>
        </w:rPr>
        <w:t>（二）由其他单位或者其他单位负责人在投标供应商编制的投标文件上加盖印章或者签字的。</w:t>
      </w:r>
    </w:p>
    <w:p w14:paraId="71B9CA84">
      <w:pPr>
        <w:spacing w:line="380" w:lineRule="exact"/>
        <w:ind w:firstLine="420" w:firstLineChars="200"/>
        <w:rPr>
          <w:rFonts w:ascii="宋体" w:hAnsi="宋体" w:cs="宋体"/>
          <w:szCs w:val="21"/>
        </w:rPr>
      </w:pPr>
      <w:r>
        <w:rPr>
          <w:rFonts w:hint="eastAsia" w:ascii="宋体" w:hAnsi="宋体" w:cs="宋体"/>
          <w:szCs w:val="21"/>
        </w:rPr>
        <w:t>（三）项目负责人或者主要技术人员不是本单位人员的。</w:t>
      </w:r>
    </w:p>
    <w:p w14:paraId="3145CA52">
      <w:pPr>
        <w:spacing w:line="380" w:lineRule="exact"/>
        <w:ind w:firstLine="420" w:firstLineChars="200"/>
        <w:rPr>
          <w:rFonts w:ascii="宋体" w:hAnsi="宋体" w:cs="宋体"/>
          <w:szCs w:val="21"/>
        </w:rPr>
      </w:pPr>
      <w:r>
        <w:rPr>
          <w:rFonts w:hint="eastAsia" w:ascii="宋体" w:hAnsi="宋体" w:cs="宋体"/>
          <w:szCs w:val="21"/>
        </w:rPr>
        <w:t>（四）投标保证金不是从投标供应商基本账户转出的。</w:t>
      </w:r>
    </w:p>
    <w:p w14:paraId="17E16F12">
      <w:pPr>
        <w:spacing w:line="380" w:lineRule="exact"/>
        <w:ind w:firstLine="420" w:firstLineChars="200"/>
        <w:rPr>
          <w:rFonts w:ascii="宋体" w:hAnsi="宋体" w:cs="宋体"/>
          <w:szCs w:val="21"/>
        </w:rPr>
      </w:pPr>
      <w:r>
        <w:rPr>
          <w:rFonts w:hint="eastAsia" w:ascii="宋体" w:hAnsi="宋体" w:cs="宋体"/>
          <w:szCs w:val="21"/>
        </w:rPr>
        <w:t>（五）其他隐瞒真实情况、提供虚假资料的行为。</w:t>
      </w:r>
    </w:p>
    <w:p w14:paraId="1001BF96">
      <w:pPr>
        <w:spacing w:line="380" w:lineRule="exact"/>
        <w:ind w:firstLine="422" w:firstLineChars="200"/>
        <w:rPr>
          <w:rFonts w:ascii="宋体" w:hAnsi="宋体" w:cs="宋体"/>
          <w:b/>
          <w:szCs w:val="21"/>
        </w:rPr>
      </w:pPr>
      <w:r>
        <w:rPr>
          <w:rFonts w:hint="eastAsia" w:ascii="宋体" w:hAnsi="宋体" w:cs="宋体"/>
          <w:b/>
          <w:szCs w:val="21"/>
        </w:rPr>
        <w:t>二、我单位已充分知悉“与其他采购参加人串通投标”的法定情形，包括但不限于：</w:t>
      </w:r>
    </w:p>
    <w:p w14:paraId="2B7E9B80">
      <w:pPr>
        <w:spacing w:line="380" w:lineRule="exact"/>
        <w:ind w:firstLine="420" w:firstLineChars="200"/>
        <w:rPr>
          <w:rFonts w:ascii="宋体" w:hAnsi="宋体" w:cs="宋体"/>
          <w:szCs w:val="21"/>
        </w:rPr>
      </w:pPr>
      <w:r>
        <w:rPr>
          <w:rFonts w:hint="eastAsia" w:ascii="宋体" w:hAnsi="宋体" w:cs="宋体"/>
          <w:szCs w:val="21"/>
        </w:rPr>
        <w:t>（一）投标供应商之间相互约定给予未中标的供应商利益补偿。</w:t>
      </w:r>
    </w:p>
    <w:p w14:paraId="3ECBCDE1">
      <w:pPr>
        <w:spacing w:line="380" w:lineRule="exact"/>
        <w:ind w:firstLine="420" w:firstLineChars="200"/>
        <w:rPr>
          <w:rFonts w:ascii="宋体" w:hAnsi="宋体" w:cs="宋体"/>
          <w:szCs w:val="21"/>
        </w:rPr>
      </w:pPr>
      <w:r>
        <w:rPr>
          <w:rFonts w:hint="eastAsia" w:ascii="宋体" w:hAnsi="宋体" w:cs="宋体"/>
          <w:szCs w:val="21"/>
        </w:rPr>
        <w:t>（二）不同投标供应商的法定代表人、主要经营负责人、项目投标授权代表人、项目负责人、主要技术人员为同一人、属同一单位或者在同一单位缴纳社会保险。</w:t>
      </w:r>
    </w:p>
    <w:p w14:paraId="13767A76">
      <w:pPr>
        <w:spacing w:line="340" w:lineRule="exact"/>
        <w:ind w:firstLine="420" w:firstLineChars="200"/>
        <w:rPr>
          <w:rFonts w:ascii="宋体" w:hAnsi="宋体" w:cs="宋体"/>
          <w:szCs w:val="21"/>
        </w:rPr>
      </w:pPr>
      <w:r>
        <w:rPr>
          <w:rFonts w:hint="eastAsia" w:ascii="宋体" w:hAnsi="宋体" w:cs="宋体"/>
          <w:szCs w:val="21"/>
        </w:rPr>
        <w:t>（三）不同投标供应商的投标文件由同一单位或者同一人编制，或者由同一人分阶段参与编制的。</w:t>
      </w:r>
    </w:p>
    <w:p w14:paraId="34353BBC">
      <w:pPr>
        <w:spacing w:line="340" w:lineRule="exact"/>
        <w:ind w:firstLine="420" w:firstLineChars="200"/>
        <w:rPr>
          <w:rFonts w:ascii="宋体" w:hAnsi="宋体" w:cs="宋体"/>
          <w:szCs w:val="21"/>
        </w:rPr>
      </w:pPr>
      <w:r>
        <w:rPr>
          <w:rFonts w:hint="eastAsia" w:ascii="宋体" w:hAnsi="宋体" w:cs="宋体"/>
          <w:szCs w:val="21"/>
        </w:rPr>
        <w:t>（四）不同投标供应商的投标文件或部分投标文件相互混装。</w:t>
      </w:r>
    </w:p>
    <w:p w14:paraId="22F94421">
      <w:pPr>
        <w:spacing w:line="340" w:lineRule="exact"/>
        <w:ind w:firstLine="420" w:firstLineChars="200"/>
        <w:rPr>
          <w:rFonts w:ascii="宋体" w:hAnsi="宋体" w:cs="宋体"/>
          <w:szCs w:val="21"/>
        </w:rPr>
      </w:pPr>
      <w:r>
        <w:rPr>
          <w:rFonts w:hint="eastAsia" w:ascii="宋体" w:hAnsi="宋体" w:cs="宋体"/>
          <w:szCs w:val="21"/>
        </w:rPr>
        <w:t>（五）不同投标供应商的投标文件内容存在非正常一致。</w:t>
      </w:r>
    </w:p>
    <w:p w14:paraId="4134AB91">
      <w:pPr>
        <w:spacing w:line="340" w:lineRule="exact"/>
        <w:ind w:firstLine="420" w:firstLineChars="200"/>
        <w:rPr>
          <w:rFonts w:ascii="宋体" w:hAnsi="宋体" w:cs="宋体"/>
          <w:szCs w:val="21"/>
        </w:rPr>
      </w:pPr>
      <w:r>
        <w:rPr>
          <w:rFonts w:hint="eastAsia" w:ascii="宋体" w:hAnsi="宋体" w:cs="宋体"/>
          <w:szCs w:val="21"/>
        </w:rPr>
        <w:t>（六）由同一单位工作人员为两家以上（含两家）供应商进行同一项投标活动的。</w:t>
      </w:r>
    </w:p>
    <w:p w14:paraId="22236FDD">
      <w:pPr>
        <w:spacing w:line="340" w:lineRule="exact"/>
        <w:ind w:firstLine="420" w:firstLineChars="200"/>
        <w:rPr>
          <w:rFonts w:ascii="宋体" w:hAnsi="宋体" w:cs="宋体"/>
          <w:szCs w:val="21"/>
        </w:rPr>
      </w:pPr>
      <w:r>
        <w:rPr>
          <w:rFonts w:hint="eastAsia" w:ascii="宋体" w:hAnsi="宋体" w:cs="宋体"/>
          <w:szCs w:val="21"/>
        </w:rPr>
        <w:t>（七）不同投标人的投标报价呈规律性差异。</w:t>
      </w:r>
    </w:p>
    <w:p w14:paraId="7928D5E4">
      <w:pPr>
        <w:spacing w:line="340" w:lineRule="exact"/>
        <w:ind w:firstLine="420" w:firstLineChars="200"/>
        <w:rPr>
          <w:rFonts w:ascii="宋体" w:hAnsi="宋体" w:cs="宋体"/>
          <w:szCs w:val="21"/>
        </w:rPr>
      </w:pPr>
      <w:r>
        <w:rPr>
          <w:rFonts w:hint="eastAsia" w:ascii="宋体" w:hAnsi="宋体" w:cs="宋体"/>
          <w:szCs w:val="21"/>
        </w:rPr>
        <w:t>（八）不同投标人的投标保证金从同一单位或者个人的账户转出。</w:t>
      </w:r>
    </w:p>
    <w:p w14:paraId="0340294B">
      <w:pPr>
        <w:spacing w:line="340" w:lineRule="exact"/>
        <w:ind w:firstLine="420" w:firstLineChars="200"/>
        <w:rPr>
          <w:rFonts w:ascii="宋体" w:hAnsi="宋体" w:cs="宋体"/>
          <w:szCs w:val="21"/>
        </w:rPr>
      </w:pPr>
      <w:r>
        <w:rPr>
          <w:rFonts w:hint="eastAsia" w:ascii="宋体" w:hAnsi="宋体" w:cs="宋体"/>
          <w:szCs w:val="21"/>
        </w:rPr>
        <w:t>（九）主管部门依照法律、法规认定的其他情形。</w:t>
      </w:r>
    </w:p>
    <w:p w14:paraId="11C833E5">
      <w:pPr>
        <w:spacing w:line="340" w:lineRule="exact"/>
        <w:ind w:firstLine="422" w:firstLineChars="200"/>
        <w:rPr>
          <w:rFonts w:ascii="宋体" w:hAnsi="宋体" w:cs="宋体"/>
          <w:b/>
          <w:szCs w:val="21"/>
        </w:rPr>
      </w:pPr>
      <w:r>
        <w:rPr>
          <w:rFonts w:hint="eastAsia" w:ascii="宋体" w:hAnsi="宋体" w:cs="宋体"/>
          <w:b/>
          <w:szCs w:val="21"/>
        </w:rPr>
        <w:t>三、我单位已充分知悉下列情形存在法律风险，在投标前已对相关风险事项进行排查。</w:t>
      </w:r>
    </w:p>
    <w:p w14:paraId="73CE0736">
      <w:pPr>
        <w:spacing w:line="340" w:lineRule="exact"/>
        <w:ind w:firstLine="420" w:firstLineChars="200"/>
        <w:rPr>
          <w:rFonts w:ascii="宋体" w:hAnsi="宋体" w:cs="宋体"/>
          <w:b/>
          <w:szCs w:val="21"/>
        </w:rPr>
      </w:pPr>
      <w:r>
        <w:rPr>
          <w:rFonts w:hint="eastAsia" w:ascii="宋体" w:hAnsi="宋体" w:cs="宋体"/>
          <w:szCs w:val="21"/>
        </w:rPr>
        <w:t>（一）对于从其他主体获取的投标资料，我单位应审慎核查，确保其真实性。</w:t>
      </w:r>
      <w:r>
        <w:rPr>
          <w:rFonts w:hint="eastAsia" w:ascii="宋体" w:hAnsi="宋体" w:cs="宋体"/>
          <w:b/>
          <w:szCs w:val="21"/>
        </w:rPr>
        <w:t>如主管部门查实投标文件中存在虚假资料的，无论相关资料是否由第三方或本公司员工提供，均不影响主管部门对供应商存在“隐瞒真实情况，提供虚假资料”违法行为的认定。</w:t>
      </w:r>
    </w:p>
    <w:p w14:paraId="3B8C697B">
      <w:pPr>
        <w:spacing w:line="340" w:lineRule="exact"/>
        <w:ind w:firstLine="420" w:firstLineChars="200"/>
        <w:rPr>
          <w:rFonts w:ascii="宋体" w:hAnsi="宋体" w:cs="宋体"/>
          <w:szCs w:val="21"/>
        </w:rPr>
      </w:pPr>
      <w:r>
        <w:rPr>
          <w:rFonts w:hint="eastAsia" w:ascii="宋体" w:hAnsi="宋体" w:cs="宋体"/>
          <w:szCs w:val="21"/>
        </w:rPr>
        <w:t>（二）对于涉及国家机关出具的公文、证件、证明材料等文件，一旦涉嫌虚假，经查实，主管部门将依法从严处理，并移送有关部门追究法律责任；涉嫌犯罪的，移送司法机关处理。</w:t>
      </w:r>
    </w:p>
    <w:p w14:paraId="60293EDB">
      <w:pPr>
        <w:spacing w:line="340" w:lineRule="exact"/>
        <w:ind w:firstLine="420" w:firstLineChars="200"/>
        <w:rPr>
          <w:rFonts w:ascii="宋体" w:hAnsi="宋体" w:cs="宋体"/>
          <w:szCs w:val="21"/>
        </w:rPr>
      </w:pPr>
      <w:r>
        <w:rPr>
          <w:rFonts w:hint="eastAsia" w:ascii="宋体" w:hAnsi="宋体" w:cs="宋体"/>
          <w:szCs w:val="21"/>
        </w:rPr>
        <w:t>（三）我单位对投标电子密钥或电子营业执照负有妥善保管、及时变更和续期等主体责任；使用电子密钥或电子营业执照在深圳政府采购网站进行的活动，均具有法律效力，须承担相应的法律后果。若</w:t>
      </w:r>
      <w:r>
        <w:rPr>
          <w:rFonts w:hint="eastAsia" w:ascii="宋体" w:hAnsi="宋体" w:cs="宋体"/>
          <w:b/>
          <w:bCs/>
          <w:szCs w:val="21"/>
        </w:rPr>
        <w:t>擅自将投标密钥或电子营业执照出借他人使用所造成的法律后果，由我单位自行承担</w:t>
      </w:r>
      <w:r>
        <w:rPr>
          <w:rFonts w:hint="eastAsia" w:ascii="宋体" w:hAnsi="宋体" w:cs="宋体"/>
          <w:szCs w:val="21"/>
        </w:rPr>
        <w:t>。</w:t>
      </w:r>
    </w:p>
    <w:p w14:paraId="1503F76A">
      <w:pPr>
        <w:spacing w:line="340" w:lineRule="exact"/>
        <w:ind w:firstLine="422" w:firstLineChars="200"/>
        <w:rPr>
          <w:rFonts w:ascii="宋体" w:hAnsi="宋体" w:cs="宋体"/>
          <w:b/>
          <w:szCs w:val="21"/>
        </w:rPr>
      </w:pPr>
      <w:r>
        <w:rPr>
          <w:rFonts w:hint="eastAsia" w:ascii="宋体" w:hAnsi="宋体" w:cs="宋体"/>
          <w:b/>
          <w:szCs w:val="21"/>
        </w:rPr>
        <w:t>四、我单位已充分知悉政府采购违法、违规行为的法律后果。</w:t>
      </w:r>
    </w:p>
    <w:p w14:paraId="66AC4989">
      <w:pPr>
        <w:spacing w:line="340" w:lineRule="exact"/>
        <w:ind w:firstLine="420" w:firstLineChars="200"/>
        <w:rPr>
          <w:rFonts w:ascii="宋体" w:hAnsi="宋体" w:cs="宋体"/>
          <w:szCs w:val="21"/>
        </w:rPr>
      </w:pPr>
      <w:r>
        <w:rPr>
          <w:rFonts w:hint="eastAsia" w:ascii="宋体" w:hAnsi="宋体" w:cs="宋体"/>
          <w:szCs w:val="21"/>
        </w:rPr>
        <w:t>经查实，若我单位存在政府采购违法、违规行为，主管部门将依据《深圳经济特区政府采购条例》第五十七条的规定，处以一至三年内禁止参与本市政府采购，并记入供应商诚信档案，处采购金额千分之十以上千分之二十以下罚款；情节严重的，取消参与本市政府采购资格，处采购金额千分之二十以上千分之三十以下罚款，由市场监管部门依法吊销营业执照。</w:t>
      </w:r>
    </w:p>
    <w:p w14:paraId="5139972A">
      <w:pPr>
        <w:widowControl/>
        <w:autoSpaceDE w:val="0"/>
        <w:autoSpaceDN w:val="0"/>
        <w:adjustRightInd w:val="0"/>
        <w:spacing w:line="360" w:lineRule="exact"/>
        <w:ind w:firstLine="422" w:firstLineChars="200"/>
        <w:jc w:val="left"/>
        <w:rPr>
          <w:rFonts w:ascii="宋体" w:hAnsi="宋体" w:cs="宋体"/>
          <w:kern w:val="0"/>
          <w:sz w:val="22"/>
          <w:highlight w:val="yellow"/>
        </w:rPr>
      </w:pPr>
      <w:r>
        <w:rPr>
          <w:rFonts w:hint="eastAsia" w:ascii="宋体" w:hAnsi="宋体" w:cs="宋体"/>
          <w:b/>
          <w:bCs/>
          <w:color w:val="FF0000"/>
          <w:szCs w:val="21"/>
          <w:highlight w:val="yellow"/>
        </w:rPr>
        <w:t>以下文字请投标供应商抄写并确认：“我单位已仔细阅读《政府采购违法行为风险知悉确认书》，充分知悉违法行为的法律后果，并承诺将严谨、诚信、依法依规参与政府采购活动”。</w:t>
      </w:r>
    </w:p>
    <w:p w14:paraId="1EC7DE11">
      <w:pPr>
        <w:widowControl/>
        <w:autoSpaceDE w:val="0"/>
        <w:autoSpaceDN w:val="0"/>
        <w:adjustRightInd w:val="0"/>
        <w:spacing w:line="360" w:lineRule="exact"/>
        <w:jc w:val="left"/>
        <w:rPr>
          <w:rFonts w:ascii="宋体" w:hAnsi="宋体" w:cs="宋体"/>
          <w:kern w:val="0"/>
          <w:sz w:val="22"/>
          <w:u w:val="single"/>
        </w:rPr>
      </w:pPr>
      <w:r>
        <w:rPr>
          <w:rFonts w:hint="eastAsia" w:ascii="宋体" w:hAnsi="宋体" w:cs="宋体"/>
          <w:kern w:val="0"/>
          <w:sz w:val="22"/>
          <w:u w:val="single"/>
        </w:rPr>
        <w:t xml:space="preserve">                                                                               </w:t>
      </w:r>
    </w:p>
    <w:p w14:paraId="584BE845">
      <w:pPr>
        <w:widowControl/>
        <w:autoSpaceDE w:val="0"/>
        <w:autoSpaceDN w:val="0"/>
        <w:adjustRightInd w:val="0"/>
        <w:spacing w:line="360" w:lineRule="exact"/>
        <w:jc w:val="left"/>
        <w:rPr>
          <w:rFonts w:ascii="宋体" w:hAnsi="宋体" w:cs="宋体"/>
          <w:kern w:val="0"/>
          <w:sz w:val="22"/>
          <w:u w:val="single"/>
        </w:rPr>
      </w:pPr>
      <w:r>
        <w:rPr>
          <w:rFonts w:hint="eastAsia" w:ascii="宋体" w:hAnsi="宋体" w:cs="宋体"/>
          <w:kern w:val="0"/>
          <w:sz w:val="22"/>
          <w:u w:val="single"/>
        </w:rPr>
        <w:t xml:space="preserve">                                                                               </w:t>
      </w:r>
    </w:p>
    <w:p w14:paraId="30387D03">
      <w:pPr>
        <w:widowControl/>
        <w:autoSpaceDE w:val="0"/>
        <w:autoSpaceDN w:val="0"/>
        <w:adjustRightInd w:val="0"/>
        <w:spacing w:line="360" w:lineRule="exact"/>
        <w:jc w:val="left"/>
        <w:rPr>
          <w:rFonts w:ascii="宋体" w:hAnsi="宋体" w:cs="宋体"/>
          <w:kern w:val="0"/>
          <w:sz w:val="22"/>
          <w:u w:val="single"/>
        </w:rPr>
      </w:pPr>
      <w:r>
        <w:rPr>
          <w:rFonts w:hint="eastAsia" w:ascii="宋体" w:hAnsi="宋体" w:cs="宋体"/>
          <w:kern w:val="0"/>
          <w:sz w:val="22"/>
          <w:u w:val="single"/>
        </w:rPr>
        <w:t xml:space="preserve">                                                                               </w:t>
      </w:r>
    </w:p>
    <w:p w14:paraId="6AF2F9F2">
      <w:pPr>
        <w:widowControl/>
        <w:autoSpaceDE w:val="0"/>
        <w:autoSpaceDN w:val="0"/>
        <w:adjustRightInd w:val="0"/>
        <w:spacing w:line="360" w:lineRule="exact"/>
        <w:jc w:val="left"/>
        <w:rPr>
          <w:rFonts w:ascii="宋体" w:hAnsi="宋体" w:cs="宋体"/>
          <w:kern w:val="0"/>
          <w:sz w:val="22"/>
          <w:u w:val="single"/>
        </w:rPr>
      </w:pPr>
      <w:r>
        <w:rPr>
          <w:rFonts w:hint="eastAsia" w:ascii="宋体" w:hAnsi="宋体" w:cs="宋体"/>
          <w:kern w:val="0"/>
          <w:sz w:val="22"/>
          <w:u w:val="single"/>
        </w:rPr>
        <w:t xml:space="preserve">                                                                               </w:t>
      </w:r>
    </w:p>
    <w:p w14:paraId="1827703A">
      <w:pPr>
        <w:widowControl/>
        <w:autoSpaceDE w:val="0"/>
        <w:autoSpaceDN w:val="0"/>
        <w:adjustRightInd w:val="0"/>
        <w:spacing w:line="360" w:lineRule="exact"/>
        <w:jc w:val="left"/>
        <w:rPr>
          <w:rFonts w:ascii="宋体" w:hAnsi="宋体" w:cs="宋体"/>
          <w:b/>
          <w:bCs/>
          <w:kern w:val="0"/>
          <w:sz w:val="22"/>
        </w:rPr>
      </w:pPr>
      <w:r>
        <w:rPr>
          <w:rFonts w:hint="eastAsia" w:ascii="宋体" w:hAnsi="宋体" w:cs="宋体"/>
          <w:b/>
          <w:bCs/>
          <w:kern w:val="0"/>
          <w:sz w:val="22"/>
        </w:rPr>
        <w:t>注：1.《政府采购违法行为风险知悉确认书》需由投标供应商负责人签字并加盖单位公章后，与投标文件一并提交。</w:t>
      </w:r>
    </w:p>
    <w:p w14:paraId="70318344">
      <w:pPr>
        <w:widowControl/>
        <w:autoSpaceDE w:val="0"/>
        <w:autoSpaceDN w:val="0"/>
        <w:adjustRightInd w:val="0"/>
        <w:spacing w:line="360" w:lineRule="exact"/>
        <w:jc w:val="left"/>
        <w:rPr>
          <w:rFonts w:ascii="宋体" w:hAnsi="宋体" w:cs="宋体"/>
          <w:kern w:val="0"/>
          <w:sz w:val="22"/>
          <w:szCs w:val="22"/>
        </w:rPr>
      </w:pPr>
      <w:r>
        <w:rPr>
          <w:rFonts w:hint="eastAsia" w:ascii="宋体" w:hAnsi="宋体" w:cs="宋体"/>
          <w:b/>
          <w:bCs/>
          <w:kern w:val="0"/>
          <w:sz w:val="22"/>
        </w:rPr>
        <w:t>2.根据《深圳市财政局关于在采购文件及深圳政府采购智慧平台增设供应商投标特别警示条款等事宜的通知》（深财购〔2025〕7号）的要求，《政府采购违法行为风险知悉确认书》用于对供应商违法行为的提醒，不作为供应商资格性审查及符合性审查条件。</w:t>
      </w:r>
    </w:p>
    <w:p w14:paraId="61D571EC">
      <w:pPr>
        <w:widowControl/>
        <w:autoSpaceDE w:val="0"/>
        <w:autoSpaceDN w:val="0"/>
        <w:adjustRightInd w:val="0"/>
        <w:spacing w:line="360" w:lineRule="exact"/>
        <w:ind w:firstLine="440" w:firstLineChars="200"/>
        <w:jc w:val="left"/>
        <w:rPr>
          <w:rFonts w:ascii="宋体" w:hAnsi="宋体" w:cs="宋体"/>
          <w:kern w:val="0"/>
          <w:sz w:val="22"/>
          <w:szCs w:val="22"/>
        </w:rPr>
      </w:pPr>
    </w:p>
    <w:p w14:paraId="0FCE9F1B">
      <w:pPr>
        <w:widowControl/>
        <w:autoSpaceDE w:val="0"/>
        <w:autoSpaceDN w:val="0"/>
        <w:adjustRightInd w:val="0"/>
        <w:spacing w:line="360" w:lineRule="exact"/>
        <w:ind w:firstLine="440" w:firstLineChars="200"/>
        <w:jc w:val="left"/>
        <w:rPr>
          <w:rFonts w:ascii="宋体" w:hAnsi="宋体" w:cs="宋体"/>
          <w:kern w:val="0"/>
          <w:sz w:val="22"/>
          <w:szCs w:val="22"/>
        </w:rPr>
      </w:pPr>
    </w:p>
    <w:p w14:paraId="4FB33E9C">
      <w:pPr>
        <w:spacing w:line="360" w:lineRule="exact"/>
        <w:rPr>
          <w:rFonts w:ascii="宋体" w:hAnsi="宋体" w:cs="宋体"/>
          <w:kern w:val="0"/>
          <w:sz w:val="22"/>
          <w:szCs w:val="22"/>
        </w:rPr>
      </w:pPr>
    </w:p>
    <w:p w14:paraId="568D98A3">
      <w:pPr>
        <w:widowControl/>
        <w:autoSpaceDE w:val="0"/>
        <w:autoSpaceDN w:val="0"/>
        <w:adjustRightInd w:val="0"/>
        <w:spacing w:line="360" w:lineRule="exact"/>
        <w:ind w:firstLine="3520" w:firstLineChars="1600"/>
        <w:jc w:val="left"/>
        <w:rPr>
          <w:rFonts w:ascii="宋体" w:hAnsi="宋体" w:cs="宋体"/>
          <w:kern w:val="0"/>
          <w:sz w:val="22"/>
          <w:szCs w:val="22"/>
          <w:u w:val="single"/>
        </w:rPr>
      </w:pPr>
      <w:r>
        <w:rPr>
          <w:rFonts w:hint="eastAsia" w:ascii="宋体" w:hAnsi="宋体" w:cs="宋体"/>
          <w:kern w:val="0"/>
          <w:sz w:val="22"/>
          <w:szCs w:val="22"/>
        </w:rPr>
        <w:t>负责人/投标授权代表签名：</w:t>
      </w:r>
      <w:r>
        <w:rPr>
          <w:rFonts w:hint="eastAsia" w:ascii="宋体" w:hAnsi="宋体" w:cs="宋体"/>
          <w:kern w:val="0"/>
          <w:sz w:val="22"/>
          <w:szCs w:val="22"/>
          <w:u w:val="single"/>
        </w:rPr>
        <w:t xml:space="preserve">                </w:t>
      </w:r>
    </w:p>
    <w:p w14:paraId="4EEAE84B">
      <w:pPr>
        <w:widowControl/>
        <w:autoSpaceDE w:val="0"/>
        <w:autoSpaceDN w:val="0"/>
        <w:adjustRightInd w:val="0"/>
        <w:spacing w:line="360" w:lineRule="exact"/>
        <w:ind w:firstLine="3520" w:firstLineChars="1600"/>
        <w:jc w:val="left"/>
        <w:rPr>
          <w:rFonts w:ascii="宋体" w:hAnsi="宋体" w:cs="宋体"/>
          <w:kern w:val="0"/>
          <w:sz w:val="22"/>
          <w:szCs w:val="22"/>
        </w:rPr>
      </w:pPr>
      <w:r>
        <w:rPr>
          <w:rFonts w:hint="eastAsia" w:ascii="宋体" w:hAnsi="宋体" w:cs="宋体"/>
          <w:kern w:val="0"/>
          <w:sz w:val="22"/>
          <w:szCs w:val="22"/>
        </w:rPr>
        <w:t>知悉人（公章）：</w:t>
      </w:r>
    </w:p>
    <w:p w14:paraId="0A6BE888">
      <w:pPr>
        <w:spacing w:line="360" w:lineRule="exact"/>
        <w:jc w:val="right"/>
        <w:rPr>
          <w:rFonts w:ascii="宋体" w:hAnsi="宋体" w:cs="宋体"/>
          <w:kern w:val="0"/>
          <w:sz w:val="22"/>
          <w:szCs w:val="22"/>
        </w:rPr>
      </w:pPr>
      <w:r>
        <w:rPr>
          <w:rFonts w:hint="eastAsia" w:ascii="宋体" w:hAnsi="宋体" w:cs="宋体"/>
          <w:kern w:val="0"/>
          <w:sz w:val="22"/>
          <w:szCs w:val="22"/>
        </w:rPr>
        <w:t>日期： 202  年   月   日</w:t>
      </w:r>
    </w:p>
    <w:p w14:paraId="52BF4082">
      <w:pPr>
        <w:ind w:firstLine="4480" w:firstLineChars="1600"/>
        <w:rPr>
          <w:rFonts w:ascii="宋体" w:hAnsi="宋体" w:cs="宋体"/>
          <w:b/>
          <w:bCs/>
          <w:sz w:val="32"/>
        </w:rPr>
      </w:pPr>
      <w:r>
        <w:rPr>
          <w:rFonts w:ascii="Times New Roman" w:hAnsi="Times New Roman"/>
          <w:sz w:val="28"/>
          <w:szCs w:val="32"/>
        </w:rPr>
        <w:br w:type="page"/>
      </w:r>
    </w:p>
    <w:p w14:paraId="7F1C711B">
      <w:pPr>
        <w:numPr>
          <w:ilvl w:val="0"/>
          <w:numId w:val="5"/>
        </w:numPr>
        <w:ind w:left="420" w:firstLine="0"/>
        <w:jc w:val="center"/>
        <w:outlineLvl w:val="2"/>
        <w:rPr>
          <w:rFonts w:ascii="宋体" w:hAnsi="宋体" w:cs="宋体"/>
          <w:b/>
          <w:bCs/>
          <w:sz w:val="32"/>
        </w:rPr>
      </w:pPr>
      <w:r>
        <w:rPr>
          <w:rFonts w:hint="eastAsia" w:ascii="宋体" w:hAnsi="宋体" w:cs="宋体"/>
          <w:b/>
          <w:bCs/>
          <w:sz w:val="32"/>
        </w:rPr>
        <w:t>法定代表人（负责人）证明书</w:t>
      </w:r>
    </w:p>
    <w:p w14:paraId="1A9D579D">
      <w:pPr>
        <w:rPr>
          <w:rFonts w:ascii="宋体" w:hAnsi="宋体" w:cs="宋体"/>
        </w:rPr>
      </w:pPr>
    </w:p>
    <w:p w14:paraId="5A9D5216">
      <w:pPr>
        <w:spacing w:line="300" w:lineRule="auto"/>
        <w:ind w:left="140"/>
        <w:rPr>
          <w:rFonts w:ascii="宋体" w:hAnsi="宋体"/>
          <w:sz w:val="22"/>
          <w:szCs w:val="22"/>
        </w:rPr>
      </w:pPr>
      <w:r>
        <w:rPr>
          <w:rFonts w:hint="eastAsia" w:ascii="宋体" w:hAnsi="宋体"/>
          <w:sz w:val="22"/>
          <w:szCs w:val="22"/>
          <w:u w:val="single"/>
        </w:rPr>
        <w:t xml:space="preserve">  （姓名）  </w:t>
      </w:r>
      <w:r>
        <w:rPr>
          <w:rFonts w:hint="eastAsia" w:ascii="宋体" w:hAnsi="宋体"/>
          <w:sz w:val="22"/>
          <w:szCs w:val="22"/>
        </w:rPr>
        <w:t>同志，现任我单位</w:t>
      </w:r>
      <w:r>
        <w:rPr>
          <w:rFonts w:hint="eastAsia" w:ascii="宋体" w:hAnsi="宋体"/>
          <w:sz w:val="22"/>
          <w:szCs w:val="22"/>
          <w:u w:val="single"/>
        </w:rPr>
        <w:t xml:space="preserve">       </w:t>
      </w:r>
      <w:r>
        <w:rPr>
          <w:rFonts w:hint="eastAsia" w:ascii="宋体" w:hAnsi="宋体"/>
          <w:sz w:val="22"/>
          <w:szCs w:val="22"/>
        </w:rPr>
        <w:t>职务，为我单位法定代表人（负责人）。</w:t>
      </w:r>
    </w:p>
    <w:p w14:paraId="00593456">
      <w:pPr>
        <w:spacing w:line="300" w:lineRule="auto"/>
        <w:ind w:left="140"/>
        <w:rPr>
          <w:rFonts w:ascii="宋体" w:hAnsi="宋体"/>
          <w:sz w:val="22"/>
          <w:szCs w:val="22"/>
          <w:u w:val="single"/>
        </w:rPr>
      </w:pPr>
      <w:r>
        <w:rPr>
          <w:rFonts w:hint="eastAsia" w:ascii="宋体" w:hAnsi="宋体"/>
          <w:sz w:val="22"/>
          <w:szCs w:val="22"/>
        </w:rPr>
        <w:t xml:space="preserve">身份证号： </w:t>
      </w:r>
      <w:r>
        <w:rPr>
          <w:rFonts w:hint="eastAsia" w:ascii="宋体" w:hAnsi="宋体"/>
          <w:sz w:val="22"/>
          <w:szCs w:val="22"/>
          <w:u w:val="single"/>
        </w:rPr>
        <w:t xml:space="preserve">              </w:t>
      </w:r>
    </w:p>
    <w:p w14:paraId="5E3B629A">
      <w:pPr>
        <w:spacing w:line="300" w:lineRule="auto"/>
        <w:ind w:left="140"/>
        <w:rPr>
          <w:rFonts w:ascii="宋体" w:hAnsi="宋体"/>
          <w:sz w:val="22"/>
          <w:szCs w:val="22"/>
          <w:u w:val="single"/>
        </w:rPr>
      </w:pPr>
      <w:r>
        <w:rPr>
          <w:rFonts w:hint="eastAsia" w:ascii="宋体" w:hAnsi="宋体"/>
          <w:sz w:val="22"/>
          <w:szCs w:val="22"/>
        </w:rPr>
        <w:t xml:space="preserve">联系电话：  </w:t>
      </w:r>
      <w:r>
        <w:rPr>
          <w:rFonts w:hint="eastAsia" w:ascii="宋体" w:hAnsi="宋体"/>
          <w:sz w:val="22"/>
          <w:szCs w:val="22"/>
          <w:u w:val="single"/>
        </w:rPr>
        <w:t xml:space="preserve">             </w:t>
      </w:r>
    </w:p>
    <w:p w14:paraId="00C3AF5E">
      <w:pPr>
        <w:spacing w:line="300" w:lineRule="auto"/>
        <w:ind w:left="140"/>
        <w:rPr>
          <w:rFonts w:ascii="宋体" w:hAnsi="宋体"/>
          <w:b/>
          <w:sz w:val="22"/>
          <w:szCs w:val="22"/>
        </w:rPr>
      </w:pPr>
      <w:r>
        <w:rPr>
          <w:rFonts w:hint="eastAsia" w:ascii="宋体" w:hAnsi="宋体"/>
          <w:sz w:val="22"/>
          <w:szCs w:val="22"/>
        </w:rPr>
        <w:t>特此证明。</w:t>
      </w:r>
    </w:p>
    <w:p w14:paraId="552DF66E">
      <w:pPr>
        <w:spacing w:line="300" w:lineRule="auto"/>
        <w:rPr>
          <w:rFonts w:ascii="Arial" w:hAnsi="Arial"/>
          <w:sz w:val="22"/>
          <w:szCs w:val="22"/>
        </w:rPr>
      </w:pPr>
    </w:p>
    <w:p w14:paraId="38981CB2">
      <w:pPr>
        <w:spacing w:line="300" w:lineRule="auto"/>
        <w:rPr>
          <w:rFonts w:ascii="Arial" w:hAnsi="Arial"/>
          <w:sz w:val="22"/>
          <w:szCs w:val="22"/>
        </w:rPr>
      </w:pPr>
      <w:r>
        <w:rPr>
          <w:rFonts w:hint="eastAsia" w:ascii="Arial" w:hAnsi="Arial"/>
          <w:sz w:val="22"/>
          <w:szCs w:val="22"/>
        </w:rPr>
        <w:t>投标人（投标单位）：</w:t>
      </w:r>
      <w:r>
        <w:rPr>
          <w:rFonts w:ascii="Arial" w:hAnsi="Arial"/>
          <w:sz w:val="22"/>
          <w:szCs w:val="22"/>
          <w:u w:val="single"/>
        </w:rPr>
        <w:t xml:space="preserve">           </w:t>
      </w:r>
    </w:p>
    <w:p w14:paraId="522C2F2B">
      <w:pPr>
        <w:spacing w:line="300" w:lineRule="auto"/>
        <w:rPr>
          <w:rFonts w:ascii="Arial" w:hAnsi="Arial"/>
          <w:sz w:val="22"/>
          <w:szCs w:val="22"/>
        </w:rPr>
      </w:pPr>
      <w:r>
        <w:rPr>
          <w:rFonts w:hint="eastAsia" w:ascii="Arial" w:hAnsi="Arial"/>
          <w:sz w:val="22"/>
          <w:szCs w:val="22"/>
        </w:rPr>
        <w:t>日</w:t>
      </w:r>
      <w:r>
        <w:rPr>
          <w:rFonts w:ascii="Arial" w:hAnsi="Arial"/>
          <w:sz w:val="22"/>
          <w:szCs w:val="22"/>
        </w:rPr>
        <w:t xml:space="preserve">  </w:t>
      </w:r>
      <w:r>
        <w:rPr>
          <w:rFonts w:hint="eastAsia" w:ascii="Arial" w:hAnsi="Arial"/>
          <w:sz w:val="22"/>
          <w:szCs w:val="22"/>
        </w:rPr>
        <w:t>期：</w:t>
      </w:r>
      <w:r>
        <w:rPr>
          <w:rFonts w:ascii="Arial" w:hAnsi="Arial"/>
          <w:sz w:val="22"/>
          <w:szCs w:val="22"/>
          <w:u w:val="single"/>
        </w:rPr>
        <w:t xml:space="preserve">     </w:t>
      </w:r>
      <w:r>
        <w:rPr>
          <w:rFonts w:hint="eastAsia" w:ascii="Arial" w:hAnsi="Arial"/>
          <w:sz w:val="22"/>
          <w:szCs w:val="22"/>
        </w:rPr>
        <w:t>年</w:t>
      </w:r>
      <w:r>
        <w:rPr>
          <w:rFonts w:ascii="Arial" w:hAnsi="Arial"/>
          <w:sz w:val="22"/>
          <w:szCs w:val="22"/>
          <w:u w:val="single"/>
        </w:rPr>
        <w:t xml:space="preserve">     </w:t>
      </w:r>
      <w:r>
        <w:rPr>
          <w:rFonts w:hint="eastAsia" w:ascii="Arial" w:hAnsi="Arial"/>
          <w:sz w:val="22"/>
          <w:szCs w:val="22"/>
        </w:rPr>
        <w:t>月</w:t>
      </w:r>
      <w:r>
        <w:rPr>
          <w:rFonts w:ascii="Arial" w:hAnsi="Arial"/>
          <w:sz w:val="22"/>
          <w:szCs w:val="22"/>
          <w:u w:val="single"/>
        </w:rPr>
        <w:t xml:space="preserve">     </w:t>
      </w:r>
      <w:r>
        <w:rPr>
          <w:rFonts w:hint="eastAsia" w:ascii="Arial" w:hAnsi="Arial"/>
          <w:sz w:val="22"/>
          <w:szCs w:val="22"/>
        </w:rPr>
        <w:t>日</w:t>
      </w:r>
    </w:p>
    <w:p w14:paraId="480FFC44">
      <w:pPr>
        <w:spacing w:line="500" w:lineRule="exact"/>
        <w:rPr>
          <w:rFonts w:ascii="Arial" w:hAnsi="Arial"/>
          <w:sz w:val="22"/>
          <w:szCs w:val="22"/>
        </w:rPr>
      </w:pPr>
    </w:p>
    <w:p w14:paraId="22A9B232">
      <w:pPr>
        <w:spacing w:line="360" w:lineRule="exact"/>
        <w:rPr>
          <w:rFonts w:ascii="宋体" w:hAnsi="宋体" w:cs="宋体"/>
          <w:b/>
          <w:sz w:val="22"/>
          <w:szCs w:val="22"/>
        </w:rPr>
      </w:pPr>
      <w:r>
        <w:rPr>
          <w:rFonts w:hint="eastAsia" w:ascii="宋体" w:hAnsi="宋体" w:cs="宋体"/>
          <w:b/>
          <w:sz w:val="22"/>
          <w:szCs w:val="22"/>
        </w:rPr>
        <w:t>★必须提供法定代表人（负责人）有效期内身份证的正反面扫描件（港澳台居民可提供往来通行证），非中国国籍管辖范围的，可提供公安部门认可的身份证明材料，否则将导致投标无效。</w:t>
      </w:r>
    </w:p>
    <w:tbl>
      <w:tblPr>
        <w:tblStyle w:val="30"/>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78EB5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tcPr>
          <w:p w14:paraId="66CCB8AC">
            <w:pPr>
              <w:jc w:val="center"/>
            </w:pPr>
            <w:r>
              <w:rPr>
                <w:rFonts w:hint="eastAsia"/>
              </w:rPr>
              <w:t>证件扫描件正面</w:t>
            </w:r>
          </w:p>
          <w:p w14:paraId="487CB858">
            <w:pPr>
              <w:pStyle w:val="3"/>
            </w:pPr>
          </w:p>
          <w:p w14:paraId="7FB47AF9">
            <w:pPr>
              <w:pStyle w:val="24"/>
            </w:pPr>
          </w:p>
          <w:p w14:paraId="4ADC4BE7">
            <w:pPr>
              <w:pStyle w:val="24"/>
            </w:pPr>
          </w:p>
          <w:p w14:paraId="5B977CFA">
            <w:pPr>
              <w:pStyle w:val="24"/>
            </w:pPr>
          </w:p>
        </w:tc>
        <w:tc>
          <w:tcPr>
            <w:tcW w:w="4265" w:type="dxa"/>
          </w:tcPr>
          <w:p w14:paraId="268B8011">
            <w:pPr>
              <w:jc w:val="center"/>
            </w:pPr>
            <w:r>
              <w:rPr>
                <w:rFonts w:hint="eastAsia"/>
              </w:rPr>
              <w:t>证件扫描件反面</w:t>
            </w:r>
          </w:p>
          <w:p w14:paraId="1E43DCC3">
            <w:pPr>
              <w:pStyle w:val="3"/>
              <w:jc w:val="center"/>
            </w:pPr>
          </w:p>
          <w:p w14:paraId="7EB27DEC">
            <w:pPr>
              <w:pStyle w:val="24"/>
              <w:jc w:val="center"/>
            </w:pPr>
          </w:p>
        </w:tc>
      </w:tr>
    </w:tbl>
    <w:p w14:paraId="4CC6832A">
      <w:pPr>
        <w:snapToGrid w:val="0"/>
        <w:spacing w:line="360" w:lineRule="exact"/>
        <w:rPr>
          <w:rFonts w:ascii="宋体" w:hAnsi="宋体" w:cs="宋体"/>
          <w:bCs/>
          <w:sz w:val="22"/>
          <w:szCs w:val="22"/>
        </w:rPr>
      </w:pPr>
      <w:r>
        <w:rPr>
          <w:rFonts w:hint="eastAsia" w:ascii="宋体" w:hAnsi="宋体" w:cs="宋体"/>
          <w:bCs/>
          <w:sz w:val="22"/>
          <w:szCs w:val="22"/>
        </w:rPr>
        <w:t>备注：</w:t>
      </w:r>
    </w:p>
    <w:p w14:paraId="7B18FAB9">
      <w:pPr>
        <w:snapToGrid w:val="0"/>
        <w:spacing w:line="360" w:lineRule="exact"/>
        <w:rPr>
          <w:rFonts w:ascii="宋体" w:hAnsi="宋体" w:cs="宋体"/>
          <w:bCs/>
          <w:sz w:val="22"/>
          <w:szCs w:val="22"/>
        </w:rPr>
      </w:pPr>
      <w:r>
        <w:rPr>
          <w:rFonts w:hint="eastAsia" w:ascii="宋体" w:hAnsi="宋体" w:cs="宋体"/>
          <w:bCs/>
          <w:sz w:val="22"/>
          <w:szCs w:val="22"/>
        </w:rPr>
        <w:t>1、如发现上述人员非投标人法定代表人（负责人），视同提供虚假资料，按投标无效处理，并将依法承担相应法律责任。</w:t>
      </w:r>
    </w:p>
    <w:p w14:paraId="79186EB8">
      <w:pPr>
        <w:snapToGrid w:val="0"/>
        <w:spacing w:line="360" w:lineRule="exact"/>
        <w:rPr>
          <w:rFonts w:ascii="宋体" w:hAnsi="宋体" w:cs="宋体"/>
          <w:bCs/>
          <w:sz w:val="22"/>
          <w:szCs w:val="22"/>
        </w:rPr>
      </w:pPr>
      <w:r>
        <w:rPr>
          <w:rFonts w:hint="eastAsia" w:ascii="宋体" w:hAnsi="宋体" w:cs="宋体"/>
          <w:bCs/>
          <w:sz w:val="22"/>
          <w:szCs w:val="22"/>
        </w:rPr>
        <w:t>2、法定代表人为投标人（企业事业单位、国家机关、社会团体）的主要行政负责人。</w:t>
      </w:r>
    </w:p>
    <w:p w14:paraId="1938916D">
      <w:pPr>
        <w:snapToGrid w:val="0"/>
        <w:spacing w:line="360" w:lineRule="exact"/>
        <w:rPr>
          <w:rFonts w:ascii="宋体" w:hAnsi="宋体" w:cs="宋体"/>
          <w:bCs/>
          <w:sz w:val="22"/>
          <w:szCs w:val="22"/>
        </w:rPr>
      </w:pPr>
      <w:r>
        <w:rPr>
          <w:rFonts w:hint="eastAsia" w:ascii="宋体" w:hAnsi="宋体" w:cs="宋体"/>
          <w:bCs/>
          <w:sz w:val="22"/>
          <w:szCs w:val="22"/>
        </w:rPr>
        <w:t>3、本证明书要求投标供应商同时提供法定代表人（负责人）的身份证扫描件（正反两面）作为附件方为有效。</w:t>
      </w:r>
    </w:p>
    <w:p w14:paraId="1D2732AC">
      <w:pPr>
        <w:snapToGrid w:val="0"/>
        <w:spacing w:line="360" w:lineRule="exact"/>
        <w:rPr>
          <w:rFonts w:ascii="宋体" w:hAnsi="宋体" w:cs="宋体"/>
          <w:bCs/>
          <w:sz w:val="22"/>
          <w:szCs w:val="22"/>
        </w:rPr>
      </w:pPr>
      <w:r>
        <w:rPr>
          <w:rFonts w:hint="eastAsia" w:ascii="宋体" w:hAnsi="宋体" w:cs="宋体"/>
          <w:bCs/>
          <w:sz w:val="22"/>
          <w:szCs w:val="22"/>
        </w:rPr>
        <w:t>4、本项目投标授权代表为法定代表人（负责人）的，无需提供《法定代表人（负责人）授权书》。</w:t>
      </w:r>
    </w:p>
    <w:p w14:paraId="2483899D">
      <w:pPr>
        <w:rPr>
          <w:rFonts w:ascii="宋体" w:hAnsi="宋体" w:cs="宋体"/>
          <w:bCs/>
          <w:sz w:val="22"/>
          <w:szCs w:val="22"/>
        </w:rPr>
      </w:pPr>
      <w:r>
        <w:rPr>
          <w:rFonts w:hint="eastAsia" w:ascii="宋体" w:hAnsi="宋体" w:cs="宋体"/>
          <w:bCs/>
          <w:sz w:val="22"/>
          <w:szCs w:val="22"/>
        </w:rPr>
        <w:t>5、内容必须填写真实、清楚，涂改无效，不得转让、买卖。</w:t>
      </w:r>
    </w:p>
    <w:p w14:paraId="56FFA3DC">
      <w:pPr>
        <w:pStyle w:val="5"/>
      </w:pPr>
    </w:p>
    <w:p w14:paraId="2F8F62B6">
      <w:pPr>
        <w:rPr>
          <w:rFonts w:ascii="宋体" w:hAnsi="宋体" w:cs="宋体"/>
          <w:b w:val="0"/>
          <w:bCs/>
          <w:sz w:val="22"/>
        </w:rPr>
      </w:pPr>
      <w:r>
        <w:rPr>
          <w:rFonts w:hint="eastAsia" w:ascii="宋体" w:hAnsi="宋体" w:cs="宋体"/>
          <w:b w:val="0"/>
          <w:bCs/>
          <w:sz w:val="22"/>
        </w:rPr>
        <w:t>温馨提示：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0105C4C0">
      <w:pPr>
        <w:rPr>
          <w:rFonts w:ascii="宋体" w:hAnsi="宋体" w:cs="宋体"/>
          <w:b/>
          <w:bCs/>
          <w:sz w:val="32"/>
        </w:rPr>
      </w:pPr>
      <w:r>
        <w:rPr>
          <w:rFonts w:hint="eastAsia" w:ascii="宋体" w:hAnsi="宋体" w:cs="宋体"/>
          <w:b/>
          <w:bCs/>
          <w:sz w:val="32"/>
        </w:rPr>
        <w:br w:type="page"/>
      </w:r>
    </w:p>
    <w:p w14:paraId="7256BC10">
      <w:pPr>
        <w:numPr>
          <w:ilvl w:val="0"/>
          <w:numId w:val="5"/>
        </w:numPr>
        <w:ind w:left="420" w:firstLine="0"/>
        <w:jc w:val="center"/>
        <w:outlineLvl w:val="2"/>
        <w:rPr>
          <w:rFonts w:ascii="宋体" w:hAnsi="宋体" w:cs="宋体"/>
          <w:b/>
          <w:bCs/>
          <w:sz w:val="32"/>
        </w:rPr>
      </w:pPr>
      <w:r>
        <w:rPr>
          <w:rFonts w:hint="eastAsia" w:ascii="宋体" w:hAnsi="宋体" w:cs="宋体"/>
          <w:b/>
          <w:bCs/>
          <w:sz w:val="32"/>
        </w:rPr>
        <w:t>法定代表人（负责人）授权书</w:t>
      </w:r>
    </w:p>
    <w:p w14:paraId="02A17C67">
      <w:pPr>
        <w:rPr>
          <w:rFonts w:ascii="宋体" w:hAnsi="宋体" w:cs="宋体"/>
          <w:bCs/>
          <w:sz w:val="24"/>
        </w:rPr>
      </w:pPr>
    </w:p>
    <w:p w14:paraId="3652D396">
      <w:pPr>
        <w:spacing w:line="360" w:lineRule="auto"/>
        <w:ind w:firstLine="440" w:firstLineChars="200"/>
        <w:rPr>
          <w:rFonts w:ascii="Arial" w:hAnsi="Arial"/>
          <w:sz w:val="22"/>
          <w:szCs w:val="22"/>
        </w:rPr>
      </w:pPr>
      <w:r>
        <w:rPr>
          <w:rFonts w:hint="eastAsia" w:ascii="Arial" w:hAnsi="Arial"/>
          <w:sz w:val="22"/>
          <w:szCs w:val="22"/>
        </w:rPr>
        <w:t>本授权委托书声明：我</w:t>
      </w:r>
      <w:r>
        <w:rPr>
          <w:rFonts w:ascii="Arial" w:hAnsi="Arial"/>
          <w:sz w:val="22"/>
          <w:szCs w:val="22"/>
          <w:u w:val="single"/>
        </w:rPr>
        <w:t xml:space="preserve">  </w:t>
      </w:r>
      <w:r>
        <w:rPr>
          <w:rFonts w:hint="eastAsia" w:ascii="Arial" w:hAnsi="Arial"/>
          <w:sz w:val="22"/>
          <w:szCs w:val="22"/>
          <w:u w:val="single"/>
        </w:rPr>
        <w:t>（姓名）</w:t>
      </w:r>
      <w:r>
        <w:rPr>
          <w:rFonts w:ascii="Arial" w:hAnsi="Arial"/>
          <w:sz w:val="22"/>
          <w:szCs w:val="22"/>
          <w:u w:val="single"/>
        </w:rPr>
        <w:t xml:space="preserve">  </w:t>
      </w:r>
      <w:r>
        <w:rPr>
          <w:rFonts w:hint="eastAsia" w:ascii="Arial" w:hAnsi="Arial"/>
          <w:sz w:val="22"/>
          <w:szCs w:val="22"/>
        </w:rPr>
        <w:t>系</w:t>
      </w:r>
      <w:r>
        <w:rPr>
          <w:rFonts w:ascii="Arial" w:hAnsi="Arial"/>
          <w:sz w:val="22"/>
          <w:szCs w:val="22"/>
          <w:u w:val="single"/>
        </w:rPr>
        <w:t xml:space="preserve">  </w:t>
      </w:r>
      <w:r>
        <w:rPr>
          <w:rFonts w:hint="eastAsia" w:ascii="Arial" w:hAnsi="Arial"/>
          <w:sz w:val="22"/>
          <w:szCs w:val="22"/>
          <w:u w:val="single"/>
        </w:rPr>
        <w:t>（投标人名称）</w:t>
      </w:r>
      <w:r>
        <w:rPr>
          <w:rFonts w:ascii="Arial" w:hAnsi="Arial"/>
          <w:sz w:val="22"/>
          <w:szCs w:val="22"/>
          <w:u w:val="single"/>
        </w:rPr>
        <w:t xml:space="preserve">   </w:t>
      </w:r>
      <w:r>
        <w:rPr>
          <w:rFonts w:hint="eastAsia" w:ascii="Arial" w:hAnsi="Arial"/>
          <w:sz w:val="22"/>
          <w:szCs w:val="22"/>
        </w:rPr>
        <w:t>的法定代表人（负责人），现授权委托</w:t>
      </w:r>
      <w:r>
        <w:rPr>
          <w:rFonts w:ascii="Arial" w:hAnsi="Arial"/>
          <w:sz w:val="22"/>
          <w:szCs w:val="22"/>
          <w:u w:val="single"/>
        </w:rPr>
        <w:t xml:space="preserve">  </w:t>
      </w:r>
      <w:r>
        <w:rPr>
          <w:rFonts w:hint="eastAsia" w:ascii="Arial" w:hAnsi="Arial"/>
          <w:sz w:val="22"/>
          <w:szCs w:val="22"/>
          <w:u w:val="single"/>
        </w:rPr>
        <w:t>（姓名）</w:t>
      </w:r>
      <w:r>
        <w:rPr>
          <w:rFonts w:ascii="Arial" w:hAnsi="Arial"/>
          <w:sz w:val="22"/>
          <w:szCs w:val="22"/>
          <w:u w:val="single"/>
        </w:rPr>
        <w:t xml:space="preserve">  </w:t>
      </w:r>
      <w:r>
        <w:rPr>
          <w:rFonts w:hint="eastAsia" w:ascii="Arial" w:hAnsi="Arial"/>
          <w:sz w:val="22"/>
          <w:szCs w:val="22"/>
        </w:rPr>
        <w:t>为我单位签署本项目已递交的投标文件的法定代表人（负责人）的授权委托代理人，代表我单位签署本项目的投标文件、参与项目投标、澄清投标文件、签署合同和处理与该项目有关的一切事务。在此过程中代理人所签署的一切文件及处理与该项目有关的一切事务，我均予以承认。</w:t>
      </w:r>
    </w:p>
    <w:p w14:paraId="1AFD37C1">
      <w:pPr>
        <w:spacing w:line="360" w:lineRule="auto"/>
        <w:ind w:firstLine="440" w:firstLineChars="200"/>
        <w:rPr>
          <w:rFonts w:ascii="Arial" w:hAnsi="Arial"/>
          <w:sz w:val="22"/>
          <w:szCs w:val="22"/>
        </w:rPr>
      </w:pPr>
      <w:r>
        <w:rPr>
          <w:rFonts w:hint="eastAsia" w:ascii="Arial" w:hAnsi="Arial"/>
          <w:sz w:val="22"/>
          <w:szCs w:val="22"/>
        </w:rPr>
        <w:t>授权书有效期内被授权人签署的所有文件不因授权的撤销而失效。被授权人无转委托权。</w:t>
      </w:r>
    </w:p>
    <w:p w14:paraId="631C4766">
      <w:pPr>
        <w:spacing w:line="300" w:lineRule="auto"/>
        <w:rPr>
          <w:rFonts w:ascii="Arial" w:hAnsi="Arial"/>
          <w:sz w:val="22"/>
          <w:szCs w:val="22"/>
        </w:rPr>
      </w:pPr>
    </w:p>
    <w:p w14:paraId="12D48D4F">
      <w:pPr>
        <w:spacing w:line="360" w:lineRule="auto"/>
        <w:ind w:left="3360" w:leftChars="1600"/>
        <w:rPr>
          <w:rFonts w:ascii="Arial" w:hAnsi="Arial"/>
          <w:sz w:val="22"/>
          <w:szCs w:val="22"/>
          <w:u w:val="single"/>
        </w:rPr>
      </w:pPr>
      <w:r>
        <w:rPr>
          <w:rFonts w:hint="eastAsia" w:ascii="Arial" w:hAnsi="Arial"/>
          <w:sz w:val="22"/>
          <w:szCs w:val="22"/>
        </w:rPr>
        <w:t>代理人：</w:t>
      </w:r>
      <w:r>
        <w:rPr>
          <w:rFonts w:ascii="Arial" w:hAnsi="Arial"/>
          <w:sz w:val="22"/>
          <w:szCs w:val="22"/>
          <w:u w:val="single"/>
        </w:rPr>
        <w:t xml:space="preserve">     </w:t>
      </w:r>
      <w:r>
        <w:rPr>
          <w:rFonts w:hint="eastAsia" w:ascii="Arial" w:hAnsi="Arial"/>
          <w:sz w:val="22"/>
          <w:szCs w:val="22"/>
          <w:u w:val="single"/>
        </w:rPr>
        <w:t xml:space="preserve">     </w:t>
      </w:r>
      <w:r>
        <w:rPr>
          <w:rFonts w:ascii="Arial" w:hAnsi="Arial"/>
          <w:sz w:val="22"/>
          <w:szCs w:val="22"/>
          <w:u w:val="single"/>
        </w:rPr>
        <w:t xml:space="preserve">        </w:t>
      </w:r>
      <w:r>
        <w:rPr>
          <w:rFonts w:hint="eastAsia" w:ascii="Arial" w:hAnsi="Arial"/>
          <w:sz w:val="22"/>
          <w:szCs w:val="22"/>
        </w:rPr>
        <w:t>性别：</w:t>
      </w:r>
      <w:r>
        <w:rPr>
          <w:rFonts w:ascii="Arial" w:hAnsi="Arial"/>
          <w:sz w:val="22"/>
          <w:szCs w:val="22"/>
          <w:u w:val="single"/>
        </w:rPr>
        <w:t xml:space="preserve">   </w:t>
      </w:r>
      <w:r>
        <w:rPr>
          <w:rFonts w:hint="eastAsia" w:ascii="Arial" w:hAnsi="Arial"/>
          <w:sz w:val="22"/>
          <w:szCs w:val="22"/>
          <w:u w:val="single"/>
        </w:rPr>
        <w:t xml:space="preserve">  </w:t>
      </w:r>
      <w:r>
        <w:rPr>
          <w:rFonts w:ascii="Arial" w:hAnsi="Arial"/>
          <w:sz w:val="22"/>
          <w:szCs w:val="22"/>
          <w:u w:val="single"/>
        </w:rPr>
        <w:t xml:space="preserve"> </w:t>
      </w:r>
      <w:r>
        <w:rPr>
          <w:rFonts w:hint="eastAsia" w:ascii="Arial" w:hAnsi="Arial"/>
          <w:sz w:val="22"/>
          <w:szCs w:val="22"/>
          <w:u w:val="single"/>
        </w:rPr>
        <w:t xml:space="preserve">    </w:t>
      </w:r>
      <w:r>
        <w:rPr>
          <w:rFonts w:ascii="Arial" w:hAnsi="Arial"/>
          <w:sz w:val="22"/>
          <w:szCs w:val="22"/>
          <w:u w:val="single"/>
        </w:rPr>
        <w:t xml:space="preserve"> </w:t>
      </w:r>
    </w:p>
    <w:p w14:paraId="15FCAB1C">
      <w:pPr>
        <w:spacing w:line="360" w:lineRule="auto"/>
        <w:ind w:left="3360" w:leftChars="1600"/>
        <w:rPr>
          <w:rFonts w:ascii="Arial" w:hAnsi="Arial"/>
          <w:sz w:val="22"/>
          <w:szCs w:val="22"/>
        </w:rPr>
      </w:pPr>
      <w:r>
        <w:rPr>
          <w:rFonts w:hint="eastAsia" w:ascii="Arial" w:hAnsi="Arial"/>
          <w:sz w:val="22"/>
          <w:szCs w:val="22"/>
        </w:rPr>
        <w:t>联系电话：</w:t>
      </w:r>
      <w:r>
        <w:rPr>
          <w:rFonts w:ascii="Arial" w:hAnsi="Arial"/>
          <w:sz w:val="22"/>
          <w:szCs w:val="22"/>
          <w:u w:val="single"/>
        </w:rPr>
        <w:t xml:space="preserve">              </w:t>
      </w:r>
      <w:r>
        <w:rPr>
          <w:rFonts w:hint="eastAsia" w:ascii="Arial" w:hAnsi="Arial"/>
          <w:sz w:val="22"/>
          <w:szCs w:val="22"/>
        </w:rPr>
        <w:t>手机：</w:t>
      </w:r>
      <w:r>
        <w:rPr>
          <w:rFonts w:ascii="Arial" w:hAnsi="Arial"/>
          <w:sz w:val="22"/>
          <w:szCs w:val="22"/>
          <w:u w:val="single"/>
        </w:rPr>
        <w:t xml:space="preserve">                 </w:t>
      </w:r>
    </w:p>
    <w:p w14:paraId="6ED09D58">
      <w:pPr>
        <w:spacing w:line="360" w:lineRule="auto"/>
        <w:ind w:left="3360" w:leftChars="1600"/>
        <w:rPr>
          <w:rFonts w:ascii="Arial" w:hAnsi="Arial"/>
          <w:sz w:val="22"/>
          <w:szCs w:val="22"/>
          <w:u w:val="single"/>
        </w:rPr>
      </w:pPr>
      <w:r>
        <w:rPr>
          <w:rFonts w:hint="eastAsia" w:ascii="Arial" w:hAnsi="Arial"/>
          <w:sz w:val="22"/>
          <w:szCs w:val="22"/>
        </w:rPr>
        <w:t>身份证号码：</w:t>
      </w:r>
      <w:r>
        <w:rPr>
          <w:rFonts w:ascii="Arial" w:hAnsi="Arial"/>
          <w:sz w:val="22"/>
          <w:szCs w:val="22"/>
          <w:u w:val="single"/>
        </w:rPr>
        <w:t xml:space="preserve">                       </w:t>
      </w:r>
      <w:r>
        <w:rPr>
          <w:rFonts w:hint="eastAsia" w:ascii="Arial" w:hAnsi="Arial"/>
          <w:sz w:val="22"/>
          <w:szCs w:val="22"/>
        </w:rPr>
        <w:t>职务：</w:t>
      </w:r>
      <w:r>
        <w:rPr>
          <w:rFonts w:ascii="Arial" w:hAnsi="Arial"/>
          <w:sz w:val="22"/>
          <w:szCs w:val="22"/>
          <w:u w:val="single"/>
        </w:rPr>
        <w:t xml:space="preserve">   </w:t>
      </w:r>
      <w:r>
        <w:rPr>
          <w:rFonts w:hint="eastAsia" w:ascii="Arial" w:hAnsi="Arial"/>
          <w:sz w:val="22"/>
          <w:szCs w:val="22"/>
          <w:u w:val="single"/>
        </w:rPr>
        <w:t xml:space="preserve"> </w:t>
      </w:r>
      <w:r>
        <w:rPr>
          <w:rFonts w:ascii="Arial" w:hAnsi="Arial"/>
          <w:sz w:val="22"/>
          <w:szCs w:val="22"/>
          <w:u w:val="single"/>
        </w:rPr>
        <w:t xml:space="preserve">  </w:t>
      </w:r>
    </w:p>
    <w:p w14:paraId="49913D66">
      <w:pPr>
        <w:spacing w:line="360" w:lineRule="auto"/>
        <w:ind w:left="3360" w:leftChars="1600"/>
        <w:rPr>
          <w:rFonts w:ascii="Arial" w:hAnsi="Arial"/>
          <w:sz w:val="22"/>
          <w:szCs w:val="22"/>
        </w:rPr>
      </w:pPr>
      <w:r>
        <w:rPr>
          <w:rFonts w:hint="eastAsia" w:ascii="Arial" w:hAnsi="Arial"/>
          <w:sz w:val="22"/>
          <w:szCs w:val="22"/>
        </w:rPr>
        <w:t>投标人（投标单位）：</w:t>
      </w:r>
      <w:r>
        <w:rPr>
          <w:rFonts w:ascii="Arial" w:hAnsi="Arial"/>
          <w:sz w:val="22"/>
          <w:szCs w:val="22"/>
          <w:u w:val="single"/>
        </w:rPr>
        <w:t xml:space="preserve">                            </w:t>
      </w:r>
    </w:p>
    <w:p w14:paraId="348D516C">
      <w:pPr>
        <w:spacing w:line="360" w:lineRule="auto"/>
        <w:ind w:left="3360" w:leftChars="1600"/>
        <w:rPr>
          <w:rFonts w:ascii="Arial" w:hAnsi="Arial"/>
          <w:sz w:val="22"/>
          <w:szCs w:val="22"/>
        </w:rPr>
      </w:pPr>
      <w:r>
        <w:rPr>
          <w:rFonts w:hint="eastAsia" w:ascii="Arial" w:hAnsi="Arial"/>
          <w:sz w:val="22"/>
          <w:szCs w:val="22"/>
        </w:rPr>
        <w:t>授权委托日期：</w:t>
      </w:r>
      <w:r>
        <w:rPr>
          <w:rFonts w:ascii="Arial" w:hAnsi="Arial"/>
          <w:sz w:val="22"/>
          <w:szCs w:val="22"/>
          <w:u w:val="single"/>
        </w:rPr>
        <w:t xml:space="preserve">         </w:t>
      </w:r>
      <w:r>
        <w:rPr>
          <w:rFonts w:hint="eastAsia" w:ascii="Arial" w:hAnsi="Arial"/>
          <w:sz w:val="22"/>
          <w:szCs w:val="22"/>
        </w:rPr>
        <w:t>年</w:t>
      </w:r>
      <w:r>
        <w:rPr>
          <w:rFonts w:ascii="Arial" w:hAnsi="Arial"/>
          <w:sz w:val="22"/>
          <w:szCs w:val="22"/>
          <w:u w:val="single"/>
        </w:rPr>
        <w:t xml:space="preserve">   </w:t>
      </w:r>
      <w:r>
        <w:rPr>
          <w:rFonts w:hint="eastAsia" w:ascii="Arial" w:hAnsi="Arial"/>
          <w:sz w:val="22"/>
          <w:szCs w:val="22"/>
          <w:u w:val="single"/>
        </w:rPr>
        <w:t xml:space="preserve"> </w:t>
      </w:r>
      <w:r>
        <w:rPr>
          <w:rFonts w:ascii="Arial" w:hAnsi="Arial"/>
          <w:sz w:val="22"/>
          <w:szCs w:val="22"/>
          <w:u w:val="single"/>
        </w:rPr>
        <w:t xml:space="preserve">  </w:t>
      </w:r>
      <w:r>
        <w:rPr>
          <w:rFonts w:hint="eastAsia" w:ascii="Arial" w:hAnsi="Arial"/>
          <w:sz w:val="22"/>
          <w:szCs w:val="22"/>
        </w:rPr>
        <w:t>月</w:t>
      </w:r>
      <w:r>
        <w:rPr>
          <w:rFonts w:ascii="Arial" w:hAnsi="Arial"/>
          <w:sz w:val="22"/>
          <w:szCs w:val="22"/>
        </w:rPr>
        <w:t xml:space="preserve"> </w:t>
      </w:r>
      <w:r>
        <w:rPr>
          <w:rFonts w:ascii="Arial" w:hAnsi="Arial"/>
          <w:sz w:val="22"/>
          <w:szCs w:val="22"/>
          <w:u w:val="single"/>
        </w:rPr>
        <w:t xml:space="preserve">      </w:t>
      </w:r>
      <w:r>
        <w:rPr>
          <w:rFonts w:hint="eastAsia" w:ascii="Arial" w:hAnsi="Arial"/>
          <w:sz w:val="22"/>
          <w:szCs w:val="22"/>
        </w:rPr>
        <w:t>日</w:t>
      </w:r>
    </w:p>
    <w:p w14:paraId="383C4EFC">
      <w:pPr>
        <w:spacing w:line="360" w:lineRule="exact"/>
        <w:rPr>
          <w:rFonts w:ascii="宋体" w:hAnsi="宋体" w:cs="宋体"/>
          <w:b/>
          <w:sz w:val="22"/>
          <w:szCs w:val="22"/>
        </w:rPr>
      </w:pPr>
      <w:r>
        <w:rPr>
          <w:rFonts w:hint="eastAsia" w:ascii="宋体" w:hAnsi="宋体" w:cs="宋体"/>
          <w:b/>
          <w:sz w:val="22"/>
          <w:szCs w:val="22"/>
        </w:rPr>
        <w:t>★必须提供代理人有效期内身份证的正反面扫描件（港澳台居民可提供往来通行证），非中国国籍管辖范围的，可提供公安部门认可的身份证明材料，否则将导致投标无效。</w:t>
      </w:r>
    </w:p>
    <w:tbl>
      <w:tblPr>
        <w:tblStyle w:val="30"/>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4"/>
        <w:gridCol w:w="4265"/>
      </w:tblGrid>
      <w:tr w14:paraId="65D69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64" w:type="dxa"/>
          </w:tcPr>
          <w:p w14:paraId="6211DC6E">
            <w:pPr>
              <w:jc w:val="center"/>
            </w:pPr>
            <w:r>
              <w:rPr>
                <w:rFonts w:hint="eastAsia"/>
              </w:rPr>
              <w:t>证件扫描件正面</w:t>
            </w:r>
          </w:p>
          <w:p w14:paraId="09BB7398">
            <w:pPr>
              <w:pStyle w:val="3"/>
            </w:pPr>
          </w:p>
          <w:p w14:paraId="3DF0B685">
            <w:pPr>
              <w:pStyle w:val="24"/>
            </w:pPr>
          </w:p>
          <w:p w14:paraId="22200073">
            <w:pPr>
              <w:pStyle w:val="24"/>
            </w:pPr>
          </w:p>
          <w:p w14:paraId="20CD22E9">
            <w:pPr>
              <w:pStyle w:val="24"/>
            </w:pPr>
          </w:p>
        </w:tc>
        <w:tc>
          <w:tcPr>
            <w:tcW w:w="4265" w:type="dxa"/>
          </w:tcPr>
          <w:p w14:paraId="303548AF">
            <w:pPr>
              <w:jc w:val="center"/>
            </w:pPr>
            <w:r>
              <w:rPr>
                <w:rFonts w:hint="eastAsia"/>
              </w:rPr>
              <w:t>证件扫描件反面</w:t>
            </w:r>
          </w:p>
          <w:p w14:paraId="62BF2BB4">
            <w:pPr>
              <w:pStyle w:val="3"/>
              <w:jc w:val="center"/>
            </w:pPr>
          </w:p>
          <w:p w14:paraId="1CAA6836">
            <w:pPr>
              <w:pStyle w:val="24"/>
              <w:jc w:val="center"/>
            </w:pPr>
          </w:p>
        </w:tc>
      </w:tr>
    </w:tbl>
    <w:p w14:paraId="49A54E5A">
      <w:pPr>
        <w:tabs>
          <w:tab w:val="left" w:pos="651"/>
        </w:tabs>
        <w:snapToGrid w:val="0"/>
        <w:spacing w:line="360" w:lineRule="exact"/>
        <w:rPr>
          <w:rFonts w:ascii="宋体" w:hAnsi="宋体" w:eastAsia="宋体" w:cs="宋体"/>
          <w:sz w:val="22"/>
          <w:szCs w:val="22"/>
        </w:rPr>
      </w:pPr>
      <w:r>
        <w:rPr>
          <w:rFonts w:hint="eastAsia" w:ascii="宋体" w:hAnsi="宋体" w:eastAsia="宋体" w:cs="宋体"/>
          <w:sz w:val="22"/>
          <w:szCs w:val="22"/>
        </w:rPr>
        <w:t>备注：</w:t>
      </w:r>
    </w:p>
    <w:p w14:paraId="6576D081">
      <w:pPr>
        <w:tabs>
          <w:tab w:val="left" w:pos="651"/>
        </w:tabs>
        <w:snapToGrid w:val="0"/>
        <w:spacing w:line="360" w:lineRule="exact"/>
        <w:rPr>
          <w:rFonts w:ascii="宋体" w:hAnsi="宋体" w:eastAsia="宋体" w:cs="宋体"/>
          <w:sz w:val="22"/>
          <w:szCs w:val="22"/>
        </w:rPr>
      </w:pPr>
      <w:r>
        <w:rPr>
          <w:rFonts w:hint="eastAsia" w:ascii="宋体" w:hAnsi="宋体" w:eastAsia="宋体" w:cs="宋体"/>
          <w:sz w:val="22"/>
          <w:szCs w:val="22"/>
        </w:rPr>
        <w:t>1、本项目投标授权代表为法定代表人（负责人）的，无需提供《</w:t>
      </w:r>
      <w:r>
        <w:rPr>
          <w:rFonts w:hint="eastAsia" w:ascii="宋体" w:hAnsi="宋体" w:cs="宋体"/>
          <w:sz w:val="22"/>
          <w:szCs w:val="22"/>
          <w:lang w:eastAsia="zh-CN"/>
        </w:rPr>
        <w:t>法定代表人（负责人）授权书</w:t>
      </w:r>
      <w:r>
        <w:rPr>
          <w:rFonts w:hint="eastAsia" w:ascii="宋体" w:hAnsi="宋体" w:eastAsia="宋体" w:cs="宋体"/>
          <w:sz w:val="22"/>
          <w:szCs w:val="22"/>
        </w:rPr>
        <w:t>》。</w:t>
      </w:r>
    </w:p>
    <w:p w14:paraId="417FBD3B">
      <w:pPr>
        <w:tabs>
          <w:tab w:val="left" w:pos="651"/>
        </w:tabs>
        <w:snapToGrid w:val="0"/>
        <w:spacing w:line="360" w:lineRule="exact"/>
        <w:rPr>
          <w:rFonts w:hint="eastAsia" w:ascii="宋体" w:hAnsi="宋体" w:eastAsia="宋体" w:cs="宋体"/>
          <w:sz w:val="22"/>
          <w:szCs w:val="22"/>
          <w:lang w:val="en-US" w:eastAsia="zh-CN"/>
        </w:rPr>
      </w:pPr>
      <w:r>
        <w:rPr>
          <w:rFonts w:hint="eastAsia" w:ascii="宋体" w:hAnsi="宋体" w:eastAsia="宋体" w:cs="宋体"/>
          <w:sz w:val="22"/>
          <w:szCs w:val="22"/>
        </w:rPr>
        <w:t>2、投标授权代表须为投标供应商在职人员（在职期限应包括开标当日），且仅代表本投标供应商进行投标。投标文件中无需提供证明材料，采购</w:t>
      </w:r>
      <w:r>
        <w:rPr>
          <w:rFonts w:hint="eastAsia" w:ascii="宋体" w:hAnsi="宋体" w:eastAsia="宋体" w:cs="宋体"/>
          <w:sz w:val="22"/>
          <w:szCs w:val="22"/>
          <w:lang w:val="en-US" w:eastAsia="zh-CN"/>
        </w:rPr>
        <w:t>人和招标机构保留对投标授权代表社保情况、 劳动合同等进行调查核实的权利。如发现投标授权代表非投标人在职人员，视同提供虚假资料，按投标无效处理，并将依法承担相应法律责任。</w:t>
      </w:r>
    </w:p>
    <w:p w14:paraId="05C624AB">
      <w:pPr>
        <w:tabs>
          <w:tab w:val="left" w:pos="651"/>
        </w:tabs>
        <w:snapToGrid w:val="0"/>
        <w:spacing w:line="360" w:lineRule="exact"/>
        <w:rPr>
          <w:rFonts w:hint="eastAsia" w:ascii="宋体" w:hAnsi="宋体" w:eastAsia="宋体" w:cs="宋体"/>
          <w:sz w:val="22"/>
          <w:szCs w:val="22"/>
          <w:lang w:val="en-US" w:eastAsia="zh-CN"/>
        </w:rPr>
      </w:pPr>
    </w:p>
    <w:p w14:paraId="584ABC70">
      <w:pPr>
        <w:spacing w:line="360" w:lineRule="exact"/>
        <w:rPr>
          <w:b w:val="0"/>
          <w:bCs/>
        </w:rPr>
      </w:pPr>
      <w:r>
        <w:rPr>
          <w:rFonts w:hint="eastAsia" w:ascii="宋体" w:hAnsi="宋体" w:eastAsia="宋体" w:cs="宋体"/>
          <w:sz w:val="22"/>
          <w:szCs w:val="22"/>
          <w:lang w:val="en-US" w:eastAsia="zh-CN"/>
        </w:rPr>
        <w:t>温馨提示：为避免出现《深圳经济特区政府采购条例实施细则》第七十五条第二项所列情形，请投标供应商核实贵单位法定代表人、本项目投标授权代表人、项目负责人（如有）、主要技术人员（如有）等是否在贵单位缴纳社会保险。</w:t>
      </w:r>
    </w:p>
    <w:p w14:paraId="7EE43462">
      <w:pPr>
        <w:spacing w:line="360" w:lineRule="exact"/>
        <w:rPr>
          <w:rFonts w:ascii="宋体" w:hAnsi="宋体" w:cs="宋体"/>
          <w:bCs/>
          <w:sz w:val="22"/>
          <w:szCs w:val="22"/>
        </w:rPr>
      </w:pPr>
    </w:p>
    <w:p w14:paraId="583AFE57">
      <w:pPr>
        <w:jc w:val="center"/>
        <w:rPr>
          <w:b/>
          <w:bCs/>
          <w:sz w:val="32"/>
          <w:szCs w:val="40"/>
        </w:rPr>
      </w:pPr>
      <w:r>
        <w:rPr>
          <w:rFonts w:hint="eastAsia" w:ascii="宋体" w:hAnsi="宋体" w:cs="宋体"/>
        </w:rPr>
        <w:br w:type="page"/>
      </w:r>
    </w:p>
    <w:p w14:paraId="667613CD">
      <w:pPr>
        <w:numPr>
          <w:ilvl w:val="0"/>
          <w:numId w:val="5"/>
        </w:numPr>
        <w:ind w:left="420" w:firstLine="0"/>
        <w:jc w:val="center"/>
        <w:outlineLvl w:val="2"/>
        <w:rPr>
          <w:rFonts w:ascii="宋体" w:hAnsi="宋体" w:cs="宋体"/>
          <w:b/>
          <w:bCs/>
          <w:sz w:val="32"/>
          <w:szCs w:val="32"/>
        </w:rPr>
      </w:pPr>
      <w:r>
        <w:rPr>
          <w:rFonts w:hint="eastAsia" w:ascii="宋体" w:hAnsi="宋体" w:cs="宋体"/>
          <w:b/>
          <w:bCs/>
          <w:sz w:val="32"/>
          <w:szCs w:val="32"/>
        </w:rPr>
        <w:t>招标代理服务费承诺函</w:t>
      </w:r>
    </w:p>
    <w:p w14:paraId="49D667BE">
      <w:pPr>
        <w:spacing w:line="360" w:lineRule="auto"/>
        <w:rPr>
          <w:rFonts w:ascii="宋体" w:hAnsi="宋体" w:cs="宋体"/>
          <w:sz w:val="24"/>
        </w:rPr>
      </w:pPr>
    </w:p>
    <w:p w14:paraId="79090FC3">
      <w:pPr>
        <w:spacing w:line="360" w:lineRule="auto"/>
        <w:rPr>
          <w:rFonts w:ascii="Times New Roman" w:hAnsi="Times New Roman"/>
          <w:b/>
          <w:sz w:val="22"/>
          <w:szCs w:val="22"/>
        </w:rPr>
      </w:pPr>
      <w:r>
        <w:rPr>
          <w:rFonts w:ascii="Times New Roman" w:hAnsi="Times New Roman"/>
          <w:sz w:val="22"/>
          <w:szCs w:val="22"/>
        </w:rPr>
        <w:t>致：深圳市东海国际招标有限公司</w:t>
      </w:r>
    </w:p>
    <w:p w14:paraId="6341B2C3">
      <w:pPr>
        <w:widowControl/>
        <w:autoSpaceDE w:val="0"/>
        <w:autoSpaceDN w:val="0"/>
        <w:spacing w:line="360" w:lineRule="auto"/>
        <w:ind w:right="17" w:firstLine="440" w:firstLineChars="200"/>
        <w:textAlignment w:val="bottom"/>
        <w:rPr>
          <w:rFonts w:ascii="Times New Roman" w:hAnsi="Times New Roman"/>
          <w:sz w:val="22"/>
          <w:szCs w:val="22"/>
        </w:rPr>
      </w:pPr>
    </w:p>
    <w:p w14:paraId="5D268795">
      <w:pPr>
        <w:pStyle w:val="28"/>
        <w:spacing w:line="360" w:lineRule="auto"/>
        <w:ind w:left="0" w:leftChars="0" w:firstLine="415" w:firstLineChars="189"/>
        <w:rPr>
          <w:rFonts w:ascii="Times New Roman" w:hAnsi="Times New Roman"/>
          <w:sz w:val="22"/>
          <w:szCs w:val="22"/>
        </w:rPr>
      </w:pPr>
      <w:r>
        <w:rPr>
          <w:rFonts w:ascii="Times New Roman" w:hAnsi="Times New Roman"/>
          <w:sz w:val="22"/>
          <w:szCs w:val="22"/>
        </w:rPr>
        <w:t>我们在贵司代理的</w:t>
      </w:r>
      <w:r>
        <w:rPr>
          <w:rFonts w:ascii="Times New Roman" w:hAnsi="Times New Roman"/>
          <w:sz w:val="22"/>
          <w:szCs w:val="22"/>
          <w:u w:val="single"/>
        </w:rPr>
        <w:t xml:space="preserve">         </w:t>
      </w:r>
      <w:r>
        <w:rPr>
          <w:rFonts w:ascii="Times New Roman" w:hAnsi="Times New Roman"/>
          <w:sz w:val="22"/>
          <w:szCs w:val="22"/>
        </w:rPr>
        <w:t>项目（设备）招标中若获中标（项目编号：</w:t>
      </w:r>
      <w:r>
        <w:rPr>
          <w:rFonts w:ascii="Times New Roman" w:hAnsi="Times New Roman"/>
          <w:sz w:val="22"/>
          <w:szCs w:val="22"/>
          <w:u w:val="single"/>
        </w:rPr>
        <w:t xml:space="preserve">         </w:t>
      </w:r>
      <w:r>
        <w:rPr>
          <w:rFonts w:ascii="Times New Roman" w:hAnsi="Times New Roman"/>
          <w:sz w:val="22"/>
          <w:szCs w:val="22"/>
        </w:rPr>
        <w:t>），我们保证在收到中标通知书原件的同时按招标文件的规定，以转账、支票、汇票、电汇、现金或经贵公司认可的一种方式，向贵公司即深圳市东海国际招标有限公司指定的银行账号，一次性支付招标代理服务费。招标代理服务费依据深财购[2018]27号文及相关规定收费。招标代理服务费不足人民币</w:t>
      </w:r>
      <w:r>
        <w:rPr>
          <w:rFonts w:hint="eastAsia" w:ascii="Times New Roman" w:hAnsi="Times New Roman"/>
          <w:sz w:val="22"/>
          <w:lang w:eastAsia="zh-CN"/>
        </w:rPr>
        <w:t>7,500.00</w:t>
      </w:r>
      <w:r>
        <w:rPr>
          <w:rFonts w:ascii="Times New Roman" w:hAnsi="Times New Roman"/>
          <w:sz w:val="22"/>
          <w:szCs w:val="22"/>
        </w:rPr>
        <w:t>元时，按人民币</w:t>
      </w:r>
      <w:r>
        <w:rPr>
          <w:rFonts w:hint="eastAsia" w:ascii="Times New Roman" w:hAnsi="Times New Roman"/>
          <w:sz w:val="22"/>
          <w:lang w:eastAsia="zh-CN"/>
        </w:rPr>
        <w:t>7,500.00</w:t>
      </w:r>
      <w:r>
        <w:rPr>
          <w:rFonts w:ascii="Times New Roman" w:hAnsi="Times New Roman"/>
          <w:sz w:val="22"/>
          <w:szCs w:val="22"/>
        </w:rPr>
        <w:t>元缴纳。</w:t>
      </w:r>
    </w:p>
    <w:p w14:paraId="0A5FF90B">
      <w:pPr>
        <w:widowControl/>
        <w:autoSpaceDE w:val="0"/>
        <w:autoSpaceDN w:val="0"/>
        <w:spacing w:line="360" w:lineRule="auto"/>
        <w:ind w:right="893"/>
        <w:textAlignment w:val="bottom"/>
        <w:rPr>
          <w:rFonts w:ascii="Times New Roman" w:hAnsi="Times New Roman"/>
          <w:sz w:val="22"/>
          <w:szCs w:val="22"/>
        </w:rPr>
      </w:pPr>
    </w:p>
    <w:p w14:paraId="5E77C628">
      <w:pPr>
        <w:widowControl/>
        <w:autoSpaceDE w:val="0"/>
        <w:autoSpaceDN w:val="0"/>
        <w:spacing w:line="360" w:lineRule="auto"/>
        <w:ind w:right="893"/>
        <w:textAlignment w:val="bottom"/>
        <w:rPr>
          <w:rFonts w:ascii="Times New Roman" w:hAnsi="Times New Roman"/>
          <w:sz w:val="22"/>
          <w:szCs w:val="22"/>
        </w:rPr>
      </w:pPr>
    </w:p>
    <w:p w14:paraId="421F7499">
      <w:pPr>
        <w:widowControl/>
        <w:autoSpaceDE w:val="0"/>
        <w:autoSpaceDN w:val="0"/>
        <w:spacing w:line="360" w:lineRule="auto"/>
        <w:ind w:right="893" w:firstLine="440" w:firstLineChars="200"/>
        <w:textAlignment w:val="bottom"/>
        <w:rPr>
          <w:rFonts w:ascii="Times New Roman" w:hAnsi="Times New Roman"/>
          <w:sz w:val="22"/>
          <w:szCs w:val="22"/>
        </w:rPr>
      </w:pPr>
      <w:r>
        <w:rPr>
          <w:rFonts w:ascii="Times New Roman" w:hAnsi="Times New Roman"/>
          <w:sz w:val="22"/>
          <w:szCs w:val="22"/>
        </w:rPr>
        <w:t>特此承诺。</w:t>
      </w:r>
    </w:p>
    <w:p w14:paraId="12FDD846">
      <w:pPr>
        <w:widowControl/>
        <w:autoSpaceDE w:val="0"/>
        <w:autoSpaceDN w:val="0"/>
        <w:spacing w:line="360" w:lineRule="auto"/>
        <w:ind w:right="893"/>
        <w:textAlignment w:val="bottom"/>
        <w:rPr>
          <w:rFonts w:ascii="Times New Roman" w:hAnsi="Times New Roman"/>
          <w:sz w:val="22"/>
          <w:szCs w:val="22"/>
        </w:rPr>
      </w:pPr>
    </w:p>
    <w:p w14:paraId="47C59596">
      <w:pPr>
        <w:widowControl/>
        <w:autoSpaceDE w:val="0"/>
        <w:autoSpaceDN w:val="0"/>
        <w:spacing w:line="360" w:lineRule="auto"/>
        <w:ind w:right="893"/>
        <w:textAlignment w:val="bottom"/>
        <w:rPr>
          <w:rFonts w:ascii="Times New Roman" w:hAnsi="Times New Roman"/>
          <w:sz w:val="22"/>
          <w:szCs w:val="22"/>
        </w:rPr>
      </w:pPr>
    </w:p>
    <w:p w14:paraId="1BC32EC8">
      <w:pPr>
        <w:spacing w:line="360" w:lineRule="auto"/>
        <w:rPr>
          <w:rFonts w:ascii="Times New Roman" w:hAnsi="Times New Roman"/>
          <w:sz w:val="22"/>
          <w:szCs w:val="22"/>
        </w:rPr>
      </w:pPr>
    </w:p>
    <w:p w14:paraId="1FF7AEE4">
      <w:pPr>
        <w:spacing w:line="360" w:lineRule="auto"/>
        <w:ind w:right="440"/>
        <w:jc w:val="right"/>
        <w:rPr>
          <w:rFonts w:ascii="Times New Roman" w:hAnsi="Times New Roman"/>
          <w:bCs/>
          <w:sz w:val="22"/>
          <w:szCs w:val="22"/>
        </w:rPr>
      </w:pPr>
      <w:r>
        <w:rPr>
          <w:rFonts w:ascii="Times New Roman" w:hAnsi="Times New Roman"/>
          <w:bCs/>
          <w:sz w:val="22"/>
          <w:szCs w:val="22"/>
        </w:rPr>
        <w:t>投标人（公章）：</w:t>
      </w:r>
    </w:p>
    <w:p w14:paraId="267DF5FE">
      <w:pPr>
        <w:spacing w:line="360" w:lineRule="auto"/>
        <w:jc w:val="center"/>
        <w:rPr>
          <w:rFonts w:ascii="宋体" w:hAnsi="宋体" w:cs="宋体"/>
          <w:bCs/>
          <w:sz w:val="22"/>
          <w:szCs w:val="22"/>
        </w:rPr>
      </w:pPr>
      <w:r>
        <w:rPr>
          <w:rFonts w:ascii="Times New Roman" w:hAnsi="Times New Roman"/>
          <w:bCs/>
          <w:sz w:val="22"/>
          <w:szCs w:val="22"/>
        </w:rPr>
        <w:t xml:space="preserve">                                                      日期：   年  月  </w:t>
      </w:r>
      <w:r>
        <w:rPr>
          <w:rFonts w:hint="eastAsia" w:ascii="宋体" w:hAnsi="宋体" w:cs="宋体"/>
          <w:bCs/>
          <w:sz w:val="22"/>
          <w:szCs w:val="22"/>
        </w:rPr>
        <w:t>日</w:t>
      </w:r>
    </w:p>
    <w:p w14:paraId="1E93EE97">
      <w:pPr>
        <w:spacing w:line="360" w:lineRule="auto"/>
        <w:rPr>
          <w:rFonts w:ascii="宋体" w:hAnsi="宋体" w:cs="宋体"/>
          <w:sz w:val="22"/>
          <w:szCs w:val="22"/>
        </w:rPr>
      </w:pPr>
    </w:p>
    <w:p w14:paraId="746D05BC">
      <w:pPr>
        <w:widowControl/>
        <w:autoSpaceDE w:val="0"/>
        <w:autoSpaceDN w:val="0"/>
        <w:spacing w:line="360" w:lineRule="auto"/>
        <w:ind w:right="893" w:firstLine="440" w:firstLineChars="200"/>
        <w:textAlignment w:val="bottom"/>
        <w:rPr>
          <w:rFonts w:ascii="宋体" w:hAnsi="宋体" w:cs="宋体"/>
          <w:sz w:val="22"/>
        </w:rPr>
      </w:pPr>
      <w:r>
        <w:rPr>
          <w:rFonts w:hint="eastAsia" w:ascii="宋体" w:hAnsi="宋体" w:cs="宋体"/>
          <w:sz w:val="22"/>
          <w:szCs w:val="22"/>
        </w:rPr>
        <w:t>(注：按要求填写，不得更改承诺内容)</w:t>
      </w:r>
      <w:r>
        <w:rPr>
          <w:rFonts w:hint="eastAsia" w:ascii="宋体" w:hAnsi="宋体" w:cs="宋体"/>
          <w:sz w:val="22"/>
        </w:rPr>
        <w:br w:type="page"/>
      </w:r>
    </w:p>
    <w:p w14:paraId="05089839"/>
    <w:p w14:paraId="6784DA29">
      <w:pPr>
        <w:numPr>
          <w:ilvl w:val="0"/>
          <w:numId w:val="5"/>
        </w:numPr>
        <w:ind w:left="420" w:firstLine="0"/>
        <w:jc w:val="center"/>
        <w:outlineLvl w:val="2"/>
        <w:rPr>
          <w:b/>
          <w:bCs/>
          <w:kern w:val="0"/>
          <w:sz w:val="28"/>
          <w:szCs w:val="32"/>
        </w:rPr>
      </w:pPr>
      <w:r>
        <w:rPr>
          <w:rFonts w:hint="eastAsia"/>
          <w:b/>
          <w:bCs/>
          <w:kern w:val="0"/>
          <w:sz w:val="32"/>
          <w:szCs w:val="32"/>
        </w:rPr>
        <w:t>报价清单表</w:t>
      </w:r>
    </w:p>
    <w:p w14:paraId="4D217A34">
      <w:pPr>
        <w:rPr>
          <w:rFonts w:ascii="宋体" w:hAnsi="宋体" w:cs="宋体"/>
        </w:rPr>
      </w:pPr>
    </w:p>
    <w:p w14:paraId="7756CB44">
      <w:pPr>
        <w:pStyle w:val="5"/>
        <w:numPr>
          <w:ilvl w:val="0"/>
          <w:numId w:val="6"/>
        </w:numPr>
        <w:rPr>
          <w:rFonts w:ascii="宋体" w:hAnsi="宋体" w:cs="宋体"/>
        </w:rPr>
      </w:pPr>
      <w:r>
        <w:rPr>
          <w:rFonts w:hint="eastAsia" w:ascii="宋体" w:hAnsi="宋体" w:cs="宋体"/>
        </w:rPr>
        <w:t>开标一览表</w:t>
      </w:r>
    </w:p>
    <w:tbl>
      <w:tblPr>
        <w:tblStyle w:val="2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5"/>
        <w:gridCol w:w="3086"/>
        <w:gridCol w:w="3686"/>
      </w:tblGrid>
      <w:tr w14:paraId="2F294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0" w:hRule="atLeast"/>
          <w:jc w:val="center"/>
        </w:trPr>
        <w:tc>
          <w:tcPr>
            <w:tcW w:w="1755" w:type="dxa"/>
            <w:vAlign w:val="center"/>
          </w:tcPr>
          <w:p w14:paraId="0A6C1A6D">
            <w:pPr>
              <w:spacing w:line="360" w:lineRule="exact"/>
              <w:jc w:val="center"/>
              <w:rPr>
                <w:rFonts w:ascii="宋体" w:hAnsi="宋体" w:cs="宋体"/>
                <w:snapToGrid w:val="0"/>
                <w:kern w:val="0"/>
                <w:sz w:val="22"/>
              </w:rPr>
            </w:pPr>
            <w:r>
              <w:rPr>
                <w:rFonts w:hint="eastAsia" w:ascii="宋体" w:hAnsi="宋体" w:cs="宋体"/>
                <w:bCs/>
                <w:snapToGrid w:val="0"/>
                <w:kern w:val="0"/>
                <w:sz w:val="22"/>
              </w:rPr>
              <w:t>项目编号</w:t>
            </w:r>
          </w:p>
        </w:tc>
        <w:tc>
          <w:tcPr>
            <w:tcW w:w="3086" w:type="dxa"/>
            <w:vAlign w:val="center"/>
          </w:tcPr>
          <w:p w14:paraId="6C104D6B">
            <w:pPr>
              <w:spacing w:line="360" w:lineRule="exact"/>
              <w:jc w:val="center"/>
              <w:rPr>
                <w:rFonts w:ascii="宋体" w:hAnsi="宋体" w:cs="宋体"/>
                <w:snapToGrid w:val="0"/>
                <w:kern w:val="0"/>
                <w:sz w:val="22"/>
              </w:rPr>
            </w:pPr>
            <w:r>
              <w:rPr>
                <w:rFonts w:hint="eastAsia" w:ascii="宋体" w:hAnsi="宋体" w:cs="宋体"/>
                <w:snapToGrid w:val="0"/>
                <w:kern w:val="0"/>
                <w:sz w:val="22"/>
              </w:rPr>
              <w:t>项目名称</w:t>
            </w:r>
          </w:p>
        </w:tc>
        <w:tc>
          <w:tcPr>
            <w:tcW w:w="3686" w:type="dxa"/>
            <w:vAlign w:val="center"/>
          </w:tcPr>
          <w:p w14:paraId="1AB65EFE">
            <w:pPr>
              <w:spacing w:line="360" w:lineRule="exact"/>
              <w:jc w:val="center"/>
              <w:rPr>
                <w:rFonts w:ascii="宋体" w:hAnsi="宋体" w:cs="宋体"/>
                <w:snapToGrid w:val="0"/>
                <w:kern w:val="0"/>
                <w:sz w:val="22"/>
              </w:rPr>
            </w:pPr>
            <w:r>
              <w:rPr>
                <w:rFonts w:hint="eastAsia" w:ascii="宋体" w:hAnsi="宋体" w:cs="宋体"/>
                <w:snapToGrid w:val="0"/>
                <w:kern w:val="0"/>
                <w:sz w:val="22"/>
              </w:rPr>
              <w:t>投标总价（元）</w:t>
            </w:r>
          </w:p>
        </w:tc>
      </w:tr>
      <w:tr w14:paraId="152DD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8" w:hRule="atLeast"/>
          <w:jc w:val="center"/>
        </w:trPr>
        <w:tc>
          <w:tcPr>
            <w:tcW w:w="1755" w:type="dxa"/>
            <w:vAlign w:val="center"/>
          </w:tcPr>
          <w:p w14:paraId="0E0300BA">
            <w:pPr>
              <w:spacing w:line="360" w:lineRule="exact"/>
              <w:jc w:val="center"/>
              <w:rPr>
                <w:rFonts w:ascii="宋体" w:hAnsi="宋体" w:cs="宋体"/>
                <w:snapToGrid w:val="0"/>
                <w:kern w:val="0"/>
                <w:sz w:val="22"/>
              </w:rPr>
            </w:pPr>
          </w:p>
        </w:tc>
        <w:tc>
          <w:tcPr>
            <w:tcW w:w="3086" w:type="dxa"/>
            <w:vAlign w:val="center"/>
          </w:tcPr>
          <w:p w14:paraId="45755891">
            <w:pPr>
              <w:widowControl/>
              <w:spacing w:line="360" w:lineRule="exact"/>
              <w:jc w:val="center"/>
              <w:rPr>
                <w:rFonts w:ascii="宋体" w:hAnsi="宋体" w:cs="宋体"/>
                <w:kern w:val="0"/>
                <w:sz w:val="22"/>
              </w:rPr>
            </w:pPr>
          </w:p>
        </w:tc>
        <w:tc>
          <w:tcPr>
            <w:tcW w:w="3686" w:type="dxa"/>
            <w:vAlign w:val="center"/>
          </w:tcPr>
          <w:p w14:paraId="022FB200">
            <w:pPr>
              <w:spacing w:line="360" w:lineRule="exact"/>
              <w:rPr>
                <w:rFonts w:ascii="宋体" w:hAnsi="宋体" w:cs="宋体"/>
                <w:snapToGrid w:val="0"/>
                <w:kern w:val="0"/>
                <w:sz w:val="22"/>
              </w:rPr>
            </w:pPr>
            <w:r>
              <w:rPr>
                <w:rFonts w:hint="eastAsia" w:ascii="宋体" w:hAnsi="宋体" w:cs="宋体"/>
                <w:snapToGrid w:val="0"/>
                <w:kern w:val="0"/>
                <w:sz w:val="22"/>
              </w:rPr>
              <w:t>大写：</w:t>
            </w:r>
          </w:p>
          <w:p w14:paraId="0D8B8CC4">
            <w:pPr>
              <w:spacing w:line="360" w:lineRule="exact"/>
              <w:rPr>
                <w:rFonts w:ascii="宋体" w:hAnsi="宋体" w:cs="宋体"/>
                <w:snapToGrid w:val="0"/>
                <w:kern w:val="0"/>
                <w:sz w:val="22"/>
              </w:rPr>
            </w:pPr>
            <w:r>
              <w:rPr>
                <w:rFonts w:hint="eastAsia" w:ascii="宋体" w:hAnsi="宋体" w:cs="宋体"/>
                <w:snapToGrid w:val="0"/>
                <w:kern w:val="0"/>
                <w:sz w:val="22"/>
              </w:rPr>
              <w:t>小写：</w:t>
            </w:r>
          </w:p>
        </w:tc>
      </w:tr>
    </w:tbl>
    <w:p w14:paraId="4E64D16A">
      <w:pPr>
        <w:spacing w:line="360" w:lineRule="exact"/>
        <w:rPr>
          <w:rFonts w:ascii="宋体" w:hAnsi="宋体" w:cs="宋体"/>
          <w:snapToGrid w:val="0"/>
          <w:kern w:val="0"/>
          <w:sz w:val="22"/>
        </w:rPr>
      </w:pPr>
    </w:p>
    <w:p w14:paraId="6A5ADE24">
      <w:pPr>
        <w:spacing w:line="360" w:lineRule="exact"/>
        <w:ind w:right="2100" w:rightChars="1000"/>
        <w:jc w:val="right"/>
        <w:rPr>
          <w:rFonts w:ascii="宋体" w:hAnsi="宋体" w:cs="宋体"/>
          <w:snapToGrid w:val="0"/>
          <w:kern w:val="0"/>
          <w:sz w:val="22"/>
        </w:rPr>
      </w:pPr>
    </w:p>
    <w:p w14:paraId="53A0274F">
      <w:pPr>
        <w:spacing w:line="360" w:lineRule="exact"/>
        <w:ind w:right="2100" w:rightChars="1000"/>
        <w:jc w:val="left"/>
        <w:rPr>
          <w:rFonts w:ascii="宋体" w:hAnsi="宋体" w:cs="宋体"/>
          <w:snapToGrid w:val="0"/>
          <w:kern w:val="0"/>
          <w:sz w:val="22"/>
        </w:rPr>
      </w:pPr>
      <w:r>
        <w:rPr>
          <w:rFonts w:hint="eastAsia" w:ascii="宋体" w:hAnsi="宋体" w:cs="宋体"/>
          <w:snapToGrid w:val="0"/>
          <w:kern w:val="0"/>
          <w:sz w:val="22"/>
          <w:lang w:val="zh-CN"/>
        </w:rPr>
        <w:t>法定代表人（</w:t>
      </w:r>
      <w:r>
        <w:rPr>
          <w:rFonts w:hint="eastAsia" w:ascii="宋体" w:hAnsi="宋体" w:cs="宋体"/>
          <w:snapToGrid w:val="0"/>
          <w:kern w:val="0"/>
          <w:sz w:val="22"/>
        </w:rPr>
        <w:t>单位负责人</w:t>
      </w:r>
      <w:r>
        <w:rPr>
          <w:rFonts w:hint="eastAsia" w:ascii="宋体" w:hAnsi="宋体" w:cs="宋体"/>
          <w:snapToGrid w:val="0"/>
          <w:kern w:val="0"/>
          <w:sz w:val="22"/>
          <w:lang w:val="zh-CN"/>
        </w:rPr>
        <w:t>）或其授权代表（签字</w:t>
      </w:r>
      <w:r>
        <w:rPr>
          <w:rFonts w:hint="eastAsia" w:ascii="宋体" w:hAnsi="宋体" w:cs="宋体"/>
          <w:snapToGrid w:val="0"/>
          <w:kern w:val="0"/>
          <w:sz w:val="22"/>
        </w:rPr>
        <w:t>或盖章</w:t>
      </w:r>
      <w:r>
        <w:rPr>
          <w:rFonts w:hint="eastAsia" w:ascii="宋体" w:hAnsi="宋体" w:cs="宋体"/>
          <w:snapToGrid w:val="0"/>
          <w:kern w:val="0"/>
          <w:sz w:val="22"/>
          <w:lang w:val="zh-CN"/>
        </w:rPr>
        <w:t>）</w:t>
      </w:r>
      <w:r>
        <w:rPr>
          <w:rFonts w:hint="eastAsia" w:ascii="宋体" w:hAnsi="宋体" w:cs="宋体"/>
          <w:snapToGrid w:val="0"/>
          <w:kern w:val="0"/>
          <w:sz w:val="22"/>
        </w:rPr>
        <w:t xml:space="preserve">：                   </w:t>
      </w:r>
    </w:p>
    <w:p w14:paraId="66E2357B">
      <w:pPr>
        <w:spacing w:line="360" w:lineRule="exact"/>
        <w:ind w:right="2100" w:rightChars="1000"/>
        <w:jc w:val="left"/>
        <w:rPr>
          <w:rFonts w:ascii="宋体" w:hAnsi="宋体" w:cs="宋体"/>
          <w:snapToGrid w:val="0"/>
          <w:kern w:val="0"/>
          <w:sz w:val="22"/>
        </w:rPr>
      </w:pPr>
      <w:r>
        <w:rPr>
          <w:rFonts w:hint="eastAsia" w:ascii="宋体" w:hAnsi="宋体" w:cs="宋体"/>
          <w:snapToGrid w:val="0"/>
          <w:kern w:val="0"/>
          <w:sz w:val="22"/>
        </w:rPr>
        <w:t xml:space="preserve">投标人名称（盖章）：                        </w:t>
      </w:r>
    </w:p>
    <w:p w14:paraId="3FBC40FE">
      <w:pPr>
        <w:spacing w:line="360" w:lineRule="exact"/>
        <w:ind w:right="2100" w:rightChars="1000"/>
        <w:jc w:val="left"/>
        <w:rPr>
          <w:rFonts w:ascii="宋体" w:hAnsi="宋体" w:cs="宋体"/>
          <w:snapToGrid w:val="0"/>
          <w:kern w:val="0"/>
          <w:sz w:val="22"/>
        </w:rPr>
      </w:pPr>
      <w:r>
        <w:rPr>
          <w:rFonts w:hint="eastAsia" w:ascii="宋体" w:hAnsi="宋体" w:cs="宋体"/>
          <w:snapToGrid w:val="0"/>
          <w:kern w:val="0"/>
          <w:sz w:val="22"/>
        </w:rPr>
        <w:t>日期：   年   月   日</w:t>
      </w:r>
    </w:p>
    <w:p w14:paraId="76DCDBFA">
      <w:r>
        <w:br w:type="page"/>
      </w:r>
    </w:p>
    <w:p w14:paraId="2132D2B2">
      <w:pPr>
        <w:rPr>
          <w:rFonts w:ascii="宋体" w:hAnsi="宋体" w:cs="宋体"/>
        </w:rPr>
      </w:pPr>
    </w:p>
    <w:p w14:paraId="5C514588">
      <w:pPr>
        <w:pStyle w:val="5"/>
        <w:numPr>
          <w:ilvl w:val="0"/>
          <w:numId w:val="6"/>
        </w:numPr>
        <w:rPr>
          <w:rFonts w:ascii="宋体" w:hAnsi="宋体" w:cs="宋体"/>
          <w:bCs/>
          <w:sz w:val="32"/>
          <w:szCs w:val="32"/>
        </w:rPr>
      </w:pPr>
      <w:r>
        <w:rPr>
          <w:rFonts w:hint="eastAsia" w:ascii="宋体" w:hAnsi="宋体" w:cs="宋体"/>
          <w:bCs/>
          <w:sz w:val="32"/>
          <w:szCs w:val="32"/>
        </w:rPr>
        <w:t>分项报价清单表</w:t>
      </w:r>
    </w:p>
    <w:tbl>
      <w:tblPr>
        <w:tblStyle w:val="29"/>
        <w:tblW w:w="4997" w:type="pct"/>
        <w:tblInd w:w="0" w:type="dxa"/>
        <w:tblLayout w:type="autofit"/>
        <w:tblCellMar>
          <w:top w:w="0" w:type="dxa"/>
          <w:left w:w="108" w:type="dxa"/>
          <w:bottom w:w="0" w:type="dxa"/>
          <w:right w:w="108" w:type="dxa"/>
        </w:tblCellMar>
      </w:tblPr>
      <w:tblGrid>
        <w:gridCol w:w="549"/>
        <w:gridCol w:w="882"/>
        <w:gridCol w:w="1215"/>
        <w:gridCol w:w="1095"/>
        <w:gridCol w:w="301"/>
        <w:gridCol w:w="914"/>
        <w:gridCol w:w="1141"/>
        <w:gridCol w:w="1049"/>
        <w:gridCol w:w="1383"/>
      </w:tblGrid>
      <w:tr w14:paraId="7FDC6D8E">
        <w:trPr>
          <w:trHeight w:val="530" w:hRule="atLeast"/>
        </w:trPr>
        <w:tc>
          <w:tcPr>
            <w:tcW w:w="321" w:type="pct"/>
            <w:tcBorders>
              <w:top w:val="single" w:color="auto" w:sz="4" w:space="0"/>
              <w:left w:val="single" w:color="auto" w:sz="4" w:space="0"/>
              <w:bottom w:val="single" w:color="auto" w:sz="4" w:space="0"/>
              <w:right w:val="single" w:color="auto" w:sz="4" w:space="0"/>
            </w:tcBorders>
            <w:noWrap/>
            <w:vAlign w:val="center"/>
          </w:tcPr>
          <w:p w14:paraId="37717F1E">
            <w:pPr>
              <w:keepNext w:val="0"/>
              <w:keepLines w:val="0"/>
              <w:pageBreakBefore w:val="0"/>
              <w:widowControl/>
              <w:kinsoku/>
              <w:wordWrap/>
              <w:overflowPunct/>
              <w:topLinePunct w:val="0"/>
              <w:autoSpaceDE/>
              <w:autoSpaceDN/>
              <w:bidi w:val="0"/>
              <w:adjustRightInd/>
              <w:snapToGrid/>
              <w:spacing w:line="360" w:lineRule="atLeast"/>
              <w:jc w:val="center"/>
              <w:textAlignment w:val="auto"/>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序号</w:t>
            </w:r>
          </w:p>
        </w:tc>
        <w:tc>
          <w:tcPr>
            <w:tcW w:w="666" w:type="pct"/>
            <w:tcBorders>
              <w:top w:val="single" w:color="auto" w:sz="4" w:space="0"/>
              <w:left w:val="nil"/>
              <w:bottom w:val="single" w:color="auto" w:sz="4" w:space="0"/>
              <w:right w:val="single" w:color="auto" w:sz="4" w:space="0"/>
            </w:tcBorders>
            <w:noWrap/>
            <w:vAlign w:val="center"/>
          </w:tcPr>
          <w:p w14:paraId="2B5398EA">
            <w:pPr>
              <w:keepNext w:val="0"/>
              <w:keepLines w:val="0"/>
              <w:pageBreakBefore w:val="0"/>
              <w:widowControl/>
              <w:kinsoku/>
              <w:wordWrap/>
              <w:overflowPunct/>
              <w:topLinePunct w:val="0"/>
              <w:autoSpaceDE/>
              <w:autoSpaceDN/>
              <w:bidi w:val="0"/>
              <w:adjustRightInd/>
              <w:snapToGrid/>
              <w:spacing w:line="360" w:lineRule="atLeast"/>
              <w:jc w:val="center"/>
              <w:textAlignment w:val="auto"/>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color w:val="000000"/>
                <w:kern w:val="0"/>
                <w:sz w:val="22"/>
                <w:szCs w:val="22"/>
              </w:rPr>
              <w:t>岗位名称</w:t>
            </w:r>
          </w:p>
        </w:tc>
        <w:tc>
          <w:tcPr>
            <w:tcW w:w="516" w:type="pct"/>
            <w:tcBorders>
              <w:top w:val="single" w:color="auto" w:sz="4" w:space="0"/>
              <w:left w:val="nil"/>
              <w:bottom w:val="single" w:color="auto" w:sz="4" w:space="0"/>
              <w:right w:val="single" w:color="auto" w:sz="4" w:space="0"/>
            </w:tcBorders>
            <w:noWrap/>
            <w:vAlign w:val="center"/>
          </w:tcPr>
          <w:p w14:paraId="131518EE">
            <w:pPr>
              <w:keepNext w:val="0"/>
              <w:keepLines w:val="0"/>
              <w:pageBreakBefore w:val="0"/>
              <w:widowControl/>
              <w:kinsoku/>
              <w:wordWrap/>
              <w:overflowPunct/>
              <w:topLinePunct w:val="0"/>
              <w:autoSpaceDE/>
              <w:autoSpaceDN/>
              <w:bidi w:val="0"/>
              <w:adjustRightInd/>
              <w:snapToGrid/>
              <w:spacing w:line="360" w:lineRule="atLeast"/>
              <w:jc w:val="center"/>
              <w:textAlignment w:val="auto"/>
              <w:rPr>
                <w:rFonts w:hint="default" w:ascii="Times New Roman" w:hAnsi="Times New Roman" w:eastAsia="宋体" w:cs="Times New Roman"/>
                <w:b/>
                <w:bCs/>
                <w:color w:val="000000"/>
                <w:kern w:val="0"/>
                <w:sz w:val="22"/>
                <w:szCs w:val="22"/>
              </w:rPr>
            </w:pPr>
            <w:r>
              <w:rPr>
                <w:rFonts w:hint="eastAsia" w:ascii="Times New Roman" w:hAnsi="Times New Roman" w:cs="Times New Roman"/>
                <w:b/>
                <w:bCs/>
                <w:color w:val="000000"/>
                <w:kern w:val="0"/>
                <w:sz w:val="22"/>
                <w:szCs w:val="22"/>
                <w:lang w:eastAsia="zh-CN"/>
              </w:rPr>
              <w:t>预估</w:t>
            </w:r>
            <w:r>
              <w:rPr>
                <w:rFonts w:hint="default" w:ascii="Times New Roman" w:hAnsi="Times New Roman" w:eastAsia="宋体" w:cs="Times New Roman"/>
                <w:b/>
                <w:bCs/>
                <w:color w:val="000000"/>
                <w:kern w:val="0"/>
                <w:sz w:val="22"/>
                <w:szCs w:val="22"/>
              </w:rPr>
              <w:t>需求人数</w:t>
            </w:r>
          </w:p>
        </w:tc>
        <w:tc>
          <w:tcPr>
            <w:tcW w:w="649" w:type="pct"/>
            <w:tcBorders>
              <w:top w:val="single" w:color="auto" w:sz="4" w:space="0"/>
              <w:left w:val="nil"/>
              <w:bottom w:val="single" w:color="auto" w:sz="4" w:space="0"/>
              <w:right w:val="single" w:color="auto" w:sz="4" w:space="0"/>
            </w:tcBorders>
            <w:noWrap/>
            <w:vAlign w:val="center"/>
          </w:tcPr>
          <w:p w14:paraId="2B0CF37D">
            <w:pPr>
              <w:pStyle w:val="25"/>
              <w:keepNext w:val="0"/>
              <w:keepLines w:val="0"/>
              <w:pageBreakBefore w:val="0"/>
              <w:widowControl/>
              <w:kinsoku/>
              <w:wordWrap/>
              <w:overflowPunct/>
              <w:topLinePunct w:val="0"/>
              <w:autoSpaceDE/>
              <w:autoSpaceDN/>
              <w:bidi w:val="0"/>
              <w:adjustRightInd/>
              <w:snapToGrid/>
              <w:spacing w:beforeAutospacing="0" w:afterAutospacing="0" w:line="360" w:lineRule="atLeast"/>
              <w:jc w:val="center"/>
              <w:textAlignment w:val="auto"/>
              <w:rPr>
                <w:rFonts w:hint="default" w:ascii="Times New Roman" w:hAnsi="Times New Roman" w:eastAsia="宋体" w:cs="Times New Roman"/>
                <w:b/>
                <w:bCs/>
                <w:sz w:val="22"/>
                <w:szCs w:val="22"/>
                <w:shd w:val="clear" w:color="auto" w:fill="FFFFFF"/>
                <w:lang w:val="en-US" w:eastAsia="zh-CN"/>
              </w:rPr>
            </w:pPr>
            <w:r>
              <w:rPr>
                <w:rFonts w:hint="default" w:ascii="Times New Roman" w:hAnsi="Times New Roman" w:eastAsia="宋体" w:cs="Times New Roman"/>
                <w:b/>
                <w:bCs/>
                <w:sz w:val="22"/>
                <w:szCs w:val="22"/>
                <w:shd w:val="clear" w:color="auto" w:fill="FFFFFF"/>
              </w:rPr>
              <w:t>服务</w:t>
            </w:r>
            <w:r>
              <w:rPr>
                <w:rFonts w:hint="eastAsia" w:ascii="Times New Roman" w:hAnsi="Times New Roman" w:cs="Times New Roman"/>
                <w:b/>
                <w:bCs/>
                <w:sz w:val="22"/>
                <w:szCs w:val="22"/>
                <w:shd w:val="clear" w:color="auto" w:fill="FFFFFF"/>
                <w:lang w:eastAsia="zh-CN"/>
              </w:rPr>
              <w:t>时间</w:t>
            </w:r>
            <w:r>
              <w:rPr>
                <w:rFonts w:hint="eastAsia" w:ascii="Times New Roman" w:hAnsi="Times New Roman" w:cs="Times New Roman"/>
                <w:b/>
                <w:bCs/>
                <w:sz w:val="22"/>
                <w:szCs w:val="22"/>
                <w:shd w:val="clear" w:color="auto" w:fill="FFFFFF"/>
                <w:lang w:val="en-US" w:eastAsia="zh-CN"/>
              </w:rPr>
              <w:t>/人</w:t>
            </w:r>
          </w:p>
          <w:p w14:paraId="15BA7B47">
            <w:pPr>
              <w:pStyle w:val="25"/>
              <w:keepNext w:val="0"/>
              <w:keepLines w:val="0"/>
              <w:pageBreakBefore w:val="0"/>
              <w:widowControl/>
              <w:kinsoku/>
              <w:wordWrap/>
              <w:overflowPunct/>
              <w:topLinePunct w:val="0"/>
              <w:autoSpaceDE/>
              <w:autoSpaceDN/>
              <w:bidi w:val="0"/>
              <w:adjustRightInd/>
              <w:snapToGrid/>
              <w:spacing w:beforeAutospacing="0" w:afterAutospacing="0" w:line="360" w:lineRule="atLeast"/>
              <w:jc w:val="center"/>
              <w:textAlignment w:val="auto"/>
              <w:rPr>
                <w:rFonts w:hint="default" w:ascii="Times New Roman" w:hAnsi="Times New Roman" w:eastAsia="宋体" w:cs="Times New Roman"/>
                <w:b/>
                <w:bCs/>
                <w:color w:val="000000"/>
                <w:kern w:val="0"/>
                <w:sz w:val="22"/>
                <w:szCs w:val="22"/>
              </w:rPr>
            </w:pPr>
            <w:r>
              <w:rPr>
                <w:rFonts w:hint="default" w:ascii="Times New Roman" w:hAnsi="Times New Roman" w:eastAsia="宋体" w:cs="Times New Roman"/>
                <w:b/>
                <w:bCs/>
                <w:sz w:val="22"/>
                <w:szCs w:val="22"/>
                <w:shd w:val="clear" w:color="auto" w:fill="FFFFFF"/>
              </w:rPr>
              <w:t>（月）</w:t>
            </w:r>
          </w:p>
        </w:tc>
        <w:tc>
          <w:tcPr>
            <w:tcW w:w="722" w:type="pct"/>
            <w:gridSpan w:val="2"/>
            <w:tcBorders>
              <w:top w:val="single" w:color="auto" w:sz="4" w:space="0"/>
              <w:left w:val="nil"/>
              <w:bottom w:val="single" w:color="auto" w:sz="4" w:space="0"/>
              <w:right w:val="single" w:color="auto" w:sz="4" w:space="0"/>
            </w:tcBorders>
            <w:noWrap/>
            <w:vAlign w:val="center"/>
          </w:tcPr>
          <w:p w14:paraId="5F5A5C23">
            <w:pPr>
              <w:pStyle w:val="25"/>
              <w:keepNext w:val="0"/>
              <w:keepLines w:val="0"/>
              <w:pageBreakBefore w:val="0"/>
              <w:widowControl/>
              <w:kinsoku/>
              <w:wordWrap/>
              <w:overflowPunct/>
              <w:topLinePunct w:val="0"/>
              <w:autoSpaceDE/>
              <w:autoSpaceDN/>
              <w:bidi w:val="0"/>
              <w:adjustRightInd/>
              <w:snapToGrid/>
              <w:spacing w:beforeAutospacing="0" w:afterAutospacing="0" w:line="360" w:lineRule="atLeast"/>
              <w:jc w:val="center"/>
              <w:textAlignment w:val="auto"/>
              <w:rPr>
                <w:rFonts w:hint="default" w:ascii="Times New Roman" w:hAnsi="Times New Roman" w:cs="Times New Roman"/>
                <w:b/>
                <w:bCs/>
                <w:sz w:val="22"/>
                <w:szCs w:val="22"/>
                <w:shd w:val="clear" w:color="auto" w:fill="FFFFFF"/>
                <w:lang w:eastAsia="zh-CN"/>
              </w:rPr>
            </w:pPr>
            <w:r>
              <w:rPr>
                <w:rFonts w:hint="default" w:ascii="Times New Roman" w:hAnsi="Times New Roman" w:cs="Times New Roman"/>
                <w:b/>
                <w:bCs/>
                <w:sz w:val="22"/>
                <w:szCs w:val="22"/>
                <w:shd w:val="clear" w:color="auto" w:fill="FFFFFF"/>
                <w:lang w:eastAsia="zh-CN"/>
              </w:rPr>
              <w:t>单项最高限价</w:t>
            </w:r>
          </w:p>
          <w:p w14:paraId="66791926">
            <w:pPr>
              <w:pStyle w:val="25"/>
              <w:keepNext w:val="0"/>
              <w:keepLines w:val="0"/>
              <w:pageBreakBefore w:val="0"/>
              <w:widowControl/>
              <w:kinsoku/>
              <w:wordWrap/>
              <w:overflowPunct/>
              <w:topLinePunct w:val="0"/>
              <w:autoSpaceDE/>
              <w:autoSpaceDN/>
              <w:bidi w:val="0"/>
              <w:adjustRightInd/>
              <w:snapToGrid/>
              <w:spacing w:beforeAutospacing="0" w:afterAutospacing="0" w:line="360" w:lineRule="atLeast"/>
              <w:jc w:val="center"/>
              <w:textAlignment w:val="auto"/>
              <w:rPr>
                <w:rFonts w:hint="default" w:ascii="Times New Roman" w:hAnsi="Times New Roman" w:eastAsia="宋体" w:cs="Times New Roman"/>
                <w:b/>
                <w:bCs/>
                <w:color w:val="000000"/>
                <w:kern w:val="0"/>
                <w:sz w:val="22"/>
                <w:szCs w:val="22"/>
                <w:lang w:eastAsia="zh-CN"/>
              </w:rPr>
            </w:pPr>
            <w:r>
              <w:rPr>
                <w:rFonts w:hint="default" w:ascii="Times New Roman" w:hAnsi="Times New Roman" w:cs="Times New Roman"/>
                <w:b/>
                <w:bCs/>
                <w:sz w:val="22"/>
                <w:szCs w:val="22"/>
                <w:shd w:val="clear" w:color="auto" w:fill="FFFFFF"/>
                <w:lang w:eastAsia="zh-CN"/>
              </w:rPr>
              <w:t>（元</w:t>
            </w:r>
            <w:r>
              <w:rPr>
                <w:rFonts w:hint="default" w:ascii="Times New Roman" w:hAnsi="Times New Roman" w:cs="Times New Roman"/>
                <w:b/>
                <w:bCs/>
                <w:sz w:val="22"/>
                <w:szCs w:val="22"/>
                <w:shd w:val="clear" w:color="auto" w:fill="FFFFFF"/>
                <w:lang w:val="en-US" w:eastAsia="zh-CN"/>
              </w:rPr>
              <w:t>/人/月</w:t>
            </w:r>
            <w:r>
              <w:rPr>
                <w:rFonts w:hint="default" w:ascii="Times New Roman" w:hAnsi="Times New Roman" w:cs="Times New Roman"/>
                <w:b/>
                <w:bCs/>
                <w:sz w:val="22"/>
                <w:szCs w:val="22"/>
                <w:shd w:val="clear" w:color="auto" w:fill="FFFFFF"/>
                <w:lang w:eastAsia="zh-CN"/>
              </w:rPr>
              <w:t>）</w:t>
            </w:r>
          </w:p>
        </w:tc>
        <w:tc>
          <w:tcPr>
            <w:tcW w:w="677" w:type="pct"/>
            <w:tcBorders>
              <w:top w:val="single" w:color="auto" w:sz="4" w:space="0"/>
              <w:left w:val="nil"/>
              <w:bottom w:val="single" w:color="auto" w:sz="4" w:space="0"/>
              <w:right w:val="single" w:color="auto" w:sz="4" w:space="0"/>
            </w:tcBorders>
            <w:noWrap/>
            <w:vAlign w:val="center"/>
          </w:tcPr>
          <w:p w14:paraId="3FE10A8A">
            <w:pPr>
              <w:keepNext w:val="0"/>
              <w:keepLines w:val="0"/>
              <w:pageBreakBefore w:val="0"/>
              <w:widowControl/>
              <w:kinsoku/>
              <w:wordWrap/>
              <w:overflowPunct/>
              <w:topLinePunct w:val="0"/>
              <w:autoSpaceDE/>
              <w:autoSpaceDN/>
              <w:bidi w:val="0"/>
              <w:adjustRightInd/>
              <w:snapToGrid/>
              <w:spacing w:line="360" w:lineRule="atLeast"/>
              <w:jc w:val="center"/>
              <w:textAlignment w:val="auto"/>
              <w:rPr>
                <w:rFonts w:hint="default" w:ascii="Times New Roman" w:hAnsi="Times New Roman" w:eastAsia="宋体" w:cs="Times New Roman"/>
                <w:b/>
                <w:bCs/>
                <w:color w:val="000000"/>
                <w:kern w:val="0"/>
                <w:sz w:val="22"/>
                <w:szCs w:val="22"/>
                <w:lang w:eastAsia="zh-CN"/>
              </w:rPr>
            </w:pPr>
            <w:r>
              <w:rPr>
                <w:rFonts w:hint="default" w:ascii="Times New Roman" w:hAnsi="Times New Roman" w:cs="Times New Roman"/>
                <w:b/>
                <w:bCs/>
                <w:color w:val="000000"/>
                <w:kern w:val="0"/>
                <w:sz w:val="22"/>
                <w:szCs w:val="22"/>
                <w:lang w:eastAsia="zh-CN"/>
              </w:rPr>
              <w:t>投标</w:t>
            </w:r>
            <w:r>
              <w:rPr>
                <w:rFonts w:hint="default" w:ascii="Times New Roman" w:hAnsi="Times New Roman" w:eastAsia="宋体" w:cs="Times New Roman"/>
                <w:b/>
                <w:bCs/>
                <w:color w:val="000000"/>
                <w:kern w:val="0"/>
                <w:sz w:val="22"/>
                <w:szCs w:val="22"/>
                <w:lang w:eastAsia="zh-CN"/>
              </w:rPr>
              <w:t>单价</w:t>
            </w:r>
          </w:p>
          <w:p w14:paraId="070FDB5C">
            <w:pPr>
              <w:keepNext w:val="0"/>
              <w:keepLines w:val="0"/>
              <w:pageBreakBefore w:val="0"/>
              <w:widowControl/>
              <w:kinsoku/>
              <w:wordWrap/>
              <w:overflowPunct/>
              <w:topLinePunct w:val="0"/>
              <w:autoSpaceDE/>
              <w:autoSpaceDN/>
              <w:bidi w:val="0"/>
              <w:adjustRightInd/>
              <w:snapToGrid/>
              <w:spacing w:line="360" w:lineRule="atLeast"/>
              <w:jc w:val="center"/>
              <w:textAlignment w:val="auto"/>
              <w:rPr>
                <w:rFonts w:hint="default" w:ascii="Times New Roman" w:hAnsi="Times New Roman" w:eastAsia="宋体" w:cs="Times New Roman"/>
                <w:b/>
                <w:bCs/>
                <w:color w:val="000000"/>
                <w:kern w:val="0"/>
                <w:sz w:val="22"/>
                <w:szCs w:val="22"/>
                <w:lang w:eastAsia="zh-CN"/>
              </w:rPr>
            </w:pPr>
            <w:r>
              <w:rPr>
                <w:rFonts w:hint="default" w:ascii="Times New Roman" w:hAnsi="Times New Roman" w:eastAsia="宋体" w:cs="Times New Roman"/>
                <w:b/>
                <w:bCs/>
                <w:color w:val="000000"/>
                <w:kern w:val="0"/>
                <w:sz w:val="22"/>
                <w:szCs w:val="22"/>
                <w:lang w:eastAsia="zh-CN"/>
              </w:rPr>
              <w:t>（元/人/月）</w:t>
            </w:r>
          </w:p>
        </w:tc>
        <w:tc>
          <w:tcPr>
            <w:tcW w:w="622" w:type="pct"/>
            <w:tcBorders>
              <w:top w:val="single" w:color="auto" w:sz="4" w:space="0"/>
              <w:left w:val="nil"/>
              <w:bottom w:val="single" w:color="auto" w:sz="4" w:space="0"/>
              <w:right w:val="single" w:color="auto" w:sz="4" w:space="0"/>
            </w:tcBorders>
            <w:noWrap/>
            <w:vAlign w:val="center"/>
          </w:tcPr>
          <w:p w14:paraId="28987F16">
            <w:pPr>
              <w:keepNext w:val="0"/>
              <w:keepLines w:val="0"/>
              <w:pageBreakBefore w:val="0"/>
              <w:widowControl/>
              <w:kinsoku/>
              <w:wordWrap/>
              <w:overflowPunct/>
              <w:topLinePunct w:val="0"/>
              <w:autoSpaceDE/>
              <w:autoSpaceDN/>
              <w:bidi w:val="0"/>
              <w:adjustRightInd/>
              <w:snapToGrid/>
              <w:spacing w:line="360" w:lineRule="atLeast"/>
              <w:jc w:val="center"/>
              <w:textAlignment w:val="auto"/>
              <w:rPr>
                <w:rFonts w:hint="eastAsia" w:ascii="Times New Roman" w:hAnsi="Times New Roman" w:eastAsia="宋体" w:cs="Times New Roman"/>
                <w:b/>
                <w:bCs/>
                <w:color w:val="000000"/>
                <w:kern w:val="0"/>
                <w:sz w:val="22"/>
                <w:szCs w:val="22"/>
                <w:lang w:eastAsia="zh-CN"/>
              </w:rPr>
            </w:pPr>
            <w:r>
              <w:rPr>
                <w:rFonts w:hint="eastAsia" w:ascii="Times New Roman" w:hAnsi="Times New Roman" w:eastAsia="宋体" w:cs="Times New Roman"/>
                <w:b/>
                <w:bCs/>
                <w:color w:val="000000"/>
                <w:kern w:val="0"/>
                <w:sz w:val="22"/>
                <w:szCs w:val="22"/>
                <w:lang w:eastAsia="zh-CN"/>
              </w:rPr>
              <w:t>合计（元）</w:t>
            </w:r>
          </w:p>
        </w:tc>
        <w:tc>
          <w:tcPr>
            <w:tcW w:w="822" w:type="pct"/>
            <w:tcBorders>
              <w:top w:val="single" w:color="auto" w:sz="4" w:space="0"/>
              <w:left w:val="nil"/>
              <w:bottom w:val="single" w:color="auto" w:sz="4" w:space="0"/>
              <w:right w:val="single" w:color="auto" w:sz="4" w:space="0"/>
            </w:tcBorders>
            <w:noWrap/>
            <w:vAlign w:val="center"/>
          </w:tcPr>
          <w:p w14:paraId="129E1EF5">
            <w:pPr>
              <w:keepNext w:val="0"/>
              <w:keepLines w:val="0"/>
              <w:pageBreakBefore w:val="0"/>
              <w:widowControl/>
              <w:kinsoku/>
              <w:wordWrap/>
              <w:overflowPunct/>
              <w:topLinePunct w:val="0"/>
              <w:autoSpaceDE/>
              <w:autoSpaceDN/>
              <w:bidi w:val="0"/>
              <w:adjustRightInd/>
              <w:snapToGrid/>
              <w:spacing w:line="360" w:lineRule="atLeast"/>
              <w:jc w:val="center"/>
              <w:textAlignment w:val="auto"/>
              <w:rPr>
                <w:rFonts w:hint="eastAsia" w:ascii="Times New Roman" w:hAnsi="Times New Roman" w:eastAsia="宋体" w:cs="Times New Roman"/>
                <w:b/>
                <w:bCs/>
                <w:color w:val="000000"/>
                <w:kern w:val="0"/>
                <w:sz w:val="22"/>
                <w:szCs w:val="22"/>
                <w:lang w:eastAsia="zh-CN"/>
              </w:rPr>
            </w:pPr>
            <w:r>
              <w:rPr>
                <w:rFonts w:hint="eastAsia" w:ascii="Times New Roman" w:hAnsi="Times New Roman" w:eastAsia="宋体" w:cs="Times New Roman"/>
                <w:b/>
                <w:bCs/>
                <w:color w:val="000000"/>
                <w:kern w:val="0"/>
                <w:sz w:val="22"/>
                <w:szCs w:val="22"/>
                <w:lang w:eastAsia="zh-CN"/>
              </w:rPr>
              <w:t>预算限额（元）</w:t>
            </w:r>
          </w:p>
        </w:tc>
      </w:tr>
      <w:tr w14:paraId="53FBDDAD">
        <w:tblPrEx>
          <w:tblCellMar>
            <w:top w:w="0" w:type="dxa"/>
            <w:left w:w="108" w:type="dxa"/>
            <w:bottom w:w="0" w:type="dxa"/>
            <w:right w:w="108" w:type="dxa"/>
          </w:tblCellMar>
        </w:tblPrEx>
        <w:trPr>
          <w:trHeight w:val="475" w:hRule="atLeast"/>
        </w:trPr>
        <w:tc>
          <w:tcPr>
            <w:tcW w:w="321" w:type="pct"/>
            <w:tcBorders>
              <w:top w:val="nil"/>
              <w:left w:val="single" w:color="auto" w:sz="4" w:space="0"/>
              <w:bottom w:val="single" w:color="auto" w:sz="4" w:space="0"/>
              <w:right w:val="single" w:color="auto" w:sz="4" w:space="0"/>
            </w:tcBorders>
            <w:noWrap/>
            <w:vAlign w:val="center"/>
          </w:tcPr>
          <w:p w14:paraId="23AD3839">
            <w:pPr>
              <w:keepNext w:val="0"/>
              <w:keepLines w:val="0"/>
              <w:pageBreakBefore w:val="0"/>
              <w:widowControl/>
              <w:kinsoku/>
              <w:wordWrap/>
              <w:overflowPunct/>
              <w:topLinePunct w:val="0"/>
              <w:autoSpaceDE/>
              <w:autoSpaceDN/>
              <w:bidi w:val="0"/>
              <w:adjustRightInd/>
              <w:snapToGrid/>
              <w:spacing w:line="360" w:lineRule="atLeast"/>
              <w:jc w:val="center"/>
              <w:textAlignment w:val="auto"/>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1</w:t>
            </w:r>
          </w:p>
        </w:tc>
        <w:tc>
          <w:tcPr>
            <w:tcW w:w="666" w:type="pct"/>
            <w:tcBorders>
              <w:top w:val="nil"/>
              <w:left w:val="nil"/>
              <w:bottom w:val="single" w:color="auto" w:sz="4" w:space="0"/>
              <w:right w:val="single" w:color="auto" w:sz="4" w:space="0"/>
            </w:tcBorders>
            <w:noWrap/>
            <w:vAlign w:val="center"/>
          </w:tcPr>
          <w:p w14:paraId="3C61A00C">
            <w:pPr>
              <w:pStyle w:val="25"/>
              <w:keepNext w:val="0"/>
              <w:keepLines w:val="0"/>
              <w:pageBreakBefore w:val="0"/>
              <w:widowControl/>
              <w:kinsoku/>
              <w:wordWrap/>
              <w:overflowPunct/>
              <w:topLinePunct w:val="0"/>
              <w:autoSpaceDE/>
              <w:autoSpaceDN/>
              <w:bidi w:val="0"/>
              <w:adjustRightInd/>
              <w:snapToGrid/>
              <w:spacing w:beforeAutospacing="0" w:afterAutospacing="0" w:line="360" w:lineRule="atLeast"/>
              <w:jc w:val="center"/>
              <w:textAlignment w:val="auto"/>
              <w:rPr>
                <w:rFonts w:hint="default" w:ascii="Times New Roman" w:hAnsi="Times New Roman" w:eastAsia="宋体" w:cs="Times New Roman"/>
                <w:color w:val="000000"/>
                <w:kern w:val="0"/>
                <w:sz w:val="22"/>
                <w:szCs w:val="22"/>
              </w:rPr>
            </w:pPr>
            <w:r>
              <w:rPr>
                <w:rFonts w:hint="default" w:ascii="Times New Roman" w:hAnsi="Times New Roman" w:eastAsia="宋体" w:cs="Times New Roman"/>
                <w:sz w:val="22"/>
                <w:szCs w:val="22"/>
                <w:highlight w:val="none"/>
                <w:shd w:val="clear" w:color="auto" w:fill="FFFFFF"/>
                <w:lang w:val="en-US" w:eastAsia="zh-CN"/>
              </w:rPr>
              <w:t>初中</w:t>
            </w:r>
            <w:r>
              <w:rPr>
                <w:rFonts w:hint="default" w:ascii="Times New Roman" w:hAnsi="Times New Roman" w:cs="Times New Roman"/>
                <w:sz w:val="22"/>
                <w:szCs w:val="22"/>
                <w:highlight w:val="none"/>
                <w:shd w:val="clear" w:color="auto" w:fill="FFFFFF"/>
                <w:lang w:val="en-US" w:eastAsia="zh-CN"/>
              </w:rPr>
              <w:t>岗位</w:t>
            </w:r>
          </w:p>
        </w:tc>
        <w:tc>
          <w:tcPr>
            <w:tcW w:w="516" w:type="pct"/>
            <w:tcBorders>
              <w:top w:val="nil"/>
              <w:left w:val="nil"/>
              <w:bottom w:val="single" w:color="auto" w:sz="4" w:space="0"/>
              <w:right w:val="single" w:color="auto" w:sz="4" w:space="0"/>
            </w:tcBorders>
            <w:noWrap/>
            <w:vAlign w:val="center"/>
          </w:tcPr>
          <w:p w14:paraId="1421972F">
            <w:pPr>
              <w:pStyle w:val="25"/>
              <w:keepNext w:val="0"/>
              <w:keepLines w:val="0"/>
              <w:pageBreakBefore w:val="0"/>
              <w:widowControl/>
              <w:kinsoku/>
              <w:wordWrap/>
              <w:overflowPunct/>
              <w:topLinePunct w:val="0"/>
              <w:autoSpaceDE/>
              <w:autoSpaceDN/>
              <w:bidi w:val="0"/>
              <w:adjustRightInd/>
              <w:snapToGrid/>
              <w:spacing w:beforeAutospacing="0" w:afterAutospacing="0" w:line="360" w:lineRule="atLeast"/>
              <w:jc w:val="center"/>
              <w:textAlignment w:val="auto"/>
              <w:rPr>
                <w:rFonts w:hint="default" w:ascii="Times New Roman" w:hAnsi="Times New Roman" w:eastAsia="宋体" w:cs="Times New Roman"/>
                <w:color w:val="000000"/>
                <w:kern w:val="0"/>
                <w:sz w:val="22"/>
                <w:szCs w:val="22"/>
              </w:rPr>
            </w:pPr>
            <w:r>
              <w:rPr>
                <w:rFonts w:hint="default" w:ascii="Times New Roman" w:hAnsi="Times New Roman" w:cs="Times New Roman"/>
                <w:sz w:val="22"/>
                <w:szCs w:val="22"/>
                <w:highlight w:val="none"/>
                <w:shd w:val="clear" w:color="auto" w:fill="FFFFFF"/>
                <w:lang w:val="en-US" w:eastAsia="zh-CN"/>
              </w:rPr>
              <w:t>12</w:t>
            </w:r>
          </w:p>
        </w:tc>
        <w:tc>
          <w:tcPr>
            <w:tcW w:w="649" w:type="pct"/>
            <w:tcBorders>
              <w:top w:val="nil"/>
              <w:left w:val="nil"/>
              <w:bottom w:val="single" w:color="auto" w:sz="4" w:space="0"/>
              <w:right w:val="single" w:color="auto" w:sz="4" w:space="0"/>
            </w:tcBorders>
            <w:noWrap/>
            <w:vAlign w:val="center"/>
          </w:tcPr>
          <w:p w14:paraId="06ABCB71">
            <w:pPr>
              <w:pStyle w:val="25"/>
              <w:keepNext w:val="0"/>
              <w:keepLines w:val="0"/>
              <w:pageBreakBefore w:val="0"/>
              <w:widowControl/>
              <w:kinsoku/>
              <w:wordWrap/>
              <w:overflowPunct/>
              <w:topLinePunct w:val="0"/>
              <w:autoSpaceDE/>
              <w:autoSpaceDN/>
              <w:bidi w:val="0"/>
              <w:adjustRightInd/>
              <w:snapToGrid/>
              <w:spacing w:beforeAutospacing="0" w:afterAutospacing="0" w:line="360" w:lineRule="atLeast"/>
              <w:jc w:val="center"/>
              <w:textAlignment w:val="auto"/>
              <w:rPr>
                <w:rFonts w:hint="default" w:ascii="Times New Roman" w:hAnsi="Times New Roman" w:eastAsia="宋体" w:cs="Times New Roman"/>
                <w:color w:val="000000"/>
                <w:kern w:val="0"/>
                <w:sz w:val="22"/>
                <w:szCs w:val="22"/>
              </w:rPr>
            </w:pPr>
            <w:r>
              <w:rPr>
                <w:rFonts w:hint="default" w:ascii="Times New Roman" w:hAnsi="Times New Roman" w:eastAsia="宋体" w:cs="Times New Roman"/>
                <w:sz w:val="22"/>
                <w:szCs w:val="22"/>
                <w:highlight w:val="none"/>
                <w:shd w:val="clear" w:color="auto" w:fill="FFFFFF"/>
              </w:rPr>
              <w:t>12</w:t>
            </w:r>
          </w:p>
        </w:tc>
        <w:tc>
          <w:tcPr>
            <w:tcW w:w="722" w:type="pct"/>
            <w:gridSpan w:val="2"/>
            <w:tcBorders>
              <w:top w:val="nil"/>
              <w:left w:val="nil"/>
              <w:bottom w:val="nil"/>
              <w:right w:val="single" w:color="auto" w:sz="4" w:space="0"/>
            </w:tcBorders>
            <w:noWrap/>
            <w:vAlign w:val="center"/>
          </w:tcPr>
          <w:p w14:paraId="51677B50">
            <w:pPr>
              <w:pStyle w:val="25"/>
              <w:keepNext w:val="0"/>
              <w:keepLines w:val="0"/>
              <w:pageBreakBefore w:val="0"/>
              <w:widowControl/>
              <w:kinsoku/>
              <w:wordWrap/>
              <w:overflowPunct/>
              <w:topLinePunct w:val="0"/>
              <w:autoSpaceDE/>
              <w:autoSpaceDN/>
              <w:bidi w:val="0"/>
              <w:adjustRightInd/>
              <w:snapToGrid/>
              <w:spacing w:beforeAutospacing="0" w:afterAutospacing="0" w:line="360" w:lineRule="atLeast"/>
              <w:jc w:val="center"/>
              <w:textAlignment w:val="auto"/>
              <w:rPr>
                <w:rFonts w:hint="default" w:ascii="Times New Roman" w:hAnsi="Times New Roman" w:eastAsia="宋体" w:cs="Times New Roman"/>
                <w:color w:val="000000"/>
                <w:kern w:val="0"/>
                <w:sz w:val="22"/>
                <w:szCs w:val="22"/>
              </w:rPr>
            </w:pPr>
            <w:r>
              <w:rPr>
                <w:rFonts w:hint="default" w:ascii="Times New Roman" w:hAnsi="Times New Roman" w:cs="Times New Roman"/>
                <w:sz w:val="22"/>
                <w:szCs w:val="22"/>
                <w:highlight w:val="none"/>
                <w:shd w:val="clear" w:color="auto" w:fill="FFFFFF"/>
                <w:lang w:val="en-US" w:eastAsia="zh-CN"/>
              </w:rPr>
              <w:t>1,328.00</w:t>
            </w:r>
          </w:p>
        </w:tc>
        <w:tc>
          <w:tcPr>
            <w:tcW w:w="677" w:type="pct"/>
            <w:tcBorders>
              <w:top w:val="nil"/>
              <w:left w:val="nil"/>
              <w:bottom w:val="nil"/>
              <w:right w:val="single" w:color="auto" w:sz="4" w:space="0"/>
            </w:tcBorders>
            <w:noWrap/>
            <w:vAlign w:val="center"/>
          </w:tcPr>
          <w:p w14:paraId="79BBDA47">
            <w:pPr>
              <w:keepNext w:val="0"/>
              <w:keepLines w:val="0"/>
              <w:pageBreakBefore w:val="0"/>
              <w:widowControl/>
              <w:kinsoku/>
              <w:wordWrap/>
              <w:overflowPunct/>
              <w:topLinePunct w:val="0"/>
              <w:autoSpaceDE/>
              <w:autoSpaceDN/>
              <w:bidi w:val="0"/>
              <w:adjustRightInd/>
              <w:snapToGrid/>
              <w:spacing w:line="360" w:lineRule="atLeast"/>
              <w:jc w:val="center"/>
              <w:textAlignment w:val="auto"/>
              <w:rPr>
                <w:rFonts w:hint="default" w:ascii="Times New Roman" w:hAnsi="Times New Roman" w:eastAsia="宋体" w:cs="Times New Roman"/>
                <w:sz w:val="22"/>
                <w:szCs w:val="22"/>
              </w:rPr>
            </w:pPr>
          </w:p>
        </w:tc>
        <w:tc>
          <w:tcPr>
            <w:tcW w:w="622" w:type="pct"/>
            <w:tcBorders>
              <w:top w:val="nil"/>
              <w:left w:val="nil"/>
              <w:bottom w:val="nil"/>
              <w:right w:val="single" w:color="auto" w:sz="4" w:space="0"/>
            </w:tcBorders>
            <w:noWrap/>
            <w:vAlign w:val="center"/>
          </w:tcPr>
          <w:p w14:paraId="37AF5A0D">
            <w:pPr>
              <w:keepNext w:val="0"/>
              <w:keepLines w:val="0"/>
              <w:pageBreakBefore w:val="0"/>
              <w:widowControl/>
              <w:kinsoku/>
              <w:wordWrap/>
              <w:overflowPunct/>
              <w:topLinePunct w:val="0"/>
              <w:autoSpaceDE/>
              <w:autoSpaceDN/>
              <w:bidi w:val="0"/>
              <w:adjustRightInd/>
              <w:snapToGrid/>
              <w:spacing w:line="360" w:lineRule="atLeast"/>
              <w:jc w:val="center"/>
              <w:textAlignment w:val="auto"/>
              <w:rPr>
                <w:rFonts w:hint="default" w:ascii="Times New Roman" w:hAnsi="Times New Roman" w:eastAsia="宋体" w:cs="Times New Roman"/>
                <w:sz w:val="22"/>
                <w:szCs w:val="22"/>
              </w:rPr>
            </w:pPr>
          </w:p>
        </w:tc>
        <w:tc>
          <w:tcPr>
            <w:tcW w:w="822" w:type="pct"/>
            <w:vMerge w:val="restart"/>
            <w:tcBorders>
              <w:top w:val="nil"/>
              <w:left w:val="nil"/>
              <w:right w:val="single" w:color="auto" w:sz="4" w:space="0"/>
            </w:tcBorders>
            <w:noWrap/>
            <w:vAlign w:val="center"/>
          </w:tcPr>
          <w:p w14:paraId="683A2996">
            <w:pPr>
              <w:keepNext w:val="0"/>
              <w:keepLines w:val="0"/>
              <w:pageBreakBefore w:val="0"/>
              <w:widowControl/>
              <w:kinsoku/>
              <w:wordWrap/>
              <w:overflowPunct/>
              <w:topLinePunct w:val="0"/>
              <w:autoSpaceDE/>
              <w:autoSpaceDN/>
              <w:bidi w:val="0"/>
              <w:adjustRightInd/>
              <w:snapToGrid/>
              <w:spacing w:line="360" w:lineRule="atLeast"/>
              <w:jc w:val="center"/>
              <w:textAlignment w:val="auto"/>
              <w:rPr>
                <w:rFonts w:hint="eastAsia" w:ascii="Times New Roman" w:hAnsi="Times New Roman" w:eastAsia="宋体" w:cs="Times New Roman"/>
                <w:sz w:val="22"/>
                <w:szCs w:val="22"/>
                <w:lang w:eastAsia="zh-CN"/>
              </w:rPr>
            </w:pPr>
            <w:r>
              <w:rPr>
                <w:rFonts w:hint="eastAsia" w:ascii="Times New Roman" w:hAnsi="Times New Roman" w:cs="Times New Roman"/>
                <w:sz w:val="22"/>
                <w:szCs w:val="22"/>
                <w:lang w:eastAsia="zh-CN"/>
              </w:rPr>
              <w:t>307,200.00</w:t>
            </w:r>
          </w:p>
        </w:tc>
      </w:tr>
      <w:tr w14:paraId="3C0C67F0">
        <w:tblPrEx>
          <w:tblCellMar>
            <w:top w:w="0" w:type="dxa"/>
            <w:left w:w="108" w:type="dxa"/>
            <w:bottom w:w="0" w:type="dxa"/>
            <w:right w:w="108" w:type="dxa"/>
          </w:tblCellMar>
        </w:tblPrEx>
        <w:trPr>
          <w:trHeight w:val="475" w:hRule="atLeast"/>
        </w:trPr>
        <w:tc>
          <w:tcPr>
            <w:tcW w:w="321" w:type="pct"/>
            <w:tcBorders>
              <w:top w:val="nil"/>
              <w:left w:val="single" w:color="auto" w:sz="4" w:space="0"/>
              <w:bottom w:val="single" w:color="auto" w:sz="4" w:space="0"/>
              <w:right w:val="single" w:color="auto" w:sz="4" w:space="0"/>
            </w:tcBorders>
            <w:noWrap/>
            <w:vAlign w:val="center"/>
          </w:tcPr>
          <w:p w14:paraId="5B9A54B8">
            <w:pPr>
              <w:keepNext w:val="0"/>
              <w:keepLines w:val="0"/>
              <w:pageBreakBefore w:val="0"/>
              <w:widowControl/>
              <w:kinsoku/>
              <w:wordWrap/>
              <w:overflowPunct/>
              <w:topLinePunct w:val="0"/>
              <w:autoSpaceDE/>
              <w:autoSpaceDN/>
              <w:bidi w:val="0"/>
              <w:adjustRightInd/>
              <w:snapToGrid/>
              <w:spacing w:line="360" w:lineRule="atLeast"/>
              <w:jc w:val="center"/>
              <w:textAlignment w:val="auto"/>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2</w:t>
            </w:r>
          </w:p>
        </w:tc>
        <w:tc>
          <w:tcPr>
            <w:tcW w:w="666" w:type="pct"/>
            <w:tcBorders>
              <w:top w:val="nil"/>
              <w:left w:val="nil"/>
              <w:bottom w:val="single" w:color="auto" w:sz="4" w:space="0"/>
              <w:right w:val="single" w:color="auto" w:sz="4" w:space="0"/>
            </w:tcBorders>
            <w:noWrap/>
            <w:vAlign w:val="center"/>
          </w:tcPr>
          <w:p w14:paraId="44486978">
            <w:pPr>
              <w:pStyle w:val="25"/>
              <w:keepNext w:val="0"/>
              <w:keepLines w:val="0"/>
              <w:pageBreakBefore w:val="0"/>
              <w:widowControl/>
              <w:kinsoku/>
              <w:wordWrap/>
              <w:overflowPunct/>
              <w:topLinePunct w:val="0"/>
              <w:autoSpaceDE/>
              <w:autoSpaceDN/>
              <w:bidi w:val="0"/>
              <w:adjustRightInd/>
              <w:snapToGrid/>
              <w:spacing w:beforeAutospacing="0" w:afterAutospacing="0" w:line="360" w:lineRule="atLeast"/>
              <w:jc w:val="center"/>
              <w:textAlignment w:val="auto"/>
              <w:rPr>
                <w:rFonts w:hint="default" w:ascii="Times New Roman" w:hAnsi="Times New Roman" w:eastAsia="宋体" w:cs="Times New Roman"/>
                <w:kern w:val="0"/>
                <w:sz w:val="22"/>
                <w:szCs w:val="22"/>
              </w:rPr>
            </w:pPr>
            <w:r>
              <w:rPr>
                <w:rFonts w:hint="default" w:ascii="Times New Roman" w:hAnsi="Times New Roman" w:cs="Times New Roman"/>
                <w:sz w:val="22"/>
                <w:szCs w:val="22"/>
                <w:highlight w:val="none"/>
                <w:shd w:val="clear" w:color="auto" w:fill="FFFFFF"/>
                <w:lang w:val="en-US" w:eastAsia="zh-CN"/>
              </w:rPr>
              <w:t>小学岗位</w:t>
            </w:r>
          </w:p>
        </w:tc>
        <w:tc>
          <w:tcPr>
            <w:tcW w:w="516" w:type="pct"/>
            <w:tcBorders>
              <w:top w:val="nil"/>
              <w:left w:val="nil"/>
              <w:bottom w:val="single" w:color="auto" w:sz="4" w:space="0"/>
              <w:right w:val="single" w:color="auto" w:sz="4" w:space="0"/>
            </w:tcBorders>
            <w:noWrap/>
            <w:vAlign w:val="center"/>
          </w:tcPr>
          <w:p w14:paraId="30121EF9">
            <w:pPr>
              <w:pStyle w:val="25"/>
              <w:keepNext w:val="0"/>
              <w:keepLines w:val="0"/>
              <w:pageBreakBefore w:val="0"/>
              <w:widowControl/>
              <w:kinsoku/>
              <w:wordWrap/>
              <w:overflowPunct/>
              <w:topLinePunct w:val="0"/>
              <w:autoSpaceDE/>
              <w:autoSpaceDN/>
              <w:bidi w:val="0"/>
              <w:adjustRightInd/>
              <w:snapToGrid/>
              <w:spacing w:beforeAutospacing="0" w:afterAutospacing="0" w:line="360" w:lineRule="atLeast"/>
              <w:jc w:val="center"/>
              <w:textAlignment w:val="auto"/>
              <w:rPr>
                <w:rFonts w:hint="default" w:ascii="Times New Roman" w:hAnsi="Times New Roman" w:eastAsia="宋体" w:cs="Times New Roman"/>
                <w:color w:val="000000"/>
                <w:kern w:val="0"/>
                <w:sz w:val="22"/>
                <w:szCs w:val="22"/>
              </w:rPr>
            </w:pPr>
            <w:r>
              <w:rPr>
                <w:rFonts w:hint="default" w:ascii="Times New Roman" w:hAnsi="Times New Roman" w:cs="Times New Roman"/>
                <w:sz w:val="22"/>
                <w:szCs w:val="22"/>
                <w:highlight w:val="none"/>
                <w:shd w:val="clear" w:color="auto" w:fill="FFFFFF"/>
                <w:lang w:val="en-US" w:eastAsia="zh-CN"/>
              </w:rPr>
              <w:t>8</w:t>
            </w:r>
          </w:p>
        </w:tc>
        <w:tc>
          <w:tcPr>
            <w:tcW w:w="649" w:type="pct"/>
            <w:tcBorders>
              <w:top w:val="nil"/>
              <w:left w:val="nil"/>
              <w:bottom w:val="single" w:color="auto" w:sz="4" w:space="0"/>
              <w:right w:val="single" w:color="auto" w:sz="4" w:space="0"/>
            </w:tcBorders>
            <w:noWrap/>
            <w:vAlign w:val="center"/>
          </w:tcPr>
          <w:p w14:paraId="638C0A5C">
            <w:pPr>
              <w:pStyle w:val="25"/>
              <w:keepNext w:val="0"/>
              <w:keepLines w:val="0"/>
              <w:pageBreakBefore w:val="0"/>
              <w:widowControl/>
              <w:kinsoku/>
              <w:wordWrap/>
              <w:overflowPunct/>
              <w:topLinePunct w:val="0"/>
              <w:autoSpaceDE/>
              <w:autoSpaceDN/>
              <w:bidi w:val="0"/>
              <w:adjustRightInd/>
              <w:snapToGrid/>
              <w:spacing w:beforeAutospacing="0" w:afterAutospacing="0" w:line="360" w:lineRule="atLeast"/>
              <w:jc w:val="center"/>
              <w:textAlignment w:val="auto"/>
              <w:rPr>
                <w:rFonts w:hint="default" w:ascii="Times New Roman" w:hAnsi="Times New Roman" w:eastAsia="宋体" w:cs="Times New Roman"/>
                <w:kern w:val="0"/>
                <w:sz w:val="22"/>
                <w:szCs w:val="22"/>
              </w:rPr>
            </w:pPr>
            <w:r>
              <w:rPr>
                <w:rFonts w:hint="default" w:ascii="Times New Roman" w:hAnsi="Times New Roman" w:eastAsia="宋体" w:cs="Times New Roman"/>
                <w:sz w:val="22"/>
                <w:szCs w:val="22"/>
                <w:highlight w:val="none"/>
                <w:shd w:val="clear" w:color="auto" w:fill="FFFFFF"/>
              </w:rPr>
              <w:t>12</w:t>
            </w:r>
          </w:p>
        </w:tc>
        <w:tc>
          <w:tcPr>
            <w:tcW w:w="722" w:type="pct"/>
            <w:gridSpan w:val="2"/>
            <w:tcBorders>
              <w:top w:val="single" w:color="auto" w:sz="4" w:space="0"/>
              <w:left w:val="nil"/>
              <w:bottom w:val="nil"/>
              <w:right w:val="single" w:color="auto" w:sz="4" w:space="0"/>
            </w:tcBorders>
            <w:noWrap/>
            <w:vAlign w:val="center"/>
          </w:tcPr>
          <w:p w14:paraId="7FAD574C">
            <w:pPr>
              <w:pStyle w:val="25"/>
              <w:keepNext w:val="0"/>
              <w:keepLines w:val="0"/>
              <w:pageBreakBefore w:val="0"/>
              <w:widowControl/>
              <w:kinsoku/>
              <w:wordWrap/>
              <w:overflowPunct/>
              <w:topLinePunct w:val="0"/>
              <w:autoSpaceDE/>
              <w:autoSpaceDN/>
              <w:bidi w:val="0"/>
              <w:adjustRightInd/>
              <w:snapToGrid/>
              <w:spacing w:beforeAutospacing="0" w:afterAutospacing="0" w:line="360" w:lineRule="atLeast"/>
              <w:jc w:val="center"/>
              <w:textAlignment w:val="auto"/>
              <w:rPr>
                <w:rFonts w:hint="default" w:ascii="Times New Roman" w:hAnsi="Times New Roman" w:eastAsia="宋体" w:cs="Times New Roman"/>
                <w:kern w:val="0"/>
                <w:sz w:val="22"/>
                <w:szCs w:val="22"/>
              </w:rPr>
            </w:pPr>
            <w:r>
              <w:rPr>
                <w:rFonts w:hint="default" w:ascii="Times New Roman" w:hAnsi="Times New Roman" w:cs="Times New Roman"/>
                <w:sz w:val="22"/>
                <w:szCs w:val="22"/>
                <w:highlight w:val="none"/>
                <w:shd w:val="clear" w:color="auto" w:fill="FFFFFF"/>
                <w:lang w:val="en-US" w:eastAsia="zh-CN"/>
              </w:rPr>
              <w:t>1,208.00</w:t>
            </w:r>
          </w:p>
        </w:tc>
        <w:tc>
          <w:tcPr>
            <w:tcW w:w="677" w:type="pct"/>
            <w:tcBorders>
              <w:top w:val="single" w:color="auto" w:sz="4" w:space="0"/>
              <w:left w:val="nil"/>
              <w:bottom w:val="nil"/>
              <w:right w:val="single" w:color="auto" w:sz="4" w:space="0"/>
            </w:tcBorders>
            <w:noWrap/>
            <w:vAlign w:val="center"/>
          </w:tcPr>
          <w:p w14:paraId="7B4145DE">
            <w:pPr>
              <w:keepNext w:val="0"/>
              <w:keepLines w:val="0"/>
              <w:pageBreakBefore w:val="0"/>
              <w:widowControl/>
              <w:kinsoku/>
              <w:wordWrap/>
              <w:overflowPunct/>
              <w:topLinePunct w:val="0"/>
              <w:autoSpaceDE/>
              <w:autoSpaceDN/>
              <w:bidi w:val="0"/>
              <w:adjustRightInd/>
              <w:snapToGrid/>
              <w:spacing w:line="360" w:lineRule="atLeast"/>
              <w:jc w:val="center"/>
              <w:textAlignment w:val="auto"/>
              <w:rPr>
                <w:rFonts w:hint="default" w:ascii="Times New Roman" w:hAnsi="Times New Roman" w:eastAsia="宋体" w:cs="Times New Roman"/>
                <w:sz w:val="22"/>
                <w:szCs w:val="22"/>
              </w:rPr>
            </w:pPr>
          </w:p>
        </w:tc>
        <w:tc>
          <w:tcPr>
            <w:tcW w:w="622" w:type="pct"/>
            <w:tcBorders>
              <w:top w:val="single" w:color="auto" w:sz="4" w:space="0"/>
              <w:left w:val="nil"/>
              <w:bottom w:val="nil"/>
              <w:right w:val="single" w:color="auto" w:sz="4" w:space="0"/>
            </w:tcBorders>
            <w:noWrap/>
            <w:vAlign w:val="center"/>
          </w:tcPr>
          <w:p w14:paraId="66C93E69">
            <w:pPr>
              <w:keepNext w:val="0"/>
              <w:keepLines w:val="0"/>
              <w:pageBreakBefore w:val="0"/>
              <w:widowControl/>
              <w:kinsoku/>
              <w:wordWrap/>
              <w:overflowPunct/>
              <w:topLinePunct w:val="0"/>
              <w:autoSpaceDE/>
              <w:autoSpaceDN/>
              <w:bidi w:val="0"/>
              <w:adjustRightInd/>
              <w:snapToGrid/>
              <w:spacing w:line="360" w:lineRule="atLeast"/>
              <w:jc w:val="center"/>
              <w:textAlignment w:val="auto"/>
              <w:rPr>
                <w:rFonts w:hint="default" w:ascii="Times New Roman" w:hAnsi="Times New Roman" w:eastAsia="宋体" w:cs="Times New Roman"/>
                <w:sz w:val="22"/>
                <w:szCs w:val="22"/>
              </w:rPr>
            </w:pPr>
          </w:p>
        </w:tc>
        <w:tc>
          <w:tcPr>
            <w:tcW w:w="822" w:type="pct"/>
            <w:vMerge w:val="continue"/>
            <w:tcBorders>
              <w:left w:val="nil"/>
              <w:right w:val="single" w:color="auto" w:sz="4" w:space="0"/>
            </w:tcBorders>
            <w:noWrap/>
            <w:vAlign w:val="center"/>
          </w:tcPr>
          <w:p w14:paraId="102E27CC">
            <w:pPr>
              <w:keepNext w:val="0"/>
              <w:keepLines w:val="0"/>
              <w:pageBreakBefore w:val="0"/>
              <w:widowControl/>
              <w:kinsoku/>
              <w:wordWrap/>
              <w:overflowPunct/>
              <w:topLinePunct w:val="0"/>
              <w:autoSpaceDE/>
              <w:autoSpaceDN/>
              <w:bidi w:val="0"/>
              <w:adjustRightInd/>
              <w:snapToGrid/>
              <w:spacing w:line="360" w:lineRule="atLeast"/>
              <w:jc w:val="center"/>
              <w:textAlignment w:val="auto"/>
              <w:rPr>
                <w:rFonts w:hint="default" w:ascii="Times New Roman" w:hAnsi="Times New Roman" w:eastAsia="宋体" w:cs="Times New Roman"/>
                <w:sz w:val="22"/>
                <w:szCs w:val="22"/>
              </w:rPr>
            </w:pPr>
          </w:p>
        </w:tc>
      </w:tr>
      <w:tr w14:paraId="0E69ACBC">
        <w:tblPrEx>
          <w:tblCellMar>
            <w:top w:w="0" w:type="dxa"/>
            <w:left w:w="108" w:type="dxa"/>
            <w:bottom w:w="0" w:type="dxa"/>
            <w:right w:w="108" w:type="dxa"/>
          </w:tblCellMar>
        </w:tblPrEx>
        <w:trPr>
          <w:trHeight w:val="360" w:hRule="atLeast"/>
        </w:trPr>
        <w:tc>
          <w:tcPr>
            <w:tcW w:w="2331" w:type="pct"/>
            <w:gridSpan w:val="5"/>
            <w:tcBorders>
              <w:top w:val="single" w:color="auto" w:sz="4" w:space="0"/>
              <w:left w:val="single" w:color="auto" w:sz="4" w:space="0"/>
              <w:bottom w:val="single" w:color="auto" w:sz="4" w:space="0"/>
              <w:right w:val="single" w:color="auto" w:sz="4" w:space="0"/>
            </w:tcBorders>
            <w:noWrap/>
            <w:vAlign w:val="center"/>
          </w:tcPr>
          <w:p w14:paraId="7A3E71C2">
            <w:pPr>
              <w:keepNext w:val="0"/>
              <w:keepLines w:val="0"/>
              <w:pageBreakBefore w:val="0"/>
              <w:widowControl/>
              <w:suppressLineNumbers w:val="0"/>
              <w:kinsoku/>
              <w:wordWrap/>
              <w:overflowPunct/>
              <w:topLinePunct w:val="0"/>
              <w:autoSpaceDE/>
              <w:autoSpaceDN/>
              <w:bidi w:val="0"/>
              <w:adjustRightInd/>
              <w:snapToGrid/>
              <w:spacing w:line="360" w:lineRule="atLeast"/>
              <w:jc w:val="center"/>
              <w:textAlignment w:val="center"/>
              <w:rPr>
                <w:rFonts w:hint="default" w:ascii="Times New Roman" w:hAnsi="Times New Roman" w:cs="Times New Roman"/>
                <w:i w:val="0"/>
                <w:iCs w:val="0"/>
                <w:color w:val="auto"/>
                <w:kern w:val="0"/>
                <w:sz w:val="22"/>
                <w:szCs w:val="22"/>
                <w:u w:val="none"/>
                <w:lang w:val="en-US" w:eastAsia="zh-CN" w:bidi="ar"/>
              </w:rPr>
            </w:pPr>
            <w:r>
              <w:rPr>
                <w:rFonts w:hint="eastAsia" w:ascii="Times New Roman" w:hAnsi="Times New Roman" w:cs="Times New Roman"/>
                <w:i w:val="0"/>
                <w:iCs w:val="0"/>
                <w:color w:val="auto"/>
                <w:kern w:val="0"/>
                <w:sz w:val="22"/>
                <w:szCs w:val="22"/>
                <w:u w:val="none"/>
                <w:lang w:val="en-US" w:eastAsia="zh-CN" w:bidi="ar"/>
              </w:rPr>
              <w:t>投标总价（元）</w:t>
            </w:r>
          </w:p>
        </w:tc>
        <w:tc>
          <w:tcPr>
            <w:tcW w:w="1845" w:type="pct"/>
            <w:gridSpan w:val="3"/>
            <w:tcBorders>
              <w:top w:val="single" w:color="auto" w:sz="4" w:space="0"/>
              <w:left w:val="single" w:color="auto" w:sz="4" w:space="0"/>
              <w:bottom w:val="single" w:color="auto" w:sz="4" w:space="0"/>
              <w:right w:val="single" w:color="auto" w:sz="4" w:space="0"/>
            </w:tcBorders>
            <w:noWrap/>
            <w:vAlign w:val="center"/>
          </w:tcPr>
          <w:p w14:paraId="1856CB10">
            <w:pPr>
              <w:keepNext w:val="0"/>
              <w:keepLines w:val="0"/>
              <w:pageBreakBefore w:val="0"/>
              <w:widowControl/>
              <w:suppressLineNumbers w:val="0"/>
              <w:kinsoku/>
              <w:wordWrap/>
              <w:overflowPunct/>
              <w:topLinePunct w:val="0"/>
              <w:autoSpaceDE/>
              <w:autoSpaceDN/>
              <w:bidi w:val="0"/>
              <w:adjustRightInd/>
              <w:snapToGrid/>
              <w:spacing w:line="360" w:lineRule="atLeast"/>
              <w:jc w:val="left"/>
              <w:textAlignment w:val="center"/>
              <w:rPr>
                <w:rFonts w:hint="default" w:ascii="Times New Roman" w:hAnsi="Times New Roman" w:cs="Times New Roman"/>
                <w:i w:val="0"/>
                <w:iCs w:val="0"/>
                <w:color w:val="auto"/>
                <w:kern w:val="0"/>
                <w:sz w:val="22"/>
                <w:szCs w:val="22"/>
                <w:u w:val="none"/>
                <w:lang w:val="en-US" w:eastAsia="zh-CN" w:bidi="ar"/>
              </w:rPr>
            </w:pPr>
            <w:r>
              <w:rPr>
                <w:rFonts w:hint="eastAsia" w:ascii="Times New Roman" w:hAnsi="Times New Roman" w:cs="Times New Roman"/>
                <w:i w:val="0"/>
                <w:iCs w:val="0"/>
                <w:color w:val="auto"/>
                <w:kern w:val="0"/>
                <w:sz w:val="22"/>
                <w:szCs w:val="22"/>
                <w:u w:val="none"/>
                <w:lang w:val="en-US" w:eastAsia="zh-CN" w:bidi="ar"/>
              </w:rPr>
              <w:t>小写：</w:t>
            </w:r>
          </w:p>
        </w:tc>
        <w:tc>
          <w:tcPr>
            <w:tcW w:w="822" w:type="pct"/>
            <w:vMerge w:val="continue"/>
            <w:tcBorders>
              <w:left w:val="nil"/>
              <w:bottom w:val="single" w:color="auto" w:sz="4" w:space="0"/>
              <w:right w:val="single" w:color="auto" w:sz="4" w:space="0"/>
            </w:tcBorders>
            <w:noWrap/>
            <w:vAlign w:val="center"/>
          </w:tcPr>
          <w:p w14:paraId="5D8BCC56">
            <w:pPr>
              <w:keepNext w:val="0"/>
              <w:keepLines w:val="0"/>
              <w:pageBreakBefore w:val="0"/>
              <w:widowControl/>
              <w:kinsoku/>
              <w:wordWrap/>
              <w:overflowPunct/>
              <w:topLinePunct w:val="0"/>
              <w:autoSpaceDE/>
              <w:autoSpaceDN/>
              <w:bidi w:val="0"/>
              <w:adjustRightInd/>
              <w:snapToGrid/>
              <w:spacing w:line="360" w:lineRule="atLeast"/>
              <w:jc w:val="center"/>
              <w:textAlignment w:val="auto"/>
              <w:rPr>
                <w:rFonts w:hint="default" w:ascii="Times New Roman" w:hAnsi="Times New Roman" w:eastAsia="宋体" w:cs="Times New Roman"/>
                <w:sz w:val="22"/>
                <w:szCs w:val="22"/>
              </w:rPr>
            </w:pPr>
          </w:p>
        </w:tc>
      </w:tr>
    </w:tbl>
    <w:p w14:paraId="6A7A2336">
      <w:pPr>
        <w:spacing w:line="360" w:lineRule="atLeast"/>
        <w:ind w:firstLine="220" w:firstLineChars="100"/>
        <w:rPr>
          <w:rFonts w:hint="eastAsia" w:ascii="宋体" w:hAnsi="宋体" w:cs="宋体"/>
          <w:sz w:val="22"/>
          <w:szCs w:val="22"/>
          <w:lang w:val="en-US" w:eastAsia="zh-CN"/>
        </w:rPr>
      </w:pPr>
      <w:r>
        <w:rPr>
          <w:rFonts w:hint="eastAsia" w:ascii="宋体" w:hAnsi="宋体" w:cs="宋体"/>
          <w:sz w:val="22"/>
          <w:szCs w:val="22"/>
        </w:rPr>
        <w:t>注：1.</w:t>
      </w:r>
      <w:r>
        <w:rPr>
          <w:rFonts w:hint="eastAsia" w:ascii="宋体" w:hAnsi="宋体" w:cs="宋体"/>
          <w:sz w:val="22"/>
          <w:szCs w:val="22"/>
          <w:lang w:eastAsia="zh-CN"/>
        </w:rPr>
        <w:t>合计（元）</w:t>
      </w:r>
      <w:r>
        <w:rPr>
          <w:rFonts w:hint="eastAsia" w:ascii="宋体" w:hAnsi="宋体" w:cs="宋体"/>
          <w:sz w:val="22"/>
          <w:szCs w:val="22"/>
          <w:lang w:val="en-US" w:eastAsia="zh-CN"/>
        </w:rPr>
        <w:t>=需求人数*每人服务期限（月数）*投标单价（元/人/月）；</w:t>
      </w:r>
    </w:p>
    <w:p w14:paraId="494676D0">
      <w:pPr>
        <w:spacing w:line="360" w:lineRule="atLeast"/>
        <w:ind w:firstLine="660" w:firstLineChars="300"/>
        <w:rPr>
          <w:rFonts w:hint="default" w:ascii="宋体" w:hAnsi="宋体" w:eastAsia="宋体" w:cs="宋体"/>
          <w:sz w:val="22"/>
          <w:szCs w:val="22"/>
          <w:lang w:val="en-US" w:eastAsia="zh-CN"/>
        </w:rPr>
      </w:pPr>
      <w:r>
        <w:rPr>
          <w:rFonts w:hint="eastAsia" w:ascii="宋体" w:hAnsi="宋体" w:cs="宋体"/>
          <w:sz w:val="22"/>
          <w:szCs w:val="22"/>
          <w:lang w:val="en-US" w:eastAsia="zh-CN"/>
        </w:rPr>
        <w:t>2.投标总价（元</w:t>
      </w:r>
      <w:r>
        <w:rPr>
          <w:rFonts w:hint="eastAsia" w:ascii="宋体" w:hAnsi="宋体" w:eastAsia="宋体" w:cs="宋体"/>
          <w:sz w:val="22"/>
          <w:szCs w:val="22"/>
          <w:lang w:val="en-US" w:eastAsia="zh-CN"/>
        </w:rPr>
        <w:t>）=各分项价格合计；</w:t>
      </w:r>
    </w:p>
    <w:p w14:paraId="4C88333D">
      <w:pPr>
        <w:spacing w:line="360" w:lineRule="atLeast"/>
        <w:ind w:firstLine="660" w:firstLineChars="30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3.所有价格应按“招标文件”中规定的货币单位填写；</w:t>
      </w:r>
    </w:p>
    <w:p w14:paraId="6DFC0656">
      <w:pPr>
        <w:spacing w:line="360" w:lineRule="atLeast"/>
        <w:ind w:firstLine="660" w:firstLineChars="300"/>
        <w:rPr>
          <w:rFonts w:hint="eastAsia" w:ascii="宋体" w:hAnsi="宋体" w:eastAsia="宋体" w:cs="宋体"/>
          <w:sz w:val="22"/>
          <w:szCs w:val="22"/>
          <w:lang w:val="en-US" w:eastAsia="zh-CN"/>
        </w:rPr>
      </w:pPr>
      <w:r>
        <w:rPr>
          <w:rFonts w:hint="eastAsia" w:ascii="宋体" w:hAnsi="宋体" w:eastAsia="宋体" w:cs="宋体"/>
          <w:sz w:val="22"/>
          <w:szCs w:val="22"/>
          <w:lang w:val="en-US" w:eastAsia="zh-CN"/>
        </w:rPr>
        <w:t>4.本表格仅为指导性范本，供应商应根据项目具体情况对各分项内容进行调整提供详细分项报价。</w:t>
      </w:r>
    </w:p>
    <w:p w14:paraId="2B136F33">
      <w:pPr>
        <w:pStyle w:val="3"/>
        <w:spacing w:line="360" w:lineRule="atLeast"/>
        <w:rPr>
          <w:rFonts w:hint="eastAsia" w:ascii="宋体" w:hAnsi="宋体" w:eastAsia="宋体" w:cs="宋体"/>
          <w:sz w:val="22"/>
          <w:szCs w:val="22"/>
          <w:lang w:val="en-US" w:eastAsia="zh-CN"/>
        </w:rPr>
      </w:pPr>
    </w:p>
    <w:p w14:paraId="48702F78">
      <w:pPr>
        <w:pStyle w:val="24"/>
        <w:spacing w:line="360" w:lineRule="atLeast"/>
        <w:rPr>
          <w:rFonts w:hint="eastAsia"/>
          <w:lang w:val="en-US" w:eastAsia="zh-CN"/>
        </w:rPr>
      </w:pPr>
    </w:p>
    <w:p w14:paraId="0C86FAFD">
      <w:pPr>
        <w:keepNext w:val="0"/>
        <w:keepLines w:val="0"/>
        <w:pageBreakBefore w:val="0"/>
        <w:widowControl w:val="0"/>
        <w:kinsoku/>
        <w:wordWrap/>
        <w:overflowPunct/>
        <w:topLinePunct w:val="0"/>
        <w:autoSpaceDE/>
        <w:autoSpaceDN/>
        <w:bidi w:val="0"/>
        <w:adjustRightInd/>
        <w:snapToGrid/>
        <w:spacing w:line="360" w:lineRule="atLeast"/>
        <w:ind w:firstLine="440" w:firstLineChars="200"/>
        <w:textAlignment w:val="auto"/>
        <w:rPr>
          <w:rFonts w:ascii="宋体" w:hAnsi="宋体" w:cs="宋体"/>
          <w:sz w:val="22"/>
          <w:szCs w:val="22"/>
        </w:rPr>
      </w:pPr>
      <w:r>
        <w:rPr>
          <w:rFonts w:hint="eastAsia" w:ascii="宋体" w:hAnsi="宋体" w:cs="宋体"/>
          <w:sz w:val="22"/>
          <w:szCs w:val="22"/>
          <w:lang w:val="zh-CN"/>
        </w:rPr>
        <w:t>法定代表人（</w:t>
      </w:r>
      <w:r>
        <w:rPr>
          <w:rFonts w:hint="eastAsia" w:ascii="宋体" w:hAnsi="宋体" w:cs="宋体"/>
          <w:sz w:val="22"/>
          <w:szCs w:val="22"/>
        </w:rPr>
        <w:t>单位负责人</w:t>
      </w:r>
      <w:r>
        <w:rPr>
          <w:rFonts w:hint="eastAsia" w:ascii="宋体" w:hAnsi="宋体" w:cs="宋体"/>
          <w:sz w:val="22"/>
          <w:szCs w:val="22"/>
          <w:lang w:val="zh-CN"/>
        </w:rPr>
        <w:t>）或其授权代表（签字</w:t>
      </w:r>
      <w:r>
        <w:rPr>
          <w:rFonts w:hint="eastAsia" w:ascii="宋体" w:hAnsi="宋体" w:cs="宋体"/>
          <w:sz w:val="22"/>
          <w:szCs w:val="22"/>
        </w:rPr>
        <w:t>或盖章</w:t>
      </w:r>
      <w:r>
        <w:rPr>
          <w:rFonts w:hint="eastAsia" w:ascii="宋体" w:hAnsi="宋体" w:cs="宋体"/>
          <w:sz w:val="22"/>
          <w:szCs w:val="22"/>
          <w:lang w:val="zh-CN"/>
        </w:rPr>
        <w:t>）</w:t>
      </w:r>
      <w:r>
        <w:rPr>
          <w:rFonts w:hint="eastAsia" w:ascii="宋体" w:hAnsi="宋体" w:cs="宋体"/>
          <w:sz w:val="22"/>
          <w:szCs w:val="22"/>
        </w:rPr>
        <w:t xml:space="preserve">：                   </w:t>
      </w:r>
    </w:p>
    <w:p w14:paraId="77C6C080">
      <w:pPr>
        <w:keepNext w:val="0"/>
        <w:keepLines w:val="0"/>
        <w:pageBreakBefore w:val="0"/>
        <w:widowControl w:val="0"/>
        <w:kinsoku/>
        <w:wordWrap/>
        <w:overflowPunct/>
        <w:topLinePunct w:val="0"/>
        <w:autoSpaceDE/>
        <w:autoSpaceDN/>
        <w:bidi w:val="0"/>
        <w:adjustRightInd/>
        <w:snapToGrid/>
        <w:spacing w:line="360" w:lineRule="atLeast"/>
        <w:ind w:firstLine="440" w:firstLineChars="200"/>
        <w:textAlignment w:val="auto"/>
        <w:rPr>
          <w:rFonts w:ascii="宋体" w:hAnsi="宋体" w:cs="宋体"/>
          <w:sz w:val="22"/>
          <w:szCs w:val="22"/>
        </w:rPr>
      </w:pPr>
      <w:r>
        <w:rPr>
          <w:rFonts w:hint="eastAsia" w:ascii="宋体" w:hAnsi="宋体" w:cs="宋体"/>
          <w:sz w:val="22"/>
          <w:szCs w:val="22"/>
        </w:rPr>
        <w:t xml:space="preserve">投标人名称（盖章）：                        </w:t>
      </w:r>
    </w:p>
    <w:p w14:paraId="1F791ECA">
      <w:pPr>
        <w:keepNext w:val="0"/>
        <w:keepLines w:val="0"/>
        <w:pageBreakBefore w:val="0"/>
        <w:widowControl w:val="0"/>
        <w:kinsoku/>
        <w:wordWrap/>
        <w:overflowPunct/>
        <w:topLinePunct w:val="0"/>
        <w:autoSpaceDE/>
        <w:autoSpaceDN/>
        <w:bidi w:val="0"/>
        <w:adjustRightInd/>
        <w:snapToGrid/>
        <w:spacing w:line="360" w:lineRule="atLeast"/>
        <w:ind w:firstLine="440" w:firstLineChars="200"/>
        <w:textAlignment w:val="auto"/>
        <w:rPr>
          <w:rFonts w:ascii="宋体" w:hAnsi="宋体" w:cs="宋体"/>
          <w:bCs/>
          <w:sz w:val="22"/>
        </w:rPr>
      </w:pPr>
      <w:r>
        <w:rPr>
          <w:rFonts w:hint="eastAsia" w:ascii="宋体" w:hAnsi="宋体" w:cs="宋体"/>
          <w:sz w:val="22"/>
          <w:szCs w:val="22"/>
        </w:rPr>
        <w:t>日期：   年   月   日</w:t>
      </w:r>
      <w:r>
        <w:rPr>
          <w:rFonts w:hint="eastAsia" w:ascii="宋体" w:hAnsi="宋体" w:cs="宋体"/>
        </w:rPr>
        <w:br w:type="page"/>
      </w:r>
    </w:p>
    <w:p w14:paraId="057C18ED">
      <w:pPr>
        <w:numPr>
          <w:ilvl w:val="0"/>
          <w:numId w:val="5"/>
        </w:numPr>
        <w:ind w:left="420" w:firstLine="0"/>
        <w:jc w:val="center"/>
        <w:outlineLvl w:val="2"/>
        <w:rPr>
          <w:rFonts w:ascii="宋体" w:hAnsi="宋体" w:cs="宋体"/>
          <w:b/>
          <w:bCs/>
          <w:sz w:val="22"/>
          <w:szCs w:val="22"/>
        </w:rPr>
      </w:pPr>
      <w:r>
        <w:rPr>
          <w:rFonts w:hint="eastAsia" w:ascii="宋体" w:hAnsi="宋体" w:cs="宋体"/>
          <w:b/>
          <w:bCs/>
          <w:sz w:val="32"/>
        </w:rPr>
        <w:t>供应商情况介绍</w:t>
      </w:r>
    </w:p>
    <w:p w14:paraId="524929C1">
      <w:pPr>
        <w:jc w:val="left"/>
        <w:rPr>
          <w:rFonts w:ascii="宋体" w:hAnsi="宋体" w:cs="宋体"/>
          <w:b/>
          <w:bCs/>
          <w:sz w:val="22"/>
          <w:szCs w:val="22"/>
        </w:rPr>
      </w:pPr>
      <w:r>
        <w:rPr>
          <w:rFonts w:hint="eastAsia" w:ascii="宋体" w:hAnsi="宋体" w:cs="宋体"/>
          <w:b/>
          <w:bCs/>
          <w:sz w:val="22"/>
          <w:szCs w:val="22"/>
        </w:rPr>
        <w:t>（一）供应商情况一览表</w:t>
      </w:r>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9"/>
        <w:gridCol w:w="3173"/>
        <w:gridCol w:w="3253"/>
        <w:gridCol w:w="1291"/>
      </w:tblGrid>
      <w:tr w14:paraId="2BCF6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pct"/>
          </w:tcPr>
          <w:p w14:paraId="01B2A54F">
            <w:pPr>
              <w:adjustRightInd w:val="0"/>
              <w:snapToGrid w:val="0"/>
              <w:spacing w:line="360" w:lineRule="exact"/>
              <w:rPr>
                <w:rFonts w:ascii="宋体" w:hAnsi="宋体" w:cs="宋体"/>
                <w:bCs/>
                <w:sz w:val="22"/>
                <w:szCs w:val="22"/>
              </w:rPr>
            </w:pPr>
            <w:r>
              <w:rPr>
                <w:rFonts w:hint="eastAsia" w:ascii="宋体" w:hAnsi="宋体" w:cs="宋体"/>
                <w:bCs/>
                <w:sz w:val="22"/>
                <w:szCs w:val="22"/>
              </w:rPr>
              <w:t>序号</w:t>
            </w:r>
          </w:p>
        </w:tc>
        <w:tc>
          <w:tcPr>
            <w:tcW w:w="1860" w:type="pct"/>
          </w:tcPr>
          <w:p w14:paraId="43BBE630">
            <w:pPr>
              <w:adjustRightInd w:val="0"/>
              <w:snapToGrid w:val="0"/>
              <w:spacing w:line="360" w:lineRule="exact"/>
              <w:rPr>
                <w:rFonts w:ascii="宋体" w:hAnsi="宋体" w:cs="宋体"/>
                <w:bCs/>
                <w:sz w:val="22"/>
                <w:szCs w:val="22"/>
              </w:rPr>
            </w:pPr>
            <w:r>
              <w:rPr>
                <w:rFonts w:hint="eastAsia" w:ascii="宋体" w:hAnsi="宋体" w:cs="宋体"/>
                <w:bCs/>
                <w:sz w:val="22"/>
                <w:szCs w:val="22"/>
              </w:rPr>
              <w:t>项  目</w:t>
            </w:r>
          </w:p>
        </w:tc>
        <w:tc>
          <w:tcPr>
            <w:tcW w:w="1907" w:type="pct"/>
          </w:tcPr>
          <w:p w14:paraId="033FFB96">
            <w:pPr>
              <w:adjustRightInd w:val="0"/>
              <w:snapToGrid w:val="0"/>
              <w:spacing w:line="360" w:lineRule="exact"/>
              <w:rPr>
                <w:rFonts w:ascii="宋体" w:hAnsi="宋体" w:cs="宋体"/>
                <w:bCs/>
                <w:sz w:val="22"/>
                <w:szCs w:val="22"/>
              </w:rPr>
            </w:pPr>
            <w:r>
              <w:rPr>
                <w:rFonts w:hint="eastAsia" w:ascii="宋体" w:hAnsi="宋体" w:cs="宋体"/>
                <w:bCs/>
                <w:sz w:val="22"/>
                <w:szCs w:val="22"/>
              </w:rPr>
              <w:t>内容及说明</w:t>
            </w:r>
          </w:p>
        </w:tc>
        <w:tc>
          <w:tcPr>
            <w:tcW w:w="757" w:type="pct"/>
          </w:tcPr>
          <w:p w14:paraId="716281D0">
            <w:pPr>
              <w:adjustRightInd w:val="0"/>
              <w:snapToGrid w:val="0"/>
              <w:spacing w:line="360" w:lineRule="exact"/>
              <w:rPr>
                <w:rFonts w:ascii="宋体" w:hAnsi="宋体" w:cs="宋体"/>
                <w:bCs/>
                <w:sz w:val="22"/>
                <w:szCs w:val="22"/>
              </w:rPr>
            </w:pPr>
            <w:r>
              <w:rPr>
                <w:rFonts w:hint="eastAsia" w:ascii="宋体" w:hAnsi="宋体" w:cs="宋体"/>
                <w:bCs/>
                <w:sz w:val="22"/>
                <w:szCs w:val="22"/>
              </w:rPr>
              <w:t>备注</w:t>
            </w:r>
          </w:p>
        </w:tc>
      </w:tr>
      <w:tr w14:paraId="45BAB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474" w:type="pct"/>
            <w:vMerge w:val="restart"/>
          </w:tcPr>
          <w:p w14:paraId="5320C6A2">
            <w:pPr>
              <w:adjustRightInd w:val="0"/>
              <w:snapToGrid w:val="0"/>
              <w:spacing w:line="360" w:lineRule="exact"/>
              <w:rPr>
                <w:rFonts w:ascii="宋体" w:hAnsi="宋体" w:cs="宋体"/>
                <w:bCs/>
                <w:sz w:val="22"/>
                <w:szCs w:val="22"/>
              </w:rPr>
            </w:pPr>
            <w:r>
              <w:rPr>
                <w:rFonts w:hint="eastAsia" w:ascii="宋体" w:hAnsi="宋体" w:cs="宋体"/>
                <w:bCs/>
                <w:sz w:val="22"/>
                <w:szCs w:val="22"/>
              </w:rPr>
              <w:t>一</w:t>
            </w:r>
          </w:p>
        </w:tc>
        <w:tc>
          <w:tcPr>
            <w:tcW w:w="1860" w:type="pct"/>
          </w:tcPr>
          <w:p w14:paraId="1DCA286F">
            <w:pPr>
              <w:adjustRightInd w:val="0"/>
              <w:snapToGrid w:val="0"/>
              <w:spacing w:line="360" w:lineRule="exact"/>
              <w:rPr>
                <w:rFonts w:ascii="宋体" w:hAnsi="宋体" w:cs="宋体"/>
                <w:bCs/>
                <w:sz w:val="22"/>
                <w:szCs w:val="22"/>
              </w:rPr>
            </w:pPr>
            <w:r>
              <w:rPr>
                <w:rFonts w:hint="eastAsia" w:ascii="宋体" w:hAnsi="宋体" w:cs="宋体"/>
                <w:bCs/>
                <w:sz w:val="22"/>
                <w:szCs w:val="22"/>
              </w:rPr>
              <w:t>营业执照</w:t>
            </w:r>
          </w:p>
        </w:tc>
        <w:tc>
          <w:tcPr>
            <w:tcW w:w="1907" w:type="pct"/>
          </w:tcPr>
          <w:p w14:paraId="1F8ED0D8">
            <w:pPr>
              <w:adjustRightInd w:val="0"/>
              <w:snapToGrid w:val="0"/>
              <w:spacing w:line="360" w:lineRule="exact"/>
              <w:rPr>
                <w:rFonts w:ascii="宋体" w:hAnsi="宋体" w:cs="宋体"/>
                <w:bCs/>
                <w:sz w:val="22"/>
                <w:szCs w:val="22"/>
              </w:rPr>
            </w:pPr>
          </w:p>
        </w:tc>
        <w:tc>
          <w:tcPr>
            <w:tcW w:w="757" w:type="pct"/>
            <w:vMerge w:val="restart"/>
          </w:tcPr>
          <w:p w14:paraId="55961C63">
            <w:pPr>
              <w:adjustRightInd w:val="0"/>
              <w:snapToGrid w:val="0"/>
              <w:spacing w:line="360" w:lineRule="exact"/>
              <w:rPr>
                <w:rFonts w:ascii="宋体" w:hAnsi="宋体" w:cs="宋体"/>
                <w:bCs/>
                <w:sz w:val="22"/>
                <w:szCs w:val="22"/>
              </w:rPr>
            </w:pPr>
            <w:r>
              <w:rPr>
                <w:rFonts w:hint="eastAsia" w:ascii="宋体" w:hAnsi="宋体" w:cs="宋体"/>
                <w:bCs/>
                <w:sz w:val="22"/>
                <w:szCs w:val="22"/>
              </w:rPr>
              <w:t>提供复印件</w:t>
            </w:r>
          </w:p>
        </w:tc>
      </w:tr>
      <w:tr w14:paraId="6D67DE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74" w:type="pct"/>
            <w:vMerge w:val="continue"/>
          </w:tcPr>
          <w:p w14:paraId="5174302F">
            <w:pPr>
              <w:adjustRightInd w:val="0"/>
              <w:snapToGrid w:val="0"/>
              <w:spacing w:line="360" w:lineRule="exact"/>
              <w:rPr>
                <w:rFonts w:ascii="宋体" w:hAnsi="宋体" w:cs="宋体"/>
                <w:bCs/>
                <w:sz w:val="22"/>
                <w:szCs w:val="22"/>
              </w:rPr>
            </w:pPr>
          </w:p>
        </w:tc>
        <w:tc>
          <w:tcPr>
            <w:tcW w:w="1860" w:type="pct"/>
          </w:tcPr>
          <w:p w14:paraId="4FC230B3">
            <w:pPr>
              <w:adjustRightInd w:val="0"/>
              <w:snapToGrid w:val="0"/>
              <w:spacing w:line="360" w:lineRule="exact"/>
              <w:rPr>
                <w:rFonts w:ascii="宋体" w:hAnsi="宋体" w:cs="宋体"/>
                <w:bCs/>
                <w:sz w:val="22"/>
                <w:szCs w:val="22"/>
              </w:rPr>
            </w:pPr>
            <w:r>
              <w:rPr>
                <w:rFonts w:hint="eastAsia" w:ascii="宋体" w:hAnsi="宋体" w:cs="宋体"/>
                <w:bCs/>
                <w:sz w:val="22"/>
                <w:szCs w:val="22"/>
              </w:rPr>
              <w:t>1.注册年度及注册编号</w:t>
            </w:r>
          </w:p>
        </w:tc>
        <w:tc>
          <w:tcPr>
            <w:tcW w:w="1907" w:type="pct"/>
          </w:tcPr>
          <w:p w14:paraId="6A01721E">
            <w:pPr>
              <w:adjustRightInd w:val="0"/>
              <w:snapToGrid w:val="0"/>
              <w:spacing w:line="360" w:lineRule="exact"/>
              <w:rPr>
                <w:rFonts w:ascii="宋体" w:hAnsi="宋体" w:cs="宋体"/>
                <w:bCs/>
                <w:sz w:val="22"/>
                <w:szCs w:val="22"/>
              </w:rPr>
            </w:pPr>
          </w:p>
        </w:tc>
        <w:tc>
          <w:tcPr>
            <w:tcW w:w="757" w:type="pct"/>
            <w:vMerge w:val="continue"/>
          </w:tcPr>
          <w:p w14:paraId="3D041B63">
            <w:pPr>
              <w:adjustRightInd w:val="0"/>
              <w:snapToGrid w:val="0"/>
              <w:spacing w:line="360" w:lineRule="exact"/>
              <w:rPr>
                <w:rFonts w:ascii="宋体" w:hAnsi="宋体" w:cs="宋体"/>
                <w:bCs/>
                <w:sz w:val="22"/>
                <w:szCs w:val="22"/>
              </w:rPr>
            </w:pPr>
          </w:p>
        </w:tc>
      </w:tr>
      <w:tr w14:paraId="62F54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74" w:type="pct"/>
            <w:vMerge w:val="continue"/>
          </w:tcPr>
          <w:p w14:paraId="6FB03F4B">
            <w:pPr>
              <w:adjustRightInd w:val="0"/>
              <w:snapToGrid w:val="0"/>
              <w:spacing w:line="360" w:lineRule="exact"/>
              <w:rPr>
                <w:rFonts w:ascii="宋体" w:hAnsi="宋体" w:cs="宋体"/>
                <w:bCs/>
                <w:sz w:val="22"/>
                <w:szCs w:val="22"/>
              </w:rPr>
            </w:pPr>
          </w:p>
        </w:tc>
        <w:tc>
          <w:tcPr>
            <w:tcW w:w="1860" w:type="pct"/>
          </w:tcPr>
          <w:p w14:paraId="22DD787E">
            <w:pPr>
              <w:adjustRightInd w:val="0"/>
              <w:snapToGrid w:val="0"/>
              <w:spacing w:line="360" w:lineRule="exact"/>
              <w:rPr>
                <w:rFonts w:ascii="宋体" w:hAnsi="宋体" w:cs="宋体"/>
                <w:bCs/>
                <w:sz w:val="22"/>
                <w:szCs w:val="22"/>
              </w:rPr>
            </w:pPr>
            <w:r>
              <w:rPr>
                <w:rFonts w:hint="eastAsia" w:ascii="宋体" w:hAnsi="宋体" w:cs="宋体"/>
                <w:bCs/>
                <w:sz w:val="22"/>
                <w:szCs w:val="22"/>
              </w:rPr>
              <w:t>2.注册资金（万元）：</w:t>
            </w:r>
          </w:p>
        </w:tc>
        <w:tc>
          <w:tcPr>
            <w:tcW w:w="1907" w:type="pct"/>
          </w:tcPr>
          <w:p w14:paraId="4B1C9EE6">
            <w:pPr>
              <w:adjustRightInd w:val="0"/>
              <w:snapToGrid w:val="0"/>
              <w:spacing w:line="360" w:lineRule="exact"/>
              <w:rPr>
                <w:rFonts w:ascii="宋体" w:hAnsi="宋体" w:cs="宋体"/>
                <w:bCs/>
                <w:sz w:val="22"/>
                <w:szCs w:val="22"/>
              </w:rPr>
            </w:pPr>
          </w:p>
        </w:tc>
        <w:tc>
          <w:tcPr>
            <w:tcW w:w="757" w:type="pct"/>
            <w:vMerge w:val="continue"/>
          </w:tcPr>
          <w:p w14:paraId="58DD577D">
            <w:pPr>
              <w:adjustRightInd w:val="0"/>
              <w:snapToGrid w:val="0"/>
              <w:spacing w:line="360" w:lineRule="exact"/>
              <w:rPr>
                <w:rFonts w:ascii="宋体" w:hAnsi="宋体" w:cs="宋体"/>
                <w:bCs/>
                <w:sz w:val="22"/>
                <w:szCs w:val="22"/>
              </w:rPr>
            </w:pPr>
          </w:p>
        </w:tc>
      </w:tr>
      <w:tr w14:paraId="2590E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74" w:type="pct"/>
            <w:vMerge w:val="continue"/>
          </w:tcPr>
          <w:p w14:paraId="3F13EDE6">
            <w:pPr>
              <w:adjustRightInd w:val="0"/>
              <w:snapToGrid w:val="0"/>
              <w:spacing w:line="360" w:lineRule="exact"/>
              <w:rPr>
                <w:rFonts w:ascii="宋体" w:hAnsi="宋体" w:cs="宋体"/>
                <w:bCs/>
                <w:sz w:val="22"/>
                <w:szCs w:val="22"/>
              </w:rPr>
            </w:pPr>
          </w:p>
        </w:tc>
        <w:tc>
          <w:tcPr>
            <w:tcW w:w="1860" w:type="pct"/>
          </w:tcPr>
          <w:p w14:paraId="28F47283">
            <w:pPr>
              <w:adjustRightInd w:val="0"/>
              <w:snapToGrid w:val="0"/>
              <w:spacing w:line="360" w:lineRule="exact"/>
              <w:rPr>
                <w:rFonts w:ascii="宋体" w:hAnsi="宋体" w:cs="宋体"/>
                <w:bCs/>
                <w:sz w:val="22"/>
                <w:szCs w:val="22"/>
              </w:rPr>
            </w:pPr>
            <w:r>
              <w:rPr>
                <w:rFonts w:hint="eastAsia" w:ascii="宋体" w:hAnsi="宋体" w:cs="宋体"/>
                <w:bCs/>
                <w:sz w:val="22"/>
                <w:szCs w:val="22"/>
              </w:rPr>
              <w:t>3.经营场所：</w:t>
            </w:r>
          </w:p>
        </w:tc>
        <w:tc>
          <w:tcPr>
            <w:tcW w:w="1907" w:type="pct"/>
          </w:tcPr>
          <w:p w14:paraId="40235E2D">
            <w:pPr>
              <w:adjustRightInd w:val="0"/>
              <w:snapToGrid w:val="0"/>
              <w:spacing w:line="360" w:lineRule="exact"/>
              <w:rPr>
                <w:rFonts w:ascii="宋体" w:hAnsi="宋体" w:cs="宋体"/>
                <w:bCs/>
                <w:sz w:val="22"/>
                <w:szCs w:val="22"/>
              </w:rPr>
            </w:pPr>
          </w:p>
        </w:tc>
        <w:tc>
          <w:tcPr>
            <w:tcW w:w="757" w:type="pct"/>
            <w:vMerge w:val="continue"/>
          </w:tcPr>
          <w:p w14:paraId="7C8DBC71">
            <w:pPr>
              <w:adjustRightInd w:val="0"/>
              <w:snapToGrid w:val="0"/>
              <w:spacing w:line="360" w:lineRule="exact"/>
              <w:rPr>
                <w:rFonts w:ascii="宋体" w:hAnsi="宋体" w:cs="宋体"/>
                <w:bCs/>
                <w:sz w:val="22"/>
                <w:szCs w:val="22"/>
              </w:rPr>
            </w:pPr>
          </w:p>
        </w:tc>
      </w:tr>
      <w:tr w14:paraId="606493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74" w:type="pct"/>
            <w:vMerge w:val="continue"/>
          </w:tcPr>
          <w:p w14:paraId="52AAEF64">
            <w:pPr>
              <w:adjustRightInd w:val="0"/>
              <w:snapToGrid w:val="0"/>
              <w:spacing w:line="360" w:lineRule="exact"/>
              <w:rPr>
                <w:rFonts w:ascii="宋体" w:hAnsi="宋体" w:cs="宋体"/>
                <w:bCs/>
                <w:sz w:val="22"/>
                <w:szCs w:val="22"/>
              </w:rPr>
            </w:pPr>
          </w:p>
        </w:tc>
        <w:tc>
          <w:tcPr>
            <w:tcW w:w="1860" w:type="pct"/>
          </w:tcPr>
          <w:p w14:paraId="234079C1">
            <w:pPr>
              <w:adjustRightInd w:val="0"/>
              <w:snapToGrid w:val="0"/>
              <w:spacing w:line="360" w:lineRule="exact"/>
              <w:rPr>
                <w:rFonts w:ascii="宋体" w:hAnsi="宋体" w:cs="宋体"/>
                <w:bCs/>
                <w:sz w:val="22"/>
                <w:szCs w:val="22"/>
              </w:rPr>
            </w:pPr>
            <w:r>
              <w:rPr>
                <w:rFonts w:hint="eastAsia" w:ascii="宋体" w:hAnsi="宋体" w:cs="宋体"/>
                <w:bCs/>
                <w:sz w:val="22"/>
                <w:szCs w:val="22"/>
              </w:rPr>
              <w:t>4.有效期：</w:t>
            </w:r>
          </w:p>
        </w:tc>
        <w:tc>
          <w:tcPr>
            <w:tcW w:w="1907" w:type="pct"/>
          </w:tcPr>
          <w:p w14:paraId="25DE3D20">
            <w:pPr>
              <w:adjustRightInd w:val="0"/>
              <w:snapToGrid w:val="0"/>
              <w:spacing w:line="360" w:lineRule="exact"/>
              <w:rPr>
                <w:rFonts w:ascii="宋体" w:hAnsi="宋体" w:cs="宋体"/>
                <w:bCs/>
                <w:sz w:val="22"/>
                <w:szCs w:val="22"/>
              </w:rPr>
            </w:pPr>
          </w:p>
        </w:tc>
        <w:tc>
          <w:tcPr>
            <w:tcW w:w="757" w:type="pct"/>
            <w:vMerge w:val="continue"/>
          </w:tcPr>
          <w:p w14:paraId="5C3EA01C">
            <w:pPr>
              <w:adjustRightInd w:val="0"/>
              <w:snapToGrid w:val="0"/>
              <w:spacing w:line="360" w:lineRule="exact"/>
              <w:rPr>
                <w:rFonts w:ascii="宋体" w:hAnsi="宋体" w:cs="宋体"/>
                <w:bCs/>
                <w:sz w:val="22"/>
                <w:szCs w:val="22"/>
              </w:rPr>
            </w:pPr>
          </w:p>
        </w:tc>
      </w:tr>
      <w:tr w14:paraId="77C83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pct"/>
          </w:tcPr>
          <w:p w14:paraId="423F6BE7">
            <w:pPr>
              <w:adjustRightInd w:val="0"/>
              <w:snapToGrid w:val="0"/>
              <w:spacing w:line="360" w:lineRule="exact"/>
              <w:rPr>
                <w:rFonts w:ascii="宋体" w:hAnsi="宋体" w:cs="宋体"/>
                <w:bCs/>
                <w:sz w:val="22"/>
                <w:szCs w:val="22"/>
              </w:rPr>
            </w:pPr>
            <w:r>
              <w:rPr>
                <w:rFonts w:hint="eastAsia" w:ascii="宋体" w:hAnsi="宋体" w:cs="宋体"/>
                <w:bCs/>
                <w:sz w:val="22"/>
                <w:szCs w:val="22"/>
              </w:rPr>
              <w:t>二</w:t>
            </w:r>
          </w:p>
        </w:tc>
        <w:tc>
          <w:tcPr>
            <w:tcW w:w="1860" w:type="pct"/>
          </w:tcPr>
          <w:p w14:paraId="1C3B4D40">
            <w:pPr>
              <w:adjustRightInd w:val="0"/>
              <w:snapToGrid w:val="0"/>
              <w:spacing w:line="360" w:lineRule="exact"/>
              <w:rPr>
                <w:rFonts w:ascii="宋体" w:hAnsi="宋体" w:cs="宋体"/>
                <w:bCs/>
                <w:sz w:val="22"/>
                <w:szCs w:val="22"/>
              </w:rPr>
            </w:pPr>
            <w:r>
              <w:rPr>
                <w:rFonts w:hint="eastAsia" w:ascii="宋体" w:hAnsi="宋体" w:cs="宋体"/>
                <w:bCs/>
                <w:sz w:val="22"/>
                <w:szCs w:val="22"/>
              </w:rPr>
              <w:t>其他资格（质）证书</w:t>
            </w:r>
          </w:p>
        </w:tc>
        <w:tc>
          <w:tcPr>
            <w:tcW w:w="1907" w:type="pct"/>
          </w:tcPr>
          <w:p w14:paraId="44E8B2EF">
            <w:pPr>
              <w:adjustRightInd w:val="0"/>
              <w:snapToGrid w:val="0"/>
              <w:spacing w:line="360" w:lineRule="exact"/>
              <w:rPr>
                <w:rFonts w:ascii="宋体" w:hAnsi="宋体" w:cs="宋体"/>
                <w:bCs/>
                <w:sz w:val="22"/>
                <w:szCs w:val="22"/>
              </w:rPr>
            </w:pPr>
            <w:r>
              <w:rPr>
                <w:rFonts w:hint="eastAsia" w:ascii="宋体" w:hAnsi="宋体" w:cs="宋体"/>
                <w:bCs/>
                <w:sz w:val="22"/>
                <w:szCs w:val="22"/>
              </w:rPr>
              <w:t>（若有其他资质证书，可按表格格式扩展</w:t>
            </w:r>
          </w:p>
        </w:tc>
        <w:tc>
          <w:tcPr>
            <w:tcW w:w="757" w:type="pct"/>
            <w:vMerge w:val="restart"/>
          </w:tcPr>
          <w:p w14:paraId="23EE07B6">
            <w:pPr>
              <w:adjustRightInd w:val="0"/>
              <w:snapToGrid w:val="0"/>
              <w:spacing w:line="360" w:lineRule="exact"/>
              <w:rPr>
                <w:rFonts w:ascii="宋体" w:hAnsi="宋体" w:cs="宋体"/>
                <w:bCs/>
                <w:sz w:val="22"/>
                <w:szCs w:val="22"/>
              </w:rPr>
            </w:pPr>
            <w:r>
              <w:rPr>
                <w:rFonts w:hint="eastAsia" w:ascii="宋体" w:hAnsi="宋体" w:cs="宋体"/>
                <w:bCs/>
                <w:sz w:val="22"/>
                <w:szCs w:val="22"/>
              </w:rPr>
              <w:t>提供复印件</w:t>
            </w:r>
          </w:p>
          <w:p w14:paraId="52DE98AB">
            <w:pPr>
              <w:adjustRightInd w:val="0"/>
              <w:snapToGrid w:val="0"/>
              <w:spacing w:line="360" w:lineRule="exact"/>
              <w:rPr>
                <w:rFonts w:ascii="宋体" w:hAnsi="宋体" w:cs="宋体"/>
                <w:bCs/>
                <w:sz w:val="22"/>
                <w:szCs w:val="22"/>
              </w:rPr>
            </w:pPr>
          </w:p>
        </w:tc>
      </w:tr>
      <w:tr w14:paraId="67CE2D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pct"/>
            <w:vMerge w:val="restart"/>
          </w:tcPr>
          <w:p w14:paraId="766692F1">
            <w:pPr>
              <w:adjustRightInd w:val="0"/>
              <w:snapToGrid w:val="0"/>
              <w:spacing w:line="360" w:lineRule="exact"/>
              <w:rPr>
                <w:rFonts w:ascii="宋体" w:hAnsi="宋体" w:cs="宋体"/>
                <w:bCs/>
                <w:sz w:val="22"/>
                <w:szCs w:val="22"/>
              </w:rPr>
            </w:pPr>
          </w:p>
        </w:tc>
        <w:tc>
          <w:tcPr>
            <w:tcW w:w="1860" w:type="pct"/>
          </w:tcPr>
          <w:p w14:paraId="0FAEC159">
            <w:pPr>
              <w:adjustRightInd w:val="0"/>
              <w:snapToGrid w:val="0"/>
              <w:spacing w:line="360" w:lineRule="exact"/>
              <w:rPr>
                <w:rFonts w:ascii="宋体" w:hAnsi="宋体" w:cs="宋体"/>
                <w:bCs/>
                <w:sz w:val="22"/>
                <w:szCs w:val="22"/>
              </w:rPr>
            </w:pPr>
            <w:r>
              <w:rPr>
                <w:rFonts w:hint="eastAsia" w:ascii="宋体" w:hAnsi="宋体" w:cs="宋体"/>
                <w:bCs/>
                <w:sz w:val="22"/>
                <w:szCs w:val="22"/>
              </w:rPr>
              <w:t>1.证书名称</w:t>
            </w:r>
            <w:r>
              <w:rPr>
                <w:rFonts w:hint="eastAsia" w:ascii="宋体" w:hAnsi="宋体" w:cs="宋体"/>
                <w:bCs/>
                <w:sz w:val="22"/>
                <w:szCs w:val="22"/>
              </w:rPr>
              <w:tab/>
            </w:r>
          </w:p>
        </w:tc>
        <w:tc>
          <w:tcPr>
            <w:tcW w:w="1907" w:type="pct"/>
          </w:tcPr>
          <w:p w14:paraId="43199F9A">
            <w:pPr>
              <w:adjustRightInd w:val="0"/>
              <w:snapToGrid w:val="0"/>
              <w:spacing w:line="360" w:lineRule="exact"/>
              <w:rPr>
                <w:rFonts w:ascii="宋体" w:hAnsi="宋体" w:cs="宋体"/>
                <w:bCs/>
                <w:sz w:val="22"/>
                <w:szCs w:val="22"/>
              </w:rPr>
            </w:pPr>
          </w:p>
        </w:tc>
        <w:tc>
          <w:tcPr>
            <w:tcW w:w="757" w:type="pct"/>
            <w:vMerge w:val="continue"/>
          </w:tcPr>
          <w:p w14:paraId="4798A845">
            <w:pPr>
              <w:adjustRightInd w:val="0"/>
              <w:snapToGrid w:val="0"/>
              <w:spacing w:line="360" w:lineRule="exact"/>
              <w:rPr>
                <w:rFonts w:ascii="宋体" w:hAnsi="宋体" w:cs="宋体"/>
                <w:bCs/>
                <w:sz w:val="22"/>
                <w:szCs w:val="22"/>
              </w:rPr>
            </w:pPr>
          </w:p>
        </w:tc>
      </w:tr>
      <w:tr w14:paraId="265003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pct"/>
            <w:vMerge w:val="continue"/>
          </w:tcPr>
          <w:p w14:paraId="4F1C211F">
            <w:pPr>
              <w:adjustRightInd w:val="0"/>
              <w:snapToGrid w:val="0"/>
              <w:spacing w:line="360" w:lineRule="exact"/>
              <w:rPr>
                <w:rFonts w:ascii="宋体" w:hAnsi="宋体" w:cs="宋体"/>
                <w:bCs/>
                <w:sz w:val="22"/>
                <w:szCs w:val="22"/>
              </w:rPr>
            </w:pPr>
          </w:p>
        </w:tc>
        <w:tc>
          <w:tcPr>
            <w:tcW w:w="1860" w:type="pct"/>
          </w:tcPr>
          <w:p w14:paraId="3AFD3DCA">
            <w:pPr>
              <w:adjustRightInd w:val="0"/>
              <w:snapToGrid w:val="0"/>
              <w:spacing w:line="360" w:lineRule="exact"/>
              <w:rPr>
                <w:rFonts w:ascii="宋体" w:hAnsi="宋体" w:cs="宋体"/>
                <w:bCs/>
                <w:sz w:val="22"/>
                <w:szCs w:val="22"/>
              </w:rPr>
            </w:pPr>
            <w:r>
              <w:rPr>
                <w:rFonts w:hint="eastAsia" w:ascii="宋体" w:hAnsi="宋体" w:cs="宋体"/>
                <w:bCs/>
                <w:sz w:val="22"/>
                <w:szCs w:val="22"/>
              </w:rPr>
              <w:t>2.批准单位</w:t>
            </w:r>
          </w:p>
        </w:tc>
        <w:tc>
          <w:tcPr>
            <w:tcW w:w="1907" w:type="pct"/>
          </w:tcPr>
          <w:p w14:paraId="199B2965">
            <w:pPr>
              <w:adjustRightInd w:val="0"/>
              <w:snapToGrid w:val="0"/>
              <w:spacing w:line="360" w:lineRule="exact"/>
              <w:rPr>
                <w:rFonts w:ascii="宋体" w:hAnsi="宋体" w:cs="宋体"/>
                <w:bCs/>
                <w:sz w:val="22"/>
                <w:szCs w:val="22"/>
              </w:rPr>
            </w:pPr>
          </w:p>
        </w:tc>
        <w:tc>
          <w:tcPr>
            <w:tcW w:w="757" w:type="pct"/>
            <w:vMerge w:val="continue"/>
          </w:tcPr>
          <w:p w14:paraId="4E0CBCB3">
            <w:pPr>
              <w:adjustRightInd w:val="0"/>
              <w:snapToGrid w:val="0"/>
              <w:spacing w:line="360" w:lineRule="exact"/>
              <w:rPr>
                <w:rFonts w:ascii="宋体" w:hAnsi="宋体" w:cs="宋体"/>
                <w:bCs/>
                <w:sz w:val="22"/>
                <w:szCs w:val="22"/>
              </w:rPr>
            </w:pPr>
          </w:p>
        </w:tc>
      </w:tr>
      <w:tr w14:paraId="6F844A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pct"/>
            <w:vMerge w:val="continue"/>
          </w:tcPr>
          <w:p w14:paraId="5F4C2618">
            <w:pPr>
              <w:adjustRightInd w:val="0"/>
              <w:snapToGrid w:val="0"/>
              <w:spacing w:line="360" w:lineRule="exact"/>
              <w:rPr>
                <w:rFonts w:ascii="宋体" w:hAnsi="宋体" w:cs="宋体"/>
                <w:bCs/>
                <w:sz w:val="22"/>
                <w:szCs w:val="22"/>
              </w:rPr>
            </w:pPr>
          </w:p>
        </w:tc>
        <w:tc>
          <w:tcPr>
            <w:tcW w:w="1860" w:type="pct"/>
          </w:tcPr>
          <w:p w14:paraId="4BAA4D03">
            <w:pPr>
              <w:adjustRightInd w:val="0"/>
              <w:snapToGrid w:val="0"/>
              <w:spacing w:line="360" w:lineRule="exact"/>
              <w:rPr>
                <w:rFonts w:ascii="宋体" w:hAnsi="宋体" w:cs="宋体"/>
                <w:bCs/>
                <w:sz w:val="22"/>
                <w:szCs w:val="22"/>
              </w:rPr>
            </w:pPr>
            <w:r>
              <w:rPr>
                <w:rFonts w:hint="eastAsia" w:ascii="宋体" w:hAnsi="宋体" w:cs="宋体"/>
                <w:bCs/>
                <w:sz w:val="22"/>
                <w:szCs w:val="22"/>
              </w:rPr>
              <w:t>3.等级</w:t>
            </w:r>
          </w:p>
        </w:tc>
        <w:tc>
          <w:tcPr>
            <w:tcW w:w="1907" w:type="pct"/>
          </w:tcPr>
          <w:p w14:paraId="4A1B81C8">
            <w:pPr>
              <w:adjustRightInd w:val="0"/>
              <w:snapToGrid w:val="0"/>
              <w:spacing w:line="360" w:lineRule="exact"/>
              <w:rPr>
                <w:rFonts w:ascii="宋体" w:hAnsi="宋体" w:cs="宋体"/>
                <w:bCs/>
                <w:sz w:val="22"/>
                <w:szCs w:val="22"/>
              </w:rPr>
            </w:pPr>
          </w:p>
        </w:tc>
        <w:tc>
          <w:tcPr>
            <w:tcW w:w="757" w:type="pct"/>
            <w:vMerge w:val="continue"/>
          </w:tcPr>
          <w:p w14:paraId="076D4DCF">
            <w:pPr>
              <w:adjustRightInd w:val="0"/>
              <w:snapToGrid w:val="0"/>
              <w:spacing w:line="360" w:lineRule="exact"/>
              <w:rPr>
                <w:rFonts w:ascii="宋体" w:hAnsi="宋体" w:cs="宋体"/>
                <w:bCs/>
                <w:sz w:val="22"/>
                <w:szCs w:val="22"/>
              </w:rPr>
            </w:pPr>
          </w:p>
        </w:tc>
      </w:tr>
      <w:tr w14:paraId="78956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pct"/>
            <w:vMerge w:val="continue"/>
          </w:tcPr>
          <w:p w14:paraId="7E2128CE">
            <w:pPr>
              <w:adjustRightInd w:val="0"/>
              <w:snapToGrid w:val="0"/>
              <w:spacing w:line="360" w:lineRule="exact"/>
              <w:rPr>
                <w:rFonts w:ascii="宋体" w:hAnsi="宋体" w:cs="宋体"/>
                <w:bCs/>
                <w:sz w:val="22"/>
                <w:szCs w:val="22"/>
              </w:rPr>
            </w:pPr>
          </w:p>
        </w:tc>
        <w:tc>
          <w:tcPr>
            <w:tcW w:w="1860" w:type="pct"/>
          </w:tcPr>
          <w:p w14:paraId="48243951">
            <w:pPr>
              <w:adjustRightInd w:val="0"/>
              <w:snapToGrid w:val="0"/>
              <w:spacing w:line="360" w:lineRule="exact"/>
              <w:rPr>
                <w:rFonts w:ascii="宋体" w:hAnsi="宋体" w:cs="宋体"/>
                <w:bCs/>
                <w:sz w:val="22"/>
                <w:szCs w:val="22"/>
              </w:rPr>
            </w:pPr>
            <w:r>
              <w:rPr>
                <w:rFonts w:hint="eastAsia" w:ascii="宋体" w:hAnsi="宋体" w:cs="宋体"/>
                <w:bCs/>
                <w:sz w:val="22"/>
                <w:szCs w:val="22"/>
              </w:rPr>
              <w:t>4.批准时间及编号</w:t>
            </w:r>
          </w:p>
        </w:tc>
        <w:tc>
          <w:tcPr>
            <w:tcW w:w="1907" w:type="pct"/>
          </w:tcPr>
          <w:p w14:paraId="5C6B957E">
            <w:pPr>
              <w:adjustRightInd w:val="0"/>
              <w:snapToGrid w:val="0"/>
              <w:spacing w:line="360" w:lineRule="exact"/>
              <w:rPr>
                <w:rFonts w:ascii="宋体" w:hAnsi="宋体" w:cs="宋体"/>
                <w:bCs/>
                <w:sz w:val="22"/>
                <w:szCs w:val="22"/>
              </w:rPr>
            </w:pPr>
          </w:p>
        </w:tc>
        <w:tc>
          <w:tcPr>
            <w:tcW w:w="757" w:type="pct"/>
            <w:vMerge w:val="continue"/>
          </w:tcPr>
          <w:p w14:paraId="78F2F1F5">
            <w:pPr>
              <w:adjustRightInd w:val="0"/>
              <w:snapToGrid w:val="0"/>
              <w:spacing w:line="360" w:lineRule="exact"/>
              <w:rPr>
                <w:rFonts w:ascii="宋体" w:hAnsi="宋体" w:cs="宋体"/>
                <w:bCs/>
                <w:sz w:val="22"/>
                <w:szCs w:val="22"/>
              </w:rPr>
            </w:pPr>
          </w:p>
        </w:tc>
      </w:tr>
      <w:tr w14:paraId="5ABD1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pct"/>
            <w:vMerge w:val="continue"/>
          </w:tcPr>
          <w:p w14:paraId="12341B1E">
            <w:pPr>
              <w:adjustRightInd w:val="0"/>
              <w:snapToGrid w:val="0"/>
              <w:spacing w:line="360" w:lineRule="exact"/>
              <w:rPr>
                <w:rFonts w:ascii="宋体" w:hAnsi="宋体" w:cs="宋体"/>
                <w:bCs/>
                <w:sz w:val="22"/>
                <w:szCs w:val="22"/>
              </w:rPr>
            </w:pPr>
          </w:p>
        </w:tc>
        <w:tc>
          <w:tcPr>
            <w:tcW w:w="1860" w:type="pct"/>
          </w:tcPr>
          <w:p w14:paraId="4EFC3804">
            <w:pPr>
              <w:adjustRightInd w:val="0"/>
              <w:snapToGrid w:val="0"/>
              <w:spacing w:line="360" w:lineRule="exact"/>
              <w:rPr>
                <w:rFonts w:ascii="宋体" w:hAnsi="宋体" w:cs="宋体"/>
                <w:bCs/>
                <w:sz w:val="22"/>
                <w:szCs w:val="22"/>
              </w:rPr>
            </w:pPr>
            <w:r>
              <w:rPr>
                <w:rFonts w:hint="eastAsia" w:ascii="宋体" w:hAnsi="宋体" w:cs="宋体"/>
                <w:bCs/>
                <w:sz w:val="22"/>
                <w:szCs w:val="22"/>
              </w:rPr>
              <w:t>5.有效期</w:t>
            </w:r>
            <w:r>
              <w:rPr>
                <w:rFonts w:hint="eastAsia" w:ascii="宋体" w:hAnsi="宋体" w:cs="宋体"/>
                <w:bCs/>
                <w:sz w:val="22"/>
                <w:szCs w:val="22"/>
              </w:rPr>
              <w:tab/>
            </w:r>
          </w:p>
        </w:tc>
        <w:tc>
          <w:tcPr>
            <w:tcW w:w="1907" w:type="pct"/>
          </w:tcPr>
          <w:p w14:paraId="1EAA5D90">
            <w:pPr>
              <w:adjustRightInd w:val="0"/>
              <w:snapToGrid w:val="0"/>
              <w:spacing w:line="360" w:lineRule="exact"/>
              <w:rPr>
                <w:rFonts w:ascii="宋体" w:hAnsi="宋体" w:cs="宋体"/>
                <w:bCs/>
                <w:sz w:val="22"/>
                <w:szCs w:val="22"/>
              </w:rPr>
            </w:pPr>
          </w:p>
        </w:tc>
        <w:tc>
          <w:tcPr>
            <w:tcW w:w="757" w:type="pct"/>
            <w:vMerge w:val="continue"/>
          </w:tcPr>
          <w:p w14:paraId="614CFA2A">
            <w:pPr>
              <w:adjustRightInd w:val="0"/>
              <w:snapToGrid w:val="0"/>
              <w:spacing w:line="360" w:lineRule="exact"/>
              <w:rPr>
                <w:rFonts w:ascii="宋体" w:hAnsi="宋体" w:cs="宋体"/>
                <w:bCs/>
                <w:sz w:val="22"/>
                <w:szCs w:val="22"/>
              </w:rPr>
            </w:pPr>
          </w:p>
        </w:tc>
      </w:tr>
      <w:tr w14:paraId="08F14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pct"/>
          </w:tcPr>
          <w:p w14:paraId="6571D0DE">
            <w:pPr>
              <w:adjustRightInd w:val="0"/>
              <w:snapToGrid w:val="0"/>
              <w:spacing w:line="360" w:lineRule="exact"/>
              <w:rPr>
                <w:rFonts w:ascii="宋体" w:hAnsi="宋体" w:cs="宋体"/>
                <w:bCs/>
                <w:sz w:val="22"/>
                <w:szCs w:val="22"/>
              </w:rPr>
            </w:pPr>
            <w:r>
              <w:rPr>
                <w:rFonts w:hint="eastAsia" w:ascii="宋体" w:hAnsi="宋体" w:cs="宋体"/>
                <w:bCs/>
                <w:sz w:val="22"/>
                <w:szCs w:val="22"/>
              </w:rPr>
              <w:t>三</w:t>
            </w:r>
          </w:p>
        </w:tc>
        <w:tc>
          <w:tcPr>
            <w:tcW w:w="1860" w:type="pct"/>
          </w:tcPr>
          <w:p w14:paraId="2E10B7CA">
            <w:pPr>
              <w:adjustRightInd w:val="0"/>
              <w:snapToGrid w:val="0"/>
              <w:spacing w:line="360" w:lineRule="exact"/>
              <w:rPr>
                <w:rFonts w:ascii="宋体" w:hAnsi="宋体" w:cs="宋体"/>
                <w:bCs/>
                <w:sz w:val="22"/>
                <w:szCs w:val="22"/>
              </w:rPr>
            </w:pPr>
            <w:r>
              <w:rPr>
                <w:rFonts w:hint="eastAsia" w:ascii="宋体" w:hAnsi="宋体" w:cs="宋体"/>
                <w:bCs/>
                <w:sz w:val="22"/>
                <w:szCs w:val="22"/>
              </w:rPr>
              <w:t>其他</w:t>
            </w:r>
          </w:p>
        </w:tc>
        <w:tc>
          <w:tcPr>
            <w:tcW w:w="1907" w:type="pct"/>
          </w:tcPr>
          <w:p w14:paraId="592FE1DC">
            <w:pPr>
              <w:adjustRightInd w:val="0"/>
              <w:snapToGrid w:val="0"/>
              <w:spacing w:line="360" w:lineRule="exact"/>
              <w:rPr>
                <w:rFonts w:ascii="宋体" w:hAnsi="宋体" w:cs="宋体"/>
                <w:bCs/>
                <w:sz w:val="22"/>
                <w:szCs w:val="22"/>
              </w:rPr>
            </w:pPr>
            <w:r>
              <w:rPr>
                <w:rFonts w:hint="eastAsia" w:ascii="宋体" w:hAnsi="宋体" w:cs="宋体"/>
                <w:bCs/>
                <w:sz w:val="22"/>
                <w:szCs w:val="22"/>
              </w:rPr>
              <w:t>投标人认为需补充的其他说明</w:t>
            </w:r>
          </w:p>
        </w:tc>
        <w:tc>
          <w:tcPr>
            <w:tcW w:w="757" w:type="pct"/>
          </w:tcPr>
          <w:p w14:paraId="3CCCE596">
            <w:pPr>
              <w:adjustRightInd w:val="0"/>
              <w:snapToGrid w:val="0"/>
              <w:spacing w:line="360" w:lineRule="exact"/>
              <w:rPr>
                <w:rFonts w:ascii="宋体" w:hAnsi="宋体" w:cs="宋体"/>
                <w:bCs/>
                <w:sz w:val="22"/>
                <w:szCs w:val="22"/>
              </w:rPr>
            </w:pPr>
          </w:p>
        </w:tc>
      </w:tr>
      <w:tr w14:paraId="1A1AB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4" w:type="pct"/>
          </w:tcPr>
          <w:p w14:paraId="1DB8CE38">
            <w:pPr>
              <w:adjustRightInd w:val="0"/>
              <w:snapToGrid w:val="0"/>
              <w:spacing w:line="360" w:lineRule="exact"/>
              <w:rPr>
                <w:rFonts w:ascii="宋体" w:hAnsi="宋体" w:cs="宋体"/>
                <w:bCs/>
                <w:sz w:val="22"/>
                <w:szCs w:val="22"/>
              </w:rPr>
            </w:pPr>
          </w:p>
        </w:tc>
        <w:tc>
          <w:tcPr>
            <w:tcW w:w="1860" w:type="pct"/>
          </w:tcPr>
          <w:p w14:paraId="534E1686">
            <w:pPr>
              <w:adjustRightInd w:val="0"/>
              <w:snapToGrid w:val="0"/>
              <w:spacing w:line="360" w:lineRule="exact"/>
              <w:rPr>
                <w:rFonts w:ascii="宋体" w:hAnsi="宋体" w:cs="宋体"/>
                <w:bCs/>
                <w:sz w:val="22"/>
                <w:szCs w:val="22"/>
              </w:rPr>
            </w:pPr>
            <w:r>
              <w:rPr>
                <w:rFonts w:hint="eastAsia" w:ascii="宋体" w:hAnsi="宋体" w:cs="宋体"/>
                <w:bCs/>
                <w:sz w:val="22"/>
                <w:szCs w:val="22"/>
              </w:rPr>
              <w:t>1.……………………</w:t>
            </w:r>
          </w:p>
        </w:tc>
        <w:tc>
          <w:tcPr>
            <w:tcW w:w="1907" w:type="pct"/>
          </w:tcPr>
          <w:p w14:paraId="7E177FD0">
            <w:pPr>
              <w:adjustRightInd w:val="0"/>
              <w:snapToGrid w:val="0"/>
              <w:spacing w:line="360" w:lineRule="exact"/>
              <w:rPr>
                <w:rFonts w:ascii="宋体" w:hAnsi="宋体" w:cs="宋体"/>
                <w:bCs/>
                <w:sz w:val="22"/>
                <w:szCs w:val="22"/>
              </w:rPr>
            </w:pPr>
          </w:p>
        </w:tc>
        <w:tc>
          <w:tcPr>
            <w:tcW w:w="757" w:type="pct"/>
          </w:tcPr>
          <w:p w14:paraId="3D34FD7E">
            <w:pPr>
              <w:adjustRightInd w:val="0"/>
              <w:snapToGrid w:val="0"/>
              <w:spacing w:line="360" w:lineRule="exact"/>
              <w:rPr>
                <w:rFonts w:ascii="宋体" w:hAnsi="宋体" w:cs="宋体"/>
                <w:bCs/>
                <w:sz w:val="22"/>
                <w:szCs w:val="22"/>
              </w:rPr>
            </w:pPr>
          </w:p>
        </w:tc>
      </w:tr>
    </w:tbl>
    <w:p w14:paraId="7EAAF2D4">
      <w:pPr>
        <w:adjustRightInd w:val="0"/>
        <w:snapToGrid w:val="0"/>
        <w:spacing w:line="360" w:lineRule="exact"/>
        <w:rPr>
          <w:rFonts w:ascii="宋体" w:hAnsi="宋体" w:cs="宋体"/>
          <w:bCs/>
          <w:sz w:val="22"/>
          <w:szCs w:val="22"/>
        </w:rPr>
      </w:pPr>
      <w:r>
        <w:rPr>
          <w:rFonts w:hint="eastAsia" w:ascii="宋体" w:hAnsi="宋体" w:cs="宋体"/>
          <w:bCs/>
          <w:sz w:val="22"/>
          <w:szCs w:val="22"/>
        </w:rPr>
        <w:tab/>
      </w:r>
      <w:r>
        <w:rPr>
          <w:rFonts w:hint="eastAsia" w:ascii="宋体" w:hAnsi="宋体" w:cs="宋体"/>
          <w:bCs/>
          <w:sz w:val="22"/>
          <w:szCs w:val="22"/>
        </w:rPr>
        <w:t>注：在按要求填写好此表格后，各投标单位可以用其它的方式，就公司整体情况作出详细的介绍（可以提供相应文字、照片等）。</w:t>
      </w:r>
    </w:p>
    <w:p w14:paraId="6AADB86B">
      <w:pPr>
        <w:spacing w:line="360" w:lineRule="auto"/>
        <w:rPr>
          <w:b/>
          <w:bCs/>
          <w:sz w:val="24"/>
        </w:rPr>
      </w:pPr>
    </w:p>
    <w:p w14:paraId="038E60F8">
      <w:pPr>
        <w:numPr>
          <w:ilvl w:val="0"/>
          <w:numId w:val="7"/>
        </w:numPr>
        <w:adjustRightInd w:val="0"/>
        <w:snapToGrid w:val="0"/>
        <w:spacing w:line="360" w:lineRule="exact"/>
        <w:rPr>
          <w:rFonts w:ascii="宋体" w:hAnsi="宋体" w:cs="宋体"/>
          <w:b/>
          <w:sz w:val="22"/>
          <w:szCs w:val="22"/>
        </w:rPr>
      </w:pPr>
      <w:r>
        <w:rPr>
          <w:rFonts w:hint="eastAsia" w:ascii="宋体" w:hAnsi="宋体" w:cs="宋体"/>
          <w:b/>
          <w:sz w:val="22"/>
          <w:szCs w:val="22"/>
        </w:rPr>
        <w:t>供应商资格证明文件</w:t>
      </w:r>
    </w:p>
    <w:p w14:paraId="2CEA414B">
      <w:pPr>
        <w:spacing w:line="360" w:lineRule="exact"/>
        <w:rPr>
          <w:rFonts w:ascii="宋体" w:hAnsi="宋体" w:cs="宋体"/>
          <w:bCs/>
          <w:sz w:val="22"/>
          <w:szCs w:val="22"/>
        </w:rPr>
      </w:pPr>
      <w:r>
        <w:rPr>
          <w:rFonts w:hint="eastAsia" w:ascii="宋体" w:hAnsi="宋体" w:cs="宋体"/>
          <w:bCs/>
          <w:sz w:val="22"/>
          <w:szCs w:val="22"/>
        </w:rPr>
        <w:t>1.投标人资格要求的证明文件</w:t>
      </w:r>
    </w:p>
    <w:p w14:paraId="57608E58">
      <w:pPr>
        <w:spacing w:line="360" w:lineRule="exact"/>
        <w:rPr>
          <w:rFonts w:ascii="宋体" w:hAnsi="宋体" w:cs="宋体"/>
          <w:bCs/>
          <w:sz w:val="22"/>
          <w:szCs w:val="22"/>
        </w:rPr>
      </w:pPr>
      <w:r>
        <w:rPr>
          <w:rFonts w:hint="eastAsia" w:ascii="宋体" w:hAnsi="宋体" w:cs="宋体"/>
          <w:sz w:val="22"/>
          <w:szCs w:val="22"/>
        </w:rPr>
        <w:t>（</w:t>
      </w:r>
      <w:r>
        <w:rPr>
          <w:rFonts w:hint="eastAsia" w:ascii="宋体" w:hAnsi="宋体" w:cs="宋体"/>
          <w:bCs/>
          <w:sz w:val="22"/>
          <w:szCs w:val="22"/>
        </w:rPr>
        <w:t>1）营业执照（或单位法人登记证等）复印件；</w:t>
      </w:r>
    </w:p>
    <w:p w14:paraId="6D37F38A">
      <w:pPr>
        <w:spacing w:line="360" w:lineRule="exact"/>
        <w:rPr>
          <w:rFonts w:ascii="Times New Roman" w:hAnsi="Times New Roman"/>
          <w:b/>
          <w:color w:val="0000FF"/>
          <w:sz w:val="22"/>
          <w:szCs w:val="22"/>
        </w:rPr>
      </w:pPr>
      <w:r>
        <w:rPr>
          <w:rFonts w:ascii="Times New Roman" w:hAnsi="Times New Roman"/>
          <w:b/>
          <w:color w:val="0000FF"/>
          <w:sz w:val="22"/>
          <w:szCs w:val="22"/>
        </w:rPr>
        <w:t>（2）</w:t>
      </w:r>
      <w:r>
        <w:rPr>
          <w:rFonts w:hint="eastAsia" w:ascii="Times New Roman" w:hAnsi="Times New Roman"/>
          <w:b/>
          <w:color w:val="0000FF"/>
          <w:sz w:val="22"/>
          <w:szCs w:val="22"/>
        </w:rPr>
        <w:t>投标人需提供加盖公章的《供应商基本情况表》；</w:t>
      </w:r>
    </w:p>
    <w:p w14:paraId="368F67A0">
      <w:pPr>
        <w:spacing w:line="360" w:lineRule="exact"/>
        <w:rPr>
          <w:rFonts w:ascii="Times New Roman" w:hAnsi="Times New Roman"/>
          <w:b/>
          <w:color w:val="0000FF"/>
          <w:sz w:val="22"/>
          <w:szCs w:val="22"/>
        </w:rPr>
      </w:pPr>
    </w:p>
    <w:p w14:paraId="5EA6FFC7">
      <w:pPr>
        <w:spacing w:line="360" w:lineRule="exact"/>
        <w:jc w:val="center"/>
        <w:rPr>
          <w:rFonts w:ascii="Times New Roman" w:hAnsi="Times New Roman"/>
          <w:b/>
          <w:color w:val="0000FF"/>
          <w:sz w:val="30"/>
          <w:szCs w:val="30"/>
        </w:rPr>
      </w:pPr>
      <w:r>
        <w:rPr>
          <w:rFonts w:hint="eastAsia" w:ascii="Times New Roman" w:hAnsi="Times New Roman"/>
          <w:b/>
          <w:color w:val="0000FF"/>
          <w:sz w:val="30"/>
          <w:szCs w:val="30"/>
        </w:rPr>
        <w:t>供应商基本情况表</w:t>
      </w:r>
    </w:p>
    <w:p w14:paraId="1D63BCE9">
      <w:pPr>
        <w:tabs>
          <w:tab w:val="left" w:pos="5806"/>
          <w:tab w:val="left" w:pos="7766"/>
          <w:tab w:val="left" w:pos="8467"/>
          <w:tab w:val="left" w:pos="9166"/>
        </w:tabs>
        <w:spacing w:before="36" w:line="360" w:lineRule="auto"/>
        <w:rPr>
          <w:rFonts w:ascii="Times New Roman" w:hAnsi="Times New Roman"/>
          <w:b/>
          <w:bCs/>
          <w:color w:val="0000FF"/>
          <w:spacing w:val="-10"/>
          <w:sz w:val="22"/>
          <w:szCs w:val="22"/>
        </w:rPr>
      </w:pPr>
      <w:r>
        <w:rPr>
          <w:rFonts w:ascii="Times New Roman" w:hAnsi="Times New Roman"/>
          <w:b/>
          <w:bCs/>
          <w:color w:val="0000FF"/>
          <w:spacing w:val="-2"/>
          <w:sz w:val="22"/>
          <w:szCs w:val="22"/>
        </w:rPr>
        <w:t>填表单位</w:t>
      </w:r>
      <w:r>
        <w:rPr>
          <w:rFonts w:ascii="Times New Roman" w:hAnsi="Times New Roman"/>
          <w:b/>
          <w:bCs/>
          <w:color w:val="0000FF"/>
          <w:spacing w:val="-142"/>
          <w:sz w:val="22"/>
          <w:szCs w:val="22"/>
        </w:rPr>
        <w:t>：</w:t>
      </w:r>
      <w:r>
        <w:rPr>
          <w:rFonts w:ascii="Times New Roman" w:hAnsi="Times New Roman"/>
          <w:b/>
          <w:bCs/>
          <w:color w:val="0000FF"/>
          <w:sz w:val="22"/>
          <w:szCs w:val="22"/>
        </w:rPr>
        <w:t>（</w:t>
      </w:r>
      <w:r>
        <w:rPr>
          <w:rFonts w:ascii="Times New Roman" w:hAnsi="Times New Roman"/>
          <w:b/>
          <w:bCs/>
          <w:color w:val="0000FF"/>
          <w:spacing w:val="-2"/>
          <w:sz w:val="22"/>
          <w:szCs w:val="22"/>
        </w:rPr>
        <w:t>加盖单位公章</w:t>
      </w:r>
      <w:r>
        <w:rPr>
          <w:rFonts w:ascii="Times New Roman" w:hAnsi="Times New Roman"/>
          <w:b/>
          <w:bCs/>
          <w:color w:val="0000FF"/>
          <w:spacing w:val="-10"/>
          <w:sz w:val="22"/>
          <w:szCs w:val="22"/>
        </w:rPr>
        <w:t>）</w:t>
      </w:r>
      <w:r>
        <w:rPr>
          <w:rFonts w:hint="eastAsia" w:ascii="Times New Roman" w:hAnsi="Times New Roman"/>
          <w:b/>
          <w:bCs/>
          <w:color w:val="0000FF"/>
          <w:spacing w:val="-10"/>
          <w:sz w:val="22"/>
          <w:szCs w:val="22"/>
        </w:rPr>
        <w:t xml:space="preserve">                  </w:t>
      </w:r>
      <w:r>
        <w:rPr>
          <w:rFonts w:ascii="Times New Roman" w:hAnsi="Times New Roman"/>
          <w:b/>
          <w:bCs/>
          <w:color w:val="0000FF"/>
          <w:spacing w:val="-2"/>
          <w:sz w:val="22"/>
          <w:szCs w:val="22"/>
        </w:rPr>
        <w:t>填表日期</w:t>
      </w:r>
      <w:r>
        <w:rPr>
          <w:rFonts w:ascii="Times New Roman" w:hAnsi="Times New Roman"/>
          <w:b/>
          <w:bCs/>
          <w:color w:val="0000FF"/>
          <w:spacing w:val="-10"/>
          <w:sz w:val="22"/>
          <w:szCs w:val="22"/>
        </w:rPr>
        <w:t>：</w:t>
      </w:r>
      <w:r>
        <w:rPr>
          <w:rFonts w:ascii="Times New Roman" w:hAnsi="Times New Roman"/>
          <w:b/>
          <w:bCs/>
          <w:color w:val="0000FF"/>
          <w:sz w:val="22"/>
          <w:szCs w:val="22"/>
        </w:rPr>
        <w:tab/>
      </w:r>
      <w:r>
        <w:rPr>
          <w:rFonts w:hint="eastAsia" w:ascii="Times New Roman" w:hAnsi="Times New Roman"/>
          <w:b/>
          <w:bCs/>
          <w:color w:val="0000FF"/>
          <w:sz w:val="22"/>
          <w:szCs w:val="22"/>
        </w:rPr>
        <w:t xml:space="preserve">年    </w:t>
      </w:r>
      <w:r>
        <w:rPr>
          <w:rFonts w:ascii="Times New Roman" w:hAnsi="Times New Roman"/>
          <w:b/>
          <w:bCs/>
          <w:color w:val="0000FF"/>
          <w:spacing w:val="-10"/>
          <w:sz w:val="22"/>
          <w:szCs w:val="22"/>
        </w:rPr>
        <w:t>月</w:t>
      </w:r>
      <w:r>
        <w:rPr>
          <w:rFonts w:hint="eastAsia" w:ascii="Times New Roman" w:hAnsi="Times New Roman"/>
          <w:b/>
          <w:bCs/>
          <w:color w:val="0000FF"/>
          <w:spacing w:val="-10"/>
          <w:sz w:val="22"/>
          <w:szCs w:val="22"/>
        </w:rPr>
        <w:t xml:space="preserve">     </w:t>
      </w:r>
      <w:r>
        <w:rPr>
          <w:rFonts w:ascii="Times New Roman" w:hAnsi="Times New Roman"/>
          <w:b/>
          <w:bCs/>
          <w:color w:val="0000FF"/>
          <w:spacing w:val="-10"/>
          <w:sz w:val="22"/>
          <w:szCs w:val="22"/>
        </w:rPr>
        <w:t>日</w:t>
      </w:r>
    </w:p>
    <w:tbl>
      <w:tblPr>
        <w:tblStyle w:val="29"/>
        <w:tblW w:w="894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25"/>
        <w:gridCol w:w="887"/>
        <w:gridCol w:w="2130"/>
        <w:gridCol w:w="680"/>
        <w:gridCol w:w="534"/>
        <w:gridCol w:w="1200"/>
        <w:gridCol w:w="1500"/>
        <w:gridCol w:w="1485"/>
      </w:tblGrid>
      <w:tr w14:paraId="48E84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jc w:val="center"/>
        </w:trPr>
        <w:tc>
          <w:tcPr>
            <w:tcW w:w="1412" w:type="dxa"/>
            <w:gridSpan w:val="2"/>
          </w:tcPr>
          <w:p w14:paraId="68EC9AC5">
            <w:pPr>
              <w:spacing w:line="360" w:lineRule="exact"/>
              <w:rPr>
                <w:rFonts w:ascii="Times New Roman" w:hAnsi="Times New Roman"/>
                <w:sz w:val="22"/>
                <w:szCs w:val="22"/>
              </w:rPr>
            </w:pPr>
            <w:r>
              <w:rPr>
                <w:rFonts w:ascii="Times New Roman" w:hAnsi="Times New Roman"/>
                <w:spacing w:val="-4"/>
                <w:sz w:val="22"/>
                <w:szCs w:val="22"/>
              </w:rPr>
              <w:t>采购人</w:t>
            </w:r>
          </w:p>
        </w:tc>
        <w:tc>
          <w:tcPr>
            <w:tcW w:w="7529" w:type="dxa"/>
            <w:gridSpan w:val="6"/>
          </w:tcPr>
          <w:p w14:paraId="019C7622">
            <w:pPr>
              <w:spacing w:line="360" w:lineRule="exact"/>
              <w:rPr>
                <w:rFonts w:ascii="Times New Roman" w:hAnsi="Times New Roman"/>
                <w:sz w:val="22"/>
                <w:szCs w:val="22"/>
              </w:rPr>
            </w:pPr>
          </w:p>
        </w:tc>
      </w:tr>
      <w:tr w14:paraId="2B299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jc w:val="center"/>
        </w:trPr>
        <w:tc>
          <w:tcPr>
            <w:tcW w:w="1412" w:type="dxa"/>
            <w:gridSpan w:val="2"/>
          </w:tcPr>
          <w:p w14:paraId="07C696F5">
            <w:pPr>
              <w:spacing w:line="360" w:lineRule="exact"/>
              <w:rPr>
                <w:rFonts w:ascii="Times New Roman" w:hAnsi="Times New Roman"/>
                <w:sz w:val="22"/>
                <w:szCs w:val="22"/>
              </w:rPr>
            </w:pPr>
            <w:r>
              <w:rPr>
                <w:rFonts w:ascii="Times New Roman" w:hAnsi="Times New Roman"/>
                <w:sz w:val="22"/>
                <w:szCs w:val="22"/>
              </w:rPr>
              <w:t>项目名称</w:t>
            </w:r>
          </w:p>
        </w:tc>
        <w:tc>
          <w:tcPr>
            <w:tcW w:w="2810" w:type="dxa"/>
            <w:gridSpan w:val="2"/>
          </w:tcPr>
          <w:p w14:paraId="471A2F8D">
            <w:pPr>
              <w:spacing w:line="360" w:lineRule="exact"/>
              <w:rPr>
                <w:rFonts w:ascii="Times New Roman" w:hAnsi="Times New Roman"/>
                <w:sz w:val="22"/>
                <w:szCs w:val="22"/>
              </w:rPr>
            </w:pPr>
          </w:p>
        </w:tc>
        <w:tc>
          <w:tcPr>
            <w:tcW w:w="1734" w:type="dxa"/>
            <w:gridSpan w:val="2"/>
          </w:tcPr>
          <w:p w14:paraId="42C9F244">
            <w:pPr>
              <w:spacing w:line="360" w:lineRule="exact"/>
              <w:rPr>
                <w:rFonts w:ascii="Times New Roman" w:hAnsi="Times New Roman"/>
                <w:spacing w:val="-2"/>
                <w:sz w:val="22"/>
                <w:szCs w:val="22"/>
              </w:rPr>
            </w:pPr>
            <w:r>
              <w:rPr>
                <w:rFonts w:hint="eastAsia" w:ascii="Times New Roman" w:hAnsi="Times New Roman"/>
                <w:spacing w:val="-2"/>
                <w:sz w:val="22"/>
                <w:szCs w:val="22"/>
              </w:rPr>
              <w:t>项目编号</w:t>
            </w:r>
          </w:p>
        </w:tc>
        <w:tc>
          <w:tcPr>
            <w:tcW w:w="2985" w:type="dxa"/>
            <w:gridSpan w:val="2"/>
          </w:tcPr>
          <w:p w14:paraId="32A4D0F2">
            <w:pPr>
              <w:spacing w:line="360" w:lineRule="exact"/>
              <w:rPr>
                <w:rFonts w:ascii="Times New Roman" w:hAnsi="Times New Roman"/>
                <w:sz w:val="22"/>
                <w:szCs w:val="22"/>
              </w:rPr>
            </w:pPr>
          </w:p>
        </w:tc>
      </w:tr>
      <w:tr w14:paraId="722FB4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6" w:hRule="atLeast"/>
          <w:jc w:val="center"/>
        </w:trPr>
        <w:tc>
          <w:tcPr>
            <w:tcW w:w="1412" w:type="dxa"/>
            <w:gridSpan w:val="2"/>
          </w:tcPr>
          <w:p w14:paraId="226E2A08">
            <w:pPr>
              <w:spacing w:line="360" w:lineRule="exact"/>
              <w:rPr>
                <w:rFonts w:ascii="Times New Roman" w:hAnsi="Times New Roman"/>
                <w:sz w:val="22"/>
                <w:szCs w:val="22"/>
              </w:rPr>
            </w:pPr>
            <w:r>
              <w:rPr>
                <w:rFonts w:ascii="Times New Roman" w:hAnsi="Times New Roman"/>
                <w:sz w:val="22"/>
                <w:szCs w:val="22"/>
              </w:rPr>
              <w:t>投标（</w:t>
            </w:r>
            <w:r>
              <w:rPr>
                <w:rFonts w:ascii="Times New Roman" w:hAnsi="Times New Roman"/>
                <w:spacing w:val="-10"/>
                <w:sz w:val="22"/>
                <w:szCs w:val="22"/>
              </w:rPr>
              <w:t>响</w:t>
            </w:r>
            <w:r>
              <w:rPr>
                <w:rFonts w:ascii="Times New Roman" w:hAnsi="Times New Roman"/>
                <w:spacing w:val="-2"/>
                <w:sz w:val="22"/>
                <w:szCs w:val="22"/>
              </w:rPr>
              <w:t>应）</w:t>
            </w:r>
            <w:r>
              <w:rPr>
                <w:rFonts w:ascii="Times New Roman" w:hAnsi="Times New Roman"/>
                <w:spacing w:val="-5"/>
                <w:sz w:val="22"/>
                <w:szCs w:val="22"/>
              </w:rPr>
              <w:t>供应商</w:t>
            </w:r>
          </w:p>
        </w:tc>
        <w:tc>
          <w:tcPr>
            <w:tcW w:w="2810" w:type="dxa"/>
            <w:gridSpan w:val="2"/>
          </w:tcPr>
          <w:p w14:paraId="34E909F9">
            <w:pPr>
              <w:spacing w:line="360" w:lineRule="exact"/>
              <w:rPr>
                <w:rFonts w:ascii="Times New Roman" w:hAnsi="Times New Roman"/>
                <w:sz w:val="22"/>
                <w:szCs w:val="22"/>
              </w:rPr>
            </w:pPr>
          </w:p>
        </w:tc>
        <w:tc>
          <w:tcPr>
            <w:tcW w:w="1734" w:type="dxa"/>
            <w:gridSpan w:val="2"/>
          </w:tcPr>
          <w:p w14:paraId="5CEB53AE">
            <w:pPr>
              <w:spacing w:line="360" w:lineRule="exact"/>
              <w:rPr>
                <w:rFonts w:ascii="Times New Roman" w:hAnsi="Times New Roman"/>
                <w:sz w:val="22"/>
                <w:szCs w:val="22"/>
              </w:rPr>
            </w:pPr>
            <w:r>
              <w:rPr>
                <w:rFonts w:ascii="Times New Roman" w:hAnsi="Times New Roman"/>
                <w:spacing w:val="-2"/>
                <w:sz w:val="22"/>
                <w:szCs w:val="22"/>
              </w:rPr>
              <w:t>供应商统一社会</w:t>
            </w:r>
            <w:r>
              <w:rPr>
                <w:rFonts w:ascii="Times New Roman" w:hAnsi="Times New Roman"/>
                <w:spacing w:val="-3"/>
                <w:sz w:val="22"/>
                <w:szCs w:val="22"/>
              </w:rPr>
              <w:t>信用代码</w:t>
            </w:r>
          </w:p>
        </w:tc>
        <w:tc>
          <w:tcPr>
            <w:tcW w:w="2985" w:type="dxa"/>
            <w:gridSpan w:val="2"/>
          </w:tcPr>
          <w:p w14:paraId="1947B488">
            <w:pPr>
              <w:spacing w:line="360" w:lineRule="exact"/>
              <w:rPr>
                <w:rFonts w:ascii="Times New Roman" w:hAnsi="Times New Roman"/>
                <w:sz w:val="22"/>
                <w:szCs w:val="22"/>
              </w:rPr>
            </w:pPr>
          </w:p>
        </w:tc>
      </w:tr>
      <w:tr w14:paraId="2A1E8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6" w:hRule="atLeast"/>
          <w:jc w:val="center"/>
        </w:trPr>
        <w:tc>
          <w:tcPr>
            <w:tcW w:w="8941" w:type="dxa"/>
            <w:gridSpan w:val="8"/>
          </w:tcPr>
          <w:p w14:paraId="7E824CA4">
            <w:pPr>
              <w:spacing w:line="360" w:lineRule="exact"/>
              <w:jc w:val="center"/>
              <w:rPr>
                <w:rFonts w:ascii="Times New Roman" w:hAnsi="Times New Roman"/>
                <w:sz w:val="22"/>
                <w:szCs w:val="22"/>
              </w:rPr>
            </w:pPr>
            <w:r>
              <w:rPr>
                <w:rFonts w:ascii="Times New Roman" w:hAnsi="Times New Roman"/>
                <w:sz w:val="22"/>
                <w:szCs w:val="22"/>
              </w:rPr>
              <w:t>投标（响应）</w:t>
            </w:r>
            <w:r>
              <w:rPr>
                <w:rFonts w:ascii="Times New Roman" w:hAnsi="Times New Roman"/>
                <w:spacing w:val="-2"/>
                <w:sz w:val="22"/>
                <w:szCs w:val="22"/>
              </w:rPr>
              <w:t>供应商相关人员情况</w:t>
            </w:r>
          </w:p>
        </w:tc>
      </w:tr>
      <w:tr w14:paraId="15D53B3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jc w:val="center"/>
        </w:trPr>
        <w:tc>
          <w:tcPr>
            <w:tcW w:w="525" w:type="dxa"/>
          </w:tcPr>
          <w:p w14:paraId="5198351A">
            <w:pPr>
              <w:spacing w:line="360" w:lineRule="exact"/>
              <w:jc w:val="center"/>
              <w:rPr>
                <w:rFonts w:ascii="Times New Roman" w:hAnsi="Times New Roman"/>
                <w:sz w:val="22"/>
                <w:szCs w:val="22"/>
              </w:rPr>
            </w:pPr>
            <w:r>
              <w:rPr>
                <w:rFonts w:ascii="Times New Roman" w:hAnsi="Times New Roman"/>
                <w:spacing w:val="-5"/>
                <w:sz w:val="22"/>
                <w:szCs w:val="22"/>
              </w:rPr>
              <w:t>序号</w:t>
            </w:r>
          </w:p>
        </w:tc>
        <w:tc>
          <w:tcPr>
            <w:tcW w:w="3017" w:type="dxa"/>
            <w:gridSpan w:val="2"/>
          </w:tcPr>
          <w:p w14:paraId="571F1417">
            <w:pPr>
              <w:spacing w:line="360" w:lineRule="exact"/>
              <w:jc w:val="center"/>
              <w:rPr>
                <w:rFonts w:ascii="Times New Roman" w:hAnsi="Times New Roman"/>
                <w:sz w:val="22"/>
                <w:szCs w:val="22"/>
              </w:rPr>
            </w:pPr>
            <w:r>
              <w:rPr>
                <w:rFonts w:ascii="Times New Roman" w:hAnsi="Times New Roman"/>
                <w:spacing w:val="-5"/>
                <w:sz w:val="22"/>
                <w:szCs w:val="22"/>
              </w:rPr>
              <w:t>职务</w:t>
            </w:r>
          </w:p>
        </w:tc>
        <w:tc>
          <w:tcPr>
            <w:tcW w:w="680" w:type="dxa"/>
          </w:tcPr>
          <w:p w14:paraId="42E54920">
            <w:pPr>
              <w:spacing w:line="360" w:lineRule="exact"/>
              <w:rPr>
                <w:rFonts w:ascii="Times New Roman" w:hAnsi="Times New Roman"/>
                <w:sz w:val="22"/>
                <w:szCs w:val="22"/>
              </w:rPr>
            </w:pPr>
            <w:r>
              <w:rPr>
                <w:rFonts w:ascii="Times New Roman" w:hAnsi="Times New Roman"/>
                <w:spacing w:val="-5"/>
                <w:sz w:val="22"/>
                <w:szCs w:val="22"/>
              </w:rPr>
              <w:t>姓名</w:t>
            </w:r>
          </w:p>
        </w:tc>
        <w:tc>
          <w:tcPr>
            <w:tcW w:w="1734" w:type="dxa"/>
            <w:gridSpan w:val="2"/>
          </w:tcPr>
          <w:p w14:paraId="2B624415">
            <w:pPr>
              <w:spacing w:line="360" w:lineRule="exact"/>
              <w:rPr>
                <w:rFonts w:ascii="Times New Roman" w:hAnsi="Times New Roman"/>
                <w:sz w:val="22"/>
                <w:szCs w:val="22"/>
              </w:rPr>
            </w:pPr>
            <w:r>
              <w:rPr>
                <w:rFonts w:ascii="Times New Roman" w:hAnsi="Times New Roman"/>
                <w:spacing w:val="-2"/>
                <w:sz w:val="22"/>
                <w:szCs w:val="22"/>
              </w:rPr>
              <w:t>身份证号码</w:t>
            </w:r>
          </w:p>
        </w:tc>
        <w:tc>
          <w:tcPr>
            <w:tcW w:w="1500" w:type="dxa"/>
          </w:tcPr>
          <w:p w14:paraId="4205BF77">
            <w:pPr>
              <w:spacing w:line="360" w:lineRule="exact"/>
              <w:rPr>
                <w:rFonts w:ascii="Times New Roman" w:hAnsi="Times New Roman"/>
                <w:sz w:val="22"/>
                <w:szCs w:val="22"/>
              </w:rPr>
            </w:pPr>
            <w:r>
              <w:rPr>
                <w:rFonts w:ascii="Times New Roman" w:hAnsi="Times New Roman"/>
                <w:spacing w:val="-3"/>
                <w:sz w:val="22"/>
                <w:szCs w:val="22"/>
              </w:rPr>
              <w:t>劳动合同关系单位</w:t>
            </w:r>
          </w:p>
        </w:tc>
        <w:tc>
          <w:tcPr>
            <w:tcW w:w="1485" w:type="dxa"/>
          </w:tcPr>
          <w:p w14:paraId="7E96CE24">
            <w:pPr>
              <w:spacing w:line="360" w:lineRule="exact"/>
              <w:rPr>
                <w:rFonts w:ascii="Times New Roman" w:hAnsi="Times New Roman"/>
                <w:sz w:val="22"/>
                <w:szCs w:val="22"/>
              </w:rPr>
            </w:pPr>
            <w:r>
              <w:rPr>
                <w:rFonts w:ascii="Times New Roman" w:hAnsi="Times New Roman"/>
                <w:spacing w:val="-3"/>
                <w:sz w:val="22"/>
                <w:szCs w:val="22"/>
              </w:rPr>
              <w:t>缴纳社会保险单位</w:t>
            </w:r>
          </w:p>
        </w:tc>
      </w:tr>
      <w:tr w14:paraId="6FCBFE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525" w:type="dxa"/>
          </w:tcPr>
          <w:p w14:paraId="793AD895">
            <w:pPr>
              <w:spacing w:line="360" w:lineRule="exact"/>
              <w:rPr>
                <w:rFonts w:ascii="Times New Roman" w:hAnsi="Times New Roman"/>
                <w:sz w:val="22"/>
                <w:szCs w:val="22"/>
              </w:rPr>
            </w:pPr>
          </w:p>
          <w:p w14:paraId="258D24AA">
            <w:pPr>
              <w:spacing w:line="360" w:lineRule="exact"/>
              <w:jc w:val="center"/>
              <w:rPr>
                <w:rFonts w:ascii="Times New Roman" w:hAnsi="Times New Roman"/>
                <w:sz w:val="22"/>
                <w:szCs w:val="22"/>
              </w:rPr>
            </w:pPr>
            <w:r>
              <w:rPr>
                <w:rFonts w:ascii="Times New Roman" w:hAnsi="Times New Roman"/>
                <w:w w:val="74"/>
                <w:sz w:val="22"/>
                <w:szCs w:val="22"/>
              </w:rPr>
              <w:t>1</w:t>
            </w:r>
          </w:p>
        </w:tc>
        <w:tc>
          <w:tcPr>
            <w:tcW w:w="3017" w:type="dxa"/>
            <w:gridSpan w:val="2"/>
          </w:tcPr>
          <w:p w14:paraId="14EDEFEF">
            <w:pPr>
              <w:spacing w:line="360" w:lineRule="exact"/>
              <w:jc w:val="left"/>
              <w:rPr>
                <w:rFonts w:ascii="Times New Roman" w:hAnsi="Times New Roman"/>
                <w:sz w:val="22"/>
                <w:szCs w:val="22"/>
              </w:rPr>
            </w:pPr>
            <w:r>
              <w:rPr>
                <w:rFonts w:ascii="Times New Roman" w:hAnsi="Times New Roman"/>
                <w:spacing w:val="-2"/>
                <w:sz w:val="22"/>
                <w:szCs w:val="22"/>
              </w:rPr>
              <w:t>法定代表人/单位负责人/主要经营负责人</w:t>
            </w:r>
          </w:p>
        </w:tc>
        <w:tc>
          <w:tcPr>
            <w:tcW w:w="680" w:type="dxa"/>
          </w:tcPr>
          <w:p w14:paraId="7B0A0AC1">
            <w:pPr>
              <w:spacing w:line="360" w:lineRule="exact"/>
              <w:rPr>
                <w:rFonts w:ascii="Times New Roman" w:hAnsi="Times New Roman"/>
                <w:sz w:val="22"/>
                <w:szCs w:val="22"/>
              </w:rPr>
            </w:pPr>
          </w:p>
        </w:tc>
        <w:tc>
          <w:tcPr>
            <w:tcW w:w="1734" w:type="dxa"/>
            <w:gridSpan w:val="2"/>
          </w:tcPr>
          <w:p w14:paraId="28DD8674">
            <w:pPr>
              <w:spacing w:line="360" w:lineRule="exact"/>
              <w:rPr>
                <w:rFonts w:ascii="Times New Roman" w:hAnsi="Times New Roman"/>
                <w:sz w:val="22"/>
                <w:szCs w:val="22"/>
              </w:rPr>
            </w:pPr>
          </w:p>
        </w:tc>
        <w:tc>
          <w:tcPr>
            <w:tcW w:w="1500" w:type="dxa"/>
          </w:tcPr>
          <w:p w14:paraId="3C1E3E34">
            <w:pPr>
              <w:spacing w:line="360" w:lineRule="exact"/>
              <w:rPr>
                <w:rFonts w:ascii="Times New Roman" w:hAnsi="Times New Roman"/>
                <w:sz w:val="22"/>
                <w:szCs w:val="22"/>
              </w:rPr>
            </w:pPr>
          </w:p>
        </w:tc>
        <w:tc>
          <w:tcPr>
            <w:tcW w:w="1485" w:type="dxa"/>
          </w:tcPr>
          <w:p w14:paraId="30DB1442">
            <w:pPr>
              <w:spacing w:line="360" w:lineRule="exact"/>
              <w:rPr>
                <w:rFonts w:ascii="Times New Roman" w:hAnsi="Times New Roman"/>
                <w:sz w:val="22"/>
                <w:szCs w:val="22"/>
              </w:rPr>
            </w:pPr>
          </w:p>
        </w:tc>
      </w:tr>
      <w:tr w14:paraId="2232BB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0" w:hRule="atLeast"/>
          <w:jc w:val="center"/>
        </w:trPr>
        <w:tc>
          <w:tcPr>
            <w:tcW w:w="525" w:type="dxa"/>
          </w:tcPr>
          <w:p w14:paraId="0E73DC4C">
            <w:pPr>
              <w:spacing w:line="360" w:lineRule="exact"/>
              <w:jc w:val="center"/>
              <w:rPr>
                <w:rFonts w:ascii="Times New Roman" w:hAnsi="Times New Roman"/>
                <w:sz w:val="22"/>
                <w:szCs w:val="22"/>
              </w:rPr>
            </w:pPr>
            <w:r>
              <w:rPr>
                <w:rFonts w:ascii="Times New Roman" w:hAnsi="Times New Roman"/>
                <w:sz w:val="22"/>
                <w:szCs w:val="22"/>
              </w:rPr>
              <w:t>2</w:t>
            </w:r>
          </w:p>
        </w:tc>
        <w:tc>
          <w:tcPr>
            <w:tcW w:w="3017" w:type="dxa"/>
            <w:gridSpan w:val="2"/>
          </w:tcPr>
          <w:p w14:paraId="4EBE3DC5">
            <w:pPr>
              <w:spacing w:line="360" w:lineRule="exact"/>
              <w:jc w:val="left"/>
              <w:rPr>
                <w:rFonts w:ascii="Times New Roman" w:hAnsi="Times New Roman"/>
                <w:sz w:val="22"/>
                <w:szCs w:val="22"/>
              </w:rPr>
            </w:pPr>
            <w:r>
              <w:rPr>
                <w:rFonts w:ascii="Times New Roman" w:hAnsi="Times New Roman"/>
                <w:spacing w:val="-3"/>
                <w:sz w:val="22"/>
                <w:szCs w:val="22"/>
              </w:rPr>
              <w:t>项目投标授权代表人</w:t>
            </w:r>
          </w:p>
        </w:tc>
        <w:tc>
          <w:tcPr>
            <w:tcW w:w="680" w:type="dxa"/>
          </w:tcPr>
          <w:p w14:paraId="205F577D">
            <w:pPr>
              <w:spacing w:line="360" w:lineRule="exact"/>
              <w:rPr>
                <w:rFonts w:ascii="Times New Roman" w:hAnsi="Times New Roman"/>
                <w:sz w:val="22"/>
                <w:szCs w:val="22"/>
              </w:rPr>
            </w:pPr>
          </w:p>
        </w:tc>
        <w:tc>
          <w:tcPr>
            <w:tcW w:w="1734" w:type="dxa"/>
            <w:gridSpan w:val="2"/>
          </w:tcPr>
          <w:p w14:paraId="2FB95B66">
            <w:pPr>
              <w:spacing w:line="360" w:lineRule="exact"/>
              <w:rPr>
                <w:rFonts w:ascii="Times New Roman" w:hAnsi="Times New Roman"/>
                <w:sz w:val="22"/>
                <w:szCs w:val="22"/>
              </w:rPr>
            </w:pPr>
          </w:p>
        </w:tc>
        <w:tc>
          <w:tcPr>
            <w:tcW w:w="1500" w:type="dxa"/>
          </w:tcPr>
          <w:p w14:paraId="46FE3938">
            <w:pPr>
              <w:spacing w:line="360" w:lineRule="exact"/>
              <w:rPr>
                <w:rFonts w:ascii="Times New Roman" w:hAnsi="Times New Roman"/>
                <w:sz w:val="22"/>
                <w:szCs w:val="22"/>
              </w:rPr>
            </w:pPr>
          </w:p>
        </w:tc>
        <w:tc>
          <w:tcPr>
            <w:tcW w:w="1485" w:type="dxa"/>
          </w:tcPr>
          <w:p w14:paraId="0BA6FED3">
            <w:pPr>
              <w:spacing w:line="360" w:lineRule="exact"/>
              <w:rPr>
                <w:rFonts w:ascii="Times New Roman" w:hAnsi="Times New Roman"/>
                <w:sz w:val="22"/>
                <w:szCs w:val="22"/>
              </w:rPr>
            </w:pPr>
          </w:p>
        </w:tc>
      </w:tr>
      <w:tr w14:paraId="71648B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jc w:val="center"/>
        </w:trPr>
        <w:tc>
          <w:tcPr>
            <w:tcW w:w="525" w:type="dxa"/>
          </w:tcPr>
          <w:p w14:paraId="130E262A">
            <w:pPr>
              <w:spacing w:line="360" w:lineRule="exact"/>
              <w:jc w:val="center"/>
              <w:rPr>
                <w:rFonts w:ascii="Times New Roman" w:hAnsi="Times New Roman"/>
                <w:sz w:val="22"/>
                <w:szCs w:val="22"/>
              </w:rPr>
            </w:pPr>
            <w:r>
              <w:rPr>
                <w:rFonts w:ascii="Times New Roman" w:hAnsi="Times New Roman"/>
                <w:sz w:val="22"/>
                <w:szCs w:val="22"/>
              </w:rPr>
              <w:t>3</w:t>
            </w:r>
          </w:p>
        </w:tc>
        <w:tc>
          <w:tcPr>
            <w:tcW w:w="3017" w:type="dxa"/>
            <w:gridSpan w:val="2"/>
          </w:tcPr>
          <w:p w14:paraId="4CD22FEE">
            <w:pPr>
              <w:spacing w:line="360" w:lineRule="exact"/>
              <w:jc w:val="left"/>
              <w:rPr>
                <w:rFonts w:ascii="Times New Roman" w:hAnsi="Times New Roman"/>
                <w:sz w:val="22"/>
                <w:szCs w:val="22"/>
              </w:rPr>
            </w:pPr>
            <w:r>
              <w:rPr>
                <w:rFonts w:ascii="Times New Roman" w:hAnsi="Times New Roman"/>
                <w:spacing w:val="-2"/>
                <w:sz w:val="22"/>
                <w:szCs w:val="22"/>
              </w:rPr>
              <w:t>项目负责人</w:t>
            </w:r>
          </w:p>
        </w:tc>
        <w:tc>
          <w:tcPr>
            <w:tcW w:w="680" w:type="dxa"/>
          </w:tcPr>
          <w:p w14:paraId="453D1A8D">
            <w:pPr>
              <w:spacing w:line="360" w:lineRule="exact"/>
              <w:rPr>
                <w:rFonts w:ascii="Times New Roman" w:hAnsi="Times New Roman"/>
                <w:sz w:val="22"/>
                <w:szCs w:val="22"/>
              </w:rPr>
            </w:pPr>
          </w:p>
        </w:tc>
        <w:tc>
          <w:tcPr>
            <w:tcW w:w="1734" w:type="dxa"/>
            <w:gridSpan w:val="2"/>
          </w:tcPr>
          <w:p w14:paraId="61C2AE42">
            <w:pPr>
              <w:spacing w:line="360" w:lineRule="exact"/>
              <w:rPr>
                <w:rFonts w:ascii="Times New Roman" w:hAnsi="Times New Roman"/>
                <w:sz w:val="22"/>
                <w:szCs w:val="22"/>
              </w:rPr>
            </w:pPr>
          </w:p>
        </w:tc>
        <w:tc>
          <w:tcPr>
            <w:tcW w:w="1500" w:type="dxa"/>
          </w:tcPr>
          <w:p w14:paraId="0D3BDA4F">
            <w:pPr>
              <w:spacing w:line="360" w:lineRule="exact"/>
              <w:rPr>
                <w:rFonts w:ascii="Times New Roman" w:hAnsi="Times New Roman"/>
                <w:sz w:val="22"/>
                <w:szCs w:val="22"/>
              </w:rPr>
            </w:pPr>
          </w:p>
        </w:tc>
        <w:tc>
          <w:tcPr>
            <w:tcW w:w="1485" w:type="dxa"/>
          </w:tcPr>
          <w:p w14:paraId="76CAE692">
            <w:pPr>
              <w:spacing w:line="360" w:lineRule="exact"/>
              <w:rPr>
                <w:rFonts w:ascii="Times New Roman" w:hAnsi="Times New Roman"/>
                <w:sz w:val="22"/>
                <w:szCs w:val="22"/>
              </w:rPr>
            </w:pPr>
          </w:p>
        </w:tc>
      </w:tr>
      <w:tr w14:paraId="2B72DF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9" w:hRule="atLeast"/>
          <w:jc w:val="center"/>
        </w:trPr>
        <w:tc>
          <w:tcPr>
            <w:tcW w:w="525" w:type="dxa"/>
          </w:tcPr>
          <w:p w14:paraId="445BDB9B">
            <w:pPr>
              <w:spacing w:line="360" w:lineRule="exact"/>
              <w:jc w:val="center"/>
              <w:rPr>
                <w:rFonts w:ascii="Times New Roman" w:hAnsi="Times New Roman"/>
                <w:sz w:val="22"/>
                <w:szCs w:val="22"/>
              </w:rPr>
            </w:pPr>
            <w:r>
              <w:rPr>
                <w:rFonts w:ascii="Times New Roman" w:hAnsi="Times New Roman"/>
                <w:sz w:val="22"/>
                <w:szCs w:val="22"/>
              </w:rPr>
              <w:t>4</w:t>
            </w:r>
          </w:p>
        </w:tc>
        <w:tc>
          <w:tcPr>
            <w:tcW w:w="3017" w:type="dxa"/>
            <w:gridSpan w:val="2"/>
          </w:tcPr>
          <w:p w14:paraId="31A7CAC2">
            <w:pPr>
              <w:spacing w:line="360" w:lineRule="exact"/>
              <w:jc w:val="left"/>
              <w:rPr>
                <w:rFonts w:ascii="Times New Roman" w:hAnsi="Times New Roman"/>
                <w:sz w:val="22"/>
                <w:szCs w:val="22"/>
              </w:rPr>
            </w:pPr>
            <w:r>
              <w:rPr>
                <w:rFonts w:ascii="Times New Roman" w:hAnsi="Times New Roman"/>
                <w:spacing w:val="-2"/>
                <w:sz w:val="22"/>
                <w:szCs w:val="22"/>
              </w:rPr>
              <w:t>主要技术人员</w:t>
            </w:r>
          </w:p>
        </w:tc>
        <w:tc>
          <w:tcPr>
            <w:tcW w:w="680" w:type="dxa"/>
          </w:tcPr>
          <w:p w14:paraId="11CB628E">
            <w:pPr>
              <w:spacing w:line="360" w:lineRule="exact"/>
              <w:rPr>
                <w:rFonts w:ascii="Times New Roman" w:hAnsi="Times New Roman"/>
                <w:sz w:val="22"/>
                <w:szCs w:val="22"/>
              </w:rPr>
            </w:pPr>
          </w:p>
        </w:tc>
        <w:tc>
          <w:tcPr>
            <w:tcW w:w="1734" w:type="dxa"/>
            <w:gridSpan w:val="2"/>
          </w:tcPr>
          <w:p w14:paraId="53EB44B2">
            <w:pPr>
              <w:spacing w:line="360" w:lineRule="exact"/>
              <w:rPr>
                <w:rFonts w:ascii="Times New Roman" w:hAnsi="Times New Roman"/>
                <w:sz w:val="22"/>
                <w:szCs w:val="22"/>
              </w:rPr>
            </w:pPr>
          </w:p>
        </w:tc>
        <w:tc>
          <w:tcPr>
            <w:tcW w:w="1500" w:type="dxa"/>
          </w:tcPr>
          <w:p w14:paraId="026555FB">
            <w:pPr>
              <w:spacing w:line="360" w:lineRule="exact"/>
              <w:rPr>
                <w:rFonts w:ascii="Times New Roman" w:hAnsi="Times New Roman"/>
                <w:sz w:val="22"/>
                <w:szCs w:val="22"/>
              </w:rPr>
            </w:pPr>
          </w:p>
        </w:tc>
        <w:tc>
          <w:tcPr>
            <w:tcW w:w="1485" w:type="dxa"/>
          </w:tcPr>
          <w:p w14:paraId="7DD09B5E">
            <w:pPr>
              <w:spacing w:line="360" w:lineRule="exact"/>
              <w:rPr>
                <w:rFonts w:ascii="Times New Roman" w:hAnsi="Times New Roman"/>
                <w:sz w:val="22"/>
                <w:szCs w:val="22"/>
              </w:rPr>
            </w:pPr>
          </w:p>
        </w:tc>
      </w:tr>
      <w:tr w14:paraId="3DDBBE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jc w:val="center"/>
        </w:trPr>
        <w:tc>
          <w:tcPr>
            <w:tcW w:w="525" w:type="dxa"/>
          </w:tcPr>
          <w:p w14:paraId="7B385623">
            <w:pPr>
              <w:spacing w:line="360" w:lineRule="exact"/>
              <w:jc w:val="center"/>
              <w:rPr>
                <w:rFonts w:ascii="Times New Roman" w:hAnsi="Times New Roman"/>
                <w:sz w:val="22"/>
                <w:szCs w:val="22"/>
              </w:rPr>
            </w:pPr>
            <w:r>
              <w:rPr>
                <w:rFonts w:ascii="Times New Roman" w:hAnsi="Times New Roman"/>
                <w:sz w:val="22"/>
                <w:szCs w:val="22"/>
              </w:rPr>
              <w:t>5</w:t>
            </w:r>
          </w:p>
        </w:tc>
        <w:tc>
          <w:tcPr>
            <w:tcW w:w="3017" w:type="dxa"/>
            <w:gridSpan w:val="2"/>
          </w:tcPr>
          <w:p w14:paraId="78E9C2BD">
            <w:pPr>
              <w:spacing w:line="360" w:lineRule="exact"/>
              <w:jc w:val="left"/>
              <w:rPr>
                <w:rFonts w:ascii="Times New Roman" w:hAnsi="Times New Roman"/>
                <w:sz w:val="22"/>
                <w:szCs w:val="22"/>
              </w:rPr>
            </w:pPr>
            <w:r>
              <w:rPr>
                <w:rFonts w:ascii="Times New Roman" w:hAnsi="Times New Roman"/>
                <w:spacing w:val="-2"/>
                <w:sz w:val="22"/>
                <w:szCs w:val="22"/>
              </w:rPr>
              <w:t>投标文件编制人员</w:t>
            </w:r>
          </w:p>
        </w:tc>
        <w:tc>
          <w:tcPr>
            <w:tcW w:w="680" w:type="dxa"/>
          </w:tcPr>
          <w:p w14:paraId="329A488F">
            <w:pPr>
              <w:spacing w:line="360" w:lineRule="exact"/>
              <w:rPr>
                <w:rFonts w:ascii="Times New Roman" w:hAnsi="Times New Roman"/>
                <w:sz w:val="22"/>
                <w:szCs w:val="22"/>
              </w:rPr>
            </w:pPr>
          </w:p>
        </w:tc>
        <w:tc>
          <w:tcPr>
            <w:tcW w:w="1734" w:type="dxa"/>
            <w:gridSpan w:val="2"/>
          </w:tcPr>
          <w:p w14:paraId="54F5DD1F">
            <w:pPr>
              <w:spacing w:line="360" w:lineRule="exact"/>
              <w:rPr>
                <w:rFonts w:ascii="Times New Roman" w:hAnsi="Times New Roman"/>
                <w:sz w:val="22"/>
                <w:szCs w:val="22"/>
              </w:rPr>
            </w:pPr>
          </w:p>
        </w:tc>
        <w:tc>
          <w:tcPr>
            <w:tcW w:w="1500" w:type="dxa"/>
          </w:tcPr>
          <w:p w14:paraId="4AAA0CC2">
            <w:pPr>
              <w:spacing w:line="360" w:lineRule="exact"/>
              <w:rPr>
                <w:rFonts w:ascii="Times New Roman" w:hAnsi="Times New Roman"/>
                <w:sz w:val="22"/>
                <w:szCs w:val="22"/>
              </w:rPr>
            </w:pPr>
          </w:p>
        </w:tc>
        <w:tc>
          <w:tcPr>
            <w:tcW w:w="1485" w:type="dxa"/>
          </w:tcPr>
          <w:p w14:paraId="4BF4E4A1">
            <w:pPr>
              <w:spacing w:line="360" w:lineRule="exact"/>
              <w:rPr>
                <w:rFonts w:ascii="Times New Roman" w:hAnsi="Times New Roman"/>
                <w:sz w:val="22"/>
                <w:szCs w:val="22"/>
              </w:rPr>
            </w:pPr>
          </w:p>
        </w:tc>
      </w:tr>
      <w:tr w14:paraId="041BD93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jc w:val="center"/>
        </w:trPr>
        <w:tc>
          <w:tcPr>
            <w:tcW w:w="8941" w:type="dxa"/>
            <w:gridSpan w:val="8"/>
          </w:tcPr>
          <w:p w14:paraId="7EA76359">
            <w:pPr>
              <w:spacing w:line="360" w:lineRule="exact"/>
              <w:rPr>
                <w:rFonts w:ascii="Times New Roman" w:hAnsi="Times New Roman"/>
                <w:sz w:val="22"/>
                <w:szCs w:val="22"/>
              </w:rPr>
            </w:pPr>
            <w:r>
              <w:rPr>
                <w:rFonts w:ascii="Times New Roman" w:hAnsi="Times New Roman"/>
                <w:sz w:val="22"/>
                <w:szCs w:val="22"/>
              </w:rPr>
              <w:t>说明：同一职务有多人担任（如主要技术人员</w:t>
            </w:r>
            <w:r>
              <w:rPr>
                <w:rFonts w:ascii="Times New Roman" w:hAnsi="Times New Roman"/>
                <w:spacing w:val="-120"/>
                <w:sz w:val="22"/>
                <w:szCs w:val="22"/>
              </w:rPr>
              <w:t>）</w:t>
            </w:r>
            <w:r>
              <w:rPr>
                <w:rFonts w:ascii="Times New Roman" w:hAnsi="Times New Roman"/>
                <w:spacing w:val="-2"/>
                <w:sz w:val="22"/>
                <w:szCs w:val="22"/>
              </w:rPr>
              <w:t>，应分行填写。</w:t>
            </w:r>
          </w:p>
        </w:tc>
      </w:tr>
      <w:tr w14:paraId="60B2F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1" w:hRule="atLeast"/>
          <w:jc w:val="center"/>
        </w:trPr>
        <w:tc>
          <w:tcPr>
            <w:tcW w:w="8941" w:type="dxa"/>
            <w:gridSpan w:val="8"/>
          </w:tcPr>
          <w:p w14:paraId="6005F76F">
            <w:pPr>
              <w:spacing w:line="360" w:lineRule="exact"/>
              <w:jc w:val="center"/>
              <w:rPr>
                <w:rFonts w:ascii="Times New Roman" w:hAnsi="Times New Roman"/>
                <w:sz w:val="22"/>
                <w:szCs w:val="22"/>
              </w:rPr>
            </w:pPr>
            <w:r>
              <w:rPr>
                <w:rFonts w:ascii="Times New Roman" w:hAnsi="Times New Roman"/>
                <w:sz w:val="22"/>
                <w:szCs w:val="22"/>
              </w:rPr>
              <w:t>投标（响应）</w:t>
            </w:r>
            <w:r>
              <w:rPr>
                <w:rFonts w:ascii="Times New Roman" w:hAnsi="Times New Roman"/>
                <w:spacing w:val="-2"/>
                <w:sz w:val="22"/>
                <w:szCs w:val="22"/>
              </w:rPr>
              <w:t>供应商关联关系情况</w:t>
            </w:r>
          </w:p>
        </w:tc>
      </w:tr>
      <w:tr w14:paraId="110FFE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3" w:hRule="atLeast"/>
          <w:jc w:val="center"/>
        </w:trPr>
        <w:tc>
          <w:tcPr>
            <w:tcW w:w="525" w:type="dxa"/>
          </w:tcPr>
          <w:p w14:paraId="51E4E03A">
            <w:pPr>
              <w:spacing w:line="360" w:lineRule="exact"/>
              <w:jc w:val="center"/>
              <w:rPr>
                <w:rFonts w:ascii="Times New Roman" w:hAnsi="Times New Roman"/>
                <w:sz w:val="22"/>
                <w:szCs w:val="22"/>
              </w:rPr>
            </w:pPr>
            <w:r>
              <w:rPr>
                <w:rFonts w:ascii="Times New Roman" w:hAnsi="Times New Roman"/>
                <w:spacing w:val="-5"/>
                <w:sz w:val="22"/>
                <w:szCs w:val="22"/>
              </w:rPr>
              <w:t>序号</w:t>
            </w:r>
          </w:p>
        </w:tc>
        <w:tc>
          <w:tcPr>
            <w:tcW w:w="3017" w:type="dxa"/>
            <w:gridSpan w:val="2"/>
          </w:tcPr>
          <w:p w14:paraId="58FD6367">
            <w:pPr>
              <w:spacing w:line="360" w:lineRule="exact"/>
              <w:rPr>
                <w:rFonts w:ascii="Times New Roman" w:hAnsi="Times New Roman"/>
                <w:sz w:val="22"/>
                <w:szCs w:val="22"/>
              </w:rPr>
            </w:pPr>
            <w:r>
              <w:rPr>
                <w:rFonts w:ascii="Times New Roman" w:hAnsi="Times New Roman"/>
                <w:spacing w:val="-2"/>
                <w:sz w:val="22"/>
                <w:szCs w:val="22"/>
              </w:rPr>
              <w:t>关联关系类型</w:t>
            </w:r>
          </w:p>
        </w:tc>
        <w:tc>
          <w:tcPr>
            <w:tcW w:w="1214" w:type="dxa"/>
            <w:gridSpan w:val="2"/>
          </w:tcPr>
          <w:p w14:paraId="589C01D8">
            <w:pPr>
              <w:spacing w:line="360" w:lineRule="exact"/>
              <w:rPr>
                <w:rFonts w:ascii="Times New Roman" w:hAnsi="Times New Roman"/>
                <w:sz w:val="22"/>
                <w:szCs w:val="22"/>
              </w:rPr>
            </w:pPr>
            <w:r>
              <w:rPr>
                <w:rFonts w:ascii="Times New Roman" w:hAnsi="Times New Roman"/>
                <w:spacing w:val="-2"/>
                <w:sz w:val="22"/>
                <w:szCs w:val="22"/>
              </w:rPr>
              <w:t>关联主体名称</w:t>
            </w:r>
          </w:p>
        </w:tc>
        <w:tc>
          <w:tcPr>
            <w:tcW w:w="4185" w:type="dxa"/>
            <w:gridSpan w:val="3"/>
          </w:tcPr>
          <w:p w14:paraId="26382F21">
            <w:pPr>
              <w:spacing w:line="360" w:lineRule="exact"/>
              <w:jc w:val="center"/>
              <w:rPr>
                <w:rFonts w:ascii="Times New Roman" w:hAnsi="Times New Roman"/>
                <w:sz w:val="22"/>
                <w:szCs w:val="22"/>
              </w:rPr>
            </w:pPr>
            <w:r>
              <w:rPr>
                <w:rFonts w:ascii="Times New Roman" w:hAnsi="Times New Roman"/>
                <w:spacing w:val="-5"/>
                <w:sz w:val="22"/>
                <w:szCs w:val="22"/>
              </w:rPr>
              <w:t>备注</w:t>
            </w:r>
          </w:p>
        </w:tc>
      </w:tr>
      <w:tr w14:paraId="3D1BAB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43" w:hRule="atLeast"/>
          <w:jc w:val="center"/>
        </w:trPr>
        <w:tc>
          <w:tcPr>
            <w:tcW w:w="525" w:type="dxa"/>
          </w:tcPr>
          <w:p w14:paraId="4E2489FC">
            <w:pPr>
              <w:spacing w:line="360" w:lineRule="exact"/>
              <w:rPr>
                <w:rFonts w:ascii="Times New Roman" w:hAnsi="Times New Roman"/>
                <w:sz w:val="22"/>
                <w:szCs w:val="22"/>
              </w:rPr>
            </w:pPr>
          </w:p>
          <w:p w14:paraId="497BE797">
            <w:pPr>
              <w:spacing w:line="360" w:lineRule="exact"/>
              <w:jc w:val="center"/>
              <w:rPr>
                <w:rFonts w:ascii="Times New Roman" w:hAnsi="Times New Roman"/>
                <w:sz w:val="22"/>
                <w:szCs w:val="22"/>
              </w:rPr>
            </w:pPr>
            <w:r>
              <w:rPr>
                <w:rFonts w:hint="eastAsia" w:ascii="Times New Roman" w:hAnsi="Times New Roman"/>
                <w:w w:val="74"/>
                <w:sz w:val="22"/>
                <w:szCs w:val="22"/>
              </w:rPr>
              <w:t>1</w:t>
            </w:r>
          </w:p>
        </w:tc>
        <w:tc>
          <w:tcPr>
            <w:tcW w:w="3017" w:type="dxa"/>
            <w:gridSpan w:val="2"/>
          </w:tcPr>
          <w:p w14:paraId="4703A6E7">
            <w:pPr>
              <w:spacing w:line="360" w:lineRule="exact"/>
              <w:rPr>
                <w:rFonts w:ascii="Times New Roman" w:hAnsi="Times New Roman"/>
                <w:sz w:val="22"/>
                <w:szCs w:val="22"/>
              </w:rPr>
            </w:pPr>
          </w:p>
          <w:p w14:paraId="3B6663A3">
            <w:pPr>
              <w:spacing w:line="360" w:lineRule="exact"/>
              <w:rPr>
                <w:rFonts w:ascii="Times New Roman" w:hAnsi="Times New Roman"/>
                <w:sz w:val="22"/>
                <w:szCs w:val="22"/>
              </w:rPr>
            </w:pPr>
            <w:r>
              <w:rPr>
                <w:rFonts w:ascii="Times New Roman" w:hAnsi="Times New Roman"/>
                <w:spacing w:val="-3"/>
                <w:sz w:val="22"/>
                <w:szCs w:val="22"/>
              </w:rPr>
              <w:t>控股股东</w:t>
            </w:r>
          </w:p>
        </w:tc>
        <w:tc>
          <w:tcPr>
            <w:tcW w:w="1214" w:type="dxa"/>
            <w:gridSpan w:val="2"/>
          </w:tcPr>
          <w:p w14:paraId="42742680">
            <w:pPr>
              <w:spacing w:line="360" w:lineRule="exact"/>
              <w:rPr>
                <w:rFonts w:ascii="Times New Roman" w:hAnsi="Times New Roman"/>
                <w:sz w:val="22"/>
                <w:szCs w:val="22"/>
              </w:rPr>
            </w:pPr>
          </w:p>
        </w:tc>
        <w:tc>
          <w:tcPr>
            <w:tcW w:w="4185" w:type="dxa"/>
            <w:gridSpan w:val="3"/>
          </w:tcPr>
          <w:p w14:paraId="5FF15869">
            <w:pPr>
              <w:spacing w:line="360" w:lineRule="exact"/>
              <w:rPr>
                <w:rFonts w:ascii="Times New Roman" w:hAnsi="Times New Roman"/>
                <w:sz w:val="22"/>
                <w:szCs w:val="22"/>
              </w:rPr>
            </w:pPr>
            <w:r>
              <w:rPr>
                <w:rFonts w:ascii="Times New Roman" w:hAnsi="Times New Roman"/>
                <w:spacing w:val="-2"/>
                <w:sz w:val="22"/>
                <w:szCs w:val="22"/>
              </w:rPr>
              <w:t>指出资额（或持有股份）占投标（响应）供应商资</w:t>
            </w:r>
            <w:r>
              <w:rPr>
                <w:rFonts w:ascii="Times New Roman" w:hAnsi="Times New Roman"/>
                <w:spacing w:val="-4"/>
                <w:sz w:val="22"/>
                <w:szCs w:val="22"/>
              </w:rPr>
              <w:t>本总额（或股本总额）50</w:t>
            </w:r>
            <w:r>
              <w:rPr>
                <w:rFonts w:ascii="Times New Roman" w:hAnsi="Times New Roman"/>
                <w:spacing w:val="-5"/>
                <w:sz w:val="22"/>
                <w:szCs w:val="22"/>
              </w:rPr>
              <w:t>%以上的股东，以及出资额</w:t>
            </w:r>
            <w:r>
              <w:rPr>
                <w:rFonts w:ascii="Times New Roman" w:hAnsi="Times New Roman"/>
                <w:sz w:val="22"/>
                <w:szCs w:val="22"/>
              </w:rPr>
              <w:t>（或持有股份）</w:t>
            </w:r>
            <w:r>
              <w:rPr>
                <w:rFonts w:ascii="Times New Roman" w:hAnsi="Times New Roman"/>
                <w:spacing w:val="-3"/>
                <w:sz w:val="22"/>
                <w:szCs w:val="22"/>
              </w:rPr>
              <w:t xml:space="preserve">的比例虽然不足 </w:t>
            </w:r>
            <w:r>
              <w:rPr>
                <w:rFonts w:ascii="Times New Roman" w:hAnsi="Times New Roman"/>
                <w:sz w:val="22"/>
                <w:szCs w:val="22"/>
              </w:rPr>
              <w:t>50%，但依其出资</w:t>
            </w:r>
            <w:r>
              <w:rPr>
                <w:rFonts w:ascii="Times New Roman" w:hAnsi="Times New Roman"/>
                <w:spacing w:val="-58"/>
                <w:sz w:val="22"/>
                <w:szCs w:val="22"/>
              </w:rPr>
              <w:t>额</w:t>
            </w:r>
            <w:r>
              <w:rPr>
                <w:rFonts w:ascii="Times New Roman" w:hAnsi="Times New Roman"/>
                <w:spacing w:val="-2"/>
                <w:sz w:val="22"/>
                <w:szCs w:val="22"/>
              </w:rPr>
              <w:t>（或持有股份</w:t>
            </w:r>
            <w:r>
              <w:rPr>
                <w:rFonts w:ascii="Times New Roman" w:hAnsi="Times New Roman"/>
                <w:spacing w:val="-58"/>
                <w:sz w:val="22"/>
                <w:szCs w:val="22"/>
              </w:rPr>
              <w:t>）</w:t>
            </w:r>
            <w:r>
              <w:rPr>
                <w:rFonts w:ascii="Times New Roman" w:hAnsi="Times New Roman"/>
                <w:spacing w:val="-7"/>
                <w:sz w:val="22"/>
                <w:szCs w:val="22"/>
              </w:rPr>
              <w:t>所享有的表决权已足以对投标</w:t>
            </w:r>
            <w:r>
              <w:rPr>
                <w:rFonts w:ascii="Times New Roman" w:hAnsi="Times New Roman"/>
                <w:spacing w:val="-2"/>
                <w:sz w:val="22"/>
                <w:szCs w:val="22"/>
              </w:rPr>
              <w:t>（响</w:t>
            </w:r>
            <w:r>
              <w:rPr>
                <w:rFonts w:ascii="Times New Roman" w:hAnsi="Times New Roman"/>
                <w:sz w:val="22"/>
                <w:szCs w:val="22"/>
              </w:rPr>
              <w:t>应）供应商股东会（或股东大会）</w:t>
            </w:r>
            <w:r>
              <w:rPr>
                <w:rFonts w:ascii="Times New Roman" w:hAnsi="Times New Roman"/>
                <w:spacing w:val="-2"/>
                <w:sz w:val="22"/>
                <w:szCs w:val="22"/>
              </w:rPr>
              <w:t>的决议产生重要影响的股东。</w:t>
            </w:r>
          </w:p>
        </w:tc>
      </w:tr>
      <w:tr w14:paraId="421B0FF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85" w:hRule="atLeast"/>
          <w:jc w:val="center"/>
        </w:trPr>
        <w:tc>
          <w:tcPr>
            <w:tcW w:w="525" w:type="dxa"/>
          </w:tcPr>
          <w:p w14:paraId="60D7C26D">
            <w:pPr>
              <w:spacing w:line="360" w:lineRule="exact"/>
              <w:jc w:val="center"/>
              <w:rPr>
                <w:rFonts w:ascii="Times New Roman" w:hAnsi="Times New Roman"/>
                <w:sz w:val="22"/>
                <w:szCs w:val="22"/>
              </w:rPr>
            </w:pPr>
            <w:r>
              <w:rPr>
                <w:rFonts w:ascii="Times New Roman" w:hAnsi="Times New Roman"/>
                <w:sz w:val="22"/>
                <w:szCs w:val="22"/>
              </w:rPr>
              <w:t>2</w:t>
            </w:r>
          </w:p>
        </w:tc>
        <w:tc>
          <w:tcPr>
            <w:tcW w:w="3017" w:type="dxa"/>
            <w:gridSpan w:val="2"/>
          </w:tcPr>
          <w:p w14:paraId="27B2F62B">
            <w:pPr>
              <w:spacing w:line="360" w:lineRule="exact"/>
              <w:rPr>
                <w:rFonts w:ascii="Times New Roman" w:hAnsi="Times New Roman"/>
                <w:sz w:val="22"/>
                <w:szCs w:val="22"/>
              </w:rPr>
            </w:pPr>
            <w:r>
              <w:rPr>
                <w:rFonts w:ascii="Times New Roman" w:hAnsi="Times New Roman"/>
                <w:spacing w:val="-3"/>
                <w:sz w:val="22"/>
                <w:szCs w:val="22"/>
              </w:rPr>
              <w:t>管理关系</w:t>
            </w:r>
          </w:p>
        </w:tc>
        <w:tc>
          <w:tcPr>
            <w:tcW w:w="1214" w:type="dxa"/>
            <w:gridSpan w:val="2"/>
          </w:tcPr>
          <w:p w14:paraId="593ACF91">
            <w:pPr>
              <w:spacing w:line="360" w:lineRule="exact"/>
              <w:rPr>
                <w:rFonts w:ascii="Times New Roman" w:hAnsi="Times New Roman"/>
                <w:sz w:val="22"/>
                <w:szCs w:val="22"/>
              </w:rPr>
            </w:pPr>
          </w:p>
        </w:tc>
        <w:tc>
          <w:tcPr>
            <w:tcW w:w="4185" w:type="dxa"/>
            <w:gridSpan w:val="3"/>
          </w:tcPr>
          <w:p w14:paraId="6DACBE4E">
            <w:pPr>
              <w:spacing w:line="360" w:lineRule="exact"/>
              <w:rPr>
                <w:rFonts w:ascii="Times New Roman" w:hAnsi="Times New Roman"/>
                <w:sz w:val="22"/>
                <w:szCs w:val="22"/>
              </w:rPr>
            </w:pPr>
            <w:r>
              <w:rPr>
                <w:rFonts w:ascii="Times New Roman" w:hAnsi="Times New Roman"/>
                <w:spacing w:val="-14"/>
                <w:sz w:val="22"/>
                <w:szCs w:val="22"/>
              </w:rPr>
              <w:t>指对投标</w:t>
            </w:r>
            <w:r>
              <w:rPr>
                <w:rFonts w:ascii="Times New Roman" w:hAnsi="Times New Roman"/>
                <w:sz w:val="22"/>
                <w:szCs w:val="22"/>
              </w:rPr>
              <w:t>（响应</w:t>
            </w:r>
            <w:r>
              <w:rPr>
                <w:rFonts w:ascii="Times New Roman" w:hAnsi="Times New Roman"/>
                <w:spacing w:val="-56"/>
                <w:sz w:val="22"/>
                <w:szCs w:val="22"/>
              </w:rPr>
              <w:t>）</w:t>
            </w:r>
            <w:r>
              <w:rPr>
                <w:rFonts w:ascii="Times New Roman" w:hAnsi="Times New Roman"/>
                <w:spacing w:val="-2"/>
                <w:sz w:val="22"/>
                <w:szCs w:val="22"/>
              </w:rPr>
              <w:t>供应商不具有出资持</w:t>
            </w:r>
            <w:r>
              <w:rPr>
                <w:rFonts w:ascii="Times New Roman" w:hAnsi="Times New Roman"/>
                <w:spacing w:val="-1"/>
                <w:sz w:val="22"/>
                <w:szCs w:val="22"/>
              </w:rPr>
              <w:t>股关系，但对其存在管理关系的主体。</w:t>
            </w:r>
          </w:p>
        </w:tc>
      </w:tr>
      <w:tr w14:paraId="7DF282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2" w:hRule="atLeast"/>
          <w:jc w:val="center"/>
        </w:trPr>
        <w:tc>
          <w:tcPr>
            <w:tcW w:w="8941" w:type="dxa"/>
            <w:gridSpan w:val="8"/>
          </w:tcPr>
          <w:p w14:paraId="7E703CA8">
            <w:pPr>
              <w:spacing w:line="360" w:lineRule="exact"/>
              <w:rPr>
                <w:rFonts w:ascii="Times New Roman" w:hAnsi="Times New Roman"/>
                <w:sz w:val="22"/>
                <w:szCs w:val="22"/>
              </w:rPr>
            </w:pPr>
            <w:r>
              <w:rPr>
                <w:rFonts w:ascii="Times New Roman" w:hAnsi="Times New Roman"/>
                <w:spacing w:val="-1"/>
                <w:sz w:val="22"/>
                <w:szCs w:val="22"/>
              </w:rPr>
              <w:t>说明：同一关联关系类型有多个主体的，应分行填写。</w:t>
            </w:r>
          </w:p>
        </w:tc>
      </w:tr>
    </w:tbl>
    <w:p w14:paraId="58500735">
      <w:pPr>
        <w:spacing w:line="360" w:lineRule="auto"/>
        <w:rPr>
          <w:rFonts w:ascii="Times New Roman" w:hAnsi="Times New Roman"/>
          <w:kern w:val="0"/>
          <w:sz w:val="24"/>
        </w:rPr>
      </w:pPr>
      <w:r>
        <w:rPr>
          <w:rFonts w:hint="eastAsia" w:ascii="仿宋" w:hAnsi="仿宋" w:eastAsia="仿宋" w:cs="仿宋"/>
          <w:b/>
          <w:bCs/>
          <w:color w:val="FF0000"/>
          <w:kern w:val="0"/>
          <w:sz w:val="24"/>
          <w:szCs w:val="32"/>
        </w:rPr>
        <w:t>注：《供应商基本情况表》为资格性审查条款，未提供按无效投标处理。</w:t>
      </w:r>
    </w:p>
    <w:p w14:paraId="36447D83">
      <w:pPr>
        <w:numPr>
          <w:ilvl w:val="0"/>
          <w:numId w:val="8"/>
        </w:numPr>
        <w:spacing w:line="360" w:lineRule="exact"/>
        <w:rPr>
          <w:rFonts w:ascii="Times New Roman" w:hAnsi="Times New Roman"/>
          <w:b/>
          <w:sz w:val="22"/>
          <w:szCs w:val="22"/>
        </w:rPr>
      </w:pPr>
      <w:r>
        <w:rPr>
          <w:rFonts w:hint="eastAsia" w:ascii="Times New Roman" w:hAnsi="Times New Roman"/>
          <w:b/>
          <w:sz w:val="22"/>
          <w:szCs w:val="22"/>
        </w:rPr>
        <w:t>提供招标公告中关于投标人资格要求的相关资格证明文件复印件</w:t>
      </w:r>
      <w:r>
        <w:rPr>
          <w:rFonts w:ascii="Times New Roman" w:hAnsi="Times New Roman"/>
          <w:b/>
          <w:sz w:val="22"/>
          <w:szCs w:val="22"/>
        </w:rPr>
        <w:t>。</w:t>
      </w:r>
    </w:p>
    <w:p w14:paraId="6F9D2F51">
      <w:pPr>
        <w:spacing w:line="360" w:lineRule="exact"/>
        <w:ind w:left="420" w:firstLine="442" w:firstLineChars="200"/>
        <w:rPr>
          <w:rFonts w:ascii="Times New Roman" w:hAnsi="Times New Roman"/>
          <w:b/>
          <w:sz w:val="22"/>
          <w:szCs w:val="22"/>
        </w:rPr>
      </w:pPr>
      <w:r>
        <w:rPr>
          <w:rFonts w:hint="eastAsia" w:ascii="Times New Roman" w:hAnsi="Times New Roman"/>
          <w:b/>
          <w:sz w:val="22"/>
          <w:szCs w:val="22"/>
        </w:rPr>
        <w:t>……</w:t>
      </w:r>
    </w:p>
    <w:p w14:paraId="055B9A8A">
      <w:pPr>
        <w:adjustRightInd w:val="0"/>
        <w:snapToGrid w:val="0"/>
        <w:spacing w:line="360" w:lineRule="exact"/>
        <w:rPr>
          <w:rFonts w:ascii="宋体" w:hAnsi="宋体" w:cs="宋体"/>
          <w:b/>
          <w:sz w:val="22"/>
          <w:szCs w:val="22"/>
        </w:rPr>
      </w:pPr>
      <w:r>
        <w:rPr>
          <w:rFonts w:hint="eastAsia" w:ascii="宋体" w:hAnsi="宋体" w:cs="宋体"/>
          <w:b/>
          <w:sz w:val="22"/>
          <w:szCs w:val="22"/>
        </w:rPr>
        <w:t>（三）“关键信息-评标信息”规定的公司业绩、已做项目简介</w:t>
      </w:r>
    </w:p>
    <w:tbl>
      <w:tblPr>
        <w:tblStyle w:val="2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919"/>
        <w:gridCol w:w="1233"/>
        <w:gridCol w:w="1107"/>
        <w:gridCol w:w="1107"/>
        <w:gridCol w:w="1269"/>
        <w:gridCol w:w="906"/>
        <w:gridCol w:w="1197"/>
      </w:tblGrid>
      <w:tr w14:paraId="6840D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vAlign w:val="center"/>
          </w:tcPr>
          <w:p w14:paraId="2FC602E1">
            <w:pPr>
              <w:adjustRightInd w:val="0"/>
              <w:snapToGrid w:val="0"/>
              <w:spacing w:line="360" w:lineRule="exact"/>
              <w:jc w:val="center"/>
              <w:rPr>
                <w:rFonts w:ascii="宋体" w:hAnsi="宋体" w:cs="宋体"/>
                <w:bCs/>
                <w:sz w:val="22"/>
                <w:szCs w:val="22"/>
              </w:rPr>
            </w:pPr>
            <w:r>
              <w:rPr>
                <w:rFonts w:hint="eastAsia" w:ascii="宋体" w:hAnsi="宋体" w:cs="宋体"/>
                <w:bCs/>
                <w:sz w:val="22"/>
                <w:szCs w:val="22"/>
              </w:rPr>
              <w:t>序号</w:t>
            </w:r>
          </w:p>
        </w:tc>
        <w:tc>
          <w:tcPr>
            <w:tcW w:w="539" w:type="pct"/>
            <w:vAlign w:val="center"/>
          </w:tcPr>
          <w:p w14:paraId="1517D1DD">
            <w:pPr>
              <w:adjustRightInd w:val="0"/>
              <w:snapToGrid w:val="0"/>
              <w:spacing w:line="360" w:lineRule="exact"/>
              <w:jc w:val="center"/>
              <w:rPr>
                <w:rFonts w:ascii="宋体" w:hAnsi="宋体" w:cs="宋体"/>
                <w:bCs/>
                <w:sz w:val="22"/>
                <w:szCs w:val="22"/>
              </w:rPr>
            </w:pPr>
            <w:r>
              <w:rPr>
                <w:rFonts w:hint="eastAsia" w:ascii="宋体" w:hAnsi="宋体" w:cs="宋体"/>
                <w:bCs/>
                <w:sz w:val="22"/>
                <w:szCs w:val="22"/>
              </w:rPr>
              <w:t>采购人</w:t>
            </w:r>
          </w:p>
        </w:tc>
        <w:tc>
          <w:tcPr>
            <w:tcW w:w="723" w:type="pct"/>
            <w:vAlign w:val="center"/>
          </w:tcPr>
          <w:p w14:paraId="268473F2">
            <w:pPr>
              <w:adjustRightInd w:val="0"/>
              <w:snapToGrid w:val="0"/>
              <w:spacing w:line="360" w:lineRule="exact"/>
              <w:jc w:val="center"/>
              <w:rPr>
                <w:rFonts w:ascii="宋体" w:hAnsi="宋体" w:cs="宋体"/>
                <w:bCs/>
                <w:sz w:val="22"/>
                <w:szCs w:val="22"/>
              </w:rPr>
            </w:pPr>
            <w:r>
              <w:rPr>
                <w:rFonts w:hint="eastAsia" w:ascii="宋体" w:hAnsi="宋体" w:cs="宋体"/>
                <w:bCs/>
                <w:sz w:val="22"/>
                <w:szCs w:val="22"/>
              </w:rPr>
              <w:t>项目名称</w:t>
            </w:r>
          </w:p>
        </w:tc>
        <w:tc>
          <w:tcPr>
            <w:tcW w:w="649" w:type="pct"/>
            <w:vAlign w:val="center"/>
          </w:tcPr>
          <w:p w14:paraId="6F8B7F0F">
            <w:pPr>
              <w:adjustRightInd w:val="0"/>
              <w:snapToGrid w:val="0"/>
              <w:spacing w:line="360" w:lineRule="exact"/>
              <w:jc w:val="center"/>
              <w:rPr>
                <w:rFonts w:ascii="宋体" w:hAnsi="宋体" w:cs="宋体"/>
                <w:bCs/>
                <w:sz w:val="22"/>
                <w:szCs w:val="22"/>
              </w:rPr>
            </w:pPr>
            <w:r>
              <w:rPr>
                <w:rFonts w:hint="eastAsia" w:ascii="宋体" w:hAnsi="宋体" w:cs="宋体"/>
                <w:bCs/>
                <w:sz w:val="22"/>
                <w:szCs w:val="22"/>
              </w:rPr>
              <w:t>规模（金额/元）</w:t>
            </w:r>
          </w:p>
        </w:tc>
        <w:tc>
          <w:tcPr>
            <w:tcW w:w="649" w:type="pct"/>
            <w:vAlign w:val="center"/>
          </w:tcPr>
          <w:p w14:paraId="549507A1">
            <w:pPr>
              <w:adjustRightInd w:val="0"/>
              <w:snapToGrid w:val="0"/>
              <w:spacing w:line="360" w:lineRule="exact"/>
              <w:jc w:val="center"/>
              <w:rPr>
                <w:rFonts w:ascii="宋体" w:hAnsi="宋体" w:cs="宋体"/>
                <w:bCs/>
                <w:sz w:val="22"/>
                <w:szCs w:val="22"/>
              </w:rPr>
            </w:pPr>
            <w:r>
              <w:rPr>
                <w:rFonts w:hint="eastAsia" w:ascii="宋体" w:hAnsi="宋体" w:cs="宋体"/>
                <w:bCs/>
                <w:sz w:val="22"/>
                <w:szCs w:val="22"/>
              </w:rPr>
              <w:t>完成时间</w:t>
            </w:r>
          </w:p>
        </w:tc>
        <w:tc>
          <w:tcPr>
            <w:tcW w:w="744" w:type="pct"/>
            <w:vAlign w:val="center"/>
          </w:tcPr>
          <w:p w14:paraId="417009B9">
            <w:pPr>
              <w:adjustRightInd w:val="0"/>
              <w:snapToGrid w:val="0"/>
              <w:spacing w:line="360" w:lineRule="exact"/>
              <w:jc w:val="center"/>
              <w:rPr>
                <w:rFonts w:ascii="宋体" w:hAnsi="宋体" w:cs="宋体"/>
                <w:bCs/>
                <w:sz w:val="22"/>
                <w:szCs w:val="22"/>
              </w:rPr>
            </w:pPr>
            <w:r>
              <w:rPr>
                <w:rFonts w:hint="eastAsia" w:ascii="宋体" w:hAnsi="宋体" w:cs="宋体"/>
                <w:bCs/>
                <w:sz w:val="22"/>
                <w:szCs w:val="22"/>
              </w:rPr>
              <w:t>运行情况</w:t>
            </w:r>
          </w:p>
        </w:tc>
        <w:tc>
          <w:tcPr>
            <w:tcW w:w="531" w:type="pct"/>
            <w:vAlign w:val="center"/>
          </w:tcPr>
          <w:p w14:paraId="785B0562">
            <w:pPr>
              <w:adjustRightInd w:val="0"/>
              <w:snapToGrid w:val="0"/>
              <w:spacing w:line="360" w:lineRule="exact"/>
              <w:jc w:val="center"/>
              <w:rPr>
                <w:rFonts w:ascii="宋体" w:hAnsi="宋体" w:cs="宋体"/>
                <w:bCs/>
                <w:sz w:val="22"/>
                <w:szCs w:val="22"/>
              </w:rPr>
            </w:pPr>
            <w:r>
              <w:rPr>
                <w:rFonts w:hint="eastAsia" w:ascii="宋体" w:hAnsi="宋体" w:cs="宋体"/>
                <w:bCs/>
                <w:sz w:val="22"/>
                <w:szCs w:val="22"/>
              </w:rPr>
              <w:t>联系人</w:t>
            </w:r>
          </w:p>
        </w:tc>
        <w:tc>
          <w:tcPr>
            <w:tcW w:w="701" w:type="pct"/>
            <w:vAlign w:val="center"/>
          </w:tcPr>
          <w:p w14:paraId="14BEEB15">
            <w:pPr>
              <w:adjustRightInd w:val="0"/>
              <w:snapToGrid w:val="0"/>
              <w:spacing w:line="360" w:lineRule="exact"/>
              <w:jc w:val="center"/>
              <w:rPr>
                <w:rFonts w:ascii="宋体" w:hAnsi="宋体" w:cs="宋体"/>
                <w:bCs/>
                <w:sz w:val="22"/>
                <w:szCs w:val="22"/>
              </w:rPr>
            </w:pPr>
            <w:r>
              <w:rPr>
                <w:rFonts w:hint="eastAsia" w:ascii="宋体" w:hAnsi="宋体" w:cs="宋体"/>
                <w:bCs/>
                <w:sz w:val="22"/>
                <w:szCs w:val="22"/>
              </w:rPr>
              <w:t>联系方式</w:t>
            </w:r>
          </w:p>
        </w:tc>
      </w:tr>
      <w:tr w14:paraId="5ED8F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1" w:type="pct"/>
          </w:tcPr>
          <w:p w14:paraId="193B3E13">
            <w:pPr>
              <w:adjustRightInd w:val="0"/>
              <w:snapToGrid w:val="0"/>
              <w:spacing w:line="360" w:lineRule="exact"/>
              <w:rPr>
                <w:rFonts w:ascii="宋体" w:hAnsi="宋体" w:cs="宋体"/>
                <w:bCs/>
                <w:sz w:val="22"/>
                <w:szCs w:val="22"/>
              </w:rPr>
            </w:pPr>
          </w:p>
        </w:tc>
        <w:tc>
          <w:tcPr>
            <w:tcW w:w="539" w:type="pct"/>
          </w:tcPr>
          <w:p w14:paraId="39DFC5E4">
            <w:pPr>
              <w:adjustRightInd w:val="0"/>
              <w:snapToGrid w:val="0"/>
              <w:spacing w:line="360" w:lineRule="exact"/>
              <w:rPr>
                <w:rFonts w:ascii="宋体" w:hAnsi="宋体" w:cs="宋体"/>
                <w:bCs/>
                <w:sz w:val="22"/>
                <w:szCs w:val="22"/>
              </w:rPr>
            </w:pPr>
          </w:p>
        </w:tc>
        <w:tc>
          <w:tcPr>
            <w:tcW w:w="723" w:type="pct"/>
          </w:tcPr>
          <w:p w14:paraId="0C572EB4">
            <w:pPr>
              <w:adjustRightInd w:val="0"/>
              <w:snapToGrid w:val="0"/>
              <w:spacing w:line="360" w:lineRule="exact"/>
              <w:rPr>
                <w:rFonts w:ascii="宋体" w:hAnsi="宋体" w:cs="宋体"/>
                <w:bCs/>
                <w:sz w:val="22"/>
                <w:szCs w:val="22"/>
              </w:rPr>
            </w:pPr>
          </w:p>
        </w:tc>
        <w:tc>
          <w:tcPr>
            <w:tcW w:w="649" w:type="pct"/>
          </w:tcPr>
          <w:p w14:paraId="6D0A6C6F">
            <w:pPr>
              <w:adjustRightInd w:val="0"/>
              <w:snapToGrid w:val="0"/>
              <w:spacing w:line="360" w:lineRule="exact"/>
              <w:rPr>
                <w:rFonts w:ascii="宋体" w:hAnsi="宋体" w:cs="宋体"/>
                <w:bCs/>
                <w:sz w:val="22"/>
                <w:szCs w:val="22"/>
              </w:rPr>
            </w:pPr>
          </w:p>
        </w:tc>
        <w:tc>
          <w:tcPr>
            <w:tcW w:w="649" w:type="pct"/>
          </w:tcPr>
          <w:p w14:paraId="6525307C">
            <w:pPr>
              <w:adjustRightInd w:val="0"/>
              <w:snapToGrid w:val="0"/>
              <w:spacing w:line="360" w:lineRule="exact"/>
              <w:rPr>
                <w:rFonts w:ascii="宋体" w:hAnsi="宋体" w:cs="宋体"/>
                <w:bCs/>
                <w:sz w:val="22"/>
                <w:szCs w:val="22"/>
              </w:rPr>
            </w:pPr>
          </w:p>
        </w:tc>
        <w:tc>
          <w:tcPr>
            <w:tcW w:w="744" w:type="pct"/>
          </w:tcPr>
          <w:p w14:paraId="5ECB2796">
            <w:pPr>
              <w:adjustRightInd w:val="0"/>
              <w:snapToGrid w:val="0"/>
              <w:spacing w:line="360" w:lineRule="exact"/>
              <w:rPr>
                <w:rFonts w:ascii="宋体" w:hAnsi="宋体" w:cs="宋体"/>
                <w:bCs/>
                <w:sz w:val="22"/>
                <w:szCs w:val="22"/>
              </w:rPr>
            </w:pPr>
          </w:p>
        </w:tc>
        <w:tc>
          <w:tcPr>
            <w:tcW w:w="531" w:type="pct"/>
          </w:tcPr>
          <w:p w14:paraId="330BBADF">
            <w:pPr>
              <w:adjustRightInd w:val="0"/>
              <w:snapToGrid w:val="0"/>
              <w:spacing w:line="360" w:lineRule="exact"/>
              <w:rPr>
                <w:rFonts w:ascii="宋体" w:hAnsi="宋体" w:cs="宋体"/>
                <w:bCs/>
                <w:sz w:val="22"/>
                <w:szCs w:val="22"/>
              </w:rPr>
            </w:pPr>
          </w:p>
        </w:tc>
        <w:tc>
          <w:tcPr>
            <w:tcW w:w="701" w:type="pct"/>
          </w:tcPr>
          <w:p w14:paraId="481DD242">
            <w:pPr>
              <w:adjustRightInd w:val="0"/>
              <w:snapToGrid w:val="0"/>
              <w:spacing w:line="360" w:lineRule="exact"/>
              <w:rPr>
                <w:rFonts w:ascii="宋体" w:hAnsi="宋体" w:cs="宋体"/>
                <w:bCs/>
                <w:sz w:val="22"/>
                <w:szCs w:val="22"/>
              </w:rPr>
            </w:pPr>
          </w:p>
        </w:tc>
      </w:tr>
    </w:tbl>
    <w:p w14:paraId="7468A50D">
      <w:pPr>
        <w:adjustRightInd w:val="0"/>
        <w:snapToGrid w:val="0"/>
        <w:spacing w:line="360" w:lineRule="exact"/>
        <w:rPr>
          <w:rFonts w:ascii="宋体" w:hAnsi="宋体" w:cs="宋体"/>
          <w:sz w:val="22"/>
          <w:szCs w:val="22"/>
        </w:rPr>
      </w:pPr>
      <w:r>
        <w:rPr>
          <w:rFonts w:hint="eastAsia" w:ascii="宋体" w:hAnsi="宋体" w:cs="宋体"/>
          <w:sz w:val="22"/>
          <w:szCs w:val="22"/>
        </w:rPr>
        <w:t>投标单位公章：</w:t>
      </w:r>
    </w:p>
    <w:p w14:paraId="17495DD9">
      <w:pPr>
        <w:tabs>
          <w:tab w:val="left" w:pos="414"/>
          <w:tab w:val="left" w:pos="1974"/>
          <w:tab w:val="left" w:pos="3414"/>
          <w:tab w:val="left" w:pos="4854"/>
          <w:tab w:val="left" w:pos="6174"/>
          <w:tab w:val="left" w:pos="7614"/>
          <w:tab w:val="left" w:pos="9414"/>
        </w:tabs>
        <w:adjustRightInd w:val="0"/>
        <w:snapToGrid w:val="0"/>
        <w:spacing w:line="360" w:lineRule="exact"/>
        <w:rPr>
          <w:rFonts w:ascii="宋体" w:hAnsi="宋体" w:cs="宋体"/>
          <w:sz w:val="22"/>
          <w:szCs w:val="22"/>
        </w:rPr>
      </w:pPr>
      <w:r>
        <w:rPr>
          <w:rFonts w:hint="eastAsia" w:ascii="宋体" w:hAnsi="宋体" w:cs="宋体"/>
          <w:sz w:val="22"/>
          <w:szCs w:val="22"/>
        </w:rPr>
        <w:t>法人代表或被授权人签字：</w:t>
      </w:r>
    </w:p>
    <w:p w14:paraId="650ABCF6">
      <w:pPr>
        <w:tabs>
          <w:tab w:val="left" w:pos="414"/>
          <w:tab w:val="left" w:pos="1974"/>
          <w:tab w:val="left" w:pos="3414"/>
          <w:tab w:val="left" w:pos="4854"/>
          <w:tab w:val="left" w:pos="6174"/>
          <w:tab w:val="left" w:pos="7614"/>
          <w:tab w:val="left" w:pos="9414"/>
        </w:tabs>
        <w:adjustRightInd w:val="0"/>
        <w:snapToGrid w:val="0"/>
        <w:spacing w:line="360" w:lineRule="exact"/>
        <w:rPr>
          <w:rFonts w:ascii="宋体" w:hAnsi="宋体" w:cs="宋体"/>
          <w:sz w:val="22"/>
          <w:szCs w:val="22"/>
        </w:rPr>
      </w:pPr>
      <w:r>
        <w:rPr>
          <w:rFonts w:hint="eastAsia" w:ascii="宋体" w:hAnsi="宋体" w:cs="宋体"/>
          <w:sz w:val="22"/>
          <w:szCs w:val="22"/>
        </w:rPr>
        <w:t>注：1、在备注中填写项目单位名称、联系人、联系方式等内容。</w:t>
      </w:r>
    </w:p>
    <w:p w14:paraId="39ADF162">
      <w:pPr>
        <w:tabs>
          <w:tab w:val="left" w:pos="414"/>
          <w:tab w:val="left" w:pos="1974"/>
          <w:tab w:val="left" w:pos="3414"/>
          <w:tab w:val="left" w:pos="4854"/>
          <w:tab w:val="left" w:pos="6174"/>
          <w:tab w:val="left" w:pos="7614"/>
          <w:tab w:val="left" w:pos="9414"/>
        </w:tabs>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2、需递交上述项目的证明材料（中标通知书或合同关键页）扫描件（加盖公章），原件备查。</w:t>
      </w:r>
    </w:p>
    <w:p w14:paraId="57FBC32C">
      <w:pPr>
        <w:tabs>
          <w:tab w:val="left" w:pos="414"/>
          <w:tab w:val="left" w:pos="1974"/>
          <w:tab w:val="left" w:pos="3414"/>
          <w:tab w:val="left" w:pos="4854"/>
          <w:tab w:val="left" w:pos="6174"/>
          <w:tab w:val="left" w:pos="7614"/>
          <w:tab w:val="left" w:pos="9414"/>
        </w:tabs>
        <w:adjustRightInd w:val="0"/>
        <w:snapToGrid w:val="0"/>
        <w:spacing w:line="360" w:lineRule="exact"/>
        <w:ind w:firstLine="440" w:firstLineChars="200"/>
        <w:rPr>
          <w:rFonts w:ascii="宋体" w:hAnsi="宋体" w:cs="宋体"/>
          <w:sz w:val="22"/>
          <w:szCs w:val="22"/>
        </w:rPr>
      </w:pPr>
      <w:r>
        <w:rPr>
          <w:rFonts w:hint="eastAsia" w:ascii="宋体" w:hAnsi="宋体" w:cs="宋体"/>
          <w:sz w:val="22"/>
          <w:szCs w:val="22"/>
        </w:rPr>
        <w:t>3、提供的资料须齐全。</w:t>
      </w:r>
    </w:p>
    <w:p w14:paraId="4CD4D030">
      <w:pPr>
        <w:tabs>
          <w:tab w:val="left" w:pos="414"/>
          <w:tab w:val="left" w:pos="1974"/>
          <w:tab w:val="left" w:pos="3414"/>
          <w:tab w:val="left" w:pos="4854"/>
          <w:tab w:val="left" w:pos="6174"/>
          <w:tab w:val="left" w:pos="7614"/>
          <w:tab w:val="left" w:pos="9414"/>
        </w:tabs>
        <w:adjustRightInd w:val="0"/>
        <w:snapToGrid w:val="0"/>
        <w:spacing w:line="360" w:lineRule="exact"/>
        <w:ind w:firstLine="442" w:firstLineChars="200"/>
        <w:rPr>
          <w:rFonts w:ascii="Times New Roman" w:hAnsi="Times New Roman"/>
          <w:b/>
          <w:sz w:val="22"/>
          <w:szCs w:val="22"/>
        </w:rPr>
      </w:pPr>
      <w:bookmarkStart w:id="18" w:name="_Toc518137920"/>
      <w:bookmarkStart w:id="19" w:name="_Toc13820"/>
      <w:bookmarkStart w:id="20" w:name="_Toc19163"/>
      <w:r>
        <w:rPr>
          <w:rFonts w:hint="eastAsia" w:ascii="Times New Roman" w:hAnsi="Times New Roman"/>
          <w:b/>
          <w:sz w:val="22"/>
          <w:szCs w:val="22"/>
        </w:rPr>
        <w:t>（四）其它重要事项说明及承诺</w:t>
      </w:r>
      <w:bookmarkEnd w:id="18"/>
      <w:bookmarkEnd w:id="19"/>
      <w:bookmarkEnd w:id="20"/>
    </w:p>
    <w:p w14:paraId="311458A3">
      <w:pPr>
        <w:rPr>
          <w:rFonts w:ascii="Times New Roman" w:hAnsi="Times New Roman"/>
          <w:sz w:val="22"/>
          <w:szCs w:val="22"/>
        </w:rPr>
      </w:pPr>
      <w:r>
        <w:rPr>
          <w:rFonts w:hint="eastAsia" w:ascii="宋体" w:hAnsi="宋体"/>
          <w:szCs w:val="22"/>
        </w:rPr>
        <w:t xml:space="preserve"> </w:t>
      </w:r>
    </w:p>
    <w:p w14:paraId="6981F419">
      <w:pPr>
        <w:tabs>
          <w:tab w:val="left" w:pos="414"/>
          <w:tab w:val="left" w:pos="1974"/>
          <w:tab w:val="left" w:pos="3414"/>
          <w:tab w:val="left" w:pos="4854"/>
          <w:tab w:val="left" w:pos="6174"/>
          <w:tab w:val="left" w:pos="7614"/>
          <w:tab w:val="left" w:pos="9414"/>
        </w:tabs>
        <w:adjustRightInd w:val="0"/>
        <w:snapToGrid w:val="0"/>
        <w:spacing w:line="360" w:lineRule="exact"/>
        <w:rPr>
          <w:rFonts w:ascii="Times New Roman" w:hAnsi="Times New Roman"/>
          <w:sz w:val="22"/>
          <w:szCs w:val="22"/>
        </w:rPr>
      </w:pPr>
      <w:r>
        <w:rPr>
          <w:rFonts w:hint="eastAsia" w:ascii="Times New Roman" w:hAnsi="Times New Roman"/>
          <w:sz w:val="22"/>
          <w:szCs w:val="22"/>
        </w:rPr>
        <w:t>(请扼要叙述)</w:t>
      </w:r>
    </w:p>
    <w:p w14:paraId="3899DAE6">
      <w:pPr>
        <w:tabs>
          <w:tab w:val="left" w:pos="414"/>
          <w:tab w:val="left" w:pos="1974"/>
          <w:tab w:val="left" w:pos="3414"/>
          <w:tab w:val="left" w:pos="4854"/>
          <w:tab w:val="left" w:pos="6174"/>
          <w:tab w:val="left" w:pos="7614"/>
          <w:tab w:val="left" w:pos="9414"/>
        </w:tabs>
        <w:adjustRightInd w:val="0"/>
        <w:snapToGrid w:val="0"/>
        <w:spacing w:line="360" w:lineRule="exact"/>
        <w:rPr>
          <w:rFonts w:ascii="Times New Roman" w:hAnsi="Times New Roman"/>
          <w:sz w:val="22"/>
          <w:szCs w:val="22"/>
        </w:rPr>
      </w:pPr>
    </w:p>
    <w:p w14:paraId="7197A617">
      <w:pPr>
        <w:tabs>
          <w:tab w:val="left" w:pos="414"/>
          <w:tab w:val="left" w:pos="1974"/>
          <w:tab w:val="left" w:pos="3414"/>
          <w:tab w:val="left" w:pos="4854"/>
          <w:tab w:val="left" w:pos="6174"/>
          <w:tab w:val="left" w:pos="7614"/>
          <w:tab w:val="left" w:pos="9414"/>
        </w:tabs>
        <w:adjustRightInd w:val="0"/>
        <w:snapToGrid w:val="0"/>
        <w:spacing w:line="360" w:lineRule="exact"/>
        <w:rPr>
          <w:rFonts w:ascii="Times New Roman" w:hAnsi="Times New Roman"/>
          <w:sz w:val="22"/>
          <w:szCs w:val="22"/>
        </w:rPr>
      </w:pPr>
      <w:r>
        <w:rPr>
          <w:rFonts w:hint="eastAsia" w:ascii="Times New Roman" w:hAnsi="Times New Roman"/>
          <w:sz w:val="22"/>
          <w:szCs w:val="22"/>
          <w:lang w:val="zh-CN"/>
        </w:rPr>
        <w:t>法定代表人（</w:t>
      </w:r>
      <w:r>
        <w:rPr>
          <w:rFonts w:hint="eastAsia" w:ascii="Times New Roman" w:hAnsi="Times New Roman"/>
          <w:sz w:val="22"/>
          <w:szCs w:val="22"/>
        </w:rPr>
        <w:t>单位负责人</w:t>
      </w:r>
      <w:r>
        <w:rPr>
          <w:rFonts w:hint="eastAsia" w:ascii="Times New Roman" w:hAnsi="Times New Roman"/>
          <w:sz w:val="22"/>
          <w:szCs w:val="22"/>
          <w:lang w:val="zh-CN"/>
        </w:rPr>
        <w:t>）或其授权代表（签字</w:t>
      </w:r>
      <w:r>
        <w:rPr>
          <w:rFonts w:hint="eastAsia" w:ascii="Times New Roman" w:hAnsi="Times New Roman"/>
          <w:sz w:val="22"/>
          <w:szCs w:val="22"/>
        </w:rPr>
        <w:t>或盖章</w:t>
      </w:r>
      <w:r>
        <w:rPr>
          <w:rFonts w:hint="eastAsia" w:ascii="Times New Roman" w:hAnsi="Times New Roman"/>
          <w:sz w:val="22"/>
          <w:szCs w:val="22"/>
          <w:lang w:val="zh-CN"/>
        </w:rPr>
        <w:t>）</w:t>
      </w:r>
      <w:r>
        <w:rPr>
          <w:rFonts w:hint="eastAsia" w:ascii="Times New Roman" w:hAnsi="Times New Roman"/>
          <w:sz w:val="22"/>
          <w:szCs w:val="22"/>
        </w:rPr>
        <w:t>：</w:t>
      </w:r>
      <w:r>
        <w:rPr>
          <w:rFonts w:ascii="Times New Roman" w:hAnsi="Times New Roman"/>
          <w:sz w:val="22"/>
          <w:szCs w:val="22"/>
        </w:rPr>
        <w:t xml:space="preserve">                   </w:t>
      </w:r>
    </w:p>
    <w:p w14:paraId="5991E064">
      <w:pPr>
        <w:tabs>
          <w:tab w:val="left" w:pos="414"/>
          <w:tab w:val="left" w:pos="1974"/>
          <w:tab w:val="left" w:pos="3414"/>
          <w:tab w:val="left" w:pos="4854"/>
          <w:tab w:val="left" w:pos="6174"/>
          <w:tab w:val="left" w:pos="7614"/>
          <w:tab w:val="left" w:pos="9414"/>
        </w:tabs>
        <w:adjustRightInd w:val="0"/>
        <w:snapToGrid w:val="0"/>
        <w:spacing w:line="360" w:lineRule="exact"/>
        <w:rPr>
          <w:rFonts w:ascii="Times New Roman" w:hAnsi="Times New Roman"/>
          <w:sz w:val="22"/>
          <w:szCs w:val="22"/>
        </w:rPr>
      </w:pPr>
      <w:r>
        <w:rPr>
          <w:rFonts w:hint="eastAsia" w:ascii="Times New Roman" w:hAnsi="Times New Roman"/>
          <w:sz w:val="22"/>
          <w:szCs w:val="22"/>
        </w:rPr>
        <w:t>投标人名称（盖章）：</w:t>
      </w:r>
      <w:r>
        <w:rPr>
          <w:rFonts w:ascii="Times New Roman" w:hAnsi="Times New Roman"/>
          <w:sz w:val="22"/>
          <w:szCs w:val="22"/>
        </w:rPr>
        <w:t xml:space="preserve">                        </w:t>
      </w:r>
    </w:p>
    <w:p w14:paraId="505B9FB5">
      <w:pPr>
        <w:tabs>
          <w:tab w:val="left" w:pos="414"/>
          <w:tab w:val="left" w:pos="1974"/>
          <w:tab w:val="left" w:pos="3414"/>
          <w:tab w:val="left" w:pos="4854"/>
          <w:tab w:val="left" w:pos="6174"/>
          <w:tab w:val="left" w:pos="7614"/>
          <w:tab w:val="left" w:pos="9414"/>
        </w:tabs>
        <w:adjustRightInd w:val="0"/>
        <w:snapToGrid w:val="0"/>
        <w:spacing w:line="360" w:lineRule="exact"/>
        <w:rPr>
          <w:rFonts w:ascii="Times New Roman" w:hAnsi="Times New Roman"/>
          <w:sz w:val="22"/>
          <w:szCs w:val="22"/>
        </w:rPr>
      </w:pPr>
      <w:r>
        <w:rPr>
          <w:rFonts w:hint="eastAsia" w:ascii="Times New Roman" w:hAnsi="Times New Roman"/>
          <w:sz w:val="22"/>
          <w:szCs w:val="22"/>
        </w:rPr>
        <w:t>日期：</w:t>
      </w:r>
      <w:r>
        <w:rPr>
          <w:rFonts w:ascii="Times New Roman" w:hAnsi="Times New Roman"/>
          <w:sz w:val="22"/>
          <w:szCs w:val="22"/>
        </w:rPr>
        <w:t xml:space="preserve">   </w:t>
      </w:r>
      <w:r>
        <w:rPr>
          <w:rFonts w:hint="eastAsia" w:ascii="Times New Roman" w:hAnsi="Times New Roman"/>
          <w:sz w:val="22"/>
          <w:szCs w:val="22"/>
        </w:rPr>
        <w:t>年</w:t>
      </w:r>
      <w:r>
        <w:rPr>
          <w:rFonts w:ascii="Times New Roman" w:hAnsi="Times New Roman"/>
          <w:sz w:val="22"/>
          <w:szCs w:val="22"/>
        </w:rPr>
        <w:t xml:space="preserve">   </w:t>
      </w:r>
      <w:r>
        <w:rPr>
          <w:rFonts w:hint="eastAsia" w:ascii="Times New Roman" w:hAnsi="Times New Roman"/>
          <w:sz w:val="22"/>
          <w:szCs w:val="22"/>
        </w:rPr>
        <w:t>月</w:t>
      </w:r>
      <w:r>
        <w:rPr>
          <w:rFonts w:ascii="Times New Roman" w:hAnsi="Times New Roman"/>
          <w:sz w:val="22"/>
          <w:szCs w:val="22"/>
        </w:rPr>
        <w:t xml:space="preserve">   </w:t>
      </w:r>
      <w:r>
        <w:rPr>
          <w:rFonts w:hint="eastAsia" w:ascii="Times New Roman" w:hAnsi="Times New Roman"/>
          <w:sz w:val="22"/>
          <w:szCs w:val="22"/>
        </w:rPr>
        <w:t>日</w:t>
      </w:r>
    </w:p>
    <w:p w14:paraId="4CB7209A">
      <w:pPr>
        <w:rPr>
          <w:rFonts w:ascii="宋体" w:hAnsi="宋体" w:cs="宋体"/>
        </w:rPr>
      </w:pPr>
      <w:r>
        <w:rPr>
          <w:rFonts w:ascii="宋体" w:hAnsi="宋体" w:cs="宋体"/>
        </w:rPr>
        <w:br w:type="page"/>
      </w:r>
    </w:p>
    <w:p w14:paraId="317544CC">
      <w:pPr>
        <w:numPr>
          <w:ilvl w:val="0"/>
          <w:numId w:val="5"/>
        </w:numPr>
        <w:ind w:left="420" w:firstLine="0"/>
        <w:jc w:val="center"/>
        <w:outlineLvl w:val="2"/>
        <w:rPr>
          <w:rFonts w:ascii="宋体" w:hAnsi="宋体" w:cs="宋体"/>
          <w:b/>
          <w:bCs/>
          <w:sz w:val="32"/>
          <w:szCs w:val="32"/>
        </w:rPr>
      </w:pPr>
      <w:r>
        <w:rPr>
          <w:rFonts w:hint="eastAsia" w:ascii="宋体" w:hAnsi="宋体" w:cs="宋体"/>
          <w:b/>
          <w:bCs/>
          <w:sz w:val="32"/>
          <w:szCs w:val="32"/>
        </w:rPr>
        <w:t>项目主要管理及技术人员情况</w:t>
      </w:r>
    </w:p>
    <w:tbl>
      <w:tblPr>
        <w:tblStyle w:val="29"/>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14"/>
        <w:gridCol w:w="780"/>
        <w:gridCol w:w="840"/>
        <w:gridCol w:w="855"/>
        <w:gridCol w:w="838"/>
        <w:gridCol w:w="1350"/>
        <w:gridCol w:w="959"/>
        <w:gridCol w:w="913"/>
        <w:gridCol w:w="877"/>
      </w:tblGrid>
      <w:tr w14:paraId="06842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pct"/>
            <w:vMerge w:val="restart"/>
            <w:shd w:val="clear" w:color="auto" w:fill="B8CCE4"/>
            <w:vAlign w:val="center"/>
          </w:tcPr>
          <w:p w14:paraId="5F0D851D">
            <w:pPr>
              <w:spacing w:line="360" w:lineRule="exact"/>
              <w:jc w:val="center"/>
              <w:rPr>
                <w:rFonts w:ascii="宋体" w:hAnsi="宋体" w:cs="宋体"/>
                <w:b/>
                <w:sz w:val="22"/>
              </w:rPr>
            </w:pPr>
            <w:r>
              <w:rPr>
                <w:rFonts w:hint="eastAsia" w:ascii="宋体" w:hAnsi="宋体" w:cs="宋体"/>
                <w:b/>
                <w:sz w:val="22"/>
              </w:rPr>
              <w:t>类别</w:t>
            </w:r>
          </w:p>
        </w:tc>
        <w:tc>
          <w:tcPr>
            <w:tcW w:w="457" w:type="pct"/>
            <w:vMerge w:val="restart"/>
            <w:shd w:val="clear" w:color="auto" w:fill="B8CCE4"/>
            <w:vAlign w:val="center"/>
          </w:tcPr>
          <w:p w14:paraId="537A7FDC">
            <w:pPr>
              <w:spacing w:line="360" w:lineRule="exact"/>
              <w:jc w:val="center"/>
              <w:rPr>
                <w:rFonts w:ascii="宋体" w:hAnsi="宋体" w:cs="宋体"/>
                <w:b/>
                <w:sz w:val="22"/>
              </w:rPr>
            </w:pPr>
            <w:r>
              <w:rPr>
                <w:rFonts w:hint="eastAsia" w:ascii="宋体" w:hAnsi="宋体" w:cs="宋体"/>
                <w:b/>
                <w:sz w:val="22"/>
              </w:rPr>
              <w:t>姓名</w:t>
            </w:r>
          </w:p>
        </w:tc>
        <w:tc>
          <w:tcPr>
            <w:tcW w:w="492" w:type="pct"/>
            <w:vMerge w:val="restart"/>
            <w:shd w:val="clear" w:color="auto" w:fill="B8CCE4"/>
            <w:vAlign w:val="center"/>
          </w:tcPr>
          <w:p w14:paraId="2DDD7F84">
            <w:pPr>
              <w:spacing w:line="360" w:lineRule="exact"/>
              <w:jc w:val="center"/>
              <w:rPr>
                <w:rFonts w:ascii="宋体" w:hAnsi="宋体" w:cs="宋体"/>
                <w:b/>
                <w:sz w:val="22"/>
              </w:rPr>
            </w:pPr>
            <w:r>
              <w:rPr>
                <w:rFonts w:hint="eastAsia" w:ascii="宋体" w:hAnsi="宋体" w:cs="宋体"/>
                <w:b/>
                <w:sz w:val="22"/>
              </w:rPr>
              <w:t>职务</w:t>
            </w:r>
          </w:p>
        </w:tc>
        <w:tc>
          <w:tcPr>
            <w:tcW w:w="501" w:type="pct"/>
            <w:vMerge w:val="restart"/>
            <w:shd w:val="clear" w:color="auto" w:fill="B8CCE4"/>
            <w:vAlign w:val="center"/>
          </w:tcPr>
          <w:p w14:paraId="5C01D735">
            <w:pPr>
              <w:spacing w:line="360" w:lineRule="exact"/>
              <w:jc w:val="center"/>
              <w:rPr>
                <w:rFonts w:ascii="宋体" w:hAnsi="宋体" w:cs="宋体"/>
                <w:b/>
                <w:sz w:val="22"/>
              </w:rPr>
            </w:pPr>
            <w:r>
              <w:rPr>
                <w:rFonts w:hint="eastAsia" w:ascii="宋体" w:hAnsi="宋体" w:cs="宋体"/>
                <w:b/>
                <w:sz w:val="22"/>
              </w:rPr>
              <w:t>职称</w:t>
            </w:r>
          </w:p>
        </w:tc>
        <w:tc>
          <w:tcPr>
            <w:tcW w:w="491" w:type="pct"/>
            <w:vMerge w:val="restart"/>
            <w:shd w:val="clear" w:color="auto" w:fill="B8CCE4"/>
            <w:vAlign w:val="center"/>
          </w:tcPr>
          <w:p w14:paraId="68E1BEE7">
            <w:pPr>
              <w:spacing w:line="360" w:lineRule="exact"/>
              <w:jc w:val="center"/>
              <w:rPr>
                <w:rFonts w:ascii="宋体" w:hAnsi="宋体" w:cs="宋体"/>
                <w:b/>
                <w:sz w:val="22"/>
              </w:rPr>
            </w:pPr>
            <w:r>
              <w:rPr>
                <w:rFonts w:hint="eastAsia" w:ascii="宋体" w:hAnsi="宋体" w:cs="宋体"/>
                <w:b/>
                <w:sz w:val="22"/>
              </w:rPr>
              <w:t>学历</w:t>
            </w:r>
          </w:p>
        </w:tc>
        <w:tc>
          <w:tcPr>
            <w:tcW w:w="2402" w:type="pct"/>
            <w:gridSpan w:val="4"/>
            <w:shd w:val="clear" w:color="auto" w:fill="B8CCE4"/>
          </w:tcPr>
          <w:p w14:paraId="0C3E7255">
            <w:pPr>
              <w:spacing w:line="360" w:lineRule="exact"/>
              <w:jc w:val="center"/>
              <w:rPr>
                <w:rFonts w:ascii="宋体" w:hAnsi="宋体" w:cs="宋体"/>
                <w:b/>
                <w:sz w:val="22"/>
              </w:rPr>
            </w:pPr>
            <w:r>
              <w:rPr>
                <w:rFonts w:hint="eastAsia" w:ascii="宋体" w:hAnsi="宋体" w:cs="宋体"/>
                <w:b/>
                <w:sz w:val="22"/>
              </w:rPr>
              <w:t>上岗资格证明（执业资格或专业等级）</w:t>
            </w:r>
          </w:p>
        </w:tc>
      </w:tr>
      <w:tr w14:paraId="40706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53" w:type="pct"/>
            <w:vMerge w:val="continue"/>
            <w:shd w:val="clear" w:color="auto" w:fill="B8CCE4"/>
          </w:tcPr>
          <w:p w14:paraId="05F6E4BB">
            <w:pPr>
              <w:spacing w:line="360" w:lineRule="exact"/>
              <w:rPr>
                <w:rFonts w:ascii="宋体" w:hAnsi="宋体" w:cs="宋体"/>
                <w:b/>
                <w:sz w:val="22"/>
              </w:rPr>
            </w:pPr>
          </w:p>
        </w:tc>
        <w:tc>
          <w:tcPr>
            <w:tcW w:w="457" w:type="pct"/>
            <w:vMerge w:val="continue"/>
            <w:shd w:val="clear" w:color="auto" w:fill="B8CCE4"/>
          </w:tcPr>
          <w:p w14:paraId="32BD9C10">
            <w:pPr>
              <w:spacing w:line="360" w:lineRule="exact"/>
              <w:rPr>
                <w:rFonts w:ascii="宋体" w:hAnsi="宋体" w:cs="宋体"/>
                <w:b/>
                <w:sz w:val="22"/>
              </w:rPr>
            </w:pPr>
          </w:p>
        </w:tc>
        <w:tc>
          <w:tcPr>
            <w:tcW w:w="492" w:type="pct"/>
            <w:vMerge w:val="continue"/>
            <w:shd w:val="clear" w:color="auto" w:fill="B8CCE4"/>
          </w:tcPr>
          <w:p w14:paraId="34A46530">
            <w:pPr>
              <w:spacing w:line="360" w:lineRule="exact"/>
              <w:rPr>
                <w:rFonts w:ascii="宋体" w:hAnsi="宋体" w:cs="宋体"/>
                <w:b/>
                <w:sz w:val="22"/>
              </w:rPr>
            </w:pPr>
          </w:p>
        </w:tc>
        <w:tc>
          <w:tcPr>
            <w:tcW w:w="501" w:type="pct"/>
            <w:vMerge w:val="continue"/>
            <w:shd w:val="clear" w:color="auto" w:fill="B8CCE4"/>
          </w:tcPr>
          <w:p w14:paraId="24C79A04">
            <w:pPr>
              <w:spacing w:line="360" w:lineRule="exact"/>
              <w:rPr>
                <w:rFonts w:ascii="宋体" w:hAnsi="宋体" w:cs="宋体"/>
                <w:b/>
                <w:sz w:val="22"/>
              </w:rPr>
            </w:pPr>
          </w:p>
        </w:tc>
        <w:tc>
          <w:tcPr>
            <w:tcW w:w="491" w:type="pct"/>
            <w:vMerge w:val="continue"/>
            <w:shd w:val="clear" w:color="auto" w:fill="B8CCE4"/>
          </w:tcPr>
          <w:p w14:paraId="3E2FC86D">
            <w:pPr>
              <w:spacing w:line="360" w:lineRule="exact"/>
              <w:rPr>
                <w:rFonts w:ascii="宋体" w:hAnsi="宋体" w:cs="宋体"/>
                <w:b/>
                <w:sz w:val="22"/>
              </w:rPr>
            </w:pPr>
          </w:p>
        </w:tc>
        <w:tc>
          <w:tcPr>
            <w:tcW w:w="791" w:type="pct"/>
            <w:shd w:val="clear" w:color="auto" w:fill="B8CCE4"/>
          </w:tcPr>
          <w:p w14:paraId="353DADE9">
            <w:pPr>
              <w:spacing w:line="360" w:lineRule="exact"/>
              <w:jc w:val="center"/>
              <w:rPr>
                <w:rFonts w:ascii="宋体" w:hAnsi="宋体" w:cs="宋体"/>
                <w:b/>
                <w:sz w:val="22"/>
              </w:rPr>
            </w:pPr>
            <w:r>
              <w:rPr>
                <w:rFonts w:hint="eastAsia" w:ascii="宋体" w:hAnsi="宋体" w:cs="宋体"/>
                <w:b/>
                <w:sz w:val="22"/>
              </w:rPr>
              <w:t>证书名称</w:t>
            </w:r>
          </w:p>
        </w:tc>
        <w:tc>
          <w:tcPr>
            <w:tcW w:w="562" w:type="pct"/>
            <w:shd w:val="clear" w:color="auto" w:fill="B8CCE4"/>
          </w:tcPr>
          <w:p w14:paraId="17805D5C">
            <w:pPr>
              <w:spacing w:line="360" w:lineRule="exact"/>
              <w:jc w:val="center"/>
              <w:rPr>
                <w:rFonts w:ascii="宋体" w:hAnsi="宋体" w:cs="宋体"/>
                <w:b/>
                <w:sz w:val="22"/>
              </w:rPr>
            </w:pPr>
            <w:r>
              <w:rPr>
                <w:rFonts w:hint="eastAsia" w:ascii="宋体" w:hAnsi="宋体" w:cs="宋体"/>
                <w:b/>
                <w:sz w:val="22"/>
              </w:rPr>
              <w:t>级别</w:t>
            </w:r>
          </w:p>
        </w:tc>
        <w:tc>
          <w:tcPr>
            <w:tcW w:w="535" w:type="pct"/>
            <w:shd w:val="clear" w:color="auto" w:fill="B8CCE4"/>
          </w:tcPr>
          <w:p w14:paraId="3343A69C">
            <w:pPr>
              <w:spacing w:line="360" w:lineRule="exact"/>
              <w:jc w:val="center"/>
              <w:rPr>
                <w:rFonts w:ascii="宋体" w:hAnsi="宋体" w:cs="宋体"/>
                <w:b/>
                <w:sz w:val="22"/>
              </w:rPr>
            </w:pPr>
            <w:r>
              <w:rPr>
                <w:rFonts w:hint="eastAsia" w:ascii="宋体" w:hAnsi="宋体" w:cs="宋体"/>
                <w:b/>
                <w:sz w:val="22"/>
              </w:rPr>
              <w:t>证号</w:t>
            </w:r>
          </w:p>
        </w:tc>
        <w:tc>
          <w:tcPr>
            <w:tcW w:w="513" w:type="pct"/>
            <w:shd w:val="clear" w:color="auto" w:fill="B8CCE4"/>
          </w:tcPr>
          <w:p w14:paraId="1EAF0140">
            <w:pPr>
              <w:spacing w:line="360" w:lineRule="exact"/>
              <w:jc w:val="center"/>
              <w:rPr>
                <w:rFonts w:ascii="宋体" w:hAnsi="宋体" w:cs="宋体"/>
                <w:b/>
                <w:sz w:val="22"/>
              </w:rPr>
            </w:pPr>
            <w:r>
              <w:rPr>
                <w:rFonts w:hint="eastAsia" w:ascii="宋体" w:hAnsi="宋体" w:cs="宋体"/>
                <w:b/>
                <w:sz w:val="22"/>
              </w:rPr>
              <w:t>专业</w:t>
            </w:r>
          </w:p>
        </w:tc>
      </w:tr>
      <w:tr w14:paraId="00785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53" w:type="pct"/>
            <w:vAlign w:val="center"/>
          </w:tcPr>
          <w:p w14:paraId="7DA52859">
            <w:pPr>
              <w:spacing w:line="360" w:lineRule="exact"/>
              <w:jc w:val="center"/>
              <w:rPr>
                <w:rFonts w:ascii="宋体" w:hAnsi="宋体" w:cs="宋体"/>
                <w:kern w:val="0"/>
                <w:sz w:val="22"/>
              </w:rPr>
            </w:pPr>
            <w:r>
              <w:rPr>
                <w:rFonts w:hint="eastAsia" w:ascii="宋体" w:hAnsi="宋体" w:cs="宋体"/>
                <w:kern w:val="0"/>
                <w:sz w:val="22"/>
              </w:rPr>
              <w:t>项目</w:t>
            </w:r>
          </w:p>
          <w:p w14:paraId="3F7F84EE">
            <w:pPr>
              <w:spacing w:line="360" w:lineRule="exact"/>
              <w:jc w:val="center"/>
              <w:rPr>
                <w:rFonts w:ascii="宋体" w:hAnsi="宋体" w:cs="宋体"/>
                <w:bCs/>
                <w:sz w:val="22"/>
              </w:rPr>
            </w:pPr>
            <w:r>
              <w:rPr>
                <w:rFonts w:hint="eastAsia" w:ascii="宋体" w:hAnsi="宋体" w:cs="宋体"/>
                <w:kern w:val="0"/>
                <w:sz w:val="22"/>
              </w:rPr>
              <w:t>负责人</w:t>
            </w:r>
          </w:p>
        </w:tc>
        <w:tc>
          <w:tcPr>
            <w:tcW w:w="457" w:type="pct"/>
          </w:tcPr>
          <w:p w14:paraId="3A907F6B">
            <w:pPr>
              <w:spacing w:line="360" w:lineRule="exact"/>
              <w:rPr>
                <w:rFonts w:ascii="宋体" w:hAnsi="宋体" w:cs="宋体"/>
                <w:bCs/>
                <w:sz w:val="22"/>
              </w:rPr>
            </w:pPr>
          </w:p>
        </w:tc>
        <w:tc>
          <w:tcPr>
            <w:tcW w:w="492" w:type="pct"/>
          </w:tcPr>
          <w:p w14:paraId="43581AA7">
            <w:pPr>
              <w:spacing w:line="360" w:lineRule="exact"/>
              <w:rPr>
                <w:rFonts w:ascii="宋体" w:hAnsi="宋体" w:cs="宋体"/>
                <w:bCs/>
                <w:sz w:val="22"/>
              </w:rPr>
            </w:pPr>
          </w:p>
        </w:tc>
        <w:tc>
          <w:tcPr>
            <w:tcW w:w="501" w:type="pct"/>
          </w:tcPr>
          <w:p w14:paraId="12C7CFA8">
            <w:pPr>
              <w:spacing w:line="360" w:lineRule="exact"/>
              <w:rPr>
                <w:rFonts w:ascii="宋体" w:hAnsi="宋体" w:cs="宋体"/>
                <w:bCs/>
                <w:sz w:val="22"/>
              </w:rPr>
            </w:pPr>
          </w:p>
        </w:tc>
        <w:tc>
          <w:tcPr>
            <w:tcW w:w="491" w:type="pct"/>
          </w:tcPr>
          <w:p w14:paraId="50070A13">
            <w:pPr>
              <w:spacing w:line="360" w:lineRule="exact"/>
              <w:rPr>
                <w:rFonts w:ascii="宋体" w:hAnsi="宋体" w:cs="宋体"/>
                <w:bCs/>
                <w:sz w:val="22"/>
              </w:rPr>
            </w:pPr>
          </w:p>
        </w:tc>
        <w:tc>
          <w:tcPr>
            <w:tcW w:w="791" w:type="pct"/>
          </w:tcPr>
          <w:p w14:paraId="1BE57355">
            <w:pPr>
              <w:spacing w:line="360" w:lineRule="exact"/>
              <w:rPr>
                <w:rFonts w:ascii="宋体" w:hAnsi="宋体" w:cs="宋体"/>
                <w:bCs/>
                <w:sz w:val="22"/>
              </w:rPr>
            </w:pPr>
          </w:p>
        </w:tc>
        <w:tc>
          <w:tcPr>
            <w:tcW w:w="562" w:type="pct"/>
          </w:tcPr>
          <w:p w14:paraId="5874EC88">
            <w:pPr>
              <w:spacing w:line="360" w:lineRule="exact"/>
              <w:rPr>
                <w:rFonts w:ascii="宋体" w:hAnsi="宋体" w:cs="宋体"/>
                <w:bCs/>
                <w:sz w:val="22"/>
              </w:rPr>
            </w:pPr>
          </w:p>
        </w:tc>
        <w:tc>
          <w:tcPr>
            <w:tcW w:w="535" w:type="pct"/>
          </w:tcPr>
          <w:p w14:paraId="39F10B29">
            <w:pPr>
              <w:spacing w:line="360" w:lineRule="exact"/>
              <w:rPr>
                <w:rFonts w:ascii="宋体" w:hAnsi="宋体" w:cs="宋体"/>
                <w:bCs/>
                <w:sz w:val="22"/>
              </w:rPr>
            </w:pPr>
          </w:p>
        </w:tc>
        <w:tc>
          <w:tcPr>
            <w:tcW w:w="513" w:type="pct"/>
          </w:tcPr>
          <w:p w14:paraId="67975822">
            <w:pPr>
              <w:spacing w:line="360" w:lineRule="exact"/>
              <w:rPr>
                <w:rFonts w:ascii="宋体" w:hAnsi="宋体" w:cs="宋体"/>
                <w:bCs/>
                <w:sz w:val="22"/>
              </w:rPr>
            </w:pPr>
          </w:p>
        </w:tc>
      </w:tr>
      <w:tr w14:paraId="53E3B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53" w:type="pct"/>
            <w:vMerge w:val="restart"/>
            <w:vAlign w:val="center"/>
          </w:tcPr>
          <w:p w14:paraId="3EA1B667">
            <w:pPr>
              <w:spacing w:line="360" w:lineRule="exact"/>
              <w:jc w:val="center"/>
              <w:rPr>
                <w:rFonts w:ascii="宋体" w:hAnsi="宋体" w:cs="宋体"/>
                <w:bCs/>
                <w:sz w:val="22"/>
              </w:rPr>
            </w:pPr>
            <w:r>
              <w:rPr>
                <w:rFonts w:hint="eastAsia" w:ascii="宋体" w:hAnsi="宋体" w:cs="宋体"/>
                <w:kern w:val="0"/>
                <w:sz w:val="22"/>
              </w:rPr>
              <w:t>其他项目组成员</w:t>
            </w:r>
          </w:p>
        </w:tc>
        <w:tc>
          <w:tcPr>
            <w:tcW w:w="457" w:type="pct"/>
          </w:tcPr>
          <w:p w14:paraId="529E66E9">
            <w:pPr>
              <w:spacing w:line="360" w:lineRule="exact"/>
              <w:rPr>
                <w:rFonts w:ascii="宋体" w:hAnsi="宋体" w:cs="宋体"/>
                <w:bCs/>
                <w:sz w:val="22"/>
              </w:rPr>
            </w:pPr>
          </w:p>
        </w:tc>
        <w:tc>
          <w:tcPr>
            <w:tcW w:w="492" w:type="pct"/>
          </w:tcPr>
          <w:p w14:paraId="0E4343D7">
            <w:pPr>
              <w:spacing w:line="360" w:lineRule="exact"/>
              <w:rPr>
                <w:rFonts w:ascii="宋体" w:hAnsi="宋体" w:cs="宋体"/>
                <w:bCs/>
                <w:sz w:val="22"/>
              </w:rPr>
            </w:pPr>
          </w:p>
        </w:tc>
        <w:tc>
          <w:tcPr>
            <w:tcW w:w="501" w:type="pct"/>
          </w:tcPr>
          <w:p w14:paraId="64ACF8F3">
            <w:pPr>
              <w:spacing w:line="360" w:lineRule="exact"/>
              <w:rPr>
                <w:rFonts w:ascii="宋体" w:hAnsi="宋体" w:cs="宋体"/>
                <w:bCs/>
                <w:sz w:val="22"/>
              </w:rPr>
            </w:pPr>
          </w:p>
        </w:tc>
        <w:tc>
          <w:tcPr>
            <w:tcW w:w="491" w:type="pct"/>
          </w:tcPr>
          <w:p w14:paraId="31FAE7D4">
            <w:pPr>
              <w:spacing w:line="360" w:lineRule="exact"/>
              <w:rPr>
                <w:rFonts w:ascii="宋体" w:hAnsi="宋体" w:cs="宋体"/>
                <w:bCs/>
                <w:sz w:val="22"/>
              </w:rPr>
            </w:pPr>
          </w:p>
        </w:tc>
        <w:tc>
          <w:tcPr>
            <w:tcW w:w="791" w:type="pct"/>
          </w:tcPr>
          <w:p w14:paraId="335B960A">
            <w:pPr>
              <w:spacing w:line="360" w:lineRule="exact"/>
              <w:rPr>
                <w:rFonts w:ascii="宋体" w:hAnsi="宋体" w:cs="宋体"/>
                <w:bCs/>
                <w:sz w:val="22"/>
              </w:rPr>
            </w:pPr>
          </w:p>
        </w:tc>
        <w:tc>
          <w:tcPr>
            <w:tcW w:w="562" w:type="pct"/>
          </w:tcPr>
          <w:p w14:paraId="2CDBDBA5">
            <w:pPr>
              <w:spacing w:line="360" w:lineRule="exact"/>
              <w:rPr>
                <w:rFonts w:ascii="宋体" w:hAnsi="宋体" w:cs="宋体"/>
                <w:bCs/>
                <w:sz w:val="22"/>
              </w:rPr>
            </w:pPr>
          </w:p>
        </w:tc>
        <w:tc>
          <w:tcPr>
            <w:tcW w:w="535" w:type="pct"/>
          </w:tcPr>
          <w:p w14:paraId="68E0830A">
            <w:pPr>
              <w:spacing w:line="360" w:lineRule="exact"/>
              <w:rPr>
                <w:rFonts w:ascii="宋体" w:hAnsi="宋体" w:cs="宋体"/>
                <w:bCs/>
                <w:sz w:val="22"/>
              </w:rPr>
            </w:pPr>
          </w:p>
        </w:tc>
        <w:tc>
          <w:tcPr>
            <w:tcW w:w="513" w:type="pct"/>
          </w:tcPr>
          <w:p w14:paraId="6BEA428F">
            <w:pPr>
              <w:spacing w:line="360" w:lineRule="exact"/>
              <w:rPr>
                <w:rFonts w:ascii="宋体" w:hAnsi="宋体" w:cs="宋体"/>
                <w:bCs/>
                <w:sz w:val="22"/>
              </w:rPr>
            </w:pPr>
          </w:p>
        </w:tc>
      </w:tr>
      <w:tr w14:paraId="28488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53" w:type="pct"/>
            <w:vMerge w:val="continue"/>
          </w:tcPr>
          <w:p w14:paraId="695C7F05">
            <w:pPr>
              <w:spacing w:line="360" w:lineRule="exact"/>
              <w:rPr>
                <w:rFonts w:ascii="宋体" w:hAnsi="宋体" w:cs="宋体"/>
                <w:bCs/>
                <w:sz w:val="22"/>
              </w:rPr>
            </w:pPr>
          </w:p>
        </w:tc>
        <w:tc>
          <w:tcPr>
            <w:tcW w:w="457" w:type="pct"/>
          </w:tcPr>
          <w:p w14:paraId="79A29DB0">
            <w:pPr>
              <w:spacing w:line="360" w:lineRule="exact"/>
              <w:rPr>
                <w:rFonts w:ascii="宋体" w:hAnsi="宋体" w:cs="宋体"/>
                <w:bCs/>
                <w:sz w:val="22"/>
              </w:rPr>
            </w:pPr>
          </w:p>
        </w:tc>
        <w:tc>
          <w:tcPr>
            <w:tcW w:w="492" w:type="pct"/>
          </w:tcPr>
          <w:p w14:paraId="6112C33E">
            <w:pPr>
              <w:spacing w:line="360" w:lineRule="exact"/>
              <w:rPr>
                <w:rFonts w:ascii="宋体" w:hAnsi="宋体" w:cs="宋体"/>
                <w:bCs/>
                <w:sz w:val="22"/>
              </w:rPr>
            </w:pPr>
          </w:p>
        </w:tc>
        <w:tc>
          <w:tcPr>
            <w:tcW w:w="501" w:type="pct"/>
          </w:tcPr>
          <w:p w14:paraId="73FC41FC">
            <w:pPr>
              <w:spacing w:line="360" w:lineRule="exact"/>
              <w:rPr>
                <w:rFonts w:ascii="宋体" w:hAnsi="宋体" w:cs="宋体"/>
                <w:bCs/>
                <w:sz w:val="22"/>
              </w:rPr>
            </w:pPr>
          </w:p>
        </w:tc>
        <w:tc>
          <w:tcPr>
            <w:tcW w:w="491" w:type="pct"/>
          </w:tcPr>
          <w:p w14:paraId="61DF6713">
            <w:pPr>
              <w:spacing w:line="360" w:lineRule="exact"/>
              <w:rPr>
                <w:rFonts w:ascii="宋体" w:hAnsi="宋体" w:cs="宋体"/>
                <w:bCs/>
                <w:sz w:val="22"/>
              </w:rPr>
            </w:pPr>
          </w:p>
        </w:tc>
        <w:tc>
          <w:tcPr>
            <w:tcW w:w="791" w:type="pct"/>
          </w:tcPr>
          <w:p w14:paraId="4EE79889">
            <w:pPr>
              <w:spacing w:line="360" w:lineRule="exact"/>
              <w:rPr>
                <w:rFonts w:ascii="宋体" w:hAnsi="宋体" w:cs="宋体"/>
                <w:bCs/>
                <w:sz w:val="22"/>
              </w:rPr>
            </w:pPr>
          </w:p>
        </w:tc>
        <w:tc>
          <w:tcPr>
            <w:tcW w:w="562" w:type="pct"/>
          </w:tcPr>
          <w:p w14:paraId="7A01BDE4">
            <w:pPr>
              <w:spacing w:line="360" w:lineRule="exact"/>
              <w:rPr>
                <w:rFonts w:ascii="宋体" w:hAnsi="宋体" w:cs="宋体"/>
                <w:bCs/>
                <w:sz w:val="22"/>
              </w:rPr>
            </w:pPr>
          </w:p>
        </w:tc>
        <w:tc>
          <w:tcPr>
            <w:tcW w:w="535" w:type="pct"/>
          </w:tcPr>
          <w:p w14:paraId="30A22BBB">
            <w:pPr>
              <w:spacing w:line="360" w:lineRule="exact"/>
              <w:rPr>
                <w:rFonts w:ascii="宋体" w:hAnsi="宋体" w:cs="宋体"/>
                <w:bCs/>
                <w:sz w:val="22"/>
              </w:rPr>
            </w:pPr>
          </w:p>
        </w:tc>
        <w:tc>
          <w:tcPr>
            <w:tcW w:w="513" w:type="pct"/>
          </w:tcPr>
          <w:p w14:paraId="02248352">
            <w:pPr>
              <w:spacing w:line="360" w:lineRule="exact"/>
              <w:rPr>
                <w:rFonts w:ascii="宋体" w:hAnsi="宋体" w:cs="宋体"/>
                <w:bCs/>
                <w:sz w:val="22"/>
              </w:rPr>
            </w:pPr>
          </w:p>
        </w:tc>
      </w:tr>
      <w:tr w14:paraId="69FFE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53" w:type="pct"/>
            <w:vMerge w:val="continue"/>
          </w:tcPr>
          <w:p w14:paraId="33C34466">
            <w:pPr>
              <w:spacing w:line="360" w:lineRule="exact"/>
              <w:rPr>
                <w:rFonts w:ascii="宋体" w:hAnsi="宋体" w:cs="宋体"/>
                <w:bCs/>
                <w:sz w:val="22"/>
              </w:rPr>
            </w:pPr>
          </w:p>
        </w:tc>
        <w:tc>
          <w:tcPr>
            <w:tcW w:w="457" w:type="pct"/>
          </w:tcPr>
          <w:p w14:paraId="7CEBA708">
            <w:pPr>
              <w:spacing w:line="360" w:lineRule="exact"/>
              <w:rPr>
                <w:rFonts w:ascii="宋体" w:hAnsi="宋体" w:cs="宋体"/>
                <w:bCs/>
                <w:sz w:val="22"/>
              </w:rPr>
            </w:pPr>
          </w:p>
        </w:tc>
        <w:tc>
          <w:tcPr>
            <w:tcW w:w="492" w:type="pct"/>
          </w:tcPr>
          <w:p w14:paraId="64E1EC2D">
            <w:pPr>
              <w:spacing w:line="360" w:lineRule="exact"/>
              <w:rPr>
                <w:rFonts w:ascii="宋体" w:hAnsi="宋体" w:cs="宋体"/>
                <w:bCs/>
                <w:sz w:val="22"/>
              </w:rPr>
            </w:pPr>
          </w:p>
        </w:tc>
        <w:tc>
          <w:tcPr>
            <w:tcW w:w="501" w:type="pct"/>
          </w:tcPr>
          <w:p w14:paraId="2089524A">
            <w:pPr>
              <w:spacing w:line="360" w:lineRule="exact"/>
              <w:rPr>
                <w:rFonts w:ascii="宋体" w:hAnsi="宋体" w:cs="宋体"/>
                <w:bCs/>
                <w:sz w:val="22"/>
              </w:rPr>
            </w:pPr>
          </w:p>
        </w:tc>
        <w:tc>
          <w:tcPr>
            <w:tcW w:w="491" w:type="pct"/>
          </w:tcPr>
          <w:p w14:paraId="23A2339B">
            <w:pPr>
              <w:spacing w:line="360" w:lineRule="exact"/>
              <w:rPr>
                <w:rFonts w:ascii="宋体" w:hAnsi="宋体" w:cs="宋体"/>
                <w:bCs/>
                <w:sz w:val="22"/>
              </w:rPr>
            </w:pPr>
          </w:p>
        </w:tc>
        <w:tc>
          <w:tcPr>
            <w:tcW w:w="791" w:type="pct"/>
          </w:tcPr>
          <w:p w14:paraId="52DF3F7F">
            <w:pPr>
              <w:spacing w:line="360" w:lineRule="exact"/>
              <w:rPr>
                <w:rFonts w:ascii="宋体" w:hAnsi="宋体" w:cs="宋体"/>
                <w:bCs/>
                <w:sz w:val="22"/>
              </w:rPr>
            </w:pPr>
          </w:p>
        </w:tc>
        <w:tc>
          <w:tcPr>
            <w:tcW w:w="562" w:type="pct"/>
          </w:tcPr>
          <w:p w14:paraId="547D0E87">
            <w:pPr>
              <w:spacing w:line="360" w:lineRule="exact"/>
              <w:rPr>
                <w:rFonts w:ascii="宋体" w:hAnsi="宋体" w:cs="宋体"/>
                <w:bCs/>
                <w:sz w:val="22"/>
              </w:rPr>
            </w:pPr>
          </w:p>
        </w:tc>
        <w:tc>
          <w:tcPr>
            <w:tcW w:w="535" w:type="pct"/>
          </w:tcPr>
          <w:p w14:paraId="7018F154">
            <w:pPr>
              <w:spacing w:line="360" w:lineRule="exact"/>
              <w:rPr>
                <w:rFonts w:ascii="宋体" w:hAnsi="宋体" w:cs="宋体"/>
                <w:bCs/>
                <w:sz w:val="22"/>
              </w:rPr>
            </w:pPr>
          </w:p>
        </w:tc>
        <w:tc>
          <w:tcPr>
            <w:tcW w:w="513" w:type="pct"/>
          </w:tcPr>
          <w:p w14:paraId="2BCB7450">
            <w:pPr>
              <w:spacing w:line="360" w:lineRule="exact"/>
              <w:rPr>
                <w:rFonts w:ascii="宋体" w:hAnsi="宋体" w:cs="宋体"/>
                <w:bCs/>
                <w:sz w:val="22"/>
              </w:rPr>
            </w:pPr>
          </w:p>
        </w:tc>
      </w:tr>
      <w:tr w14:paraId="67B14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53" w:type="pct"/>
            <w:vMerge w:val="continue"/>
          </w:tcPr>
          <w:p w14:paraId="566E55B2">
            <w:pPr>
              <w:spacing w:line="360" w:lineRule="exact"/>
              <w:rPr>
                <w:rFonts w:ascii="宋体" w:hAnsi="宋体" w:cs="宋体"/>
                <w:bCs/>
                <w:sz w:val="22"/>
              </w:rPr>
            </w:pPr>
          </w:p>
        </w:tc>
        <w:tc>
          <w:tcPr>
            <w:tcW w:w="457" w:type="pct"/>
          </w:tcPr>
          <w:p w14:paraId="36322A38">
            <w:pPr>
              <w:spacing w:line="360" w:lineRule="exact"/>
              <w:rPr>
                <w:rFonts w:ascii="宋体" w:hAnsi="宋体" w:cs="宋体"/>
                <w:bCs/>
                <w:sz w:val="22"/>
              </w:rPr>
            </w:pPr>
          </w:p>
        </w:tc>
        <w:tc>
          <w:tcPr>
            <w:tcW w:w="492" w:type="pct"/>
          </w:tcPr>
          <w:p w14:paraId="203EE83C">
            <w:pPr>
              <w:spacing w:line="360" w:lineRule="exact"/>
              <w:rPr>
                <w:rFonts w:ascii="宋体" w:hAnsi="宋体" w:cs="宋体"/>
                <w:bCs/>
                <w:sz w:val="22"/>
              </w:rPr>
            </w:pPr>
          </w:p>
        </w:tc>
        <w:tc>
          <w:tcPr>
            <w:tcW w:w="501" w:type="pct"/>
          </w:tcPr>
          <w:p w14:paraId="42728C64">
            <w:pPr>
              <w:spacing w:line="360" w:lineRule="exact"/>
              <w:rPr>
                <w:rFonts w:ascii="宋体" w:hAnsi="宋体" w:cs="宋体"/>
                <w:bCs/>
                <w:sz w:val="22"/>
              </w:rPr>
            </w:pPr>
          </w:p>
        </w:tc>
        <w:tc>
          <w:tcPr>
            <w:tcW w:w="491" w:type="pct"/>
          </w:tcPr>
          <w:p w14:paraId="43F411AB">
            <w:pPr>
              <w:spacing w:line="360" w:lineRule="exact"/>
              <w:rPr>
                <w:rFonts w:ascii="宋体" w:hAnsi="宋体" w:cs="宋体"/>
                <w:bCs/>
                <w:sz w:val="22"/>
              </w:rPr>
            </w:pPr>
          </w:p>
        </w:tc>
        <w:tc>
          <w:tcPr>
            <w:tcW w:w="791" w:type="pct"/>
          </w:tcPr>
          <w:p w14:paraId="64ACED4E">
            <w:pPr>
              <w:spacing w:line="360" w:lineRule="exact"/>
              <w:rPr>
                <w:rFonts w:ascii="宋体" w:hAnsi="宋体" w:cs="宋体"/>
                <w:bCs/>
                <w:sz w:val="22"/>
              </w:rPr>
            </w:pPr>
          </w:p>
        </w:tc>
        <w:tc>
          <w:tcPr>
            <w:tcW w:w="562" w:type="pct"/>
          </w:tcPr>
          <w:p w14:paraId="7ACB5C70">
            <w:pPr>
              <w:spacing w:line="360" w:lineRule="exact"/>
              <w:rPr>
                <w:rFonts w:ascii="宋体" w:hAnsi="宋体" w:cs="宋体"/>
                <w:bCs/>
                <w:sz w:val="22"/>
              </w:rPr>
            </w:pPr>
          </w:p>
        </w:tc>
        <w:tc>
          <w:tcPr>
            <w:tcW w:w="535" w:type="pct"/>
          </w:tcPr>
          <w:p w14:paraId="6FF78949">
            <w:pPr>
              <w:spacing w:line="360" w:lineRule="exact"/>
              <w:rPr>
                <w:rFonts w:ascii="宋体" w:hAnsi="宋体" w:cs="宋体"/>
                <w:bCs/>
                <w:sz w:val="22"/>
              </w:rPr>
            </w:pPr>
          </w:p>
        </w:tc>
        <w:tc>
          <w:tcPr>
            <w:tcW w:w="513" w:type="pct"/>
          </w:tcPr>
          <w:p w14:paraId="44C201CB">
            <w:pPr>
              <w:spacing w:line="360" w:lineRule="exact"/>
              <w:rPr>
                <w:rFonts w:ascii="宋体" w:hAnsi="宋体" w:cs="宋体"/>
                <w:bCs/>
                <w:sz w:val="22"/>
              </w:rPr>
            </w:pPr>
          </w:p>
        </w:tc>
      </w:tr>
      <w:tr w14:paraId="40A77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53" w:type="pct"/>
            <w:vMerge w:val="continue"/>
          </w:tcPr>
          <w:p w14:paraId="58D80E5D">
            <w:pPr>
              <w:spacing w:line="360" w:lineRule="exact"/>
              <w:rPr>
                <w:rFonts w:ascii="宋体" w:hAnsi="宋体" w:cs="宋体"/>
                <w:bCs/>
                <w:sz w:val="22"/>
              </w:rPr>
            </w:pPr>
          </w:p>
        </w:tc>
        <w:tc>
          <w:tcPr>
            <w:tcW w:w="457" w:type="pct"/>
          </w:tcPr>
          <w:p w14:paraId="00DF83BE">
            <w:pPr>
              <w:spacing w:line="360" w:lineRule="exact"/>
              <w:rPr>
                <w:rFonts w:ascii="宋体" w:hAnsi="宋体" w:cs="宋体"/>
                <w:bCs/>
                <w:sz w:val="22"/>
              </w:rPr>
            </w:pPr>
          </w:p>
        </w:tc>
        <w:tc>
          <w:tcPr>
            <w:tcW w:w="492" w:type="pct"/>
          </w:tcPr>
          <w:p w14:paraId="14A51B95">
            <w:pPr>
              <w:spacing w:line="360" w:lineRule="exact"/>
              <w:rPr>
                <w:rFonts w:ascii="宋体" w:hAnsi="宋体" w:cs="宋体"/>
                <w:bCs/>
                <w:sz w:val="22"/>
              </w:rPr>
            </w:pPr>
          </w:p>
        </w:tc>
        <w:tc>
          <w:tcPr>
            <w:tcW w:w="501" w:type="pct"/>
          </w:tcPr>
          <w:p w14:paraId="396C0F50">
            <w:pPr>
              <w:spacing w:line="360" w:lineRule="exact"/>
              <w:rPr>
                <w:rFonts w:ascii="宋体" w:hAnsi="宋体" w:cs="宋体"/>
                <w:bCs/>
                <w:sz w:val="22"/>
              </w:rPr>
            </w:pPr>
          </w:p>
        </w:tc>
        <w:tc>
          <w:tcPr>
            <w:tcW w:w="491" w:type="pct"/>
          </w:tcPr>
          <w:p w14:paraId="5B65DB65">
            <w:pPr>
              <w:spacing w:line="360" w:lineRule="exact"/>
              <w:rPr>
                <w:rFonts w:ascii="宋体" w:hAnsi="宋体" w:cs="宋体"/>
                <w:bCs/>
                <w:sz w:val="22"/>
              </w:rPr>
            </w:pPr>
          </w:p>
        </w:tc>
        <w:tc>
          <w:tcPr>
            <w:tcW w:w="791" w:type="pct"/>
          </w:tcPr>
          <w:p w14:paraId="202298B1">
            <w:pPr>
              <w:spacing w:line="360" w:lineRule="exact"/>
              <w:rPr>
                <w:rFonts w:ascii="宋体" w:hAnsi="宋体" w:cs="宋体"/>
                <w:bCs/>
                <w:sz w:val="22"/>
              </w:rPr>
            </w:pPr>
          </w:p>
        </w:tc>
        <w:tc>
          <w:tcPr>
            <w:tcW w:w="562" w:type="pct"/>
          </w:tcPr>
          <w:p w14:paraId="0F4CA0BC">
            <w:pPr>
              <w:spacing w:line="360" w:lineRule="exact"/>
              <w:rPr>
                <w:rFonts w:ascii="宋体" w:hAnsi="宋体" w:cs="宋体"/>
                <w:bCs/>
                <w:sz w:val="22"/>
              </w:rPr>
            </w:pPr>
          </w:p>
        </w:tc>
        <w:tc>
          <w:tcPr>
            <w:tcW w:w="535" w:type="pct"/>
          </w:tcPr>
          <w:p w14:paraId="13489EBF">
            <w:pPr>
              <w:spacing w:line="360" w:lineRule="exact"/>
              <w:rPr>
                <w:rFonts w:ascii="宋体" w:hAnsi="宋体" w:cs="宋体"/>
                <w:bCs/>
                <w:sz w:val="22"/>
              </w:rPr>
            </w:pPr>
          </w:p>
        </w:tc>
        <w:tc>
          <w:tcPr>
            <w:tcW w:w="513" w:type="pct"/>
          </w:tcPr>
          <w:p w14:paraId="4F23CD05">
            <w:pPr>
              <w:spacing w:line="360" w:lineRule="exact"/>
              <w:rPr>
                <w:rFonts w:ascii="宋体" w:hAnsi="宋体" w:cs="宋体"/>
                <w:bCs/>
                <w:sz w:val="22"/>
              </w:rPr>
            </w:pPr>
          </w:p>
        </w:tc>
      </w:tr>
      <w:tr w14:paraId="2452B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653" w:type="pct"/>
            <w:vMerge w:val="continue"/>
          </w:tcPr>
          <w:p w14:paraId="520721DE">
            <w:pPr>
              <w:spacing w:line="360" w:lineRule="exact"/>
              <w:rPr>
                <w:rFonts w:ascii="宋体" w:hAnsi="宋体" w:cs="宋体"/>
                <w:bCs/>
                <w:sz w:val="22"/>
              </w:rPr>
            </w:pPr>
          </w:p>
        </w:tc>
        <w:tc>
          <w:tcPr>
            <w:tcW w:w="457" w:type="pct"/>
          </w:tcPr>
          <w:p w14:paraId="7F11B1B9">
            <w:pPr>
              <w:spacing w:line="360" w:lineRule="exact"/>
              <w:rPr>
                <w:rFonts w:ascii="宋体" w:hAnsi="宋体" w:cs="宋体"/>
                <w:bCs/>
                <w:sz w:val="22"/>
              </w:rPr>
            </w:pPr>
          </w:p>
        </w:tc>
        <w:tc>
          <w:tcPr>
            <w:tcW w:w="492" w:type="pct"/>
          </w:tcPr>
          <w:p w14:paraId="4C65B076">
            <w:pPr>
              <w:spacing w:line="360" w:lineRule="exact"/>
              <w:rPr>
                <w:rFonts w:ascii="宋体" w:hAnsi="宋体" w:cs="宋体"/>
                <w:bCs/>
                <w:sz w:val="22"/>
              </w:rPr>
            </w:pPr>
          </w:p>
        </w:tc>
        <w:tc>
          <w:tcPr>
            <w:tcW w:w="501" w:type="pct"/>
          </w:tcPr>
          <w:p w14:paraId="5D7FD30A">
            <w:pPr>
              <w:spacing w:line="360" w:lineRule="exact"/>
              <w:rPr>
                <w:rFonts w:ascii="宋体" w:hAnsi="宋体" w:cs="宋体"/>
                <w:bCs/>
                <w:sz w:val="22"/>
              </w:rPr>
            </w:pPr>
          </w:p>
        </w:tc>
        <w:tc>
          <w:tcPr>
            <w:tcW w:w="491" w:type="pct"/>
          </w:tcPr>
          <w:p w14:paraId="66BDCEFC">
            <w:pPr>
              <w:spacing w:line="360" w:lineRule="exact"/>
              <w:rPr>
                <w:rFonts w:ascii="宋体" w:hAnsi="宋体" w:cs="宋体"/>
                <w:bCs/>
                <w:sz w:val="22"/>
              </w:rPr>
            </w:pPr>
          </w:p>
        </w:tc>
        <w:tc>
          <w:tcPr>
            <w:tcW w:w="791" w:type="pct"/>
          </w:tcPr>
          <w:p w14:paraId="3E3A021E">
            <w:pPr>
              <w:spacing w:line="360" w:lineRule="exact"/>
              <w:rPr>
                <w:rFonts w:ascii="宋体" w:hAnsi="宋体" w:cs="宋体"/>
                <w:bCs/>
                <w:sz w:val="22"/>
              </w:rPr>
            </w:pPr>
          </w:p>
        </w:tc>
        <w:tc>
          <w:tcPr>
            <w:tcW w:w="562" w:type="pct"/>
          </w:tcPr>
          <w:p w14:paraId="6443FD05">
            <w:pPr>
              <w:spacing w:line="360" w:lineRule="exact"/>
              <w:rPr>
                <w:rFonts w:ascii="宋体" w:hAnsi="宋体" w:cs="宋体"/>
                <w:bCs/>
                <w:sz w:val="22"/>
              </w:rPr>
            </w:pPr>
          </w:p>
        </w:tc>
        <w:tc>
          <w:tcPr>
            <w:tcW w:w="535" w:type="pct"/>
          </w:tcPr>
          <w:p w14:paraId="12FBC1AF">
            <w:pPr>
              <w:spacing w:line="360" w:lineRule="exact"/>
              <w:rPr>
                <w:rFonts w:ascii="宋体" w:hAnsi="宋体" w:cs="宋体"/>
                <w:bCs/>
                <w:sz w:val="22"/>
              </w:rPr>
            </w:pPr>
          </w:p>
        </w:tc>
        <w:tc>
          <w:tcPr>
            <w:tcW w:w="513" w:type="pct"/>
          </w:tcPr>
          <w:p w14:paraId="2D335C49">
            <w:pPr>
              <w:spacing w:line="360" w:lineRule="exact"/>
              <w:rPr>
                <w:rFonts w:ascii="宋体" w:hAnsi="宋体" w:cs="宋体"/>
                <w:bCs/>
                <w:sz w:val="22"/>
              </w:rPr>
            </w:pPr>
          </w:p>
        </w:tc>
      </w:tr>
    </w:tbl>
    <w:p w14:paraId="69DDD346">
      <w:pPr>
        <w:spacing w:line="360" w:lineRule="auto"/>
        <w:ind w:right="105" w:rightChars="50"/>
        <w:rPr>
          <w:rFonts w:ascii="宋体" w:hAnsi="宋体" w:cs="宋体"/>
          <w:kern w:val="0"/>
          <w:sz w:val="22"/>
          <w:szCs w:val="22"/>
        </w:rPr>
      </w:pPr>
      <w:r>
        <w:rPr>
          <w:rFonts w:hint="eastAsia" w:ascii="宋体" w:hAnsi="宋体" w:cs="宋体"/>
          <w:kern w:val="0"/>
          <w:sz w:val="22"/>
          <w:szCs w:val="22"/>
        </w:rPr>
        <w:t xml:space="preserve"> </w:t>
      </w:r>
    </w:p>
    <w:p w14:paraId="65F6B867">
      <w:pPr>
        <w:spacing w:line="360" w:lineRule="auto"/>
        <w:ind w:right="105" w:rightChars="50" w:firstLine="327" w:firstLineChars="149"/>
        <w:rPr>
          <w:rFonts w:ascii="宋体" w:hAnsi="宋体" w:cs="宋体"/>
          <w:sz w:val="22"/>
          <w:szCs w:val="22"/>
        </w:rPr>
      </w:pPr>
      <w:r>
        <w:rPr>
          <w:rFonts w:hint="eastAsia" w:ascii="宋体" w:hAnsi="宋体" w:cs="宋体"/>
          <w:sz w:val="22"/>
          <w:szCs w:val="22"/>
        </w:rPr>
        <w:t>注：本表可根据实际情况自行调整。</w:t>
      </w:r>
    </w:p>
    <w:p w14:paraId="40DCA223">
      <w:pPr>
        <w:spacing w:line="360" w:lineRule="auto"/>
        <w:ind w:left="420" w:leftChars="200"/>
        <w:rPr>
          <w:rFonts w:ascii="宋体" w:hAnsi="宋体" w:cs="宋体"/>
          <w:sz w:val="22"/>
          <w:szCs w:val="22"/>
        </w:rPr>
      </w:pPr>
      <w:r>
        <w:rPr>
          <w:rFonts w:hint="eastAsia" w:ascii="宋体" w:hAnsi="宋体" w:cs="宋体"/>
          <w:sz w:val="22"/>
          <w:szCs w:val="22"/>
        </w:rPr>
        <w:t xml:space="preserve">             </w:t>
      </w:r>
    </w:p>
    <w:p w14:paraId="562CF634">
      <w:pPr>
        <w:spacing w:line="360" w:lineRule="auto"/>
        <w:ind w:left="420" w:leftChars="200"/>
        <w:rPr>
          <w:rFonts w:ascii="宋体" w:hAnsi="宋体" w:cs="宋体"/>
          <w:sz w:val="22"/>
          <w:szCs w:val="22"/>
        </w:rPr>
      </w:pPr>
      <w:r>
        <w:rPr>
          <w:rFonts w:hint="eastAsia" w:ascii="宋体" w:hAnsi="宋体" w:cs="宋体"/>
          <w:sz w:val="22"/>
          <w:szCs w:val="22"/>
        </w:rPr>
        <w:t xml:space="preserve">投标人名称（盖章）：                        </w:t>
      </w:r>
    </w:p>
    <w:p w14:paraId="421BF88A">
      <w:pPr>
        <w:spacing w:line="360" w:lineRule="auto"/>
        <w:ind w:left="420" w:leftChars="200"/>
        <w:rPr>
          <w:rFonts w:ascii="宋体" w:hAnsi="宋体" w:cs="宋体"/>
          <w:sz w:val="22"/>
          <w:szCs w:val="22"/>
        </w:rPr>
      </w:pPr>
      <w:r>
        <w:rPr>
          <w:rFonts w:hint="eastAsia" w:ascii="宋体" w:hAnsi="宋体" w:cs="宋体"/>
          <w:sz w:val="22"/>
          <w:szCs w:val="22"/>
        </w:rPr>
        <w:t>日期：   年   月   日</w:t>
      </w:r>
    </w:p>
    <w:p w14:paraId="2697B107">
      <w:pPr>
        <w:adjustRightInd w:val="0"/>
        <w:snapToGrid w:val="0"/>
        <w:spacing w:line="360" w:lineRule="exact"/>
        <w:jc w:val="center"/>
        <w:rPr>
          <w:rFonts w:ascii="宋体" w:hAnsi="宋体" w:cs="宋体"/>
          <w:b/>
          <w:bCs/>
          <w:sz w:val="32"/>
          <w:szCs w:val="32"/>
        </w:rPr>
      </w:pPr>
    </w:p>
    <w:p w14:paraId="17E3E699">
      <w:pPr>
        <w:adjustRightInd w:val="0"/>
        <w:snapToGrid w:val="0"/>
        <w:spacing w:line="360" w:lineRule="exact"/>
        <w:jc w:val="center"/>
        <w:rPr>
          <w:rFonts w:ascii="宋体" w:hAnsi="宋体" w:cs="宋体"/>
          <w:b/>
          <w:bCs/>
          <w:sz w:val="32"/>
          <w:szCs w:val="32"/>
        </w:rPr>
      </w:pPr>
      <w:r>
        <w:rPr>
          <w:rFonts w:hint="eastAsia" w:ascii="宋体" w:hAnsi="宋体" w:cs="宋体"/>
          <w:b/>
          <w:bCs/>
          <w:sz w:val="32"/>
          <w:szCs w:val="32"/>
        </w:rPr>
        <w:br w:type="page"/>
      </w:r>
    </w:p>
    <w:p w14:paraId="021136FF">
      <w:pPr>
        <w:numPr>
          <w:ilvl w:val="0"/>
          <w:numId w:val="5"/>
        </w:numPr>
        <w:ind w:left="420" w:firstLine="0"/>
        <w:jc w:val="center"/>
        <w:outlineLvl w:val="2"/>
        <w:rPr>
          <w:rFonts w:ascii="宋体" w:hAnsi="宋体" w:cs="宋体"/>
          <w:b/>
          <w:bCs/>
          <w:sz w:val="32"/>
        </w:rPr>
      </w:pPr>
      <w:r>
        <w:rPr>
          <w:rFonts w:hint="eastAsia" w:ascii="宋体" w:hAnsi="宋体" w:cs="宋体"/>
          <w:b/>
          <w:bCs/>
          <w:sz w:val="32"/>
        </w:rPr>
        <w:t>项目具体方案（格式自拟）</w:t>
      </w:r>
    </w:p>
    <w:p w14:paraId="46AE58D4">
      <w:pPr>
        <w:numPr>
          <w:ilvl w:val="0"/>
          <w:numId w:val="5"/>
        </w:numPr>
        <w:ind w:left="420" w:firstLine="0"/>
        <w:jc w:val="center"/>
        <w:outlineLvl w:val="2"/>
        <w:rPr>
          <w:rFonts w:ascii="宋体" w:hAnsi="宋体" w:cs="宋体"/>
          <w:b/>
          <w:bCs/>
          <w:sz w:val="32"/>
        </w:rPr>
      </w:pPr>
      <w:r>
        <w:rPr>
          <w:rFonts w:hint="eastAsia" w:ascii="宋体" w:hAnsi="宋体" w:cs="宋体"/>
          <w:bCs/>
          <w:sz w:val="22"/>
        </w:rPr>
        <w:br w:type="page"/>
      </w:r>
      <w:r>
        <w:rPr>
          <w:rFonts w:hint="eastAsia" w:ascii="宋体" w:hAnsi="宋体" w:cs="宋体"/>
          <w:b/>
          <w:bCs/>
          <w:sz w:val="32"/>
        </w:rPr>
        <w:t>商务条款偏离表</w:t>
      </w:r>
    </w:p>
    <w:p w14:paraId="5D2E6CDC">
      <w:pPr>
        <w:spacing w:line="360" w:lineRule="exact"/>
        <w:rPr>
          <w:rFonts w:ascii="宋体" w:hAnsi="宋体" w:cs="宋体"/>
          <w:bCs/>
          <w:sz w:val="22"/>
          <w:szCs w:val="22"/>
        </w:rPr>
      </w:pPr>
      <w:r>
        <w:rPr>
          <w:rFonts w:hint="eastAsia" w:ascii="宋体" w:hAnsi="宋体" w:cs="宋体"/>
          <w:bCs/>
          <w:sz w:val="22"/>
          <w:szCs w:val="22"/>
        </w:rPr>
        <w:t xml:space="preserve">    </w:t>
      </w:r>
    </w:p>
    <w:tbl>
      <w:tblPr>
        <w:tblStyle w:val="29"/>
        <w:tblW w:w="50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1"/>
        <w:gridCol w:w="2427"/>
        <w:gridCol w:w="2845"/>
        <w:gridCol w:w="1238"/>
        <w:gridCol w:w="1177"/>
      </w:tblGrid>
      <w:tr w14:paraId="06C13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576" w:type="pct"/>
            <w:tcBorders>
              <w:top w:val="single" w:color="auto" w:sz="4" w:space="0"/>
              <w:left w:val="single" w:color="auto" w:sz="4" w:space="0"/>
              <w:bottom w:val="single" w:color="auto" w:sz="4" w:space="0"/>
              <w:right w:val="single" w:color="auto" w:sz="4" w:space="0"/>
            </w:tcBorders>
            <w:shd w:val="clear" w:color="auto" w:fill="BDD6EE" w:themeFill="accent1" w:themeFillTint="66"/>
            <w:vAlign w:val="center"/>
          </w:tcPr>
          <w:p w14:paraId="29EB6337">
            <w:pPr>
              <w:jc w:val="center"/>
              <w:rPr>
                <w:rFonts w:ascii="Times New Roman" w:hAnsi="Times New Roman"/>
                <w:b/>
                <w:bCs/>
                <w:sz w:val="22"/>
                <w:szCs w:val="22"/>
              </w:rPr>
            </w:pPr>
            <w:r>
              <w:rPr>
                <w:rFonts w:ascii="Times New Roman" w:hAnsi="Times New Roman"/>
                <w:b/>
                <w:bCs/>
                <w:sz w:val="22"/>
                <w:szCs w:val="22"/>
              </w:rPr>
              <w:t>序号</w:t>
            </w:r>
          </w:p>
        </w:tc>
        <w:tc>
          <w:tcPr>
            <w:tcW w:w="1396" w:type="pct"/>
            <w:tcBorders>
              <w:top w:val="single" w:color="auto" w:sz="4" w:space="0"/>
              <w:left w:val="nil"/>
              <w:bottom w:val="single" w:color="auto" w:sz="4" w:space="0"/>
              <w:right w:val="single" w:color="auto" w:sz="4" w:space="0"/>
            </w:tcBorders>
            <w:shd w:val="clear" w:color="auto" w:fill="BDD6EE" w:themeFill="accent1" w:themeFillTint="66"/>
            <w:vAlign w:val="center"/>
          </w:tcPr>
          <w:p w14:paraId="163EDB36">
            <w:pPr>
              <w:jc w:val="center"/>
              <w:rPr>
                <w:rFonts w:ascii="Times New Roman" w:hAnsi="Times New Roman"/>
                <w:b/>
                <w:bCs/>
                <w:sz w:val="22"/>
                <w:szCs w:val="22"/>
              </w:rPr>
            </w:pPr>
            <w:r>
              <w:rPr>
                <w:rFonts w:ascii="Times New Roman" w:hAnsi="Times New Roman"/>
                <w:b/>
                <w:bCs/>
                <w:sz w:val="22"/>
                <w:szCs w:val="22"/>
              </w:rPr>
              <w:t>招标文件商务要求</w:t>
            </w:r>
          </w:p>
        </w:tc>
        <w:tc>
          <w:tcPr>
            <w:tcW w:w="1637" w:type="pct"/>
            <w:tcBorders>
              <w:top w:val="single" w:color="auto" w:sz="4" w:space="0"/>
              <w:left w:val="nil"/>
              <w:bottom w:val="single" w:color="auto" w:sz="4" w:space="0"/>
              <w:right w:val="single" w:color="auto" w:sz="4" w:space="0"/>
            </w:tcBorders>
            <w:shd w:val="clear" w:color="auto" w:fill="BDD6EE" w:themeFill="accent1" w:themeFillTint="66"/>
            <w:vAlign w:val="center"/>
          </w:tcPr>
          <w:p w14:paraId="35C62EC8">
            <w:pPr>
              <w:jc w:val="center"/>
              <w:rPr>
                <w:rFonts w:ascii="Times New Roman" w:hAnsi="Times New Roman"/>
                <w:b/>
                <w:bCs/>
                <w:sz w:val="22"/>
                <w:szCs w:val="22"/>
              </w:rPr>
            </w:pPr>
            <w:r>
              <w:rPr>
                <w:rFonts w:ascii="Times New Roman" w:hAnsi="Times New Roman"/>
                <w:b/>
                <w:bCs/>
                <w:sz w:val="22"/>
                <w:szCs w:val="22"/>
              </w:rPr>
              <w:t>投标文件商务响应</w:t>
            </w:r>
          </w:p>
        </w:tc>
        <w:tc>
          <w:tcPr>
            <w:tcW w:w="712" w:type="pct"/>
            <w:tcBorders>
              <w:top w:val="single" w:color="auto" w:sz="4" w:space="0"/>
              <w:left w:val="nil"/>
              <w:bottom w:val="single" w:color="auto" w:sz="4" w:space="0"/>
              <w:right w:val="single" w:color="auto" w:sz="4" w:space="0"/>
            </w:tcBorders>
            <w:shd w:val="clear" w:color="auto" w:fill="BDD6EE" w:themeFill="accent1" w:themeFillTint="66"/>
            <w:vAlign w:val="center"/>
          </w:tcPr>
          <w:p w14:paraId="5917EEC2">
            <w:pPr>
              <w:jc w:val="center"/>
              <w:rPr>
                <w:rFonts w:ascii="Times New Roman" w:hAnsi="Times New Roman"/>
                <w:b/>
                <w:bCs/>
                <w:sz w:val="22"/>
                <w:szCs w:val="22"/>
              </w:rPr>
            </w:pPr>
            <w:r>
              <w:rPr>
                <w:rFonts w:ascii="Times New Roman" w:hAnsi="Times New Roman"/>
                <w:b/>
                <w:bCs/>
                <w:sz w:val="22"/>
                <w:szCs w:val="22"/>
              </w:rPr>
              <w:t>偏离情况</w:t>
            </w:r>
          </w:p>
        </w:tc>
        <w:tc>
          <w:tcPr>
            <w:tcW w:w="677" w:type="pct"/>
            <w:tcBorders>
              <w:top w:val="single" w:color="auto" w:sz="4" w:space="0"/>
              <w:left w:val="nil"/>
              <w:bottom w:val="single" w:color="auto" w:sz="4" w:space="0"/>
              <w:right w:val="single" w:color="auto" w:sz="4" w:space="0"/>
            </w:tcBorders>
            <w:shd w:val="clear" w:color="auto" w:fill="BDD6EE" w:themeFill="accent1" w:themeFillTint="66"/>
            <w:vAlign w:val="center"/>
          </w:tcPr>
          <w:p w14:paraId="25DA9D55">
            <w:pPr>
              <w:jc w:val="center"/>
              <w:rPr>
                <w:rFonts w:ascii="Times New Roman" w:hAnsi="Times New Roman"/>
                <w:b/>
                <w:bCs/>
                <w:sz w:val="22"/>
                <w:szCs w:val="22"/>
              </w:rPr>
            </w:pPr>
            <w:r>
              <w:rPr>
                <w:rFonts w:ascii="Times New Roman" w:hAnsi="Times New Roman"/>
                <w:b/>
                <w:bCs/>
                <w:sz w:val="22"/>
                <w:szCs w:val="22"/>
              </w:rPr>
              <w:t>说明</w:t>
            </w:r>
          </w:p>
        </w:tc>
      </w:tr>
      <w:tr w14:paraId="0F59D8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576" w:type="pct"/>
            <w:tcBorders>
              <w:top w:val="single" w:color="auto" w:sz="4" w:space="0"/>
              <w:left w:val="single" w:color="auto" w:sz="4" w:space="0"/>
              <w:bottom w:val="single" w:color="auto" w:sz="4" w:space="0"/>
              <w:right w:val="single" w:color="auto" w:sz="4" w:space="0"/>
            </w:tcBorders>
          </w:tcPr>
          <w:p w14:paraId="5E9F9942">
            <w:pPr>
              <w:jc w:val="center"/>
              <w:rPr>
                <w:rFonts w:ascii="Times New Roman" w:hAnsi="Times New Roman"/>
                <w:sz w:val="22"/>
                <w:szCs w:val="22"/>
              </w:rPr>
            </w:pPr>
            <w:r>
              <w:rPr>
                <w:rFonts w:ascii="Times New Roman" w:hAnsi="Times New Roman"/>
                <w:sz w:val="22"/>
                <w:szCs w:val="22"/>
              </w:rPr>
              <w:t>1</w:t>
            </w:r>
          </w:p>
        </w:tc>
        <w:tc>
          <w:tcPr>
            <w:tcW w:w="1396" w:type="pct"/>
            <w:tcBorders>
              <w:top w:val="single" w:color="auto" w:sz="4" w:space="0"/>
              <w:left w:val="nil"/>
              <w:bottom w:val="single" w:color="auto" w:sz="4" w:space="0"/>
              <w:right w:val="single" w:color="auto" w:sz="4" w:space="0"/>
            </w:tcBorders>
          </w:tcPr>
          <w:p w14:paraId="4DF2A60D">
            <w:pPr>
              <w:rPr>
                <w:rFonts w:ascii="Times New Roman" w:hAnsi="Times New Roman"/>
                <w:sz w:val="22"/>
                <w:szCs w:val="22"/>
              </w:rPr>
            </w:pPr>
          </w:p>
        </w:tc>
        <w:tc>
          <w:tcPr>
            <w:tcW w:w="1637" w:type="pct"/>
            <w:tcBorders>
              <w:top w:val="single" w:color="auto" w:sz="4" w:space="0"/>
              <w:left w:val="nil"/>
              <w:bottom w:val="single" w:color="auto" w:sz="4" w:space="0"/>
              <w:right w:val="single" w:color="auto" w:sz="4" w:space="0"/>
            </w:tcBorders>
          </w:tcPr>
          <w:p w14:paraId="1F9CD18E">
            <w:pPr>
              <w:rPr>
                <w:rFonts w:ascii="Times New Roman" w:hAnsi="Times New Roman"/>
                <w:sz w:val="22"/>
                <w:szCs w:val="22"/>
              </w:rPr>
            </w:pPr>
          </w:p>
        </w:tc>
        <w:tc>
          <w:tcPr>
            <w:tcW w:w="712" w:type="pct"/>
            <w:tcBorders>
              <w:top w:val="single" w:color="auto" w:sz="4" w:space="0"/>
              <w:left w:val="nil"/>
              <w:bottom w:val="single" w:color="auto" w:sz="4" w:space="0"/>
              <w:right w:val="single" w:color="auto" w:sz="4" w:space="0"/>
            </w:tcBorders>
          </w:tcPr>
          <w:p w14:paraId="264AC0E7">
            <w:pPr>
              <w:rPr>
                <w:rFonts w:ascii="Times New Roman" w:hAnsi="Times New Roman"/>
                <w:sz w:val="22"/>
                <w:szCs w:val="22"/>
              </w:rPr>
            </w:pPr>
          </w:p>
        </w:tc>
        <w:tc>
          <w:tcPr>
            <w:tcW w:w="677" w:type="pct"/>
            <w:tcBorders>
              <w:top w:val="single" w:color="auto" w:sz="4" w:space="0"/>
              <w:left w:val="nil"/>
              <w:bottom w:val="single" w:color="auto" w:sz="4" w:space="0"/>
              <w:right w:val="single" w:color="auto" w:sz="4" w:space="0"/>
            </w:tcBorders>
          </w:tcPr>
          <w:p w14:paraId="2F3AD0BE">
            <w:pPr>
              <w:rPr>
                <w:rFonts w:ascii="Times New Roman" w:hAnsi="Times New Roman"/>
                <w:sz w:val="22"/>
                <w:szCs w:val="22"/>
              </w:rPr>
            </w:pPr>
          </w:p>
        </w:tc>
      </w:tr>
      <w:tr w14:paraId="3E29F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576" w:type="pct"/>
            <w:tcBorders>
              <w:top w:val="single" w:color="auto" w:sz="4" w:space="0"/>
              <w:left w:val="single" w:color="auto" w:sz="4" w:space="0"/>
              <w:bottom w:val="single" w:color="auto" w:sz="4" w:space="0"/>
              <w:right w:val="single" w:color="auto" w:sz="4" w:space="0"/>
            </w:tcBorders>
          </w:tcPr>
          <w:p w14:paraId="002C1776">
            <w:pPr>
              <w:jc w:val="center"/>
              <w:rPr>
                <w:rFonts w:ascii="Times New Roman" w:hAnsi="Times New Roman"/>
                <w:sz w:val="22"/>
                <w:szCs w:val="22"/>
              </w:rPr>
            </w:pPr>
            <w:r>
              <w:rPr>
                <w:rFonts w:ascii="Times New Roman" w:hAnsi="Times New Roman"/>
                <w:sz w:val="22"/>
                <w:szCs w:val="22"/>
              </w:rPr>
              <w:t>2</w:t>
            </w:r>
          </w:p>
        </w:tc>
        <w:tc>
          <w:tcPr>
            <w:tcW w:w="1396" w:type="pct"/>
            <w:tcBorders>
              <w:top w:val="single" w:color="auto" w:sz="4" w:space="0"/>
              <w:left w:val="nil"/>
              <w:bottom w:val="single" w:color="auto" w:sz="4" w:space="0"/>
              <w:right w:val="single" w:color="auto" w:sz="4" w:space="0"/>
            </w:tcBorders>
          </w:tcPr>
          <w:p w14:paraId="077A5487">
            <w:pPr>
              <w:rPr>
                <w:rFonts w:ascii="Times New Roman" w:hAnsi="Times New Roman"/>
                <w:sz w:val="22"/>
                <w:szCs w:val="22"/>
              </w:rPr>
            </w:pPr>
          </w:p>
        </w:tc>
        <w:tc>
          <w:tcPr>
            <w:tcW w:w="1637" w:type="pct"/>
            <w:tcBorders>
              <w:top w:val="single" w:color="auto" w:sz="4" w:space="0"/>
              <w:left w:val="nil"/>
              <w:bottom w:val="single" w:color="auto" w:sz="4" w:space="0"/>
              <w:right w:val="single" w:color="auto" w:sz="4" w:space="0"/>
            </w:tcBorders>
          </w:tcPr>
          <w:p w14:paraId="5104D38B">
            <w:pPr>
              <w:rPr>
                <w:rFonts w:ascii="Times New Roman" w:hAnsi="Times New Roman"/>
                <w:sz w:val="22"/>
                <w:szCs w:val="22"/>
              </w:rPr>
            </w:pPr>
          </w:p>
        </w:tc>
        <w:tc>
          <w:tcPr>
            <w:tcW w:w="712" w:type="pct"/>
            <w:tcBorders>
              <w:top w:val="single" w:color="auto" w:sz="4" w:space="0"/>
              <w:left w:val="nil"/>
              <w:bottom w:val="single" w:color="auto" w:sz="4" w:space="0"/>
              <w:right w:val="single" w:color="auto" w:sz="4" w:space="0"/>
            </w:tcBorders>
          </w:tcPr>
          <w:p w14:paraId="550B9600">
            <w:pPr>
              <w:rPr>
                <w:rFonts w:ascii="Times New Roman" w:hAnsi="Times New Roman"/>
                <w:sz w:val="22"/>
                <w:szCs w:val="22"/>
              </w:rPr>
            </w:pPr>
          </w:p>
        </w:tc>
        <w:tc>
          <w:tcPr>
            <w:tcW w:w="677" w:type="pct"/>
            <w:tcBorders>
              <w:top w:val="single" w:color="auto" w:sz="4" w:space="0"/>
              <w:left w:val="nil"/>
              <w:bottom w:val="single" w:color="auto" w:sz="4" w:space="0"/>
              <w:right w:val="single" w:color="auto" w:sz="4" w:space="0"/>
            </w:tcBorders>
          </w:tcPr>
          <w:p w14:paraId="4295F442">
            <w:pPr>
              <w:rPr>
                <w:rFonts w:ascii="Times New Roman" w:hAnsi="Times New Roman"/>
                <w:sz w:val="22"/>
                <w:szCs w:val="22"/>
              </w:rPr>
            </w:pPr>
          </w:p>
        </w:tc>
      </w:tr>
      <w:tr w14:paraId="531C3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576" w:type="pct"/>
            <w:tcBorders>
              <w:top w:val="single" w:color="auto" w:sz="4" w:space="0"/>
              <w:left w:val="single" w:color="auto" w:sz="4" w:space="0"/>
              <w:bottom w:val="single" w:color="auto" w:sz="4" w:space="0"/>
              <w:right w:val="single" w:color="auto" w:sz="4" w:space="0"/>
            </w:tcBorders>
          </w:tcPr>
          <w:p w14:paraId="475E420F">
            <w:pPr>
              <w:jc w:val="center"/>
              <w:rPr>
                <w:rFonts w:ascii="Times New Roman" w:hAnsi="Times New Roman"/>
                <w:sz w:val="22"/>
                <w:szCs w:val="22"/>
              </w:rPr>
            </w:pPr>
            <w:r>
              <w:rPr>
                <w:rFonts w:ascii="Times New Roman" w:hAnsi="Times New Roman"/>
                <w:sz w:val="22"/>
                <w:szCs w:val="22"/>
              </w:rPr>
              <w:t>3</w:t>
            </w:r>
          </w:p>
        </w:tc>
        <w:tc>
          <w:tcPr>
            <w:tcW w:w="1396" w:type="pct"/>
            <w:tcBorders>
              <w:top w:val="single" w:color="auto" w:sz="4" w:space="0"/>
              <w:left w:val="nil"/>
              <w:bottom w:val="single" w:color="auto" w:sz="4" w:space="0"/>
              <w:right w:val="single" w:color="auto" w:sz="4" w:space="0"/>
            </w:tcBorders>
          </w:tcPr>
          <w:p w14:paraId="38ADA84F">
            <w:pPr>
              <w:rPr>
                <w:rFonts w:ascii="Times New Roman" w:hAnsi="Times New Roman"/>
                <w:sz w:val="22"/>
                <w:szCs w:val="22"/>
              </w:rPr>
            </w:pPr>
          </w:p>
        </w:tc>
        <w:tc>
          <w:tcPr>
            <w:tcW w:w="1637" w:type="pct"/>
            <w:tcBorders>
              <w:top w:val="single" w:color="auto" w:sz="4" w:space="0"/>
              <w:left w:val="nil"/>
              <w:bottom w:val="single" w:color="auto" w:sz="4" w:space="0"/>
              <w:right w:val="single" w:color="auto" w:sz="4" w:space="0"/>
            </w:tcBorders>
          </w:tcPr>
          <w:p w14:paraId="1FA1C66F">
            <w:pPr>
              <w:rPr>
                <w:rFonts w:ascii="Times New Roman" w:hAnsi="Times New Roman"/>
                <w:sz w:val="22"/>
                <w:szCs w:val="22"/>
              </w:rPr>
            </w:pPr>
          </w:p>
        </w:tc>
        <w:tc>
          <w:tcPr>
            <w:tcW w:w="712" w:type="pct"/>
            <w:tcBorders>
              <w:top w:val="single" w:color="auto" w:sz="4" w:space="0"/>
              <w:left w:val="nil"/>
              <w:bottom w:val="single" w:color="auto" w:sz="4" w:space="0"/>
              <w:right w:val="single" w:color="auto" w:sz="4" w:space="0"/>
            </w:tcBorders>
          </w:tcPr>
          <w:p w14:paraId="7ACCA76E">
            <w:pPr>
              <w:rPr>
                <w:rFonts w:ascii="Times New Roman" w:hAnsi="Times New Roman"/>
                <w:sz w:val="22"/>
                <w:szCs w:val="22"/>
              </w:rPr>
            </w:pPr>
          </w:p>
        </w:tc>
        <w:tc>
          <w:tcPr>
            <w:tcW w:w="677" w:type="pct"/>
            <w:tcBorders>
              <w:top w:val="single" w:color="auto" w:sz="4" w:space="0"/>
              <w:left w:val="nil"/>
              <w:bottom w:val="single" w:color="auto" w:sz="4" w:space="0"/>
              <w:right w:val="single" w:color="auto" w:sz="4" w:space="0"/>
            </w:tcBorders>
          </w:tcPr>
          <w:p w14:paraId="62F45AEF">
            <w:pPr>
              <w:rPr>
                <w:rFonts w:ascii="Times New Roman" w:hAnsi="Times New Roman"/>
                <w:sz w:val="22"/>
                <w:szCs w:val="22"/>
              </w:rPr>
            </w:pPr>
          </w:p>
        </w:tc>
      </w:tr>
      <w:tr w14:paraId="42B35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576" w:type="pct"/>
            <w:tcBorders>
              <w:top w:val="single" w:color="auto" w:sz="4" w:space="0"/>
              <w:left w:val="single" w:color="auto" w:sz="4" w:space="0"/>
              <w:bottom w:val="single" w:color="auto" w:sz="4" w:space="0"/>
              <w:right w:val="single" w:color="auto" w:sz="4" w:space="0"/>
            </w:tcBorders>
          </w:tcPr>
          <w:p w14:paraId="17CE5367">
            <w:pPr>
              <w:jc w:val="center"/>
              <w:rPr>
                <w:rFonts w:ascii="Times New Roman" w:hAnsi="Times New Roman"/>
                <w:sz w:val="22"/>
                <w:szCs w:val="22"/>
              </w:rPr>
            </w:pPr>
            <w:r>
              <w:rPr>
                <w:rFonts w:ascii="Times New Roman" w:hAnsi="Times New Roman"/>
                <w:sz w:val="22"/>
                <w:szCs w:val="22"/>
              </w:rPr>
              <w:t>4</w:t>
            </w:r>
          </w:p>
        </w:tc>
        <w:tc>
          <w:tcPr>
            <w:tcW w:w="1396" w:type="pct"/>
            <w:tcBorders>
              <w:top w:val="single" w:color="auto" w:sz="4" w:space="0"/>
              <w:left w:val="nil"/>
              <w:bottom w:val="single" w:color="auto" w:sz="4" w:space="0"/>
              <w:right w:val="single" w:color="auto" w:sz="4" w:space="0"/>
            </w:tcBorders>
          </w:tcPr>
          <w:p w14:paraId="6BB8D09E">
            <w:pPr>
              <w:rPr>
                <w:rFonts w:ascii="Times New Roman" w:hAnsi="Times New Roman"/>
                <w:sz w:val="22"/>
                <w:szCs w:val="22"/>
              </w:rPr>
            </w:pPr>
          </w:p>
        </w:tc>
        <w:tc>
          <w:tcPr>
            <w:tcW w:w="1637" w:type="pct"/>
            <w:tcBorders>
              <w:top w:val="single" w:color="auto" w:sz="4" w:space="0"/>
              <w:left w:val="nil"/>
              <w:bottom w:val="single" w:color="auto" w:sz="4" w:space="0"/>
              <w:right w:val="single" w:color="auto" w:sz="4" w:space="0"/>
            </w:tcBorders>
          </w:tcPr>
          <w:p w14:paraId="441CE9AF">
            <w:pPr>
              <w:rPr>
                <w:rFonts w:ascii="Times New Roman" w:hAnsi="Times New Roman"/>
                <w:sz w:val="22"/>
                <w:szCs w:val="22"/>
              </w:rPr>
            </w:pPr>
          </w:p>
        </w:tc>
        <w:tc>
          <w:tcPr>
            <w:tcW w:w="712" w:type="pct"/>
            <w:tcBorders>
              <w:top w:val="single" w:color="auto" w:sz="4" w:space="0"/>
              <w:left w:val="nil"/>
              <w:bottom w:val="single" w:color="auto" w:sz="4" w:space="0"/>
              <w:right w:val="single" w:color="auto" w:sz="4" w:space="0"/>
            </w:tcBorders>
          </w:tcPr>
          <w:p w14:paraId="0839B916">
            <w:pPr>
              <w:rPr>
                <w:rFonts w:ascii="Times New Roman" w:hAnsi="Times New Roman"/>
                <w:sz w:val="22"/>
                <w:szCs w:val="22"/>
              </w:rPr>
            </w:pPr>
          </w:p>
        </w:tc>
        <w:tc>
          <w:tcPr>
            <w:tcW w:w="677" w:type="pct"/>
            <w:tcBorders>
              <w:top w:val="single" w:color="auto" w:sz="4" w:space="0"/>
              <w:left w:val="nil"/>
              <w:bottom w:val="single" w:color="auto" w:sz="4" w:space="0"/>
              <w:right w:val="single" w:color="auto" w:sz="4" w:space="0"/>
            </w:tcBorders>
          </w:tcPr>
          <w:p w14:paraId="33FA2EF2">
            <w:pPr>
              <w:rPr>
                <w:rFonts w:ascii="Times New Roman" w:hAnsi="Times New Roman"/>
                <w:sz w:val="22"/>
                <w:szCs w:val="22"/>
              </w:rPr>
            </w:pPr>
          </w:p>
        </w:tc>
      </w:tr>
      <w:tr w14:paraId="61CD0B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576" w:type="pct"/>
            <w:tcBorders>
              <w:top w:val="single" w:color="auto" w:sz="4" w:space="0"/>
              <w:left w:val="single" w:color="auto" w:sz="4" w:space="0"/>
              <w:bottom w:val="single" w:color="auto" w:sz="4" w:space="0"/>
              <w:right w:val="single" w:color="auto" w:sz="4" w:space="0"/>
            </w:tcBorders>
          </w:tcPr>
          <w:p w14:paraId="55840425">
            <w:pPr>
              <w:jc w:val="center"/>
              <w:rPr>
                <w:rFonts w:ascii="Times New Roman" w:hAnsi="Times New Roman"/>
                <w:sz w:val="22"/>
                <w:szCs w:val="22"/>
              </w:rPr>
            </w:pPr>
            <w:r>
              <w:rPr>
                <w:rFonts w:hint="eastAsia" w:ascii="Times New Roman" w:hAnsi="Times New Roman"/>
                <w:sz w:val="22"/>
                <w:szCs w:val="22"/>
              </w:rPr>
              <w:t>...</w:t>
            </w:r>
          </w:p>
        </w:tc>
        <w:tc>
          <w:tcPr>
            <w:tcW w:w="1396" w:type="pct"/>
            <w:tcBorders>
              <w:top w:val="single" w:color="auto" w:sz="4" w:space="0"/>
              <w:left w:val="nil"/>
              <w:bottom w:val="single" w:color="auto" w:sz="4" w:space="0"/>
              <w:right w:val="single" w:color="auto" w:sz="4" w:space="0"/>
            </w:tcBorders>
          </w:tcPr>
          <w:p w14:paraId="71C3F628"/>
        </w:tc>
        <w:tc>
          <w:tcPr>
            <w:tcW w:w="1637" w:type="pct"/>
            <w:tcBorders>
              <w:top w:val="single" w:color="auto" w:sz="4" w:space="0"/>
              <w:left w:val="nil"/>
              <w:bottom w:val="single" w:color="auto" w:sz="4" w:space="0"/>
              <w:right w:val="single" w:color="auto" w:sz="4" w:space="0"/>
            </w:tcBorders>
          </w:tcPr>
          <w:p w14:paraId="601FFE05">
            <w:pPr>
              <w:rPr>
                <w:rFonts w:ascii="Times New Roman" w:hAnsi="Times New Roman"/>
                <w:sz w:val="22"/>
                <w:szCs w:val="22"/>
              </w:rPr>
            </w:pPr>
          </w:p>
        </w:tc>
        <w:tc>
          <w:tcPr>
            <w:tcW w:w="712" w:type="pct"/>
            <w:tcBorders>
              <w:top w:val="single" w:color="auto" w:sz="4" w:space="0"/>
              <w:left w:val="nil"/>
              <w:bottom w:val="single" w:color="auto" w:sz="4" w:space="0"/>
              <w:right w:val="single" w:color="auto" w:sz="4" w:space="0"/>
            </w:tcBorders>
          </w:tcPr>
          <w:p w14:paraId="10F7C5E0">
            <w:pPr>
              <w:rPr>
                <w:rFonts w:ascii="Times New Roman" w:hAnsi="Times New Roman"/>
                <w:sz w:val="22"/>
                <w:szCs w:val="22"/>
              </w:rPr>
            </w:pPr>
          </w:p>
        </w:tc>
        <w:tc>
          <w:tcPr>
            <w:tcW w:w="677" w:type="pct"/>
            <w:tcBorders>
              <w:top w:val="single" w:color="auto" w:sz="4" w:space="0"/>
              <w:left w:val="nil"/>
              <w:bottom w:val="single" w:color="auto" w:sz="4" w:space="0"/>
              <w:right w:val="single" w:color="auto" w:sz="4" w:space="0"/>
            </w:tcBorders>
          </w:tcPr>
          <w:p w14:paraId="0A1DD210">
            <w:pPr>
              <w:rPr>
                <w:rFonts w:ascii="Times New Roman" w:hAnsi="Times New Roman"/>
                <w:sz w:val="22"/>
                <w:szCs w:val="22"/>
              </w:rPr>
            </w:pPr>
          </w:p>
        </w:tc>
      </w:tr>
    </w:tbl>
    <w:p w14:paraId="6CDB7492">
      <w:pPr>
        <w:spacing w:line="360" w:lineRule="auto"/>
        <w:rPr>
          <w:rFonts w:ascii="宋体" w:hAnsi="宋体"/>
          <w:sz w:val="22"/>
          <w:szCs w:val="22"/>
        </w:rPr>
      </w:pPr>
      <w:r>
        <w:rPr>
          <w:rFonts w:hint="eastAsia" w:ascii="宋体" w:hAnsi="宋体"/>
          <w:sz w:val="22"/>
          <w:szCs w:val="22"/>
        </w:rPr>
        <w:t>注：</w:t>
      </w:r>
    </w:p>
    <w:p w14:paraId="61E34D3C">
      <w:pPr>
        <w:numPr>
          <w:ilvl w:val="0"/>
          <w:numId w:val="9"/>
        </w:numPr>
        <w:spacing w:line="360" w:lineRule="auto"/>
        <w:rPr>
          <w:rFonts w:ascii="宋体" w:hAnsi="宋体"/>
          <w:b/>
          <w:bCs/>
          <w:color w:val="FF0000"/>
          <w:sz w:val="22"/>
          <w:szCs w:val="22"/>
          <w:highlight w:val="yellow"/>
        </w:rPr>
      </w:pPr>
      <w:r>
        <w:rPr>
          <w:rFonts w:hint="eastAsia" w:ascii="宋体" w:hAnsi="宋体"/>
          <w:b/>
          <w:bCs/>
          <w:color w:val="FF0000"/>
          <w:sz w:val="22"/>
          <w:szCs w:val="22"/>
          <w:highlight w:val="yellow"/>
        </w:rPr>
        <w:t>投标人必须对应招标文件“第二章招标项目需求”中“商务需求”逐条响应。</w:t>
      </w:r>
    </w:p>
    <w:p w14:paraId="69612B52">
      <w:pPr>
        <w:numPr>
          <w:ilvl w:val="0"/>
          <w:numId w:val="9"/>
        </w:numPr>
        <w:spacing w:line="360" w:lineRule="auto"/>
        <w:rPr>
          <w:rFonts w:ascii="宋体" w:hAnsi="宋体" w:cs="宋体"/>
          <w:bCs/>
          <w:sz w:val="22"/>
        </w:rPr>
      </w:pPr>
      <w:r>
        <w:rPr>
          <w:rFonts w:hint="eastAsia" w:ascii="宋体" w:hAnsi="宋体"/>
          <w:sz w:val="22"/>
          <w:szCs w:val="22"/>
        </w:rPr>
        <w:t>“偏离情况”一栏应如实填写“正偏离”、“负偏离”或“无偏离”。</w:t>
      </w:r>
    </w:p>
    <w:p w14:paraId="658928AB">
      <w:pPr>
        <w:spacing w:line="360" w:lineRule="auto"/>
        <w:rPr>
          <w:rFonts w:ascii="Times New Roman" w:hAnsi="Times New Roman"/>
          <w:sz w:val="22"/>
          <w:szCs w:val="22"/>
        </w:rPr>
      </w:pPr>
    </w:p>
    <w:p w14:paraId="2A89CB5D">
      <w:pPr>
        <w:spacing w:line="360" w:lineRule="auto"/>
        <w:rPr>
          <w:rFonts w:ascii="Times New Roman" w:hAnsi="Times New Roman"/>
          <w:sz w:val="22"/>
          <w:szCs w:val="22"/>
        </w:rPr>
      </w:pPr>
    </w:p>
    <w:p w14:paraId="54A4AD42">
      <w:pPr>
        <w:spacing w:line="360" w:lineRule="auto"/>
        <w:rPr>
          <w:rFonts w:ascii="Times New Roman" w:hAnsi="Times New Roman"/>
          <w:sz w:val="22"/>
          <w:szCs w:val="22"/>
        </w:rPr>
      </w:pPr>
      <w:r>
        <w:rPr>
          <w:rFonts w:hint="eastAsia" w:ascii="Times New Roman" w:hAnsi="Times New Roman"/>
          <w:sz w:val="22"/>
          <w:szCs w:val="22"/>
        </w:rPr>
        <w:t xml:space="preserve">投标人名称（盖章）：                        </w:t>
      </w:r>
    </w:p>
    <w:p w14:paraId="35064048">
      <w:pPr>
        <w:spacing w:line="360" w:lineRule="auto"/>
        <w:rPr>
          <w:rFonts w:ascii="Times New Roman" w:hAnsi="Times New Roman"/>
          <w:sz w:val="22"/>
          <w:szCs w:val="22"/>
        </w:rPr>
      </w:pPr>
      <w:r>
        <w:rPr>
          <w:rFonts w:hint="eastAsia" w:ascii="Times New Roman" w:hAnsi="Times New Roman"/>
          <w:sz w:val="22"/>
          <w:szCs w:val="22"/>
        </w:rPr>
        <w:t>日期：   年   月   日</w:t>
      </w:r>
    </w:p>
    <w:p w14:paraId="5457F75F">
      <w:pPr>
        <w:numPr>
          <w:ilvl w:val="0"/>
          <w:numId w:val="5"/>
        </w:numPr>
        <w:ind w:left="420" w:firstLine="0"/>
        <w:jc w:val="center"/>
        <w:outlineLvl w:val="2"/>
        <w:rPr>
          <w:rFonts w:ascii="宋体" w:hAnsi="宋体" w:cs="宋体"/>
          <w:b/>
          <w:bCs/>
          <w:sz w:val="32"/>
          <w:szCs w:val="32"/>
        </w:rPr>
      </w:pPr>
      <w:r>
        <w:rPr>
          <w:rFonts w:hint="eastAsia" w:ascii="宋体" w:hAnsi="宋体" w:cs="宋体"/>
          <w:bCs/>
          <w:sz w:val="22"/>
        </w:rPr>
        <w:br w:type="page"/>
      </w:r>
      <w:r>
        <w:rPr>
          <w:rFonts w:hint="eastAsia" w:ascii="宋体" w:hAnsi="宋体" w:cs="宋体"/>
          <w:b/>
          <w:bCs/>
          <w:sz w:val="32"/>
          <w:szCs w:val="32"/>
        </w:rPr>
        <w:t>服务条款偏离表</w:t>
      </w:r>
    </w:p>
    <w:p w14:paraId="5FE0451B">
      <w:pPr>
        <w:spacing w:line="360" w:lineRule="exact"/>
        <w:rPr>
          <w:rFonts w:ascii="宋体" w:hAnsi="宋体" w:cs="宋体"/>
          <w:bCs/>
          <w:sz w:val="22"/>
          <w:szCs w:val="22"/>
        </w:rPr>
      </w:pPr>
      <w:r>
        <w:rPr>
          <w:rFonts w:hint="eastAsia" w:ascii="宋体" w:hAnsi="宋体" w:cs="宋体"/>
          <w:bCs/>
          <w:sz w:val="22"/>
          <w:szCs w:val="22"/>
        </w:rPr>
        <w:t xml:space="preserve">  </w:t>
      </w:r>
    </w:p>
    <w:tbl>
      <w:tblPr>
        <w:tblStyle w:val="29"/>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2650"/>
        <w:gridCol w:w="2650"/>
        <w:gridCol w:w="1469"/>
        <w:gridCol w:w="879"/>
      </w:tblGrid>
      <w:tr w14:paraId="6CEAB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515" w:type="pct"/>
            <w:tcBorders>
              <w:top w:val="single" w:color="auto" w:sz="4" w:space="0"/>
              <w:left w:val="single" w:color="auto" w:sz="4" w:space="0"/>
              <w:bottom w:val="single" w:color="auto" w:sz="4" w:space="0"/>
              <w:right w:val="single" w:color="auto" w:sz="4" w:space="0"/>
            </w:tcBorders>
            <w:shd w:val="clear" w:color="auto" w:fill="BDD6EE" w:themeFill="accent1" w:themeFillTint="66"/>
            <w:vAlign w:val="center"/>
          </w:tcPr>
          <w:p w14:paraId="43EA4125">
            <w:pPr>
              <w:spacing w:line="360" w:lineRule="auto"/>
              <w:jc w:val="center"/>
              <w:rPr>
                <w:rFonts w:ascii="宋体" w:hAnsi="宋体"/>
                <w:b/>
                <w:bCs/>
                <w:sz w:val="22"/>
                <w:szCs w:val="22"/>
              </w:rPr>
            </w:pPr>
            <w:r>
              <w:rPr>
                <w:rFonts w:hint="eastAsia" w:ascii="宋体" w:hAnsi="宋体"/>
                <w:b/>
                <w:bCs/>
                <w:sz w:val="22"/>
                <w:szCs w:val="22"/>
              </w:rPr>
              <w:t>序号</w:t>
            </w:r>
          </w:p>
        </w:tc>
        <w:tc>
          <w:tcPr>
            <w:tcW w:w="1553" w:type="pct"/>
            <w:tcBorders>
              <w:top w:val="single" w:color="auto" w:sz="4" w:space="0"/>
              <w:left w:val="nil"/>
              <w:bottom w:val="single" w:color="auto" w:sz="4" w:space="0"/>
              <w:right w:val="single" w:color="auto" w:sz="4" w:space="0"/>
            </w:tcBorders>
            <w:shd w:val="clear" w:color="auto" w:fill="BDD6EE" w:themeFill="accent1" w:themeFillTint="66"/>
            <w:vAlign w:val="center"/>
          </w:tcPr>
          <w:p w14:paraId="6F864F25">
            <w:pPr>
              <w:spacing w:line="360" w:lineRule="auto"/>
              <w:jc w:val="center"/>
              <w:rPr>
                <w:rFonts w:ascii="宋体" w:hAnsi="宋体"/>
                <w:b/>
                <w:bCs/>
                <w:sz w:val="22"/>
                <w:szCs w:val="22"/>
              </w:rPr>
            </w:pPr>
            <w:r>
              <w:rPr>
                <w:rFonts w:hint="eastAsia" w:ascii="宋体" w:hAnsi="宋体"/>
                <w:b/>
                <w:bCs/>
                <w:sz w:val="22"/>
                <w:szCs w:val="22"/>
              </w:rPr>
              <w:t>招标文件服务要求</w:t>
            </w:r>
          </w:p>
        </w:tc>
        <w:tc>
          <w:tcPr>
            <w:tcW w:w="1553" w:type="pct"/>
            <w:tcBorders>
              <w:top w:val="single" w:color="auto" w:sz="4" w:space="0"/>
              <w:left w:val="nil"/>
              <w:bottom w:val="single" w:color="auto" w:sz="4" w:space="0"/>
              <w:right w:val="single" w:color="auto" w:sz="4" w:space="0"/>
            </w:tcBorders>
            <w:shd w:val="clear" w:color="auto" w:fill="BDD6EE" w:themeFill="accent1" w:themeFillTint="66"/>
            <w:vAlign w:val="center"/>
          </w:tcPr>
          <w:p w14:paraId="5D06C8F9">
            <w:pPr>
              <w:spacing w:line="360" w:lineRule="auto"/>
              <w:jc w:val="center"/>
              <w:rPr>
                <w:rFonts w:ascii="宋体" w:hAnsi="宋体"/>
                <w:b/>
                <w:bCs/>
                <w:sz w:val="22"/>
                <w:szCs w:val="22"/>
              </w:rPr>
            </w:pPr>
            <w:r>
              <w:rPr>
                <w:rFonts w:hint="eastAsia" w:ascii="宋体" w:hAnsi="宋体"/>
                <w:b/>
                <w:bCs/>
                <w:sz w:val="22"/>
                <w:szCs w:val="22"/>
              </w:rPr>
              <w:t>投标文件服务响应</w:t>
            </w:r>
          </w:p>
        </w:tc>
        <w:tc>
          <w:tcPr>
            <w:tcW w:w="861" w:type="pct"/>
            <w:tcBorders>
              <w:top w:val="single" w:color="auto" w:sz="4" w:space="0"/>
              <w:left w:val="nil"/>
              <w:bottom w:val="single" w:color="auto" w:sz="4" w:space="0"/>
              <w:right w:val="single" w:color="auto" w:sz="4" w:space="0"/>
            </w:tcBorders>
            <w:shd w:val="clear" w:color="auto" w:fill="BDD6EE" w:themeFill="accent1" w:themeFillTint="66"/>
            <w:vAlign w:val="center"/>
          </w:tcPr>
          <w:p w14:paraId="60C9E200">
            <w:pPr>
              <w:spacing w:line="360" w:lineRule="auto"/>
              <w:jc w:val="center"/>
              <w:rPr>
                <w:rFonts w:ascii="宋体" w:hAnsi="宋体"/>
                <w:b/>
                <w:bCs/>
                <w:sz w:val="22"/>
                <w:szCs w:val="22"/>
              </w:rPr>
            </w:pPr>
            <w:r>
              <w:rPr>
                <w:rFonts w:hint="eastAsia" w:ascii="宋体" w:hAnsi="宋体"/>
                <w:b/>
                <w:bCs/>
                <w:sz w:val="22"/>
                <w:szCs w:val="22"/>
              </w:rPr>
              <w:t>偏离情况</w:t>
            </w:r>
          </w:p>
        </w:tc>
        <w:tc>
          <w:tcPr>
            <w:tcW w:w="515" w:type="pct"/>
            <w:tcBorders>
              <w:top w:val="single" w:color="auto" w:sz="4" w:space="0"/>
              <w:left w:val="nil"/>
              <w:bottom w:val="single" w:color="auto" w:sz="4" w:space="0"/>
              <w:right w:val="single" w:color="auto" w:sz="4" w:space="0"/>
            </w:tcBorders>
            <w:shd w:val="clear" w:color="auto" w:fill="BDD6EE" w:themeFill="accent1" w:themeFillTint="66"/>
            <w:vAlign w:val="center"/>
          </w:tcPr>
          <w:p w14:paraId="32F72790">
            <w:pPr>
              <w:spacing w:line="360" w:lineRule="auto"/>
              <w:jc w:val="center"/>
              <w:rPr>
                <w:rFonts w:ascii="宋体" w:hAnsi="宋体"/>
                <w:b/>
                <w:bCs/>
                <w:sz w:val="22"/>
                <w:szCs w:val="22"/>
              </w:rPr>
            </w:pPr>
            <w:r>
              <w:rPr>
                <w:rFonts w:hint="eastAsia" w:ascii="宋体" w:hAnsi="宋体"/>
                <w:b/>
                <w:bCs/>
                <w:sz w:val="22"/>
                <w:szCs w:val="22"/>
              </w:rPr>
              <w:t>说明</w:t>
            </w:r>
          </w:p>
        </w:tc>
      </w:tr>
      <w:tr w14:paraId="18D75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515" w:type="pct"/>
            <w:tcBorders>
              <w:top w:val="single" w:color="auto" w:sz="4" w:space="0"/>
              <w:left w:val="single" w:color="auto" w:sz="4" w:space="0"/>
              <w:bottom w:val="single" w:color="auto" w:sz="4" w:space="0"/>
              <w:right w:val="single" w:color="auto" w:sz="4" w:space="0"/>
            </w:tcBorders>
          </w:tcPr>
          <w:p w14:paraId="1570CF38">
            <w:pPr>
              <w:spacing w:line="360" w:lineRule="auto"/>
              <w:jc w:val="center"/>
              <w:rPr>
                <w:rFonts w:ascii="宋体" w:hAnsi="宋体"/>
                <w:sz w:val="22"/>
                <w:szCs w:val="22"/>
              </w:rPr>
            </w:pPr>
            <w:r>
              <w:rPr>
                <w:rFonts w:hint="eastAsia" w:ascii="宋体" w:hAnsi="宋体"/>
                <w:sz w:val="22"/>
                <w:szCs w:val="22"/>
              </w:rPr>
              <w:t>1</w:t>
            </w:r>
          </w:p>
        </w:tc>
        <w:tc>
          <w:tcPr>
            <w:tcW w:w="1553" w:type="pct"/>
            <w:tcBorders>
              <w:top w:val="single" w:color="auto" w:sz="4" w:space="0"/>
              <w:left w:val="nil"/>
              <w:bottom w:val="single" w:color="auto" w:sz="4" w:space="0"/>
              <w:right w:val="single" w:color="auto" w:sz="4" w:space="0"/>
            </w:tcBorders>
          </w:tcPr>
          <w:p w14:paraId="2E32CB79">
            <w:pPr>
              <w:spacing w:line="360" w:lineRule="exact"/>
              <w:jc w:val="left"/>
              <w:rPr>
                <w:rFonts w:ascii="宋体" w:hAnsi="宋体"/>
                <w:sz w:val="22"/>
                <w:szCs w:val="22"/>
              </w:rPr>
            </w:pPr>
          </w:p>
        </w:tc>
        <w:tc>
          <w:tcPr>
            <w:tcW w:w="1553" w:type="pct"/>
            <w:tcBorders>
              <w:top w:val="single" w:color="auto" w:sz="4" w:space="0"/>
              <w:left w:val="nil"/>
              <w:bottom w:val="single" w:color="auto" w:sz="4" w:space="0"/>
              <w:right w:val="single" w:color="auto" w:sz="4" w:space="0"/>
            </w:tcBorders>
          </w:tcPr>
          <w:p w14:paraId="20A181F4">
            <w:pPr>
              <w:spacing w:line="360" w:lineRule="auto"/>
              <w:rPr>
                <w:rFonts w:ascii="宋体" w:hAnsi="宋体"/>
                <w:sz w:val="22"/>
                <w:szCs w:val="22"/>
              </w:rPr>
            </w:pPr>
          </w:p>
        </w:tc>
        <w:tc>
          <w:tcPr>
            <w:tcW w:w="861" w:type="pct"/>
            <w:tcBorders>
              <w:top w:val="single" w:color="auto" w:sz="4" w:space="0"/>
              <w:left w:val="nil"/>
              <w:bottom w:val="single" w:color="auto" w:sz="4" w:space="0"/>
              <w:right w:val="single" w:color="auto" w:sz="4" w:space="0"/>
            </w:tcBorders>
          </w:tcPr>
          <w:p w14:paraId="377086A1">
            <w:pPr>
              <w:spacing w:line="360" w:lineRule="auto"/>
              <w:rPr>
                <w:rFonts w:ascii="宋体" w:hAnsi="宋体"/>
                <w:sz w:val="22"/>
                <w:szCs w:val="22"/>
              </w:rPr>
            </w:pPr>
          </w:p>
        </w:tc>
        <w:tc>
          <w:tcPr>
            <w:tcW w:w="515" w:type="pct"/>
            <w:tcBorders>
              <w:top w:val="single" w:color="auto" w:sz="4" w:space="0"/>
              <w:left w:val="nil"/>
              <w:bottom w:val="single" w:color="auto" w:sz="4" w:space="0"/>
              <w:right w:val="single" w:color="auto" w:sz="4" w:space="0"/>
            </w:tcBorders>
          </w:tcPr>
          <w:p w14:paraId="09F77C88">
            <w:pPr>
              <w:spacing w:line="360" w:lineRule="auto"/>
              <w:rPr>
                <w:rFonts w:ascii="宋体" w:hAnsi="宋体"/>
                <w:sz w:val="22"/>
                <w:szCs w:val="22"/>
              </w:rPr>
            </w:pPr>
          </w:p>
        </w:tc>
      </w:tr>
      <w:tr w14:paraId="6AB7B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 w:hRule="atLeast"/>
        </w:trPr>
        <w:tc>
          <w:tcPr>
            <w:tcW w:w="515" w:type="pct"/>
            <w:tcBorders>
              <w:top w:val="single" w:color="auto" w:sz="4" w:space="0"/>
              <w:left w:val="single" w:color="auto" w:sz="4" w:space="0"/>
              <w:bottom w:val="single" w:color="auto" w:sz="4" w:space="0"/>
              <w:right w:val="single" w:color="auto" w:sz="4" w:space="0"/>
            </w:tcBorders>
          </w:tcPr>
          <w:p w14:paraId="74CDB4C7">
            <w:pPr>
              <w:spacing w:line="360" w:lineRule="auto"/>
              <w:jc w:val="center"/>
              <w:rPr>
                <w:rFonts w:ascii="宋体" w:hAnsi="宋体"/>
                <w:sz w:val="22"/>
                <w:szCs w:val="22"/>
              </w:rPr>
            </w:pPr>
            <w:r>
              <w:rPr>
                <w:rFonts w:hint="eastAsia" w:ascii="宋体" w:hAnsi="宋体"/>
                <w:sz w:val="22"/>
                <w:szCs w:val="22"/>
              </w:rPr>
              <w:t>2</w:t>
            </w:r>
          </w:p>
        </w:tc>
        <w:tc>
          <w:tcPr>
            <w:tcW w:w="1553" w:type="pct"/>
            <w:tcBorders>
              <w:top w:val="single" w:color="auto" w:sz="4" w:space="0"/>
              <w:left w:val="nil"/>
              <w:bottom w:val="single" w:color="auto" w:sz="4" w:space="0"/>
              <w:right w:val="single" w:color="auto" w:sz="4" w:space="0"/>
            </w:tcBorders>
          </w:tcPr>
          <w:p w14:paraId="33297EE8">
            <w:pPr>
              <w:spacing w:line="360" w:lineRule="exact"/>
              <w:ind w:firstLine="440" w:firstLineChars="200"/>
              <w:jc w:val="left"/>
              <w:rPr>
                <w:rFonts w:ascii="宋体" w:hAnsi="宋体"/>
                <w:sz w:val="22"/>
                <w:szCs w:val="22"/>
              </w:rPr>
            </w:pPr>
          </w:p>
        </w:tc>
        <w:tc>
          <w:tcPr>
            <w:tcW w:w="1553" w:type="pct"/>
            <w:tcBorders>
              <w:top w:val="single" w:color="auto" w:sz="4" w:space="0"/>
              <w:left w:val="nil"/>
              <w:bottom w:val="single" w:color="auto" w:sz="4" w:space="0"/>
              <w:right w:val="single" w:color="auto" w:sz="4" w:space="0"/>
            </w:tcBorders>
          </w:tcPr>
          <w:p w14:paraId="711AC2CC">
            <w:pPr>
              <w:spacing w:line="360" w:lineRule="auto"/>
              <w:rPr>
                <w:rFonts w:ascii="宋体" w:hAnsi="宋体"/>
                <w:sz w:val="22"/>
                <w:szCs w:val="22"/>
              </w:rPr>
            </w:pPr>
          </w:p>
        </w:tc>
        <w:tc>
          <w:tcPr>
            <w:tcW w:w="861" w:type="pct"/>
            <w:tcBorders>
              <w:top w:val="single" w:color="auto" w:sz="4" w:space="0"/>
              <w:left w:val="nil"/>
              <w:bottom w:val="single" w:color="auto" w:sz="4" w:space="0"/>
              <w:right w:val="single" w:color="auto" w:sz="4" w:space="0"/>
            </w:tcBorders>
          </w:tcPr>
          <w:p w14:paraId="2CD6C38D">
            <w:pPr>
              <w:spacing w:line="360" w:lineRule="auto"/>
              <w:rPr>
                <w:rFonts w:ascii="宋体" w:hAnsi="宋体"/>
                <w:sz w:val="22"/>
                <w:szCs w:val="22"/>
              </w:rPr>
            </w:pPr>
          </w:p>
        </w:tc>
        <w:tc>
          <w:tcPr>
            <w:tcW w:w="515" w:type="pct"/>
            <w:tcBorders>
              <w:top w:val="single" w:color="auto" w:sz="4" w:space="0"/>
              <w:left w:val="nil"/>
              <w:bottom w:val="single" w:color="auto" w:sz="4" w:space="0"/>
              <w:right w:val="single" w:color="auto" w:sz="4" w:space="0"/>
            </w:tcBorders>
          </w:tcPr>
          <w:p w14:paraId="1B16E07C">
            <w:pPr>
              <w:spacing w:line="360" w:lineRule="auto"/>
              <w:rPr>
                <w:rFonts w:ascii="宋体" w:hAnsi="宋体"/>
                <w:sz w:val="22"/>
                <w:szCs w:val="22"/>
              </w:rPr>
            </w:pPr>
          </w:p>
        </w:tc>
      </w:tr>
      <w:tr w14:paraId="36B1F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515" w:type="pct"/>
            <w:tcBorders>
              <w:top w:val="single" w:color="auto" w:sz="4" w:space="0"/>
              <w:left w:val="single" w:color="auto" w:sz="4" w:space="0"/>
              <w:bottom w:val="single" w:color="auto" w:sz="4" w:space="0"/>
              <w:right w:val="single" w:color="auto" w:sz="4" w:space="0"/>
            </w:tcBorders>
          </w:tcPr>
          <w:p w14:paraId="72084F4F">
            <w:pPr>
              <w:spacing w:line="360" w:lineRule="auto"/>
              <w:jc w:val="center"/>
              <w:rPr>
                <w:rFonts w:ascii="宋体" w:hAnsi="宋体"/>
                <w:sz w:val="22"/>
                <w:szCs w:val="22"/>
              </w:rPr>
            </w:pPr>
            <w:r>
              <w:rPr>
                <w:rFonts w:hint="eastAsia" w:ascii="宋体" w:hAnsi="宋体"/>
                <w:sz w:val="22"/>
                <w:szCs w:val="22"/>
              </w:rPr>
              <w:t>3</w:t>
            </w:r>
          </w:p>
        </w:tc>
        <w:tc>
          <w:tcPr>
            <w:tcW w:w="1553" w:type="pct"/>
            <w:tcBorders>
              <w:top w:val="single" w:color="auto" w:sz="4" w:space="0"/>
              <w:left w:val="nil"/>
              <w:bottom w:val="single" w:color="auto" w:sz="4" w:space="0"/>
              <w:right w:val="single" w:color="auto" w:sz="4" w:space="0"/>
            </w:tcBorders>
          </w:tcPr>
          <w:p w14:paraId="0B5401C6">
            <w:pPr>
              <w:spacing w:line="360" w:lineRule="exact"/>
              <w:ind w:firstLine="440" w:firstLineChars="200"/>
              <w:jc w:val="left"/>
              <w:rPr>
                <w:rFonts w:ascii="宋体" w:hAnsi="宋体"/>
                <w:sz w:val="22"/>
                <w:szCs w:val="22"/>
              </w:rPr>
            </w:pPr>
          </w:p>
        </w:tc>
        <w:tc>
          <w:tcPr>
            <w:tcW w:w="1553" w:type="pct"/>
            <w:tcBorders>
              <w:top w:val="single" w:color="auto" w:sz="4" w:space="0"/>
              <w:left w:val="nil"/>
              <w:bottom w:val="single" w:color="auto" w:sz="4" w:space="0"/>
              <w:right w:val="single" w:color="auto" w:sz="4" w:space="0"/>
            </w:tcBorders>
          </w:tcPr>
          <w:p w14:paraId="0DC677F8">
            <w:pPr>
              <w:spacing w:line="360" w:lineRule="auto"/>
              <w:rPr>
                <w:rFonts w:ascii="宋体" w:hAnsi="宋体"/>
                <w:sz w:val="22"/>
                <w:szCs w:val="22"/>
              </w:rPr>
            </w:pPr>
          </w:p>
        </w:tc>
        <w:tc>
          <w:tcPr>
            <w:tcW w:w="861" w:type="pct"/>
            <w:tcBorders>
              <w:top w:val="single" w:color="auto" w:sz="4" w:space="0"/>
              <w:left w:val="nil"/>
              <w:bottom w:val="single" w:color="auto" w:sz="4" w:space="0"/>
              <w:right w:val="single" w:color="auto" w:sz="4" w:space="0"/>
            </w:tcBorders>
          </w:tcPr>
          <w:p w14:paraId="4AF94E47">
            <w:pPr>
              <w:spacing w:line="360" w:lineRule="auto"/>
              <w:rPr>
                <w:rFonts w:ascii="宋体" w:hAnsi="宋体"/>
                <w:sz w:val="22"/>
                <w:szCs w:val="22"/>
              </w:rPr>
            </w:pPr>
          </w:p>
        </w:tc>
        <w:tc>
          <w:tcPr>
            <w:tcW w:w="515" w:type="pct"/>
            <w:tcBorders>
              <w:top w:val="single" w:color="auto" w:sz="4" w:space="0"/>
              <w:left w:val="nil"/>
              <w:bottom w:val="single" w:color="auto" w:sz="4" w:space="0"/>
              <w:right w:val="single" w:color="auto" w:sz="4" w:space="0"/>
            </w:tcBorders>
          </w:tcPr>
          <w:p w14:paraId="49C3C87C">
            <w:pPr>
              <w:spacing w:line="360" w:lineRule="auto"/>
              <w:rPr>
                <w:rFonts w:ascii="宋体" w:hAnsi="宋体"/>
                <w:sz w:val="22"/>
                <w:szCs w:val="22"/>
              </w:rPr>
            </w:pPr>
          </w:p>
        </w:tc>
      </w:tr>
      <w:tr w14:paraId="10923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515" w:type="pct"/>
            <w:tcBorders>
              <w:top w:val="single" w:color="auto" w:sz="4" w:space="0"/>
              <w:left w:val="single" w:color="auto" w:sz="4" w:space="0"/>
              <w:bottom w:val="single" w:color="auto" w:sz="4" w:space="0"/>
              <w:right w:val="single" w:color="auto" w:sz="4" w:space="0"/>
            </w:tcBorders>
          </w:tcPr>
          <w:p w14:paraId="188100E3">
            <w:pPr>
              <w:spacing w:line="360" w:lineRule="auto"/>
              <w:jc w:val="center"/>
              <w:rPr>
                <w:rFonts w:ascii="宋体" w:hAnsi="宋体"/>
                <w:sz w:val="22"/>
                <w:szCs w:val="22"/>
              </w:rPr>
            </w:pPr>
            <w:r>
              <w:rPr>
                <w:rFonts w:hint="eastAsia" w:ascii="宋体" w:hAnsi="宋体"/>
                <w:sz w:val="22"/>
                <w:szCs w:val="22"/>
              </w:rPr>
              <w:t>4</w:t>
            </w:r>
          </w:p>
        </w:tc>
        <w:tc>
          <w:tcPr>
            <w:tcW w:w="1553" w:type="pct"/>
            <w:tcBorders>
              <w:top w:val="single" w:color="auto" w:sz="4" w:space="0"/>
              <w:left w:val="nil"/>
              <w:bottom w:val="single" w:color="auto" w:sz="4" w:space="0"/>
              <w:right w:val="single" w:color="auto" w:sz="4" w:space="0"/>
            </w:tcBorders>
          </w:tcPr>
          <w:p w14:paraId="26E92EBC">
            <w:pPr>
              <w:spacing w:line="360" w:lineRule="exact"/>
              <w:ind w:firstLine="440" w:firstLineChars="200"/>
              <w:jc w:val="left"/>
              <w:rPr>
                <w:rFonts w:hint="eastAsia" w:ascii="宋体" w:hAnsi="宋体" w:eastAsia="宋体"/>
                <w:sz w:val="22"/>
                <w:szCs w:val="22"/>
                <w:lang w:eastAsia="zh-CN"/>
              </w:rPr>
            </w:pPr>
          </w:p>
        </w:tc>
        <w:tc>
          <w:tcPr>
            <w:tcW w:w="1553" w:type="pct"/>
            <w:tcBorders>
              <w:top w:val="single" w:color="auto" w:sz="4" w:space="0"/>
              <w:left w:val="nil"/>
              <w:bottom w:val="single" w:color="auto" w:sz="4" w:space="0"/>
              <w:right w:val="single" w:color="auto" w:sz="4" w:space="0"/>
            </w:tcBorders>
          </w:tcPr>
          <w:p w14:paraId="41B36BD3">
            <w:pPr>
              <w:spacing w:line="360" w:lineRule="auto"/>
              <w:rPr>
                <w:rFonts w:ascii="宋体" w:hAnsi="宋体"/>
                <w:sz w:val="22"/>
                <w:szCs w:val="22"/>
              </w:rPr>
            </w:pPr>
          </w:p>
        </w:tc>
        <w:tc>
          <w:tcPr>
            <w:tcW w:w="861" w:type="pct"/>
            <w:tcBorders>
              <w:top w:val="single" w:color="auto" w:sz="4" w:space="0"/>
              <w:left w:val="nil"/>
              <w:bottom w:val="single" w:color="auto" w:sz="4" w:space="0"/>
              <w:right w:val="single" w:color="auto" w:sz="4" w:space="0"/>
            </w:tcBorders>
          </w:tcPr>
          <w:p w14:paraId="2FA96928">
            <w:pPr>
              <w:spacing w:line="360" w:lineRule="auto"/>
              <w:rPr>
                <w:rFonts w:ascii="宋体" w:hAnsi="宋体"/>
                <w:sz w:val="22"/>
                <w:szCs w:val="22"/>
              </w:rPr>
            </w:pPr>
          </w:p>
        </w:tc>
        <w:tc>
          <w:tcPr>
            <w:tcW w:w="515" w:type="pct"/>
            <w:tcBorders>
              <w:top w:val="single" w:color="auto" w:sz="4" w:space="0"/>
              <w:left w:val="nil"/>
              <w:bottom w:val="single" w:color="auto" w:sz="4" w:space="0"/>
              <w:right w:val="single" w:color="auto" w:sz="4" w:space="0"/>
            </w:tcBorders>
          </w:tcPr>
          <w:p w14:paraId="0D5C9964">
            <w:pPr>
              <w:spacing w:line="360" w:lineRule="auto"/>
              <w:rPr>
                <w:rFonts w:ascii="宋体" w:hAnsi="宋体"/>
                <w:sz w:val="22"/>
                <w:szCs w:val="22"/>
              </w:rPr>
            </w:pPr>
          </w:p>
        </w:tc>
      </w:tr>
      <w:tr w14:paraId="0A1FA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trPr>
        <w:tc>
          <w:tcPr>
            <w:tcW w:w="515" w:type="pct"/>
            <w:tcBorders>
              <w:top w:val="single" w:color="auto" w:sz="4" w:space="0"/>
              <w:left w:val="single" w:color="auto" w:sz="4" w:space="0"/>
              <w:bottom w:val="single" w:color="auto" w:sz="4" w:space="0"/>
              <w:right w:val="single" w:color="auto" w:sz="4" w:space="0"/>
            </w:tcBorders>
          </w:tcPr>
          <w:p w14:paraId="5BEF1600">
            <w:pPr>
              <w:spacing w:line="360" w:lineRule="auto"/>
              <w:jc w:val="center"/>
              <w:rPr>
                <w:rFonts w:ascii="宋体" w:hAnsi="宋体"/>
                <w:sz w:val="22"/>
                <w:szCs w:val="22"/>
              </w:rPr>
            </w:pPr>
            <w:r>
              <w:rPr>
                <w:rFonts w:hint="eastAsia" w:ascii="宋体" w:hAnsi="宋体"/>
                <w:sz w:val="22"/>
                <w:szCs w:val="22"/>
              </w:rPr>
              <w:t>5</w:t>
            </w:r>
          </w:p>
        </w:tc>
        <w:tc>
          <w:tcPr>
            <w:tcW w:w="1553" w:type="pct"/>
            <w:tcBorders>
              <w:top w:val="single" w:color="auto" w:sz="4" w:space="0"/>
              <w:left w:val="nil"/>
              <w:bottom w:val="single" w:color="auto" w:sz="4" w:space="0"/>
              <w:right w:val="single" w:color="auto" w:sz="4" w:space="0"/>
            </w:tcBorders>
          </w:tcPr>
          <w:p w14:paraId="184ABDC2">
            <w:pPr>
              <w:spacing w:line="360" w:lineRule="exact"/>
              <w:ind w:firstLine="440" w:firstLineChars="200"/>
              <w:jc w:val="left"/>
              <w:rPr>
                <w:rFonts w:ascii="宋体" w:hAnsi="宋体"/>
                <w:sz w:val="22"/>
                <w:szCs w:val="22"/>
              </w:rPr>
            </w:pPr>
          </w:p>
        </w:tc>
        <w:tc>
          <w:tcPr>
            <w:tcW w:w="1553" w:type="pct"/>
            <w:tcBorders>
              <w:top w:val="single" w:color="auto" w:sz="4" w:space="0"/>
              <w:left w:val="nil"/>
              <w:bottom w:val="single" w:color="auto" w:sz="4" w:space="0"/>
              <w:right w:val="single" w:color="auto" w:sz="4" w:space="0"/>
            </w:tcBorders>
          </w:tcPr>
          <w:p w14:paraId="516DDE3C">
            <w:pPr>
              <w:spacing w:line="360" w:lineRule="auto"/>
              <w:rPr>
                <w:rFonts w:ascii="宋体" w:hAnsi="宋体"/>
                <w:sz w:val="22"/>
                <w:szCs w:val="22"/>
              </w:rPr>
            </w:pPr>
          </w:p>
        </w:tc>
        <w:tc>
          <w:tcPr>
            <w:tcW w:w="861" w:type="pct"/>
            <w:tcBorders>
              <w:top w:val="single" w:color="auto" w:sz="4" w:space="0"/>
              <w:left w:val="nil"/>
              <w:bottom w:val="single" w:color="auto" w:sz="4" w:space="0"/>
              <w:right w:val="single" w:color="auto" w:sz="4" w:space="0"/>
            </w:tcBorders>
          </w:tcPr>
          <w:p w14:paraId="04F65F43">
            <w:pPr>
              <w:spacing w:line="360" w:lineRule="auto"/>
              <w:rPr>
                <w:rFonts w:ascii="宋体" w:hAnsi="宋体"/>
                <w:sz w:val="22"/>
                <w:szCs w:val="22"/>
              </w:rPr>
            </w:pPr>
          </w:p>
        </w:tc>
        <w:tc>
          <w:tcPr>
            <w:tcW w:w="515" w:type="pct"/>
            <w:tcBorders>
              <w:top w:val="single" w:color="auto" w:sz="4" w:space="0"/>
              <w:left w:val="nil"/>
              <w:bottom w:val="single" w:color="auto" w:sz="4" w:space="0"/>
              <w:right w:val="single" w:color="auto" w:sz="4" w:space="0"/>
            </w:tcBorders>
          </w:tcPr>
          <w:p w14:paraId="4733A254">
            <w:pPr>
              <w:spacing w:line="360" w:lineRule="auto"/>
              <w:rPr>
                <w:rFonts w:ascii="宋体" w:hAnsi="宋体"/>
                <w:sz w:val="22"/>
                <w:szCs w:val="22"/>
              </w:rPr>
            </w:pPr>
          </w:p>
        </w:tc>
      </w:tr>
    </w:tbl>
    <w:p w14:paraId="58821749">
      <w:pPr>
        <w:rPr>
          <w:rFonts w:ascii="宋体" w:hAnsi="宋体"/>
          <w:sz w:val="22"/>
          <w:szCs w:val="22"/>
        </w:rPr>
      </w:pPr>
    </w:p>
    <w:p w14:paraId="3F3C597C">
      <w:pPr>
        <w:spacing w:line="360" w:lineRule="auto"/>
        <w:rPr>
          <w:rFonts w:ascii="宋体" w:hAnsi="宋体"/>
          <w:sz w:val="22"/>
          <w:szCs w:val="22"/>
        </w:rPr>
      </w:pPr>
      <w:r>
        <w:rPr>
          <w:rFonts w:hint="eastAsia" w:ascii="宋体" w:hAnsi="宋体"/>
          <w:sz w:val="22"/>
          <w:szCs w:val="22"/>
        </w:rPr>
        <w:t>注：</w:t>
      </w:r>
    </w:p>
    <w:p w14:paraId="18A9A498">
      <w:pPr>
        <w:spacing w:line="360" w:lineRule="auto"/>
        <w:ind w:left="425" w:hanging="425"/>
        <w:rPr>
          <w:rFonts w:ascii="宋体" w:hAnsi="宋体"/>
          <w:b/>
          <w:bCs/>
          <w:color w:val="FF0000"/>
          <w:sz w:val="22"/>
          <w:szCs w:val="22"/>
          <w:highlight w:val="yellow"/>
        </w:rPr>
      </w:pPr>
      <w:r>
        <w:rPr>
          <w:rFonts w:ascii="宋体" w:hAnsi="宋体"/>
          <w:b/>
          <w:bCs/>
          <w:color w:val="FF0000"/>
          <w:sz w:val="22"/>
          <w:szCs w:val="22"/>
          <w:highlight w:val="yellow"/>
        </w:rPr>
        <w:t>1.</w:t>
      </w:r>
      <w:r>
        <w:rPr>
          <w:rFonts w:hint="eastAsia" w:ascii="宋体" w:hAnsi="宋体"/>
          <w:b/>
          <w:bCs/>
          <w:color w:val="FF0000"/>
          <w:sz w:val="22"/>
          <w:szCs w:val="22"/>
          <w:highlight w:val="yellow"/>
        </w:rPr>
        <w:t>投标人必须对应招标文件“第二章招标项目需求”中“具体服务要求”逐条响应。</w:t>
      </w:r>
    </w:p>
    <w:p w14:paraId="173FAA81">
      <w:pPr>
        <w:spacing w:line="360" w:lineRule="auto"/>
        <w:ind w:left="425" w:hanging="425"/>
        <w:rPr>
          <w:rFonts w:ascii="宋体" w:hAnsi="宋体"/>
          <w:sz w:val="22"/>
          <w:szCs w:val="22"/>
        </w:rPr>
      </w:pPr>
      <w:r>
        <w:rPr>
          <w:rFonts w:ascii="宋体" w:hAnsi="宋体"/>
          <w:sz w:val="22"/>
          <w:szCs w:val="22"/>
        </w:rPr>
        <w:t>2.</w:t>
      </w:r>
      <w:r>
        <w:rPr>
          <w:rFonts w:hint="eastAsia" w:ascii="宋体" w:hAnsi="宋体"/>
          <w:sz w:val="22"/>
          <w:szCs w:val="22"/>
        </w:rPr>
        <w:t>“偏离情况”一栏应如实填写“正偏离”、“负偏离”或“无偏离”。</w:t>
      </w:r>
    </w:p>
    <w:p w14:paraId="136F8901">
      <w:pPr>
        <w:spacing w:line="360" w:lineRule="exact"/>
        <w:rPr>
          <w:rFonts w:ascii="宋体" w:hAnsi="宋体" w:cs="宋体"/>
          <w:bCs/>
          <w:sz w:val="22"/>
          <w:szCs w:val="22"/>
        </w:rPr>
      </w:pPr>
    </w:p>
    <w:p w14:paraId="01516A82">
      <w:pPr>
        <w:spacing w:line="360" w:lineRule="auto"/>
        <w:rPr>
          <w:rFonts w:ascii="Times New Roman" w:hAnsi="Times New Roman"/>
          <w:sz w:val="22"/>
          <w:szCs w:val="22"/>
        </w:rPr>
      </w:pPr>
      <w:r>
        <w:rPr>
          <w:rFonts w:hint="eastAsia" w:ascii="Times New Roman" w:hAnsi="Times New Roman"/>
          <w:sz w:val="22"/>
          <w:szCs w:val="22"/>
        </w:rPr>
        <w:t xml:space="preserve">投标人名称（盖章）：                        </w:t>
      </w:r>
    </w:p>
    <w:p w14:paraId="3173D1C1">
      <w:pPr>
        <w:spacing w:line="360" w:lineRule="auto"/>
        <w:rPr>
          <w:rFonts w:ascii="Times New Roman" w:hAnsi="Times New Roman"/>
          <w:sz w:val="22"/>
          <w:szCs w:val="22"/>
        </w:rPr>
      </w:pPr>
      <w:r>
        <w:rPr>
          <w:rFonts w:hint="eastAsia" w:ascii="Times New Roman" w:hAnsi="Times New Roman"/>
          <w:sz w:val="22"/>
          <w:szCs w:val="22"/>
        </w:rPr>
        <w:t>日期：   年   月   日</w:t>
      </w:r>
    </w:p>
    <w:p w14:paraId="20ED184C">
      <w:pPr>
        <w:adjustRightInd w:val="0"/>
        <w:snapToGrid w:val="0"/>
        <w:spacing w:line="360" w:lineRule="exact"/>
        <w:rPr>
          <w:rFonts w:ascii="宋体" w:hAnsi="宋体" w:cs="宋体"/>
          <w:bCs/>
          <w:sz w:val="22"/>
        </w:rPr>
      </w:pPr>
    </w:p>
    <w:p w14:paraId="4E987D1D">
      <w:pPr>
        <w:adjustRightInd w:val="0"/>
        <w:snapToGrid w:val="0"/>
        <w:spacing w:line="360" w:lineRule="exact"/>
        <w:rPr>
          <w:rFonts w:ascii="宋体" w:hAnsi="宋体" w:cs="宋体"/>
          <w:bCs/>
          <w:sz w:val="22"/>
        </w:rPr>
      </w:pPr>
    </w:p>
    <w:p w14:paraId="7CB11EF3">
      <w:pPr>
        <w:rPr>
          <w:rFonts w:ascii="宋体" w:hAnsi="宋体" w:cs="宋体"/>
          <w:bCs/>
          <w:sz w:val="22"/>
        </w:rPr>
      </w:pPr>
      <w:r>
        <w:rPr>
          <w:rFonts w:hint="eastAsia" w:ascii="宋体" w:hAnsi="宋体" w:cs="宋体"/>
          <w:bCs/>
          <w:sz w:val="22"/>
        </w:rPr>
        <w:br w:type="page"/>
      </w:r>
    </w:p>
    <w:p w14:paraId="337D9926">
      <w:pPr>
        <w:numPr>
          <w:ilvl w:val="0"/>
          <w:numId w:val="5"/>
        </w:numPr>
        <w:ind w:firstLine="0"/>
        <w:jc w:val="center"/>
        <w:outlineLvl w:val="2"/>
        <w:rPr>
          <w:b/>
          <w:bCs/>
          <w:sz w:val="32"/>
          <w:szCs w:val="32"/>
        </w:rPr>
      </w:pPr>
      <w:r>
        <w:rPr>
          <w:rFonts w:hint="eastAsia"/>
          <w:b/>
          <w:bCs/>
          <w:sz w:val="32"/>
          <w:szCs w:val="32"/>
        </w:rPr>
        <w:t>实质性条款响应情况表</w:t>
      </w:r>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2"/>
        <w:gridCol w:w="5610"/>
        <w:gridCol w:w="2114"/>
      </w:tblGrid>
      <w:tr w14:paraId="475E2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trPr>
        <w:tc>
          <w:tcPr>
            <w:tcW w:w="470" w:type="pct"/>
            <w:shd w:val="clear" w:color="auto" w:fill="DCE6F2"/>
            <w:vAlign w:val="center"/>
          </w:tcPr>
          <w:p w14:paraId="47588B09">
            <w:pPr>
              <w:adjustRightInd w:val="0"/>
              <w:snapToGrid w:val="0"/>
              <w:spacing w:line="360" w:lineRule="auto"/>
              <w:jc w:val="center"/>
              <w:rPr>
                <w:rFonts w:ascii="宋体" w:hAnsi="宋体" w:cs="宋体"/>
                <w:kern w:val="0"/>
                <w:sz w:val="22"/>
                <w:szCs w:val="22"/>
              </w:rPr>
            </w:pPr>
            <w:r>
              <w:rPr>
                <w:rFonts w:hint="eastAsia" w:ascii="宋体" w:hAnsi="宋体" w:cs="宋体"/>
                <w:kern w:val="0"/>
                <w:sz w:val="22"/>
                <w:szCs w:val="22"/>
              </w:rPr>
              <w:t>序号</w:t>
            </w:r>
          </w:p>
        </w:tc>
        <w:tc>
          <w:tcPr>
            <w:tcW w:w="3289" w:type="pct"/>
            <w:shd w:val="clear" w:color="auto" w:fill="DCE6F2"/>
            <w:vAlign w:val="center"/>
          </w:tcPr>
          <w:p w14:paraId="03E67309">
            <w:pPr>
              <w:adjustRightInd w:val="0"/>
              <w:snapToGrid w:val="0"/>
              <w:spacing w:line="360" w:lineRule="auto"/>
              <w:jc w:val="center"/>
              <w:rPr>
                <w:rFonts w:ascii="宋体" w:hAnsi="宋体" w:cs="宋体"/>
                <w:kern w:val="0"/>
                <w:sz w:val="22"/>
                <w:szCs w:val="22"/>
              </w:rPr>
            </w:pPr>
            <w:r>
              <w:rPr>
                <w:rFonts w:hint="eastAsia" w:ascii="宋体" w:hAnsi="宋体" w:cs="宋体"/>
                <w:kern w:val="0"/>
                <w:sz w:val="22"/>
                <w:szCs w:val="22"/>
              </w:rPr>
              <w:t>具体内容</w:t>
            </w:r>
          </w:p>
        </w:tc>
        <w:tc>
          <w:tcPr>
            <w:tcW w:w="1239" w:type="pct"/>
            <w:shd w:val="clear" w:color="auto" w:fill="DCE6F2"/>
            <w:vAlign w:val="center"/>
          </w:tcPr>
          <w:p w14:paraId="293677E3">
            <w:pPr>
              <w:adjustRightInd w:val="0"/>
              <w:snapToGrid w:val="0"/>
              <w:spacing w:line="360" w:lineRule="auto"/>
              <w:jc w:val="center"/>
              <w:rPr>
                <w:rFonts w:ascii="宋体" w:hAnsi="宋体" w:cs="宋体"/>
                <w:kern w:val="0"/>
                <w:sz w:val="22"/>
                <w:szCs w:val="22"/>
              </w:rPr>
            </w:pPr>
            <w:r>
              <w:rPr>
                <w:rFonts w:hint="eastAsia" w:ascii="宋体" w:hAnsi="宋体" w:cs="宋体"/>
                <w:kern w:val="0"/>
                <w:sz w:val="22"/>
                <w:szCs w:val="22"/>
              </w:rPr>
              <w:t>投标人响应情况</w:t>
            </w:r>
          </w:p>
        </w:tc>
      </w:tr>
      <w:tr w14:paraId="5B0F6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trPr>
        <w:tc>
          <w:tcPr>
            <w:tcW w:w="470" w:type="pct"/>
            <w:vAlign w:val="center"/>
          </w:tcPr>
          <w:p w14:paraId="7A246063">
            <w:pPr>
              <w:adjustRightInd w:val="0"/>
              <w:snapToGrid w:val="0"/>
              <w:spacing w:line="360" w:lineRule="auto"/>
              <w:jc w:val="center"/>
              <w:rPr>
                <w:rFonts w:ascii="宋体" w:hAnsi="宋体" w:cs="宋体"/>
                <w:kern w:val="0"/>
                <w:szCs w:val="21"/>
              </w:rPr>
            </w:pPr>
            <w:r>
              <w:rPr>
                <w:rFonts w:hint="eastAsia" w:ascii="宋体" w:hAnsi="宋体" w:cs="宋体"/>
                <w:kern w:val="0"/>
                <w:szCs w:val="21"/>
              </w:rPr>
              <w:t>1</w:t>
            </w:r>
          </w:p>
        </w:tc>
        <w:tc>
          <w:tcPr>
            <w:tcW w:w="3289" w:type="pct"/>
            <w:vAlign w:val="center"/>
          </w:tcPr>
          <w:p w14:paraId="3C79774B">
            <w:pPr>
              <w:adjustRightInd w:val="0"/>
              <w:snapToGrid w:val="0"/>
              <w:spacing w:line="360" w:lineRule="auto"/>
              <w:jc w:val="center"/>
              <w:rPr>
                <w:rFonts w:ascii="宋体" w:hAnsi="宋体" w:cs="宋体"/>
                <w:kern w:val="0"/>
                <w:sz w:val="22"/>
                <w:szCs w:val="22"/>
              </w:rPr>
            </w:pPr>
            <w:r>
              <w:rPr>
                <w:rFonts w:hint="eastAsia" w:ascii="宋体" w:hAnsi="宋体" w:cs="宋体"/>
                <w:sz w:val="22"/>
                <w:szCs w:val="22"/>
              </w:rPr>
              <w:t>满足本项目标★的条款要求。</w:t>
            </w:r>
          </w:p>
        </w:tc>
        <w:tc>
          <w:tcPr>
            <w:tcW w:w="1239" w:type="pct"/>
            <w:vAlign w:val="center"/>
          </w:tcPr>
          <w:p w14:paraId="17CDD165">
            <w:pPr>
              <w:adjustRightInd w:val="0"/>
              <w:snapToGrid w:val="0"/>
              <w:spacing w:line="360" w:lineRule="auto"/>
              <w:jc w:val="left"/>
              <w:rPr>
                <w:rFonts w:ascii="宋体" w:hAnsi="宋体" w:cs="宋体"/>
                <w:kern w:val="0"/>
                <w:szCs w:val="21"/>
              </w:rPr>
            </w:pPr>
          </w:p>
        </w:tc>
      </w:tr>
    </w:tbl>
    <w:p w14:paraId="2378D197">
      <w:pPr>
        <w:spacing w:line="360" w:lineRule="auto"/>
        <w:ind w:left="425" w:hanging="425"/>
        <w:rPr>
          <w:rFonts w:ascii="宋体" w:hAnsi="宋体"/>
          <w:sz w:val="22"/>
          <w:szCs w:val="22"/>
        </w:rPr>
      </w:pPr>
    </w:p>
    <w:p w14:paraId="1B306BB3">
      <w:pPr>
        <w:spacing w:line="360" w:lineRule="auto"/>
        <w:ind w:left="425" w:hanging="425"/>
        <w:rPr>
          <w:rFonts w:ascii="宋体" w:hAnsi="宋体"/>
          <w:sz w:val="22"/>
          <w:szCs w:val="22"/>
        </w:rPr>
      </w:pPr>
      <w:r>
        <w:rPr>
          <w:rFonts w:hint="eastAsia" w:ascii="宋体" w:hAnsi="宋体"/>
          <w:sz w:val="22"/>
          <w:szCs w:val="22"/>
        </w:rPr>
        <w:t>注：</w:t>
      </w:r>
    </w:p>
    <w:p w14:paraId="3C7FB578">
      <w:pPr>
        <w:spacing w:line="360" w:lineRule="auto"/>
        <w:ind w:left="425" w:hanging="425"/>
        <w:rPr>
          <w:rFonts w:ascii="宋体" w:hAnsi="宋体"/>
          <w:sz w:val="22"/>
          <w:szCs w:val="22"/>
        </w:rPr>
      </w:pPr>
      <w:r>
        <w:rPr>
          <w:rFonts w:hint="eastAsia" w:ascii="宋体" w:hAnsi="宋体"/>
          <w:sz w:val="22"/>
          <w:szCs w:val="22"/>
        </w:rPr>
        <w:t>1. 上表所列内容为不可负偏离条款。</w:t>
      </w:r>
    </w:p>
    <w:p w14:paraId="6092D3A8">
      <w:pPr>
        <w:spacing w:line="360" w:lineRule="auto"/>
        <w:ind w:left="425" w:hanging="425"/>
        <w:rPr>
          <w:rFonts w:ascii="宋体" w:hAnsi="宋体"/>
          <w:sz w:val="22"/>
          <w:szCs w:val="22"/>
        </w:rPr>
      </w:pPr>
      <w:r>
        <w:rPr>
          <w:rFonts w:hint="eastAsia" w:ascii="宋体" w:hAnsi="宋体"/>
          <w:sz w:val="22"/>
          <w:szCs w:val="22"/>
        </w:rPr>
        <w:t>2.“投标人响应情况”一栏应如实填写“响应”或“不响应”。</w:t>
      </w:r>
    </w:p>
    <w:p w14:paraId="3EB47EFB">
      <w:pPr>
        <w:spacing w:line="360" w:lineRule="auto"/>
        <w:ind w:left="425" w:hanging="425"/>
        <w:rPr>
          <w:rFonts w:ascii="宋体" w:hAnsi="宋体"/>
          <w:sz w:val="22"/>
          <w:szCs w:val="22"/>
        </w:rPr>
      </w:pPr>
      <w:r>
        <w:rPr>
          <w:rFonts w:hint="eastAsia" w:ascii="宋体" w:hAnsi="宋体"/>
          <w:sz w:val="22"/>
          <w:szCs w:val="22"/>
        </w:rPr>
        <w:t>3. “实质性响应条款响应情况”与投标文件其它内容冲突的，以“实质性响应条款响应情况”为准。</w:t>
      </w:r>
    </w:p>
    <w:p w14:paraId="579801B3">
      <w:pPr>
        <w:pStyle w:val="24"/>
        <w:rPr>
          <w:b/>
        </w:rPr>
      </w:pPr>
    </w:p>
    <w:p w14:paraId="1B65700C">
      <w:pPr>
        <w:pStyle w:val="24"/>
        <w:rPr>
          <w:b/>
        </w:rPr>
      </w:pPr>
    </w:p>
    <w:p w14:paraId="73034686">
      <w:pPr>
        <w:pStyle w:val="24"/>
        <w:rPr>
          <w:b/>
        </w:rPr>
      </w:pPr>
    </w:p>
    <w:p w14:paraId="1C07E274">
      <w:pPr>
        <w:pStyle w:val="24"/>
        <w:rPr>
          <w:b/>
        </w:rPr>
      </w:pPr>
    </w:p>
    <w:p w14:paraId="542B6F7C">
      <w:pPr>
        <w:rPr>
          <w:rFonts w:ascii="宋体" w:hAnsi="宋体" w:cs="宋体"/>
          <w:b/>
          <w:bCs/>
          <w:sz w:val="32"/>
        </w:rPr>
      </w:pPr>
      <w:r>
        <w:rPr>
          <w:rFonts w:hint="eastAsia" w:ascii="宋体" w:hAnsi="宋体" w:cs="宋体"/>
          <w:b/>
          <w:bCs/>
          <w:sz w:val="32"/>
        </w:rPr>
        <w:br w:type="page"/>
      </w:r>
    </w:p>
    <w:p w14:paraId="4EDF18DD">
      <w:pPr>
        <w:numPr>
          <w:ilvl w:val="0"/>
          <w:numId w:val="5"/>
        </w:numPr>
        <w:ind w:firstLine="0"/>
        <w:jc w:val="center"/>
        <w:outlineLvl w:val="2"/>
        <w:rPr>
          <w:rFonts w:ascii="宋体" w:hAnsi="宋体" w:cs="宋体"/>
          <w:b/>
          <w:bCs/>
          <w:sz w:val="32"/>
        </w:rPr>
      </w:pPr>
      <w:r>
        <w:rPr>
          <w:rFonts w:hint="eastAsia" w:ascii="宋体" w:hAnsi="宋体" w:cs="宋体"/>
          <w:b/>
          <w:bCs/>
          <w:sz w:val="32"/>
        </w:rPr>
        <w:t>中小企业、残疾人福利性单位和监狱企业政策导向</w:t>
      </w:r>
    </w:p>
    <w:p w14:paraId="6B52000D">
      <w:pPr>
        <w:adjustRightInd w:val="0"/>
        <w:snapToGrid w:val="0"/>
        <w:spacing w:line="360" w:lineRule="exact"/>
        <w:ind w:firstLine="440" w:firstLineChars="200"/>
        <w:jc w:val="center"/>
        <w:rPr>
          <w:rFonts w:ascii="宋体" w:hAnsi="宋体" w:cs="宋体"/>
          <w:sz w:val="22"/>
        </w:rPr>
      </w:pPr>
      <w:r>
        <w:rPr>
          <w:rFonts w:hint="eastAsia" w:ascii="宋体" w:hAnsi="宋体" w:cs="宋体"/>
          <w:sz w:val="22"/>
        </w:rPr>
        <w:t>（如符合则提供）</w:t>
      </w:r>
    </w:p>
    <w:p w14:paraId="47EC8B95">
      <w:pPr>
        <w:spacing w:line="360" w:lineRule="auto"/>
        <w:ind w:firstLine="440" w:firstLineChars="200"/>
        <w:rPr>
          <w:rFonts w:ascii="宋体" w:hAnsi="宋体" w:cs="宋体"/>
          <w:bCs/>
          <w:sz w:val="22"/>
          <w:szCs w:val="22"/>
        </w:rPr>
      </w:pPr>
      <w:r>
        <w:rPr>
          <w:rFonts w:hint="eastAsia" w:ascii="宋体" w:hAnsi="宋体" w:cs="宋体"/>
          <w:bCs/>
          <w:sz w:val="22"/>
          <w:szCs w:val="22"/>
        </w:rPr>
        <w:t>填写指引：</w:t>
      </w:r>
    </w:p>
    <w:p w14:paraId="5BF6510F">
      <w:pPr>
        <w:spacing w:line="360" w:lineRule="auto"/>
        <w:ind w:firstLine="440" w:firstLineChars="200"/>
        <w:rPr>
          <w:rFonts w:ascii="宋体" w:hAnsi="宋体" w:cs="宋体"/>
          <w:bCs/>
          <w:sz w:val="22"/>
          <w:szCs w:val="22"/>
        </w:rPr>
      </w:pPr>
      <w:r>
        <w:rPr>
          <w:rFonts w:hint="eastAsia" w:ascii="宋体" w:hAnsi="宋体" w:cs="宋体"/>
          <w:bCs/>
          <w:sz w:val="22"/>
          <w:szCs w:val="22"/>
        </w:rPr>
        <w:t>1、该部分内容由供应商根据自身实际情况填写，不符合要求的供应商可以不填写或直接删除相应的声明函。供应商自行对声明内容的真实性负责；如提供虚假声明，将报送主管部门进行行政处罚。若无法确定是否为中小微企业，可查阅《关于印发中小企业划型标准规定的通知》（工信部联企业【2011】300号）或向深圳市中小企业服务局咨询。</w:t>
      </w:r>
    </w:p>
    <w:p w14:paraId="2011B89D">
      <w:pPr>
        <w:spacing w:line="360" w:lineRule="auto"/>
        <w:ind w:firstLine="440" w:firstLineChars="200"/>
        <w:rPr>
          <w:rFonts w:ascii="宋体" w:hAnsi="宋体" w:cs="宋体"/>
          <w:bCs/>
          <w:sz w:val="22"/>
          <w:szCs w:val="22"/>
        </w:rPr>
      </w:pPr>
      <w:r>
        <w:rPr>
          <w:rFonts w:hint="eastAsia" w:ascii="宋体" w:hAnsi="宋体" w:cs="宋体"/>
          <w:bCs/>
          <w:sz w:val="22"/>
          <w:szCs w:val="22"/>
        </w:rPr>
        <w:t>2、该部分内容填写需要参考的相关文件：（1）《深圳市财政局关于落实有关政府采购优惠政策的意见》（深财购函【2019】868号）；(2)财政部《政府采购促进中小企业发展管理办法》；(3) 《工业和信息化部、国家统计局、国家发展和改革委员会、财政部关于印发中小企业划型标准规定的通知》（工信部联企业〔2011〕300 号）。</w:t>
      </w:r>
    </w:p>
    <w:p w14:paraId="72C34A81">
      <w:pPr>
        <w:spacing w:line="360" w:lineRule="auto"/>
        <w:ind w:firstLine="440" w:firstLineChars="200"/>
        <w:rPr>
          <w:rFonts w:ascii="宋体" w:hAnsi="宋体" w:cs="宋体"/>
          <w:bCs/>
          <w:sz w:val="22"/>
          <w:szCs w:val="22"/>
        </w:rPr>
      </w:pPr>
      <w:r>
        <w:rPr>
          <w:rFonts w:hint="eastAsia" w:ascii="宋体" w:hAnsi="宋体" w:cs="宋体"/>
          <w:bCs/>
          <w:sz w:val="22"/>
          <w:szCs w:val="22"/>
        </w:rPr>
        <w:t>3、请依照提供的格式和内容填写声明函，不要随意变更格式或增删内容；满足多项优惠政策的企业，不重复享受多项价格扣除政策。</w:t>
      </w:r>
    </w:p>
    <w:p w14:paraId="029E4A49">
      <w:pPr>
        <w:spacing w:line="360" w:lineRule="auto"/>
        <w:ind w:firstLine="440" w:firstLineChars="200"/>
        <w:rPr>
          <w:rFonts w:ascii="宋体" w:hAnsi="宋体" w:cs="宋体"/>
          <w:bCs/>
          <w:sz w:val="22"/>
          <w:szCs w:val="22"/>
        </w:rPr>
      </w:pPr>
      <w:r>
        <w:rPr>
          <w:rFonts w:hint="eastAsia" w:ascii="宋体" w:hAnsi="宋体" w:cs="宋体"/>
          <w:bCs/>
          <w:sz w:val="22"/>
          <w:szCs w:val="22"/>
        </w:rPr>
        <w:t>4、声明函具体填写要求：</w:t>
      </w:r>
    </w:p>
    <w:p w14:paraId="246356AA">
      <w:pPr>
        <w:spacing w:line="360" w:lineRule="auto"/>
        <w:ind w:firstLine="442" w:firstLineChars="200"/>
        <w:rPr>
          <w:rFonts w:ascii="宋体" w:hAnsi="宋体" w:cs="宋体"/>
          <w:b/>
          <w:sz w:val="22"/>
          <w:szCs w:val="22"/>
        </w:rPr>
      </w:pPr>
      <w:r>
        <w:rPr>
          <w:rFonts w:hint="eastAsia" w:ascii="宋体" w:hAnsi="宋体" w:cs="宋体"/>
          <w:b/>
          <w:sz w:val="22"/>
          <w:szCs w:val="22"/>
        </w:rPr>
        <w:t>（1）声明是中小企业须填写《中小企业声明函》的以下内容：</w:t>
      </w:r>
    </w:p>
    <w:p w14:paraId="52CDD90F">
      <w:pPr>
        <w:spacing w:line="360" w:lineRule="auto"/>
        <w:ind w:firstLine="442" w:firstLineChars="200"/>
        <w:rPr>
          <w:rFonts w:ascii="宋体" w:hAnsi="宋体" w:cs="宋体"/>
          <w:b/>
          <w:sz w:val="22"/>
          <w:szCs w:val="22"/>
        </w:rPr>
      </w:pPr>
      <w:r>
        <w:rPr>
          <w:rFonts w:hint="eastAsia" w:ascii="宋体" w:hAnsi="宋体" w:cs="宋体"/>
          <w:b/>
          <w:sz w:val="22"/>
          <w:szCs w:val="22"/>
        </w:rPr>
        <w:t>在“采购单位名称”下划线处填写本项目的实际采购单位名称（深圳东海国际招标有限公司不是本项目的采购单位，而是本项目的组织实施机构）；</w:t>
      </w:r>
    </w:p>
    <w:p w14:paraId="0FAE768D">
      <w:pPr>
        <w:spacing w:line="360" w:lineRule="auto"/>
        <w:ind w:firstLine="442" w:firstLineChars="200"/>
        <w:rPr>
          <w:rFonts w:ascii="宋体" w:hAnsi="宋体" w:cs="宋体"/>
          <w:b/>
          <w:sz w:val="22"/>
          <w:szCs w:val="22"/>
        </w:rPr>
      </w:pPr>
      <w:r>
        <w:rPr>
          <w:rFonts w:hint="eastAsia" w:ascii="宋体" w:hAnsi="宋体" w:cs="宋体"/>
          <w:b/>
          <w:sz w:val="22"/>
          <w:szCs w:val="22"/>
        </w:rPr>
        <w:t>在“采购项目名称”下划线处填写本项目的实际项目名称（项目名称可在招标公告处查看）；</w:t>
      </w:r>
    </w:p>
    <w:p w14:paraId="28609443">
      <w:pPr>
        <w:spacing w:line="360" w:lineRule="auto"/>
        <w:ind w:firstLine="442" w:firstLineChars="200"/>
        <w:rPr>
          <w:b/>
          <w:sz w:val="22"/>
          <w:szCs w:val="22"/>
        </w:rPr>
      </w:pPr>
      <w:r>
        <w:rPr>
          <w:rFonts w:hint="eastAsia" w:ascii="宋体" w:hAnsi="宋体"/>
          <w:b/>
          <w:sz w:val="22"/>
          <w:szCs w:val="22"/>
        </w:rPr>
        <w:t>在“标的名称”下划线处填写招标文件中采购需求中相对应的名称；</w:t>
      </w:r>
    </w:p>
    <w:p w14:paraId="05041DDB">
      <w:pPr>
        <w:spacing w:line="360" w:lineRule="auto"/>
        <w:ind w:firstLine="442" w:firstLineChars="200"/>
        <w:rPr>
          <w:b/>
          <w:sz w:val="22"/>
          <w:szCs w:val="22"/>
        </w:rPr>
      </w:pPr>
      <w:r>
        <w:rPr>
          <w:rFonts w:hint="eastAsia" w:ascii="宋体" w:hAnsi="宋体"/>
          <w:b/>
          <w:sz w:val="22"/>
          <w:szCs w:val="22"/>
        </w:rPr>
        <w:t>在“采购文件中明确的所属行业”中填写对应的行业类别；</w:t>
      </w:r>
    </w:p>
    <w:p w14:paraId="2CA84208">
      <w:pPr>
        <w:spacing w:line="360" w:lineRule="auto"/>
        <w:ind w:firstLine="442" w:firstLineChars="200"/>
        <w:rPr>
          <w:rFonts w:ascii="宋体" w:hAnsi="宋体" w:cs="宋体"/>
          <w:b/>
          <w:sz w:val="22"/>
          <w:szCs w:val="22"/>
        </w:rPr>
      </w:pPr>
      <w:r>
        <w:rPr>
          <w:rFonts w:hint="eastAsia" w:ascii="宋体" w:hAnsi="宋体"/>
          <w:b/>
          <w:sz w:val="22"/>
          <w:szCs w:val="22"/>
        </w:rPr>
        <w:t>在“企业名称”中填写所承接服务的企业名称，并如实填写该企业需要填报的其他情况；</w:t>
      </w:r>
    </w:p>
    <w:p w14:paraId="5EBFD4DC">
      <w:pPr>
        <w:spacing w:line="360" w:lineRule="auto"/>
        <w:ind w:firstLine="442" w:firstLineChars="200"/>
        <w:rPr>
          <w:rFonts w:ascii="宋体" w:hAnsi="宋体" w:cs="宋体"/>
          <w:b/>
          <w:sz w:val="22"/>
          <w:szCs w:val="22"/>
        </w:rPr>
      </w:pPr>
      <w:r>
        <w:rPr>
          <w:rFonts w:hint="eastAsia" w:ascii="宋体" w:hAnsi="宋体" w:cs="宋体"/>
          <w:b/>
          <w:sz w:val="22"/>
          <w:szCs w:val="22"/>
        </w:rPr>
        <w:t>在“中型企业、小型企业、微型企业”下划线处根据自身实际情况在三个选项中填写符合相关政策要求的一个。</w:t>
      </w:r>
    </w:p>
    <w:p w14:paraId="428D2ACC">
      <w:pPr>
        <w:spacing w:line="360" w:lineRule="auto"/>
        <w:ind w:firstLine="440" w:firstLineChars="200"/>
        <w:rPr>
          <w:rFonts w:ascii="宋体" w:hAnsi="宋体" w:cs="宋体"/>
          <w:bCs/>
          <w:sz w:val="22"/>
          <w:szCs w:val="22"/>
        </w:rPr>
      </w:pPr>
      <w:r>
        <w:rPr>
          <w:rFonts w:hint="eastAsia" w:ascii="宋体" w:hAnsi="宋体" w:cs="宋体"/>
          <w:bCs/>
          <w:sz w:val="22"/>
          <w:szCs w:val="22"/>
        </w:rPr>
        <w:t>（2）声明是残疾人福利性单位须填写《残疾人福利性单位声明函》的三项内容（填写位置的字体已加粗），具体参照以上《中小企业声明函》填写要求执行。</w:t>
      </w:r>
    </w:p>
    <w:p w14:paraId="6D58CAEE">
      <w:pPr>
        <w:ind w:firstLine="440" w:firstLineChars="200"/>
        <w:rPr>
          <w:rFonts w:ascii="宋体" w:hAnsi="宋体" w:cs="宋体"/>
          <w:b/>
          <w:szCs w:val="21"/>
        </w:rPr>
      </w:pPr>
      <w:r>
        <w:rPr>
          <w:rFonts w:hint="eastAsia" w:ascii="宋体" w:hAnsi="宋体" w:cs="宋体"/>
          <w:bCs/>
          <w:sz w:val="22"/>
          <w:szCs w:val="22"/>
        </w:rPr>
        <w:t>5、声明函的有效性最终由评审委员会判定。</w:t>
      </w:r>
    </w:p>
    <w:p w14:paraId="1A381258">
      <w:r>
        <w:br w:type="page"/>
      </w:r>
    </w:p>
    <w:p w14:paraId="2A84A16D"/>
    <w:p w14:paraId="3F098B28">
      <w:pPr>
        <w:adjustRightInd w:val="0"/>
        <w:snapToGrid w:val="0"/>
        <w:spacing w:line="360" w:lineRule="auto"/>
        <w:jc w:val="center"/>
        <w:rPr>
          <w:rFonts w:ascii="宋体" w:hAnsi="宋体" w:cs="宋体"/>
          <w:b/>
          <w:sz w:val="22"/>
          <w:szCs w:val="22"/>
        </w:rPr>
      </w:pPr>
      <w:r>
        <w:rPr>
          <w:rFonts w:hint="eastAsia" w:ascii="宋体" w:hAnsi="宋体" w:cs="宋体"/>
          <w:b/>
          <w:sz w:val="22"/>
          <w:szCs w:val="22"/>
        </w:rPr>
        <w:t>（一）中小企</w:t>
      </w:r>
      <w:r>
        <w:rPr>
          <w:rFonts w:hint="eastAsia" w:ascii="宋体" w:hAnsi="宋体" w:cs="宋体"/>
          <w:b/>
          <w:bCs/>
          <w:sz w:val="22"/>
          <w:szCs w:val="22"/>
        </w:rPr>
        <w:t>业声明函</w:t>
      </w:r>
    </w:p>
    <w:p w14:paraId="34444EF8">
      <w:pPr>
        <w:ind w:firstLine="440" w:firstLineChars="200"/>
        <w:rPr>
          <w:rFonts w:ascii="宋体" w:hAnsi="宋体" w:cs="宋体"/>
          <w:sz w:val="22"/>
          <w:szCs w:val="22"/>
        </w:rPr>
      </w:pPr>
      <w:r>
        <w:rPr>
          <w:rFonts w:hint="eastAsia" w:ascii="宋体" w:hAnsi="宋体" w:cs="宋体"/>
          <w:sz w:val="22"/>
          <w:szCs w:val="22"/>
        </w:rPr>
        <w:t>本公司（联合体）郑重声明，根据《政府采购促进中小企业发展管理办法》（财库﹝2020﹞46 号）的规定，本公司（联合体）参加</w:t>
      </w:r>
      <w:r>
        <w:rPr>
          <w:rFonts w:hint="eastAsia" w:ascii="宋体" w:hAnsi="宋体" w:cs="宋体"/>
          <w:b/>
          <w:bCs/>
          <w:sz w:val="22"/>
          <w:szCs w:val="22"/>
          <w:u w:val="single"/>
        </w:rPr>
        <w:t>（采购单位名称）</w:t>
      </w:r>
      <w:r>
        <w:rPr>
          <w:rFonts w:hint="eastAsia" w:ascii="宋体" w:hAnsi="宋体" w:cs="宋体"/>
          <w:sz w:val="22"/>
          <w:szCs w:val="22"/>
        </w:rPr>
        <w:t>的</w:t>
      </w:r>
      <w:r>
        <w:rPr>
          <w:rFonts w:hint="eastAsia" w:ascii="宋体" w:hAnsi="宋体" w:cs="宋体"/>
          <w:b/>
          <w:bCs/>
          <w:sz w:val="22"/>
          <w:szCs w:val="22"/>
          <w:u w:val="single"/>
        </w:rPr>
        <w:t>（采购项目名称）</w:t>
      </w:r>
      <w:r>
        <w:rPr>
          <w:rFonts w:hint="eastAsia" w:ascii="宋体" w:hAnsi="宋体" w:cs="宋体"/>
          <w:sz w:val="22"/>
          <w:szCs w:val="22"/>
        </w:rPr>
        <w:t>采购活动，服务全部由符合政策要求的中小企业承接。相关企业（含联合体中的中小企业、签订分包意向协议的中小企业）的具体情况如下：</w:t>
      </w:r>
    </w:p>
    <w:p w14:paraId="691A4A13">
      <w:pPr>
        <w:ind w:firstLine="442" w:firstLineChars="200"/>
        <w:rPr>
          <w:rFonts w:ascii="宋体" w:hAnsi="宋体" w:cs="宋体"/>
          <w:sz w:val="22"/>
          <w:szCs w:val="22"/>
        </w:rPr>
      </w:pPr>
      <w:r>
        <w:rPr>
          <w:rFonts w:hint="eastAsia" w:ascii="宋体" w:hAnsi="宋体" w:cs="宋体"/>
          <w:b/>
          <w:bCs/>
          <w:sz w:val="22"/>
          <w:szCs w:val="22"/>
          <w:u w:val="single"/>
        </w:rPr>
        <w:t>（标的名称）</w:t>
      </w:r>
      <w:r>
        <w:rPr>
          <w:rFonts w:hint="eastAsia" w:ascii="宋体" w:hAnsi="宋体" w:cs="宋体"/>
          <w:sz w:val="22"/>
          <w:szCs w:val="22"/>
        </w:rPr>
        <w:t>，属于</w:t>
      </w:r>
      <w:r>
        <w:rPr>
          <w:rFonts w:hint="eastAsia" w:ascii="宋体" w:hAnsi="宋体" w:cs="宋体"/>
          <w:b/>
          <w:bCs/>
          <w:sz w:val="22"/>
          <w:szCs w:val="22"/>
          <w:u w:val="single"/>
        </w:rPr>
        <w:t>（采购文件中明确的所属行业）</w:t>
      </w:r>
      <w:r>
        <w:rPr>
          <w:rFonts w:hint="eastAsia" w:ascii="宋体" w:hAnsi="宋体" w:cs="宋体"/>
          <w:sz w:val="22"/>
          <w:szCs w:val="22"/>
        </w:rPr>
        <w:t>；承接企业为</w:t>
      </w:r>
      <w:r>
        <w:rPr>
          <w:rFonts w:hint="eastAsia" w:ascii="宋体" w:hAnsi="宋体" w:cs="宋体"/>
          <w:b/>
          <w:bCs/>
          <w:sz w:val="22"/>
          <w:szCs w:val="22"/>
          <w:u w:val="single"/>
        </w:rPr>
        <w:t>（企业名称）</w:t>
      </w:r>
      <w:r>
        <w:rPr>
          <w:rFonts w:hint="eastAsia" w:ascii="宋体" w:hAnsi="宋体" w:cs="宋体"/>
          <w:b/>
          <w:bCs/>
          <w:sz w:val="22"/>
          <w:szCs w:val="22"/>
        </w:rPr>
        <w:t>，从业人员</w:t>
      </w:r>
      <w:r>
        <w:rPr>
          <w:rFonts w:hint="eastAsia" w:ascii="宋体" w:hAnsi="宋体" w:cs="宋体"/>
          <w:b/>
          <w:bCs/>
          <w:sz w:val="22"/>
          <w:szCs w:val="22"/>
          <w:u w:val="single"/>
        </w:rPr>
        <w:tab/>
      </w:r>
      <w:r>
        <w:rPr>
          <w:rFonts w:hint="eastAsia" w:ascii="宋体" w:hAnsi="宋体" w:cs="宋体"/>
          <w:b/>
          <w:bCs/>
          <w:sz w:val="22"/>
          <w:szCs w:val="22"/>
          <w:u w:val="single"/>
        </w:rPr>
        <w:t xml:space="preserve">  </w:t>
      </w:r>
      <w:r>
        <w:rPr>
          <w:rFonts w:hint="eastAsia" w:ascii="宋体" w:hAnsi="宋体" w:cs="宋体"/>
          <w:b/>
          <w:bCs/>
          <w:sz w:val="22"/>
          <w:szCs w:val="22"/>
        </w:rPr>
        <w:t>人，营业收入为</w:t>
      </w:r>
      <w:r>
        <w:rPr>
          <w:rFonts w:hint="eastAsia" w:ascii="宋体" w:hAnsi="宋体" w:cs="宋体"/>
          <w:b/>
          <w:bCs/>
          <w:sz w:val="22"/>
          <w:szCs w:val="22"/>
          <w:u w:val="single"/>
        </w:rPr>
        <w:tab/>
      </w:r>
      <w:r>
        <w:rPr>
          <w:rFonts w:hint="eastAsia" w:ascii="宋体" w:hAnsi="宋体" w:cs="宋体"/>
          <w:b/>
          <w:bCs/>
          <w:sz w:val="22"/>
          <w:szCs w:val="22"/>
        </w:rPr>
        <w:t>万元，资产总额为</w:t>
      </w:r>
      <w:r>
        <w:rPr>
          <w:rFonts w:hint="eastAsia" w:ascii="宋体" w:hAnsi="宋体" w:cs="宋体"/>
          <w:b/>
          <w:bCs/>
          <w:sz w:val="22"/>
          <w:szCs w:val="22"/>
          <w:u w:val="single"/>
        </w:rPr>
        <w:tab/>
      </w:r>
      <w:r>
        <w:rPr>
          <w:rFonts w:hint="eastAsia" w:ascii="宋体" w:hAnsi="宋体" w:cs="宋体"/>
          <w:b/>
          <w:bCs/>
          <w:sz w:val="22"/>
          <w:szCs w:val="22"/>
        </w:rPr>
        <w:t>万元，属于</w:t>
      </w:r>
      <w:r>
        <w:rPr>
          <w:rFonts w:hint="eastAsia" w:ascii="宋体" w:hAnsi="宋体" w:cs="宋体"/>
          <w:b/>
          <w:bCs/>
          <w:sz w:val="22"/>
          <w:szCs w:val="22"/>
          <w:u w:val="single"/>
        </w:rPr>
        <w:t>（中型企业、小型企业、微型企业）</w:t>
      </w:r>
    </w:p>
    <w:p w14:paraId="68480469">
      <w:pPr>
        <w:ind w:firstLine="442" w:firstLineChars="200"/>
        <w:rPr>
          <w:rFonts w:ascii="宋体" w:hAnsi="宋体" w:cs="宋体"/>
          <w:sz w:val="22"/>
          <w:szCs w:val="22"/>
        </w:rPr>
      </w:pPr>
      <w:r>
        <w:rPr>
          <w:rFonts w:hint="eastAsia" w:ascii="宋体" w:hAnsi="宋体" w:cs="宋体"/>
          <w:b/>
          <w:bCs/>
          <w:sz w:val="22"/>
          <w:szCs w:val="22"/>
          <w:u w:val="single"/>
        </w:rPr>
        <w:t>（标的名称）</w:t>
      </w:r>
      <w:r>
        <w:rPr>
          <w:rFonts w:hint="eastAsia" w:ascii="宋体" w:hAnsi="宋体" w:cs="宋体"/>
          <w:sz w:val="22"/>
          <w:szCs w:val="22"/>
        </w:rPr>
        <w:t>，属于</w:t>
      </w:r>
      <w:r>
        <w:rPr>
          <w:rFonts w:hint="eastAsia" w:ascii="宋体" w:hAnsi="宋体" w:cs="宋体"/>
          <w:b/>
          <w:bCs/>
          <w:sz w:val="22"/>
          <w:szCs w:val="22"/>
          <w:u w:val="single"/>
        </w:rPr>
        <w:t>（采购文件中明确的所属行业）</w:t>
      </w:r>
      <w:r>
        <w:rPr>
          <w:rFonts w:hint="eastAsia" w:ascii="宋体" w:hAnsi="宋体" w:cs="宋体"/>
          <w:sz w:val="22"/>
          <w:szCs w:val="22"/>
        </w:rPr>
        <w:t>；承接企业为</w:t>
      </w:r>
      <w:r>
        <w:rPr>
          <w:rFonts w:hint="eastAsia" w:ascii="宋体" w:hAnsi="宋体" w:cs="宋体"/>
          <w:b/>
          <w:bCs/>
          <w:sz w:val="22"/>
          <w:szCs w:val="22"/>
          <w:u w:val="single"/>
        </w:rPr>
        <w:t>（企业名称）</w:t>
      </w:r>
      <w:r>
        <w:rPr>
          <w:rFonts w:hint="eastAsia" w:ascii="宋体" w:hAnsi="宋体" w:cs="宋体"/>
          <w:b/>
          <w:bCs/>
          <w:sz w:val="22"/>
          <w:szCs w:val="22"/>
        </w:rPr>
        <w:t>，从业人员</w:t>
      </w:r>
      <w:r>
        <w:rPr>
          <w:rFonts w:hint="eastAsia" w:ascii="宋体" w:hAnsi="宋体" w:cs="宋体"/>
          <w:b/>
          <w:bCs/>
          <w:sz w:val="22"/>
          <w:szCs w:val="22"/>
          <w:u w:val="single"/>
        </w:rPr>
        <w:tab/>
      </w:r>
      <w:r>
        <w:rPr>
          <w:rFonts w:hint="eastAsia" w:ascii="宋体" w:hAnsi="宋体" w:cs="宋体"/>
          <w:b/>
          <w:bCs/>
          <w:sz w:val="22"/>
          <w:szCs w:val="22"/>
          <w:u w:val="single"/>
        </w:rPr>
        <w:t xml:space="preserve">  </w:t>
      </w:r>
      <w:r>
        <w:rPr>
          <w:rFonts w:hint="eastAsia" w:ascii="宋体" w:hAnsi="宋体" w:cs="宋体"/>
          <w:b/>
          <w:bCs/>
          <w:sz w:val="22"/>
          <w:szCs w:val="22"/>
        </w:rPr>
        <w:t>人，营业收入为</w:t>
      </w:r>
      <w:r>
        <w:rPr>
          <w:rFonts w:hint="eastAsia" w:ascii="宋体" w:hAnsi="宋体" w:cs="宋体"/>
          <w:b/>
          <w:bCs/>
          <w:sz w:val="22"/>
          <w:szCs w:val="22"/>
          <w:u w:val="single"/>
        </w:rPr>
        <w:tab/>
      </w:r>
      <w:r>
        <w:rPr>
          <w:rFonts w:hint="eastAsia" w:ascii="宋体" w:hAnsi="宋体" w:cs="宋体"/>
          <w:b/>
          <w:bCs/>
          <w:sz w:val="22"/>
          <w:szCs w:val="22"/>
        </w:rPr>
        <w:t>万元，资产总额为</w:t>
      </w:r>
      <w:r>
        <w:rPr>
          <w:rFonts w:hint="eastAsia" w:ascii="宋体" w:hAnsi="宋体" w:cs="宋体"/>
          <w:b/>
          <w:bCs/>
          <w:sz w:val="22"/>
          <w:szCs w:val="22"/>
          <w:u w:val="single"/>
        </w:rPr>
        <w:tab/>
      </w:r>
      <w:r>
        <w:rPr>
          <w:rFonts w:hint="eastAsia" w:ascii="宋体" w:hAnsi="宋体" w:cs="宋体"/>
          <w:b/>
          <w:bCs/>
          <w:sz w:val="22"/>
          <w:szCs w:val="22"/>
        </w:rPr>
        <w:t>万元，属于</w:t>
      </w:r>
      <w:r>
        <w:rPr>
          <w:rFonts w:hint="eastAsia" w:ascii="宋体" w:hAnsi="宋体" w:cs="宋体"/>
          <w:b/>
          <w:bCs/>
          <w:sz w:val="22"/>
          <w:szCs w:val="22"/>
          <w:u w:val="single"/>
        </w:rPr>
        <w:t>（中型企业、小型企业、微型企业）</w:t>
      </w:r>
    </w:p>
    <w:p w14:paraId="6EB74D44">
      <w:pPr>
        <w:ind w:firstLine="440" w:firstLineChars="200"/>
        <w:rPr>
          <w:rFonts w:ascii="宋体" w:hAnsi="宋体" w:cs="宋体"/>
          <w:sz w:val="22"/>
          <w:szCs w:val="22"/>
        </w:rPr>
      </w:pPr>
      <w:r>
        <w:rPr>
          <w:rFonts w:hint="eastAsia" w:ascii="宋体" w:hAnsi="宋体" w:cs="宋体"/>
          <w:sz w:val="22"/>
          <w:szCs w:val="22"/>
        </w:rPr>
        <w:t>……</w:t>
      </w:r>
    </w:p>
    <w:p w14:paraId="306EE088">
      <w:pPr>
        <w:ind w:firstLine="442" w:firstLineChars="200"/>
        <w:rPr>
          <w:rFonts w:ascii="宋体" w:hAnsi="宋体" w:cs="宋体"/>
          <w:b/>
          <w:bCs/>
          <w:sz w:val="22"/>
          <w:szCs w:val="22"/>
        </w:rPr>
      </w:pPr>
      <w:r>
        <w:rPr>
          <w:rFonts w:hint="eastAsia" w:ascii="宋体" w:hAnsi="宋体" w:cs="宋体"/>
          <w:b/>
          <w:bCs/>
          <w:sz w:val="22"/>
          <w:szCs w:val="22"/>
        </w:rPr>
        <w:t>以上企业，不属于大企业的分支机构，不存在控股股东为大企业的情形，也不存在与大企业的负责人为同一人的情形。</w:t>
      </w:r>
    </w:p>
    <w:p w14:paraId="0CDC055A">
      <w:pPr>
        <w:ind w:firstLine="440" w:firstLineChars="200"/>
        <w:rPr>
          <w:rFonts w:ascii="宋体" w:hAnsi="宋体" w:cs="宋体"/>
          <w:sz w:val="22"/>
          <w:szCs w:val="22"/>
        </w:rPr>
      </w:pPr>
      <w:r>
        <w:rPr>
          <w:rFonts w:hint="eastAsia" w:ascii="宋体" w:hAnsi="宋体" w:cs="宋体"/>
          <w:sz w:val="22"/>
          <w:szCs w:val="22"/>
        </w:rPr>
        <w:t>本企业对上述声明内容的真实性负责。如有虚假，将依法承担相应责任。</w:t>
      </w:r>
    </w:p>
    <w:p w14:paraId="3ADD4B35">
      <w:pPr>
        <w:spacing w:line="360" w:lineRule="exact"/>
        <w:ind w:firstLine="440" w:firstLineChars="200"/>
        <w:rPr>
          <w:rFonts w:ascii="宋体" w:hAnsi="宋体" w:cs="宋体"/>
          <w:sz w:val="22"/>
          <w:szCs w:val="22"/>
        </w:rPr>
      </w:pPr>
      <w:r>
        <w:rPr>
          <w:rFonts w:hint="eastAsia" w:ascii="宋体" w:hAnsi="宋体" w:cs="宋体"/>
          <w:sz w:val="22"/>
          <w:szCs w:val="22"/>
        </w:rPr>
        <w:t>本公司知悉《政府采购促进中小企业发展管理办法》（财库〔2020〕 46 号）、《中小企业划型标准规定》（工信部联企〔2011〕 300 号）、《统计上大中小微型企业划分办法（2017）》等 规定，承诺提供的声明函内容是真实的，并知悉根据《政府 采购促进中小企业发展管理办法》（财库〔2020〕46 号）第二十条规定，本公司按照本办法规定提供声明函内容不实的，属于提供虚假材料谋取中标、成交，依照《政府采购法》等政府采购有关法律法规规定追究相应责任。</w:t>
      </w:r>
    </w:p>
    <w:p w14:paraId="0B9020CB">
      <w:pPr>
        <w:ind w:firstLine="440" w:firstLineChars="200"/>
        <w:jc w:val="center"/>
        <w:rPr>
          <w:rFonts w:ascii="宋体" w:hAnsi="宋体" w:cs="宋体"/>
          <w:sz w:val="22"/>
          <w:szCs w:val="22"/>
          <w:u w:val="single"/>
        </w:rPr>
      </w:pPr>
      <w:r>
        <w:rPr>
          <w:rFonts w:hint="eastAsia" w:ascii="宋体" w:hAnsi="宋体" w:cs="宋体"/>
          <w:sz w:val="22"/>
          <w:szCs w:val="22"/>
        </w:rPr>
        <w:t xml:space="preserve">                                   企业名称（盖章）：</w:t>
      </w:r>
      <w:r>
        <w:rPr>
          <w:rFonts w:hint="eastAsia" w:ascii="宋体" w:hAnsi="宋体" w:cs="宋体"/>
          <w:sz w:val="22"/>
          <w:szCs w:val="22"/>
          <w:u w:val="single"/>
        </w:rPr>
        <w:t xml:space="preserve">          </w:t>
      </w:r>
    </w:p>
    <w:p w14:paraId="7B9DB3D6">
      <w:pPr>
        <w:ind w:firstLine="420" w:firstLineChars="200"/>
        <w:jc w:val="center"/>
      </w:pPr>
      <w:r>
        <w:rPr>
          <w:rFonts w:hint="eastAsia" w:ascii="宋体" w:hAnsi="宋体"/>
        </w:rPr>
        <w:t xml:space="preserve">                                 日期：</w:t>
      </w:r>
      <w:r>
        <w:rPr>
          <w:rFonts w:hint="eastAsia"/>
          <w:u w:val="single"/>
        </w:rPr>
        <w:t xml:space="preserve">               </w:t>
      </w:r>
    </w:p>
    <w:p w14:paraId="45F410CC">
      <w:r>
        <w:rPr>
          <w:rFonts w:hint="eastAsia" w:ascii="宋体" w:hAnsi="宋体"/>
        </w:rPr>
        <w:t>（从业人员、营业收入、资产总额上一年度数据，无上一年度数据的新成立企业可不填报）</w:t>
      </w:r>
    </w:p>
    <w:p w14:paraId="42757045">
      <w:pPr>
        <w:spacing w:line="360" w:lineRule="exact"/>
        <w:ind w:firstLine="4840" w:firstLineChars="2200"/>
        <w:rPr>
          <w:rFonts w:ascii="宋体" w:hAnsi="宋体" w:cs="宋体"/>
          <w:sz w:val="22"/>
          <w:u w:val="single"/>
        </w:rPr>
      </w:pPr>
    </w:p>
    <w:p w14:paraId="4D381B01">
      <w:pPr>
        <w:spacing w:line="360" w:lineRule="exact"/>
        <w:jc w:val="center"/>
        <w:rPr>
          <w:rFonts w:ascii="宋体" w:hAnsi="宋体" w:cs="宋体"/>
          <w:b/>
          <w:spacing w:val="6"/>
          <w:sz w:val="22"/>
        </w:rPr>
      </w:pPr>
      <w:r>
        <w:rPr>
          <w:rFonts w:hint="eastAsia" w:ascii="宋体" w:hAnsi="宋体" w:cs="宋体"/>
          <w:b/>
          <w:spacing w:val="6"/>
          <w:sz w:val="22"/>
        </w:rPr>
        <w:t>（二）残疾人福利性单位声明函</w:t>
      </w:r>
    </w:p>
    <w:p w14:paraId="20B97D7E">
      <w:pPr>
        <w:spacing w:line="360" w:lineRule="exact"/>
        <w:jc w:val="left"/>
        <w:rPr>
          <w:spacing w:val="6"/>
          <w:sz w:val="22"/>
          <w:szCs w:val="22"/>
        </w:rPr>
      </w:pPr>
      <w:r>
        <w:rPr>
          <w:rFonts w:hint="eastAsia" w:ascii="宋体" w:hAnsi="宋体" w:cs="宋体"/>
          <w:b/>
          <w:spacing w:val="6"/>
          <w:sz w:val="22"/>
        </w:rPr>
        <w:t xml:space="preserve">    </w:t>
      </w:r>
      <w:r>
        <w:rPr>
          <w:b/>
          <w:spacing w:val="6"/>
          <w:sz w:val="22"/>
          <w:szCs w:val="22"/>
        </w:rPr>
        <w:t xml:space="preserve"> </w:t>
      </w:r>
      <w:r>
        <w:rPr>
          <w:spacing w:val="6"/>
          <w:sz w:val="22"/>
          <w:szCs w:val="22"/>
        </w:rPr>
        <w:t>本单位郑重声明，根据《财政部 民政部 中国残疾人联合会关于促进残疾人就业政府采购政策的通知》（财库</w:t>
      </w:r>
      <w:r>
        <w:rPr>
          <w:sz w:val="22"/>
          <w:szCs w:val="22"/>
        </w:rPr>
        <w:t>〔2017〕 141</w:t>
      </w:r>
      <w:r>
        <w:rPr>
          <w:spacing w:val="6"/>
          <w:sz w:val="22"/>
          <w:szCs w:val="22"/>
        </w:rPr>
        <w:t>号）的规定，本单位为符合条件的残疾人福利性单位，</w:t>
      </w:r>
      <w:r>
        <w:rPr>
          <w:rFonts w:hint="eastAsia" w:ascii="宋体" w:hAnsi="宋体"/>
          <w:sz w:val="22"/>
          <w:szCs w:val="22"/>
        </w:rPr>
        <w:t>且本单位参加</w:t>
      </w:r>
      <w:r>
        <w:rPr>
          <w:rFonts w:hint="eastAsia" w:ascii="宋体" w:hAnsi="宋体"/>
          <w:b/>
          <w:sz w:val="22"/>
          <w:szCs w:val="22"/>
          <w:u w:val="single"/>
        </w:rPr>
        <w:t xml:space="preserve">   （采购单位名称）</w:t>
      </w:r>
      <w:r>
        <w:rPr>
          <w:rFonts w:ascii="宋体" w:hAnsi="宋体"/>
          <w:b/>
          <w:sz w:val="22"/>
          <w:szCs w:val="22"/>
          <w:u w:val="single"/>
        </w:rPr>
        <w:t>_</w:t>
      </w:r>
      <w:r>
        <w:rPr>
          <w:rFonts w:hint="eastAsia" w:ascii="宋体" w:hAnsi="宋体"/>
          <w:sz w:val="22"/>
          <w:szCs w:val="22"/>
        </w:rPr>
        <w:t>单位的</w:t>
      </w:r>
      <w:r>
        <w:rPr>
          <w:rFonts w:hint="eastAsia" w:ascii="宋体" w:hAnsi="宋体"/>
          <w:b/>
          <w:sz w:val="22"/>
          <w:szCs w:val="22"/>
          <w:u w:val="single"/>
        </w:rPr>
        <w:t>（采购项目名称）</w:t>
      </w:r>
      <w:r>
        <w:rPr>
          <w:rFonts w:hint="eastAsia" w:ascii="宋体" w:hAnsi="宋体"/>
          <w:sz w:val="22"/>
          <w:szCs w:val="22"/>
        </w:rPr>
        <w:t>项目采购活动，并由本单位提供服务</w:t>
      </w:r>
      <w:r>
        <w:rPr>
          <w:spacing w:val="6"/>
          <w:sz w:val="22"/>
          <w:szCs w:val="22"/>
        </w:rPr>
        <w:t>。</w:t>
      </w:r>
    </w:p>
    <w:p w14:paraId="21F9BB02">
      <w:pPr>
        <w:spacing w:line="360" w:lineRule="exact"/>
        <w:ind w:firstLine="464" w:firstLineChars="200"/>
        <w:jc w:val="left"/>
        <w:rPr>
          <w:spacing w:val="6"/>
          <w:sz w:val="22"/>
          <w:szCs w:val="22"/>
        </w:rPr>
      </w:pPr>
      <w:r>
        <w:rPr>
          <w:rFonts w:hint="eastAsia"/>
          <w:spacing w:val="6"/>
          <w:sz w:val="22"/>
          <w:szCs w:val="22"/>
        </w:rPr>
        <w:t>本单位对上述声明的真实性负责。如有虚假，将依法承担相应责任。</w:t>
      </w:r>
    </w:p>
    <w:p w14:paraId="02EB78F4">
      <w:pPr>
        <w:spacing w:line="360" w:lineRule="exact"/>
        <w:ind w:firstLine="464" w:firstLineChars="200"/>
        <w:jc w:val="left"/>
        <w:rPr>
          <w:rFonts w:ascii="宋体" w:hAnsi="宋体" w:cs="宋体"/>
          <w:b/>
          <w:spacing w:val="6"/>
          <w:sz w:val="22"/>
          <w:szCs w:val="22"/>
        </w:rPr>
      </w:pPr>
      <w:r>
        <w:rPr>
          <w:rFonts w:hint="eastAsia"/>
          <w:spacing w:val="6"/>
          <w:sz w:val="22"/>
          <w:szCs w:val="22"/>
        </w:rPr>
        <w:t>本单位知悉《关于促进残疾人就业政府采购政策的通知》(财库(2017141号)的规定,承诺提供的声明函内容是真实的,如提供声明函内容不实,则依法追究相关法律责任。</w:t>
      </w:r>
    </w:p>
    <w:p w14:paraId="3EA87DB0">
      <w:pPr>
        <w:spacing w:line="360" w:lineRule="exact"/>
        <w:ind w:firstLine="440" w:firstLineChars="200"/>
        <w:rPr>
          <w:rFonts w:ascii="宋体" w:hAnsi="宋体" w:cs="宋体"/>
          <w:sz w:val="22"/>
        </w:rPr>
      </w:pPr>
    </w:p>
    <w:p w14:paraId="559C1DD6">
      <w:pPr>
        <w:ind w:firstLine="5880" w:firstLineChars="2800"/>
        <w:jc w:val="left"/>
      </w:pPr>
      <w:r>
        <w:rPr>
          <w:rFonts w:hint="eastAsia" w:ascii="宋体" w:hAnsi="宋体"/>
        </w:rPr>
        <w:t>单位名称</w:t>
      </w:r>
      <w:r>
        <w:rPr>
          <w:rFonts w:hint="eastAsia" w:ascii="宋体" w:hAnsi="宋体" w:cs="宋体"/>
          <w:sz w:val="22"/>
          <w:szCs w:val="22"/>
        </w:rPr>
        <w:t>（盖章）</w:t>
      </w:r>
      <w:r>
        <w:rPr>
          <w:rFonts w:hint="eastAsia" w:ascii="宋体" w:hAnsi="宋体"/>
        </w:rPr>
        <w:t>：</w:t>
      </w:r>
      <w:r>
        <w:rPr>
          <w:rFonts w:hint="eastAsia"/>
          <w:u w:val="single"/>
        </w:rPr>
        <w:t xml:space="preserve">           </w:t>
      </w:r>
    </w:p>
    <w:p w14:paraId="70524585">
      <w:pPr>
        <w:ind w:firstLine="420" w:firstLineChars="200"/>
        <w:jc w:val="center"/>
      </w:pPr>
      <w:r>
        <w:rPr>
          <w:rFonts w:hint="eastAsia" w:ascii="宋体" w:hAnsi="宋体"/>
        </w:rPr>
        <w:t xml:space="preserve">                                  日期：</w:t>
      </w:r>
      <w:r>
        <w:rPr>
          <w:rFonts w:hint="eastAsia"/>
          <w:u w:val="single"/>
        </w:rPr>
        <w:t xml:space="preserve">               </w:t>
      </w:r>
    </w:p>
    <w:p w14:paraId="7A4563AE">
      <w:pPr>
        <w:spacing w:line="360" w:lineRule="exact"/>
        <w:rPr>
          <w:rFonts w:ascii="宋体" w:hAnsi="宋体" w:cs="宋体"/>
          <w:b/>
          <w:spacing w:val="6"/>
          <w:sz w:val="22"/>
        </w:rPr>
      </w:pPr>
    </w:p>
    <w:p w14:paraId="10F0C611">
      <w:pPr>
        <w:spacing w:line="360" w:lineRule="exact"/>
        <w:jc w:val="center"/>
        <w:rPr>
          <w:rFonts w:ascii="宋体" w:hAnsi="宋体" w:cs="宋体"/>
          <w:b/>
          <w:bCs/>
          <w:sz w:val="22"/>
        </w:rPr>
      </w:pPr>
      <w:r>
        <w:rPr>
          <w:rFonts w:hint="eastAsia" w:ascii="宋体" w:hAnsi="宋体" w:cs="宋体"/>
          <w:b/>
          <w:spacing w:val="6"/>
          <w:sz w:val="22"/>
        </w:rPr>
        <w:t>（三）</w:t>
      </w:r>
      <w:r>
        <w:rPr>
          <w:rFonts w:hint="eastAsia"/>
          <w:b/>
          <w:sz w:val="24"/>
        </w:rPr>
        <w:t>监狱企业声明函（</w:t>
      </w:r>
      <w:r>
        <w:rPr>
          <w:b/>
          <w:spacing w:val="6"/>
          <w:sz w:val="22"/>
        </w:rPr>
        <w:t>省级以上监狱管理局、戒毒管理局(含新疆生产建设兵团)出具的属于监狱企业的证明文件原件的扫描件</w:t>
      </w:r>
      <w:r>
        <w:rPr>
          <w:rFonts w:hint="eastAsia"/>
          <w:b/>
          <w:sz w:val="24"/>
        </w:rPr>
        <w:t>）</w:t>
      </w:r>
    </w:p>
    <w:p w14:paraId="5DB9884F">
      <w:pPr>
        <w:spacing w:line="360" w:lineRule="auto"/>
        <w:ind w:firstLine="466" w:firstLineChars="200"/>
        <w:rPr>
          <w:rFonts w:ascii="宋体"/>
          <w:sz w:val="22"/>
          <w:szCs w:val="22"/>
        </w:rPr>
      </w:pPr>
      <w:r>
        <w:rPr>
          <w:b/>
          <w:spacing w:val="6"/>
          <w:sz w:val="22"/>
        </w:rPr>
        <w:t xml:space="preserve"> </w:t>
      </w:r>
      <w:r>
        <w:rPr>
          <w:rFonts w:hint="eastAsia" w:ascii="宋体" w:hAnsi="宋体"/>
          <w:sz w:val="22"/>
          <w:szCs w:val="22"/>
        </w:rPr>
        <w:t>本单位郑重声明，根据《财政部 司法部 关于政府采购支持监狱企业发展有关问题的通知》（财库〔</w:t>
      </w:r>
      <w:r>
        <w:rPr>
          <w:rFonts w:ascii="宋体" w:hAnsi="宋体"/>
          <w:sz w:val="22"/>
          <w:szCs w:val="22"/>
        </w:rPr>
        <w:t>2014</w:t>
      </w:r>
      <w:r>
        <w:rPr>
          <w:rFonts w:hint="eastAsia" w:ascii="宋体" w:hAnsi="宋体"/>
          <w:sz w:val="22"/>
          <w:szCs w:val="22"/>
        </w:rPr>
        <w:t>〕</w:t>
      </w:r>
      <w:r>
        <w:rPr>
          <w:rFonts w:ascii="宋体" w:hAnsi="宋体"/>
          <w:sz w:val="22"/>
          <w:szCs w:val="22"/>
        </w:rPr>
        <w:t>68</w:t>
      </w:r>
      <w:r>
        <w:rPr>
          <w:rFonts w:hint="eastAsia" w:ascii="宋体" w:hAnsi="宋体"/>
          <w:sz w:val="22"/>
          <w:szCs w:val="22"/>
        </w:rPr>
        <w:t>号）的规定，本单位为符合条件的监狱企业，且本单位参加</w:t>
      </w:r>
      <w:r>
        <w:rPr>
          <w:rFonts w:ascii="宋体" w:hAnsi="宋体"/>
          <w:b/>
          <w:sz w:val="22"/>
          <w:szCs w:val="22"/>
        </w:rPr>
        <w:t>_</w:t>
      </w:r>
      <w:r>
        <w:rPr>
          <w:rFonts w:hint="eastAsia" w:ascii="宋体" w:hAnsi="宋体"/>
          <w:b/>
          <w:sz w:val="22"/>
          <w:szCs w:val="22"/>
        </w:rPr>
        <w:t>（采购单位名称）</w:t>
      </w:r>
      <w:r>
        <w:rPr>
          <w:rFonts w:ascii="宋体" w:hAnsi="宋体"/>
          <w:b/>
          <w:sz w:val="22"/>
          <w:szCs w:val="22"/>
        </w:rPr>
        <w:t>_</w:t>
      </w:r>
      <w:r>
        <w:rPr>
          <w:rFonts w:hint="eastAsia" w:ascii="宋体" w:hAnsi="宋体"/>
          <w:sz w:val="22"/>
          <w:szCs w:val="22"/>
        </w:rPr>
        <w:t>单位的</w:t>
      </w:r>
      <w:r>
        <w:rPr>
          <w:rFonts w:ascii="宋体" w:hAnsi="宋体"/>
          <w:b/>
          <w:sz w:val="22"/>
          <w:szCs w:val="22"/>
        </w:rPr>
        <w:t>_</w:t>
      </w:r>
      <w:r>
        <w:rPr>
          <w:rFonts w:hint="eastAsia" w:ascii="宋体" w:hAnsi="宋体"/>
          <w:b/>
          <w:sz w:val="22"/>
          <w:szCs w:val="22"/>
        </w:rPr>
        <w:t>（采购项目名称）</w:t>
      </w:r>
      <w:r>
        <w:rPr>
          <w:rFonts w:ascii="宋体" w:hAnsi="宋体"/>
          <w:b/>
          <w:sz w:val="22"/>
          <w:szCs w:val="22"/>
        </w:rPr>
        <w:t>_</w:t>
      </w:r>
      <w:r>
        <w:rPr>
          <w:rFonts w:hint="eastAsia" w:ascii="宋体" w:hAnsi="宋体"/>
          <w:sz w:val="22"/>
          <w:szCs w:val="22"/>
        </w:rPr>
        <w:t>项目采购活动，并由本单位提供服务。</w:t>
      </w:r>
    </w:p>
    <w:p w14:paraId="78268B19">
      <w:pPr>
        <w:spacing w:line="360" w:lineRule="auto"/>
        <w:ind w:firstLine="440" w:firstLineChars="200"/>
        <w:rPr>
          <w:rFonts w:ascii="宋体"/>
          <w:sz w:val="22"/>
          <w:szCs w:val="22"/>
        </w:rPr>
      </w:pPr>
      <w:r>
        <w:rPr>
          <w:rFonts w:hint="eastAsia" w:ascii="宋体" w:hAnsi="宋体"/>
          <w:sz w:val="22"/>
          <w:szCs w:val="22"/>
        </w:rPr>
        <w:t>本单位对上述声明的真实性负责。如有虚假，将依法承担相应责任。</w:t>
      </w:r>
    </w:p>
    <w:p w14:paraId="1E1BFD6D">
      <w:pPr>
        <w:spacing w:line="360" w:lineRule="auto"/>
        <w:rPr>
          <w:rFonts w:ascii="宋体"/>
          <w:sz w:val="22"/>
          <w:szCs w:val="22"/>
        </w:rPr>
      </w:pPr>
      <w:r>
        <w:rPr>
          <w:rFonts w:hint="eastAsia" w:ascii="宋体" w:hAnsi="宋体"/>
          <w:sz w:val="22"/>
          <w:szCs w:val="22"/>
        </w:rPr>
        <w:t>附：省级以上监狱管理局、戒毒管理局（含新疆生产建设兵团）出具的监狱企业证明文件。</w:t>
      </w:r>
    </w:p>
    <w:p w14:paraId="668C323E">
      <w:pPr>
        <w:spacing w:line="360" w:lineRule="auto"/>
        <w:ind w:firstLine="5720" w:firstLineChars="2600"/>
        <w:jc w:val="left"/>
        <w:rPr>
          <w:sz w:val="22"/>
          <w:szCs w:val="22"/>
        </w:rPr>
      </w:pPr>
      <w:r>
        <w:rPr>
          <w:rFonts w:hint="eastAsia" w:ascii="宋体" w:hAnsi="宋体"/>
          <w:sz w:val="22"/>
          <w:szCs w:val="22"/>
        </w:rPr>
        <w:t>单位名称</w:t>
      </w:r>
      <w:r>
        <w:rPr>
          <w:rFonts w:hint="eastAsia" w:ascii="宋体" w:hAnsi="宋体" w:cs="宋体"/>
          <w:sz w:val="22"/>
          <w:szCs w:val="22"/>
        </w:rPr>
        <w:t>（盖章）</w:t>
      </w:r>
      <w:r>
        <w:rPr>
          <w:rFonts w:hint="eastAsia" w:ascii="宋体" w:hAnsi="宋体"/>
          <w:sz w:val="22"/>
          <w:szCs w:val="22"/>
        </w:rPr>
        <w:t>：</w:t>
      </w:r>
      <w:r>
        <w:rPr>
          <w:rFonts w:hint="eastAsia"/>
          <w:sz w:val="22"/>
          <w:szCs w:val="22"/>
          <w:u w:val="single"/>
        </w:rPr>
        <w:t xml:space="preserve">           </w:t>
      </w:r>
    </w:p>
    <w:p w14:paraId="5A9B472E">
      <w:pPr>
        <w:spacing w:line="360" w:lineRule="auto"/>
        <w:ind w:firstLine="440" w:firstLineChars="200"/>
        <w:jc w:val="center"/>
        <w:rPr>
          <w:sz w:val="22"/>
          <w:szCs w:val="22"/>
        </w:rPr>
      </w:pPr>
      <w:r>
        <w:rPr>
          <w:rFonts w:hint="eastAsia" w:ascii="宋体" w:hAnsi="宋体"/>
          <w:sz w:val="22"/>
          <w:szCs w:val="22"/>
        </w:rPr>
        <w:t xml:space="preserve">                                  日期：</w:t>
      </w:r>
      <w:r>
        <w:rPr>
          <w:rFonts w:hint="eastAsia"/>
          <w:sz w:val="22"/>
          <w:szCs w:val="22"/>
          <w:u w:val="single"/>
        </w:rPr>
        <w:t xml:space="preserve">               </w:t>
      </w:r>
    </w:p>
    <w:p w14:paraId="68A9E0C4">
      <w:pPr>
        <w:pStyle w:val="28"/>
        <w:rPr>
          <w:rFonts w:ascii="宋体" w:hAnsi="宋体" w:cs="宋体"/>
        </w:rPr>
      </w:pPr>
    </w:p>
    <w:p w14:paraId="7C5AC582">
      <w:pPr>
        <w:rPr>
          <w:rFonts w:ascii="宋体" w:hAnsi="宋体" w:cs="宋体"/>
          <w:b/>
          <w:bCs/>
          <w:sz w:val="32"/>
          <w:szCs w:val="32"/>
        </w:rPr>
      </w:pPr>
      <w:r>
        <w:rPr>
          <w:rFonts w:hint="eastAsia" w:ascii="宋体" w:hAnsi="宋体" w:cs="宋体"/>
          <w:b/>
          <w:bCs/>
          <w:sz w:val="32"/>
          <w:szCs w:val="32"/>
        </w:rPr>
        <w:br w:type="page"/>
      </w:r>
    </w:p>
    <w:p w14:paraId="3621B839">
      <w:pPr>
        <w:numPr>
          <w:ilvl w:val="0"/>
          <w:numId w:val="5"/>
        </w:numPr>
        <w:ind w:firstLine="0"/>
        <w:jc w:val="center"/>
        <w:outlineLvl w:val="2"/>
        <w:rPr>
          <w:rFonts w:ascii="宋体" w:hAnsi="宋体" w:cs="宋体"/>
          <w:b/>
          <w:bCs/>
          <w:sz w:val="32"/>
          <w:szCs w:val="32"/>
        </w:rPr>
      </w:pPr>
      <w:r>
        <w:rPr>
          <w:rFonts w:hint="eastAsia" w:ascii="宋体" w:hAnsi="宋体" w:cs="宋体"/>
          <w:b/>
          <w:bCs/>
          <w:sz w:val="32"/>
          <w:szCs w:val="32"/>
        </w:rPr>
        <w:t>招标文件要求的其他内容及投标人认为需要加以说明的其他内容</w:t>
      </w:r>
    </w:p>
    <w:p w14:paraId="7324AFCC">
      <w:pPr>
        <w:pStyle w:val="9"/>
        <w:rPr>
          <w:rFonts w:ascii="宋体" w:hAnsi="宋体" w:cs="宋体"/>
          <w:szCs w:val="22"/>
        </w:rPr>
      </w:pPr>
      <w:r>
        <w:rPr>
          <w:rFonts w:hint="eastAsia" w:ascii="宋体" w:hAnsi="宋体" w:cs="宋体"/>
        </w:rPr>
        <w:br w:type="page"/>
      </w:r>
    </w:p>
    <w:p w14:paraId="26D44314">
      <w:pPr>
        <w:rPr>
          <w:rFonts w:ascii="宋体" w:hAnsi="宋体" w:cs="宋体"/>
          <w:szCs w:val="22"/>
        </w:rPr>
      </w:pPr>
    </w:p>
    <w:p w14:paraId="1BF660B8">
      <w:pPr>
        <w:rPr>
          <w:rFonts w:ascii="宋体" w:hAnsi="宋体" w:cs="宋体"/>
          <w:szCs w:val="22"/>
        </w:rPr>
      </w:pPr>
    </w:p>
    <w:p w14:paraId="48BB47CA">
      <w:pPr>
        <w:rPr>
          <w:rFonts w:ascii="宋体" w:hAnsi="宋体" w:cs="宋体"/>
          <w:szCs w:val="22"/>
        </w:rPr>
      </w:pPr>
    </w:p>
    <w:p w14:paraId="33468F85">
      <w:pPr>
        <w:rPr>
          <w:rFonts w:ascii="宋体" w:hAnsi="宋体" w:cs="宋体"/>
          <w:szCs w:val="22"/>
        </w:rPr>
      </w:pPr>
    </w:p>
    <w:p w14:paraId="533FC755">
      <w:pPr>
        <w:rPr>
          <w:rFonts w:ascii="宋体" w:hAnsi="宋体" w:cs="宋体"/>
          <w:szCs w:val="22"/>
        </w:rPr>
      </w:pPr>
    </w:p>
    <w:p w14:paraId="0FC08018">
      <w:pPr>
        <w:rPr>
          <w:rFonts w:ascii="宋体" w:hAnsi="宋体" w:cs="宋体"/>
          <w:szCs w:val="22"/>
        </w:rPr>
      </w:pPr>
    </w:p>
    <w:p w14:paraId="0BEE100D">
      <w:pPr>
        <w:rPr>
          <w:rFonts w:ascii="宋体" w:hAnsi="宋体" w:cs="宋体"/>
          <w:szCs w:val="22"/>
        </w:rPr>
      </w:pPr>
    </w:p>
    <w:p w14:paraId="7D034AD6">
      <w:pPr>
        <w:rPr>
          <w:rFonts w:ascii="宋体" w:hAnsi="宋体" w:cs="宋体"/>
          <w:szCs w:val="22"/>
        </w:rPr>
      </w:pPr>
    </w:p>
    <w:p w14:paraId="2FCB632D">
      <w:pPr>
        <w:rPr>
          <w:rFonts w:ascii="宋体" w:hAnsi="宋体" w:cs="宋体"/>
          <w:szCs w:val="22"/>
        </w:rPr>
      </w:pPr>
    </w:p>
    <w:p w14:paraId="0B10457E">
      <w:pPr>
        <w:rPr>
          <w:rFonts w:ascii="宋体" w:hAnsi="宋体" w:cs="宋体"/>
          <w:szCs w:val="22"/>
        </w:rPr>
      </w:pPr>
    </w:p>
    <w:p w14:paraId="65D38D5C">
      <w:pPr>
        <w:rPr>
          <w:rFonts w:ascii="宋体" w:hAnsi="宋体" w:cs="宋体"/>
          <w:b/>
          <w:kern w:val="0"/>
          <w:sz w:val="36"/>
          <w:szCs w:val="36"/>
        </w:rPr>
      </w:pPr>
    </w:p>
    <w:p w14:paraId="15BC878B">
      <w:pPr>
        <w:pStyle w:val="5"/>
        <w:rPr>
          <w:rFonts w:ascii="宋体" w:hAnsi="宋体" w:cs="宋体"/>
          <w:sz w:val="36"/>
          <w:szCs w:val="36"/>
        </w:rPr>
      </w:pPr>
      <w:r>
        <w:rPr>
          <w:rFonts w:hint="eastAsia" w:ascii="宋体" w:hAnsi="宋体" w:cs="宋体"/>
          <w:sz w:val="36"/>
          <w:szCs w:val="36"/>
        </w:rPr>
        <w:t>第四章  政府采购合同的签订、履约及验收</w:t>
      </w:r>
    </w:p>
    <w:p w14:paraId="3EA2DBCB">
      <w:pPr>
        <w:jc w:val="center"/>
        <w:rPr>
          <w:rFonts w:ascii="宋体" w:hAnsi="宋体" w:cs="宋体"/>
          <w:b/>
          <w:sz w:val="36"/>
          <w:szCs w:val="36"/>
        </w:rPr>
      </w:pPr>
      <w:r>
        <w:rPr>
          <w:rFonts w:hint="eastAsia" w:ascii="宋体" w:hAnsi="宋体" w:cs="宋体"/>
          <w:b/>
          <w:sz w:val="36"/>
          <w:szCs w:val="36"/>
        </w:rPr>
        <w:br w:type="page"/>
      </w:r>
    </w:p>
    <w:p w14:paraId="228FA18D">
      <w:pPr>
        <w:jc w:val="center"/>
        <w:rPr>
          <w:rFonts w:ascii="宋体" w:hAnsi="宋体" w:cs="宋体"/>
          <w:b/>
          <w:sz w:val="36"/>
          <w:szCs w:val="36"/>
        </w:rPr>
      </w:pPr>
    </w:p>
    <w:p w14:paraId="369403B8">
      <w:pPr>
        <w:pStyle w:val="4"/>
        <w:ind w:firstLine="420"/>
        <w:rPr>
          <w:rFonts w:ascii="宋体" w:hAnsi="宋体" w:cs="宋体"/>
        </w:rPr>
      </w:pPr>
      <w:r>
        <w:rPr>
          <w:rFonts w:hint="eastAsia" w:ascii="宋体" w:hAnsi="宋体" w:cs="宋体"/>
        </w:rPr>
        <w:t>一、</w:t>
      </w:r>
      <w:r>
        <w:rPr>
          <w:rFonts w:hint="eastAsia" w:ascii="宋体" w:hAnsi="宋体" w:cs="宋体"/>
          <w:b/>
          <w:kern w:val="0"/>
          <w:sz w:val="24"/>
        </w:rPr>
        <w:t>重要提示</w:t>
      </w:r>
    </w:p>
    <w:p w14:paraId="0FF0D53D">
      <w:pPr>
        <w:ind w:firstLine="420" w:firstLineChars="200"/>
        <w:rPr>
          <w:rFonts w:ascii="宋体" w:hAnsi="宋体" w:cs="宋体"/>
        </w:rPr>
      </w:pPr>
      <w:r>
        <w:rPr>
          <w:rFonts w:hint="eastAsia" w:ascii="宋体" w:hAnsi="宋体" w:cs="宋体"/>
        </w:rPr>
        <w:t>（一）参照《深圳经济特区政府采购条例》规定：供应商在政府采购中，未按本条例规定签订、履行采购合同，造成严重后果的，一至三年内禁止其参与本市政府采购，并由主管部门记入供应商诚信档案，处以采购金额千分之十以上千分之二十以下的罚款；情节严重的，取消其参与本市政府采购资格，处以采购金额千分之二十以上千分之三十以下的罚款，并由市场监管部门依法吊销其营业执照；给他人造成损失的，依法承担赔偿责任；涉嫌犯罪的，依法移送司法机关处理。</w:t>
      </w:r>
    </w:p>
    <w:p w14:paraId="416886E1">
      <w:pPr>
        <w:ind w:firstLine="420" w:firstLineChars="200"/>
        <w:rPr>
          <w:rFonts w:ascii="宋体" w:hAnsi="宋体" w:cs="宋体"/>
        </w:rPr>
      </w:pPr>
      <w:r>
        <w:rPr>
          <w:rFonts w:hint="eastAsia" w:ascii="宋体" w:hAnsi="宋体" w:cs="宋体"/>
        </w:rPr>
        <w:t>（二）供应商必须诚信投标，对项目需求进行实质性响应。采购单位（或深圳市东海国际招标有限公司）将组织聘请第三方专业机构（必要时，邀请参加本项目投标的供应商）实施项目履约验收，如未按合同履约，将按上述第（一）条规定进行处理。</w:t>
      </w:r>
    </w:p>
    <w:p w14:paraId="628B2203">
      <w:pPr>
        <w:pStyle w:val="4"/>
        <w:ind w:firstLine="420"/>
        <w:rPr>
          <w:rFonts w:ascii="宋体" w:hAnsi="宋体" w:cs="宋体"/>
          <w:b/>
          <w:kern w:val="0"/>
          <w:sz w:val="24"/>
        </w:rPr>
      </w:pPr>
      <w:r>
        <w:rPr>
          <w:rFonts w:hint="eastAsia" w:ascii="宋体" w:hAnsi="宋体" w:cs="宋体"/>
        </w:rPr>
        <w:br w:type="page"/>
      </w:r>
      <w:r>
        <w:rPr>
          <w:rFonts w:hint="eastAsia" w:ascii="宋体" w:hAnsi="宋体" w:cs="宋体"/>
          <w:b/>
          <w:kern w:val="0"/>
          <w:sz w:val="24"/>
        </w:rPr>
        <w:t>二、合同条款及格式</w:t>
      </w:r>
    </w:p>
    <w:p w14:paraId="5EF5EA90">
      <w:pPr>
        <w:jc w:val="center"/>
        <w:rPr>
          <w:rFonts w:asciiTheme="minorEastAsia" w:hAnsiTheme="minorEastAsia" w:eastAsiaTheme="minorEastAsia" w:cstheme="minorEastAsia"/>
          <w:color w:val="000000"/>
          <w:szCs w:val="21"/>
        </w:rPr>
      </w:pPr>
      <w:r>
        <w:rPr>
          <w:rFonts w:hint="eastAsia" w:asciiTheme="minorEastAsia" w:hAnsiTheme="minorEastAsia" w:eastAsiaTheme="minorEastAsia" w:cstheme="minorEastAsia"/>
          <w:b/>
          <w:color w:val="000000"/>
          <w:szCs w:val="21"/>
        </w:rPr>
        <w:t>（重要说明：采购人在签订合同前有权依据招标文件要求和项目实际情况对以下合同内容进行删改或补充。）</w:t>
      </w:r>
    </w:p>
    <w:p w14:paraId="43D711E3">
      <w:pPr>
        <w:widowControl/>
        <w:jc w:val="center"/>
        <w:rPr>
          <w:rFonts w:hint="eastAsia" w:ascii="宋体" w:hAnsi="宋体" w:eastAsia="宋体" w:cs="宋体"/>
          <w:color w:val="000000"/>
          <w:kern w:val="0"/>
          <w:sz w:val="27"/>
          <w:szCs w:val="27"/>
        </w:rPr>
      </w:pPr>
    </w:p>
    <w:p w14:paraId="7AE1DF49">
      <w:pPr>
        <w:widowControl/>
        <w:jc w:val="center"/>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color w:val="000000"/>
          <w:kern w:val="0"/>
          <w:sz w:val="22"/>
          <w:szCs w:val="22"/>
        </w:rPr>
        <w:br w:type="textWrapping"/>
      </w:r>
      <w:r>
        <w:rPr>
          <w:rFonts w:hint="default" w:ascii="Times New Roman" w:hAnsi="Times New Roman" w:eastAsia="宋体" w:cs="Times New Roman"/>
          <w:b/>
          <w:color w:val="000000"/>
          <w:kern w:val="0"/>
          <w:sz w:val="22"/>
          <w:szCs w:val="22"/>
        </w:rPr>
        <w:t>　　</w:t>
      </w:r>
      <w:r>
        <w:rPr>
          <w:rFonts w:hint="default" w:ascii="Times New Roman" w:hAnsi="Times New Roman" w:eastAsia="宋体" w:cs="Times New Roman"/>
          <w:b/>
          <w:color w:val="000000"/>
          <w:kern w:val="0"/>
          <w:sz w:val="22"/>
          <w:szCs w:val="22"/>
          <w:u w:val="single"/>
        </w:rPr>
        <w:t>　　　　 </w:t>
      </w:r>
      <w:r>
        <w:rPr>
          <w:rFonts w:hint="default" w:ascii="Times New Roman" w:hAnsi="Times New Roman" w:eastAsia="宋体" w:cs="Times New Roman"/>
          <w:b/>
          <w:color w:val="000000"/>
          <w:kern w:val="0"/>
          <w:sz w:val="22"/>
          <w:szCs w:val="22"/>
        </w:rPr>
        <w:t>政府采购合同书</w:t>
      </w:r>
      <w:r>
        <w:rPr>
          <w:rFonts w:hint="default" w:ascii="Times New Roman" w:hAnsi="Times New Roman" w:eastAsia="宋体" w:cs="Times New Roman"/>
          <w:b/>
          <w:color w:val="000000"/>
          <w:kern w:val="0"/>
          <w:sz w:val="22"/>
          <w:szCs w:val="22"/>
        </w:rPr>
        <w:br w:type="textWrapping"/>
      </w:r>
      <w:r>
        <w:rPr>
          <w:rFonts w:hint="default" w:ascii="Times New Roman" w:hAnsi="Times New Roman" w:eastAsia="宋体" w:cs="Times New Roman"/>
          <w:b/>
          <w:color w:val="000000"/>
          <w:kern w:val="0"/>
          <w:sz w:val="22"/>
          <w:szCs w:val="22"/>
        </w:rPr>
        <w:t>　　（服务类）</w:t>
      </w:r>
    </w:p>
    <w:p w14:paraId="7BD4A3CD">
      <w:pPr>
        <w:widowControl/>
        <w:jc w:val="left"/>
        <w:rPr>
          <w:rFonts w:hint="default" w:ascii="Times New Roman" w:hAnsi="Times New Roman" w:eastAsia="宋体" w:cs="Times New Roman"/>
          <w:color w:val="000000"/>
          <w:kern w:val="0"/>
          <w:sz w:val="22"/>
          <w:szCs w:val="22"/>
          <w:u w:val="single"/>
        </w:rPr>
      </w:pPr>
      <w:r>
        <w:rPr>
          <w:rFonts w:hint="default" w:ascii="Times New Roman" w:hAnsi="Times New Roman" w:eastAsia="宋体" w:cs="Times New Roman"/>
          <w:color w:val="000000"/>
          <w:kern w:val="0"/>
          <w:sz w:val="22"/>
          <w:szCs w:val="22"/>
        </w:rPr>
        <w:br w:type="textWrapping"/>
      </w:r>
      <w:r>
        <w:rPr>
          <w:rFonts w:hint="default" w:ascii="Times New Roman" w:hAnsi="Times New Roman" w:eastAsia="宋体" w:cs="Times New Roman"/>
          <w:color w:val="000000"/>
          <w:kern w:val="0"/>
          <w:sz w:val="22"/>
          <w:szCs w:val="22"/>
        </w:rPr>
        <w:t>　　甲方：</w:t>
      </w:r>
      <w:r>
        <w:rPr>
          <w:rFonts w:hint="default" w:ascii="Times New Roman" w:hAnsi="Times New Roman" w:eastAsia="宋体" w:cs="Times New Roman"/>
          <w:color w:val="000000"/>
          <w:kern w:val="0"/>
          <w:sz w:val="22"/>
          <w:szCs w:val="22"/>
          <w:u w:val="single"/>
        </w:rPr>
        <w:t>　　　　　　　　 </w:t>
      </w:r>
    </w:p>
    <w:p w14:paraId="458003BE">
      <w:pPr>
        <w:widowControl/>
        <w:ind w:firstLine="440" w:firstLineChars="200"/>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住所地：</w:t>
      </w:r>
    </w:p>
    <w:p w14:paraId="5E0FD6FD">
      <w:pPr>
        <w:widowControl/>
        <w:ind w:firstLine="440" w:firstLineChars="200"/>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法定代表人：</w:t>
      </w:r>
    </w:p>
    <w:p w14:paraId="530949A0">
      <w:pPr>
        <w:widowControl/>
        <w:ind w:firstLine="440" w:firstLineChars="200"/>
        <w:jc w:val="left"/>
        <w:rPr>
          <w:rFonts w:hint="default" w:ascii="Times New Roman" w:hAnsi="Times New Roman" w:eastAsia="宋体" w:cs="Times New Roman"/>
          <w:color w:val="000000"/>
          <w:kern w:val="0"/>
          <w:sz w:val="22"/>
          <w:szCs w:val="22"/>
        </w:rPr>
      </w:pPr>
    </w:p>
    <w:p w14:paraId="37824444">
      <w:pPr>
        <w:widowControl/>
        <w:jc w:val="left"/>
        <w:rPr>
          <w:rFonts w:hint="default" w:ascii="Times New Roman" w:hAnsi="Times New Roman" w:eastAsia="宋体" w:cs="Times New Roman"/>
          <w:color w:val="000000"/>
          <w:kern w:val="0"/>
          <w:sz w:val="22"/>
          <w:szCs w:val="22"/>
          <w:u w:val="single"/>
        </w:rPr>
      </w:pPr>
      <w:r>
        <w:rPr>
          <w:rFonts w:hint="default" w:ascii="Times New Roman" w:hAnsi="Times New Roman" w:eastAsia="宋体" w:cs="Times New Roman"/>
          <w:color w:val="000000"/>
          <w:kern w:val="0"/>
          <w:sz w:val="22"/>
          <w:szCs w:val="22"/>
        </w:rPr>
        <w:t>　  乙方：</w:t>
      </w:r>
      <w:r>
        <w:rPr>
          <w:rFonts w:hint="default" w:ascii="Times New Roman" w:hAnsi="Times New Roman" w:eastAsia="宋体" w:cs="Times New Roman"/>
          <w:color w:val="000000"/>
          <w:kern w:val="0"/>
          <w:sz w:val="22"/>
          <w:szCs w:val="22"/>
          <w:u w:val="single"/>
        </w:rPr>
        <w:t>　　　　　　　　 </w:t>
      </w:r>
    </w:p>
    <w:p w14:paraId="25AA241C">
      <w:pPr>
        <w:widowControl/>
        <w:ind w:firstLine="440" w:firstLineChars="200"/>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住所地：</w:t>
      </w:r>
    </w:p>
    <w:p w14:paraId="7A0F3D0F">
      <w:pPr>
        <w:widowControl/>
        <w:ind w:firstLine="440" w:firstLineChars="200"/>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法定代表人：</w:t>
      </w:r>
    </w:p>
    <w:p w14:paraId="6DCB6D1F">
      <w:pPr>
        <w:widowControl/>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br w:type="textWrapping"/>
      </w:r>
      <w:r>
        <w:rPr>
          <w:rFonts w:hint="default" w:ascii="Times New Roman" w:hAnsi="Times New Roman" w:eastAsia="宋体" w:cs="Times New Roman"/>
          <w:color w:val="000000"/>
          <w:kern w:val="0"/>
          <w:sz w:val="22"/>
          <w:szCs w:val="22"/>
        </w:rPr>
        <w:t>　　根据 </w:t>
      </w:r>
      <w:r>
        <w:rPr>
          <w:rFonts w:hint="default" w:ascii="Times New Roman" w:hAnsi="Times New Roman" w:eastAsia="宋体" w:cs="Times New Roman"/>
          <w:color w:val="000000"/>
          <w:kern w:val="0"/>
          <w:sz w:val="22"/>
          <w:szCs w:val="22"/>
          <w:u w:val="single"/>
        </w:rPr>
        <w:t>　　　　　　　项目</w:t>
      </w:r>
      <w:r>
        <w:rPr>
          <w:rFonts w:hint="default" w:ascii="Times New Roman" w:hAnsi="Times New Roman" w:eastAsia="宋体" w:cs="Times New Roman"/>
          <w:color w:val="000000"/>
          <w:kern w:val="0"/>
          <w:sz w:val="22"/>
          <w:szCs w:val="22"/>
        </w:rPr>
        <w:t>的采购结果，按照《中华人民共和国政府采购法》</w:t>
      </w:r>
      <w:r>
        <w:rPr>
          <w:rFonts w:hint="eastAsia" w:ascii="Times New Roman" w:hAnsi="Times New Roman" w:cs="Times New Roman"/>
          <w:color w:val="000000"/>
          <w:kern w:val="0"/>
          <w:sz w:val="22"/>
          <w:szCs w:val="22"/>
          <w:lang w:eastAsia="zh-CN"/>
        </w:rPr>
        <w:t>等</w:t>
      </w:r>
      <w:r>
        <w:rPr>
          <w:rFonts w:hint="default" w:ascii="Times New Roman" w:hAnsi="Times New Roman" w:eastAsia="宋体" w:cs="Times New Roman"/>
          <w:color w:val="000000"/>
          <w:kern w:val="0"/>
          <w:sz w:val="22"/>
          <w:szCs w:val="22"/>
        </w:rPr>
        <w:t>规定，经双方协商，本着平等互利和诚实信用的原则，一致同意签订本合同如下。</w:t>
      </w:r>
      <w:r>
        <w:rPr>
          <w:rFonts w:hint="default" w:ascii="Times New Roman" w:hAnsi="Times New Roman" w:eastAsia="宋体" w:cs="Times New Roman"/>
          <w:color w:val="000000"/>
          <w:kern w:val="0"/>
          <w:sz w:val="22"/>
          <w:szCs w:val="22"/>
        </w:rPr>
        <w:br w:type="textWrapping"/>
      </w:r>
      <w:r>
        <w:rPr>
          <w:rFonts w:hint="default" w:ascii="Times New Roman" w:hAnsi="Times New Roman" w:eastAsia="宋体" w:cs="Times New Roman"/>
          <w:color w:val="000000"/>
          <w:kern w:val="0"/>
          <w:sz w:val="22"/>
          <w:szCs w:val="22"/>
        </w:rPr>
        <w:t>　　</w:t>
      </w:r>
      <w:r>
        <w:rPr>
          <w:rFonts w:hint="default" w:ascii="Times New Roman" w:hAnsi="Times New Roman" w:eastAsia="宋体" w:cs="Times New Roman"/>
          <w:b/>
          <w:color w:val="000000"/>
          <w:kern w:val="0"/>
          <w:sz w:val="22"/>
          <w:szCs w:val="22"/>
        </w:rPr>
        <w:t>一、合同金额</w:t>
      </w:r>
      <w:r>
        <w:rPr>
          <w:rFonts w:hint="default" w:ascii="Times New Roman" w:hAnsi="Times New Roman" w:eastAsia="宋体" w:cs="Times New Roman"/>
          <w:color w:val="000000"/>
          <w:kern w:val="0"/>
          <w:sz w:val="22"/>
          <w:szCs w:val="22"/>
        </w:rPr>
        <w:br w:type="textWrapping"/>
      </w:r>
      <w:r>
        <w:rPr>
          <w:rFonts w:hint="default" w:ascii="Times New Roman" w:hAnsi="Times New Roman" w:eastAsia="宋体" w:cs="Times New Roman"/>
          <w:color w:val="000000"/>
          <w:kern w:val="0"/>
          <w:sz w:val="22"/>
          <w:szCs w:val="22"/>
        </w:rPr>
        <w:t>　　合同金额为（大写）：_________________元（￥_______________元）人民币（本合同金额为含税价）。</w:t>
      </w:r>
      <w:r>
        <w:rPr>
          <w:rFonts w:hint="default" w:ascii="Times New Roman" w:hAnsi="Times New Roman" w:eastAsia="宋体" w:cs="Times New Roman"/>
          <w:color w:val="000000"/>
          <w:kern w:val="0"/>
          <w:sz w:val="22"/>
          <w:szCs w:val="22"/>
        </w:rPr>
        <w:br w:type="textWrapping"/>
      </w:r>
      <w:r>
        <w:rPr>
          <w:rFonts w:hint="default" w:ascii="Times New Roman" w:hAnsi="Times New Roman" w:eastAsia="宋体" w:cs="Times New Roman"/>
          <w:color w:val="000000"/>
          <w:kern w:val="0"/>
          <w:sz w:val="22"/>
          <w:szCs w:val="22"/>
        </w:rPr>
        <w:t>　</w:t>
      </w:r>
      <w:r>
        <w:rPr>
          <w:rFonts w:hint="default" w:ascii="Times New Roman" w:hAnsi="Times New Roman" w:eastAsia="宋体" w:cs="Times New Roman"/>
          <w:b/>
          <w:color w:val="000000"/>
          <w:kern w:val="0"/>
          <w:sz w:val="22"/>
          <w:szCs w:val="22"/>
        </w:rPr>
        <w:t>　二、服务范围</w:t>
      </w:r>
      <w:r>
        <w:rPr>
          <w:rFonts w:hint="default" w:ascii="Times New Roman" w:hAnsi="Times New Roman" w:eastAsia="宋体" w:cs="Times New Roman"/>
          <w:color w:val="000000"/>
          <w:kern w:val="0"/>
          <w:sz w:val="22"/>
          <w:szCs w:val="22"/>
        </w:rPr>
        <w:br w:type="textWrapping"/>
      </w:r>
      <w:r>
        <w:rPr>
          <w:rFonts w:hint="default" w:ascii="Times New Roman" w:hAnsi="Times New Roman" w:eastAsia="宋体" w:cs="Times New Roman"/>
          <w:color w:val="000000"/>
          <w:kern w:val="0"/>
          <w:sz w:val="22"/>
          <w:szCs w:val="22"/>
        </w:rPr>
        <w:t>　　甲方聘请乙方提供以下服务：</w:t>
      </w:r>
      <w:r>
        <w:rPr>
          <w:rFonts w:hint="default" w:ascii="Times New Roman" w:hAnsi="Times New Roman" w:eastAsia="宋体" w:cs="Times New Roman"/>
          <w:color w:val="000000"/>
          <w:kern w:val="0"/>
          <w:sz w:val="22"/>
          <w:szCs w:val="22"/>
        </w:rPr>
        <w:br w:type="textWrapping"/>
      </w:r>
      <w:r>
        <w:rPr>
          <w:rFonts w:hint="default" w:ascii="Times New Roman" w:hAnsi="Times New Roman" w:eastAsia="宋体" w:cs="Times New Roman"/>
          <w:color w:val="000000"/>
          <w:kern w:val="0"/>
          <w:sz w:val="22"/>
          <w:szCs w:val="22"/>
        </w:rPr>
        <w:t>　　1．本合同项下的服务指</w:t>
      </w:r>
      <w:r>
        <w:rPr>
          <w:rFonts w:hint="default" w:ascii="Times New Roman" w:hAnsi="Times New Roman" w:eastAsia="宋体" w:cs="Times New Roman"/>
          <w:color w:val="000000"/>
          <w:kern w:val="0"/>
          <w:sz w:val="22"/>
          <w:szCs w:val="22"/>
          <w:u w:val="single"/>
        </w:rPr>
        <w:t>　　　　　　　　　　　　　　</w:t>
      </w:r>
      <w:r>
        <w:rPr>
          <w:rFonts w:hint="default" w:ascii="Times New Roman" w:hAnsi="Times New Roman" w:eastAsia="宋体" w:cs="Times New Roman"/>
          <w:color w:val="000000"/>
          <w:kern w:val="0"/>
          <w:sz w:val="22"/>
          <w:szCs w:val="22"/>
        </w:rPr>
        <w:t>。</w:t>
      </w:r>
      <w:r>
        <w:rPr>
          <w:rFonts w:hint="default" w:ascii="Times New Roman" w:hAnsi="Times New Roman" w:eastAsia="宋体" w:cs="Times New Roman"/>
          <w:color w:val="000000"/>
          <w:kern w:val="0"/>
          <w:sz w:val="22"/>
          <w:szCs w:val="22"/>
        </w:rPr>
        <w:br w:type="textWrapping"/>
      </w:r>
      <w:r>
        <w:rPr>
          <w:rFonts w:hint="default" w:ascii="Times New Roman" w:hAnsi="Times New Roman" w:eastAsia="宋体" w:cs="Times New Roman"/>
          <w:color w:val="000000"/>
          <w:kern w:val="0"/>
          <w:sz w:val="22"/>
          <w:szCs w:val="22"/>
        </w:rPr>
        <w:t>　　2．......</w:t>
      </w:r>
      <w:r>
        <w:rPr>
          <w:rFonts w:hint="default" w:ascii="Times New Roman" w:hAnsi="Times New Roman" w:eastAsia="宋体" w:cs="Times New Roman"/>
          <w:color w:val="000000"/>
          <w:kern w:val="0"/>
          <w:sz w:val="22"/>
          <w:szCs w:val="22"/>
        </w:rPr>
        <w:br w:type="textWrapping"/>
      </w:r>
      <w:r>
        <w:rPr>
          <w:rFonts w:hint="default" w:ascii="Times New Roman" w:hAnsi="Times New Roman" w:eastAsia="宋体" w:cs="Times New Roman"/>
          <w:color w:val="000000"/>
          <w:kern w:val="0"/>
          <w:sz w:val="22"/>
          <w:szCs w:val="22"/>
        </w:rPr>
        <w:t>　　3．......</w:t>
      </w:r>
      <w:r>
        <w:rPr>
          <w:rFonts w:hint="default" w:ascii="Times New Roman" w:hAnsi="Times New Roman" w:eastAsia="宋体" w:cs="Times New Roman"/>
          <w:color w:val="000000"/>
          <w:kern w:val="0"/>
          <w:sz w:val="22"/>
          <w:szCs w:val="22"/>
        </w:rPr>
        <w:br w:type="textWrapping"/>
      </w:r>
      <w:r>
        <w:rPr>
          <w:rFonts w:hint="default" w:ascii="Times New Roman" w:hAnsi="Times New Roman" w:eastAsia="宋体" w:cs="Times New Roman"/>
          <w:color w:val="000000"/>
          <w:kern w:val="0"/>
          <w:sz w:val="22"/>
          <w:szCs w:val="22"/>
        </w:rPr>
        <w:t>　</w:t>
      </w:r>
      <w:r>
        <w:rPr>
          <w:rFonts w:hint="default" w:ascii="Times New Roman" w:hAnsi="Times New Roman" w:eastAsia="宋体" w:cs="Times New Roman"/>
          <w:b/>
          <w:color w:val="000000"/>
          <w:kern w:val="0"/>
          <w:sz w:val="22"/>
          <w:szCs w:val="22"/>
        </w:rPr>
        <w:t>　三、甲方乙方的权利和义务</w:t>
      </w:r>
      <w:r>
        <w:rPr>
          <w:rFonts w:hint="default" w:ascii="Times New Roman" w:hAnsi="Times New Roman" w:eastAsia="宋体" w:cs="Times New Roman"/>
          <w:color w:val="000000"/>
          <w:kern w:val="0"/>
          <w:sz w:val="22"/>
          <w:szCs w:val="22"/>
        </w:rPr>
        <w:br w:type="textWrapping"/>
      </w:r>
      <w:r>
        <w:rPr>
          <w:rFonts w:hint="default" w:ascii="Times New Roman" w:hAnsi="Times New Roman" w:eastAsia="宋体" w:cs="Times New Roman"/>
          <w:color w:val="000000"/>
          <w:kern w:val="0"/>
          <w:sz w:val="22"/>
          <w:szCs w:val="22"/>
        </w:rPr>
        <w:t>　　（一） 甲方的权利和义务</w:t>
      </w:r>
      <w:r>
        <w:rPr>
          <w:rFonts w:hint="default" w:ascii="Times New Roman" w:hAnsi="Times New Roman" w:eastAsia="宋体" w:cs="Times New Roman"/>
          <w:color w:val="000000"/>
          <w:kern w:val="0"/>
          <w:sz w:val="22"/>
          <w:szCs w:val="22"/>
        </w:rPr>
        <w:br w:type="textWrapping"/>
      </w:r>
      <w:r>
        <w:rPr>
          <w:rFonts w:hint="default" w:ascii="Times New Roman" w:hAnsi="Times New Roman" w:eastAsia="宋体" w:cs="Times New Roman"/>
          <w:color w:val="000000"/>
          <w:kern w:val="0"/>
          <w:sz w:val="22"/>
          <w:szCs w:val="22"/>
        </w:rPr>
        <w:t>　　（二） 乙方的权利和义务</w:t>
      </w:r>
      <w:r>
        <w:rPr>
          <w:rFonts w:hint="default" w:ascii="Times New Roman" w:hAnsi="Times New Roman" w:eastAsia="宋体" w:cs="Times New Roman"/>
          <w:color w:val="000000"/>
          <w:kern w:val="0"/>
          <w:sz w:val="22"/>
          <w:szCs w:val="22"/>
        </w:rPr>
        <w:br w:type="textWrapping"/>
      </w:r>
      <w:r>
        <w:rPr>
          <w:rFonts w:hint="default" w:ascii="Times New Roman" w:hAnsi="Times New Roman" w:eastAsia="宋体" w:cs="Times New Roman"/>
          <w:color w:val="000000"/>
          <w:kern w:val="0"/>
          <w:sz w:val="22"/>
          <w:szCs w:val="22"/>
        </w:rPr>
        <w:t>　　</w:t>
      </w:r>
      <w:r>
        <w:rPr>
          <w:rFonts w:hint="default" w:ascii="Times New Roman" w:hAnsi="Times New Roman" w:eastAsia="宋体" w:cs="Times New Roman"/>
          <w:b/>
          <w:color w:val="000000"/>
          <w:kern w:val="0"/>
          <w:sz w:val="22"/>
          <w:szCs w:val="22"/>
        </w:rPr>
        <w:t>四、服务期间（项目完成期限）</w:t>
      </w:r>
      <w:r>
        <w:rPr>
          <w:rFonts w:hint="default" w:ascii="Times New Roman" w:hAnsi="Times New Roman" w:eastAsia="宋体" w:cs="Times New Roman"/>
          <w:color w:val="000000"/>
          <w:kern w:val="0"/>
          <w:sz w:val="22"/>
          <w:szCs w:val="22"/>
        </w:rPr>
        <w:br w:type="textWrapping"/>
      </w:r>
      <w:r>
        <w:rPr>
          <w:rFonts w:hint="default" w:ascii="Times New Roman" w:hAnsi="Times New Roman" w:eastAsia="宋体" w:cs="Times New Roman"/>
          <w:color w:val="000000"/>
          <w:kern w:val="0"/>
          <w:sz w:val="22"/>
          <w:szCs w:val="22"/>
        </w:rPr>
        <w:t>　　委托服务期间自______年______月至______年______月止。</w:t>
      </w:r>
      <w:r>
        <w:rPr>
          <w:rFonts w:hint="default" w:ascii="Times New Roman" w:hAnsi="Times New Roman" w:eastAsia="宋体" w:cs="Times New Roman"/>
          <w:color w:val="000000"/>
          <w:kern w:val="0"/>
          <w:sz w:val="22"/>
          <w:szCs w:val="22"/>
        </w:rPr>
        <w:br w:type="textWrapping"/>
      </w:r>
      <w:r>
        <w:rPr>
          <w:rFonts w:hint="default" w:ascii="Times New Roman" w:hAnsi="Times New Roman" w:eastAsia="宋体" w:cs="Times New Roman"/>
          <w:color w:val="000000"/>
          <w:kern w:val="0"/>
          <w:sz w:val="22"/>
          <w:szCs w:val="22"/>
        </w:rPr>
        <w:t>　　</w:t>
      </w:r>
      <w:r>
        <w:rPr>
          <w:rFonts w:hint="default" w:ascii="Times New Roman" w:hAnsi="Times New Roman" w:eastAsia="宋体" w:cs="Times New Roman"/>
          <w:b/>
          <w:color w:val="000000"/>
          <w:kern w:val="0"/>
          <w:sz w:val="22"/>
          <w:szCs w:val="22"/>
        </w:rPr>
        <w:t>五、付款方式</w:t>
      </w:r>
      <w:r>
        <w:rPr>
          <w:rFonts w:hint="default" w:ascii="Times New Roman" w:hAnsi="Times New Roman" w:eastAsia="宋体" w:cs="Times New Roman"/>
          <w:color w:val="000000"/>
          <w:kern w:val="0"/>
          <w:sz w:val="22"/>
          <w:szCs w:val="22"/>
        </w:rPr>
        <w:br w:type="textWrapping"/>
      </w:r>
      <w:r>
        <w:rPr>
          <w:rFonts w:hint="default" w:ascii="Times New Roman" w:hAnsi="Times New Roman" w:eastAsia="宋体" w:cs="Times New Roman"/>
          <w:color w:val="000000"/>
          <w:kern w:val="0"/>
          <w:sz w:val="22"/>
          <w:szCs w:val="22"/>
        </w:rPr>
        <w:t>　　由甲方按下列程序在</w:t>
      </w:r>
      <w:r>
        <w:rPr>
          <w:rFonts w:hint="default" w:ascii="Times New Roman" w:hAnsi="Times New Roman" w:eastAsia="宋体" w:cs="Times New Roman"/>
          <w:color w:val="000000"/>
          <w:kern w:val="0"/>
          <w:sz w:val="22"/>
          <w:szCs w:val="22"/>
          <w:u w:val="single"/>
        </w:rPr>
        <w:t>　　　　</w:t>
      </w:r>
      <w:r>
        <w:rPr>
          <w:rFonts w:hint="default" w:ascii="Times New Roman" w:hAnsi="Times New Roman" w:eastAsia="宋体" w:cs="Times New Roman"/>
          <w:color w:val="000000"/>
          <w:kern w:val="0"/>
          <w:sz w:val="22"/>
          <w:szCs w:val="22"/>
        </w:rPr>
        <w:t>内付款。</w:t>
      </w:r>
      <w:r>
        <w:rPr>
          <w:rFonts w:hint="default" w:ascii="Times New Roman" w:hAnsi="Times New Roman" w:eastAsia="宋体" w:cs="Times New Roman"/>
          <w:color w:val="000000"/>
          <w:kern w:val="0"/>
          <w:sz w:val="22"/>
          <w:szCs w:val="22"/>
        </w:rPr>
        <w:br w:type="textWrapping"/>
      </w:r>
      <w:r>
        <w:rPr>
          <w:rFonts w:hint="default" w:ascii="Times New Roman" w:hAnsi="Times New Roman" w:eastAsia="宋体" w:cs="Times New Roman"/>
          <w:color w:val="000000"/>
          <w:kern w:val="0"/>
          <w:sz w:val="22"/>
          <w:szCs w:val="22"/>
        </w:rPr>
        <w:t>　　1）在合同实施及服务人员到达服务地后__天内，甲方应将第一次付　　款总服务费的__（%）付给乙方。</w:t>
      </w:r>
      <w:r>
        <w:rPr>
          <w:rFonts w:hint="default" w:ascii="Times New Roman" w:hAnsi="Times New Roman" w:eastAsia="宋体" w:cs="Times New Roman"/>
          <w:color w:val="000000"/>
          <w:kern w:val="0"/>
          <w:sz w:val="22"/>
          <w:szCs w:val="22"/>
        </w:rPr>
        <w:br w:type="textWrapping"/>
      </w:r>
      <w:r>
        <w:rPr>
          <w:rFonts w:hint="default" w:ascii="Times New Roman" w:hAnsi="Times New Roman" w:eastAsia="宋体" w:cs="Times New Roman"/>
          <w:color w:val="000000"/>
          <w:kern w:val="0"/>
          <w:sz w:val="22"/>
          <w:szCs w:val="22"/>
        </w:rPr>
        <w:t>　　2）第二次付款额应为总服务费的__（-%），甲方应在乙方已经准备好，并递交了服务报告及其它相关文件，而这些报告和文件符合合同附件上的要求并被甲方验收后付给乙方。</w:t>
      </w:r>
      <w:r>
        <w:rPr>
          <w:rFonts w:hint="default" w:ascii="Times New Roman" w:hAnsi="Times New Roman" w:eastAsia="宋体" w:cs="Times New Roman"/>
          <w:color w:val="000000"/>
          <w:kern w:val="0"/>
          <w:sz w:val="22"/>
          <w:szCs w:val="22"/>
        </w:rPr>
        <w:br w:type="textWrapping"/>
      </w:r>
      <w:r>
        <w:rPr>
          <w:rFonts w:hint="default" w:ascii="Times New Roman" w:hAnsi="Times New Roman" w:eastAsia="宋体" w:cs="Times New Roman"/>
          <w:color w:val="000000"/>
          <w:kern w:val="0"/>
          <w:sz w:val="22"/>
          <w:szCs w:val="22"/>
        </w:rPr>
        <w:t>　　3）最后一次付款额应为总服务费的__（-%），甲方应在乙方递交了服务总结报告和说明并完全履行合同完毕</w:t>
      </w:r>
      <w:r>
        <w:rPr>
          <w:rFonts w:hint="default" w:ascii="Times New Roman" w:hAnsi="Times New Roman" w:eastAsia="宋体" w:cs="Times New Roman"/>
          <w:color w:val="000000"/>
          <w:kern w:val="0"/>
          <w:sz w:val="22"/>
          <w:szCs w:val="22"/>
          <w:u w:val="single"/>
        </w:rPr>
        <w:t>　　</w:t>
      </w:r>
      <w:r>
        <w:rPr>
          <w:rFonts w:hint="default" w:ascii="Times New Roman" w:hAnsi="Times New Roman" w:eastAsia="宋体" w:cs="Times New Roman"/>
          <w:color w:val="000000"/>
          <w:kern w:val="0"/>
          <w:sz w:val="22"/>
          <w:szCs w:val="22"/>
        </w:rPr>
        <w:t>日内付给乙方。</w:t>
      </w:r>
    </w:p>
    <w:p w14:paraId="43390C3C">
      <w:pPr>
        <w:widowControl/>
        <w:ind w:firstLine="540"/>
        <w:jc w:val="left"/>
        <w:rPr>
          <w:rFonts w:hint="default" w:ascii="Times New Roman" w:hAnsi="Times New Roman" w:eastAsia="宋体" w:cs="Times New Roman"/>
          <w:b/>
          <w:color w:val="000000"/>
          <w:kern w:val="0"/>
          <w:sz w:val="22"/>
          <w:szCs w:val="22"/>
        </w:rPr>
      </w:pPr>
      <w:r>
        <w:rPr>
          <w:rFonts w:hint="default" w:ascii="Times New Roman" w:hAnsi="Times New Roman" w:eastAsia="宋体" w:cs="Times New Roman"/>
          <w:color w:val="000000"/>
          <w:kern w:val="0"/>
          <w:sz w:val="22"/>
          <w:szCs w:val="22"/>
          <w:lang w:val="en-US" w:eastAsia="zh-CN"/>
        </w:rPr>
        <w:t>乙方收款信息如下：</w:t>
      </w:r>
      <w:r>
        <w:rPr>
          <w:rFonts w:hint="default" w:ascii="Times New Roman" w:hAnsi="Times New Roman" w:eastAsia="宋体" w:cs="Times New Roman"/>
          <w:color w:val="000000"/>
          <w:kern w:val="0"/>
          <w:sz w:val="22"/>
          <w:szCs w:val="22"/>
        </w:rPr>
        <w:br w:type="textWrapping"/>
      </w:r>
      <w:r>
        <w:rPr>
          <w:rFonts w:hint="default" w:ascii="Times New Roman" w:hAnsi="Times New Roman" w:eastAsia="宋体" w:cs="Times New Roman"/>
          <w:color w:val="000000"/>
          <w:kern w:val="0"/>
          <w:sz w:val="22"/>
          <w:szCs w:val="22"/>
        </w:rPr>
        <w:t>　　</w:t>
      </w:r>
      <w:r>
        <w:rPr>
          <w:rFonts w:hint="default" w:ascii="Times New Roman" w:hAnsi="Times New Roman" w:eastAsia="宋体" w:cs="Times New Roman"/>
          <w:b/>
          <w:color w:val="000000"/>
          <w:kern w:val="0"/>
          <w:sz w:val="22"/>
          <w:szCs w:val="22"/>
        </w:rPr>
        <w:t>六、知识产权产权归属</w:t>
      </w:r>
      <w:r>
        <w:rPr>
          <w:rFonts w:hint="default" w:ascii="Times New Roman" w:hAnsi="Times New Roman" w:eastAsia="宋体" w:cs="Times New Roman"/>
          <w:color w:val="000000"/>
          <w:kern w:val="0"/>
          <w:sz w:val="22"/>
          <w:szCs w:val="22"/>
        </w:rPr>
        <w:br w:type="textWrapping"/>
      </w:r>
      <w:r>
        <w:rPr>
          <w:rFonts w:hint="default" w:ascii="Times New Roman" w:hAnsi="Times New Roman" w:eastAsia="宋体" w:cs="Times New Roman"/>
          <w:color w:val="000000"/>
          <w:kern w:val="0"/>
          <w:sz w:val="22"/>
          <w:szCs w:val="22"/>
        </w:rPr>
        <w:t>　　</w:t>
      </w:r>
      <w:r>
        <w:rPr>
          <w:rFonts w:hint="default" w:ascii="Times New Roman" w:hAnsi="Times New Roman" w:eastAsia="宋体" w:cs="Times New Roman"/>
          <w:b/>
          <w:color w:val="000000"/>
          <w:kern w:val="0"/>
          <w:sz w:val="22"/>
          <w:szCs w:val="22"/>
        </w:rPr>
        <w:t>七、保密</w:t>
      </w:r>
      <w:r>
        <w:rPr>
          <w:rFonts w:hint="default" w:ascii="Times New Roman" w:hAnsi="Times New Roman" w:eastAsia="宋体" w:cs="Times New Roman"/>
          <w:color w:val="000000"/>
          <w:kern w:val="0"/>
          <w:sz w:val="22"/>
          <w:szCs w:val="22"/>
        </w:rPr>
        <w:br w:type="textWrapping"/>
      </w:r>
      <w:r>
        <w:rPr>
          <w:rFonts w:hint="default" w:ascii="Times New Roman" w:hAnsi="Times New Roman" w:eastAsia="宋体" w:cs="Times New Roman"/>
          <w:color w:val="000000"/>
          <w:kern w:val="0"/>
          <w:sz w:val="22"/>
          <w:szCs w:val="22"/>
        </w:rPr>
        <w:t>　　</w:t>
      </w:r>
      <w:r>
        <w:rPr>
          <w:rFonts w:hint="default" w:ascii="Times New Roman" w:hAnsi="Times New Roman" w:eastAsia="宋体" w:cs="Times New Roman"/>
          <w:b/>
          <w:color w:val="000000"/>
          <w:kern w:val="0"/>
          <w:sz w:val="22"/>
          <w:szCs w:val="22"/>
        </w:rPr>
        <w:t>八、违约责任与赔偿损失</w:t>
      </w:r>
      <w:r>
        <w:rPr>
          <w:rFonts w:hint="default" w:ascii="Times New Roman" w:hAnsi="Times New Roman" w:eastAsia="宋体" w:cs="Times New Roman"/>
          <w:color w:val="000000"/>
          <w:kern w:val="0"/>
          <w:sz w:val="22"/>
          <w:szCs w:val="22"/>
        </w:rPr>
        <w:br w:type="textWrapping"/>
      </w:r>
      <w:r>
        <w:rPr>
          <w:rFonts w:hint="default" w:ascii="Times New Roman" w:hAnsi="Times New Roman" w:eastAsia="宋体" w:cs="Times New Roman"/>
          <w:color w:val="000000"/>
          <w:kern w:val="0"/>
          <w:sz w:val="22"/>
          <w:szCs w:val="22"/>
        </w:rPr>
        <w:t>　　1） 乙方提供的服务不符合采购文件、报价文件或本合同规定的，甲方有权拒收，并且乙方须向甲方方支付本合同总价（）%的违约金。</w:t>
      </w:r>
      <w:r>
        <w:rPr>
          <w:rFonts w:hint="default" w:ascii="Times New Roman" w:hAnsi="Times New Roman" w:eastAsia="宋体" w:cs="Times New Roman"/>
          <w:color w:val="000000"/>
          <w:kern w:val="0"/>
          <w:sz w:val="22"/>
          <w:szCs w:val="22"/>
        </w:rPr>
        <w:br w:type="textWrapping"/>
      </w:r>
      <w:r>
        <w:rPr>
          <w:rFonts w:hint="default" w:ascii="Times New Roman" w:hAnsi="Times New Roman" w:eastAsia="宋体" w:cs="Times New Roman"/>
          <w:color w:val="000000"/>
          <w:kern w:val="0"/>
          <w:sz w:val="22"/>
          <w:szCs w:val="22"/>
        </w:rPr>
        <w:t>　　2） 乙方未能按本合同规定的交货时间提供服务，从逾期之日起每日按本合同总价（）‰的数额向甲方支付违约金；逾期半个月以上的，甲方有权终止合同，由此造成的甲方经济损失由乙方承担。</w:t>
      </w:r>
      <w:r>
        <w:rPr>
          <w:rFonts w:hint="default" w:ascii="Times New Roman" w:hAnsi="Times New Roman" w:eastAsia="宋体" w:cs="Times New Roman"/>
          <w:color w:val="000000"/>
          <w:kern w:val="0"/>
          <w:sz w:val="22"/>
          <w:szCs w:val="22"/>
        </w:rPr>
        <w:br w:type="textWrapping"/>
      </w:r>
      <w:r>
        <w:rPr>
          <w:rFonts w:hint="default" w:ascii="Times New Roman" w:hAnsi="Times New Roman" w:eastAsia="宋体" w:cs="Times New Roman"/>
          <w:color w:val="000000"/>
          <w:kern w:val="0"/>
          <w:sz w:val="22"/>
          <w:szCs w:val="22"/>
        </w:rPr>
        <w:t>　　3） 甲方无正当理由拒收接受服务，到期拒付服务款项的，甲方向乙方偿付本合同总价的5%的违约金。甲方人逾期付款，则每日按本合同总价的（）‰向乙方偿付违约金。</w:t>
      </w:r>
      <w:r>
        <w:rPr>
          <w:rFonts w:hint="default" w:ascii="Times New Roman" w:hAnsi="Times New Roman" w:eastAsia="宋体" w:cs="Times New Roman"/>
          <w:color w:val="000000"/>
          <w:kern w:val="0"/>
          <w:sz w:val="22"/>
          <w:szCs w:val="22"/>
        </w:rPr>
        <w:br w:type="textWrapping"/>
      </w:r>
      <w:r>
        <w:rPr>
          <w:rFonts w:hint="default" w:ascii="Times New Roman" w:hAnsi="Times New Roman" w:eastAsia="宋体" w:cs="Times New Roman"/>
          <w:color w:val="000000"/>
          <w:kern w:val="0"/>
          <w:sz w:val="22"/>
          <w:szCs w:val="22"/>
        </w:rPr>
        <w:t>　　4） 其它违约责任按《中华人民共和国合同法》处理。</w:t>
      </w:r>
      <w:r>
        <w:rPr>
          <w:rFonts w:hint="default" w:ascii="Times New Roman" w:hAnsi="Times New Roman" w:eastAsia="宋体" w:cs="Times New Roman"/>
          <w:color w:val="000000"/>
          <w:kern w:val="0"/>
          <w:sz w:val="22"/>
          <w:szCs w:val="22"/>
        </w:rPr>
        <w:br w:type="textWrapping"/>
      </w:r>
      <w:r>
        <w:rPr>
          <w:rFonts w:hint="default" w:ascii="Times New Roman" w:hAnsi="Times New Roman" w:eastAsia="宋体" w:cs="Times New Roman"/>
          <w:color w:val="000000"/>
          <w:kern w:val="0"/>
          <w:sz w:val="22"/>
          <w:szCs w:val="22"/>
        </w:rPr>
        <w:t>　　</w:t>
      </w:r>
      <w:r>
        <w:rPr>
          <w:rFonts w:hint="default" w:ascii="Times New Roman" w:hAnsi="Times New Roman" w:eastAsia="宋体" w:cs="Times New Roman"/>
          <w:b/>
          <w:color w:val="000000"/>
          <w:kern w:val="0"/>
          <w:sz w:val="22"/>
          <w:szCs w:val="22"/>
        </w:rPr>
        <w:t>九、争端的解决</w:t>
      </w:r>
      <w:r>
        <w:rPr>
          <w:rFonts w:hint="default" w:ascii="Times New Roman" w:hAnsi="Times New Roman" w:eastAsia="宋体" w:cs="Times New Roman"/>
          <w:color w:val="000000"/>
          <w:kern w:val="0"/>
          <w:sz w:val="22"/>
          <w:szCs w:val="22"/>
        </w:rPr>
        <w:br w:type="textWrapping"/>
      </w:r>
      <w:r>
        <w:rPr>
          <w:rFonts w:hint="default" w:ascii="Times New Roman" w:hAnsi="Times New Roman" w:eastAsia="宋体" w:cs="Times New Roman"/>
          <w:color w:val="000000"/>
          <w:kern w:val="0"/>
          <w:sz w:val="22"/>
          <w:szCs w:val="22"/>
        </w:rPr>
        <w:t>　　合同执行过程中发生的任何争议，双方应通过友好协商解决。如协商不成，任何一方均可向甲方所在地起诉。</w:t>
      </w:r>
      <w:r>
        <w:rPr>
          <w:rFonts w:hint="default" w:ascii="Times New Roman" w:hAnsi="Times New Roman" w:eastAsia="宋体" w:cs="Times New Roman"/>
          <w:color w:val="000000"/>
          <w:kern w:val="0"/>
          <w:sz w:val="22"/>
          <w:szCs w:val="22"/>
        </w:rPr>
        <w:br w:type="textWrapping"/>
      </w:r>
      <w:r>
        <w:rPr>
          <w:rFonts w:hint="default" w:ascii="Times New Roman" w:hAnsi="Times New Roman" w:eastAsia="宋体" w:cs="Times New Roman"/>
          <w:color w:val="000000"/>
          <w:kern w:val="0"/>
          <w:sz w:val="22"/>
          <w:szCs w:val="22"/>
        </w:rPr>
        <w:t>　　</w:t>
      </w:r>
      <w:r>
        <w:rPr>
          <w:rFonts w:hint="default" w:ascii="Times New Roman" w:hAnsi="Times New Roman" w:eastAsia="宋体" w:cs="Times New Roman"/>
          <w:b/>
          <w:color w:val="000000"/>
          <w:kern w:val="0"/>
          <w:sz w:val="22"/>
          <w:szCs w:val="22"/>
        </w:rPr>
        <w:t>十、不可抗力</w:t>
      </w:r>
    </w:p>
    <w:p w14:paraId="4CD758B1">
      <w:pPr>
        <w:widowControl/>
        <w:ind w:firstLine="440" w:firstLineChars="200"/>
        <w:jc w:val="left"/>
        <w:rPr>
          <w:rFonts w:hint="default" w:ascii="Times New Roman" w:hAnsi="Times New Roman" w:eastAsia="宋体" w:cs="Times New Roman"/>
          <w:color w:val="000000"/>
          <w:kern w:val="0"/>
          <w:sz w:val="22"/>
          <w:szCs w:val="22"/>
        </w:rPr>
      </w:pPr>
      <w:r>
        <w:rPr>
          <w:rFonts w:hint="default" w:ascii="Times New Roman" w:hAnsi="Times New Roman" w:eastAsia="宋体" w:cs="Times New Roman"/>
          <w:color w:val="000000"/>
          <w:kern w:val="0"/>
          <w:sz w:val="22"/>
          <w:szCs w:val="22"/>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r>
        <w:rPr>
          <w:rFonts w:hint="default" w:ascii="Times New Roman" w:hAnsi="Times New Roman" w:eastAsia="宋体" w:cs="Times New Roman"/>
          <w:color w:val="000000"/>
          <w:kern w:val="0"/>
          <w:sz w:val="22"/>
          <w:szCs w:val="22"/>
        </w:rPr>
        <w:br w:type="textWrapping"/>
      </w:r>
      <w:r>
        <w:rPr>
          <w:rFonts w:hint="default" w:ascii="Times New Roman" w:hAnsi="Times New Roman" w:eastAsia="宋体" w:cs="Times New Roman"/>
          <w:color w:val="000000"/>
          <w:kern w:val="0"/>
          <w:sz w:val="22"/>
          <w:szCs w:val="22"/>
        </w:rPr>
        <w:t>　　</w:t>
      </w:r>
      <w:r>
        <w:rPr>
          <w:rFonts w:hint="default" w:ascii="Times New Roman" w:hAnsi="Times New Roman" w:eastAsia="宋体" w:cs="Times New Roman"/>
          <w:b/>
          <w:color w:val="000000"/>
          <w:kern w:val="0"/>
          <w:sz w:val="22"/>
          <w:szCs w:val="22"/>
        </w:rPr>
        <w:t>十一、其它</w:t>
      </w:r>
      <w:r>
        <w:rPr>
          <w:rFonts w:hint="default" w:ascii="Times New Roman" w:hAnsi="Times New Roman" w:eastAsia="宋体" w:cs="Times New Roman"/>
          <w:color w:val="000000"/>
          <w:kern w:val="0"/>
          <w:sz w:val="22"/>
          <w:szCs w:val="22"/>
        </w:rPr>
        <w:br w:type="textWrapping"/>
      </w:r>
      <w:r>
        <w:rPr>
          <w:rFonts w:hint="default" w:ascii="Times New Roman" w:hAnsi="Times New Roman" w:eastAsia="宋体" w:cs="Times New Roman"/>
          <w:color w:val="000000"/>
          <w:kern w:val="0"/>
          <w:sz w:val="22"/>
          <w:szCs w:val="22"/>
        </w:rPr>
        <w:t>　　1） 本合同所有附件、采购文件、投标文件、中标通知书通知书均为合同的有效组成部分，与本合同具有同等法律效力。</w:t>
      </w:r>
      <w:r>
        <w:rPr>
          <w:rFonts w:hint="default" w:ascii="Times New Roman" w:hAnsi="Times New Roman" w:eastAsia="宋体" w:cs="Times New Roman"/>
          <w:color w:val="000000"/>
          <w:kern w:val="0"/>
          <w:sz w:val="22"/>
          <w:szCs w:val="22"/>
        </w:rPr>
        <w:br w:type="textWrapping"/>
      </w:r>
      <w:r>
        <w:rPr>
          <w:rFonts w:hint="default" w:ascii="Times New Roman" w:hAnsi="Times New Roman" w:eastAsia="宋体" w:cs="Times New Roman"/>
          <w:color w:val="000000"/>
          <w:kern w:val="0"/>
          <w:sz w:val="22"/>
          <w:szCs w:val="22"/>
        </w:rPr>
        <w:t>　　2） 在执行本合同的过程中，所有经双方签署确认的文件（包括会议纪要、补充协议、往来信函）即成为本合同的有效组成部分。</w:t>
      </w:r>
      <w:r>
        <w:rPr>
          <w:rFonts w:hint="default" w:ascii="Times New Roman" w:hAnsi="Times New Roman" w:eastAsia="宋体" w:cs="Times New Roman"/>
          <w:color w:val="000000"/>
          <w:kern w:val="0"/>
          <w:sz w:val="22"/>
          <w:szCs w:val="22"/>
        </w:rPr>
        <w:br w:type="textWrapping"/>
      </w:r>
      <w:r>
        <w:rPr>
          <w:rFonts w:hint="default" w:ascii="Times New Roman" w:hAnsi="Times New Roman" w:eastAsia="宋体" w:cs="Times New Roman"/>
          <w:color w:val="000000"/>
          <w:kern w:val="0"/>
          <w:sz w:val="22"/>
          <w:szCs w:val="22"/>
        </w:rPr>
        <w:t>　　3） 如一方地址、电话、传真号码有变更，应在变更当日内书面通知对方，否则，应承担相应责任。 </w:t>
      </w:r>
      <w:r>
        <w:rPr>
          <w:rFonts w:hint="default" w:ascii="Times New Roman" w:hAnsi="Times New Roman" w:eastAsia="宋体" w:cs="Times New Roman"/>
          <w:color w:val="000000"/>
          <w:kern w:val="0"/>
          <w:sz w:val="22"/>
          <w:szCs w:val="22"/>
        </w:rPr>
        <w:br w:type="textWrapping"/>
      </w:r>
      <w:r>
        <w:rPr>
          <w:rFonts w:hint="default" w:ascii="Times New Roman" w:hAnsi="Times New Roman" w:eastAsia="宋体" w:cs="Times New Roman"/>
          <w:color w:val="000000"/>
          <w:kern w:val="0"/>
          <w:sz w:val="22"/>
          <w:szCs w:val="22"/>
        </w:rPr>
        <w:t>　　4） 除甲方事先书面同意外，乙方不得部分或全部转让其应履行的合同项下的义务。</w:t>
      </w:r>
      <w:r>
        <w:rPr>
          <w:rFonts w:hint="default" w:ascii="Times New Roman" w:hAnsi="Times New Roman" w:eastAsia="宋体" w:cs="Times New Roman"/>
          <w:color w:val="000000"/>
          <w:kern w:val="0"/>
          <w:sz w:val="22"/>
          <w:szCs w:val="22"/>
        </w:rPr>
        <w:br w:type="textWrapping"/>
      </w:r>
      <w:r>
        <w:rPr>
          <w:rFonts w:hint="default" w:ascii="Times New Roman" w:hAnsi="Times New Roman" w:eastAsia="宋体" w:cs="Times New Roman"/>
          <w:b/>
          <w:color w:val="000000"/>
          <w:kern w:val="0"/>
          <w:sz w:val="22"/>
          <w:szCs w:val="22"/>
        </w:rPr>
        <w:t>　　十三、合同生效</w:t>
      </w:r>
      <w:r>
        <w:rPr>
          <w:rFonts w:hint="default" w:ascii="Times New Roman" w:hAnsi="Times New Roman" w:eastAsia="宋体" w:cs="Times New Roman"/>
          <w:color w:val="000000"/>
          <w:kern w:val="0"/>
          <w:sz w:val="22"/>
          <w:szCs w:val="22"/>
        </w:rPr>
        <w:br w:type="textWrapping"/>
      </w:r>
      <w:r>
        <w:rPr>
          <w:rFonts w:hint="default" w:ascii="Times New Roman" w:hAnsi="Times New Roman" w:eastAsia="宋体" w:cs="Times New Roman"/>
          <w:color w:val="000000"/>
          <w:kern w:val="0"/>
          <w:sz w:val="22"/>
          <w:szCs w:val="22"/>
        </w:rPr>
        <w:t>　　1）本合同在甲乙双方法人代表或其授权代表签字盖章后生效。</w:t>
      </w:r>
      <w:r>
        <w:rPr>
          <w:rFonts w:hint="default" w:ascii="Times New Roman" w:hAnsi="Times New Roman" w:eastAsia="宋体" w:cs="Times New Roman"/>
          <w:color w:val="000000"/>
          <w:kern w:val="0"/>
          <w:sz w:val="22"/>
          <w:szCs w:val="22"/>
        </w:rPr>
        <w:br w:type="textWrapping"/>
      </w:r>
      <w:r>
        <w:rPr>
          <w:rFonts w:hint="default" w:ascii="Times New Roman" w:hAnsi="Times New Roman" w:eastAsia="宋体" w:cs="Times New Roman"/>
          <w:color w:val="000000"/>
          <w:kern w:val="0"/>
          <w:sz w:val="22"/>
          <w:szCs w:val="22"/>
        </w:rPr>
        <w:t>　　2）合同一式</w:t>
      </w:r>
      <w:r>
        <w:rPr>
          <w:rFonts w:hint="default" w:ascii="Times New Roman" w:hAnsi="Times New Roman" w:eastAsia="宋体" w:cs="Times New Roman"/>
          <w:color w:val="000000"/>
          <w:kern w:val="0"/>
          <w:sz w:val="22"/>
          <w:szCs w:val="22"/>
          <w:u w:val="single"/>
        </w:rPr>
        <w:t>　　</w:t>
      </w:r>
      <w:r>
        <w:rPr>
          <w:rFonts w:hint="default" w:ascii="Times New Roman" w:hAnsi="Times New Roman" w:eastAsia="宋体" w:cs="Times New Roman"/>
          <w:color w:val="000000"/>
          <w:kern w:val="0"/>
          <w:sz w:val="22"/>
          <w:szCs w:val="22"/>
        </w:rPr>
        <w:t>份，甲、乙双方各持  份，均有同等法律效力。</w:t>
      </w:r>
      <w:r>
        <w:rPr>
          <w:rFonts w:hint="default" w:ascii="Times New Roman" w:hAnsi="Times New Roman" w:eastAsia="宋体" w:cs="Times New Roman"/>
          <w:color w:val="000000"/>
          <w:kern w:val="0"/>
          <w:sz w:val="22"/>
          <w:szCs w:val="22"/>
        </w:rPr>
        <w:br w:type="textWrapping"/>
      </w:r>
      <w:r>
        <w:rPr>
          <w:rFonts w:hint="default" w:ascii="Times New Roman" w:hAnsi="Times New Roman" w:eastAsia="宋体" w:cs="Times New Roman"/>
          <w:color w:val="000000"/>
          <w:kern w:val="0"/>
          <w:sz w:val="22"/>
          <w:szCs w:val="22"/>
        </w:rPr>
        <w:t>　　</w:t>
      </w:r>
      <w:r>
        <w:rPr>
          <w:rFonts w:hint="default" w:ascii="Times New Roman" w:hAnsi="Times New Roman" w:eastAsia="宋体" w:cs="Times New Roman"/>
          <w:color w:val="000000"/>
          <w:kern w:val="0"/>
          <w:sz w:val="22"/>
          <w:szCs w:val="22"/>
        </w:rPr>
        <w:br w:type="textWrapping"/>
      </w:r>
      <w:r>
        <w:rPr>
          <w:rFonts w:hint="default" w:ascii="Times New Roman" w:hAnsi="Times New Roman" w:eastAsia="宋体" w:cs="Times New Roman"/>
          <w:color w:val="000000"/>
          <w:kern w:val="0"/>
          <w:sz w:val="22"/>
          <w:szCs w:val="22"/>
        </w:rPr>
        <w:t>　　甲方（盖章）：　　　　　　　　　　　　 乙方（盖章）：</w:t>
      </w:r>
      <w:r>
        <w:rPr>
          <w:rFonts w:hint="default" w:ascii="Times New Roman" w:hAnsi="Times New Roman" w:eastAsia="宋体" w:cs="Times New Roman"/>
          <w:color w:val="000000"/>
          <w:kern w:val="0"/>
          <w:sz w:val="22"/>
          <w:szCs w:val="22"/>
        </w:rPr>
        <w:br w:type="textWrapping"/>
      </w:r>
      <w:r>
        <w:rPr>
          <w:rFonts w:hint="default" w:ascii="Times New Roman" w:hAnsi="Times New Roman" w:eastAsia="宋体" w:cs="Times New Roman"/>
          <w:color w:val="000000"/>
          <w:kern w:val="0"/>
          <w:sz w:val="22"/>
          <w:szCs w:val="22"/>
        </w:rPr>
        <w:t>　　授权代表：　　　　　　　　　　　　　　 授权代表： </w:t>
      </w:r>
      <w:r>
        <w:rPr>
          <w:rFonts w:hint="default" w:ascii="Times New Roman" w:hAnsi="Times New Roman" w:eastAsia="宋体" w:cs="Times New Roman"/>
          <w:color w:val="000000"/>
          <w:kern w:val="0"/>
          <w:sz w:val="22"/>
          <w:szCs w:val="22"/>
        </w:rPr>
        <w:br w:type="textWrapping"/>
      </w:r>
      <w:r>
        <w:rPr>
          <w:rFonts w:hint="default" w:ascii="Times New Roman" w:hAnsi="Times New Roman" w:eastAsia="宋体" w:cs="Times New Roman"/>
          <w:color w:val="000000"/>
          <w:kern w:val="0"/>
          <w:sz w:val="22"/>
          <w:szCs w:val="22"/>
        </w:rPr>
        <w:t>　　签定地点：                             签定地点：</w:t>
      </w:r>
      <w:r>
        <w:rPr>
          <w:rFonts w:hint="default" w:ascii="Times New Roman" w:hAnsi="Times New Roman" w:eastAsia="宋体" w:cs="Times New Roman"/>
          <w:color w:val="000000"/>
          <w:kern w:val="0"/>
          <w:sz w:val="22"/>
          <w:szCs w:val="22"/>
        </w:rPr>
        <w:br w:type="textWrapping"/>
      </w:r>
      <w:r>
        <w:rPr>
          <w:rFonts w:hint="default" w:ascii="Times New Roman" w:hAnsi="Times New Roman" w:eastAsia="宋体" w:cs="Times New Roman"/>
          <w:color w:val="000000"/>
          <w:kern w:val="0"/>
          <w:sz w:val="22"/>
          <w:szCs w:val="22"/>
        </w:rPr>
        <w:t>　　签定日期：年 月 日　　　　　　         签定日期：年月日　　</w:t>
      </w:r>
      <w:r>
        <w:rPr>
          <w:rFonts w:hint="default" w:ascii="Times New Roman" w:hAnsi="Times New Roman" w:eastAsia="宋体" w:cs="Times New Roman"/>
          <w:color w:val="000000"/>
          <w:kern w:val="0"/>
          <w:sz w:val="22"/>
          <w:szCs w:val="22"/>
        </w:rPr>
        <w:br w:type="textWrapping"/>
      </w:r>
      <w:r>
        <w:rPr>
          <w:rFonts w:hint="default" w:ascii="Times New Roman" w:hAnsi="Times New Roman" w:eastAsia="宋体" w:cs="Times New Roman"/>
          <w:color w:val="000000"/>
          <w:kern w:val="0"/>
          <w:sz w:val="22"/>
          <w:szCs w:val="22"/>
        </w:rPr>
        <w:t xml:space="preserve">　　                                      </w:t>
      </w:r>
    </w:p>
    <w:p w14:paraId="67D578A9">
      <w:pPr>
        <w:jc w:val="left"/>
        <w:rPr>
          <w:rFonts w:hint="eastAsia"/>
        </w:rPr>
      </w:pPr>
    </w:p>
    <w:p w14:paraId="44378F06">
      <w:pPr>
        <w:rPr>
          <w:rFonts w:ascii="宋体" w:hAnsi="宋体" w:cs="宋体"/>
        </w:rPr>
      </w:pPr>
    </w:p>
    <w:p w14:paraId="0DC9CFEF">
      <w:pPr>
        <w:spacing w:line="240" w:lineRule="atLeast"/>
        <w:rPr>
          <w:rFonts w:ascii="宋体" w:hAnsi="宋体" w:cs="宋体"/>
        </w:rPr>
      </w:pPr>
    </w:p>
    <w:p w14:paraId="0CC3FD75">
      <w:pPr>
        <w:rPr>
          <w:rFonts w:ascii="宋体" w:hAnsi="宋体" w:cs="宋体"/>
        </w:rPr>
      </w:pPr>
    </w:p>
    <w:p w14:paraId="12E68DFD">
      <w:pPr>
        <w:rPr>
          <w:rFonts w:ascii="宋体" w:hAnsi="宋体" w:cs="宋体"/>
        </w:rPr>
      </w:pPr>
    </w:p>
    <w:p w14:paraId="4A5185B1">
      <w:pPr>
        <w:rPr>
          <w:rFonts w:ascii="宋体" w:hAnsi="宋体" w:cs="宋体"/>
        </w:rPr>
      </w:pPr>
    </w:p>
    <w:p w14:paraId="4B339E01">
      <w:pPr>
        <w:rPr>
          <w:rFonts w:ascii="宋体" w:hAnsi="宋体" w:cs="宋体"/>
        </w:rPr>
      </w:pPr>
    </w:p>
    <w:p w14:paraId="5A4F1977">
      <w:pPr>
        <w:rPr>
          <w:rFonts w:hint="eastAsia" w:ascii="宋体" w:hAnsi="宋体" w:cs="宋体"/>
          <w:b/>
          <w:sz w:val="52"/>
          <w:szCs w:val="52"/>
        </w:rPr>
      </w:pPr>
    </w:p>
    <w:p w14:paraId="14EF342A">
      <w:pPr>
        <w:rPr>
          <w:rFonts w:hint="eastAsia" w:ascii="宋体" w:hAnsi="宋体" w:cs="宋体"/>
          <w:b/>
          <w:sz w:val="52"/>
          <w:szCs w:val="52"/>
        </w:rPr>
      </w:pPr>
      <w:r>
        <w:rPr>
          <w:rFonts w:hint="eastAsia" w:ascii="宋体" w:hAnsi="宋体" w:cs="宋体"/>
          <w:b/>
          <w:sz w:val="52"/>
          <w:szCs w:val="52"/>
        </w:rPr>
        <w:br w:type="page"/>
      </w:r>
    </w:p>
    <w:p w14:paraId="12A4C2BB">
      <w:pPr>
        <w:pStyle w:val="4"/>
        <w:rPr>
          <w:rFonts w:ascii="宋体" w:hAnsi="宋体" w:cs="宋体"/>
          <w:b/>
          <w:sz w:val="52"/>
          <w:szCs w:val="52"/>
        </w:rPr>
      </w:pPr>
      <w:r>
        <w:rPr>
          <w:rFonts w:hint="eastAsia" w:ascii="宋体" w:hAnsi="宋体" w:cs="宋体"/>
          <w:b/>
          <w:sz w:val="52"/>
          <w:szCs w:val="52"/>
        </w:rPr>
        <w:t>第二册  通用条款</w:t>
      </w:r>
    </w:p>
    <w:p w14:paraId="20A3A428">
      <w:pPr>
        <w:rPr>
          <w:rFonts w:ascii="宋体" w:hAnsi="宋体" w:cs="宋体"/>
        </w:rPr>
      </w:pPr>
      <w:r>
        <w:rPr>
          <w:rFonts w:hint="eastAsia" w:ascii="宋体" w:hAnsi="宋体" w:cs="宋体"/>
          <w:b/>
          <w:sz w:val="52"/>
          <w:szCs w:val="52"/>
        </w:rPr>
        <w:br w:type="page"/>
      </w:r>
    </w:p>
    <w:p w14:paraId="541BB41B">
      <w:pPr>
        <w:rPr>
          <w:rFonts w:ascii="宋体" w:hAnsi="宋体" w:cs="宋体"/>
        </w:rPr>
      </w:pPr>
    </w:p>
    <w:p w14:paraId="0997B109">
      <w:pPr>
        <w:rPr>
          <w:rFonts w:ascii="宋体" w:hAnsi="宋体" w:cs="宋体"/>
        </w:rPr>
      </w:pPr>
    </w:p>
    <w:p w14:paraId="473E0DE8">
      <w:pPr>
        <w:rPr>
          <w:rFonts w:ascii="宋体" w:hAnsi="宋体" w:cs="宋体"/>
        </w:rPr>
      </w:pPr>
    </w:p>
    <w:p w14:paraId="6200D297">
      <w:pPr>
        <w:rPr>
          <w:rFonts w:ascii="宋体" w:hAnsi="宋体" w:cs="宋体"/>
        </w:rPr>
      </w:pPr>
    </w:p>
    <w:p w14:paraId="70746DCE">
      <w:pPr>
        <w:rPr>
          <w:rFonts w:ascii="宋体" w:hAnsi="宋体" w:cs="宋体"/>
        </w:rPr>
      </w:pPr>
    </w:p>
    <w:p w14:paraId="71DE6551">
      <w:pPr>
        <w:rPr>
          <w:rFonts w:ascii="宋体" w:hAnsi="宋体" w:cs="宋体"/>
        </w:rPr>
      </w:pPr>
    </w:p>
    <w:p w14:paraId="613E277B">
      <w:pPr>
        <w:rPr>
          <w:rFonts w:ascii="宋体" w:hAnsi="宋体" w:cs="宋体"/>
        </w:rPr>
      </w:pPr>
    </w:p>
    <w:p w14:paraId="38DAF1ED">
      <w:pPr>
        <w:rPr>
          <w:rFonts w:ascii="宋体" w:hAnsi="宋体" w:cs="宋体"/>
        </w:rPr>
      </w:pPr>
    </w:p>
    <w:p w14:paraId="239EE9ED">
      <w:pPr>
        <w:rPr>
          <w:rFonts w:ascii="宋体" w:hAnsi="宋体" w:cs="宋体"/>
        </w:rPr>
      </w:pPr>
    </w:p>
    <w:p w14:paraId="7DB3847D">
      <w:pPr>
        <w:rPr>
          <w:rFonts w:ascii="宋体" w:hAnsi="宋体" w:cs="宋体"/>
        </w:rPr>
      </w:pPr>
    </w:p>
    <w:p w14:paraId="1BD82BE5">
      <w:pPr>
        <w:rPr>
          <w:rFonts w:ascii="宋体" w:hAnsi="宋体" w:cs="宋体"/>
        </w:rPr>
      </w:pPr>
    </w:p>
    <w:p w14:paraId="4AEDF2B8">
      <w:pPr>
        <w:rPr>
          <w:rFonts w:ascii="宋体" w:hAnsi="宋体" w:cs="宋体"/>
        </w:rPr>
      </w:pPr>
    </w:p>
    <w:p w14:paraId="28687DF5">
      <w:pPr>
        <w:rPr>
          <w:rFonts w:ascii="宋体" w:hAnsi="宋体" w:cs="宋体"/>
        </w:rPr>
      </w:pPr>
    </w:p>
    <w:p w14:paraId="2204C641">
      <w:pPr>
        <w:rPr>
          <w:rFonts w:ascii="宋体" w:hAnsi="宋体" w:cs="宋体"/>
        </w:rPr>
      </w:pPr>
    </w:p>
    <w:p w14:paraId="13BE99EB">
      <w:pPr>
        <w:pStyle w:val="5"/>
        <w:spacing w:line="240" w:lineRule="auto"/>
        <w:rPr>
          <w:rFonts w:ascii="宋体" w:hAnsi="宋体" w:cs="宋体"/>
          <w:sz w:val="22"/>
          <w:szCs w:val="22"/>
        </w:rPr>
      </w:pPr>
      <w:r>
        <w:rPr>
          <w:bCs/>
          <w:sz w:val="32"/>
          <w:szCs w:val="32"/>
        </w:rPr>
        <w:t>第一章  总则</w:t>
      </w:r>
      <w:r>
        <w:rPr>
          <w:bCs/>
          <w:sz w:val="32"/>
          <w:szCs w:val="32"/>
        </w:rPr>
        <w:br w:type="page"/>
      </w:r>
    </w:p>
    <w:p w14:paraId="08BD435E">
      <w:pPr>
        <w:rPr>
          <w:rFonts w:ascii="宋体" w:hAnsi="宋体" w:cs="宋体"/>
          <w:sz w:val="22"/>
          <w:szCs w:val="22"/>
        </w:rPr>
      </w:pPr>
    </w:p>
    <w:p w14:paraId="373FD363">
      <w:pPr>
        <w:numPr>
          <w:ilvl w:val="0"/>
          <w:numId w:val="10"/>
        </w:numPr>
        <w:rPr>
          <w:rFonts w:ascii="宋体" w:hAnsi="宋体" w:cs="宋体"/>
          <w:sz w:val="22"/>
          <w:szCs w:val="22"/>
        </w:rPr>
      </w:pPr>
      <w:r>
        <w:rPr>
          <w:rFonts w:hint="eastAsia" w:ascii="宋体" w:hAnsi="宋体" w:cs="宋体"/>
          <w:sz w:val="22"/>
          <w:szCs w:val="22"/>
        </w:rPr>
        <w:t>通用条款说明</w:t>
      </w:r>
    </w:p>
    <w:p w14:paraId="46BFB8CD">
      <w:pPr>
        <w:numPr>
          <w:ilvl w:val="1"/>
          <w:numId w:val="11"/>
        </w:numPr>
        <w:rPr>
          <w:rFonts w:ascii="宋体" w:hAnsi="宋体" w:cs="宋体"/>
          <w:sz w:val="22"/>
          <w:szCs w:val="22"/>
        </w:rPr>
      </w:pPr>
      <w:r>
        <w:rPr>
          <w:rFonts w:hint="eastAsia" w:ascii="宋体" w:hAnsi="宋体" w:cs="宋体"/>
          <w:sz w:val="22"/>
          <w:szCs w:val="22"/>
        </w:rPr>
        <w:t>政府采购代理机构发出采购文件通用条款版本，列出深圳市政府采购项目进行招标采购所适用的通用条款内容。如有需要，政府采购代理机构可以对这些条款增加附录或补充内容。</w:t>
      </w:r>
    </w:p>
    <w:p w14:paraId="2737C6B6">
      <w:pPr>
        <w:ind w:left="907"/>
        <w:rPr>
          <w:rFonts w:ascii="宋体" w:hAnsi="宋体" w:cs="宋体"/>
          <w:sz w:val="22"/>
          <w:szCs w:val="22"/>
        </w:rPr>
      </w:pPr>
    </w:p>
    <w:p w14:paraId="59A99F3A">
      <w:pPr>
        <w:numPr>
          <w:ilvl w:val="0"/>
          <w:numId w:val="10"/>
        </w:numPr>
        <w:rPr>
          <w:rFonts w:ascii="宋体" w:hAnsi="宋体" w:cs="宋体"/>
          <w:sz w:val="22"/>
          <w:szCs w:val="22"/>
        </w:rPr>
      </w:pPr>
      <w:bookmarkStart w:id="21" w:name="_Toc73521549"/>
      <w:bookmarkStart w:id="22" w:name="_Toc73518119"/>
      <w:bookmarkStart w:id="23" w:name="_Toc73517641"/>
      <w:bookmarkStart w:id="24" w:name="_Toc60631622"/>
      <w:bookmarkStart w:id="25" w:name="_Toc100052366"/>
      <w:bookmarkStart w:id="26" w:name="_Toc60560627"/>
      <w:bookmarkStart w:id="27" w:name="_Toc73521637"/>
      <w:bookmarkStart w:id="28" w:name="_Toc73521551"/>
      <w:bookmarkStart w:id="29" w:name="_Toc73521639"/>
      <w:bookmarkStart w:id="30" w:name="_Toc73518121"/>
      <w:bookmarkStart w:id="31" w:name="_Toc60560629"/>
      <w:bookmarkStart w:id="32" w:name="_Toc73517643"/>
      <w:bookmarkStart w:id="33" w:name="_Toc100052368"/>
      <w:bookmarkStart w:id="34" w:name="_Toc60631624"/>
      <w:r>
        <w:rPr>
          <w:rFonts w:hint="eastAsia" w:ascii="宋体" w:hAnsi="宋体" w:cs="宋体"/>
          <w:sz w:val="22"/>
          <w:szCs w:val="22"/>
        </w:rPr>
        <w:t>采购说明</w:t>
      </w:r>
      <w:bookmarkEnd w:id="21"/>
      <w:bookmarkEnd w:id="22"/>
      <w:bookmarkEnd w:id="23"/>
      <w:bookmarkEnd w:id="24"/>
      <w:bookmarkEnd w:id="25"/>
      <w:bookmarkEnd w:id="26"/>
      <w:bookmarkEnd w:id="27"/>
    </w:p>
    <w:p w14:paraId="412FAF99">
      <w:pPr>
        <w:numPr>
          <w:ilvl w:val="1"/>
          <w:numId w:val="11"/>
        </w:numPr>
        <w:rPr>
          <w:rFonts w:ascii="宋体" w:hAnsi="宋体" w:cs="宋体"/>
          <w:sz w:val="22"/>
          <w:szCs w:val="22"/>
        </w:rPr>
      </w:pPr>
      <w:r>
        <w:rPr>
          <w:rFonts w:hint="eastAsia" w:ascii="宋体" w:hAnsi="宋体" w:cs="宋体"/>
          <w:sz w:val="22"/>
          <w:szCs w:val="22"/>
        </w:rPr>
        <w:t>本项目参照《深圳经济特区政府采购条例》的规定，并参考有关法规、政策、规章、规定通过招标择优选定供应商。</w:t>
      </w:r>
    </w:p>
    <w:p w14:paraId="504834F3">
      <w:pPr>
        <w:ind w:left="907"/>
        <w:rPr>
          <w:rFonts w:ascii="宋体" w:hAnsi="宋体" w:cs="宋体"/>
          <w:sz w:val="22"/>
          <w:szCs w:val="22"/>
        </w:rPr>
      </w:pPr>
    </w:p>
    <w:p w14:paraId="3CC6D7BC">
      <w:pPr>
        <w:numPr>
          <w:ilvl w:val="0"/>
          <w:numId w:val="10"/>
        </w:numPr>
        <w:rPr>
          <w:rFonts w:ascii="宋体" w:hAnsi="宋体" w:cs="宋体"/>
          <w:sz w:val="22"/>
          <w:szCs w:val="22"/>
        </w:rPr>
      </w:pPr>
      <w:bookmarkStart w:id="35" w:name="_Toc60631623"/>
      <w:bookmarkStart w:id="36" w:name="_Toc100052367"/>
      <w:bookmarkStart w:id="37" w:name="_Toc73521638"/>
      <w:bookmarkStart w:id="38" w:name="_Toc73517642"/>
      <w:bookmarkStart w:id="39" w:name="_Toc73521550"/>
      <w:bookmarkStart w:id="40" w:name="_Toc60560628"/>
      <w:bookmarkStart w:id="41" w:name="_Toc73518120"/>
      <w:r>
        <w:rPr>
          <w:rFonts w:hint="eastAsia" w:ascii="宋体" w:hAnsi="宋体" w:cs="宋体"/>
          <w:sz w:val="22"/>
          <w:szCs w:val="22"/>
        </w:rPr>
        <w:t>定义</w:t>
      </w:r>
      <w:bookmarkEnd w:id="35"/>
      <w:bookmarkEnd w:id="36"/>
      <w:bookmarkEnd w:id="37"/>
      <w:bookmarkEnd w:id="38"/>
      <w:bookmarkEnd w:id="39"/>
      <w:bookmarkEnd w:id="40"/>
      <w:bookmarkEnd w:id="41"/>
    </w:p>
    <w:p w14:paraId="29BD0FC0">
      <w:pPr>
        <w:ind w:left="907"/>
        <w:rPr>
          <w:rFonts w:ascii="宋体" w:hAnsi="宋体" w:cs="宋体"/>
          <w:sz w:val="22"/>
          <w:szCs w:val="22"/>
        </w:rPr>
      </w:pPr>
      <w:r>
        <w:rPr>
          <w:rFonts w:hint="eastAsia" w:ascii="宋体" w:hAnsi="宋体" w:cs="宋体"/>
          <w:sz w:val="22"/>
          <w:szCs w:val="22"/>
        </w:rPr>
        <w:t>采购文件中下列术语应解释为：</w:t>
      </w:r>
    </w:p>
    <w:p w14:paraId="411B41A4">
      <w:pPr>
        <w:numPr>
          <w:ilvl w:val="1"/>
          <w:numId w:val="11"/>
        </w:numPr>
        <w:rPr>
          <w:rFonts w:ascii="宋体" w:hAnsi="宋体" w:cs="宋体"/>
          <w:sz w:val="22"/>
          <w:szCs w:val="22"/>
        </w:rPr>
      </w:pPr>
      <w:r>
        <w:rPr>
          <w:rFonts w:hint="eastAsia" w:ascii="宋体" w:hAnsi="宋体" w:cs="宋体"/>
          <w:sz w:val="22"/>
          <w:szCs w:val="22"/>
        </w:rPr>
        <w:t>“政府采购代理机构”系指依法设立的负责采购组织工作的专门机构；本项目系指深圳市东海国际招标有限公司；</w:t>
      </w:r>
    </w:p>
    <w:p w14:paraId="09E01158">
      <w:pPr>
        <w:numPr>
          <w:ilvl w:val="1"/>
          <w:numId w:val="11"/>
        </w:numPr>
        <w:rPr>
          <w:rFonts w:ascii="宋体" w:hAnsi="宋体" w:cs="宋体"/>
          <w:sz w:val="22"/>
          <w:szCs w:val="22"/>
        </w:rPr>
      </w:pPr>
      <w:r>
        <w:rPr>
          <w:rFonts w:hint="eastAsia" w:ascii="宋体" w:hAnsi="宋体" w:cs="宋体"/>
          <w:sz w:val="22"/>
          <w:szCs w:val="22"/>
        </w:rPr>
        <w:t xml:space="preserve">“采购人”或“采购单位”：系指利用财政性资金依法进行政府采购的国家机关、事业单位、团体组织； </w:t>
      </w:r>
    </w:p>
    <w:p w14:paraId="7204A297">
      <w:pPr>
        <w:numPr>
          <w:ilvl w:val="1"/>
          <w:numId w:val="11"/>
        </w:numPr>
        <w:rPr>
          <w:rFonts w:ascii="宋体" w:hAnsi="宋体" w:cs="宋体"/>
          <w:sz w:val="22"/>
          <w:szCs w:val="22"/>
        </w:rPr>
      </w:pPr>
      <w:r>
        <w:rPr>
          <w:rFonts w:hint="eastAsia" w:ascii="宋体" w:hAnsi="宋体" w:cs="宋体"/>
          <w:sz w:val="22"/>
          <w:szCs w:val="22"/>
        </w:rPr>
        <w:t>“投标人”或“投标方”，即供应商，是指参加投标竞争并愿意按照采购文件要求向采购人提供货物、工程或者服务的依法成立的法人、其他组织或者自然人；</w:t>
      </w:r>
    </w:p>
    <w:p w14:paraId="464C390A">
      <w:pPr>
        <w:numPr>
          <w:ilvl w:val="1"/>
          <w:numId w:val="11"/>
        </w:numPr>
        <w:rPr>
          <w:rFonts w:ascii="宋体" w:hAnsi="宋体" w:cs="宋体"/>
          <w:sz w:val="22"/>
          <w:szCs w:val="22"/>
        </w:rPr>
      </w:pPr>
      <w:r>
        <w:rPr>
          <w:rFonts w:hint="eastAsia" w:ascii="宋体" w:hAnsi="宋体" w:cs="宋体"/>
          <w:sz w:val="22"/>
          <w:szCs w:val="22"/>
        </w:rPr>
        <w:t>“评审委员会”和“谈判小组”是参照《深圳经济特区政府采购条例》有关规定组建的专门负责本次采购其评标（谈判）工作的临时性机构；</w:t>
      </w:r>
    </w:p>
    <w:p w14:paraId="1BF2F1BF">
      <w:pPr>
        <w:numPr>
          <w:ilvl w:val="1"/>
          <w:numId w:val="11"/>
        </w:numPr>
        <w:rPr>
          <w:rFonts w:ascii="宋体" w:hAnsi="宋体" w:cs="宋体"/>
          <w:sz w:val="22"/>
          <w:szCs w:val="22"/>
        </w:rPr>
      </w:pPr>
      <w:r>
        <w:rPr>
          <w:rFonts w:hint="eastAsia" w:ascii="宋体" w:hAnsi="宋体" w:cs="宋体"/>
          <w:sz w:val="22"/>
          <w:szCs w:val="22"/>
        </w:rPr>
        <w:t>“日期”指公历日；</w:t>
      </w:r>
    </w:p>
    <w:p w14:paraId="0A7835B3">
      <w:pPr>
        <w:numPr>
          <w:ilvl w:val="1"/>
          <w:numId w:val="11"/>
        </w:numPr>
        <w:rPr>
          <w:rFonts w:ascii="宋体" w:hAnsi="宋体" w:cs="宋体"/>
          <w:sz w:val="22"/>
          <w:szCs w:val="22"/>
        </w:rPr>
      </w:pPr>
      <w:r>
        <w:rPr>
          <w:rFonts w:hint="eastAsia" w:ascii="宋体" w:hAnsi="宋体" w:cs="宋体"/>
          <w:sz w:val="22"/>
          <w:szCs w:val="22"/>
        </w:rPr>
        <w:t>“合同”指由本次招标所产生的合同或合约文件。</w:t>
      </w:r>
    </w:p>
    <w:p w14:paraId="6544F1E2">
      <w:pPr>
        <w:ind w:left="907"/>
        <w:rPr>
          <w:rFonts w:ascii="宋体" w:hAnsi="宋体" w:cs="宋体"/>
          <w:sz w:val="22"/>
          <w:szCs w:val="22"/>
        </w:rPr>
      </w:pPr>
    </w:p>
    <w:p w14:paraId="6E695D50">
      <w:pPr>
        <w:numPr>
          <w:ilvl w:val="0"/>
          <w:numId w:val="10"/>
        </w:numPr>
        <w:rPr>
          <w:rFonts w:ascii="宋体" w:hAnsi="宋体" w:cs="宋体"/>
          <w:sz w:val="22"/>
          <w:szCs w:val="22"/>
        </w:rPr>
      </w:pPr>
      <w:r>
        <w:rPr>
          <w:rFonts w:hint="eastAsia" w:ascii="宋体" w:hAnsi="宋体" w:cs="宋体"/>
          <w:sz w:val="22"/>
          <w:szCs w:val="22"/>
        </w:rPr>
        <w:t>政府采购供应商责任</w:t>
      </w:r>
    </w:p>
    <w:p w14:paraId="533F5A46">
      <w:pPr>
        <w:numPr>
          <w:ilvl w:val="1"/>
          <w:numId w:val="11"/>
        </w:numPr>
        <w:rPr>
          <w:rFonts w:ascii="宋体" w:hAnsi="宋体" w:cs="宋体"/>
          <w:sz w:val="22"/>
          <w:szCs w:val="22"/>
        </w:rPr>
      </w:pPr>
      <w:r>
        <w:rPr>
          <w:rFonts w:hint="eastAsia" w:ascii="宋体" w:hAnsi="宋体" w:cs="宋体"/>
          <w:sz w:val="22"/>
          <w:szCs w:val="22"/>
        </w:rPr>
        <w:t>欢迎诚信、有实力和有社会责任心的供应商参与政府采购事业。</w:t>
      </w:r>
    </w:p>
    <w:p w14:paraId="1657437B">
      <w:pPr>
        <w:numPr>
          <w:ilvl w:val="1"/>
          <w:numId w:val="11"/>
        </w:numPr>
        <w:rPr>
          <w:rFonts w:ascii="宋体" w:hAnsi="宋体" w:cs="宋体"/>
          <w:sz w:val="22"/>
          <w:szCs w:val="22"/>
        </w:rPr>
      </w:pPr>
      <w:r>
        <w:rPr>
          <w:rFonts w:hint="eastAsia" w:ascii="宋体" w:hAnsi="宋体" w:cs="宋体"/>
          <w:sz w:val="22"/>
          <w:szCs w:val="22"/>
        </w:rPr>
        <w:t>供应商在政府采购项目投标过程中应诚实守信，不弄虚作假，不隐瞒真实情况，不围标串标，不恶意质疑投诉。如违反上述要求，经核实后，供应商的投标将作废，没收投标保证金，将该供应商列入不良记录名单并在网上曝光，同时提请政府采购监督管理部门给予一定年限内禁止参加政府采购活动的处罚或其他处罚。</w:t>
      </w:r>
    </w:p>
    <w:p w14:paraId="2949165F">
      <w:pPr>
        <w:ind w:left="907"/>
        <w:rPr>
          <w:rFonts w:ascii="宋体" w:hAnsi="宋体" w:cs="宋体"/>
          <w:sz w:val="22"/>
          <w:szCs w:val="22"/>
        </w:rPr>
      </w:pPr>
    </w:p>
    <w:bookmarkEnd w:id="28"/>
    <w:bookmarkEnd w:id="29"/>
    <w:bookmarkEnd w:id="30"/>
    <w:bookmarkEnd w:id="31"/>
    <w:bookmarkEnd w:id="32"/>
    <w:bookmarkEnd w:id="33"/>
    <w:bookmarkEnd w:id="34"/>
    <w:p w14:paraId="4D3F6CE6">
      <w:pPr>
        <w:numPr>
          <w:ilvl w:val="0"/>
          <w:numId w:val="10"/>
        </w:numPr>
        <w:rPr>
          <w:rFonts w:ascii="宋体" w:hAnsi="宋体" w:cs="宋体"/>
          <w:sz w:val="22"/>
          <w:szCs w:val="22"/>
        </w:rPr>
      </w:pPr>
      <w:r>
        <w:rPr>
          <w:rFonts w:hint="eastAsia" w:ascii="宋体" w:hAnsi="宋体" w:cs="宋体"/>
          <w:sz w:val="22"/>
          <w:szCs w:val="22"/>
        </w:rPr>
        <w:t>投标人参加政府采购的条件</w:t>
      </w:r>
    </w:p>
    <w:p w14:paraId="46F04CCB">
      <w:pPr>
        <w:numPr>
          <w:ilvl w:val="1"/>
          <w:numId w:val="11"/>
        </w:numPr>
        <w:ind w:left="950" w:hanging="950" w:hangingChars="432"/>
        <w:rPr>
          <w:rFonts w:ascii="宋体" w:hAnsi="宋体" w:cs="宋体"/>
          <w:sz w:val="22"/>
          <w:szCs w:val="22"/>
        </w:rPr>
      </w:pPr>
      <w:r>
        <w:rPr>
          <w:rFonts w:hint="eastAsia" w:ascii="宋体" w:hAnsi="宋体" w:cs="宋体"/>
          <w:sz w:val="22"/>
          <w:szCs w:val="22"/>
        </w:rPr>
        <w:t>参加本项目的投标人应具备的资格条件详见本项目采购公告中 “对投标人资格要求”的内容。</w:t>
      </w:r>
    </w:p>
    <w:p w14:paraId="6566FE0B">
      <w:pPr>
        <w:ind w:left="907"/>
        <w:rPr>
          <w:rFonts w:ascii="宋体" w:hAnsi="宋体" w:cs="宋体"/>
          <w:sz w:val="22"/>
          <w:szCs w:val="22"/>
        </w:rPr>
      </w:pPr>
    </w:p>
    <w:p w14:paraId="6D350288">
      <w:pPr>
        <w:numPr>
          <w:ilvl w:val="0"/>
          <w:numId w:val="10"/>
        </w:numPr>
        <w:rPr>
          <w:rFonts w:ascii="宋体" w:hAnsi="宋体" w:cs="宋体"/>
          <w:sz w:val="22"/>
          <w:szCs w:val="22"/>
        </w:rPr>
      </w:pPr>
      <w:bookmarkStart w:id="42" w:name="_Toc60560631"/>
      <w:bookmarkStart w:id="43" w:name="_Toc73518123"/>
      <w:bookmarkStart w:id="44" w:name="_Toc60631626"/>
      <w:bookmarkStart w:id="45" w:name="_Toc73521641"/>
      <w:bookmarkStart w:id="46" w:name="_Toc100052370"/>
      <w:bookmarkStart w:id="47" w:name="_Toc73521553"/>
      <w:bookmarkStart w:id="48" w:name="_Toc73517645"/>
      <w:r>
        <w:rPr>
          <w:rFonts w:hint="eastAsia" w:ascii="宋体" w:hAnsi="宋体" w:cs="宋体"/>
          <w:sz w:val="22"/>
          <w:szCs w:val="22"/>
        </w:rPr>
        <w:t>联合体投标</w:t>
      </w:r>
    </w:p>
    <w:p w14:paraId="217328AF">
      <w:pPr>
        <w:numPr>
          <w:ilvl w:val="1"/>
          <w:numId w:val="11"/>
        </w:numPr>
        <w:rPr>
          <w:rFonts w:ascii="宋体" w:hAnsi="宋体" w:cs="宋体"/>
          <w:sz w:val="22"/>
          <w:szCs w:val="22"/>
        </w:rPr>
      </w:pPr>
      <w:r>
        <w:rPr>
          <w:rFonts w:hint="eastAsia" w:ascii="宋体" w:hAnsi="宋体" w:cs="宋体"/>
          <w:sz w:val="22"/>
          <w:szCs w:val="22"/>
        </w:rPr>
        <w:t>以下有关联合体投标的条款仅适用于允许投标人组成联合体投标的项目。</w:t>
      </w:r>
    </w:p>
    <w:p w14:paraId="1F3C6A5E">
      <w:pPr>
        <w:numPr>
          <w:ilvl w:val="1"/>
          <w:numId w:val="11"/>
        </w:numPr>
        <w:rPr>
          <w:rFonts w:ascii="宋体" w:hAnsi="宋体" w:cs="宋体"/>
          <w:sz w:val="22"/>
          <w:szCs w:val="22"/>
        </w:rPr>
      </w:pPr>
      <w:r>
        <w:rPr>
          <w:rFonts w:hint="eastAsia" w:ascii="宋体" w:hAnsi="宋体" w:cs="宋体"/>
          <w:sz w:val="22"/>
          <w:szCs w:val="22"/>
        </w:rPr>
        <w:t>由两个或两个以上的自然人、法人或者其他组织可以组成一个联合体，以一个供应商的身份共同投标时，应符合以下原则：</w:t>
      </w:r>
    </w:p>
    <w:p w14:paraId="2D7D2F5A">
      <w:pPr>
        <w:numPr>
          <w:ilvl w:val="2"/>
          <w:numId w:val="12"/>
        </w:numPr>
        <w:rPr>
          <w:rFonts w:ascii="宋体" w:hAnsi="宋体" w:cs="宋体"/>
          <w:sz w:val="22"/>
          <w:szCs w:val="22"/>
        </w:rPr>
      </w:pPr>
      <w:r>
        <w:rPr>
          <w:rFonts w:hint="eastAsia" w:ascii="宋体" w:hAnsi="宋体" w:cs="宋体"/>
          <w:sz w:val="22"/>
          <w:szCs w:val="22"/>
        </w:rPr>
        <w:t xml:space="preserve">投标联合体各方参加政府采购活动应当具备下列条件： </w:t>
      </w:r>
    </w:p>
    <w:p w14:paraId="14EA5832">
      <w:pPr>
        <w:numPr>
          <w:ilvl w:val="3"/>
          <w:numId w:val="13"/>
        </w:numPr>
        <w:rPr>
          <w:rFonts w:ascii="宋体" w:hAnsi="宋体" w:cs="宋体"/>
          <w:sz w:val="22"/>
          <w:szCs w:val="22"/>
        </w:rPr>
      </w:pPr>
      <w:r>
        <w:rPr>
          <w:rFonts w:hint="eastAsia" w:ascii="宋体" w:hAnsi="宋体" w:cs="宋体"/>
          <w:sz w:val="22"/>
          <w:szCs w:val="22"/>
        </w:rPr>
        <w:t xml:space="preserve">具有独立承担民事责任的能力； </w:t>
      </w:r>
    </w:p>
    <w:p w14:paraId="5C0643EC">
      <w:pPr>
        <w:numPr>
          <w:ilvl w:val="3"/>
          <w:numId w:val="13"/>
        </w:numPr>
        <w:rPr>
          <w:rFonts w:ascii="宋体" w:hAnsi="宋体" w:cs="宋体"/>
          <w:sz w:val="22"/>
          <w:szCs w:val="22"/>
        </w:rPr>
      </w:pPr>
      <w:r>
        <w:rPr>
          <w:rFonts w:hint="eastAsia" w:ascii="宋体" w:hAnsi="宋体" w:cs="宋体"/>
          <w:sz w:val="22"/>
          <w:szCs w:val="22"/>
        </w:rPr>
        <w:t xml:space="preserve">有良好的商业信誉和健全的财务会计制度； </w:t>
      </w:r>
    </w:p>
    <w:p w14:paraId="318A276A">
      <w:pPr>
        <w:numPr>
          <w:ilvl w:val="3"/>
          <w:numId w:val="13"/>
        </w:numPr>
        <w:rPr>
          <w:rFonts w:ascii="宋体" w:hAnsi="宋体" w:cs="宋体"/>
          <w:sz w:val="22"/>
          <w:szCs w:val="22"/>
        </w:rPr>
      </w:pPr>
      <w:r>
        <w:rPr>
          <w:rFonts w:hint="eastAsia" w:ascii="宋体" w:hAnsi="宋体" w:cs="宋体"/>
          <w:sz w:val="22"/>
          <w:szCs w:val="22"/>
        </w:rPr>
        <w:t xml:space="preserve">具有履行合同所必需的设备和专业技术能力； </w:t>
      </w:r>
    </w:p>
    <w:p w14:paraId="540F6466">
      <w:pPr>
        <w:numPr>
          <w:ilvl w:val="3"/>
          <w:numId w:val="13"/>
        </w:numPr>
        <w:rPr>
          <w:rFonts w:ascii="宋体" w:hAnsi="宋体" w:cs="宋体"/>
          <w:sz w:val="22"/>
          <w:szCs w:val="22"/>
        </w:rPr>
      </w:pPr>
      <w:r>
        <w:rPr>
          <w:rFonts w:hint="eastAsia" w:ascii="宋体" w:hAnsi="宋体" w:cs="宋体"/>
          <w:sz w:val="22"/>
          <w:szCs w:val="22"/>
        </w:rPr>
        <w:t xml:space="preserve">有依法缴纳税收和社会保障资金的良好记录； </w:t>
      </w:r>
    </w:p>
    <w:p w14:paraId="7483301B">
      <w:pPr>
        <w:numPr>
          <w:ilvl w:val="3"/>
          <w:numId w:val="13"/>
        </w:numPr>
        <w:rPr>
          <w:rFonts w:ascii="宋体" w:hAnsi="宋体" w:cs="宋体"/>
          <w:sz w:val="22"/>
          <w:szCs w:val="22"/>
        </w:rPr>
      </w:pPr>
      <w:r>
        <w:rPr>
          <w:rFonts w:hint="eastAsia" w:ascii="宋体" w:hAnsi="宋体" w:cs="宋体"/>
          <w:sz w:val="22"/>
          <w:szCs w:val="22"/>
        </w:rPr>
        <w:t xml:space="preserve">参加政府采购活动前三年内，在经营活动中没有重大违法记录； </w:t>
      </w:r>
    </w:p>
    <w:p w14:paraId="5DD66898">
      <w:pPr>
        <w:numPr>
          <w:ilvl w:val="3"/>
          <w:numId w:val="13"/>
        </w:numPr>
        <w:rPr>
          <w:rFonts w:ascii="宋体" w:hAnsi="宋体" w:cs="宋体"/>
          <w:sz w:val="22"/>
          <w:szCs w:val="22"/>
        </w:rPr>
      </w:pPr>
      <w:r>
        <w:rPr>
          <w:rFonts w:hint="eastAsia" w:ascii="宋体" w:hAnsi="宋体" w:cs="宋体"/>
          <w:sz w:val="22"/>
          <w:szCs w:val="22"/>
        </w:rPr>
        <w:t xml:space="preserve">法律、行政法规规定的其他条件。 </w:t>
      </w:r>
    </w:p>
    <w:p w14:paraId="00FBD258">
      <w:pPr>
        <w:numPr>
          <w:ilvl w:val="2"/>
          <w:numId w:val="12"/>
        </w:numPr>
        <w:rPr>
          <w:rFonts w:ascii="宋体" w:hAnsi="宋体" w:cs="宋体"/>
          <w:sz w:val="22"/>
          <w:szCs w:val="22"/>
        </w:rPr>
      </w:pPr>
      <w:r>
        <w:rPr>
          <w:rFonts w:hint="eastAsia" w:ascii="宋体" w:hAnsi="宋体" w:cs="宋体"/>
          <w:sz w:val="22"/>
          <w:szCs w:val="22"/>
        </w:rPr>
        <w:t>投标联合体各方必须有一方先行注册成深圳政府采购代理机构供应商；</w:t>
      </w:r>
    </w:p>
    <w:p w14:paraId="21FADABE">
      <w:pPr>
        <w:numPr>
          <w:ilvl w:val="2"/>
          <w:numId w:val="12"/>
        </w:numPr>
        <w:rPr>
          <w:rFonts w:ascii="宋体" w:hAnsi="宋体" w:cs="宋体"/>
          <w:sz w:val="22"/>
          <w:szCs w:val="22"/>
        </w:rPr>
      </w:pPr>
      <w:r>
        <w:rPr>
          <w:rFonts w:hint="eastAsia" w:ascii="宋体" w:hAnsi="宋体" w:cs="宋体"/>
          <w:sz w:val="22"/>
          <w:szCs w:val="22"/>
        </w:rPr>
        <w:t>采购人根据采购项目的特殊要求规定投标人特定条件的，联合体各方中至少应当有一方符合采购人规定的特定条件。对于采购公告对投标人某一资格有要求的，按照联合体各方中最低资质等级确定联合体的资质等级；联合体各方的不同资质可优势互补。</w:t>
      </w:r>
    </w:p>
    <w:p w14:paraId="169E9A72">
      <w:pPr>
        <w:numPr>
          <w:ilvl w:val="2"/>
          <w:numId w:val="12"/>
        </w:numPr>
        <w:rPr>
          <w:rFonts w:ascii="宋体" w:hAnsi="宋体" w:cs="宋体"/>
          <w:sz w:val="22"/>
          <w:szCs w:val="22"/>
        </w:rPr>
      </w:pPr>
      <w:r>
        <w:rPr>
          <w:rFonts w:hint="eastAsia" w:ascii="宋体" w:hAnsi="宋体" w:cs="宋体"/>
          <w:sz w:val="22"/>
          <w:szCs w:val="22"/>
        </w:rPr>
        <w:t>投标人的投标文件及中标后签署的合同协议对联合体各方均具法律约束力；</w:t>
      </w:r>
    </w:p>
    <w:p w14:paraId="34077AA7">
      <w:pPr>
        <w:numPr>
          <w:ilvl w:val="2"/>
          <w:numId w:val="12"/>
        </w:numPr>
        <w:rPr>
          <w:rFonts w:ascii="宋体" w:hAnsi="宋体" w:cs="宋体"/>
          <w:sz w:val="22"/>
          <w:szCs w:val="22"/>
        </w:rPr>
      </w:pPr>
      <w:r>
        <w:rPr>
          <w:rFonts w:hint="eastAsia" w:ascii="宋体" w:hAnsi="宋体" w:cs="宋体"/>
          <w:sz w:val="22"/>
          <w:szCs w:val="22"/>
        </w:rPr>
        <w:t>联合体各方应当签订共同投标协议，明确约定各方拟承担的工作和责任，并将该共同投标协议随投标文件一并递交给政府采购代理机构；</w:t>
      </w:r>
    </w:p>
    <w:p w14:paraId="4C166D7C">
      <w:pPr>
        <w:numPr>
          <w:ilvl w:val="2"/>
          <w:numId w:val="12"/>
        </w:numPr>
        <w:rPr>
          <w:rFonts w:ascii="宋体" w:hAnsi="宋体" w:cs="宋体"/>
          <w:sz w:val="22"/>
          <w:szCs w:val="22"/>
        </w:rPr>
      </w:pPr>
      <w:r>
        <w:rPr>
          <w:rFonts w:hint="eastAsia" w:ascii="宋体" w:hAnsi="宋体" w:cs="宋体"/>
          <w:sz w:val="22"/>
          <w:szCs w:val="22"/>
        </w:rPr>
        <w:t>联合体中标后，联合体各方应当共同与采购单位签订合同，就中标项目向采购单位承担连带责任；</w:t>
      </w:r>
    </w:p>
    <w:p w14:paraId="34364A6D">
      <w:pPr>
        <w:numPr>
          <w:ilvl w:val="2"/>
          <w:numId w:val="12"/>
        </w:numPr>
        <w:rPr>
          <w:rFonts w:ascii="宋体" w:hAnsi="宋体" w:cs="宋体"/>
          <w:sz w:val="22"/>
          <w:szCs w:val="22"/>
        </w:rPr>
      </w:pPr>
      <w:r>
        <w:rPr>
          <w:rFonts w:hint="eastAsia" w:ascii="宋体" w:hAnsi="宋体" w:cs="宋体"/>
          <w:sz w:val="22"/>
          <w:szCs w:val="22"/>
        </w:rPr>
        <w:t>联合体的各方应当共同推荐一联合体投标授权代表方，由联合体各方提交一份授权书，证明其有资格代表联合体各方签署投标文件，该授权书作为投标文件的组成部分一并提交给政府采购代理机构；</w:t>
      </w:r>
    </w:p>
    <w:p w14:paraId="323C5D52">
      <w:pPr>
        <w:numPr>
          <w:ilvl w:val="2"/>
          <w:numId w:val="12"/>
        </w:numPr>
        <w:rPr>
          <w:rFonts w:ascii="宋体" w:hAnsi="宋体" w:cs="宋体"/>
          <w:sz w:val="22"/>
          <w:szCs w:val="22"/>
        </w:rPr>
      </w:pPr>
      <w:r>
        <w:rPr>
          <w:rFonts w:hint="eastAsia" w:ascii="宋体" w:hAnsi="宋体" w:cs="宋体"/>
          <w:sz w:val="22"/>
          <w:szCs w:val="22"/>
        </w:rPr>
        <w:t>参加联合体的各方不得再以自己名义单独在同一项目中投标，不得组成新的联合体参加同一项目投标，也不得以分包商或其它形式参与同一项目投标，出现上述情况者，其投标和与此有关联合体、总包单位的投标将被拒绝；</w:t>
      </w:r>
    </w:p>
    <w:p w14:paraId="549E0A28">
      <w:pPr>
        <w:numPr>
          <w:ilvl w:val="2"/>
          <w:numId w:val="12"/>
        </w:numPr>
        <w:rPr>
          <w:rFonts w:ascii="宋体" w:hAnsi="宋体" w:cs="宋体"/>
          <w:sz w:val="22"/>
          <w:szCs w:val="22"/>
        </w:rPr>
      </w:pPr>
      <w:r>
        <w:rPr>
          <w:rFonts w:hint="eastAsia" w:ascii="宋体" w:hAnsi="宋体" w:cs="宋体"/>
          <w:sz w:val="22"/>
          <w:szCs w:val="22"/>
        </w:rPr>
        <w:t>除非另有规定或说明，本通用条款中“投标人”一词亦指联合体各方。</w:t>
      </w:r>
    </w:p>
    <w:p w14:paraId="4F4AB4C7">
      <w:pPr>
        <w:ind w:left="907"/>
        <w:rPr>
          <w:rFonts w:ascii="宋体" w:hAnsi="宋体" w:cs="宋体"/>
          <w:sz w:val="22"/>
          <w:szCs w:val="22"/>
        </w:rPr>
      </w:pPr>
    </w:p>
    <w:p w14:paraId="68D70947">
      <w:pPr>
        <w:numPr>
          <w:ilvl w:val="0"/>
          <w:numId w:val="10"/>
        </w:numPr>
        <w:rPr>
          <w:rFonts w:ascii="宋体" w:hAnsi="宋体" w:cs="宋体"/>
          <w:sz w:val="22"/>
          <w:szCs w:val="22"/>
        </w:rPr>
      </w:pPr>
      <w:r>
        <w:rPr>
          <w:rFonts w:hint="eastAsia" w:ascii="宋体" w:hAnsi="宋体" w:cs="宋体"/>
          <w:sz w:val="22"/>
          <w:szCs w:val="22"/>
        </w:rPr>
        <w:t>本项目若涉及采购货物，则合格的货物及相应服务应满足以下要求：</w:t>
      </w:r>
    </w:p>
    <w:p w14:paraId="71FB1A9E">
      <w:pPr>
        <w:numPr>
          <w:ilvl w:val="1"/>
          <w:numId w:val="11"/>
        </w:numPr>
        <w:rPr>
          <w:rFonts w:ascii="宋体" w:hAnsi="宋体" w:cs="宋体"/>
          <w:sz w:val="22"/>
          <w:szCs w:val="22"/>
        </w:rPr>
      </w:pPr>
      <w:r>
        <w:rPr>
          <w:rFonts w:hint="eastAsia" w:ascii="宋体" w:hAnsi="宋体" w:cs="宋体"/>
          <w:sz w:val="22"/>
          <w:szCs w:val="22"/>
        </w:rPr>
        <w:t>必须是全新、未使用过的原装合格正品（包括零部件），如安装或配置了软件的，须为正版软件。</w:t>
      </w:r>
    </w:p>
    <w:p w14:paraId="4C08A8FE">
      <w:pPr>
        <w:numPr>
          <w:ilvl w:val="1"/>
          <w:numId w:val="11"/>
        </w:numPr>
        <w:rPr>
          <w:rFonts w:ascii="宋体" w:hAnsi="宋体" w:cs="宋体"/>
          <w:sz w:val="22"/>
          <w:szCs w:val="22"/>
        </w:rPr>
      </w:pPr>
      <w:r>
        <w:rPr>
          <w:rFonts w:hint="eastAsia" w:ascii="宋体" w:hAnsi="宋体" w:cs="宋体"/>
          <w:sz w:val="22"/>
          <w:szCs w:val="22"/>
        </w:rPr>
        <w:t>国产的货物及其有关服务必须符合中华人民共和国的设计和制造生产标准或行业标准。采购公告有其他要求的，亦应符合其要求。</w:t>
      </w:r>
    </w:p>
    <w:p w14:paraId="55E47B89">
      <w:pPr>
        <w:numPr>
          <w:ilvl w:val="1"/>
          <w:numId w:val="11"/>
        </w:numPr>
        <w:rPr>
          <w:rFonts w:ascii="宋体" w:hAnsi="宋体" w:cs="宋体"/>
          <w:sz w:val="22"/>
          <w:szCs w:val="22"/>
        </w:rPr>
      </w:pPr>
      <w:r>
        <w:rPr>
          <w:rFonts w:hint="eastAsia" w:ascii="宋体" w:hAnsi="宋体" w:cs="宋体"/>
          <w:sz w:val="22"/>
          <w:szCs w:val="22"/>
        </w:rPr>
        <w:t>进口货物及其有关服务必须符合原产地和/或中华人民共和国的设计和制造生产标准或行业标准。进口的货物必须具有合法的进口手续和途径。采购公告有其他要求的，亦应符合其要求。</w:t>
      </w:r>
    </w:p>
    <w:p w14:paraId="73FD13D6">
      <w:pPr>
        <w:numPr>
          <w:ilvl w:val="1"/>
          <w:numId w:val="11"/>
        </w:numPr>
        <w:rPr>
          <w:rFonts w:ascii="宋体" w:hAnsi="宋体" w:cs="宋体"/>
          <w:sz w:val="22"/>
          <w:szCs w:val="22"/>
        </w:rPr>
      </w:pPr>
      <w:r>
        <w:rPr>
          <w:rFonts w:hint="eastAsia" w:ascii="宋体" w:hAnsi="宋体" w:cs="宋体"/>
          <w:sz w:val="22"/>
          <w:szCs w:val="22"/>
        </w:rPr>
        <w:t>投标人应保证，其所提供的货物在提供给采购单位前具有完全的所有权，采购单位在中华人民共和国使用该货物或货物的任何一部分时，不会产生因第三方提出的包括但不限于侵犯其专利权、商标权、工业设计权等知识产权和侵犯其所有权、抵押权等物权及其他权利而引发的纠纷。如有纠纷，投标人应承担全部责任。</w:t>
      </w:r>
    </w:p>
    <w:p w14:paraId="6FC9B4EB">
      <w:pPr>
        <w:numPr>
          <w:ilvl w:val="1"/>
          <w:numId w:val="11"/>
        </w:numPr>
        <w:rPr>
          <w:rFonts w:ascii="宋体" w:hAnsi="宋体" w:cs="宋体"/>
          <w:sz w:val="22"/>
          <w:szCs w:val="22"/>
        </w:rPr>
      </w:pPr>
      <w:r>
        <w:rPr>
          <w:rFonts w:hint="eastAsia" w:ascii="宋体" w:hAnsi="宋体" w:cs="宋体"/>
          <w:sz w:val="22"/>
          <w:szCs w:val="22"/>
        </w:rPr>
        <w:t>投标人应保证，其所提供的货物应具有行政主管部门颁发的资质证书或国家质量监督部门的产品《检验报告》。设备到货验收时，还必须提供设备的产品合格证、质量保证文件。若中标后，除非另有约定，投标人必须按合同规定完成设备的安装，并达到验收标准。</w:t>
      </w:r>
    </w:p>
    <w:p w14:paraId="7FEEC1E8">
      <w:pPr>
        <w:numPr>
          <w:ilvl w:val="1"/>
          <w:numId w:val="11"/>
        </w:numPr>
        <w:rPr>
          <w:rFonts w:ascii="宋体" w:hAnsi="宋体" w:cs="宋体"/>
          <w:sz w:val="22"/>
          <w:szCs w:val="22"/>
        </w:rPr>
      </w:pPr>
      <w:r>
        <w:rPr>
          <w:rFonts w:hint="eastAsia" w:ascii="宋体" w:hAnsi="宋体" w:cs="宋体"/>
          <w:sz w:val="22"/>
          <w:szCs w:val="22"/>
        </w:rPr>
        <w:t>对工期的要求：投标人在投标时对其所投项目应提交详细的《交货进度表》，列明交货计划等，在合同规定的时间内完工验收。</w:t>
      </w:r>
    </w:p>
    <w:p w14:paraId="2A219E49">
      <w:pPr>
        <w:numPr>
          <w:ilvl w:val="1"/>
          <w:numId w:val="11"/>
        </w:numPr>
        <w:rPr>
          <w:rFonts w:ascii="宋体" w:hAnsi="宋体" w:cs="宋体"/>
          <w:sz w:val="22"/>
          <w:szCs w:val="22"/>
        </w:rPr>
      </w:pPr>
      <w:r>
        <w:rPr>
          <w:rFonts w:hint="eastAsia" w:ascii="宋体" w:hAnsi="宋体" w:cs="宋体"/>
          <w:sz w:val="22"/>
          <w:szCs w:val="22"/>
        </w:rPr>
        <w:t>除非下文另有规定，产品有效期为：密封存放在阴凉、干燥、通风、温度为-5°Ｃ～４０°Ｃ的环境中，有效期八年。特殊要求的另行规定。</w:t>
      </w:r>
    </w:p>
    <w:p w14:paraId="4E11BAEA">
      <w:pPr>
        <w:numPr>
          <w:ilvl w:val="1"/>
          <w:numId w:val="11"/>
        </w:numPr>
        <w:rPr>
          <w:rFonts w:ascii="宋体" w:hAnsi="宋体" w:cs="宋体"/>
          <w:sz w:val="22"/>
          <w:szCs w:val="22"/>
        </w:rPr>
      </w:pPr>
      <w:r>
        <w:rPr>
          <w:rFonts w:hint="eastAsia" w:ascii="宋体" w:hAnsi="宋体" w:cs="宋体"/>
          <w:sz w:val="22"/>
          <w:szCs w:val="22"/>
        </w:rPr>
        <w:t>服务响应期：4小时以内到达采购单位现场。特殊要求的另行规定。</w:t>
      </w:r>
    </w:p>
    <w:p w14:paraId="4056EFD1">
      <w:pPr>
        <w:numPr>
          <w:ilvl w:val="1"/>
          <w:numId w:val="11"/>
        </w:numPr>
        <w:rPr>
          <w:rFonts w:ascii="宋体" w:hAnsi="宋体" w:cs="宋体"/>
          <w:sz w:val="22"/>
          <w:szCs w:val="22"/>
        </w:rPr>
      </w:pPr>
      <w:r>
        <w:rPr>
          <w:rFonts w:hint="eastAsia" w:ascii="宋体" w:hAnsi="宋体" w:cs="宋体"/>
          <w:sz w:val="22"/>
          <w:szCs w:val="22"/>
        </w:rPr>
        <w:t>投标人必须承担的设备运输、安装调试、验收检测和提供设备操作说明书、图纸等其他相关及类似的义务。</w:t>
      </w:r>
    </w:p>
    <w:p w14:paraId="71B6D846">
      <w:pPr>
        <w:ind w:left="907"/>
        <w:rPr>
          <w:rFonts w:ascii="宋体" w:hAnsi="宋体" w:cs="宋体"/>
          <w:sz w:val="22"/>
          <w:szCs w:val="22"/>
        </w:rPr>
      </w:pPr>
    </w:p>
    <w:p w14:paraId="37626F88">
      <w:pPr>
        <w:numPr>
          <w:ilvl w:val="0"/>
          <w:numId w:val="10"/>
        </w:numPr>
        <w:rPr>
          <w:rFonts w:ascii="宋体" w:hAnsi="宋体" w:cs="宋体"/>
          <w:sz w:val="22"/>
          <w:szCs w:val="22"/>
        </w:rPr>
      </w:pPr>
      <w:r>
        <w:rPr>
          <w:rFonts w:hint="eastAsia" w:ascii="宋体" w:hAnsi="宋体" w:cs="宋体"/>
          <w:sz w:val="22"/>
          <w:szCs w:val="22"/>
        </w:rPr>
        <w:t>投标费用</w:t>
      </w:r>
      <w:bookmarkEnd w:id="42"/>
      <w:bookmarkEnd w:id="43"/>
      <w:bookmarkEnd w:id="44"/>
      <w:bookmarkEnd w:id="45"/>
      <w:bookmarkEnd w:id="46"/>
      <w:bookmarkEnd w:id="47"/>
      <w:bookmarkEnd w:id="48"/>
    </w:p>
    <w:p w14:paraId="41C448AD">
      <w:pPr>
        <w:numPr>
          <w:ilvl w:val="1"/>
          <w:numId w:val="11"/>
        </w:numPr>
        <w:rPr>
          <w:rFonts w:ascii="宋体" w:hAnsi="宋体" w:cs="宋体"/>
          <w:sz w:val="22"/>
          <w:szCs w:val="22"/>
        </w:rPr>
      </w:pPr>
      <w:r>
        <w:rPr>
          <w:rFonts w:hint="eastAsia" w:ascii="宋体" w:hAnsi="宋体" w:cs="宋体"/>
          <w:sz w:val="22"/>
          <w:szCs w:val="22"/>
        </w:rPr>
        <w:t>不论投标结果如何，投标人应承担其编制投标文件与递交投标文件所涉及的一切费用。</w:t>
      </w:r>
    </w:p>
    <w:p w14:paraId="18F127D2">
      <w:pPr>
        <w:ind w:left="907"/>
        <w:rPr>
          <w:rFonts w:ascii="宋体" w:hAnsi="宋体" w:cs="宋体"/>
          <w:sz w:val="22"/>
          <w:szCs w:val="22"/>
        </w:rPr>
      </w:pPr>
    </w:p>
    <w:p w14:paraId="769878EA">
      <w:pPr>
        <w:numPr>
          <w:ilvl w:val="0"/>
          <w:numId w:val="10"/>
        </w:numPr>
        <w:rPr>
          <w:rFonts w:ascii="宋体" w:hAnsi="宋体" w:cs="宋体"/>
          <w:sz w:val="22"/>
          <w:szCs w:val="22"/>
        </w:rPr>
      </w:pPr>
      <w:bookmarkStart w:id="49" w:name="_Toc73521554"/>
      <w:bookmarkStart w:id="50" w:name="_Toc73521642"/>
      <w:bookmarkStart w:id="51" w:name="_Toc60560632"/>
      <w:bookmarkStart w:id="52" w:name="_Toc60631627"/>
      <w:bookmarkStart w:id="53" w:name="_Toc100052371"/>
      <w:bookmarkStart w:id="54" w:name="_Toc73518124"/>
      <w:bookmarkStart w:id="55" w:name="_Toc73517646"/>
      <w:r>
        <w:rPr>
          <w:rFonts w:hint="eastAsia" w:ascii="宋体" w:hAnsi="宋体" w:cs="宋体"/>
          <w:sz w:val="22"/>
          <w:szCs w:val="22"/>
        </w:rPr>
        <w:t>踏勘现场</w:t>
      </w:r>
      <w:bookmarkEnd w:id="49"/>
      <w:bookmarkEnd w:id="50"/>
      <w:bookmarkEnd w:id="51"/>
      <w:bookmarkEnd w:id="52"/>
      <w:bookmarkEnd w:id="53"/>
      <w:bookmarkEnd w:id="54"/>
      <w:bookmarkEnd w:id="55"/>
    </w:p>
    <w:p w14:paraId="57B2372E">
      <w:pPr>
        <w:numPr>
          <w:ilvl w:val="1"/>
          <w:numId w:val="11"/>
        </w:numPr>
        <w:rPr>
          <w:rFonts w:ascii="宋体" w:hAnsi="宋体" w:cs="宋体"/>
          <w:sz w:val="22"/>
          <w:szCs w:val="22"/>
        </w:rPr>
      </w:pPr>
      <w:bookmarkStart w:id="56" w:name="_Toc78260681"/>
      <w:bookmarkStart w:id="57" w:name="_Toc100052372"/>
      <w:r>
        <w:rPr>
          <w:rFonts w:hint="eastAsia" w:ascii="宋体" w:hAnsi="宋体" w:cs="宋体"/>
          <w:sz w:val="22"/>
          <w:szCs w:val="22"/>
        </w:rPr>
        <w:t>如有需要，政府采购代理机构或采购单位将组织投标人对项目现场及周围环境进行踏勘，以便投标人获取有关编制投标文件和签署合同所需的所有资料。踏勘现场所发生的费用由投标人自己承担，投标人应按采购公告所约定的时间、地点统一踏勘现场。</w:t>
      </w:r>
    </w:p>
    <w:p w14:paraId="22F02B1C">
      <w:pPr>
        <w:numPr>
          <w:ilvl w:val="1"/>
          <w:numId w:val="11"/>
        </w:numPr>
        <w:rPr>
          <w:rFonts w:ascii="宋体" w:hAnsi="宋体" w:cs="宋体"/>
          <w:sz w:val="22"/>
          <w:szCs w:val="22"/>
        </w:rPr>
      </w:pPr>
      <w:r>
        <w:rPr>
          <w:rFonts w:hint="eastAsia" w:ascii="宋体" w:hAnsi="宋体" w:cs="宋体"/>
          <w:sz w:val="22"/>
          <w:szCs w:val="22"/>
        </w:rPr>
        <w:t>投标人及其人员经过采购单位的允许，可以踏勘目的进入采购单位的项目现场。若本项目采购文件要求投标人于统一时间地点踏勘现场的，投标人应当按时前往。</w:t>
      </w:r>
    </w:p>
    <w:p w14:paraId="77D34B78">
      <w:pPr>
        <w:numPr>
          <w:ilvl w:val="1"/>
          <w:numId w:val="11"/>
        </w:numPr>
        <w:rPr>
          <w:rFonts w:ascii="宋体" w:hAnsi="宋体" w:cs="宋体"/>
          <w:sz w:val="22"/>
          <w:szCs w:val="22"/>
        </w:rPr>
      </w:pPr>
      <w:r>
        <w:rPr>
          <w:rFonts w:hint="eastAsia" w:ascii="宋体" w:hAnsi="宋体" w:cs="宋体"/>
          <w:sz w:val="22"/>
          <w:szCs w:val="22"/>
        </w:rPr>
        <w:t>采购单位必须通过政府采购代理机构向投标人提供有关现场的资料和数据。</w:t>
      </w:r>
    </w:p>
    <w:p w14:paraId="0E5FF1DC">
      <w:pPr>
        <w:numPr>
          <w:ilvl w:val="1"/>
          <w:numId w:val="11"/>
        </w:numPr>
        <w:rPr>
          <w:rFonts w:ascii="宋体" w:hAnsi="宋体" w:cs="宋体"/>
          <w:sz w:val="22"/>
          <w:szCs w:val="22"/>
        </w:rPr>
      </w:pPr>
      <w:r>
        <w:rPr>
          <w:rFonts w:hint="eastAsia" w:ascii="宋体" w:hAnsi="宋体" w:cs="宋体"/>
          <w:sz w:val="22"/>
          <w:szCs w:val="22"/>
        </w:rPr>
        <w:t>任何人或任何组织在踏勘现场时向投标人提交的任何书面或口头上的资料，未经政府采购代理机构在网上发布或书面通知，均作无效处理。政府采购代理机构对投标人由此而做出的推论、理解和结论概不负责。</w:t>
      </w:r>
    </w:p>
    <w:p w14:paraId="4204A000">
      <w:pPr>
        <w:numPr>
          <w:ilvl w:val="1"/>
          <w:numId w:val="11"/>
        </w:numPr>
        <w:rPr>
          <w:rFonts w:ascii="宋体" w:hAnsi="宋体" w:cs="宋体"/>
          <w:sz w:val="22"/>
          <w:szCs w:val="22"/>
        </w:rPr>
      </w:pPr>
      <w:r>
        <w:rPr>
          <w:rFonts w:hint="eastAsia" w:ascii="宋体" w:hAnsi="宋体" w:cs="宋体"/>
          <w:sz w:val="22"/>
          <w:szCs w:val="22"/>
        </w:rPr>
        <w:t>未参与现场踏勘不作为否定投标人资格的理由。</w:t>
      </w:r>
    </w:p>
    <w:p w14:paraId="034EB1F3">
      <w:pPr>
        <w:ind w:left="907"/>
        <w:rPr>
          <w:rFonts w:ascii="宋体" w:hAnsi="宋体" w:cs="宋体"/>
          <w:sz w:val="22"/>
          <w:szCs w:val="22"/>
        </w:rPr>
      </w:pPr>
    </w:p>
    <w:p w14:paraId="4DA65E0C">
      <w:pPr>
        <w:numPr>
          <w:ilvl w:val="0"/>
          <w:numId w:val="10"/>
        </w:numPr>
        <w:rPr>
          <w:rFonts w:ascii="宋体" w:hAnsi="宋体" w:cs="宋体"/>
          <w:sz w:val="22"/>
          <w:szCs w:val="22"/>
        </w:rPr>
      </w:pPr>
      <w:r>
        <w:rPr>
          <w:rFonts w:hint="eastAsia" w:ascii="宋体" w:hAnsi="宋体" w:cs="宋体"/>
          <w:sz w:val="22"/>
          <w:szCs w:val="22"/>
        </w:rPr>
        <w:t>招标</w:t>
      </w:r>
      <w:bookmarkEnd w:id="56"/>
      <w:r>
        <w:rPr>
          <w:rFonts w:hint="eastAsia" w:ascii="宋体" w:hAnsi="宋体" w:cs="宋体"/>
          <w:sz w:val="22"/>
          <w:szCs w:val="22"/>
        </w:rPr>
        <w:t>答疑</w:t>
      </w:r>
      <w:bookmarkEnd w:id="57"/>
    </w:p>
    <w:p w14:paraId="5DBCBBC8">
      <w:pPr>
        <w:numPr>
          <w:ilvl w:val="1"/>
          <w:numId w:val="11"/>
        </w:numPr>
        <w:rPr>
          <w:rFonts w:ascii="宋体" w:hAnsi="宋体" w:cs="宋体"/>
          <w:sz w:val="22"/>
          <w:szCs w:val="22"/>
        </w:rPr>
      </w:pPr>
      <w:r>
        <w:rPr>
          <w:rFonts w:hint="eastAsia" w:ascii="宋体" w:hAnsi="宋体" w:cs="宋体"/>
          <w:sz w:val="22"/>
          <w:szCs w:val="22"/>
        </w:rPr>
        <w:t>招标答疑的目的是澄清、解答投标人在查阅采购文件后或现场踏勘中可能提出的与投标有关的疑问或询问。</w:t>
      </w:r>
    </w:p>
    <w:p w14:paraId="22CACFD5">
      <w:pPr>
        <w:numPr>
          <w:ilvl w:val="1"/>
          <w:numId w:val="11"/>
        </w:numPr>
        <w:rPr>
          <w:rFonts w:ascii="宋体" w:hAnsi="宋体" w:cs="宋体"/>
          <w:sz w:val="22"/>
          <w:szCs w:val="22"/>
        </w:rPr>
      </w:pPr>
      <w:r>
        <w:rPr>
          <w:rFonts w:hint="eastAsia" w:ascii="宋体" w:hAnsi="宋体" w:cs="宋体"/>
          <w:sz w:val="22"/>
          <w:szCs w:val="22"/>
        </w:rPr>
        <w:t>投标人提出的与投标有关的问题须在采购文件规定的答疑截止时间前以网上提问形式提交给政府采购代理机构。</w:t>
      </w:r>
    </w:p>
    <w:p w14:paraId="4AB7ED6C">
      <w:pPr>
        <w:numPr>
          <w:ilvl w:val="1"/>
          <w:numId w:val="11"/>
        </w:numPr>
        <w:rPr>
          <w:rFonts w:ascii="宋体" w:hAnsi="宋体" w:cs="宋体"/>
          <w:sz w:val="22"/>
          <w:szCs w:val="22"/>
        </w:rPr>
      </w:pPr>
      <w:r>
        <w:rPr>
          <w:rFonts w:hint="eastAsia" w:ascii="宋体" w:hAnsi="宋体" w:cs="宋体"/>
          <w:sz w:val="22"/>
          <w:szCs w:val="22"/>
        </w:rPr>
        <w:t>政府采购代理机构对疑问所做出的澄清和解答，以书面答复（包括网站发布信息）为准。答疑纪要的有效性规定按照本通用条款第13.3、13.4款规定执行。</w:t>
      </w:r>
    </w:p>
    <w:p w14:paraId="552322B9">
      <w:pPr>
        <w:numPr>
          <w:ilvl w:val="1"/>
          <w:numId w:val="11"/>
        </w:numPr>
        <w:rPr>
          <w:rFonts w:ascii="宋体" w:hAnsi="宋体" w:cs="宋体"/>
          <w:sz w:val="22"/>
          <w:szCs w:val="22"/>
        </w:rPr>
      </w:pPr>
      <w:r>
        <w:rPr>
          <w:rFonts w:hint="eastAsia" w:ascii="宋体" w:hAnsi="宋体" w:cs="宋体"/>
          <w:sz w:val="22"/>
          <w:szCs w:val="22"/>
        </w:rPr>
        <w:t>如政府采购代理机构认为有必要组织现场答疑会，投标人应按照采购文件规定的时间或政府采购代理机构另行书面通知（包括网站发布的通知）的时间和地点，参与现场答疑会。</w:t>
      </w:r>
    </w:p>
    <w:p w14:paraId="149912F0">
      <w:pPr>
        <w:numPr>
          <w:ilvl w:val="1"/>
          <w:numId w:val="11"/>
        </w:numPr>
        <w:rPr>
          <w:rFonts w:ascii="宋体" w:hAnsi="宋体" w:cs="宋体"/>
          <w:sz w:val="22"/>
          <w:szCs w:val="22"/>
        </w:rPr>
      </w:pPr>
      <w:r>
        <w:rPr>
          <w:rFonts w:hint="eastAsia" w:ascii="宋体" w:hAnsi="宋体" w:cs="宋体"/>
          <w:sz w:val="22"/>
          <w:szCs w:val="22"/>
        </w:rPr>
        <w:t>未参与招标答疑不作为否定投标人资格的理由。</w:t>
      </w:r>
    </w:p>
    <w:p w14:paraId="3F7D8051">
      <w:r>
        <w:br w:type="page"/>
      </w:r>
      <w:bookmarkStart w:id="58" w:name="bt招标文件"/>
      <w:bookmarkEnd w:id="58"/>
      <w:bookmarkStart w:id="59" w:name="_Toc73518126"/>
      <w:bookmarkStart w:id="60" w:name="_Toc101074878"/>
      <w:bookmarkStart w:id="61" w:name="_Toc73521644"/>
      <w:bookmarkStart w:id="62" w:name="_Toc100052373"/>
      <w:bookmarkStart w:id="63" w:name="_Toc73517648"/>
      <w:bookmarkStart w:id="64" w:name="_Toc73521556"/>
    </w:p>
    <w:p w14:paraId="3F81A373"/>
    <w:p w14:paraId="1A7D0B96"/>
    <w:p w14:paraId="34D0FF2F"/>
    <w:p w14:paraId="17374F5A"/>
    <w:p w14:paraId="34756E5C"/>
    <w:p w14:paraId="7C51BAEC"/>
    <w:p w14:paraId="26945007"/>
    <w:p w14:paraId="366BBDD4"/>
    <w:p w14:paraId="31E6E056"/>
    <w:p w14:paraId="5977C0C4"/>
    <w:p w14:paraId="70752D87"/>
    <w:p w14:paraId="40CBC156"/>
    <w:p w14:paraId="54BCDD49"/>
    <w:p w14:paraId="19A4CFA5"/>
    <w:p w14:paraId="33CCB7D4"/>
    <w:p w14:paraId="38EBA108">
      <w:pPr>
        <w:jc w:val="center"/>
        <w:rPr>
          <w:szCs w:val="28"/>
        </w:rPr>
      </w:pPr>
      <w:r>
        <w:rPr>
          <w:b/>
          <w:bCs/>
          <w:kern w:val="28"/>
          <w:sz w:val="44"/>
          <w:szCs w:val="44"/>
        </w:rPr>
        <w:t>第二章  采购文件</w:t>
      </w:r>
      <w:r>
        <w:rPr>
          <w:b/>
          <w:bCs/>
          <w:kern w:val="28"/>
          <w:sz w:val="44"/>
          <w:szCs w:val="44"/>
        </w:rPr>
        <w:br w:type="page"/>
      </w:r>
      <w:bookmarkEnd w:id="59"/>
      <w:bookmarkEnd w:id="60"/>
      <w:bookmarkEnd w:id="61"/>
      <w:bookmarkEnd w:id="62"/>
      <w:bookmarkEnd w:id="63"/>
      <w:bookmarkEnd w:id="64"/>
    </w:p>
    <w:p w14:paraId="39D44A91"/>
    <w:p w14:paraId="6FC5906E">
      <w:pPr>
        <w:numPr>
          <w:ilvl w:val="0"/>
          <w:numId w:val="10"/>
        </w:numPr>
        <w:rPr>
          <w:rFonts w:ascii="宋体" w:hAnsi="宋体" w:cs="宋体"/>
          <w:sz w:val="22"/>
          <w:szCs w:val="22"/>
        </w:rPr>
      </w:pPr>
      <w:bookmarkStart w:id="65" w:name="_Toc73517649"/>
      <w:bookmarkStart w:id="66" w:name="_Toc73518127"/>
      <w:bookmarkStart w:id="67" w:name="_Toc73521557"/>
      <w:bookmarkStart w:id="68" w:name="_Toc73521645"/>
      <w:bookmarkStart w:id="69" w:name="_Toc100052374"/>
      <w:r>
        <w:rPr>
          <w:rFonts w:hint="eastAsia" w:ascii="宋体" w:hAnsi="宋体" w:cs="宋体"/>
          <w:sz w:val="22"/>
          <w:szCs w:val="22"/>
        </w:rPr>
        <w:t>采购文件的编制与组成</w:t>
      </w:r>
      <w:bookmarkEnd w:id="65"/>
      <w:bookmarkEnd w:id="66"/>
      <w:bookmarkEnd w:id="67"/>
      <w:bookmarkEnd w:id="68"/>
      <w:bookmarkEnd w:id="69"/>
    </w:p>
    <w:p w14:paraId="578B34B5">
      <w:pPr>
        <w:numPr>
          <w:ilvl w:val="1"/>
          <w:numId w:val="11"/>
        </w:numPr>
        <w:rPr>
          <w:rFonts w:ascii="宋体" w:hAnsi="宋体" w:cs="宋体"/>
          <w:sz w:val="22"/>
          <w:szCs w:val="22"/>
        </w:rPr>
      </w:pPr>
      <w:r>
        <w:rPr>
          <w:rFonts w:hint="eastAsia" w:ascii="宋体" w:hAnsi="宋体" w:cs="宋体"/>
          <w:sz w:val="22"/>
          <w:szCs w:val="22"/>
        </w:rPr>
        <w:t>采购文件除以下内容外，政府采购代理机构在招标（或谈判）期间发出的答疑纪要和其他补充修改函件，均是采购文件的组成部分，对投标人起约束作用；</w:t>
      </w:r>
    </w:p>
    <w:p w14:paraId="5F5BC4CE">
      <w:pPr>
        <w:ind w:left="907"/>
        <w:rPr>
          <w:rFonts w:ascii="宋体" w:hAnsi="宋体" w:cs="宋体"/>
          <w:sz w:val="22"/>
          <w:szCs w:val="22"/>
        </w:rPr>
      </w:pPr>
      <w:r>
        <w:rPr>
          <w:rFonts w:hint="eastAsia" w:ascii="宋体" w:hAnsi="宋体" w:cs="宋体"/>
          <w:sz w:val="22"/>
          <w:szCs w:val="22"/>
        </w:rPr>
        <w:t>采购文件包括下列内容：</w:t>
      </w:r>
    </w:p>
    <w:p w14:paraId="56531980">
      <w:pPr>
        <w:ind w:left="907"/>
        <w:rPr>
          <w:rFonts w:ascii="宋体" w:hAnsi="宋体" w:cs="宋体"/>
          <w:b/>
          <w:sz w:val="22"/>
        </w:rPr>
      </w:pPr>
      <w:bookmarkStart w:id="70" w:name="_Toc60631631"/>
      <w:bookmarkStart w:id="71" w:name="_Toc73518128"/>
      <w:bookmarkStart w:id="72" w:name="_Toc60560636"/>
      <w:bookmarkStart w:id="73" w:name="_Toc73521646"/>
      <w:bookmarkStart w:id="74" w:name="_Toc73517650"/>
      <w:bookmarkStart w:id="75" w:name="_Toc73521558"/>
      <w:bookmarkStart w:id="76" w:name="_Toc100052375"/>
      <w:bookmarkStart w:id="77" w:name="_Toc73521647"/>
      <w:bookmarkStart w:id="78" w:name="_Toc73517651"/>
      <w:bookmarkStart w:id="79" w:name="_Toc100052376"/>
      <w:bookmarkStart w:id="80" w:name="_Toc73518129"/>
      <w:bookmarkStart w:id="81" w:name="_Toc60631632"/>
      <w:bookmarkStart w:id="82" w:name="_Toc60560637"/>
      <w:bookmarkStart w:id="83" w:name="_Toc73521559"/>
      <w:r>
        <w:rPr>
          <w:rFonts w:hint="eastAsia" w:ascii="宋体" w:hAnsi="宋体" w:cs="宋体"/>
          <w:b/>
          <w:sz w:val="22"/>
        </w:rPr>
        <w:t>第一册  专用条款</w:t>
      </w:r>
    </w:p>
    <w:p w14:paraId="69DFB574">
      <w:pPr>
        <w:ind w:left="907"/>
        <w:rPr>
          <w:rFonts w:ascii="宋体" w:hAnsi="宋体" w:cs="宋体"/>
          <w:b/>
          <w:sz w:val="22"/>
        </w:rPr>
      </w:pPr>
      <w:r>
        <w:rPr>
          <w:rFonts w:hint="eastAsia" w:ascii="宋体" w:hAnsi="宋体" w:cs="宋体"/>
          <w:b/>
          <w:sz w:val="22"/>
        </w:rPr>
        <w:t>关键信息</w:t>
      </w:r>
    </w:p>
    <w:p w14:paraId="367B1DD6">
      <w:pPr>
        <w:ind w:left="907"/>
        <w:rPr>
          <w:rFonts w:ascii="宋体" w:hAnsi="宋体" w:cs="宋体"/>
          <w:sz w:val="22"/>
        </w:rPr>
      </w:pPr>
      <w:r>
        <w:rPr>
          <w:rFonts w:hint="eastAsia" w:ascii="宋体" w:hAnsi="宋体" w:cs="宋体"/>
          <w:sz w:val="22"/>
        </w:rPr>
        <w:t>第一章  招标公告</w:t>
      </w:r>
    </w:p>
    <w:p w14:paraId="66619FEB">
      <w:pPr>
        <w:ind w:left="907"/>
        <w:rPr>
          <w:rFonts w:ascii="宋体" w:hAnsi="宋体" w:cs="宋体"/>
          <w:sz w:val="22"/>
        </w:rPr>
      </w:pPr>
      <w:r>
        <w:rPr>
          <w:rFonts w:hint="eastAsia" w:ascii="宋体" w:hAnsi="宋体" w:cs="宋体"/>
          <w:sz w:val="22"/>
        </w:rPr>
        <w:t>第二章  招标项目需求</w:t>
      </w:r>
    </w:p>
    <w:p w14:paraId="64A81D00">
      <w:pPr>
        <w:ind w:left="907"/>
        <w:rPr>
          <w:rFonts w:ascii="宋体" w:hAnsi="宋体" w:cs="宋体"/>
          <w:sz w:val="22"/>
        </w:rPr>
      </w:pPr>
      <w:r>
        <w:rPr>
          <w:rFonts w:hint="eastAsia" w:ascii="宋体" w:hAnsi="宋体" w:cs="宋体"/>
          <w:sz w:val="22"/>
        </w:rPr>
        <w:t>第三章  合同条款及格式</w:t>
      </w:r>
    </w:p>
    <w:p w14:paraId="1DF93B29">
      <w:pPr>
        <w:ind w:left="907"/>
        <w:rPr>
          <w:rFonts w:ascii="宋体" w:hAnsi="宋体" w:cs="宋体"/>
          <w:sz w:val="22"/>
        </w:rPr>
      </w:pPr>
      <w:r>
        <w:rPr>
          <w:rFonts w:hint="eastAsia" w:ascii="宋体" w:hAnsi="宋体" w:cs="宋体"/>
          <w:sz w:val="22"/>
        </w:rPr>
        <w:t>第四章  投标文件格式、附件</w:t>
      </w:r>
    </w:p>
    <w:p w14:paraId="4EFD3D60">
      <w:pPr>
        <w:ind w:left="907"/>
        <w:rPr>
          <w:rFonts w:ascii="宋体" w:hAnsi="宋体" w:cs="宋体"/>
          <w:sz w:val="22"/>
        </w:rPr>
      </w:pPr>
      <w:r>
        <w:rPr>
          <w:rFonts w:hint="eastAsia" w:ascii="宋体" w:hAnsi="宋体" w:cs="宋体"/>
          <w:sz w:val="22"/>
        </w:rPr>
        <w:t>第五章  政府采购履约情况反馈表</w:t>
      </w:r>
    </w:p>
    <w:p w14:paraId="7E304151">
      <w:pPr>
        <w:ind w:left="907"/>
        <w:rPr>
          <w:rFonts w:ascii="宋体" w:hAnsi="宋体" w:cs="宋体"/>
          <w:b/>
          <w:sz w:val="22"/>
        </w:rPr>
      </w:pPr>
      <w:r>
        <w:rPr>
          <w:rFonts w:hint="eastAsia" w:ascii="宋体" w:hAnsi="宋体" w:cs="宋体"/>
          <w:b/>
          <w:sz w:val="22"/>
        </w:rPr>
        <w:t>第二册  通用条款</w:t>
      </w:r>
    </w:p>
    <w:p w14:paraId="0AD226CA">
      <w:pPr>
        <w:ind w:left="907"/>
        <w:rPr>
          <w:rFonts w:ascii="宋体" w:hAnsi="宋体" w:cs="宋体"/>
          <w:sz w:val="22"/>
        </w:rPr>
      </w:pPr>
      <w:r>
        <w:rPr>
          <w:rFonts w:hint="eastAsia" w:ascii="宋体" w:hAnsi="宋体" w:cs="宋体"/>
          <w:sz w:val="22"/>
        </w:rPr>
        <w:t>第一章  总则</w:t>
      </w:r>
    </w:p>
    <w:p w14:paraId="05C54EA7">
      <w:pPr>
        <w:ind w:left="907"/>
        <w:rPr>
          <w:rFonts w:ascii="宋体" w:hAnsi="宋体" w:cs="宋体"/>
          <w:sz w:val="22"/>
        </w:rPr>
      </w:pPr>
      <w:r>
        <w:rPr>
          <w:rFonts w:hint="eastAsia" w:ascii="宋体" w:hAnsi="宋体" w:cs="宋体"/>
          <w:sz w:val="22"/>
        </w:rPr>
        <w:t>第二章  采购文件</w:t>
      </w:r>
    </w:p>
    <w:p w14:paraId="7503D211">
      <w:pPr>
        <w:ind w:left="907"/>
        <w:rPr>
          <w:rFonts w:ascii="宋体" w:hAnsi="宋体" w:cs="宋体"/>
          <w:sz w:val="22"/>
        </w:rPr>
      </w:pPr>
      <w:r>
        <w:rPr>
          <w:rFonts w:hint="eastAsia" w:ascii="宋体" w:hAnsi="宋体" w:cs="宋体"/>
          <w:sz w:val="22"/>
        </w:rPr>
        <w:t>第三章  投标文件的编制</w:t>
      </w:r>
    </w:p>
    <w:p w14:paraId="2C5EAAB6">
      <w:pPr>
        <w:ind w:left="907"/>
        <w:rPr>
          <w:rFonts w:ascii="宋体" w:hAnsi="宋体" w:cs="宋体"/>
          <w:sz w:val="22"/>
        </w:rPr>
      </w:pPr>
      <w:r>
        <w:rPr>
          <w:rFonts w:hint="eastAsia" w:ascii="宋体" w:hAnsi="宋体" w:cs="宋体"/>
          <w:sz w:val="22"/>
        </w:rPr>
        <w:t>第四章  投标文件的递交</w:t>
      </w:r>
    </w:p>
    <w:p w14:paraId="6E09F135">
      <w:pPr>
        <w:ind w:left="907"/>
        <w:rPr>
          <w:rFonts w:ascii="宋体" w:hAnsi="宋体" w:cs="宋体"/>
          <w:sz w:val="22"/>
        </w:rPr>
      </w:pPr>
      <w:r>
        <w:rPr>
          <w:rFonts w:hint="eastAsia" w:ascii="宋体" w:hAnsi="宋体" w:cs="宋体"/>
          <w:sz w:val="22"/>
        </w:rPr>
        <w:t>第五章  开标</w:t>
      </w:r>
    </w:p>
    <w:p w14:paraId="49D90681">
      <w:pPr>
        <w:ind w:left="907"/>
        <w:rPr>
          <w:rFonts w:ascii="宋体" w:hAnsi="宋体" w:cs="宋体"/>
          <w:sz w:val="22"/>
        </w:rPr>
      </w:pPr>
      <w:r>
        <w:rPr>
          <w:rFonts w:hint="eastAsia" w:ascii="宋体" w:hAnsi="宋体" w:cs="宋体"/>
          <w:sz w:val="22"/>
        </w:rPr>
        <w:t>第六章  评标要求</w:t>
      </w:r>
    </w:p>
    <w:p w14:paraId="6C2E135B">
      <w:pPr>
        <w:ind w:left="907"/>
        <w:rPr>
          <w:rFonts w:ascii="宋体" w:hAnsi="宋体" w:cs="宋体"/>
          <w:sz w:val="22"/>
        </w:rPr>
      </w:pPr>
      <w:r>
        <w:rPr>
          <w:rFonts w:hint="eastAsia" w:ascii="宋体" w:hAnsi="宋体" w:cs="宋体"/>
          <w:sz w:val="22"/>
        </w:rPr>
        <w:t>第七章  评标程序及评标方法</w:t>
      </w:r>
    </w:p>
    <w:p w14:paraId="5A9BCAA4">
      <w:pPr>
        <w:ind w:left="907"/>
        <w:rPr>
          <w:rFonts w:ascii="宋体" w:hAnsi="宋体" w:cs="宋体"/>
          <w:sz w:val="22"/>
        </w:rPr>
      </w:pPr>
      <w:r>
        <w:rPr>
          <w:rFonts w:hint="eastAsia" w:ascii="宋体" w:hAnsi="宋体" w:cs="宋体"/>
          <w:sz w:val="22"/>
        </w:rPr>
        <w:t>第八章  定标及公示</w:t>
      </w:r>
    </w:p>
    <w:p w14:paraId="5752B7D9">
      <w:pPr>
        <w:ind w:left="907"/>
        <w:rPr>
          <w:rFonts w:ascii="宋体" w:hAnsi="宋体" w:cs="宋体"/>
          <w:sz w:val="22"/>
        </w:rPr>
      </w:pPr>
      <w:r>
        <w:rPr>
          <w:rFonts w:hint="eastAsia" w:ascii="宋体" w:hAnsi="宋体" w:cs="宋体"/>
          <w:sz w:val="22"/>
        </w:rPr>
        <w:t>第九章  公开招标失败的后续处理</w:t>
      </w:r>
    </w:p>
    <w:p w14:paraId="60A88B15">
      <w:pPr>
        <w:ind w:left="907"/>
        <w:rPr>
          <w:rFonts w:ascii="宋体" w:hAnsi="宋体" w:cs="宋体"/>
          <w:sz w:val="22"/>
        </w:rPr>
      </w:pPr>
      <w:r>
        <w:rPr>
          <w:rFonts w:hint="eastAsia" w:ascii="宋体" w:hAnsi="宋体" w:cs="宋体"/>
          <w:sz w:val="22"/>
        </w:rPr>
        <w:t>第十章  合同的授予与备案</w:t>
      </w:r>
    </w:p>
    <w:p w14:paraId="25CCE978">
      <w:pPr>
        <w:ind w:left="907"/>
        <w:rPr>
          <w:rFonts w:ascii="宋体" w:hAnsi="宋体" w:cs="宋体"/>
          <w:sz w:val="22"/>
        </w:rPr>
      </w:pPr>
      <w:r>
        <w:rPr>
          <w:rFonts w:hint="eastAsia" w:ascii="宋体" w:hAnsi="宋体" w:cs="宋体"/>
          <w:sz w:val="22"/>
        </w:rPr>
        <w:t>第十一章  质疑处理</w:t>
      </w:r>
    </w:p>
    <w:p w14:paraId="2E7AFFE2">
      <w:pPr>
        <w:ind w:left="907"/>
        <w:rPr>
          <w:rFonts w:ascii="宋体" w:hAnsi="宋体" w:cs="宋体"/>
          <w:b/>
          <w:sz w:val="22"/>
        </w:rPr>
      </w:pPr>
      <w:r>
        <w:rPr>
          <w:rFonts w:hint="eastAsia" w:ascii="宋体" w:hAnsi="宋体" w:cs="宋体"/>
          <w:b/>
          <w:sz w:val="22"/>
        </w:rPr>
        <w:t>第三册 附件</w:t>
      </w:r>
    </w:p>
    <w:p w14:paraId="2F6E22A5">
      <w:pPr>
        <w:ind w:left="907"/>
        <w:rPr>
          <w:rFonts w:ascii="宋体" w:hAnsi="宋体" w:cs="宋体"/>
          <w:sz w:val="22"/>
        </w:rPr>
      </w:pPr>
      <w:r>
        <w:rPr>
          <w:rFonts w:hint="eastAsia" w:ascii="宋体" w:hAnsi="宋体" w:cs="宋体"/>
          <w:sz w:val="22"/>
        </w:rPr>
        <w:t>一、 财政部 工业和信息化部关于印发《政府采购促进中小企业发展管理办法》的通知</w:t>
      </w:r>
    </w:p>
    <w:p w14:paraId="67FA6752">
      <w:pPr>
        <w:ind w:left="907"/>
        <w:rPr>
          <w:rFonts w:ascii="宋体" w:hAnsi="宋体" w:cs="宋体"/>
          <w:sz w:val="22"/>
        </w:rPr>
      </w:pPr>
      <w:r>
        <w:rPr>
          <w:rFonts w:hint="eastAsia" w:ascii="宋体" w:hAnsi="宋体" w:cs="宋体"/>
          <w:sz w:val="22"/>
        </w:rPr>
        <w:t>二、 关于印发中小企业划型标准规定的通知</w:t>
      </w:r>
    </w:p>
    <w:p w14:paraId="5E744ECE">
      <w:pPr>
        <w:ind w:left="907"/>
        <w:rPr>
          <w:rFonts w:ascii="宋体" w:hAnsi="宋体" w:cs="宋体"/>
          <w:sz w:val="22"/>
        </w:rPr>
      </w:pPr>
      <w:r>
        <w:rPr>
          <w:rFonts w:hint="eastAsia" w:ascii="宋体" w:hAnsi="宋体" w:cs="宋体"/>
          <w:sz w:val="22"/>
        </w:rPr>
        <w:t>三、 国家统计局关于印发《统计上大中小微型企业划分办法 （2017）》的通知</w:t>
      </w:r>
    </w:p>
    <w:p w14:paraId="28253348">
      <w:pPr>
        <w:ind w:left="907"/>
      </w:pPr>
      <w:r>
        <w:rPr>
          <w:rFonts w:hint="eastAsia" w:ascii="宋体" w:hAnsi="宋体" w:cs="宋体"/>
          <w:sz w:val="22"/>
        </w:rPr>
        <w:t>四、 财政部 民政部 中国残疾人联合会关于促进残疾人就业 政府采购政策的通知</w:t>
      </w:r>
    </w:p>
    <w:p w14:paraId="3BC4BD7D">
      <w:pPr>
        <w:numPr>
          <w:ilvl w:val="1"/>
          <w:numId w:val="11"/>
        </w:numPr>
        <w:rPr>
          <w:rFonts w:ascii="宋体" w:hAnsi="宋体" w:cs="宋体"/>
          <w:sz w:val="22"/>
          <w:szCs w:val="22"/>
        </w:rPr>
      </w:pPr>
      <w:r>
        <w:rPr>
          <w:rFonts w:hint="eastAsia" w:ascii="宋体" w:hAnsi="宋体" w:cs="宋体"/>
          <w:sz w:val="22"/>
          <w:szCs w:val="22"/>
        </w:rPr>
        <w:t>投标人收到采购文件后，应仔细检查采购文件的所有内容，如有残缺应在答疑截止时间之前向政府采购代理机构提出，否则，由此引起的投标损失自负；投标人同时应认真审阅采购文件所有的事项、格式、条款和规范要求等，如果投标人的投标文件没有按采购文件要求提交全部资料或者投标文件没有对采购文件做出实质性响应，其风险应由投标人自行承担，并根据有关条款规定，其投标有可能被拒绝。</w:t>
      </w:r>
    </w:p>
    <w:p w14:paraId="290B8F20">
      <w:pPr>
        <w:numPr>
          <w:ilvl w:val="1"/>
          <w:numId w:val="11"/>
        </w:numPr>
        <w:rPr>
          <w:rFonts w:ascii="宋体" w:hAnsi="宋体" w:cs="宋体"/>
          <w:sz w:val="22"/>
          <w:szCs w:val="22"/>
        </w:rPr>
      </w:pPr>
      <w:r>
        <w:rPr>
          <w:rFonts w:hint="eastAsia" w:ascii="宋体" w:hAnsi="宋体" w:cs="宋体"/>
          <w:sz w:val="22"/>
          <w:szCs w:val="22"/>
        </w:rPr>
        <w:t>任何人或任何组织向投标人提交的任何书面或口头资料，未经政府采购代理机构在网上发布或书面通知，均作无效处理，不得作为采购文件的组成部分。政府采购代理机构对投标人由此而做出的推论、理解和结论概不负责。</w:t>
      </w:r>
    </w:p>
    <w:p w14:paraId="691DF25E">
      <w:pPr>
        <w:ind w:left="907"/>
        <w:rPr>
          <w:rFonts w:ascii="宋体" w:hAnsi="宋体" w:cs="宋体"/>
          <w:sz w:val="22"/>
          <w:szCs w:val="22"/>
        </w:rPr>
      </w:pPr>
    </w:p>
    <w:p w14:paraId="6366EA49">
      <w:pPr>
        <w:numPr>
          <w:ilvl w:val="0"/>
          <w:numId w:val="10"/>
        </w:numPr>
        <w:rPr>
          <w:rFonts w:ascii="宋体" w:hAnsi="宋体" w:cs="宋体"/>
          <w:sz w:val="22"/>
          <w:szCs w:val="22"/>
        </w:rPr>
      </w:pPr>
      <w:r>
        <w:rPr>
          <w:rFonts w:hint="eastAsia" w:ascii="宋体" w:hAnsi="宋体" w:cs="宋体"/>
          <w:sz w:val="22"/>
          <w:szCs w:val="22"/>
        </w:rPr>
        <w:t>采购文件的澄清</w:t>
      </w:r>
      <w:bookmarkEnd w:id="70"/>
      <w:bookmarkEnd w:id="71"/>
      <w:bookmarkEnd w:id="72"/>
      <w:bookmarkEnd w:id="73"/>
      <w:bookmarkEnd w:id="74"/>
      <w:bookmarkEnd w:id="75"/>
      <w:bookmarkEnd w:id="76"/>
    </w:p>
    <w:p w14:paraId="78A5D820">
      <w:pPr>
        <w:numPr>
          <w:ilvl w:val="1"/>
          <w:numId w:val="11"/>
        </w:numPr>
        <w:rPr>
          <w:rFonts w:ascii="宋体" w:hAnsi="宋体" w:cs="宋体"/>
          <w:sz w:val="22"/>
          <w:szCs w:val="22"/>
        </w:rPr>
      </w:pPr>
      <w:r>
        <w:rPr>
          <w:rFonts w:hint="eastAsia" w:ascii="宋体" w:hAnsi="宋体" w:cs="宋体"/>
          <w:sz w:val="22"/>
          <w:szCs w:val="22"/>
        </w:rPr>
        <w:t>任何要求对采购文件进行澄清的潜在投标人，均应以书面形式通知采购代理机构和采购人。采购代理机构对其在投标截止期五日以前收到的对招标文件的澄清要求均以书面形式予以答复，同时将书面答复以13.2所述方式发给每个购买招标文件的潜在投标人(答复中不包括问题的来源)。</w:t>
      </w:r>
    </w:p>
    <w:p w14:paraId="6480C7FA">
      <w:pPr>
        <w:numPr>
          <w:ilvl w:val="1"/>
          <w:numId w:val="11"/>
        </w:numPr>
        <w:rPr>
          <w:rFonts w:ascii="宋体" w:hAnsi="宋体" w:cs="宋体"/>
          <w:sz w:val="22"/>
          <w:szCs w:val="22"/>
        </w:rPr>
      </w:pPr>
      <w:r>
        <w:rPr>
          <w:rFonts w:hint="eastAsia" w:ascii="宋体" w:hAnsi="宋体" w:cs="宋体"/>
          <w:sz w:val="22"/>
          <w:szCs w:val="22"/>
        </w:rPr>
        <w:t>对于没有提出澄清又参与了该项目投标的供应商将被视为完全认同该采购文件（含澄清纪要），投标截止期后不再受理针对采购文件的相关质疑或投诉。</w:t>
      </w:r>
    </w:p>
    <w:p w14:paraId="07A74494">
      <w:pPr>
        <w:numPr>
          <w:ilvl w:val="1"/>
          <w:numId w:val="11"/>
        </w:numPr>
        <w:rPr>
          <w:rFonts w:ascii="宋体" w:hAnsi="宋体" w:cs="宋体"/>
          <w:sz w:val="22"/>
          <w:szCs w:val="22"/>
        </w:rPr>
      </w:pPr>
      <w:r>
        <w:rPr>
          <w:rFonts w:hint="eastAsia" w:ascii="宋体" w:hAnsi="宋体" w:cs="宋体"/>
          <w:sz w:val="22"/>
          <w:szCs w:val="22"/>
        </w:rPr>
        <w:t>对采购文件中描述有歧意或前后不一致的地方，评审委员会有权进行评判，但对同一条款的评判应适用于每个投标人。</w:t>
      </w:r>
    </w:p>
    <w:p w14:paraId="7AB36B5E">
      <w:pPr>
        <w:ind w:left="907"/>
        <w:rPr>
          <w:rFonts w:ascii="宋体" w:hAnsi="宋体" w:cs="宋体"/>
          <w:sz w:val="22"/>
          <w:szCs w:val="22"/>
        </w:rPr>
      </w:pPr>
    </w:p>
    <w:p w14:paraId="20BAD7EF">
      <w:pPr>
        <w:numPr>
          <w:ilvl w:val="0"/>
          <w:numId w:val="10"/>
        </w:numPr>
        <w:rPr>
          <w:rFonts w:ascii="宋体" w:hAnsi="宋体" w:cs="宋体"/>
          <w:sz w:val="22"/>
          <w:szCs w:val="22"/>
        </w:rPr>
      </w:pPr>
      <w:r>
        <w:rPr>
          <w:rFonts w:hint="eastAsia" w:ascii="宋体" w:hAnsi="宋体" w:cs="宋体"/>
          <w:sz w:val="22"/>
          <w:szCs w:val="22"/>
        </w:rPr>
        <w:t>采购文件的修改</w:t>
      </w:r>
      <w:bookmarkEnd w:id="77"/>
      <w:bookmarkEnd w:id="78"/>
      <w:bookmarkEnd w:id="79"/>
      <w:bookmarkEnd w:id="80"/>
      <w:bookmarkEnd w:id="81"/>
      <w:bookmarkEnd w:id="82"/>
      <w:bookmarkEnd w:id="83"/>
    </w:p>
    <w:p w14:paraId="7C52DF7E">
      <w:pPr>
        <w:numPr>
          <w:ilvl w:val="1"/>
          <w:numId w:val="11"/>
        </w:numPr>
        <w:rPr>
          <w:rFonts w:ascii="宋体" w:hAnsi="宋体" w:cs="宋体"/>
          <w:sz w:val="22"/>
          <w:szCs w:val="22"/>
        </w:rPr>
      </w:pPr>
      <w:bookmarkStart w:id="84" w:name="bt投标文件"/>
      <w:bookmarkEnd w:id="84"/>
      <w:bookmarkStart w:id="85" w:name="_Toc73521648"/>
      <w:bookmarkStart w:id="86" w:name="_Toc100052377"/>
      <w:bookmarkStart w:id="87" w:name="_Toc73521560"/>
      <w:bookmarkStart w:id="88" w:name="_Toc101074879"/>
      <w:bookmarkStart w:id="89" w:name="_Toc73518130"/>
      <w:bookmarkStart w:id="90" w:name="_Toc73517652"/>
      <w:r>
        <w:rPr>
          <w:rFonts w:hint="eastAsia" w:ascii="宋体" w:hAnsi="宋体" w:cs="宋体"/>
          <w:sz w:val="22"/>
          <w:szCs w:val="22"/>
        </w:rPr>
        <w:t>采购代理机构和采购人可主动地或在解答潜在投标人提出的澄清问题时对采购文件进行修改。</w:t>
      </w:r>
    </w:p>
    <w:p w14:paraId="51044711">
      <w:pPr>
        <w:numPr>
          <w:ilvl w:val="1"/>
          <w:numId w:val="11"/>
        </w:numPr>
        <w:rPr>
          <w:rFonts w:ascii="宋体" w:hAnsi="宋体" w:cs="宋体"/>
          <w:sz w:val="22"/>
          <w:szCs w:val="22"/>
        </w:rPr>
      </w:pPr>
      <w:r>
        <w:rPr>
          <w:rFonts w:hint="eastAsia" w:ascii="宋体" w:hAnsi="宋体" w:cs="宋体"/>
          <w:sz w:val="22"/>
          <w:szCs w:val="22"/>
        </w:rPr>
        <w:t>采购文件的修改是采购文件的组成部分，采购文件的修改在深圳市东海国际招标有限公司官网(http：//www.szdhit.com)以网上公告形式发布，并对投标人具有约束力，招标期间，投标人有义务上网查看，公告一经上网发布，即视为送达。</w:t>
      </w:r>
    </w:p>
    <w:p w14:paraId="0B5F7CBD">
      <w:pPr>
        <w:numPr>
          <w:ilvl w:val="1"/>
          <w:numId w:val="11"/>
        </w:numPr>
        <w:rPr>
          <w:rFonts w:ascii="宋体" w:hAnsi="宋体" w:cs="宋体"/>
          <w:sz w:val="22"/>
          <w:szCs w:val="22"/>
        </w:rPr>
      </w:pPr>
      <w:r>
        <w:rPr>
          <w:rFonts w:hint="eastAsia" w:ascii="宋体" w:hAnsi="宋体" w:cs="宋体"/>
          <w:sz w:val="22"/>
          <w:szCs w:val="22"/>
        </w:rPr>
        <w:t>为使投标人准备投标时有充分时间对采购文件的修改部分进行研究，采购代理机构和采购人可适当推迟投标截止期。</w:t>
      </w:r>
    </w:p>
    <w:p w14:paraId="41752243"/>
    <w:p w14:paraId="1A553FF7">
      <w:r>
        <w:br w:type="page"/>
      </w:r>
    </w:p>
    <w:p w14:paraId="68FDE215"/>
    <w:p w14:paraId="3DFB28EE"/>
    <w:p w14:paraId="48F5DD0D"/>
    <w:p w14:paraId="5E9B4864"/>
    <w:p w14:paraId="7A588F8F"/>
    <w:p w14:paraId="26CDE059"/>
    <w:p w14:paraId="65213312"/>
    <w:p w14:paraId="365A47B1"/>
    <w:p w14:paraId="1D841340"/>
    <w:p w14:paraId="15C671F3"/>
    <w:p w14:paraId="635CD914"/>
    <w:p w14:paraId="789736C7"/>
    <w:p w14:paraId="489DD69C"/>
    <w:p w14:paraId="3AFE9EFC"/>
    <w:p w14:paraId="714B23AC"/>
    <w:p w14:paraId="5F4CE36E">
      <w:pPr>
        <w:pStyle w:val="5"/>
        <w:rPr>
          <w:szCs w:val="28"/>
        </w:rPr>
      </w:pPr>
      <w:r>
        <w:rPr>
          <w:b w:val="0"/>
          <w:bCs/>
          <w:kern w:val="28"/>
          <w:sz w:val="44"/>
          <w:szCs w:val="44"/>
        </w:rPr>
        <w:t>第三章  投标文件的编制</w:t>
      </w:r>
      <w:r>
        <w:rPr>
          <w:b w:val="0"/>
          <w:bCs/>
          <w:kern w:val="28"/>
          <w:sz w:val="44"/>
          <w:szCs w:val="44"/>
        </w:rPr>
        <w:br w:type="page"/>
      </w:r>
      <w:bookmarkEnd w:id="85"/>
      <w:bookmarkEnd w:id="86"/>
      <w:bookmarkEnd w:id="87"/>
      <w:bookmarkEnd w:id="88"/>
      <w:bookmarkEnd w:id="89"/>
      <w:bookmarkEnd w:id="90"/>
    </w:p>
    <w:p w14:paraId="19F563A0"/>
    <w:p w14:paraId="1E20862A">
      <w:pPr>
        <w:numPr>
          <w:ilvl w:val="0"/>
          <w:numId w:val="10"/>
        </w:numPr>
        <w:rPr>
          <w:rFonts w:ascii="宋体" w:hAnsi="宋体" w:cs="宋体"/>
          <w:sz w:val="22"/>
          <w:szCs w:val="22"/>
        </w:rPr>
      </w:pPr>
      <w:bookmarkStart w:id="91" w:name="_Toc73521561"/>
      <w:bookmarkStart w:id="92" w:name="_Toc73517653"/>
      <w:bookmarkStart w:id="93" w:name="_Toc73521649"/>
      <w:bookmarkStart w:id="94" w:name="_Toc100052378"/>
      <w:bookmarkStart w:id="95" w:name="_Toc60631634"/>
      <w:bookmarkStart w:id="96" w:name="_Toc60560639"/>
      <w:bookmarkStart w:id="97" w:name="_Toc73518131"/>
      <w:r>
        <w:rPr>
          <w:rFonts w:hint="eastAsia" w:ascii="宋体" w:hAnsi="宋体" w:cs="宋体"/>
          <w:sz w:val="22"/>
          <w:szCs w:val="22"/>
        </w:rPr>
        <w:t>投标文件的语言及度量单位</w:t>
      </w:r>
      <w:bookmarkEnd w:id="91"/>
      <w:bookmarkEnd w:id="92"/>
      <w:bookmarkEnd w:id="93"/>
      <w:bookmarkEnd w:id="94"/>
      <w:bookmarkEnd w:id="95"/>
      <w:bookmarkEnd w:id="96"/>
      <w:bookmarkEnd w:id="97"/>
    </w:p>
    <w:p w14:paraId="316C664C">
      <w:pPr>
        <w:numPr>
          <w:ilvl w:val="1"/>
          <w:numId w:val="11"/>
        </w:numPr>
        <w:rPr>
          <w:rFonts w:ascii="宋体" w:hAnsi="宋体" w:cs="宋体"/>
          <w:sz w:val="22"/>
          <w:szCs w:val="22"/>
        </w:rPr>
      </w:pPr>
      <w:r>
        <w:rPr>
          <w:rFonts w:hint="eastAsia" w:ascii="宋体" w:hAnsi="宋体" w:cs="宋体"/>
          <w:sz w:val="22"/>
          <w:szCs w:val="22"/>
        </w:rPr>
        <w:t>投标人与政府采购代理机构之间与投标有关的所有往来通知、函件和投标文件均用中文表述。投标人随投标文件提供的证明文件和资料可以为其它语言，但必须附中文译文。翻译的中文资料与外文资料如果出现差异时，以中文为准，但翻译错误的除外。</w:t>
      </w:r>
    </w:p>
    <w:p w14:paraId="03655047">
      <w:pPr>
        <w:numPr>
          <w:ilvl w:val="1"/>
          <w:numId w:val="11"/>
        </w:numPr>
        <w:rPr>
          <w:rFonts w:ascii="宋体" w:hAnsi="宋体" w:cs="宋体"/>
          <w:sz w:val="22"/>
          <w:szCs w:val="22"/>
        </w:rPr>
      </w:pPr>
      <w:r>
        <w:rPr>
          <w:rFonts w:hint="eastAsia" w:ascii="宋体" w:hAnsi="宋体" w:cs="宋体"/>
          <w:sz w:val="22"/>
          <w:szCs w:val="22"/>
        </w:rPr>
        <w:t>除技术规范另有规定外，投标文件使用的度量单位，均采用中华人民共和国法定计量单位。</w:t>
      </w:r>
    </w:p>
    <w:p w14:paraId="1AC8272A">
      <w:pPr>
        <w:ind w:left="907"/>
        <w:rPr>
          <w:rFonts w:ascii="宋体" w:hAnsi="宋体" w:cs="宋体"/>
          <w:sz w:val="22"/>
          <w:szCs w:val="22"/>
        </w:rPr>
      </w:pPr>
    </w:p>
    <w:p w14:paraId="603A6B5D">
      <w:pPr>
        <w:numPr>
          <w:ilvl w:val="0"/>
          <w:numId w:val="10"/>
        </w:numPr>
        <w:rPr>
          <w:rFonts w:ascii="宋体" w:hAnsi="宋体" w:cs="宋体"/>
          <w:sz w:val="22"/>
          <w:szCs w:val="22"/>
        </w:rPr>
      </w:pPr>
      <w:bookmarkStart w:id="98" w:name="_Toc100052379"/>
      <w:bookmarkStart w:id="99" w:name="_Toc73521562"/>
      <w:bookmarkStart w:id="100" w:name="_Toc60560640"/>
      <w:bookmarkStart w:id="101" w:name="_Toc73521650"/>
      <w:bookmarkStart w:id="102" w:name="_Toc73517654"/>
      <w:bookmarkStart w:id="103" w:name="_Toc73518132"/>
      <w:bookmarkStart w:id="104" w:name="_Toc60631635"/>
      <w:r>
        <w:rPr>
          <w:rFonts w:hint="eastAsia" w:ascii="宋体" w:hAnsi="宋体" w:cs="宋体"/>
          <w:sz w:val="22"/>
          <w:szCs w:val="22"/>
        </w:rPr>
        <w:t>投标文件的组成</w:t>
      </w:r>
      <w:bookmarkEnd w:id="98"/>
      <w:bookmarkEnd w:id="99"/>
      <w:bookmarkEnd w:id="100"/>
      <w:bookmarkEnd w:id="101"/>
      <w:bookmarkEnd w:id="102"/>
      <w:bookmarkEnd w:id="103"/>
      <w:bookmarkEnd w:id="104"/>
    </w:p>
    <w:p w14:paraId="3DC94BAA">
      <w:pPr>
        <w:numPr>
          <w:ilvl w:val="0"/>
          <w:numId w:val="14"/>
        </w:numPr>
        <w:ind w:left="420"/>
        <w:rPr>
          <w:rFonts w:ascii="宋体" w:hAnsi="宋体" w:cs="宋体"/>
          <w:sz w:val="22"/>
          <w:szCs w:val="22"/>
        </w:rPr>
      </w:pPr>
      <w:bookmarkStart w:id="105" w:name="投标文件的组成"/>
      <w:bookmarkStart w:id="106" w:name="_Toc60560641"/>
      <w:bookmarkStart w:id="107" w:name="_Toc73521563"/>
      <w:bookmarkStart w:id="108" w:name="_Toc73518133"/>
      <w:bookmarkStart w:id="109" w:name="_Toc73517655"/>
      <w:bookmarkStart w:id="110" w:name="_Toc60631636"/>
      <w:bookmarkStart w:id="111" w:name="_Toc73521651"/>
      <w:r>
        <w:rPr>
          <w:rFonts w:hint="eastAsia" w:ascii="宋体" w:hAnsi="宋体" w:cs="宋体"/>
          <w:sz w:val="22"/>
          <w:szCs w:val="22"/>
        </w:rPr>
        <w:t>评标指引表</w:t>
      </w:r>
    </w:p>
    <w:p w14:paraId="5A83DE07">
      <w:pPr>
        <w:numPr>
          <w:ilvl w:val="0"/>
          <w:numId w:val="14"/>
        </w:numPr>
        <w:ind w:left="420"/>
        <w:rPr>
          <w:rFonts w:ascii="宋体" w:hAnsi="宋体" w:cs="宋体"/>
          <w:sz w:val="22"/>
          <w:szCs w:val="22"/>
        </w:rPr>
      </w:pPr>
      <w:r>
        <w:rPr>
          <w:rFonts w:hint="eastAsia" w:ascii="宋体" w:hAnsi="宋体" w:cs="宋体"/>
          <w:sz w:val="22"/>
          <w:szCs w:val="22"/>
        </w:rPr>
        <w:t>投标函及投标保证金交纳凭证</w:t>
      </w:r>
    </w:p>
    <w:p w14:paraId="731B779B">
      <w:pPr>
        <w:numPr>
          <w:ilvl w:val="0"/>
          <w:numId w:val="14"/>
        </w:numPr>
        <w:ind w:left="420"/>
        <w:rPr>
          <w:rFonts w:ascii="宋体" w:hAnsi="宋体" w:cs="宋体"/>
          <w:sz w:val="22"/>
          <w:szCs w:val="22"/>
        </w:rPr>
      </w:pPr>
      <w:r>
        <w:rPr>
          <w:rFonts w:hint="eastAsia" w:ascii="宋体" w:hAnsi="宋体" w:cs="宋体"/>
          <w:sz w:val="22"/>
          <w:szCs w:val="22"/>
        </w:rPr>
        <w:t>政府采购投标及履约承诺函</w:t>
      </w:r>
    </w:p>
    <w:p w14:paraId="1D03D1EA">
      <w:pPr>
        <w:numPr>
          <w:ilvl w:val="0"/>
          <w:numId w:val="14"/>
        </w:numPr>
        <w:ind w:left="420"/>
        <w:rPr>
          <w:rFonts w:ascii="宋体" w:hAnsi="宋体" w:cs="宋体"/>
          <w:sz w:val="22"/>
          <w:szCs w:val="22"/>
        </w:rPr>
      </w:pPr>
      <w:r>
        <w:rPr>
          <w:rFonts w:hint="eastAsia" w:ascii="宋体" w:hAnsi="宋体" w:cs="宋体"/>
          <w:sz w:val="22"/>
          <w:szCs w:val="22"/>
        </w:rPr>
        <w:t>诚信承诺函</w:t>
      </w:r>
    </w:p>
    <w:p w14:paraId="47F5B007">
      <w:pPr>
        <w:numPr>
          <w:ilvl w:val="0"/>
          <w:numId w:val="14"/>
        </w:numPr>
        <w:ind w:left="420"/>
        <w:rPr>
          <w:rFonts w:ascii="宋体" w:hAnsi="宋体" w:cs="宋体"/>
          <w:sz w:val="22"/>
          <w:szCs w:val="22"/>
        </w:rPr>
      </w:pPr>
      <w:r>
        <w:rPr>
          <w:rFonts w:hint="eastAsia" w:ascii="宋体" w:hAnsi="宋体" w:cs="宋体"/>
          <w:sz w:val="22"/>
          <w:szCs w:val="22"/>
        </w:rPr>
        <w:t>政府采购违法行为风险知悉确认书</w:t>
      </w:r>
    </w:p>
    <w:p w14:paraId="33EE5AE6">
      <w:pPr>
        <w:numPr>
          <w:ilvl w:val="0"/>
          <w:numId w:val="14"/>
        </w:numPr>
        <w:ind w:left="420"/>
        <w:rPr>
          <w:rFonts w:ascii="宋体" w:hAnsi="宋体" w:cs="宋体"/>
          <w:sz w:val="22"/>
          <w:szCs w:val="22"/>
        </w:rPr>
      </w:pPr>
      <w:r>
        <w:rPr>
          <w:rFonts w:hint="eastAsia" w:ascii="宋体" w:hAnsi="宋体" w:cs="宋体"/>
          <w:sz w:val="22"/>
          <w:szCs w:val="22"/>
        </w:rPr>
        <w:t>法定代表人（负责人）证明书</w:t>
      </w:r>
    </w:p>
    <w:p w14:paraId="1BC1A10F">
      <w:pPr>
        <w:numPr>
          <w:ilvl w:val="0"/>
          <w:numId w:val="14"/>
        </w:numPr>
        <w:ind w:left="420"/>
        <w:rPr>
          <w:rFonts w:ascii="宋体" w:hAnsi="宋体" w:cs="宋体"/>
          <w:sz w:val="22"/>
          <w:szCs w:val="22"/>
        </w:rPr>
      </w:pPr>
      <w:r>
        <w:rPr>
          <w:rFonts w:hint="eastAsia" w:ascii="宋体" w:hAnsi="宋体" w:cs="宋体"/>
          <w:sz w:val="22"/>
          <w:szCs w:val="22"/>
        </w:rPr>
        <w:t>法定代表人（负责人）授权书</w:t>
      </w:r>
    </w:p>
    <w:p w14:paraId="7A20D8D8">
      <w:pPr>
        <w:numPr>
          <w:ilvl w:val="0"/>
          <w:numId w:val="14"/>
        </w:numPr>
        <w:ind w:left="420"/>
        <w:rPr>
          <w:rFonts w:ascii="宋体" w:hAnsi="宋体" w:cs="宋体"/>
          <w:sz w:val="22"/>
          <w:szCs w:val="22"/>
        </w:rPr>
      </w:pPr>
      <w:r>
        <w:rPr>
          <w:rFonts w:hint="eastAsia" w:ascii="宋体" w:hAnsi="宋体" w:cs="宋体"/>
          <w:sz w:val="22"/>
          <w:szCs w:val="22"/>
        </w:rPr>
        <w:t>招标代理服务费承诺函</w:t>
      </w:r>
    </w:p>
    <w:p w14:paraId="24E73C1E">
      <w:pPr>
        <w:numPr>
          <w:ilvl w:val="0"/>
          <w:numId w:val="14"/>
        </w:numPr>
        <w:ind w:left="420"/>
        <w:rPr>
          <w:rFonts w:ascii="宋体" w:hAnsi="宋体" w:cs="宋体"/>
          <w:sz w:val="22"/>
          <w:szCs w:val="22"/>
        </w:rPr>
      </w:pPr>
      <w:r>
        <w:rPr>
          <w:rFonts w:hint="eastAsia" w:ascii="宋体" w:hAnsi="宋体" w:cs="宋体"/>
          <w:sz w:val="22"/>
          <w:szCs w:val="22"/>
        </w:rPr>
        <w:t>报价清单表</w:t>
      </w:r>
    </w:p>
    <w:p w14:paraId="5FAE1A94">
      <w:pPr>
        <w:numPr>
          <w:ilvl w:val="0"/>
          <w:numId w:val="14"/>
        </w:numPr>
        <w:ind w:left="420"/>
        <w:rPr>
          <w:rFonts w:ascii="宋体" w:hAnsi="宋体" w:cs="宋体"/>
          <w:sz w:val="22"/>
          <w:szCs w:val="22"/>
        </w:rPr>
      </w:pPr>
      <w:r>
        <w:rPr>
          <w:rFonts w:hint="eastAsia" w:ascii="宋体" w:hAnsi="宋体" w:cs="宋体"/>
          <w:sz w:val="22"/>
          <w:szCs w:val="22"/>
        </w:rPr>
        <w:t>供应商情况介绍</w:t>
      </w:r>
    </w:p>
    <w:p w14:paraId="5A82F439">
      <w:pPr>
        <w:numPr>
          <w:ilvl w:val="0"/>
          <w:numId w:val="14"/>
        </w:numPr>
        <w:ind w:left="420"/>
        <w:rPr>
          <w:rFonts w:ascii="宋体" w:hAnsi="宋体" w:cs="宋体"/>
          <w:sz w:val="22"/>
          <w:szCs w:val="22"/>
        </w:rPr>
      </w:pPr>
      <w:r>
        <w:rPr>
          <w:rFonts w:hint="eastAsia" w:ascii="宋体" w:hAnsi="宋体" w:cs="宋体"/>
          <w:sz w:val="22"/>
          <w:szCs w:val="22"/>
        </w:rPr>
        <w:t>项目主要管理及技术人员情况</w:t>
      </w:r>
    </w:p>
    <w:p w14:paraId="177E74DC">
      <w:pPr>
        <w:numPr>
          <w:ilvl w:val="0"/>
          <w:numId w:val="14"/>
        </w:numPr>
        <w:ind w:left="420"/>
        <w:rPr>
          <w:rFonts w:ascii="宋体" w:hAnsi="宋体" w:cs="宋体"/>
          <w:sz w:val="22"/>
          <w:szCs w:val="22"/>
        </w:rPr>
      </w:pPr>
      <w:r>
        <w:rPr>
          <w:rFonts w:hint="eastAsia" w:ascii="宋体" w:hAnsi="宋体" w:cs="宋体"/>
          <w:sz w:val="22"/>
          <w:szCs w:val="22"/>
        </w:rPr>
        <w:t>项目具体方案</w:t>
      </w:r>
    </w:p>
    <w:p w14:paraId="7CFAAE58">
      <w:pPr>
        <w:numPr>
          <w:ilvl w:val="0"/>
          <w:numId w:val="14"/>
        </w:numPr>
        <w:ind w:left="420"/>
        <w:rPr>
          <w:rFonts w:ascii="宋体" w:hAnsi="宋体" w:cs="宋体"/>
          <w:sz w:val="22"/>
          <w:szCs w:val="22"/>
        </w:rPr>
      </w:pPr>
      <w:r>
        <w:rPr>
          <w:rFonts w:hint="eastAsia" w:ascii="宋体" w:hAnsi="宋体" w:cs="宋体"/>
          <w:sz w:val="22"/>
          <w:szCs w:val="22"/>
        </w:rPr>
        <w:t>商务条款偏离表</w:t>
      </w:r>
    </w:p>
    <w:p w14:paraId="1DA8F4A3">
      <w:pPr>
        <w:numPr>
          <w:ilvl w:val="0"/>
          <w:numId w:val="14"/>
        </w:numPr>
        <w:ind w:left="420"/>
        <w:rPr>
          <w:rFonts w:ascii="宋体" w:hAnsi="宋体" w:cs="宋体"/>
          <w:sz w:val="22"/>
          <w:szCs w:val="22"/>
        </w:rPr>
      </w:pPr>
      <w:r>
        <w:rPr>
          <w:rFonts w:hint="eastAsia" w:ascii="宋体" w:hAnsi="宋体" w:cs="宋体"/>
          <w:sz w:val="22"/>
          <w:szCs w:val="22"/>
        </w:rPr>
        <w:t>服务条款偏离表</w:t>
      </w:r>
    </w:p>
    <w:p w14:paraId="1B021ACE">
      <w:pPr>
        <w:numPr>
          <w:ilvl w:val="0"/>
          <w:numId w:val="14"/>
        </w:numPr>
        <w:ind w:left="420"/>
        <w:rPr>
          <w:rFonts w:ascii="宋体" w:hAnsi="宋体" w:cs="宋体"/>
          <w:sz w:val="22"/>
          <w:szCs w:val="22"/>
        </w:rPr>
      </w:pPr>
      <w:r>
        <w:rPr>
          <w:rFonts w:hint="eastAsia" w:ascii="宋体" w:hAnsi="宋体" w:cs="宋体"/>
          <w:sz w:val="22"/>
          <w:szCs w:val="22"/>
        </w:rPr>
        <w:t>实质性条款响应情况表</w:t>
      </w:r>
    </w:p>
    <w:p w14:paraId="1636A4B0">
      <w:pPr>
        <w:numPr>
          <w:ilvl w:val="0"/>
          <w:numId w:val="14"/>
        </w:numPr>
        <w:ind w:left="420"/>
        <w:rPr>
          <w:rFonts w:ascii="宋体" w:hAnsi="宋体" w:cs="宋体"/>
          <w:sz w:val="22"/>
          <w:szCs w:val="22"/>
        </w:rPr>
      </w:pPr>
      <w:r>
        <w:rPr>
          <w:rFonts w:hint="eastAsia" w:ascii="宋体" w:hAnsi="宋体" w:cs="宋体"/>
          <w:sz w:val="22"/>
          <w:szCs w:val="22"/>
        </w:rPr>
        <w:t>中小企业、残疾人福利性单位和监狱企业政策导向</w:t>
      </w:r>
    </w:p>
    <w:p w14:paraId="6F60AA61">
      <w:pPr>
        <w:numPr>
          <w:ilvl w:val="0"/>
          <w:numId w:val="14"/>
        </w:numPr>
        <w:ind w:left="420"/>
        <w:rPr>
          <w:rFonts w:ascii="宋体" w:hAnsi="宋体" w:cs="宋体"/>
          <w:sz w:val="22"/>
          <w:szCs w:val="22"/>
        </w:rPr>
      </w:pPr>
      <w:r>
        <w:rPr>
          <w:rFonts w:hint="eastAsia" w:ascii="宋体" w:hAnsi="宋体" w:cs="宋体"/>
          <w:sz w:val="22"/>
          <w:szCs w:val="22"/>
        </w:rPr>
        <w:t>招标文件要求的其他内容及投标人认为需要加以说明的其他内容</w:t>
      </w:r>
    </w:p>
    <w:p w14:paraId="79646354">
      <w:pPr>
        <w:ind w:left="907"/>
        <w:rPr>
          <w:rFonts w:ascii="宋体" w:hAnsi="宋体" w:cs="宋体"/>
          <w:sz w:val="22"/>
          <w:szCs w:val="22"/>
        </w:rPr>
      </w:pPr>
      <w:r>
        <w:rPr>
          <w:rFonts w:hint="eastAsia" w:ascii="宋体" w:hAnsi="宋体" w:cs="宋体"/>
          <w:sz w:val="22"/>
          <w:szCs w:val="22"/>
        </w:rPr>
        <w:t>上述文件须按顺序装订成册，并编制投标文件目录。</w:t>
      </w:r>
    </w:p>
    <w:p w14:paraId="4FB607DF">
      <w:pPr>
        <w:ind w:left="907"/>
        <w:rPr>
          <w:rFonts w:ascii="宋体" w:hAnsi="宋体" w:cs="宋体"/>
          <w:sz w:val="22"/>
          <w:szCs w:val="22"/>
        </w:rPr>
      </w:pPr>
      <w:r>
        <w:rPr>
          <w:rFonts w:hint="eastAsia" w:ascii="宋体" w:hAnsi="宋体" w:cs="宋体"/>
          <w:sz w:val="22"/>
          <w:szCs w:val="22"/>
        </w:rPr>
        <w:t>除上述文件资料外还须按采购文件要求制作“开标文件”。“开标文件”作为投标文件的一部分，但须单独密封。</w:t>
      </w:r>
    </w:p>
    <w:p w14:paraId="4C602CBC">
      <w:pPr>
        <w:ind w:left="907"/>
        <w:rPr>
          <w:rFonts w:ascii="宋体" w:hAnsi="宋体" w:cs="宋体"/>
          <w:sz w:val="22"/>
          <w:szCs w:val="22"/>
        </w:rPr>
      </w:pPr>
    </w:p>
    <w:bookmarkEnd w:id="105"/>
    <w:p w14:paraId="64387C91">
      <w:pPr>
        <w:numPr>
          <w:ilvl w:val="0"/>
          <w:numId w:val="10"/>
        </w:numPr>
        <w:rPr>
          <w:rFonts w:ascii="宋体" w:hAnsi="宋体" w:cs="宋体"/>
          <w:sz w:val="22"/>
          <w:szCs w:val="22"/>
        </w:rPr>
      </w:pPr>
      <w:bookmarkStart w:id="112" w:name="_Toc100052380"/>
      <w:r>
        <w:rPr>
          <w:rFonts w:hint="eastAsia" w:ascii="宋体" w:hAnsi="宋体" w:cs="宋体"/>
          <w:sz w:val="22"/>
          <w:szCs w:val="22"/>
        </w:rPr>
        <w:t>投标文件格式</w:t>
      </w:r>
      <w:bookmarkEnd w:id="106"/>
      <w:bookmarkEnd w:id="107"/>
      <w:bookmarkEnd w:id="108"/>
      <w:bookmarkEnd w:id="109"/>
      <w:bookmarkEnd w:id="110"/>
      <w:bookmarkEnd w:id="111"/>
      <w:bookmarkEnd w:id="112"/>
    </w:p>
    <w:p w14:paraId="1C707D08">
      <w:pPr>
        <w:numPr>
          <w:ilvl w:val="1"/>
          <w:numId w:val="11"/>
        </w:numPr>
        <w:rPr>
          <w:rFonts w:ascii="宋体" w:hAnsi="宋体" w:cs="宋体"/>
          <w:sz w:val="22"/>
          <w:szCs w:val="22"/>
        </w:rPr>
      </w:pPr>
      <w:r>
        <w:rPr>
          <w:rFonts w:hint="eastAsia" w:ascii="宋体" w:hAnsi="宋体" w:cs="宋体"/>
          <w:sz w:val="22"/>
          <w:szCs w:val="22"/>
        </w:rPr>
        <w:t>投标文件包括本通用条款第15条中规定的内容。如采购文件提供了投标文件格式，则投标人提交的投标文件应毫无例外地使用采购文件所提供的相应格式（表格可以按同样格式扩展）。</w:t>
      </w:r>
      <w:bookmarkStart w:id="113" w:name="_Toc73518135"/>
      <w:bookmarkStart w:id="114" w:name="_Toc60631638"/>
      <w:bookmarkStart w:id="115" w:name="_Toc73517657"/>
      <w:bookmarkStart w:id="116" w:name="_Toc60560643"/>
      <w:bookmarkStart w:id="117" w:name="_Toc73521653"/>
      <w:bookmarkStart w:id="118" w:name="_Toc73521565"/>
    </w:p>
    <w:p w14:paraId="1C01AA2A">
      <w:pPr>
        <w:ind w:left="907"/>
        <w:rPr>
          <w:rFonts w:ascii="宋体" w:hAnsi="宋体" w:cs="宋体"/>
          <w:sz w:val="22"/>
          <w:szCs w:val="22"/>
        </w:rPr>
      </w:pPr>
    </w:p>
    <w:p w14:paraId="2013A0F4">
      <w:pPr>
        <w:numPr>
          <w:ilvl w:val="0"/>
          <w:numId w:val="10"/>
        </w:numPr>
        <w:rPr>
          <w:rFonts w:ascii="宋体" w:hAnsi="宋体" w:cs="宋体"/>
          <w:sz w:val="22"/>
          <w:szCs w:val="22"/>
        </w:rPr>
      </w:pPr>
      <w:bookmarkStart w:id="119" w:name="_Toc100052382"/>
      <w:r>
        <w:rPr>
          <w:rFonts w:hint="eastAsia" w:ascii="宋体" w:hAnsi="宋体" w:cs="宋体"/>
          <w:sz w:val="22"/>
          <w:szCs w:val="22"/>
        </w:rPr>
        <w:t>投标货币</w:t>
      </w:r>
      <w:bookmarkEnd w:id="113"/>
      <w:bookmarkEnd w:id="114"/>
      <w:bookmarkEnd w:id="115"/>
      <w:bookmarkEnd w:id="116"/>
      <w:bookmarkEnd w:id="117"/>
      <w:bookmarkEnd w:id="118"/>
      <w:bookmarkEnd w:id="119"/>
    </w:p>
    <w:p w14:paraId="553E108B">
      <w:pPr>
        <w:numPr>
          <w:ilvl w:val="1"/>
          <w:numId w:val="11"/>
        </w:numPr>
        <w:rPr>
          <w:rFonts w:ascii="宋体" w:hAnsi="宋体" w:cs="宋体"/>
          <w:sz w:val="22"/>
          <w:szCs w:val="22"/>
        </w:rPr>
      </w:pPr>
      <w:r>
        <w:rPr>
          <w:rFonts w:hint="eastAsia" w:ascii="宋体" w:hAnsi="宋体" w:cs="宋体"/>
          <w:sz w:val="22"/>
          <w:szCs w:val="22"/>
        </w:rPr>
        <w:t>本项目的投标应以人民币计。</w:t>
      </w:r>
    </w:p>
    <w:p w14:paraId="6073852E">
      <w:pPr>
        <w:ind w:left="907"/>
        <w:rPr>
          <w:rFonts w:ascii="宋体" w:hAnsi="宋体" w:cs="宋体"/>
          <w:sz w:val="22"/>
          <w:szCs w:val="22"/>
        </w:rPr>
      </w:pPr>
    </w:p>
    <w:p w14:paraId="3B0C3B34">
      <w:pPr>
        <w:numPr>
          <w:ilvl w:val="0"/>
          <w:numId w:val="10"/>
        </w:numPr>
        <w:rPr>
          <w:rFonts w:ascii="宋体" w:hAnsi="宋体" w:cs="宋体"/>
          <w:sz w:val="22"/>
          <w:szCs w:val="22"/>
        </w:rPr>
      </w:pPr>
      <w:r>
        <w:rPr>
          <w:rFonts w:hint="eastAsia" w:ascii="宋体" w:hAnsi="宋体" w:cs="宋体"/>
          <w:sz w:val="22"/>
          <w:szCs w:val="22"/>
        </w:rPr>
        <w:t>证明投标文件投标技术方案的合格性和符合采购文件规定的文件要求</w:t>
      </w:r>
    </w:p>
    <w:p w14:paraId="09A5EFF5">
      <w:pPr>
        <w:numPr>
          <w:ilvl w:val="1"/>
          <w:numId w:val="11"/>
        </w:numPr>
        <w:rPr>
          <w:rFonts w:ascii="宋体" w:hAnsi="宋体" w:cs="宋体"/>
          <w:sz w:val="22"/>
          <w:szCs w:val="22"/>
        </w:rPr>
      </w:pPr>
      <w:r>
        <w:rPr>
          <w:rFonts w:hint="eastAsia" w:ascii="宋体" w:hAnsi="宋体" w:cs="宋体"/>
          <w:sz w:val="22"/>
          <w:szCs w:val="22"/>
        </w:rPr>
        <w:t>投标人应提交证明文件证明其投标技术方案项下的货物、工程和服务的合格性符合采购文件规定。该投标技术方案及其证明文件作为投标文件的一部分。</w:t>
      </w:r>
    </w:p>
    <w:p w14:paraId="51275A20">
      <w:pPr>
        <w:numPr>
          <w:ilvl w:val="1"/>
          <w:numId w:val="11"/>
        </w:numPr>
        <w:rPr>
          <w:rFonts w:ascii="宋体" w:hAnsi="宋体" w:cs="宋体"/>
          <w:sz w:val="22"/>
          <w:szCs w:val="22"/>
        </w:rPr>
      </w:pPr>
      <w:r>
        <w:rPr>
          <w:rFonts w:hint="eastAsia" w:ascii="宋体" w:hAnsi="宋体" w:cs="宋体"/>
          <w:sz w:val="22"/>
          <w:szCs w:val="22"/>
        </w:rPr>
        <w:t>投标人提供证明投标技术方案与采购文件的要求相一致的文件，可以是文字资料、图纸、数据或数码照片、制造商公布的产品说明书、产品彩页和我国政府机构出具的产品检验和核准证件等，以证明投标人响应的真实性。它包括并应符合以下要求：</w:t>
      </w:r>
    </w:p>
    <w:p w14:paraId="3F2F71EB">
      <w:pPr>
        <w:numPr>
          <w:ilvl w:val="2"/>
          <w:numId w:val="15"/>
        </w:numPr>
        <w:rPr>
          <w:rFonts w:ascii="宋体" w:hAnsi="宋体" w:cs="宋体"/>
          <w:sz w:val="22"/>
          <w:szCs w:val="22"/>
        </w:rPr>
      </w:pPr>
      <w:r>
        <w:rPr>
          <w:rFonts w:hint="eastAsia" w:ascii="宋体" w:hAnsi="宋体" w:cs="宋体"/>
          <w:sz w:val="22"/>
          <w:szCs w:val="22"/>
        </w:rPr>
        <w:t>主要技术指标和性能的详细说明。</w:t>
      </w:r>
    </w:p>
    <w:p w14:paraId="14880F25">
      <w:pPr>
        <w:numPr>
          <w:ilvl w:val="2"/>
          <w:numId w:val="15"/>
        </w:numPr>
        <w:rPr>
          <w:rFonts w:ascii="宋体" w:hAnsi="宋体" w:cs="宋体"/>
          <w:sz w:val="22"/>
          <w:szCs w:val="22"/>
        </w:rPr>
      </w:pPr>
      <w:r>
        <w:rPr>
          <w:rFonts w:hint="eastAsia" w:ascii="宋体" w:hAnsi="宋体" w:cs="宋体"/>
          <w:sz w:val="22"/>
          <w:szCs w:val="22"/>
        </w:rPr>
        <w:t>投标产品从采购单位开始使用至采购文件中规定的周期内正常、连续地使用所必须的备件和专用工具清单，包括备件和专用工具的货源及现行价格。</w:t>
      </w:r>
    </w:p>
    <w:p w14:paraId="512CFC5A">
      <w:pPr>
        <w:numPr>
          <w:ilvl w:val="2"/>
          <w:numId w:val="15"/>
        </w:numPr>
        <w:rPr>
          <w:rFonts w:ascii="宋体" w:hAnsi="宋体" w:cs="宋体"/>
          <w:sz w:val="22"/>
          <w:szCs w:val="22"/>
        </w:rPr>
      </w:pPr>
      <w:r>
        <w:rPr>
          <w:rFonts w:hint="eastAsia" w:ascii="宋体" w:hAnsi="宋体" w:cs="宋体"/>
          <w:sz w:val="22"/>
          <w:szCs w:val="22"/>
        </w:rPr>
        <w:t>对照采购文件技术规格，逐条说明投标技术方案已对采购单位的技术规格做出了实质性的响应，或申明与技术规格条文的偏差和例外。投标人应详细说明投标技术方案中产品的具体参数，不得以谋取中标为目的的照搬照抄采购文件的技术要求。</w:t>
      </w:r>
    </w:p>
    <w:p w14:paraId="5B56A95B">
      <w:pPr>
        <w:numPr>
          <w:ilvl w:val="2"/>
          <w:numId w:val="15"/>
        </w:numPr>
        <w:rPr>
          <w:rFonts w:ascii="宋体" w:hAnsi="宋体" w:cs="宋体"/>
          <w:sz w:val="22"/>
          <w:szCs w:val="22"/>
        </w:rPr>
      </w:pPr>
      <w:r>
        <w:rPr>
          <w:rFonts w:hint="eastAsia" w:ascii="宋体" w:hAnsi="宋体" w:cs="宋体"/>
          <w:sz w:val="22"/>
          <w:szCs w:val="22"/>
        </w:rPr>
        <w:t>产品说明书或彩页应为制造商公布或出具的中文产品说明书或彩页；提供外文说明书或彩页的，必须同时提供加盖制造商公章的对应中文翻译说明，评标依据以中文翻译内容为准，外文说明书或彩页仅供参考；产品说明书或彩页的尺寸和清晰度应该能够在电脑上被阅读、识别和判断，提供原件扫描件；</w:t>
      </w:r>
    </w:p>
    <w:p w14:paraId="3DB7F039">
      <w:pPr>
        <w:numPr>
          <w:ilvl w:val="2"/>
          <w:numId w:val="15"/>
        </w:numPr>
        <w:rPr>
          <w:rFonts w:ascii="宋体" w:hAnsi="宋体" w:cs="宋体"/>
          <w:sz w:val="22"/>
          <w:szCs w:val="22"/>
        </w:rPr>
      </w:pPr>
      <w:r>
        <w:rPr>
          <w:rFonts w:hint="eastAsia" w:ascii="宋体" w:hAnsi="宋体" w:cs="宋体"/>
          <w:sz w:val="22"/>
          <w:szCs w:val="22"/>
        </w:rPr>
        <w:t>我国政府机构出具的产品检验和核准证件应为证件正面、背面和附件标注的全部具体内容；产品检验和核准证件的尺寸和清晰度应该能够在电脑上被阅读、识别和判断，提供原件扫描件。</w:t>
      </w:r>
    </w:p>
    <w:p w14:paraId="4DBF278E">
      <w:pPr>
        <w:numPr>
          <w:ilvl w:val="1"/>
          <w:numId w:val="11"/>
        </w:numPr>
        <w:rPr>
          <w:rFonts w:ascii="宋体" w:hAnsi="宋体" w:cs="宋体"/>
          <w:sz w:val="22"/>
          <w:szCs w:val="22"/>
        </w:rPr>
      </w:pPr>
      <w:r>
        <w:rPr>
          <w:rFonts w:hint="eastAsia" w:ascii="宋体" w:hAnsi="宋体" w:cs="宋体"/>
          <w:sz w:val="22"/>
          <w:szCs w:val="22"/>
        </w:rPr>
        <w:t>相关资料不符合18.2款要求的，评审委员会有权认定为投标技术方案不合格响应，其相关分数予以扣减或作废标处理。</w:t>
      </w:r>
    </w:p>
    <w:p w14:paraId="2C250644">
      <w:pPr>
        <w:numPr>
          <w:ilvl w:val="1"/>
          <w:numId w:val="11"/>
        </w:numPr>
        <w:rPr>
          <w:rFonts w:ascii="宋体" w:hAnsi="宋体" w:cs="宋体"/>
          <w:sz w:val="22"/>
          <w:szCs w:val="22"/>
        </w:rPr>
      </w:pPr>
      <w:r>
        <w:rPr>
          <w:rFonts w:hint="eastAsia" w:ascii="宋体" w:hAnsi="宋体" w:cs="宋体"/>
          <w:sz w:val="22"/>
          <w:szCs w:val="22"/>
        </w:rPr>
        <w:t>评审委员会有权对以谋取中标为目的的技术规格模糊响应（如有意照搬照抄采购文件的技术要求）或虚假响应予以认定。供应商上述行为一经发现或查实，除扣分或废标外，还可能被一并处以没收投标保证金的处罚，政府采购代理机构可视情况报政府采购监督管理部门做进一步处理。</w:t>
      </w:r>
    </w:p>
    <w:p w14:paraId="313D6A53">
      <w:pPr>
        <w:numPr>
          <w:ilvl w:val="1"/>
          <w:numId w:val="11"/>
        </w:numPr>
        <w:rPr>
          <w:rFonts w:ascii="宋体" w:hAnsi="宋体" w:cs="宋体"/>
          <w:sz w:val="22"/>
          <w:szCs w:val="22"/>
        </w:rPr>
      </w:pPr>
      <w:r>
        <w:rPr>
          <w:rFonts w:hint="eastAsia" w:ascii="宋体" w:hAnsi="宋体" w:cs="宋体"/>
          <w:sz w:val="22"/>
          <w:szCs w:val="22"/>
        </w:rPr>
        <w:t>投标人在阐述上述第18.2时应注意采购单位在技术规格中指出的工艺、材料和设备的标准以及参照的牌号或分类号仅起说明作用，并没有任何限制性。投标人在投标中可以选用替代标准、牌号或分类号，但这些替代要实质上满足采购文件中技术规格的要求，是否满足要求，由评审委员会来评判。</w:t>
      </w:r>
    </w:p>
    <w:p w14:paraId="7A40570F">
      <w:pPr>
        <w:numPr>
          <w:ilvl w:val="1"/>
          <w:numId w:val="11"/>
        </w:numPr>
        <w:rPr>
          <w:rFonts w:ascii="宋体" w:hAnsi="宋体" w:cs="宋体"/>
          <w:sz w:val="22"/>
          <w:szCs w:val="22"/>
        </w:rPr>
      </w:pPr>
      <w:r>
        <w:rPr>
          <w:rFonts w:hint="eastAsia" w:ascii="宋体" w:hAnsi="宋体" w:cs="宋体"/>
          <w:sz w:val="22"/>
          <w:szCs w:val="22"/>
        </w:rPr>
        <w:t>为保证公平公正，除非另有规定或说明，投标人对同一货物或服务投标时，不得同时提供两套或两套以上的投标方案。</w:t>
      </w:r>
    </w:p>
    <w:p w14:paraId="4C4A90BE">
      <w:pPr>
        <w:ind w:left="907"/>
        <w:rPr>
          <w:rFonts w:ascii="宋体" w:hAnsi="宋体" w:cs="宋体"/>
          <w:sz w:val="22"/>
          <w:szCs w:val="22"/>
        </w:rPr>
      </w:pPr>
    </w:p>
    <w:p w14:paraId="22C23FD4">
      <w:pPr>
        <w:numPr>
          <w:ilvl w:val="0"/>
          <w:numId w:val="10"/>
        </w:numPr>
        <w:rPr>
          <w:rFonts w:ascii="宋体" w:hAnsi="宋体" w:cs="宋体"/>
          <w:sz w:val="22"/>
          <w:szCs w:val="22"/>
        </w:rPr>
      </w:pPr>
      <w:r>
        <w:rPr>
          <w:rFonts w:hint="eastAsia" w:ascii="宋体" w:hAnsi="宋体" w:cs="宋体"/>
          <w:sz w:val="22"/>
          <w:szCs w:val="22"/>
        </w:rPr>
        <w:t>投标文件其他证明文件的要求</w:t>
      </w:r>
    </w:p>
    <w:p w14:paraId="5D99E1E1">
      <w:pPr>
        <w:numPr>
          <w:ilvl w:val="1"/>
          <w:numId w:val="11"/>
        </w:numPr>
        <w:rPr>
          <w:rFonts w:ascii="宋体" w:hAnsi="宋体" w:cs="宋体"/>
          <w:sz w:val="22"/>
          <w:szCs w:val="22"/>
        </w:rPr>
      </w:pPr>
      <w:bookmarkStart w:id="120" w:name="_Toc73521654"/>
      <w:bookmarkStart w:id="121" w:name="_Toc100052383"/>
      <w:bookmarkStart w:id="122" w:name="_Toc60560644"/>
      <w:bookmarkStart w:id="123" w:name="_Toc73521566"/>
      <w:bookmarkStart w:id="124" w:name="_Toc73518136"/>
      <w:bookmarkStart w:id="125" w:name="_Toc73517658"/>
      <w:bookmarkStart w:id="126" w:name="_Toc60631639"/>
      <w:r>
        <w:rPr>
          <w:rFonts w:hint="eastAsia" w:ascii="宋体" w:hAnsi="宋体" w:cs="宋体"/>
          <w:sz w:val="22"/>
          <w:szCs w:val="22"/>
        </w:rPr>
        <w:t>对项目采购文件《评标信息》评分项中涉及的相关业绩、社保情况、纳税情况、银行资信等级和资金流状况等内容以及《投标文件初审表》中涉及的资格证书，投标人应提供相关部门出具的证明材料扫描件或照片（原件或复印件均可），原件备查。有关扫描件（或照片）的尺寸和清晰度应该能够在电脑上被阅读、识别和判断。若投标人未按要求提供证明材料或提供的是部分证明材料或提供不清晰的扫描件（或照片）的，评审委员会有权认定其投标文件未对采购文件有关需求进行响应，涉及资格性检查或符合性检查的予以废标处理，涉及《评标信息》打分项的则该项评分予以0分处理。</w:t>
      </w:r>
    </w:p>
    <w:p w14:paraId="769BAABF">
      <w:pPr>
        <w:numPr>
          <w:ilvl w:val="1"/>
          <w:numId w:val="11"/>
        </w:numPr>
        <w:rPr>
          <w:rFonts w:ascii="宋体" w:hAnsi="宋体" w:cs="宋体"/>
          <w:sz w:val="22"/>
          <w:szCs w:val="22"/>
        </w:rPr>
      </w:pPr>
      <w:r>
        <w:rPr>
          <w:rFonts w:hint="eastAsia" w:ascii="宋体" w:hAnsi="宋体" w:cs="宋体"/>
          <w:sz w:val="22"/>
          <w:szCs w:val="22"/>
        </w:rPr>
        <w:t>本项目涉及提供的有关资质证书，若原有资质证书处于年审期间，须提供证书颁发部门提供的回执，并且回执须证明该证书依然有效，则该投标人提供年审证明的可按原资质投标；若投标人正在申报上一级别资质，在未获批准之前，仍按原级别资质投标。</w:t>
      </w:r>
    </w:p>
    <w:p w14:paraId="0F04FD36">
      <w:pPr>
        <w:ind w:left="907"/>
        <w:rPr>
          <w:rFonts w:ascii="宋体" w:hAnsi="宋体" w:cs="宋体"/>
          <w:sz w:val="22"/>
          <w:szCs w:val="22"/>
        </w:rPr>
      </w:pPr>
    </w:p>
    <w:p w14:paraId="051FEE28">
      <w:pPr>
        <w:numPr>
          <w:ilvl w:val="0"/>
          <w:numId w:val="10"/>
        </w:numPr>
        <w:rPr>
          <w:rFonts w:ascii="宋体" w:hAnsi="宋体" w:cs="宋体"/>
          <w:sz w:val="22"/>
          <w:szCs w:val="22"/>
        </w:rPr>
      </w:pPr>
      <w:r>
        <w:rPr>
          <w:rFonts w:hint="eastAsia" w:ascii="宋体" w:hAnsi="宋体" w:cs="宋体"/>
          <w:sz w:val="22"/>
          <w:szCs w:val="22"/>
        </w:rPr>
        <w:t>投标有效期</w:t>
      </w:r>
      <w:bookmarkEnd w:id="120"/>
      <w:bookmarkEnd w:id="121"/>
      <w:bookmarkEnd w:id="122"/>
      <w:bookmarkEnd w:id="123"/>
      <w:bookmarkEnd w:id="124"/>
      <w:bookmarkEnd w:id="125"/>
      <w:bookmarkEnd w:id="126"/>
    </w:p>
    <w:p w14:paraId="7A4A010E">
      <w:pPr>
        <w:numPr>
          <w:ilvl w:val="1"/>
          <w:numId w:val="11"/>
        </w:numPr>
        <w:rPr>
          <w:rFonts w:ascii="宋体" w:hAnsi="宋体" w:cs="宋体"/>
          <w:sz w:val="22"/>
          <w:szCs w:val="22"/>
        </w:rPr>
      </w:pPr>
      <w:r>
        <w:rPr>
          <w:rFonts w:hint="eastAsia" w:ascii="宋体" w:hAnsi="宋体" w:cs="宋体"/>
          <w:sz w:val="22"/>
          <w:szCs w:val="22"/>
        </w:rPr>
        <w:t>投标有效期为从投标截止之日算起的日历天数，具体见专用条款中投标有效期的天数要求。在此期限内，所有投标文件均保持有效；</w:t>
      </w:r>
    </w:p>
    <w:p w14:paraId="7AAB9997">
      <w:pPr>
        <w:numPr>
          <w:ilvl w:val="1"/>
          <w:numId w:val="11"/>
        </w:numPr>
        <w:rPr>
          <w:rFonts w:ascii="宋体" w:hAnsi="宋体" w:cs="宋体"/>
          <w:sz w:val="22"/>
          <w:szCs w:val="22"/>
        </w:rPr>
      </w:pPr>
      <w:r>
        <w:rPr>
          <w:rFonts w:hint="eastAsia" w:ascii="宋体" w:hAnsi="宋体" w:cs="宋体"/>
          <w:sz w:val="22"/>
          <w:szCs w:val="22"/>
        </w:rPr>
        <w:t>在特殊的情况下，政府采购代理机构在原定的投标有效期满之前，政府采购代理机构可以根据需要以书面形式（包括网站公开发布方式）向投标人提出延长投标有效期的要求，对此要求投标人须以书面形式予以答复，投标人可以拒绝政府采购代理机构此项要求，而不被没收投标保证金，其投标在原投标有效期满后不再有效。同意延长投标有效期的投标人不能要求也不允许修改其投标文件，但应当相应的延长投标担保的有效期，在延长的投标有效期内本通用条款第21条关于投标保证金的退还与没收的规定仍然适用；</w:t>
      </w:r>
    </w:p>
    <w:p w14:paraId="57FB2605">
      <w:pPr>
        <w:numPr>
          <w:ilvl w:val="1"/>
          <w:numId w:val="11"/>
        </w:numPr>
        <w:rPr>
          <w:rFonts w:ascii="宋体" w:hAnsi="宋体" w:cs="宋体"/>
          <w:sz w:val="22"/>
          <w:szCs w:val="22"/>
        </w:rPr>
      </w:pPr>
      <w:r>
        <w:rPr>
          <w:rFonts w:hint="eastAsia" w:ascii="宋体" w:hAnsi="宋体" w:cs="宋体"/>
          <w:sz w:val="22"/>
          <w:szCs w:val="22"/>
        </w:rPr>
        <w:t>中标单位的投标书有效期，截止于完成本采购文件规定的全部项目内容，并通过竣工验收及保修结束。</w:t>
      </w:r>
    </w:p>
    <w:p w14:paraId="0FA79A2B">
      <w:pPr>
        <w:ind w:left="907"/>
        <w:rPr>
          <w:rFonts w:ascii="宋体" w:hAnsi="宋体" w:cs="宋体"/>
          <w:sz w:val="22"/>
          <w:szCs w:val="22"/>
        </w:rPr>
      </w:pPr>
    </w:p>
    <w:p w14:paraId="3ED9FFFA">
      <w:pPr>
        <w:numPr>
          <w:ilvl w:val="0"/>
          <w:numId w:val="10"/>
        </w:numPr>
        <w:rPr>
          <w:rFonts w:ascii="宋体" w:hAnsi="宋体" w:cs="宋体"/>
          <w:sz w:val="22"/>
          <w:szCs w:val="22"/>
        </w:rPr>
      </w:pPr>
      <w:bookmarkStart w:id="127" w:name="_Toc73521567"/>
      <w:bookmarkStart w:id="128" w:name="_Toc73518137"/>
      <w:bookmarkStart w:id="129" w:name="_Toc100052384"/>
      <w:bookmarkStart w:id="130" w:name="_Toc73521655"/>
      <w:bookmarkStart w:id="131" w:name="_Toc60631640"/>
      <w:bookmarkStart w:id="132" w:name="_Toc73517659"/>
      <w:bookmarkStart w:id="133" w:name="_Toc60560645"/>
      <w:r>
        <w:rPr>
          <w:rFonts w:hint="eastAsia" w:ascii="宋体" w:hAnsi="宋体" w:cs="宋体"/>
          <w:sz w:val="22"/>
          <w:szCs w:val="22"/>
        </w:rPr>
        <w:t>投标</w:t>
      </w:r>
      <w:bookmarkEnd w:id="127"/>
      <w:bookmarkEnd w:id="128"/>
      <w:bookmarkEnd w:id="129"/>
      <w:bookmarkEnd w:id="130"/>
      <w:bookmarkEnd w:id="131"/>
      <w:bookmarkEnd w:id="132"/>
      <w:bookmarkEnd w:id="133"/>
      <w:r>
        <w:rPr>
          <w:rFonts w:hint="eastAsia" w:ascii="宋体" w:hAnsi="宋体" w:cs="宋体"/>
          <w:sz w:val="22"/>
          <w:szCs w:val="22"/>
        </w:rPr>
        <w:t>保证金</w:t>
      </w:r>
    </w:p>
    <w:p w14:paraId="21225260">
      <w:pPr>
        <w:numPr>
          <w:ilvl w:val="1"/>
          <w:numId w:val="11"/>
        </w:numPr>
        <w:rPr>
          <w:rFonts w:ascii="宋体" w:hAnsi="宋体" w:cs="宋体"/>
          <w:sz w:val="22"/>
          <w:szCs w:val="22"/>
        </w:rPr>
      </w:pPr>
      <w:bookmarkStart w:id="134" w:name="_Toc100052385"/>
      <w:bookmarkStart w:id="135" w:name="_Toc73521656"/>
      <w:bookmarkStart w:id="136" w:name="_Toc60631641"/>
      <w:bookmarkStart w:id="137" w:name="_Toc73517660"/>
      <w:bookmarkStart w:id="138" w:name="_Toc73521568"/>
      <w:bookmarkStart w:id="139" w:name="_Toc60560646"/>
      <w:bookmarkStart w:id="140" w:name="_Toc73518138"/>
      <w:r>
        <w:rPr>
          <w:rFonts w:hint="eastAsia" w:ascii="宋体" w:hAnsi="宋体" w:cs="宋体"/>
          <w:sz w:val="22"/>
          <w:szCs w:val="22"/>
        </w:rPr>
        <w:t>投标保证金的缴纳：</w:t>
      </w:r>
    </w:p>
    <w:p w14:paraId="4BB8AC64">
      <w:pPr>
        <w:numPr>
          <w:ilvl w:val="2"/>
          <w:numId w:val="15"/>
        </w:numPr>
        <w:rPr>
          <w:rFonts w:ascii="宋体" w:hAnsi="宋体" w:cs="宋体"/>
          <w:sz w:val="22"/>
          <w:szCs w:val="22"/>
        </w:rPr>
      </w:pPr>
      <w:r>
        <w:rPr>
          <w:rFonts w:hint="eastAsia" w:ascii="宋体" w:hAnsi="宋体" w:cs="宋体"/>
          <w:sz w:val="22"/>
          <w:szCs w:val="22"/>
        </w:rPr>
        <w:t>投标保证金应当采用非现金形式交纳。</w:t>
      </w:r>
    </w:p>
    <w:p w14:paraId="462C281F">
      <w:pPr>
        <w:numPr>
          <w:ilvl w:val="2"/>
          <w:numId w:val="15"/>
        </w:numPr>
        <w:rPr>
          <w:rFonts w:ascii="宋体" w:hAnsi="宋体" w:cs="宋体"/>
          <w:sz w:val="22"/>
          <w:szCs w:val="22"/>
        </w:rPr>
      </w:pPr>
      <w:r>
        <w:rPr>
          <w:rFonts w:hint="eastAsia" w:ascii="宋体" w:hAnsi="宋体" w:cs="宋体"/>
          <w:sz w:val="22"/>
          <w:szCs w:val="22"/>
        </w:rPr>
        <w:t>若为重大项目，政府采购代理机构可自行决定另外收取投标保证金，不受21.1.1款限制。是否另外收取投标保证金，请见本采购文件专用条款《对通用条款的补充内容》中的相关要求。</w:t>
      </w:r>
    </w:p>
    <w:p w14:paraId="5B112DB0">
      <w:pPr>
        <w:numPr>
          <w:ilvl w:val="1"/>
          <w:numId w:val="11"/>
        </w:numPr>
        <w:rPr>
          <w:rFonts w:ascii="宋体" w:hAnsi="宋体" w:cs="宋体"/>
          <w:sz w:val="22"/>
          <w:szCs w:val="22"/>
        </w:rPr>
      </w:pPr>
      <w:r>
        <w:rPr>
          <w:rFonts w:hint="eastAsia" w:ascii="宋体" w:hAnsi="宋体" w:cs="宋体"/>
          <w:sz w:val="22"/>
          <w:szCs w:val="22"/>
        </w:rPr>
        <w:t>投标保证金是为了保护政府采购代理机构和采购单位免因投标人的行为而蒙受损失。政府采购代理机构和采购单位因投标人的行为受到损害时可根据本通用条款第21.5款的规定没收投标人的投标保证金。</w:t>
      </w:r>
    </w:p>
    <w:p w14:paraId="7E51D0DB">
      <w:pPr>
        <w:numPr>
          <w:ilvl w:val="1"/>
          <w:numId w:val="11"/>
        </w:numPr>
        <w:rPr>
          <w:rFonts w:ascii="宋体" w:hAnsi="宋体" w:cs="宋体"/>
          <w:sz w:val="22"/>
          <w:szCs w:val="22"/>
        </w:rPr>
      </w:pPr>
      <w:r>
        <w:rPr>
          <w:rFonts w:hint="eastAsia" w:ascii="宋体" w:hAnsi="宋体" w:cs="宋体"/>
          <w:sz w:val="22"/>
          <w:szCs w:val="22"/>
        </w:rPr>
        <w:t>未中标的投标人的投标保证金，将于中标结果公告后五个工作日内无息退还投标人。</w:t>
      </w:r>
    </w:p>
    <w:p w14:paraId="1BEC2E62">
      <w:pPr>
        <w:numPr>
          <w:ilvl w:val="1"/>
          <w:numId w:val="11"/>
        </w:numPr>
        <w:rPr>
          <w:rFonts w:ascii="宋体" w:hAnsi="宋体" w:cs="宋体"/>
          <w:sz w:val="22"/>
          <w:szCs w:val="22"/>
        </w:rPr>
      </w:pPr>
      <w:r>
        <w:rPr>
          <w:rFonts w:hint="eastAsia" w:ascii="宋体" w:hAnsi="宋体" w:cs="宋体"/>
          <w:sz w:val="22"/>
          <w:szCs w:val="22"/>
        </w:rPr>
        <w:t>中标人的投标保证金，在与采购人签订了合同，提交了履约保证金并交纳了招标代理服务费后予以无息退还。</w:t>
      </w:r>
    </w:p>
    <w:p w14:paraId="43784AA9">
      <w:pPr>
        <w:numPr>
          <w:ilvl w:val="1"/>
          <w:numId w:val="11"/>
        </w:numPr>
        <w:rPr>
          <w:rFonts w:ascii="宋体" w:hAnsi="宋体" w:cs="宋体"/>
          <w:sz w:val="22"/>
          <w:szCs w:val="22"/>
        </w:rPr>
      </w:pPr>
      <w:r>
        <w:rPr>
          <w:rFonts w:hint="eastAsia" w:ascii="宋体" w:hAnsi="宋体" w:cs="宋体"/>
          <w:sz w:val="22"/>
          <w:szCs w:val="22"/>
        </w:rPr>
        <w:t>如下列任何情况发生时，投标保证金将被没收。</w:t>
      </w:r>
    </w:p>
    <w:p w14:paraId="7A22A787">
      <w:pPr>
        <w:numPr>
          <w:ilvl w:val="2"/>
          <w:numId w:val="15"/>
        </w:numPr>
        <w:rPr>
          <w:rFonts w:ascii="宋体" w:hAnsi="宋体" w:cs="宋体"/>
          <w:sz w:val="22"/>
          <w:szCs w:val="22"/>
        </w:rPr>
      </w:pPr>
      <w:r>
        <w:rPr>
          <w:rFonts w:hint="eastAsia" w:ascii="宋体" w:hAnsi="宋体" w:cs="宋体"/>
          <w:sz w:val="22"/>
          <w:szCs w:val="22"/>
        </w:rPr>
        <w:t>投标人在采购文件中规定的投标有效期内撤回其投标；</w:t>
      </w:r>
    </w:p>
    <w:p w14:paraId="19054CC4">
      <w:pPr>
        <w:numPr>
          <w:ilvl w:val="2"/>
          <w:numId w:val="15"/>
        </w:numPr>
        <w:rPr>
          <w:rFonts w:ascii="宋体" w:hAnsi="宋体" w:cs="宋体"/>
          <w:sz w:val="22"/>
          <w:szCs w:val="22"/>
        </w:rPr>
      </w:pPr>
      <w:r>
        <w:rPr>
          <w:rFonts w:hint="eastAsia" w:ascii="宋体" w:hAnsi="宋体" w:cs="宋体"/>
          <w:sz w:val="22"/>
          <w:szCs w:val="22"/>
        </w:rPr>
        <w:t>中标人在规定期限内未能根据本项通用条款第47条规定签订合同；</w:t>
      </w:r>
    </w:p>
    <w:p w14:paraId="0E56DCBE">
      <w:pPr>
        <w:numPr>
          <w:ilvl w:val="2"/>
          <w:numId w:val="15"/>
        </w:numPr>
        <w:rPr>
          <w:rFonts w:ascii="宋体" w:hAnsi="宋体" w:cs="宋体"/>
          <w:sz w:val="22"/>
          <w:szCs w:val="22"/>
        </w:rPr>
      </w:pPr>
      <w:r>
        <w:rPr>
          <w:rFonts w:hint="eastAsia" w:ascii="宋体" w:hAnsi="宋体" w:cs="宋体"/>
          <w:sz w:val="22"/>
          <w:szCs w:val="22"/>
        </w:rPr>
        <w:t>投标人提供虚假投标文件或虚假补充文件：</w:t>
      </w:r>
    </w:p>
    <w:p w14:paraId="31CF18F7">
      <w:pPr>
        <w:numPr>
          <w:ilvl w:val="2"/>
          <w:numId w:val="15"/>
        </w:numPr>
        <w:rPr>
          <w:rFonts w:ascii="宋体" w:hAnsi="宋体" w:cs="宋体"/>
          <w:sz w:val="22"/>
          <w:szCs w:val="22"/>
        </w:rPr>
      </w:pPr>
      <w:r>
        <w:rPr>
          <w:rFonts w:hint="eastAsia" w:ascii="宋体" w:hAnsi="宋体" w:cs="宋体"/>
          <w:sz w:val="22"/>
          <w:szCs w:val="22"/>
        </w:rPr>
        <w:t>投标人以谋取中标为目的的技术规格模糊响应（如有意照搬照抄采购文件的技术要求）或虚假响应的；</w:t>
      </w:r>
    </w:p>
    <w:p w14:paraId="4F16617B">
      <w:pPr>
        <w:numPr>
          <w:ilvl w:val="2"/>
          <w:numId w:val="15"/>
        </w:numPr>
        <w:rPr>
          <w:rFonts w:ascii="宋体" w:hAnsi="宋体" w:cs="宋体"/>
          <w:sz w:val="22"/>
          <w:szCs w:val="22"/>
        </w:rPr>
      </w:pPr>
      <w:r>
        <w:rPr>
          <w:rFonts w:hint="eastAsia" w:ascii="宋体" w:hAnsi="宋体" w:cs="宋体"/>
          <w:sz w:val="22"/>
          <w:szCs w:val="22"/>
        </w:rPr>
        <w:t>投标人质疑投诉提供虚假情况。</w:t>
      </w:r>
    </w:p>
    <w:p w14:paraId="4AF7764F">
      <w:pPr>
        <w:numPr>
          <w:ilvl w:val="1"/>
          <w:numId w:val="11"/>
        </w:numPr>
        <w:rPr>
          <w:rFonts w:ascii="宋体" w:hAnsi="宋体" w:cs="宋体"/>
          <w:sz w:val="22"/>
          <w:szCs w:val="22"/>
        </w:rPr>
      </w:pPr>
      <w:r>
        <w:rPr>
          <w:rFonts w:hint="eastAsia" w:ascii="宋体" w:hAnsi="宋体" w:cs="宋体"/>
          <w:sz w:val="22"/>
          <w:szCs w:val="22"/>
        </w:rPr>
        <w:t>投标保证金账户信息：</w:t>
      </w:r>
    </w:p>
    <w:p w14:paraId="46D2CF8C">
      <w:pPr>
        <w:spacing w:line="360" w:lineRule="exact"/>
        <w:ind w:firstLine="883" w:firstLineChars="400"/>
        <w:jc w:val="left"/>
        <w:rPr>
          <w:rFonts w:ascii="宋体" w:hAnsi="宋体" w:cs="宋体"/>
          <w:b/>
          <w:bCs/>
          <w:sz w:val="22"/>
          <w:szCs w:val="22"/>
        </w:rPr>
      </w:pPr>
      <w:r>
        <w:rPr>
          <w:rFonts w:hint="eastAsia" w:ascii="宋体" w:hAnsi="宋体" w:cs="宋体"/>
          <w:b/>
          <w:bCs/>
          <w:sz w:val="22"/>
          <w:szCs w:val="22"/>
        </w:rPr>
        <w:t>开户行：中国建设银行深圳东乐支行</w:t>
      </w:r>
    </w:p>
    <w:p w14:paraId="18FAF403">
      <w:pPr>
        <w:spacing w:line="360" w:lineRule="exact"/>
        <w:ind w:firstLine="883" w:firstLineChars="400"/>
        <w:jc w:val="left"/>
        <w:rPr>
          <w:rFonts w:ascii="宋体" w:hAnsi="宋体" w:cs="宋体"/>
          <w:b/>
          <w:bCs/>
          <w:sz w:val="22"/>
          <w:szCs w:val="22"/>
        </w:rPr>
      </w:pPr>
      <w:r>
        <w:rPr>
          <w:rFonts w:hint="eastAsia" w:ascii="宋体" w:hAnsi="宋体" w:cs="宋体"/>
          <w:b/>
          <w:bCs/>
          <w:sz w:val="22"/>
          <w:szCs w:val="22"/>
        </w:rPr>
        <w:t xml:space="preserve">户名：深圳市东海国际招标有限公司 </w:t>
      </w:r>
    </w:p>
    <w:p w14:paraId="55D7AE0E">
      <w:pPr>
        <w:spacing w:line="360" w:lineRule="exact"/>
        <w:ind w:firstLine="883" w:firstLineChars="400"/>
        <w:jc w:val="left"/>
        <w:rPr>
          <w:rFonts w:ascii="宋体" w:hAnsi="宋体" w:cs="宋体"/>
          <w:b/>
          <w:bCs/>
          <w:sz w:val="22"/>
          <w:szCs w:val="22"/>
        </w:rPr>
      </w:pPr>
      <w:r>
        <w:rPr>
          <w:rFonts w:hint="eastAsia" w:ascii="宋体" w:hAnsi="宋体" w:cs="宋体"/>
          <w:b/>
          <w:bCs/>
          <w:sz w:val="22"/>
          <w:szCs w:val="22"/>
        </w:rPr>
        <w:t xml:space="preserve">账号：4425 0100 0074 0000 0417 </w:t>
      </w:r>
    </w:p>
    <w:p w14:paraId="70BC0925">
      <w:pPr>
        <w:ind w:left="907"/>
        <w:rPr>
          <w:rFonts w:ascii="宋体" w:hAnsi="宋体" w:cs="宋体"/>
          <w:b/>
          <w:sz w:val="22"/>
          <w:szCs w:val="22"/>
        </w:rPr>
      </w:pPr>
    </w:p>
    <w:p w14:paraId="25AB9D42">
      <w:pPr>
        <w:numPr>
          <w:ilvl w:val="0"/>
          <w:numId w:val="10"/>
        </w:numPr>
        <w:rPr>
          <w:rFonts w:ascii="宋体" w:hAnsi="宋体" w:cs="宋体"/>
          <w:sz w:val="22"/>
          <w:szCs w:val="22"/>
        </w:rPr>
      </w:pPr>
      <w:r>
        <w:rPr>
          <w:rFonts w:hint="eastAsia" w:ascii="宋体" w:hAnsi="宋体" w:cs="宋体"/>
          <w:sz w:val="22"/>
          <w:szCs w:val="22"/>
        </w:rPr>
        <w:t>投标人的替代方案</w:t>
      </w:r>
      <w:bookmarkEnd w:id="134"/>
      <w:bookmarkEnd w:id="135"/>
      <w:bookmarkEnd w:id="136"/>
      <w:bookmarkEnd w:id="137"/>
      <w:bookmarkEnd w:id="138"/>
      <w:bookmarkEnd w:id="139"/>
      <w:bookmarkEnd w:id="140"/>
    </w:p>
    <w:p w14:paraId="6F48F04E">
      <w:pPr>
        <w:numPr>
          <w:ilvl w:val="1"/>
          <w:numId w:val="11"/>
        </w:numPr>
        <w:rPr>
          <w:rFonts w:ascii="宋体" w:hAnsi="宋体" w:cs="宋体"/>
          <w:sz w:val="22"/>
          <w:szCs w:val="22"/>
        </w:rPr>
      </w:pPr>
      <w:r>
        <w:rPr>
          <w:rFonts w:hint="eastAsia" w:ascii="宋体" w:hAnsi="宋体" w:cs="宋体"/>
          <w:sz w:val="22"/>
          <w:szCs w:val="22"/>
        </w:rPr>
        <w:t>投标人所提交的投标文件应完全满足采购文件（包括图纸和技术规范所示的基本技术设计）的要求。除非招标的项目明确允许投标人提交替代方案，否则投标人有关替代方案的条款将不予考虑。</w:t>
      </w:r>
    </w:p>
    <w:p w14:paraId="0B5831F2">
      <w:pPr>
        <w:numPr>
          <w:ilvl w:val="1"/>
          <w:numId w:val="11"/>
        </w:numPr>
        <w:rPr>
          <w:rFonts w:ascii="宋体" w:hAnsi="宋体" w:cs="宋体"/>
          <w:sz w:val="22"/>
          <w:szCs w:val="22"/>
        </w:rPr>
      </w:pPr>
      <w:r>
        <w:rPr>
          <w:rFonts w:hint="eastAsia" w:ascii="宋体" w:hAnsi="宋体" w:cs="宋体"/>
          <w:sz w:val="22"/>
          <w:szCs w:val="22"/>
        </w:rPr>
        <w:t>如果允许投标人提交替代方案，则准备提交替代方案的投标人除应提交一份满足采购文件（包括图纸和技术规范所示的基本技术设计）要求的投标文件外，还应提交需评审其替代方案所需的全部资料，包括项目方案书、技术规范、替代方案报价书、所建议的项目方案及有关的其它详细资料。</w:t>
      </w:r>
    </w:p>
    <w:p w14:paraId="5CDE96AA">
      <w:pPr>
        <w:ind w:left="907"/>
        <w:rPr>
          <w:rFonts w:ascii="宋体" w:hAnsi="宋体" w:cs="宋体"/>
          <w:sz w:val="22"/>
          <w:szCs w:val="22"/>
        </w:rPr>
      </w:pPr>
    </w:p>
    <w:p w14:paraId="28B18AC9">
      <w:pPr>
        <w:numPr>
          <w:ilvl w:val="0"/>
          <w:numId w:val="10"/>
        </w:numPr>
        <w:rPr>
          <w:rFonts w:ascii="宋体" w:hAnsi="宋体" w:cs="宋体"/>
          <w:sz w:val="22"/>
          <w:szCs w:val="22"/>
        </w:rPr>
      </w:pPr>
      <w:bookmarkStart w:id="141" w:name="_Toc73521657"/>
      <w:bookmarkStart w:id="142" w:name="_Toc73518139"/>
      <w:bookmarkStart w:id="143" w:name="_Toc73521569"/>
      <w:bookmarkStart w:id="144" w:name="_Toc100052386"/>
      <w:bookmarkStart w:id="145" w:name="_Toc73517661"/>
      <w:r>
        <w:rPr>
          <w:rFonts w:hint="eastAsia" w:ascii="宋体" w:hAnsi="宋体" w:cs="宋体"/>
          <w:sz w:val="22"/>
          <w:szCs w:val="22"/>
        </w:rPr>
        <w:t>投标文件的制作要求</w:t>
      </w:r>
      <w:bookmarkEnd w:id="141"/>
      <w:bookmarkEnd w:id="142"/>
      <w:bookmarkEnd w:id="143"/>
      <w:bookmarkEnd w:id="144"/>
      <w:bookmarkEnd w:id="145"/>
    </w:p>
    <w:p w14:paraId="2DC7175E">
      <w:pPr>
        <w:numPr>
          <w:ilvl w:val="1"/>
          <w:numId w:val="11"/>
        </w:numPr>
        <w:rPr>
          <w:rFonts w:ascii="宋体" w:hAnsi="宋体" w:cs="宋体"/>
          <w:sz w:val="22"/>
          <w:szCs w:val="22"/>
        </w:rPr>
      </w:pPr>
      <w:r>
        <w:rPr>
          <w:rFonts w:hint="eastAsia" w:ascii="宋体" w:hAnsi="宋体" w:cs="宋体"/>
          <w:sz w:val="22"/>
          <w:szCs w:val="22"/>
        </w:rPr>
        <w:t>投标人按照关键信息中要求的份数制作纸质投标文件及投标文件的电子文档。</w:t>
      </w:r>
    </w:p>
    <w:p w14:paraId="728D02E3">
      <w:pPr>
        <w:numPr>
          <w:ilvl w:val="1"/>
          <w:numId w:val="11"/>
        </w:numPr>
        <w:rPr>
          <w:rFonts w:ascii="宋体" w:hAnsi="宋体" w:cs="宋体"/>
          <w:sz w:val="22"/>
          <w:szCs w:val="22"/>
        </w:rPr>
      </w:pPr>
      <w:r>
        <w:rPr>
          <w:rFonts w:hint="eastAsia" w:ascii="宋体" w:hAnsi="宋体" w:cs="宋体"/>
          <w:sz w:val="22"/>
          <w:szCs w:val="22"/>
        </w:rPr>
        <w:t>投标人按照采购文件提供的投标文件格式模板及要求编制投标文件。</w:t>
      </w:r>
    </w:p>
    <w:p w14:paraId="43E311BD">
      <w:pPr>
        <w:numPr>
          <w:ilvl w:val="1"/>
          <w:numId w:val="11"/>
        </w:numPr>
        <w:rPr>
          <w:rFonts w:ascii="宋体" w:hAnsi="宋体" w:cs="宋体"/>
          <w:sz w:val="22"/>
          <w:szCs w:val="22"/>
        </w:rPr>
      </w:pPr>
      <w:r>
        <w:rPr>
          <w:rFonts w:hint="eastAsia" w:ascii="宋体" w:hAnsi="宋体" w:cs="宋体"/>
          <w:sz w:val="22"/>
          <w:szCs w:val="22"/>
        </w:rPr>
        <w:t>投标人在利用投标文件格式模板编制投标书时须注意：</w:t>
      </w:r>
    </w:p>
    <w:p w14:paraId="2993A442">
      <w:pPr>
        <w:numPr>
          <w:ilvl w:val="2"/>
          <w:numId w:val="15"/>
        </w:numPr>
        <w:rPr>
          <w:rFonts w:ascii="宋体" w:hAnsi="宋体" w:cs="宋体"/>
          <w:sz w:val="22"/>
          <w:szCs w:val="22"/>
        </w:rPr>
      </w:pPr>
      <w:r>
        <w:rPr>
          <w:rFonts w:hint="eastAsia" w:ascii="宋体" w:hAnsi="宋体" w:cs="宋体"/>
          <w:sz w:val="22"/>
          <w:szCs w:val="22"/>
        </w:rPr>
        <w:t>除模板要求填写或添加的内容外，不得对其他文字内容做任何改动。如果因操作失误而改动的，以模板中的文字叙述为准。</w:t>
      </w:r>
    </w:p>
    <w:p w14:paraId="480C35B3">
      <w:pPr>
        <w:numPr>
          <w:ilvl w:val="2"/>
          <w:numId w:val="15"/>
        </w:numPr>
        <w:rPr>
          <w:rFonts w:ascii="宋体" w:hAnsi="宋体" w:cs="宋体"/>
          <w:sz w:val="22"/>
          <w:szCs w:val="22"/>
        </w:rPr>
      </w:pPr>
      <w:r>
        <w:rPr>
          <w:rFonts w:hint="eastAsia" w:ascii="宋体" w:hAnsi="宋体" w:cs="宋体"/>
          <w:sz w:val="22"/>
          <w:szCs w:val="22"/>
        </w:rPr>
        <w:t>采购文件的编号、包号应与根据此招标制作的投标文件项目编号、包号一致。</w:t>
      </w:r>
      <w:bookmarkStart w:id="146" w:name="_Toc73521570"/>
      <w:bookmarkStart w:id="147" w:name="_Toc73521658"/>
      <w:bookmarkStart w:id="148" w:name="_Toc73517662"/>
      <w:bookmarkStart w:id="149" w:name="_Toc73518140"/>
      <w:bookmarkStart w:id="150" w:name="_Toc101074880"/>
      <w:bookmarkStart w:id="151" w:name="_Toc100052387"/>
    </w:p>
    <w:p w14:paraId="1926C3AA"/>
    <w:p w14:paraId="4C8F5A63">
      <w:r>
        <w:br w:type="page"/>
      </w:r>
    </w:p>
    <w:p w14:paraId="01D408DE"/>
    <w:p w14:paraId="3B8E726A"/>
    <w:p w14:paraId="2725E5B0"/>
    <w:p w14:paraId="0F4D6316"/>
    <w:p w14:paraId="676F7A31"/>
    <w:p w14:paraId="4B730543"/>
    <w:p w14:paraId="36D62FD0"/>
    <w:p w14:paraId="6E237ED1"/>
    <w:p w14:paraId="6CDAB5CA"/>
    <w:p w14:paraId="0A553CAC"/>
    <w:p w14:paraId="3A8C2B63"/>
    <w:p w14:paraId="45997982"/>
    <w:p w14:paraId="12153363"/>
    <w:p w14:paraId="2DE72BBB"/>
    <w:p w14:paraId="04108419"/>
    <w:p w14:paraId="066AE927">
      <w:pPr>
        <w:pStyle w:val="5"/>
        <w:rPr>
          <w:b w:val="0"/>
          <w:szCs w:val="28"/>
        </w:rPr>
      </w:pPr>
      <w:r>
        <w:rPr>
          <w:b w:val="0"/>
          <w:bCs/>
          <w:kern w:val="28"/>
          <w:sz w:val="44"/>
          <w:szCs w:val="44"/>
        </w:rPr>
        <w:t>第四章  投标文件的递交</w:t>
      </w:r>
      <w:r>
        <w:rPr>
          <w:b w:val="0"/>
          <w:bCs/>
          <w:kern w:val="28"/>
          <w:sz w:val="44"/>
          <w:szCs w:val="44"/>
        </w:rPr>
        <w:br w:type="page"/>
      </w:r>
      <w:bookmarkEnd w:id="146"/>
      <w:bookmarkEnd w:id="147"/>
      <w:bookmarkEnd w:id="148"/>
      <w:bookmarkEnd w:id="149"/>
      <w:bookmarkEnd w:id="150"/>
      <w:bookmarkEnd w:id="151"/>
    </w:p>
    <w:p w14:paraId="540482FA"/>
    <w:p w14:paraId="03819874">
      <w:pPr>
        <w:numPr>
          <w:ilvl w:val="0"/>
          <w:numId w:val="10"/>
        </w:numPr>
        <w:ind w:left="950" w:hanging="950" w:hangingChars="432"/>
        <w:rPr>
          <w:rFonts w:ascii="宋体" w:hAnsi="宋体" w:cs="宋体"/>
          <w:sz w:val="22"/>
          <w:szCs w:val="22"/>
        </w:rPr>
      </w:pPr>
      <w:bookmarkStart w:id="152" w:name="_Toc60631644"/>
      <w:bookmarkStart w:id="153" w:name="_Toc60560649"/>
      <w:bookmarkStart w:id="154" w:name="_Toc73521659"/>
      <w:bookmarkStart w:id="155" w:name="_Toc73517663"/>
      <w:bookmarkStart w:id="156" w:name="_Toc73518141"/>
      <w:bookmarkStart w:id="157" w:name="_Toc100052388"/>
      <w:bookmarkStart w:id="158" w:name="_Toc73521571"/>
      <w:r>
        <w:rPr>
          <w:rFonts w:hint="eastAsia" w:ascii="宋体" w:hAnsi="宋体" w:cs="宋体"/>
          <w:sz w:val="22"/>
          <w:szCs w:val="22"/>
        </w:rPr>
        <w:t>投标文件密封和标记</w:t>
      </w:r>
    </w:p>
    <w:p w14:paraId="7F35CE7C">
      <w:pPr>
        <w:numPr>
          <w:ilvl w:val="1"/>
          <w:numId w:val="11"/>
        </w:numPr>
        <w:ind w:left="954" w:hanging="954" w:hangingChars="432"/>
        <w:rPr>
          <w:rFonts w:ascii="宋体" w:hAnsi="宋体" w:cs="宋体"/>
          <w:b/>
          <w:bCs/>
          <w:sz w:val="22"/>
          <w:szCs w:val="22"/>
        </w:rPr>
      </w:pPr>
      <w:r>
        <w:rPr>
          <w:rFonts w:hint="eastAsia" w:ascii="宋体" w:hAnsi="宋体" w:cs="宋体"/>
          <w:b/>
          <w:bCs/>
          <w:sz w:val="22"/>
          <w:szCs w:val="22"/>
        </w:rPr>
        <w:t>投标文件正本和副本、附有投标文件电子文档的光盘密封或U盘，并标明项目编号、包号（如分包的话）、项目名称及“正本”或“副本”，开标一览表和投标文件（含正本和副本）应分开独立密封包装。</w:t>
      </w:r>
    </w:p>
    <w:p w14:paraId="4D207BC2">
      <w:pPr>
        <w:numPr>
          <w:ilvl w:val="1"/>
          <w:numId w:val="11"/>
        </w:numPr>
        <w:ind w:left="954" w:hanging="954" w:hangingChars="432"/>
        <w:rPr>
          <w:rFonts w:ascii="宋体" w:hAnsi="宋体" w:cs="宋体"/>
          <w:b/>
          <w:bCs/>
          <w:sz w:val="22"/>
          <w:szCs w:val="22"/>
        </w:rPr>
      </w:pPr>
      <w:r>
        <w:rPr>
          <w:rFonts w:hint="eastAsia" w:ascii="宋体" w:hAnsi="宋体" w:cs="宋体"/>
          <w:b/>
          <w:bCs/>
          <w:sz w:val="22"/>
          <w:szCs w:val="22"/>
        </w:rPr>
        <w:t>投标人应将开标一览表和授权委托书单独密封提交，并在信封上标明“开标文件”字样。投标人的法定代表人参加投标时，须开具法定代表人证明书。</w:t>
      </w:r>
    </w:p>
    <w:p w14:paraId="35C1DF6B">
      <w:pPr>
        <w:numPr>
          <w:ilvl w:val="1"/>
          <w:numId w:val="11"/>
        </w:numPr>
        <w:ind w:left="954" w:hanging="954" w:hangingChars="432"/>
        <w:rPr>
          <w:rFonts w:ascii="宋体" w:hAnsi="宋体" w:cs="宋体"/>
          <w:b/>
          <w:bCs/>
          <w:sz w:val="22"/>
          <w:szCs w:val="22"/>
        </w:rPr>
      </w:pPr>
      <w:r>
        <w:rPr>
          <w:rFonts w:hint="eastAsia" w:ascii="宋体" w:hAnsi="宋体" w:cs="宋体"/>
          <w:b/>
          <w:bCs/>
          <w:sz w:val="22"/>
          <w:szCs w:val="22"/>
        </w:rPr>
        <w:t>密封包装上注明“在（开标日期、时间）前不得启封”的字样。</w:t>
      </w:r>
    </w:p>
    <w:p w14:paraId="4E096317">
      <w:pPr>
        <w:ind w:left="907"/>
        <w:rPr>
          <w:rFonts w:ascii="宋体" w:hAnsi="宋体" w:cs="宋体"/>
          <w:sz w:val="22"/>
          <w:szCs w:val="22"/>
        </w:rPr>
      </w:pPr>
    </w:p>
    <w:p w14:paraId="4CFDCDF8">
      <w:pPr>
        <w:numPr>
          <w:ilvl w:val="0"/>
          <w:numId w:val="10"/>
        </w:numPr>
        <w:ind w:left="950" w:hanging="950" w:hangingChars="432"/>
        <w:rPr>
          <w:rFonts w:ascii="宋体" w:hAnsi="宋体" w:cs="宋体"/>
          <w:sz w:val="22"/>
          <w:szCs w:val="22"/>
        </w:rPr>
      </w:pPr>
      <w:r>
        <w:rPr>
          <w:rFonts w:hint="eastAsia" w:ascii="宋体" w:hAnsi="宋体" w:cs="宋体"/>
          <w:sz w:val="22"/>
          <w:szCs w:val="22"/>
        </w:rPr>
        <w:t>投标截止日期</w:t>
      </w:r>
    </w:p>
    <w:p w14:paraId="056A56A4">
      <w:pPr>
        <w:numPr>
          <w:ilvl w:val="1"/>
          <w:numId w:val="11"/>
        </w:numPr>
        <w:ind w:left="950" w:hanging="950" w:hangingChars="432"/>
        <w:rPr>
          <w:rFonts w:ascii="宋体" w:hAnsi="宋体" w:cs="宋体"/>
          <w:sz w:val="22"/>
          <w:szCs w:val="22"/>
        </w:rPr>
      </w:pPr>
      <w:r>
        <w:rPr>
          <w:rFonts w:hint="eastAsia" w:ascii="宋体" w:hAnsi="宋体" w:cs="宋体"/>
          <w:sz w:val="22"/>
          <w:szCs w:val="22"/>
        </w:rPr>
        <w:t>投标人应在不迟于采购公告规定的截止日期和时间将投标文件递交至采购代理机构。</w:t>
      </w:r>
    </w:p>
    <w:p w14:paraId="6533A5E4">
      <w:pPr>
        <w:numPr>
          <w:ilvl w:val="1"/>
          <w:numId w:val="11"/>
        </w:numPr>
        <w:ind w:left="950" w:hanging="950" w:hangingChars="432"/>
        <w:rPr>
          <w:rFonts w:ascii="宋体" w:hAnsi="宋体" w:cs="宋体"/>
          <w:sz w:val="22"/>
          <w:szCs w:val="22"/>
        </w:rPr>
      </w:pPr>
      <w:r>
        <w:rPr>
          <w:rFonts w:hint="eastAsia" w:ascii="宋体" w:hAnsi="宋体" w:cs="宋体"/>
          <w:sz w:val="22"/>
          <w:szCs w:val="22"/>
        </w:rPr>
        <w:t>采购代理机构可以通过修改采购文件自行决定酌情推迟投标截止期，在此情况下，采购代理机构、采购人和投标人受投标截止期制约的所有权利和义务均应延长至新的截止期。</w:t>
      </w:r>
    </w:p>
    <w:p w14:paraId="5CECEA2A">
      <w:pPr>
        <w:ind w:left="907"/>
        <w:rPr>
          <w:rFonts w:ascii="宋体" w:hAnsi="宋体" w:cs="宋体"/>
          <w:sz w:val="22"/>
          <w:szCs w:val="22"/>
        </w:rPr>
      </w:pPr>
    </w:p>
    <w:p w14:paraId="45833A36">
      <w:pPr>
        <w:numPr>
          <w:ilvl w:val="0"/>
          <w:numId w:val="10"/>
        </w:numPr>
        <w:ind w:left="950" w:hanging="950" w:hangingChars="432"/>
        <w:rPr>
          <w:rFonts w:ascii="宋体" w:hAnsi="宋体" w:cs="宋体"/>
          <w:sz w:val="22"/>
          <w:szCs w:val="22"/>
        </w:rPr>
      </w:pPr>
      <w:r>
        <w:rPr>
          <w:rFonts w:hint="eastAsia" w:ascii="宋体" w:hAnsi="宋体" w:cs="宋体"/>
          <w:sz w:val="22"/>
          <w:szCs w:val="22"/>
        </w:rPr>
        <w:t>样品的递交</w:t>
      </w:r>
    </w:p>
    <w:p w14:paraId="43C856A4">
      <w:pPr>
        <w:numPr>
          <w:ilvl w:val="1"/>
          <w:numId w:val="11"/>
        </w:numPr>
        <w:ind w:left="950" w:hanging="950" w:hangingChars="432"/>
        <w:rPr>
          <w:rFonts w:ascii="宋体" w:hAnsi="宋体" w:cs="宋体"/>
          <w:sz w:val="22"/>
          <w:szCs w:val="22"/>
        </w:rPr>
      </w:pPr>
      <w:r>
        <w:rPr>
          <w:rFonts w:hint="eastAsia" w:ascii="宋体" w:hAnsi="宋体" w:cs="宋体"/>
          <w:sz w:val="22"/>
          <w:szCs w:val="22"/>
        </w:rPr>
        <w:t>如有必要，采购单位可以要求投标人提供样品。</w:t>
      </w:r>
    </w:p>
    <w:p w14:paraId="3BC5472A">
      <w:pPr>
        <w:numPr>
          <w:ilvl w:val="1"/>
          <w:numId w:val="11"/>
        </w:numPr>
        <w:ind w:left="950" w:hanging="950" w:hangingChars="432"/>
        <w:rPr>
          <w:rFonts w:ascii="宋体" w:hAnsi="宋体" w:cs="宋体"/>
          <w:sz w:val="22"/>
          <w:szCs w:val="22"/>
        </w:rPr>
      </w:pPr>
      <w:r>
        <w:rPr>
          <w:rFonts w:hint="eastAsia" w:ascii="宋体" w:hAnsi="宋体" w:cs="宋体"/>
          <w:sz w:val="22"/>
          <w:szCs w:val="22"/>
        </w:rPr>
        <w:t>未中标供应商的样品将于招标结束后退还。中标供应商的样品由采购单位保留，作为验收的依据。</w:t>
      </w:r>
    </w:p>
    <w:p w14:paraId="3FBBD7DC">
      <w:pPr>
        <w:ind w:left="907"/>
        <w:rPr>
          <w:rFonts w:ascii="宋体" w:hAnsi="宋体" w:cs="宋体"/>
          <w:sz w:val="22"/>
          <w:szCs w:val="22"/>
        </w:rPr>
      </w:pPr>
    </w:p>
    <w:p w14:paraId="6F44AE15">
      <w:pPr>
        <w:numPr>
          <w:ilvl w:val="0"/>
          <w:numId w:val="10"/>
        </w:numPr>
        <w:ind w:left="950" w:hanging="950" w:hangingChars="432"/>
        <w:rPr>
          <w:rFonts w:ascii="宋体" w:hAnsi="宋体" w:cs="宋体"/>
          <w:sz w:val="22"/>
          <w:szCs w:val="22"/>
        </w:rPr>
      </w:pPr>
      <w:r>
        <w:rPr>
          <w:rFonts w:hint="eastAsia" w:ascii="宋体" w:hAnsi="宋体" w:cs="宋体"/>
          <w:sz w:val="22"/>
          <w:szCs w:val="22"/>
        </w:rPr>
        <w:t>投标文件的修改和撤销</w:t>
      </w:r>
    </w:p>
    <w:p w14:paraId="09F02CE9">
      <w:pPr>
        <w:numPr>
          <w:ilvl w:val="1"/>
          <w:numId w:val="11"/>
        </w:numPr>
        <w:ind w:left="950" w:hanging="950" w:hangingChars="432"/>
        <w:rPr>
          <w:rFonts w:ascii="宋体" w:hAnsi="宋体" w:cs="宋体"/>
          <w:sz w:val="22"/>
          <w:szCs w:val="22"/>
        </w:rPr>
      </w:pPr>
      <w:r>
        <w:rPr>
          <w:rFonts w:hint="eastAsia" w:ascii="宋体" w:hAnsi="宋体" w:cs="宋体"/>
          <w:sz w:val="22"/>
          <w:szCs w:val="22"/>
        </w:rPr>
        <w:t>投标方在提交投标文件后可对其投标文件进行修改并重新提交投标文件或撤销投标。</w:t>
      </w:r>
    </w:p>
    <w:p w14:paraId="3C33677E">
      <w:pPr>
        <w:numPr>
          <w:ilvl w:val="1"/>
          <w:numId w:val="11"/>
        </w:numPr>
        <w:ind w:left="950" w:hanging="950" w:hangingChars="432"/>
        <w:rPr>
          <w:rFonts w:ascii="宋体" w:hAnsi="宋体" w:cs="宋体"/>
          <w:sz w:val="22"/>
          <w:szCs w:val="22"/>
        </w:rPr>
      </w:pPr>
      <w:r>
        <w:rPr>
          <w:rFonts w:hint="eastAsia" w:ascii="宋体" w:hAnsi="宋体" w:cs="宋体"/>
          <w:sz w:val="22"/>
          <w:szCs w:val="22"/>
        </w:rPr>
        <w:t>投标截止时间以后不得修改投标文件。</w:t>
      </w:r>
    </w:p>
    <w:p w14:paraId="213AA2E8">
      <w:pPr>
        <w:numPr>
          <w:ilvl w:val="1"/>
          <w:numId w:val="11"/>
        </w:numPr>
        <w:ind w:left="950" w:hanging="950" w:hangingChars="432"/>
        <w:rPr>
          <w:rFonts w:ascii="宋体" w:hAnsi="宋体" w:cs="宋体"/>
          <w:sz w:val="22"/>
          <w:szCs w:val="22"/>
        </w:rPr>
      </w:pPr>
      <w:r>
        <w:rPr>
          <w:rFonts w:hint="eastAsia" w:ascii="宋体" w:hAnsi="宋体" w:cs="宋体"/>
          <w:sz w:val="22"/>
          <w:szCs w:val="22"/>
        </w:rPr>
        <w:t>从投标截止期至投标人在投标书中确定的投标有效期之间的这段时间内，投标人不得撤回其投标，否则其投标保证金将按照本通用条款的规定被没收。</w:t>
      </w:r>
    </w:p>
    <w:bookmarkEnd w:id="152"/>
    <w:bookmarkEnd w:id="153"/>
    <w:bookmarkEnd w:id="154"/>
    <w:bookmarkEnd w:id="155"/>
    <w:bookmarkEnd w:id="156"/>
    <w:bookmarkEnd w:id="157"/>
    <w:bookmarkEnd w:id="158"/>
    <w:p w14:paraId="1C330BCA">
      <w:pPr>
        <w:numPr>
          <w:ilvl w:val="1"/>
          <w:numId w:val="11"/>
        </w:numPr>
        <w:ind w:left="950" w:hanging="950" w:hangingChars="432"/>
        <w:rPr>
          <w:rFonts w:ascii="宋体" w:hAnsi="宋体" w:cs="宋体"/>
          <w:sz w:val="22"/>
          <w:szCs w:val="22"/>
        </w:rPr>
      </w:pPr>
      <w:r>
        <w:rPr>
          <w:rFonts w:hint="eastAsia" w:ascii="宋体" w:hAnsi="宋体" w:cs="宋体"/>
          <w:sz w:val="22"/>
          <w:szCs w:val="22"/>
        </w:rPr>
        <w:t>政府采购代理机构不退还投标文件，另有规定的除外。</w:t>
      </w:r>
      <w:bookmarkStart w:id="159" w:name="_Toc101074881"/>
      <w:bookmarkStart w:id="160" w:name="_Toc73517666"/>
      <w:bookmarkStart w:id="161" w:name="_Toc100052391"/>
      <w:bookmarkStart w:id="162" w:name="_Toc73521662"/>
      <w:bookmarkStart w:id="163" w:name="_Toc73518144"/>
      <w:bookmarkStart w:id="164" w:name="_Toc73521574"/>
    </w:p>
    <w:p w14:paraId="113D47B1"/>
    <w:p w14:paraId="0801624A">
      <w:r>
        <w:br w:type="page"/>
      </w:r>
    </w:p>
    <w:p w14:paraId="537A37C2"/>
    <w:p w14:paraId="398A607B"/>
    <w:p w14:paraId="3852F536"/>
    <w:p w14:paraId="0EC63C41"/>
    <w:p w14:paraId="6689C18A"/>
    <w:p w14:paraId="7CFC443D"/>
    <w:p w14:paraId="5E240CF2"/>
    <w:p w14:paraId="118980EC"/>
    <w:p w14:paraId="7165E89D"/>
    <w:p w14:paraId="2DF8CBDD"/>
    <w:p w14:paraId="25B8E7CF"/>
    <w:p w14:paraId="6D7D2E7E"/>
    <w:p w14:paraId="2B118438"/>
    <w:p w14:paraId="43F96593"/>
    <w:p w14:paraId="0532B37B">
      <w:pPr>
        <w:pStyle w:val="5"/>
        <w:rPr>
          <w:szCs w:val="28"/>
        </w:rPr>
      </w:pPr>
      <w:r>
        <w:rPr>
          <w:b w:val="0"/>
          <w:bCs/>
          <w:kern w:val="28"/>
          <w:sz w:val="44"/>
          <w:szCs w:val="44"/>
        </w:rPr>
        <w:t>第五章  开标</w:t>
      </w:r>
      <w:r>
        <w:rPr>
          <w:b w:val="0"/>
          <w:bCs/>
          <w:kern w:val="28"/>
          <w:sz w:val="44"/>
          <w:szCs w:val="44"/>
        </w:rPr>
        <w:br w:type="page"/>
      </w:r>
      <w:bookmarkEnd w:id="159"/>
      <w:bookmarkEnd w:id="160"/>
      <w:bookmarkEnd w:id="161"/>
      <w:bookmarkEnd w:id="162"/>
      <w:bookmarkEnd w:id="163"/>
      <w:bookmarkEnd w:id="164"/>
    </w:p>
    <w:p w14:paraId="670FEF4C"/>
    <w:p w14:paraId="41D2F217">
      <w:pPr>
        <w:numPr>
          <w:ilvl w:val="0"/>
          <w:numId w:val="10"/>
        </w:numPr>
        <w:ind w:left="950" w:hanging="950" w:hangingChars="432"/>
        <w:rPr>
          <w:rFonts w:ascii="宋体" w:hAnsi="宋体" w:cs="宋体"/>
          <w:sz w:val="22"/>
          <w:szCs w:val="22"/>
        </w:rPr>
      </w:pPr>
      <w:bookmarkStart w:id="165" w:name="_Toc73521575"/>
      <w:bookmarkStart w:id="166" w:name="_Toc60560655"/>
      <w:bookmarkStart w:id="167" w:name="_Toc73521663"/>
      <w:bookmarkStart w:id="168" w:name="_Toc60631650"/>
      <w:bookmarkStart w:id="169" w:name="_Toc73518145"/>
      <w:bookmarkStart w:id="170" w:name="_Toc100052392"/>
      <w:bookmarkStart w:id="171" w:name="_Toc73517667"/>
      <w:r>
        <w:rPr>
          <w:rFonts w:hint="eastAsia" w:ascii="宋体" w:hAnsi="宋体" w:cs="宋体"/>
          <w:sz w:val="22"/>
          <w:szCs w:val="22"/>
        </w:rPr>
        <w:t>开标</w:t>
      </w:r>
      <w:bookmarkEnd w:id="165"/>
      <w:bookmarkEnd w:id="166"/>
      <w:bookmarkEnd w:id="167"/>
      <w:bookmarkEnd w:id="168"/>
      <w:bookmarkEnd w:id="169"/>
      <w:bookmarkEnd w:id="170"/>
      <w:bookmarkEnd w:id="171"/>
    </w:p>
    <w:p w14:paraId="76AF0C30">
      <w:pPr>
        <w:numPr>
          <w:ilvl w:val="1"/>
          <w:numId w:val="11"/>
        </w:numPr>
        <w:ind w:left="950" w:hanging="950" w:hangingChars="432"/>
        <w:rPr>
          <w:rFonts w:ascii="宋体" w:hAnsi="宋体" w:cs="宋体"/>
          <w:sz w:val="22"/>
          <w:szCs w:val="22"/>
        </w:rPr>
      </w:pPr>
      <w:bookmarkStart w:id="172" w:name="bt评标"/>
      <w:bookmarkEnd w:id="172"/>
      <w:bookmarkStart w:id="173" w:name="_Toc73521664"/>
      <w:bookmarkStart w:id="174" w:name="_Toc73518146"/>
      <w:bookmarkStart w:id="175" w:name="_Toc73517668"/>
      <w:bookmarkStart w:id="176" w:name="_Toc101074882"/>
      <w:bookmarkStart w:id="177" w:name="_Toc73521576"/>
      <w:bookmarkStart w:id="178" w:name="_Toc100052393"/>
      <w:r>
        <w:rPr>
          <w:rFonts w:hint="eastAsia" w:ascii="宋体" w:hAnsi="宋体" w:cs="宋体"/>
          <w:sz w:val="22"/>
          <w:szCs w:val="22"/>
        </w:rPr>
        <w:t>政府采购代理机构按采购公告规定的日期、时间和地点组织公开开标。投标人应派代表参加，参加开标的投标人代表签名报到以证明其出席。若因疫情防控，不能到现场的，可以通过视频会议进行在线开标。</w:t>
      </w:r>
    </w:p>
    <w:p w14:paraId="7E91757B">
      <w:pPr>
        <w:numPr>
          <w:ilvl w:val="1"/>
          <w:numId w:val="11"/>
        </w:numPr>
        <w:ind w:left="950" w:hanging="950" w:hangingChars="432"/>
        <w:rPr>
          <w:rFonts w:ascii="宋体" w:hAnsi="宋体" w:cs="宋体"/>
          <w:sz w:val="22"/>
          <w:szCs w:val="22"/>
        </w:rPr>
      </w:pPr>
      <w:r>
        <w:rPr>
          <w:rFonts w:hint="eastAsia" w:ascii="宋体" w:hAnsi="宋体" w:cs="宋体"/>
          <w:sz w:val="22"/>
          <w:szCs w:val="22"/>
        </w:rPr>
        <w:t>开标时，采购代理机构当众宣读投标人名称、修改和撤回的通知、开标一览表的内容。</w:t>
      </w:r>
    </w:p>
    <w:p w14:paraId="06DBEE23">
      <w:pPr>
        <w:numPr>
          <w:ilvl w:val="1"/>
          <w:numId w:val="11"/>
        </w:numPr>
        <w:ind w:left="950" w:hanging="950" w:hangingChars="432"/>
        <w:rPr>
          <w:rFonts w:ascii="宋体" w:hAnsi="宋体" w:cs="宋体"/>
          <w:sz w:val="22"/>
          <w:szCs w:val="22"/>
        </w:rPr>
      </w:pPr>
      <w:r>
        <w:rPr>
          <w:rFonts w:hint="eastAsia" w:ascii="宋体" w:hAnsi="宋体" w:cs="宋体"/>
          <w:sz w:val="22"/>
          <w:szCs w:val="22"/>
        </w:rPr>
        <w:t>除了按照规定原封退回迟到的投标之外，开标时不得拒绝任何已报名购买采购文件的投标人的投标。</w:t>
      </w:r>
    </w:p>
    <w:p w14:paraId="09C36B84">
      <w:pPr>
        <w:numPr>
          <w:ilvl w:val="1"/>
          <w:numId w:val="11"/>
        </w:numPr>
        <w:ind w:left="950" w:hanging="950" w:hangingChars="432"/>
        <w:rPr>
          <w:rFonts w:ascii="宋体" w:hAnsi="宋体" w:cs="宋体"/>
          <w:sz w:val="22"/>
          <w:szCs w:val="22"/>
        </w:rPr>
      </w:pPr>
      <w:r>
        <w:rPr>
          <w:rFonts w:hint="eastAsia" w:ascii="宋体" w:hAnsi="宋体" w:cs="宋体"/>
          <w:sz w:val="22"/>
          <w:szCs w:val="22"/>
        </w:rPr>
        <w:t>开标时没有启封和读出的投标文件，在评标时将不予考虑。没有启封和读出的投标文件将原封退回给投标人。</w:t>
      </w:r>
    </w:p>
    <w:p w14:paraId="5CE2EB2A">
      <w:pPr>
        <w:numPr>
          <w:ilvl w:val="1"/>
          <w:numId w:val="11"/>
        </w:numPr>
        <w:ind w:left="950" w:hanging="950" w:hangingChars="432"/>
        <w:rPr>
          <w:rFonts w:ascii="宋体" w:hAnsi="宋体" w:cs="宋体"/>
          <w:sz w:val="22"/>
          <w:szCs w:val="22"/>
        </w:rPr>
      </w:pPr>
      <w:r>
        <w:rPr>
          <w:rFonts w:hint="eastAsia" w:ascii="宋体" w:hAnsi="宋体" w:cs="宋体"/>
          <w:sz w:val="22"/>
          <w:szCs w:val="22"/>
        </w:rPr>
        <w:t>投标人对开标有异议的，应当在开标现场提出。采购代理机构将做开标记录，并要求出席有关人员签字确认。</w:t>
      </w:r>
    </w:p>
    <w:p w14:paraId="36726E9A">
      <w:pPr>
        <w:numPr>
          <w:ilvl w:val="1"/>
          <w:numId w:val="11"/>
        </w:numPr>
        <w:rPr>
          <w:rFonts w:ascii="宋体" w:hAnsi="宋体" w:cs="宋体"/>
          <w:sz w:val="22"/>
          <w:szCs w:val="22"/>
        </w:rPr>
      </w:pPr>
      <w:r>
        <w:rPr>
          <w:rFonts w:hint="eastAsia" w:ascii="宋体" w:hAnsi="宋体" w:cs="宋体"/>
          <w:sz w:val="22"/>
          <w:szCs w:val="22"/>
        </w:rPr>
        <w:t>公开招标采购项目开标结束后，采购人或者采购代理机构应当依法对投标人的资格进行审查。资格性检查：依据法律法规和采购文件的规定，对投标文件中的资格证明、投标保证金等进行审查，以确定投标供应商是否具备投标资格。</w:t>
      </w:r>
    </w:p>
    <w:p w14:paraId="663CB046">
      <w:pPr>
        <w:numPr>
          <w:ilvl w:val="1"/>
          <w:numId w:val="11"/>
        </w:numPr>
        <w:rPr>
          <w:rFonts w:ascii="宋体" w:hAnsi="宋体" w:cs="宋体"/>
          <w:sz w:val="22"/>
          <w:szCs w:val="22"/>
        </w:rPr>
      </w:pPr>
      <w:r>
        <w:rPr>
          <w:rFonts w:hint="eastAsia" w:ascii="宋体" w:hAnsi="宋体" w:cs="宋体"/>
          <w:sz w:val="22"/>
          <w:szCs w:val="22"/>
        </w:rPr>
        <w:t>合格投标人不足3家的，不得评标。</w:t>
      </w:r>
    </w:p>
    <w:p w14:paraId="7F86C63B">
      <w:r>
        <w:br w:type="page"/>
      </w:r>
    </w:p>
    <w:p w14:paraId="1B78D77F"/>
    <w:p w14:paraId="32C414E6"/>
    <w:p w14:paraId="51B3B997"/>
    <w:p w14:paraId="2FA8A123"/>
    <w:p w14:paraId="6748C072"/>
    <w:p w14:paraId="3846B3FB"/>
    <w:p w14:paraId="4AD73AA1"/>
    <w:p w14:paraId="33ABE278"/>
    <w:p w14:paraId="18875CAC"/>
    <w:p w14:paraId="5FA91A7D"/>
    <w:p w14:paraId="636567EA"/>
    <w:p w14:paraId="17D09477"/>
    <w:p w14:paraId="2B32D9F8"/>
    <w:p w14:paraId="667977AF"/>
    <w:p w14:paraId="143F86E5"/>
    <w:p w14:paraId="00AA5FAD">
      <w:pPr>
        <w:pStyle w:val="5"/>
        <w:rPr>
          <w:szCs w:val="28"/>
        </w:rPr>
      </w:pPr>
      <w:r>
        <w:rPr>
          <w:b w:val="0"/>
          <w:bCs/>
          <w:kern w:val="28"/>
          <w:sz w:val="44"/>
          <w:szCs w:val="44"/>
        </w:rPr>
        <w:t>第六章  评标要求</w:t>
      </w:r>
      <w:r>
        <w:rPr>
          <w:b w:val="0"/>
          <w:bCs/>
          <w:kern w:val="28"/>
          <w:sz w:val="44"/>
          <w:szCs w:val="44"/>
        </w:rPr>
        <w:br w:type="page"/>
      </w:r>
      <w:bookmarkEnd w:id="173"/>
      <w:bookmarkEnd w:id="174"/>
      <w:bookmarkEnd w:id="175"/>
      <w:bookmarkEnd w:id="176"/>
      <w:bookmarkEnd w:id="177"/>
      <w:bookmarkEnd w:id="178"/>
    </w:p>
    <w:p w14:paraId="3FD6739C">
      <w:pPr>
        <w:rPr>
          <w:rFonts w:ascii="宋体" w:hAnsi="宋体" w:cs="宋体"/>
          <w:sz w:val="22"/>
          <w:szCs w:val="22"/>
        </w:rPr>
      </w:pPr>
    </w:p>
    <w:p w14:paraId="4B92A825">
      <w:pPr>
        <w:numPr>
          <w:ilvl w:val="0"/>
          <w:numId w:val="10"/>
        </w:numPr>
        <w:ind w:left="950" w:hanging="950" w:hangingChars="432"/>
        <w:rPr>
          <w:rFonts w:ascii="宋体" w:hAnsi="宋体" w:cs="宋体"/>
          <w:sz w:val="22"/>
          <w:szCs w:val="22"/>
        </w:rPr>
      </w:pPr>
      <w:bookmarkStart w:id="179" w:name="bt评标会议"/>
      <w:bookmarkEnd w:id="179"/>
      <w:bookmarkStart w:id="180" w:name="_Toc100052394"/>
      <w:bookmarkStart w:id="181" w:name="_Toc73521665"/>
      <w:bookmarkStart w:id="182" w:name="_Toc73517669"/>
      <w:bookmarkStart w:id="183" w:name="_Toc73521577"/>
      <w:bookmarkStart w:id="184" w:name="_Toc73518147"/>
      <w:r>
        <w:rPr>
          <w:rFonts w:hint="eastAsia" w:ascii="宋体" w:hAnsi="宋体" w:cs="宋体"/>
          <w:sz w:val="22"/>
          <w:szCs w:val="22"/>
        </w:rPr>
        <w:t>评审委员会组成</w:t>
      </w:r>
    </w:p>
    <w:p w14:paraId="0D0F4E68">
      <w:pPr>
        <w:numPr>
          <w:ilvl w:val="1"/>
          <w:numId w:val="11"/>
        </w:numPr>
        <w:ind w:left="950" w:hanging="950" w:hangingChars="432"/>
        <w:rPr>
          <w:rFonts w:ascii="宋体" w:hAnsi="宋体" w:cs="宋体"/>
          <w:sz w:val="22"/>
          <w:szCs w:val="22"/>
        </w:rPr>
      </w:pPr>
      <w:r>
        <w:rPr>
          <w:rFonts w:hint="eastAsia" w:ascii="宋体" w:hAnsi="宋体" w:cs="宋体"/>
          <w:sz w:val="22"/>
          <w:szCs w:val="22"/>
        </w:rPr>
        <w:t>开标结束后召开评标会议，评审委员会由政府采购代理机构依法组建，负责评标活动。</w:t>
      </w:r>
    </w:p>
    <w:p w14:paraId="3F11554B">
      <w:pPr>
        <w:numPr>
          <w:ilvl w:val="2"/>
          <w:numId w:val="15"/>
        </w:numPr>
        <w:ind w:left="950" w:hanging="950" w:hangingChars="432"/>
        <w:rPr>
          <w:rFonts w:ascii="宋体" w:hAnsi="宋体" w:cs="宋体"/>
          <w:sz w:val="22"/>
          <w:szCs w:val="22"/>
        </w:rPr>
      </w:pPr>
      <w:r>
        <w:rPr>
          <w:rFonts w:hint="eastAsia" w:ascii="宋体" w:hAnsi="宋体" w:cs="宋体"/>
          <w:sz w:val="22"/>
          <w:szCs w:val="22"/>
        </w:rPr>
        <w:t>评审委员会的组成及行为规范执行《政府采购货物和服务招标投标管理办法（财政部令第87号）》，评审委员会由采购单位代表和有关技术、经济等方面的专家组成，成员人数为5人以上（含5人）单数，其中技术、经济等方面的专家不少于成员总数的三分之二。</w:t>
      </w:r>
    </w:p>
    <w:p w14:paraId="6E7CEF89">
      <w:pPr>
        <w:numPr>
          <w:ilvl w:val="2"/>
          <w:numId w:val="15"/>
        </w:numPr>
        <w:ind w:left="950" w:hanging="950" w:hangingChars="432"/>
        <w:rPr>
          <w:rFonts w:ascii="宋体" w:hAnsi="宋体" w:cs="宋体"/>
          <w:sz w:val="22"/>
          <w:szCs w:val="22"/>
        </w:rPr>
      </w:pPr>
      <w:r>
        <w:rPr>
          <w:rFonts w:hint="eastAsia" w:ascii="宋体" w:hAnsi="宋体" w:cs="宋体"/>
          <w:sz w:val="22"/>
          <w:szCs w:val="22"/>
        </w:rPr>
        <w:t>为保证评委人选的专业性，以及评标中的公平公正性，评审委员会成员从专家库中随机抽取。</w:t>
      </w:r>
    </w:p>
    <w:p w14:paraId="48A688EA">
      <w:pPr>
        <w:numPr>
          <w:ilvl w:val="2"/>
          <w:numId w:val="15"/>
        </w:numPr>
        <w:ind w:left="950" w:hanging="950" w:hangingChars="432"/>
        <w:rPr>
          <w:rFonts w:ascii="宋体" w:hAnsi="宋体" w:cs="宋体"/>
          <w:sz w:val="22"/>
          <w:szCs w:val="22"/>
        </w:rPr>
      </w:pPr>
      <w:r>
        <w:rPr>
          <w:rFonts w:hint="eastAsia" w:ascii="宋体" w:hAnsi="宋体" w:cs="宋体"/>
          <w:sz w:val="22"/>
          <w:szCs w:val="22"/>
        </w:rPr>
        <w:t>采购单位代表须持本单位签发的《评标授权书》参加评标。</w:t>
      </w:r>
    </w:p>
    <w:p w14:paraId="4E990A4A">
      <w:pPr>
        <w:numPr>
          <w:ilvl w:val="2"/>
          <w:numId w:val="15"/>
        </w:numPr>
        <w:ind w:left="950" w:hanging="950" w:hangingChars="432"/>
        <w:rPr>
          <w:rFonts w:ascii="宋体" w:hAnsi="宋体" w:cs="宋体"/>
          <w:sz w:val="22"/>
          <w:szCs w:val="22"/>
        </w:rPr>
      </w:pPr>
      <w:r>
        <w:rPr>
          <w:rFonts w:hint="eastAsia" w:ascii="宋体" w:hAnsi="宋体" w:cs="宋体"/>
          <w:sz w:val="22"/>
          <w:szCs w:val="22"/>
        </w:rPr>
        <w:t>采购单位无代表参与评标，应在开标前一天提交《采购单位不派评委参与项目评标承诺书》给政府采购代理机构。</w:t>
      </w:r>
    </w:p>
    <w:p w14:paraId="036162F5">
      <w:pPr>
        <w:numPr>
          <w:ilvl w:val="1"/>
          <w:numId w:val="11"/>
        </w:numPr>
        <w:ind w:left="950" w:hanging="950" w:hangingChars="432"/>
        <w:rPr>
          <w:rFonts w:ascii="宋体" w:hAnsi="宋体" w:cs="宋体"/>
          <w:sz w:val="22"/>
          <w:szCs w:val="22"/>
        </w:rPr>
      </w:pPr>
      <w:r>
        <w:rPr>
          <w:rFonts w:hint="eastAsia" w:ascii="宋体" w:hAnsi="宋体" w:cs="宋体"/>
          <w:sz w:val="22"/>
          <w:szCs w:val="22"/>
        </w:rPr>
        <w:t>评标定标应当遵循公平、公正、科学、择优的原则。</w:t>
      </w:r>
    </w:p>
    <w:p w14:paraId="6DC88C05">
      <w:pPr>
        <w:numPr>
          <w:ilvl w:val="1"/>
          <w:numId w:val="11"/>
        </w:numPr>
        <w:ind w:left="950" w:hanging="950" w:hangingChars="432"/>
        <w:rPr>
          <w:rFonts w:ascii="宋体" w:hAnsi="宋体" w:cs="宋体"/>
          <w:sz w:val="22"/>
          <w:szCs w:val="22"/>
        </w:rPr>
      </w:pPr>
      <w:r>
        <w:rPr>
          <w:rFonts w:hint="eastAsia" w:ascii="宋体" w:hAnsi="宋体" w:cs="宋体"/>
          <w:sz w:val="22"/>
          <w:szCs w:val="22"/>
        </w:rPr>
        <w:t>评标活动依法进行，任何单位和个人不得非法干预评标过程和结果。</w:t>
      </w:r>
    </w:p>
    <w:p w14:paraId="3FEE3193">
      <w:pPr>
        <w:numPr>
          <w:ilvl w:val="1"/>
          <w:numId w:val="11"/>
        </w:numPr>
        <w:ind w:left="950" w:hanging="950" w:hangingChars="432"/>
        <w:rPr>
          <w:rFonts w:ascii="宋体" w:hAnsi="宋体" w:cs="宋体"/>
          <w:sz w:val="22"/>
          <w:szCs w:val="22"/>
        </w:rPr>
      </w:pPr>
      <w:r>
        <w:rPr>
          <w:rFonts w:hint="eastAsia" w:ascii="宋体" w:hAnsi="宋体" w:cs="宋体"/>
          <w:sz w:val="22"/>
          <w:szCs w:val="22"/>
        </w:rPr>
        <w:t>评标过程中不允许违背评标程序或采用采购文件未载明的评标方法或评标因素进行评标。</w:t>
      </w:r>
    </w:p>
    <w:p w14:paraId="031DEDFD">
      <w:pPr>
        <w:numPr>
          <w:ilvl w:val="1"/>
          <w:numId w:val="11"/>
        </w:numPr>
        <w:ind w:left="950" w:hanging="950" w:hangingChars="432"/>
        <w:rPr>
          <w:rFonts w:ascii="宋体" w:hAnsi="宋体" w:cs="宋体"/>
          <w:sz w:val="22"/>
          <w:szCs w:val="22"/>
        </w:rPr>
      </w:pPr>
      <w:r>
        <w:rPr>
          <w:rFonts w:hint="eastAsia" w:ascii="宋体" w:hAnsi="宋体" w:cs="宋体"/>
          <w:sz w:val="22"/>
          <w:szCs w:val="22"/>
        </w:rPr>
        <w:t>开标后，直到授予中标人合同为止，凡属于对投标文件的审查、澄清、评价和比较的有关资料以及中标候选人的推荐情况、与评标有关的其他任何情况均严格保密。</w:t>
      </w:r>
    </w:p>
    <w:p w14:paraId="433F0929">
      <w:pPr>
        <w:ind w:left="907"/>
        <w:rPr>
          <w:rFonts w:ascii="宋体" w:hAnsi="宋体" w:cs="宋体"/>
          <w:sz w:val="22"/>
          <w:szCs w:val="22"/>
        </w:rPr>
      </w:pPr>
    </w:p>
    <w:p w14:paraId="321AB57C">
      <w:pPr>
        <w:numPr>
          <w:ilvl w:val="0"/>
          <w:numId w:val="10"/>
        </w:numPr>
        <w:ind w:left="950" w:hanging="950" w:hangingChars="432"/>
        <w:rPr>
          <w:rFonts w:ascii="宋体" w:hAnsi="宋体" w:cs="宋体"/>
          <w:sz w:val="22"/>
          <w:szCs w:val="22"/>
        </w:rPr>
      </w:pPr>
      <w:r>
        <w:rPr>
          <w:rFonts w:hint="eastAsia" w:ascii="宋体" w:hAnsi="宋体" w:cs="宋体"/>
          <w:sz w:val="22"/>
          <w:szCs w:val="22"/>
        </w:rPr>
        <w:t>向评审委员会提供的资料</w:t>
      </w:r>
    </w:p>
    <w:p w14:paraId="6B7AB06B">
      <w:pPr>
        <w:numPr>
          <w:ilvl w:val="1"/>
          <w:numId w:val="11"/>
        </w:numPr>
        <w:ind w:left="950" w:hanging="950" w:hangingChars="432"/>
        <w:rPr>
          <w:rFonts w:ascii="宋体" w:hAnsi="宋体" w:cs="宋体"/>
          <w:sz w:val="22"/>
          <w:szCs w:val="22"/>
        </w:rPr>
      </w:pPr>
      <w:r>
        <w:rPr>
          <w:rFonts w:hint="eastAsia" w:ascii="宋体" w:hAnsi="宋体" w:cs="宋体"/>
          <w:sz w:val="22"/>
          <w:szCs w:val="22"/>
        </w:rPr>
        <w:t>公开发布的采购文件，包括图纸、服务清单、答疑文件等；</w:t>
      </w:r>
    </w:p>
    <w:p w14:paraId="25CEEF12">
      <w:pPr>
        <w:numPr>
          <w:ilvl w:val="1"/>
          <w:numId w:val="11"/>
        </w:numPr>
        <w:ind w:left="950" w:hanging="950" w:hangingChars="432"/>
        <w:rPr>
          <w:rFonts w:ascii="宋体" w:hAnsi="宋体" w:cs="宋体"/>
          <w:sz w:val="22"/>
          <w:szCs w:val="22"/>
        </w:rPr>
      </w:pPr>
      <w:r>
        <w:rPr>
          <w:rFonts w:hint="eastAsia" w:ascii="宋体" w:hAnsi="宋体" w:cs="宋体"/>
          <w:sz w:val="22"/>
          <w:szCs w:val="22"/>
        </w:rPr>
        <w:t>其他评标必须的资料。</w:t>
      </w:r>
    </w:p>
    <w:p w14:paraId="76E51177">
      <w:pPr>
        <w:numPr>
          <w:ilvl w:val="1"/>
          <w:numId w:val="11"/>
        </w:numPr>
        <w:ind w:left="950" w:hanging="950" w:hangingChars="432"/>
        <w:rPr>
          <w:rFonts w:ascii="宋体" w:hAnsi="宋体" w:cs="宋体"/>
          <w:sz w:val="22"/>
          <w:szCs w:val="22"/>
        </w:rPr>
      </w:pPr>
      <w:r>
        <w:rPr>
          <w:rFonts w:hint="eastAsia" w:ascii="宋体" w:hAnsi="宋体" w:cs="宋体"/>
          <w:sz w:val="22"/>
          <w:szCs w:val="22"/>
        </w:rPr>
        <w:t>评审委员会应当认真研究采购文件，至少应了解熟悉以下内容：</w:t>
      </w:r>
    </w:p>
    <w:p w14:paraId="7DE6D370">
      <w:pPr>
        <w:numPr>
          <w:ilvl w:val="2"/>
          <w:numId w:val="15"/>
        </w:numPr>
        <w:ind w:left="950" w:hanging="950" w:hangingChars="432"/>
        <w:rPr>
          <w:rFonts w:ascii="宋体" w:hAnsi="宋体" w:cs="宋体"/>
          <w:sz w:val="22"/>
          <w:szCs w:val="22"/>
        </w:rPr>
      </w:pPr>
      <w:r>
        <w:rPr>
          <w:rFonts w:hint="eastAsia" w:ascii="宋体" w:hAnsi="宋体" w:cs="宋体"/>
          <w:sz w:val="22"/>
          <w:szCs w:val="22"/>
        </w:rPr>
        <w:t>招标的目的；</w:t>
      </w:r>
    </w:p>
    <w:p w14:paraId="16569A07">
      <w:pPr>
        <w:numPr>
          <w:ilvl w:val="2"/>
          <w:numId w:val="15"/>
        </w:numPr>
        <w:ind w:left="950" w:hanging="950" w:hangingChars="432"/>
        <w:rPr>
          <w:rFonts w:ascii="宋体" w:hAnsi="宋体" w:cs="宋体"/>
          <w:sz w:val="22"/>
          <w:szCs w:val="22"/>
        </w:rPr>
      </w:pPr>
      <w:r>
        <w:rPr>
          <w:rFonts w:hint="eastAsia" w:ascii="宋体" w:hAnsi="宋体" w:cs="宋体"/>
          <w:sz w:val="22"/>
          <w:szCs w:val="22"/>
        </w:rPr>
        <w:t>招标项目需求的范围和性质；</w:t>
      </w:r>
    </w:p>
    <w:p w14:paraId="23DC5771">
      <w:pPr>
        <w:numPr>
          <w:ilvl w:val="2"/>
          <w:numId w:val="15"/>
        </w:numPr>
        <w:ind w:left="950" w:hanging="950" w:hangingChars="432"/>
        <w:rPr>
          <w:rFonts w:ascii="宋体" w:hAnsi="宋体" w:cs="宋体"/>
          <w:sz w:val="22"/>
          <w:szCs w:val="22"/>
        </w:rPr>
      </w:pPr>
      <w:r>
        <w:rPr>
          <w:rFonts w:hint="eastAsia" w:ascii="宋体" w:hAnsi="宋体" w:cs="宋体"/>
          <w:sz w:val="22"/>
          <w:szCs w:val="22"/>
        </w:rPr>
        <w:t>采购文件规定的投标人的资格、财政预算限额、商务条款；</w:t>
      </w:r>
    </w:p>
    <w:p w14:paraId="61016C2C">
      <w:pPr>
        <w:numPr>
          <w:ilvl w:val="2"/>
          <w:numId w:val="15"/>
        </w:numPr>
        <w:ind w:left="950" w:hanging="950" w:hangingChars="432"/>
        <w:rPr>
          <w:rFonts w:ascii="宋体" w:hAnsi="宋体" w:cs="宋体"/>
          <w:sz w:val="22"/>
          <w:szCs w:val="22"/>
        </w:rPr>
      </w:pPr>
      <w:r>
        <w:rPr>
          <w:rFonts w:hint="eastAsia" w:ascii="宋体" w:hAnsi="宋体" w:cs="宋体"/>
          <w:sz w:val="22"/>
          <w:szCs w:val="22"/>
        </w:rPr>
        <w:t>采购文件规定的评标程序、评标方法和评标因素；</w:t>
      </w:r>
    </w:p>
    <w:p w14:paraId="2F41B78D">
      <w:pPr>
        <w:numPr>
          <w:ilvl w:val="2"/>
          <w:numId w:val="15"/>
        </w:numPr>
        <w:ind w:left="950" w:hanging="950" w:hangingChars="432"/>
        <w:rPr>
          <w:rFonts w:ascii="宋体" w:hAnsi="宋体" w:cs="宋体"/>
          <w:sz w:val="22"/>
          <w:szCs w:val="22"/>
        </w:rPr>
      </w:pPr>
      <w:r>
        <w:rPr>
          <w:rFonts w:hint="eastAsia" w:ascii="宋体" w:hAnsi="宋体" w:cs="宋体"/>
          <w:sz w:val="22"/>
          <w:szCs w:val="22"/>
        </w:rPr>
        <w:t>采购文件所列示的废标条款；</w:t>
      </w:r>
    </w:p>
    <w:p w14:paraId="21DFEFC5">
      <w:pPr>
        <w:ind w:left="907"/>
        <w:rPr>
          <w:rFonts w:ascii="宋体" w:hAnsi="宋体" w:cs="宋体"/>
          <w:sz w:val="22"/>
          <w:szCs w:val="22"/>
        </w:rPr>
      </w:pPr>
    </w:p>
    <w:p w14:paraId="2F12D56D">
      <w:pPr>
        <w:numPr>
          <w:ilvl w:val="0"/>
          <w:numId w:val="10"/>
        </w:numPr>
        <w:ind w:left="950" w:hanging="950" w:hangingChars="432"/>
        <w:rPr>
          <w:rFonts w:ascii="宋体" w:hAnsi="宋体" w:cs="宋体"/>
          <w:sz w:val="22"/>
          <w:szCs w:val="22"/>
        </w:rPr>
      </w:pPr>
      <w:r>
        <w:rPr>
          <w:rFonts w:hint="eastAsia" w:ascii="宋体" w:hAnsi="宋体" w:cs="宋体"/>
          <w:sz w:val="22"/>
          <w:szCs w:val="22"/>
        </w:rPr>
        <w:t>独立评标</w:t>
      </w:r>
    </w:p>
    <w:p w14:paraId="468E2FF3">
      <w:pPr>
        <w:numPr>
          <w:ilvl w:val="1"/>
          <w:numId w:val="11"/>
        </w:numPr>
        <w:ind w:left="950" w:hanging="950" w:hangingChars="432"/>
        <w:rPr>
          <w:rFonts w:ascii="宋体" w:hAnsi="宋体" w:cs="宋体"/>
          <w:sz w:val="22"/>
          <w:szCs w:val="22"/>
        </w:rPr>
      </w:pPr>
      <w:r>
        <w:rPr>
          <w:rFonts w:hint="eastAsia" w:ascii="宋体" w:hAnsi="宋体" w:cs="宋体"/>
          <w:sz w:val="22"/>
          <w:szCs w:val="22"/>
        </w:rPr>
        <w:t>评审委员会成员的评标活动应当独立进行，并应遵循投标文件初审、澄清有关问题、比较与评价、确定中标供应商、编写评标报告的工作程序。</w:t>
      </w:r>
      <w:bookmarkEnd w:id="180"/>
      <w:bookmarkEnd w:id="181"/>
      <w:bookmarkEnd w:id="182"/>
      <w:bookmarkEnd w:id="183"/>
      <w:bookmarkEnd w:id="184"/>
      <w:bookmarkStart w:id="185" w:name="bt错误的修正"/>
      <w:bookmarkEnd w:id="185"/>
      <w:bookmarkStart w:id="186" w:name="bt评标过程的保密"/>
      <w:bookmarkEnd w:id="186"/>
    </w:p>
    <w:p w14:paraId="30C16A3B">
      <w:bookmarkStart w:id="187" w:name="_Toc100052397"/>
      <w:bookmarkStart w:id="188" w:name="_Toc101074883"/>
    </w:p>
    <w:p w14:paraId="626B1B2B">
      <w:r>
        <w:br w:type="page"/>
      </w:r>
    </w:p>
    <w:p w14:paraId="4B32731D"/>
    <w:p w14:paraId="52E35B16"/>
    <w:p w14:paraId="4BF3E558"/>
    <w:p w14:paraId="61A048C0"/>
    <w:p w14:paraId="079F9C96"/>
    <w:p w14:paraId="2147FC90"/>
    <w:p w14:paraId="4A7FBEEF"/>
    <w:p w14:paraId="04685F0B"/>
    <w:p w14:paraId="18895F0A"/>
    <w:p w14:paraId="7BDC0B68"/>
    <w:p w14:paraId="7EEC9051"/>
    <w:p w14:paraId="233B4EA8"/>
    <w:p w14:paraId="71678CF5"/>
    <w:p w14:paraId="02798518"/>
    <w:p w14:paraId="45B8C1AF"/>
    <w:p w14:paraId="45E371C2">
      <w:pPr>
        <w:pStyle w:val="5"/>
        <w:rPr>
          <w:b w:val="0"/>
          <w:bCs/>
          <w:kern w:val="28"/>
          <w:sz w:val="44"/>
          <w:szCs w:val="44"/>
        </w:rPr>
      </w:pPr>
      <w:r>
        <w:rPr>
          <w:b w:val="0"/>
          <w:bCs/>
          <w:kern w:val="28"/>
          <w:sz w:val="44"/>
          <w:szCs w:val="44"/>
        </w:rPr>
        <w:t>第七章  评标程序及评标方法</w:t>
      </w:r>
    </w:p>
    <w:p w14:paraId="11C075D4">
      <w:pPr>
        <w:ind w:left="-907" w:leftChars="-432"/>
        <w:jc w:val="center"/>
        <w:rPr>
          <w:szCs w:val="28"/>
        </w:rPr>
      </w:pPr>
      <w:r>
        <w:rPr>
          <w:szCs w:val="28"/>
        </w:rPr>
        <w:br w:type="page"/>
      </w:r>
      <w:bookmarkEnd w:id="187"/>
      <w:bookmarkEnd w:id="188"/>
      <w:bookmarkStart w:id="189" w:name="_Toc73521667"/>
      <w:bookmarkStart w:id="190" w:name="_Toc73521579"/>
      <w:bookmarkStart w:id="191" w:name="_Toc73518149"/>
      <w:bookmarkStart w:id="192" w:name="_Toc73517671"/>
    </w:p>
    <w:p w14:paraId="72998519"/>
    <w:p w14:paraId="53E16165">
      <w:pPr>
        <w:numPr>
          <w:ilvl w:val="0"/>
          <w:numId w:val="10"/>
        </w:numPr>
        <w:ind w:left="950" w:hanging="950" w:hangingChars="432"/>
        <w:rPr>
          <w:rFonts w:ascii="宋体" w:hAnsi="宋体" w:cs="宋体"/>
          <w:sz w:val="22"/>
          <w:szCs w:val="22"/>
        </w:rPr>
      </w:pPr>
      <w:bookmarkStart w:id="193" w:name="_Toc100052398"/>
      <w:r>
        <w:rPr>
          <w:rFonts w:hint="eastAsia" w:ascii="宋体" w:hAnsi="宋体" w:cs="宋体"/>
          <w:sz w:val="22"/>
          <w:szCs w:val="22"/>
        </w:rPr>
        <w:t>投标文件初审</w:t>
      </w:r>
      <w:bookmarkEnd w:id="193"/>
    </w:p>
    <w:bookmarkEnd w:id="189"/>
    <w:bookmarkEnd w:id="190"/>
    <w:bookmarkEnd w:id="191"/>
    <w:bookmarkEnd w:id="192"/>
    <w:p w14:paraId="2105DD16">
      <w:pPr>
        <w:numPr>
          <w:ilvl w:val="1"/>
          <w:numId w:val="11"/>
        </w:numPr>
        <w:ind w:left="950" w:hanging="950" w:hangingChars="432"/>
        <w:rPr>
          <w:rFonts w:ascii="宋体" w:hAnsi="宋体" w:cs="宋体"/>
          <w:sz w:val="22"/>
          <w:szCs w:val="22"/>
        </w:rPr>
      </w:pPr>
      <w:r>
        <w:rPr>
          <w:rFonts w:hint="eastAsia" w:ascii="宋体" w:hAnsi="宋体" w:cs="宋体"/>
          <w:sz w:val="22"/>
          <w:szCs w:val="22"/>
        </w:rPr>
        <w:t>投标文件初审即符合性检查。符合性检查：依据采购文件的规定，从投标文件的有效性、完整性和对采购文件的响应程度进行审查，以确定是否对采购文件的实质性要求作出响应。</w:t>
      </w:r>
    </w:p>
    <w:p w14:paraId="3F716FEE">
      <w:pPr>
        <w:numPr>
          <w:ilvl w:val="1"/>
          <w:numId w:val="11"/>
        </w:numPr>
        <w:ind w:left="950" w:hanging="950" w:hangingChars="432"/>
        <w:rPr>
          <w:rFonts w:ascii="宋体" w:hAnsi="宋体" w:cs="宋体"/>
          <w:sz w:val="22"/>
          <w:szCs w:val="22"/>
        </w:rPr>
      </w:pPr>
      <w:r>
        <w:rPr>
          <w:rFonts w:hint="eastAsia" w:ascii="宋体" w:hAnsi="宋体" w:cs="宋体"/>
          <w:sz w:val="22"/>
          <w:szCs w:val="22"/>
        </w:rPr>
        <w:t>投标文件初审内容请详见“关键信息”中的《投标文件初审表》部分。投标人若有一条审查不通过则按废标处理。评审委员会对投标单位打√为通过审查，打×为未通过审查。</w:t>
      </w:r>
    </w:p>
    <w:p w14:paraId="58EF912D">
      <w:pPr>
        <w:numPr>
          <w:ilvl w:val="1"/>
          <w:numId w:val="11"/>
        </w:numPr>
        <w:ind w:left="950" w:hanging="950" w:hangingChars="432"/>
        <w:rPr>
          <w:rFonts w:ascii="宋体" w:hAnsi="宋体" w:cs="宋体"/>
          <w:sz w:val="22"/>
          <w:szCs w:val="22"/>
        </w:rPr>
      </w:pPr>
      <w:r>
        <w:rPr>
          <w:rFonts w:hint="eastAsia" w:ascii="宋体" w:hAnsi="宋体" w:cs="宋体"/>
          <w:sz w:val="22"/>
          <w:szCs w:val="22"/>
        </w:rPr>
        <w:t>投标文件初审中关于供应商家数的计算。使用综合评分法的采购项目，提供相同品牌产品且通过资格审查、符合性审查的不同投标人参加同一合同项下投标的，按一家投标人计算，评审后得分最高的同品牌投标人获得中标人推荐资格；评审得分相同的，由采购人或者采购人委托评标委员会按照采购文件规定的方式确定一个投标人获得中标人推荐资格，采购文件未规定的采取随机抽取方式确定，其他同品牌投标人不作为中标候选人。公开招标以外采购方式以及政府采购服务和工程涉及采购货物的项目，也按此方法计算供应商家数。</w:t>
      </w:r>
    </w:p>
    <w:p w14:paraId="60410337">
      <w:pPr>
        <w:numPr>
          <w:ilvl w:val="1"/>
          <w:numId w:val="11"/>
        </w:numPr>
        <w:ind w:left="950" w:hanging="950" w:hangingChars="432"/>
        <w:rPr>
          <w:rFonts w:ascii="宋体" w:hAnsi="宋体" w:cs="宋体"/>
          <w:sz w:val="22"/>
          <w:szCs w:val="22"/>
        </w:rPr>
      </w:pPr>
      <w:r>
        <w:rPr>
          <w:rFonts w:hint="eastAsia" w:ascii="宋体" w:hAnsi="宋体" w:cs="宋体"/>
          <w:sz w:val="22"/>
          <w:szCs w:val="22"/>
        </w:rPr>
        <w:t>对不属于投标文件初审表所列的其他情形，除法律法规另有规定外，不得作为废标的理由。</w:t>
      </w:r>
    </w:p>
    <w:p w14:paraId="749A2015">
      <w:pPr>
        <w:ind w:left="907"/>
        <w:rPr>
          <w:rFonts w:ascii="宋体" w:hAnsi="宋体" w:cs="宋体"/>
          <w:sz w:val="22"/>
          <w:szCs w:val="22"/>
        </w:rPr>
      </w:pPr>
    </w:p>
    <w:p w14:paraId="617168F3">
      <w:pPr>
        <w:numPr>
          <w:ilvl w:val="0"/>
          <w:numId w:val="10"/>
        </w:numPr>
        <w:ind w:left="950" w:hanging="950" w:hangingChars="432"/>
        <w:rPr>
          <w:rFonts w:ascii="宋体" w:hAnsi="宋体" w:cs="宋体"/>
          <w:sz w:val="22"/>
          <w:szCs w:val="22"/>
        </w:rPr>
      </w:pPr>
      <w:bookmarkStart w:id="194" w:name="_Toc100052399"/>
      <w:r>
        <w:rPr>
          <w:rFonts w:hint="eastAsia" w:ascii="宋体" w:hAnsi="宋体" w:cs="宋体"/>
          <w:sz w:val="22"/>
          <w:szCs w:val="22"/>
        </w:rPr>
        <w:t>澄清有关问题</w:t>
      </w:r>
      <w:bookmarkEnd w:id="194"/>
    </w:p>
    <w:p w14:paraId="0FF1DF75">
      <w:pPr>
        <w:numPr>
          <w:ilvl w:val="1"/>
          <w:numId w:val="11"/>
        </w:numPr>
        <w:ind w:left="950" w:hanging="950" w:hangingChars="432"/>
        <w:rPr>
          <w:rFonts w:ascii="宋体" w:hAnsi="宋体" w:cs="宋体"/>
          <w:sz w:val="22"/>
          <w:szCs w:val="22"/>
        </w:rPr>
      </w:pPr>
      <w:bookmarkStart w:id="195" w:name="bt投标文件的澄清"/>
      <w:bookmarkEnd w:id="195"/>
      <w:bookmarkStart w:id="196" w:name="bt投标文件的评估和比较"/>
      <w:bookmarkEnd w:id="196"/>
      <w:bookmarkStart w:id="197" w:name="bt废标"/>
      <w:bookmarkEnd w:id="197"/>
      <w:bookmarkStart w:id="198" w:name="_Toc73521583"/>
      <w:bookmarkStart w:id="199" w:name="_Toc73521671"/>
      <w:bookmarkStart w:id="200" w:name="_Toc73518153"/>
      <w:bookmarkStart w:id="201" w:name="_Toc73517675"/>
      <w:r>
        <w:rPr>
          <w:rFonts w:hint="eastAsia" w:ascii="宋体" w:hAnsi="宋体" w:cs="宋体"/>
          <w:sz w:val="22"/>
          <w:szCs w:val="22"/>
        </w:rPr>
        <w:t>为了有助于投标文件的审查、评价和比较，对投标文件含义不明确、同类问题表述不一致或者有明显文字和计算错误的内容，评审委员会可以用书面形式(应当由评审委员会签字)要求投标供应商作出必要的澄清、说明或者纠正。投标人的澄清、说明或者补正应当用采用书面形式（加盖公章或由法定代表人或其授权的代表签字），并不得超出投标文件的范围或者改变投标文件的实质性的内容。根据本通用条款第34条，凡属于评审委员会在评标中发现的算术错误进行核实的修改不在此列。</w:t>
      </w:r>
    </w:p>
    <w:p w14:paraId="44200C8F">
      <w:pPr>
        <w:ind w:left="907"/>
        <w:rPr>
          <w:rFonts w:ascii="宋体" w:hAnsi="宋体" w:cs="宋体"/>
          <w:sz w:val="22"/>
          <w:szCs w:val="22"/>
        </w:rPr>
      </w:pPr>
    </w:p>
    <w:p w14:paraId="7D2DBEB6">
      <w:pPr>
        <w:numPr>
          <w:ilvl w:val="0"/>
          <w:numId w:val="10"/>
        </w:numPr>
        <w:ind w:left="950" w:hanging="950" w:hangingChars="432"/>
        <w:rPr>
          <w:rFonts w:ascii="宋体" w:hAnsi="宋体" w:cs="宋体"/>
          <w:sz w:val="22"/>
          <w:szCs w:val="22"/>
        </w:rPr>
      </w:pPr>
      <w:r>
        <w:rPr>
          <w:rFonts w:hint="eastAsia" w:ascii="宋体" w:hAnsi="宋体" w:cs="宋体"/>
          <w:sz w:val="22"/>
          <w:szCs w:val="22"/>
        </w:rPr>
        <w:t>错误的修正</w:t>
      </w:r>
    </w:p>
    <w:p w14:paraId="626F7E6D">
      <w:pPr>
        <w:numPr>
          <w:ilvl w:val="1"/>
          <w:numId w:val="11"/>
        </w:numPr>
        <w:ind w:left="954" w:hanging="954" w:hangingChars="432"/>
        <w:rPr>
          <w:rFonts w:ascii="宋体" w:hAnsi="宋体" w:cs="宋体"/>
          <w:b/>
          <w:bCs/>
          <w:sz w:val="22"/>
          <w:szCs w:val="22"/>
        </w:rPr>
      </w:pPr>
      <w:r>
        <w:rPr>
          <w:rFonts w:hint="eastAsia" w:ascii="宋体" w:hAnsi="宋体" w:cs="宋体"/>
          <w:b/>
          <w:bCs/>
          <w:sz w:val="22"/>
          <w:szCs w:val="22"/>
        </w:rPr>
        <w:t xml:space="preserve">（一）投标文件中开标一览表（报价表）内容与投标文件中相应内容不一致的，以开标一览表（报价表）为准； </w:t>
      </w:r>
    </w:p>
    <w:p w14:paraId="45459E8B">
      <w:pPr>
        <w:numPr>
          <w:ilvl w:val="1"/>
          <w:numId w:val="11"/>
        </w:numPr>
        <w:ind w:left="954" w:hanging="954" w:hangingChars="432"/>
        <w:rPr>
          <w:rFonts w:ascii="宋体" w:hAnsi="宋体" w:cs="宋体"/>
          <w:b/>
          <w:bCs/>
          <w:sz w:val="22"/>
          <w:szCs w:val="22"/>
        </w:rPr>
      </w:pPr>
      <w:r>
        <w:rPr>
          <w:rFonts w:hint="eastAsia" w:ascii="宋体" w:hAnsi="宋体" w:cs="宋体"/>
          <w:b/>
          <w:bCs/>
          <w:sz w:val="22"/>
          <w:szCs w:val="22"/>
        </w:rPr>
        <w:t xml:space="preserve">（二）大写金额和小写金额不一致的，以大写金额为准； </w:t>
      </w:r>
    </w:p>
    <w:p w14:paraId="36987A4E">
      <w:pPr>
        <w:numPr>
          <w:ilvl w:val="1"/>
          <w:numId w:val="11"/>
        </w:numPr>
        <w:ind w:left="954" w:hanging="954" w:hangingChars="432"/>
        <w:rPr>
          <w:rFonts w:ascii="宋体" w:hAnsi="宋体" w:cs="宋体"/>
          <w:b/>
          <w:bCs/>
          <w:sz w:val="22"/>
          <w:szCs w:val="22"/>
        </w:rPr>
      </w:pPr>
      <w:r>
        <w:rPr>
          <w:rFonts w:hint="eastAsia" w:ascii="宋体" w:hAnsi="宋体" w:cs="宋体"/>
          <w:b/>
          <w:bCs/>
          <w:sz w:val="22"/>
          <w:szCs w:val="22"/>
        </w:rPr>
        <w:t xml:space="preserve">（三）单价金额小数点或者百分比有明显错位的，以开标一览表的总价为准，并修改单价； </w:t>
      </w:r>
    </w:p>
    <w:p w14:paraId="58C2F76B">
      <w:pPr>
        <w:numPr>
          <w:ilvl w:val="1"/>
          <w:numId w:val="11"/>
        </w:numPr>
        <w:ind w:left="954" w:hanging="954" w:hangingChars="432"/>
        <w:rPr>
          <w:rFonts w:ascii="宋体" w:hAnsi="宋体" w:cs="宋体"/>
          <w:b/>
          <w:bCs/>
          <w:sz w:val="22"/>
          <w:szCs w:val="22"/>
        </w:rPr>
      </w:pPr>
      <w:r>
        <w:rPr>
          <w:rFonts w:hint="eastAsia" w:ascii="宋体" w:hAnsi="宋体" w:cs="宋体"/>
          <w:b/>
          <w:bCs/>
          <w:sz w:val="22"/>
          <w:szCs w:val="22"/>
        </w:rPr>
        <w:t xml:space="preserve">（四）总价金额与按单价汇总金额不一致的，以单价金额计算结果为准。 </w:t>
      </w:r>
    </w:p>
    <w:p w14:paraId="07037181">
      <w:pPr>
        <w:numPr>
          <w:ilvl w:val="1"/>
          <w:numId w:val="11"/>
        </w:numPr>
        <w:ind w:left="954" w:hanging="954" w:hangingChars="432"/>
        <w:rPr>
          <w:rFonts w:ascii="宋体" w:hAnsi="宋体" w:cs="宋体"/>
          <w:sz w:val="22"/>
          <w:szCs w:val="22"/>
        </w:rPr>
      </w:pPr>
      <w:r>
        <w:rPr>
          <w:rFonts w:hint="eastAsia" w:ascii="宋体" w:hAnsi="宋体" w:cs="宋体"/>
          <w:b/>
          <w:bCs/>
          <w:sz w:val="22"/>
          <w:szCs w:val="22"/>
        </w:rPr>
        <w:t>同时出现两种以上不一致的，按照前款规定的顺序修正。修正后的报价由评标委员会以澄清方式经投标人确认后产生约束力，投标人不确认的，其投标无效。</w:t>
      </w:r>
    </w:p>
    <w:p w14:paraId="2226596A">
      <w:pPr>
        <w:numPr>
          <w:ilvl w:val="0"/>
          <w:numId w:val="10"/>
        </w:numPr>
        <w:ind w:left="950" w:hanging="950" w:hangingChars="432"/>
        <w:rPr>
          <w:rFonts w:ascii="宋体" w:hAnsi="宋体" w:cs="宋体"/>
          <w:sz w:val="22"/>
          <w:szCs w:val="22"/>
        </w:rPr>
      </w:pPr>
      <w:bookmarkStart w:id="202" w:name="_Toc100052401"/>
      <w:r>
        <w:rPr>
          <w:rFonts w:hint="eastAsia" w:ascii="宋体" w:hAnsi="宋体" w:cs="宋体"/>
          <w:sz w:val="22"/>
          <w:szCs w:val="22"/>
        </w:rPr>
        <w:t>投标文件的</w:t>
      </w:r>
      <w:bookmarkEnd w:id="198"/>
      <w:bookmarkEnd w:id="199"/>
      <w:bookmarkEnd w:id="200"/>
      <w:bookmarkEnd w:id="201"/>
      <w:r>
        <w:rPr>
          <w:rFonts w:hint="eastAsia" w:ascii="宋体" w:hAnsi="宋体" w:cs="宋体"/>
          <w:sz w:val="22"/>
          <w:szCs w:val="22"/>
        </w:rPr>
        <w:t>比较与评价</w:t>
      </w:r>
      <w:bookmarkEnd w:id="202"/>
    </w:p>
    <w:p w14:paraId="7F3FB7EB">
      <w:pPr>
        <w:numPr>
          <w:ilvl w:val="1"/>
          <w:numId w:val="11"/>
        </w:numPr>
        <w:ind w:left="950" w:hanging="950" w:hangingChars="432"/>
        <w:rPr>
          <w:rFonts w:ascii="宋体" w:hAnsi="宋体" w:cs="宋体"/>
          <w:sz w:val="22"/>
          <w:szCs w:val="22"/>
        </w:rPr>
      </w:pPr>
      <w:r>
        <w:rPr>
          <w:rFonts w:hint="eastAsia" w:ascii="宋体" w:hAnsi="宋体" w:cs="宋体"/>
          <w:sz w:val="22"/>
          <w:szCs w:val="22"/>
        </w:rPr>
        <w:t>评审委员会将参照《深圳经济特区政府采购条例》及《政府采购货物和服务招标投标管理办法（财政部令第87号）》，参照相关法律、法规、规定，仅对通过资格性审查和符合性审查的投标文件进行综合比较与评价。</w:t>
      </w:r>
    </w:p>
    <w:p w14:paraId="0A38F712">
      <w:pPr>
        <w:ind w:left="907"/>
        <w:rPr>
          <w:rFonts w:ascii="宋体" w:hAnsi="宋体" w:cs="宋体"/>
          <w:sz w:val="22"/>
          <w:szCs w:val="22"/>
        </w:rPr>
      </w:pPr>
    </w:p>
    <w:p w14:paraId="0FFCC2CF">
      <w:pPr>
        <w:numPr>
          <w:ilvl w:val="0"/>
          <w:numId w:val="10"/>
        </w:numPr>
        <w:ind w:left="950" w:hanging="950" w:hangingChars="432"/>
        <w:rPr>
          <w:rFonts w:ascii="宋体" w:hAnsi="宋体" w:cs="宋体"/>
          <w:sz w:val="22"/>
          <w:szCs w:val="22"/>
        </w:rPr>
      </w:pPr>
      <w:r>
        <w:rPr>
          <w:rFonts w:hint="eastAsia" w:ascii="宋体" w:hAnsi="宋体" w:cs="宋体"/>
          <w:sz w:val="22"/>
          <w:szCs w:val="22"/>
        </w:rPr>
        <w:t>实地考察、演示或设备测试</w:t>
      </w:r>
    </w:p>
    <w:p w14:paraId="70DE0C27">
      <w:pPr>
        <w:numPr>
          <w:ilvl w:val="1"/>
          <w:numId w:val="11"/>
        </w:numPr>
        <w:ind w:left="950" w:hanging="950" w:hangingChars="432"/>
        <w:rPr>
          <w:rFonts w:ascii="宋体" w:hAnsi="宋体" w:cs="宋体"/>
          <w:sz w:val="22"/>
          <w:szCs w:val="22"/>
        </w:rPr>
      </w:pPr>
      <w:r>
        <w:rPr>
          <w:rFonts w:hint="eastAsia" w:ascii="宋体" w:hAnsi="宋体" w:cs="宋体"/>
          <w:sz w:val="22"/>
          <w:szCs w:val="22"/>
        </w:rPr>
        <w:t>在招标过程中，评审委员会有权决定是否对本项目投标人进行现场勘察或实地考察或检验有关证明材料的原件。投标人应随时做好接受检查的准备。</w:t>
      </w:r>
    </w:p>
    <w:p w14:paraId="4D1EFB2C">
      <w:pPr>
        <w:numPr>
          <w:ilvl w:val="1"/>
          <w:numId w:val="11"/>
        </w:numPr>
        <w:ind w:left="950" w:hanging="950" w:hangingChars="432"/>
        <w:rPr>
          <w:rFonts w:ascii="宋体" w:hAnsi="宋体" w:cs="宋体"/>
          <w:sz w:val="22"/>
          <w:szCs w:val="22"/>
        </w:rPr>
      </w:pPr>
      <w:r>
        <w:rPr>
          <w:rFonts w:hint="eastAsia" w:ascii="宋体" w:hAnsi="宋体" w:cs="宋体"/>
          <w:sz w:val="22"/>
          <w:szCs w:val="22"/>
        </w:rPr>
        <w:t>若采购文件要求进行现场演示或设备测试的，投标人应做好相应准备。</w:t>
      </w:r>
    </w:p>
    <w:p w14:paraId="0558DA13">
      <w:pPr>
        <w:ind w:left="907"/>
        <w:rPr>
          <w:rFonts w:ascii="宋体" w:hAnsi="宋体" w:cs="宋体"/>
          <w:sz w:val="22"/>
          <w:szCs w:val="22"/>
        </w:rPr>
      </w:pPr>
    </w:p>
    <w:p w14:paraId="0466A8A0">
      <w:pPr>
        <w:numPr>
          <w:ilvl w:val="0"/>
          <w:numId w:val="10"/>
        </w:numPr>
        <w:ind w:left="950" w:hanging="950" w:hangingChars="432"/>
        <w:rPr>
          <w:rFonts w:ascii="宋体" w:hAnsi="宋体" w:cs="宋体"/>
          <w:sz w:val="22"/>
          <w:szCs w:val="22"/>
        </w:rPr>
      </w:pPr>
      <w:bookmarkStart w:id="203" w:name="_Toc100052402"/>
      <w:r>
        <w:rPr>
          <w:rFonts w:hint="eastAsia" w:ascii="宋体" w:hAnsi="宋体" w:cs="宋体"/>
          <w:sz w:val="22"/>
          <w:szCs w:val="22"/>
        </w:rPr>
        <w:t>评标方法</w:t>
      </w:r>
      <w:bookmarkEnd w:id="203"/>
    </w:p>
    <w:p w14:paraId="617B5BA2">
      <w:pPr>
        <w:numPr>
          <w:ilvl w:val="1"/>
          <w:numId w:val="11"/>
        </w:numPr>
        <w:ind w:left="950" w:hanging="950" w:hangingChars="432"/>
        <w:rPr>
          <w:rFonts w:ascii="宋体" w:hAnsi="宋体" w:cs="宋体"/>
          <w:sz w:val="22"/>
          <w:szCs w:val="22"/>
        </w:rPr>
      </w:pPr>
      <w:bookmarkStart w:id="204" w:name="评标方法2"/>
      <w:r>
        <w:rPr>
          <w:rFonts w:hint="eastAsia" w:ascii="宋体" w:hAnsi="宋体" w:cs="宋体"/>
          <w:sz w:val="22"/>
          <w:szCs w:val="22"/>
        </w:rPr>
        <w:t>最低价法</w:t>
      </w:r>
    </w:p>
    <w:p w14:paraId="5BF2CE24">
      <w:pPr>
        <w:numPr>
          <w:ilvl w:val="2"/>
          <w:numId w:val="15"/>
        </w:numPr>
        <w:ind w:left="950" w:hanging="950" w:hangingChars="432"/>
        <w:rPr>
          <w:rFonts w:ascii="宋体" w:hAnsi="宋体" w:cs="宋体"/>
          <w:sz w:val="22"/>
          <w:szCs w:val="22"/>
        </w:rPr>
      </w:pPr>
      <w:r>
        <w:rPr>
          <w:rFonts w:hint="eastAsia" w:ascii="宋体" w:hAnsi="宋体" w:cs="宋体"/>
          <w:sz w:val="22"/>
          <w:szCs w:val="22"/>
        </w:rPr>
        <w:t>最低价法是指以价格因素确定中标候选供应商的评标方法，即在满足采购文件实质性要求前提下，以报价最低的投标供应商作为中标候选供应商或中标供应商的评标方法；</w:t>
      </w:r>
    </w:p>
    <w:p w14:paraId="49CDC785">
      <w:pPr>
        <w:numPr>
          <w:ilvl w:val="1"/>
          <w:numId w:val="11"/>
        </w:numPr>
        <w:ind w:left="950" w:hanging="950" w:hangingChars="432"/>
        <w:rPr>
          <w:rFonts w:ascii="宋体" w:hAnsi="宋体" w:cs="宋体"/>
          <w:sz w:val="22"/>
          <w:szCs w:val="22"/>
        </w:rPr>
      </w:pPr>
      <w:r>
        <w:rPr>
          <w:rFonts w:hint="eastAsia" w:ascii="宋体" w:hAnsi="宋体" w:cs="宋体"/>
          <w:sz w:val="22"/>
          <w:szCs w:val="22"/>
        </w:rPr>
        <w:t>定性评审法</w:t>
      </w:r>
    </w:p>
    <w:p w14:paraId="3204DF64">
      <w:pPr>
        <w:numPr>
          <w:ilvl w:val="2"/>
          <w:numId w:val="15"/>
        </w:numPr>
        <w:rPr>
          <w:rFonts w:ascii="宋体" w:hAnsi="宋体" w:cs="宋体"/>
          <w:sz w:val="22"/>
          <w:szCs w:val="22"/>
        </w:rPr>
      </w:pPr>
      <w:r>
        <w:rPr>
          <w:rFonts w:hint="eastAsia" w:ascii="宋体" w:hAnsi="宋体" w:cs="宋体"/>
          <w:sz w:val="22"/>
          <w:szCs w:val="22"/>
        </w:rPr>
        <w:t>定性评审法是指按照招标文件规定的各项因素进行技术商务定性评审，对各投标文件是否满足招标文件实质性要求提出意见，指出投标文件的优点、缺陷、问题以及签订合同前应注意和澄清的事项，并形成评审报告。所有递交的投标文件不被判定为废标或者无效标的投标人，均推荐为候选中标供应商。</w:t>
      </w:r>
    </w:p>
    <w:p w14:paraId="5BE6CFAA">
      <w:pPr>
        <w:numPr>
          <w:ilvl w:val="1"/>
          <w:numId w:val="11"/>
        </w:numPr>
        <w:ind w:left="950" w:hanging="950" w:hangingChars="432"/>
        <w:rPr>
          <w:rFonts w:ascii="宋体" w:hAnsi="宋体" w:cs="宋体"/>
          <w:sz w:val="22"/>
          <w:szCs w:val="22"/>
        </w:rPr>
      </w:pPr>
      <w:r>
        <w:rPr>
          <w:rFonts w:hint="eastAsia" w:ascii="宋体" w:hAnsi="宋体" w:cs="宋体"/>
          <w:sz w:val="22"/>
          <w:szCs w:val="22"/>
        </w:rPr>
        <w:t>综合评分法</w:t>
      </w:r>
      <w:bookmarkEnd w:id="204"/>
    </w:p>
    <w:p w14:paraId="569EC3B7">
      <w:pPr>
        <w:numPr>
          <w:ilvl w:val="2"/>
          <w:numId w:val="15"/>
        </w:numPr>
        <w:ind w:left="950" w:hanging="950" w:hangingChars="432"/>
        <w:rPr>
          <w:rFonts w:ascii="宋体" w:hAnsi="宋体" w:cs="宋体"/>
          <w:sz w:val="22"/>
          <w:szCs w:val="22"/>
        </w:rPr>
      </w:pPr>
      <w:bookmarkStart w:id="205" w:name="评标方法3"/>
      <w:r>
        <w:rPr>
          <w:rFonts w:hint="eastAsia" w:ascii="宋体" w:hAnsi="宋体" w:cs="宋体"/>
          <w:sz w:val="22"/>
          <w:szCs w:val="22"/>
        </w:rPr>
        <w:t>综合评分法是指在最大限度地满足采购文件实质性要求前提下，按照采购文件中规定的各项因素进行量化打分，以评标总得分最高的投标供应商作为中标候选供应商或中标供应商的评标方法。</w:t>
      </w:r>
    </w:p>
    <w:p w14:paraId="3D4D2BE9">
      <w:pPr>
        <w:numPr>
          <w:ilvl w:val="1"/>
          <w:numId w:val="11"/>
        </w:numPr>
        <w:ind w:left="950" w:hanging="950" w:hangingChars="432"/>
        <w:rPr>
          <w:rFonts w:ascii="宋体" w:hAnsi="宋体" w:cs="宋体"/>
          <w:sz w:val="22"/>
          <w:szCs w:val="22"/>
        </w:rPr>
      </w:pPr>
      <w:r>
        <w:rPr>
          <w:rFonts w:hint="eastAsia" w:ascii="宋体" w:hAnsi="宋体" w:cs="宋体"/>
          <w:sz w:val="22"/>
          <w:szCs w:val="22"/>
        </w:rPr>
        <w:t>以评定分离的项目参照《深圳市政府采购评标定标分离管理暂行办法》设置评标方法。</w:t>
      </w:r>
    </w:p>
    <w:p w14:paraId="59BDB791">
      <w:pPr>
        <w:numPr>
          <w:ilvl w:val="1"/>
          <w:numId w:val="11"/>
        </w:numPr>
        <w:ind w:left="950" w:hanging="950" w:hangingChars="432"/>
        <w:rPr>
          <w:rFonts w:ascii="宋体" w:hAnsi="宋体" w:cs="宋体"/>
          <w:sz w:val="22"/>
          <w:szCs w:val="22"/>
        </w:rPr>
      </w:pPr>
      <w:r>
        <w:rPr>
          <w:rFonts w:hint="eastAsia" w:ascii="宋体" w:hAnsi="宋体" w:cs="宋体"/>
          <w:sz w:val="22"/>
          <w:szCs w:val="22"/>
        </w:rPr>
        <w:t>其他评标方法根据主管部门相关规定执行。</w:t>
      </w:r>
    </w:p>
    <w:p w14:paraId="6B7339D4">
      <w:pPr>
        <w:numPr>
          <w:ilvl w:val="1"/>
          <w:numId w:val="11"/>
        </w:numPr>
        <w:ind w:left="950" w:hanging="950" w:hangingChars="432"/>
        <w:rPr>
          <w:rFonts w:ascii="宋体" w:hAnsi="宋体" w:cs="宋体"/>
          <w:sz w:val="22"/>
          <w:szCs w:val="22"/>
        </w:rPr>
      </w:pPr>
      <w:r>
        <w:rPr>
          <w:rFonts w:hint="eastAsia" w:ascii="宋体" w:hAnsi="宋体" w:cs="宋体"/>
          <w:sz w:val="22"/>
          <w:szCs w:val="22"/>
        </w:rPr>
        <w:t>本项目采用的评标方法</w:t>
      </w:r>
      <w:bookmarkEnd w:id="205"/>
      <w:r>
        <w:rPr>
          <w:rFonts w:hint="eastAsia" w:ascii="宋体" w:hAnsi="宋体" w:cs="宋体"/>
          <w:sz w:val="22"/>
          <w:szCs w:val="22"/>
        </w:rPr>
        <w:t>详见采购文件关键信息的相关内容。</w:t>
      </w:r>
    </w:p>
    <w:p w14:paraId="2D56B66A">
      <w:r>
        <w:br w:type="page"/>
      </w:r>
    </w:p>
    <w:p w14:paraId="22608735"/>
    <w:p w14:paraId="41101ED4"/>
    <w:p w14:paraId="5B503D82"/>
    <w:p w14:paraId="79F8BFD0"/>
    <w:p w14:paraId="65306D71"/>
    <w:p w14:paraId="56DEADD5"/>
    <w:p w14:paraId="33E8EBBD"/>
    <w:p w14:paraId="1311E02A"/>
    <w:p w14:paraId="267F55A2"/>
    <w:p w14:paraId="5EB7E138"/>
    <w:p w14:paraId="104AB53C"/>
    <w:p w14:paraId="1AA205FD"/>
    <w:p w14:paraId="24E657D0"/>
    <w:p w14:paraId="02B1CF0F"/>
    <w:p w14:paraId="659CE3E8"/>
    <w:p w14:paraId="788FF51C">
      <w:pPr>
        <w:pStyle w:val="5"/>
        <w:rPr>
          <w:szCs w:val="28"/>
        </w:rPr>
      </w:pPr>
      <w:r>
        <w:rPr>
          <w:b w:val="0"/>
          <w:bCs/>
          <w:kern w:val="28"/>
          <w:sz w:val="44"/>
          <w:szCs w:val="44"/>
        </w:rPr>
        <w:t>第八章  定标及公示</w:t>
      </w:r>
      <w:r>
        <w:rPr>
          <w:b w:val="0"/>
          <w:bCs/>
          <w:kern w:val="28"/>
          <w:sz w:val="44"/>
          <w:szCs w:val="44"/>
        </w:rPr>
        <w:br w:type="page"/>
      </w:r>
    </w:p>
    <w:p w14:paraId="6724A742"/>
    <w:p w14:paraId="6E506372">
      <w:pPr>
        <w:numPr>
          <w:ilvl w:val="0"/>
          <w:numId w:val="10"/>
        </w:numPr>
        <w:ind w:left="950" w:hanging="950" w:hangingChars="432"/>
        <w:rPr>
          <w:rFonts w:ascii="宋体" w:hAnsi="宋体" w:cs="宋体"/>
          <w:sz w:val="22"/>
          <w:szCs w:val="22"/>
        </w:rPr>
      </w:pPr>
      <w:r>
        <w:rPr>
          <w:rFonts w:hint="eastAsia" w:ascii="宋体" w:hAnsi="宋体" w:cs="宋体"/>
          <w:sz w:val="22"/>
          <w:szCs w:val="22"/>
        </w:rPr>
        <w:t>定标方法</w:t>
      </w:r>
    </w:p>
    <w:p w14:paraId="39CD4530">
      <w:pPr>
        <w:numPr>
          <w:ilvl w:val="1"/>
          <w:numId w:val="11"/>
        </w:numPr>
        <w:ind w:left="950" w:hanging="950" w:hangingChars="432"/>
        <w:rPr>
          <w:rFonts w:ascii="宋体" w:hAnsi="宋体" w:cs="宋体"/>
          <w:sz w:val="22"/>
          <w:szCs w:val="22"/>
        </w:rPr>
      </w:pPr>
      <w:r>
        <w:rPr>
          <w:rFonts w:hint="eastAsia" w:ascii="宋体" w:hAnsi="宋体" w:cs="宋体"/>
          <w:sz w:val="22"/>
          <w:szCs w:val="22"/>
        </w:rPr>
        <w:t>评审委员会依据本项目采购文件所约定的评标方法进行评审和比较，向政府采购代理机构提交书面评标报告，并根据评标方法比较评价结果从优到劣进行排序，并推荐中标候选人或确定中标供应商；</w:t>
      </w:r>
    </w:p>
    <w:p w14:paraId="77F14666">
      <w:pPr>
        <w:numPr>
          <w:ilvl w:val="1"/>
          <w:numId w:val="11"/>
        </w:numPr>
        <w:ind w:left="950" w:hanging="950" w:hangingChars="432"/>
        <w:rPr>
          <w:rFonts w:ascii="宋体" w:hAnsi="宋体" w:cs="宋体"/>
          <w:sz w:val="22"/>
          <w:szCs w:val="22"/>
        </w:rPr>
      </w:pPr>
      <w:r>
        <w:rPr>
          <w:rFonts w:hint="eastAsia" w:ascii="宋体" w:hAnsi="宋体" w:cs="宋体"/>
          <w:sz w:val="22"/>
          <w:szCs w:val="22"/>
        </w:rPr>
        <w:t>采用最低评标价法的，按投标报价由低到高顺序排列，投标报价相同的，按技术指标优劣顺序排列。评审委员会认为，排在前面的供应商的最低投标报价或者某些分项报价明显不合理或者低于成本，有可能影响商品质量和不能诚信履约的，应当要求其在规定的期限内提供书面文件予以解释说明，并提交相关证明材料；否则，评审委员会可以取消该投标供应商的中标资格，按顺序由排在后面的供应商递补，以此类推。对是否满足实质性要求或报价是否合理或是否低于成本，评委会意见不一致时，按少数服从多数原则作出决定。</w:t>
      </w:r>
    </w:p>
    <w:p w14:paraId="2CF61F63">
      <w:pPr>
        <w:numPr>
          <w:ilvl w:val="1"/>
          <w:numId w:val="11"/>
        </w:numPr>
        <w:ind w:left="950" w:hanging="950" w:hangingChars="432"/>
        <w:rPr>
          <w:rFonts w:ascii="宋体" w:hAnsi="宋体" w:cs="宋体"/>
          <w:sz w:val="22"/>
          <w:szCs w:val="22"/>
        </w:rPr>
      </w:pPr>
      <w:r>
        <w:rPr>
          <w:rFonts w:hint="eastAsia" w:ascii="宋体" w:hAnsi="宋体" w:cs="宋体"/>
          <w:sz w:val="22"/>
          <w:szCs w:val="22"/>
        </w:rPr>
        <w:t>采用综合评分法的，按评审后得分由高到低顺序排列。得分相同的，按投标报价由低到高顺序排列。得分且投标报价相同的，按技术指标优劣顺序排列。</w:t>
      </w:r>
    </w:p>
    <w:p w14:paraId="7E180022">
      <w:pPr>
        <w:numPr>
          <w:ilvl w:val="1"/>
          <w:numId w:val="11"/>
        </w:numPr>
        <w:ind w:left="950" w:hanging="950" w:hangingChars="432"/>
        <w:rPr>
          <w:rFonts w:ascii="宋体" w:hAnsi="宋体" w:cs="宋体"/>
          <w:sz w:val="22"/>
          <w:szCs w:val="22"/>
        </w:rPr>
      </w:pPr>
      <w:r>
        <w:rPr>
          <w:rFonts w:hint="eastAsia" w:ascii="宋体" w:hAnsi="宋体" w:cs="宋体"/>
          <w:sz w:val="22"/>
          <w:szCs w:val="22"/>
        </w:rPr>
        <w:t>采用性价比法的，按商数得分由高到低顺序排列。商数得分相同的，按投标报价由低到高顺序排列。商数得分且投标报价相同的，按技术指标优劣顺序排列。</w:t>
      </w:r>
    </w:p>
    <w:p w14:paraId="3985B5A9">
      <w:pPr>
        <w:numPr>
          <w:ilvl w:val="1"/>
          <w:numId w:val="11"/>
        </w:numPr>
        <w:ind w:left="950" w:hanging="950" w:hangingChars="432"/>
        <w:rPr>
          <w:rFonts w:ascii="宋体" w:hAnsi="宋体" w:cs="宋体"/>
          <w:sz w:val="22"/>
          <w:szCs w:val="22"/>
        </w:rPr>
      </w:pPr>
      <w:r>
        <w:rPr>
          <w:rFonts w:hint="eastAsia" w:ascii="宋体" w:hAnsi="宋体" w:cs="宋体"/>
          <w:sz w:val="22"/>
          <w:szCs w:val="22"/>
        </w:rPr>
        <w:t>本项目采用的定标方法详见采购文件关键信息的相关内容。</w:t>
      </w:r>
    </w:p>
    <w:p w14:paraId="61300293">
      <w:pPr>
        <w:ind w:left="907"/>
        <w:rPr>
          <w:rFonts w:ascii="宋体" w:hAnsi="宋体" w:cs="宋体"/>
          <w:sz w:val="22"/>
          <w:szCs w:val="22"/>
        </w:rPr>
      </w:pPr>
    </w:p>
    <w:p w14:paraId="0D149E14">
      <w:pPr>
        <w:numPr>
          <w:ilvl w:val="0"/>
          <w:numId w:val="10"/>
        </w:numPr>
        <w:ind w:left="950" w:hanging="950" w:hangingChars="432"/>
        <w:rPr>
          <w:rFonts w:ascii="宋体" w:hAnsi="宋体" w:cs="宋体"/>
          <w:sz w:val="22"/>
          <w:szCs w:val="22"/>
        </w:rPr>
      </w:pPr>
      <w:bookmarkStart w:id="206" w:name="_Toc100052404"/>
      <w:r>
        <w:rPr>
          <w:rFonts w:hint="eastAsia" w:ascii="宋体" w:hAnsi="宋体" w:cs="宋体"/>
          <w:sz w:val="22"/>
          <w:szCs w:val="22"/>
        </w:rPr>
        <w:t>编写评标报告</w:t>
      </w:r>
      <w:bookmarkEnd w:id="206"/>
    </w:p>
    <w:p w14:paraId="1E667C15">
      <w:pPr>
        <w:numPr>
          <w:ilvl w:val="1"/>
          <w:numId w:val="11"/>
        </w:numPr>
        <w:ind w:left="950" w:hanging="950" w:hangingChars="432"/>
        <w:rPr>
          <w:rFonts w:ascii="宋体" w:hAnsi="宋体" w:cs="宋体"/>
          <w:sz w:val="22"/>
          <w:szCs w:val="22"/>
        </w:rPr>
      </w:pPr>
      <w:r>
        <w:rPr>
          <w:rFonts w:hint="eastAsia" w:ascii="宋体" w:hAnsi="宋体" w:cs="宋体"/>
          <w:sz w:val="22"/>
          <w:szCs w:val="22"/>
        </w:rPr>
        <w:t>评标报告是评审委员会根据全体评标成员签字的原始评标记录和评标结果编写的报告，评标报告由评审委员会全体成员签字。对评标结论持有异议的评审委员会成员可以书面方式阐述其不同意见和理由。评审委员会成员拒绝在评标报告上签字且不陈述其不同意见和理由的，视为同意评标结论。评审委员会应当对此作出书面说明并记录在案。</w:t>
      </w:r>
    </w:p>
    <w:p w14:paraId="3D082EBD">
      <w:pPr>
        <w:ind w:left="907"/>
        <w:rPr>
          <w:rFonts w:ascii="宋体" w:hAnsi="宋体" w:cs="宋体"/>
          <w:sz w:val="22"/>
          <w:szCs w:val="22"/>
        </w:rPr>
      </w:pPr>
    </w:p>
    <w:p w14:paraId="3D59A03B">
      <w:pPr>
        <w:numPr>
          <w:ilvl w:val="0"/>
          <w:numId w:val="10"/>
        </w:numPr>
        <w:ind w:left="950" w:hanging="950" w:hangingChars="432"/>
        <w:rPr>
          <w:rFonts w:ascii="宋体" w:hAnsi="宋体" w:cs="宋体"/>
          <w:sz w:val="22"/>
          <w:szCs w:val="22"/>
        </w:rPr>
      </w:pPr>
      <w:bookmarkStart w:id="207" w:name="_Toc100052405"/>
      <w:bookmarkStart w:id="208" w:name="_Toc73518159"/>
      <w:bookmarkStart w:id="209" w:name="_Toc73521588"/>
      <w:bookmarkStart w:id="210" w:name="_Toc73521676"/>
      <w:bookmarkStart w:id="211" w:name="_Toc73517681"/>
      <w:r>
        <w:rPr>
          <w:rFonts w:hint="eastAsia" w:ascii="宋体" w:hAnsi="宋体" w:cs="宋体"/>
          <w:sz w:val="22"/>
          <w:szCs w:val="22"/>
        </w:rPr>
        <w:t>中标公告</w:t>
      </w:r>
      <w:bookmarkEnd w:id="207"/>
    </w:p>
    <w:p w14:paraId="05DDA00D">
      <w:pPr>
        <w:numPr>
          <w:ilvl w:val="1"/>
          <w:numId w:val="11"/>
        </w:numPr>
        <w:ind w:left="950" w:hanging="950" w:hangingChars="432"/>
        <w:rPr>
          <w:rFonts w:ascii="宋体" w:hAnsi="宋体" w:cs="宋体"/>
          <w:sz w:val="22"/>
          <w:szCs w:val="22"/>
        </w:rPr>
      </w:pPr>
      <w:r>
        <w:rPr>
          <w:rFonts w:hint="eastAsia" w:ascii="宋体" w:hAnsi="宋体" w:cs="宋体"/>
          <w:sz w:val="22"/>
          <w:szCs w:val="22"/>
        </w:rPr>
        <w:t>为体现“公开、公平、公正”的原则，评标结束后，政府采购代理机构将在“深圳市东海国际招标有限公司官网(http：//www.szdhit.com)”及其他指定媒体上发布中标结果公告，公示期为三日。供应商如对评标结果有异议，请于公示期内，以书面或网上形式向采购代理机构反映。若在公示期内未提出异议，则视为认同该评标结果。</w:t>
      </w:r>
    </w:p>
    <w:p w14:paraId="7B65A8C5">
      <w:pPr>
        <w:numPr>
          <w:ilvl w:val="1"/>
          <w:numId w:val="11"/>
        </w:numPr>
        <w:ind w:left="950" w:hanging="950" w:hangingChars="432"/>
        <w:rPr>
          <w:rFonts w:ascii="宋体" w:hAnsi="宋体" w:cs="宋体"/>
          <w:sz w:val="22"/>
          <w:szCs w:val="22"/>
        </w:rPr>
      </w:pPr>
      <w:r>
        <w:rPr>
          <w:rFonts w:hint="eastAsia" w:ascii="宋体" w:hAnsi="宋体" w:cs="宋体"/>
          <w:sz w:val="22"/>
          <w:szCs w:val="22"/>
        </w:rPr>
        <w:t>质疑投诉人应保证质疑投诉内容的真实性和可靠性，并承担相应的法律责任。</w:t>
      </w:r>
    </w:p>
    <w:p w14:paraId="6216D6A9">
      <w:pPr>
        <w:ind w:left="907"/>
        <w:rPr>
          <w:rFonts w:ascii="宋体" w:hAnsi="宋体" w:cs="宋体"/>
          <w:sz w:val="22"/>
          <w:szCs w:val="22"/>
        </w:rPr>
      </w:pPr>
    </w:p>
    <w:p w14:paraId="74E77B44">
      <w:pPr>
        <w:numPr>
          <w:ilvl w:val="0"/>
          <w:numId w:val="10"/>
        </w:numPr>
        <w:ind w:left="950" w:hanging="950" w:hangingChars="432"/>
        <w:rPr>
          <w:rFonts w:ascii="宋体" w:hAnsi="宋体" w:cs="宋体"/>
          <w:sz w:val="22"/>
          <w:szCs w:val="22"/>
        </w:rPr>
      </w:pPr>
      <w:bookmarkStart w:id="212" w:name="_Toc100052406"/>
      <w:r>
        <w:rPr>
          <w:rFonts w:hint="eastAsia" w:ascii="宋体" w:hAnsi="宋体" w:cs="宋体"/>
          <w:sz w:val="22"/>
          <w:szCs w:val="22"/>
        </w:rPr>
        <w:t>中标通知书</w:t>
      </w:r>
      <w:bookmarkEnd w:id="212"/>
    </w:p>
    <w:bookmarkEnd w:id="208"/>
    <w:bookmarkEnd w:id="209"/>
    <w:bookmarkEnd w:id="210"/>
    <w:bookmarkEnd w:id="211"/>
    <w:p w14:paraId="6FA20E00">
      <w:pPr>
        <w:numPr>
          <w:ilvl w:val="1"/>
          <w:numId w:val="11"/>
        </w:numPr>
        <w:ind w:left="950" w:hanging="950" w:hangingChars="432"/>
        <w:rPr>
          <w:rFonts w:ascii="宋体" w:hAnsi="宋体" w:cs="宋体"/>
          <w:sz w:val="22"/>
          <w:szCs w:val="22"/>
        </w:rPr>
      </w:pPr>
      <w:r>
        <w:rPr>
          <w:rFonts w:hint="eastAsia" w:ascii="宋体" w:hAnsi="宋体" w:cs="宋体"/>
          <w:sz w:val="22"/>
          <w:szCs w:val="22"/>
        </w:rPr>
        <w:t>中标公告公布以后，公示期内无人质疑投诉，采购代理机构将向中标人发出《中标通知书》。中标人领取中标通知书前须缴纳服务费。</w:t>
      </w:r>
    </w:p>
    <w:p w14:paraId="34FA12B4">
      <w:pPr>
        <w:numPr>
          <w:ilvl w:val="1"/>
          <w:numId w:val="11"/>
        </w:numPr>
        <w:ind w:left="950" w:hanging="950" w:hangingChars="432"/>
        <w:rPr>
          <w:rFonts w:ascii="宋体" w:hAnsi="宋体" w:cs="宋体"/>
          <w:sz w:val="22"/>
          <w:szCs w:val="22"/>
        </w:rPr>
      </w:pPr>
      <w:r>
        <w:rPr>
          <w:rFonts w:hint="eastAsia" w:ascii="宋体" w:hAnsi="宋体" w:cs="宋体"/>
          <w:sz w:val="22"/>
          <w:szCs w:val="22"/>
        </w:rPr>
        <w:t>中标通知书是合同的重要组成部分。</w:t>
      </w:r>
    </w:p>
    <w:p w14:paraId="0FEF7EE9">
      <w:pPr>
        <w:numPr>
          <w:ilvl w:val="1"/>
          <w:numId w:val="11"/>
        </w:numPr>
        <w:ind w:left="950" w:hanging="950" w:hangingChars="432"/>
        <w:rPr>
          <w:rFonts w:ascii="宋体" w:hAnsi="宋体" w:cs="宋体"/>
          <w:sz w:val="22"/>
          <w:szCs w:val="22"/>
        </w:rPr>
      </w:pPr>
      <w:r>
        <w:rPr>
          <w:rFonts w:hint="eastAsia" w:ascii="宋体" w:hAnsi="宋体" w:cs="宋体"/>
          <w:sz w:val="22"/>
          <w:szCs w:val="22"/>
        </w:rPr>
        <w:t>因质疑投诉或其它原因导致项目结果变更或采购终止的，采购代理机构有权收回中标通知书或终止采购合同。</w:t>
      </w:r>
    </w:p>
    <w:p w14:paraId="0C41F6C4">
      <w:bookmarkStart w:id="213" w:name="bt合同的授予"/>
      <w:bookmarkEnd w:id="213"/>
      <w:bookmarkStart w:id="214" w:name="_Toc73518156"/>
      <w:bookmarkStart w:id="215" w:name="_Toc100052407"/>
      <w:bookmarkStart w:id="216" w:name="_Toc101074884"/>
      <w:bookmarkStart w:id="217" w:name="_Toc73517678"/>
    </w:p>
    <w:p w14:paraId="7ABDBE26">
      <w:r>
        <w:br w:type="page"/>
      </w:r>
    </w:p>
    <w:p w14:paraId="2FAEB033"/>
    <w:p w14:paraId="65A35A6F"/>
    <w:p w14:paraId="339B4615"/>
    <w:p w14:paraId="63D1EB36"/>
    <w:p w14:paraId="5074D116"/>
    <w:p w14:paraId="71F21CD2"/>
    <w:p w14:paraId="2330E772"/>
    <w:p w14:paraId="1E3CD68A"/>
    <w:p w14:paraId="043AE11B"/>
    <w:p w14:paraId="4878A1A7"/>
    <w:p w14:paraId="41A146CA"/>
    <w:p w14:paraId="70F10D12"/>
    <w:p w14:paraId="728925C5"/>
    <w:p w14:paraId="312AF934"/>
    <w:p w14:paraId="152BD263"/>
    <w:p w14:paraId="7E382400">
      <w:pPr>
        <w:pStyle w:val="5"/>
        <w:rPr>
          <w:szCs w:val="28"/>
        </w:rPr>
      </w:pPr>
      <w:r>
        <w:rPr>
          <w:b w:val="0"/>
          <w:bCs/>
          <w:kern w:val="28"/>
          <w:sz w:val="44"/>
          <w:szCs w:val="44"/>
        </w:rPr>
        <w:t>第九章  公开招标失败的后续处理</w:t>
      </w:r>
      <w:r>
        <w:rPr>
          <w:b w:val="0"/>
          <w:bCs/>
          <w:kern w:val="28"/>
          <w:sz w:val="44"/>
          <w:szCs w:val="44"/>
        </w:rPr>
        <w:br w:type="page"/>
      </w:r>
    </w:p>
    <w:p w14:paraId="4446B8C8"/>
    <w:p w14:paraId="2BBACE50">
      <w:pPr>
        <w:numPr>
          <w:ilvl w:val="0"/>
          <w:numId w:val="10"/>
        </w:numPr>
        <w:spacing w:line="360" w:lineRule="auto"/>
        <w:rPr>
          <w:rFonts w:ascii="宋体" w:hAnsi="宋体" w:cs="宋体"/>
          <w:sz w:val="22"/>
          <w:szCs w:val="22"/>
        </w:rPr>
      </w:pPr>
      <w:r>
        <w:rPr>
          <w:rFonts w:hint="eastAsia" w:ascii="宋体" w:hAnsi="宋体" w:cs="宋体"/>
          <w:sz w:val="22"/>
          <w:szCs w:val="22"/>
        </w:rPr>
        <w:t>公开招标失败的处理</w:t>
      </w:r>
    </w:p>
    <w:p w14:paraId="1BFBED27">
      <w:pPr>
        <w:numPr>
          <w:ilvl w:val="1"/>
          <w:numId w:val="11"/>
        </w:numPr>
        <w:ind w:left="950" w:hanging="950" w:hangingChars="432"/>
        <w:rPr>
          <w:rFonts w:ascii="宋体" w:hAnsi="宋体" w:cs="宋体"/>
          <w:sz w:val="22"/>
          <w:szCs w:val="22"/>
        </w:rPr>
      </w:pPr>
      <w:r>
        <w:rPr>
          <w:rFonts w:hint="eastAsia" w:ascii="宋体" w:hAnsi="宋体" w:cs="宋体"/>
          <w:sz w:val="22"/>
          <w:szCs w:val="22"/>
        </w:rPr>
        <w:t>本项目公开招标过程中若由于投标截止后实际递交投标文件的供应商数量不足、经评审委员会评审对采购文件作实质响应的供应商不足等原因造成公开招标失败，可由政府采购代理机构重新组织采购。</w:t>
      </w:r>
    </w:p>
    <w:p w14:paraId="49BF4191">
      <w:pPr>
        <w:numPr>
          <w:ilvl w:val="1"/>
          <w:numId w:val="11"/>
        </w:numPr>
        <w:ind w:left="950" w:hanging="950" w:hangingChars="432"/>
        <w:rPr>
          <w:rFonts w:ascii="宋体" w:hAnsi="宋体" w:cs="宋体"/>
          <w:sz w:val="22"/>
          <w:szCs w:val="22"/>
        </w:rPr>
      </w:pPr>
      <w:r>
        <w:rPr>
          <w:rFonts w:hint="eastAsia" w:ascii="宋体" w:hAnsi="宋体" w:cs="宋体"/>
          <w:sz w:val="22"/>
          <w:szCs w:val="22"/>
        </w:rPr>
        <w:t>对公开招标失败的项目，评审委员会在出具该项目招标失败结论的同时，提出重新采购组织形式的建议，以及进一步完善采购文件的资格、技术、商务要求的修改建议。</w:t>
      </w:r>
    </w:p>
    <w:p w14:paraId="4DCB5DAF">
      <w:pPr>
        <w:numPr>
          <w:ilvl w:val="1"/>
          <w:numId w:val="11"/>
        </w:numPr>
        <w:ind w:left="950" w:hanging="950" w:hangingChars="432"/>
        <w:rPr>
          <w:rFonts w:ascii="宋体" w:hAnsi="宋体" w:cs="宋体"/>
          <w:sz w:val="22"/>
          <w:szCs w:val="22"/>
        </w:rPr>
      </w:pPr>
      <w:r>
        <w:rPr>
          <w:rFonts w:hint="eastAsia" w:ascii="宋体" w:hAnsi="宋体" w:cs="宋体"/>
          <w:sz w:val="22"/>
          <w:szCs w:val="22"/>
        </w:rPr>
        <w:t>重新组织采购有以下两种组织形式：</w:t>
      </w:r>
    </w:p>
    <w:p w14:paraId="777A5BCE">
      <w:pPr>
        <w:numPr>
          <w:ilvl w:val="2"/>
          <w:numId w:val="15"/>
        </w:numPr>
        <w:rPr>
          <w:rFonts w:ascii="宋体" w:hAnsi="宋体" w:cs="宋体"/>
          <w:sz w:val="22"/>
          <w:szCs w:val="22"/>
        </w:rPr>
      </w:pPr>
      <w:r>
        <w:rPr>
          <w:rFonts w:hint="eastAsia" w:ascii="宋体" w:hAnsi="宋体" w:cs="宋体"/>
          <w:sz w:val="22"/>
          <w:szCs w:val="22"/>
        </w:rPr>
        <w:t>由政府采购代理机构重新组织公开招标；</w:t>
      </w:r>
    </w:p>
    <w:p w14:paraId="475DDCEC">
      <w:pPr>
        <w:numPr>
          <w:ilvl w:val="2"/>
          <w:numId w:val="15"/>
        </w:numPr>
        <w:rPr>
          <w:rFonts w:ascii="宋体" w:hAnsi="宋体" w:cs="宋体"/>
          <w:sz w:val="22"/>
          <w:szCs w:val="22"/>
        </w:rPr>
      </w:pPr>
      <w:r>
        <w:rPr>
          <w:rFonts w:hint="eastAsia" w:ascii="宋体" w:hAnsi="宋体" w:cs="宋体"/>
          <w:sz w:val="22"/>
          <w:szCs w:val="22"/>
        </w:rPr>
        <w:t>根据实际情况需要向政府采购监督管理部门提出非公开招标方式申请，经政府采购监督管理部门批准公开招标失败采购项目可转为竞争性谈判或单一来源谈判方式采购。</w:t>
      </w:r>
    </w:p>
    <w:p w14:paraId="6C3CDADE">
      <w:pPr>
        <w:numPr>
          <w:ilvl w:val="1"/>
          <w:numId w:val="11"/>
        </w:numPr>
        <w:ind w:left="950" w:hanging="950" w:hangingChars="432"/>
        <w:rPr>
          <w:rFonts w:ascii="宋体" w:hAnsi="宋体" w:cs="宋体"/>
          <w:sz w:val="22"/>
          <w:szCs w:val="22"/>
        </w:rPr>
      </w:pPr>
      <w:r>
        <w:rPr>
          <w:rFonts w:hint="eastAsia" w:ascii="宋体" w:hAnsi="宋体" w:cs="宋体"/>
          <w:sz w:val="22"/>
          <w:szCs w:val="22"/>
        </w:rPr>
        <w:t>公开招标失败的采购项目重新组织公开招标，政府采购代理机构要重新按公开招标流程发布采购公告和采购文件、组成评审委员会等组织采购活动。</w:t>
      </w:r>
    </w:p>
    <w:p w14:paraId="79FA9308">
      <w:pPr>
        <w:numPr>
          <w:ilvl w:val="1"/>
          <w:numId w:val="11"/>
        </w:numPr>
        <w:ind w:left="950" w:hanging="950" w:hangingChars="432"/>
        <w:rPr>
          <w:rFonts w:ascii="宋体" w:hAnsi="宋体" w:cs="宋体"/>
          <w:sz w:val="22"/>
          <w:szCs w:val="22"/>
        </w:rPr>
      </w:pPr>
      <w:r>
        <w:rPr>
          <w:rFonts w:hint="eastAsia" w:ascii="宋体" w:hAnsi="宋体" w:cs="宋体"/>
          <w:sz w:val="22"/>
          <w:szCs w:val="22"/>
        </w:rPr>
        <w:t>公开招标失败的采购项目经政府采购监督管理部门批准转为竞争性谈判或单一来源谈判方式采购的，可不另行制作谈判文件，政府采购代理机构可就原采购文件中资格、技术及评标方法等变动情况向拟谈判对象发出谈判邀请。谈判邀请文件与原采购文件具同等效力，变动部分以谈判邀请文件为准。转为竞争性谈判或单一来源谈判方式采购的，供应商的原投标文件转为谈判应答文件。</w:t>
      </w:r>
    </w:p>
    <w:p w14:paraId="11F29ADC">
      <w:pPr>
        <w:ind w:left="907"/>
        <w:rPr>
          <w:rFonts w:ascii="宋体" w:hAnsi="宋体" w:cs="宋体"/>
          <w:sz w:val="22"/>
          <w:szCs w:val="22"/>
        </w:rPr>
      </w:pPr>
    </w:p>
    <w:p w14:paraId="62B23991">
      <w:pPr>
        <w:numPr>
          <w:ilvl w:val="0"/>
          <w:numId w:val="10"/>
        </w:numPr>
        <w:rPr>
          <w:rFonts w:ascii="宋体" w:hAnsi="宋体" w:cs="宋体"/>
          <w:sz w:val="22"/>
          <w:szCs w:val="22"/>
        </w:rPr>
      </w:pPr>
      <w:r>
        <w:rPr>
          <w:rFonts w:hint="eastAsia" w:ascii="宋体" w:hAnsi="宋体" w:cs="宋体"/>
          <w:sz w:val="22"/>
          <w:szCs w:val="22"/>
        </w:rPr>
        <w:t>公开招标失败项目转为竞争性谈判方式采购的</w:t>
      </w:r>
    </w:p>
    <w:p w14:paraId="1CD74329">
      <w:pPr>
        <w:numPr>
          <w:ilvl w:val="1"/>
          <w:numId w:val="11"/>
        </w:numPr>
        <w:ind w:left="950" w:hanging="950" w:hangingChars="432"/>
        <w:rPr>
          <w:rFonts w:ascii="宋体" w:hAnsi="宋体" w:cs="宋体"/>
          <w:sz w:val="22"/>
          <w:szCs w:val="22"/>
        </w:rPr>
      </w:pPr>
      <w:r>
        <w:rPr>
          <w:rFonts w:hint="eastAsia" w:ascii="宋体" w:hAnsi="宋体" w:cs="宋体"/>
          <w:sz w:val="22"/>
          <w:szCs w:val="22"/>
        </w:rPr>
        <w:t>谈判文件</w:t>
      </w:r>
    </w:p>
    <w:p w14:paraId="1667A466">
      <w:pPr>
        <w:numPr>
          <w:ilvl w:val="2"/>
          <w:numId w:val="15"/>
        </w:numPr>
        <w:rPr>
          <w:rFonts w:ascii="宋体" w:hAnsi="宋体" w:cs="宋体"/>
          <w:sz w:val="22"/>
          <w:szCs w:val="22"/>
        </w:rPr>
      </w:pPr>
      <w:r>
        <w:rPr>
          <w:rFonts w:hint="eastAsia" w:ascii="宋体" w:hAnsi="宋体" w:cs="宋体"/>
          <w:sz w:val="22"/>
          <w:szCs w:val="22"/>
        </w:rPr>
        <w:t>公开招标失败项目转为竞争性谈判方式采购的，原采购文件转为谈判文件。</w:t>
      </w:r>
    </w:p>
    <w:p w14:paraId="1B02D7D8">
      <w:pPr>
        <w:numPr>
          <w:ilvl w:val="1"/>
          <w:numId w:val="11"/>
        </w:numPr>
        <w:ind w:left="950" w:hanging="950" w:hangingChars="432"/>
        <w:rPr>
          <w:rFonts w:ascii="宋体" w:hAnsi="宋体" w:cs="宋体"/>
          <w:sz w:val="22"/>
          <w:szCs w:val="22"/>
        </w:rPr>
      </w:pPr>
      <w:r>
        <w:rPr>
          <w:rFonts w:hint="eastAsia" w:ascii="宋体" w:hAnsi="宋体" w:cs="宋体"/>
          <w:sz w:val="22"/>
          <w:szCs w:val="22"/>
        </w:rPr>
        <w:t>谈判小组</w:t>
      </w:r>
    </w:p>
    <w:p w14:paraId="4C277B26">
      <w:pPr>
        <w:numPr>
          <w:ilvl w:val="2"/>
          <w:numId w:val="15"/>
        </w:numPr>
        <w:rPr>
          <w:rFonts w:ascii="宋体" w:hAnsi="宋体" w:cs="宋体"/>
          <w:sz w:val="22"/>
          <w:szCs w:val="22"/>
        </w:rPr>
      </w:pPr>
      <w:r>
        <w:rPr>
          <w:rFonts w:hint="eastAsia" w:ascii="宋体" w:hAnsi="宋体" w:cs="宋体"/>
          <w:sz w:val="22"/>
          <w:szCs w:val="22"/>
        </w:rPr>
        <w:t>公开招标失败项目转为竞争性谈判方式采购后，评审委员会转为谈判小组；专家可重新抽取也可继续采用评审委员会内专家。</w:t>
      </w:r>
    </w:p>
    <w:p w14:paraId="5CC9D579">
      <w:pPr>
        <w:numPr>
          <w:ilvl w:val="2"/>
          <w:numId w:val="15"/>
        </w:numPr>
        <w:rPr>
          <w:rFonts w:ascii="宋体" w:hAnsi="宋体" w:cs="宋体"/>
          <w:sz w:val="22"/>
          <w:szCs w:val="22"/>
        </w:rPr>
      </w:pPr>
      <w:r>
        <w:rPr>
          <w:rFonts w:hint="eastAsia" w:ascii="宋体" w:hAnsi="宋体" w:cs="宋体"/>
          <w:sz w:val="22"/>
          <w:szCs w:val="22"/>
        </w:rPr>
        <w:t>谈判前，谈判小组将对各供应商的谈判应答文件进行审查，当谈判应答文件出现下列情况之一的将视为无效，按废标处理，不得进入谈判，具体内容见原采购文件中投标文件初审表的《资格性检查表》部分以及谈判邀请中相应的变动部分。</w:t>
      </w:r>
    </w:p>
    <w:p w14:paraId="6963BE92">
      <w:pPr>
        <w:numPr>
          <w:ilvl w:val="1"/>
          <w:numId w:val="11"/>
        </w:numPr>
        <w:ind w:left="950" w:hanging="950" w:hangingChars="432"/>
        <w:rPr>
          <w:rFonts w:ascii="宋体" w:hAnsi="宋体" w:cs="宋体"/>
          <w:sz w:val="22"/>
          <w:szCs w:val="22"/>
        </w:rPr>
      </w:pPr>
      <w:r>
        <w:rPr>
          <w:rFonts w:hint="eastAsia" w:ascii="宋体" w:hAnsi="宋体" w:cs="宋体"/>
          <w:sz w:val="22"/>
          <w:szCs w:val="22"/>
        </w:rPr>
        <w:t>谈判程序</w:t>
      </w:r>
    </w:p>
    <w:p w14:paraId="29A38D6B">
      <w:pPr>
        <w:numPr>
          <w:ilvl w:val="2"/>
          <w:numId w:val="15"/>
        </w:numPr>
        <w:rPr>
          <w:rFonts w:ascii="宋体" w:hAnsi="宋体" w:cs="宋体"/>
          <w:sz w:val="22"/>
          <w:szCs w:val="22"/>
        </w:rPr>
      </w:pPr>
      <w:r>
        <w:rPr>
          <w:rFonts w:hint="eastAsia" w:ascii="宋体" w:hAnsi="宋体" w:cs="宋体"/>
          <w:sz w:val="22"/>
          <w:szCs w:val="22"/>
        </w:rPr>
        <w:t>参加谈判的供应商和谈判小组成员填写谈判登记表，并交验证明文件（法定代表人证明书、法人授权委托书、被授权的谈判代表身份证原件）。</w:t>
      </w:r>
    </w:p>
    <w:p w14:paraId="45BEE646">
      <w:pPr>
        <w:numPr>
          <w:ilvl w:val="2"/>
          <w:numId w:val="15"/>
        </w:numPr>
        <w:rPr>
          <w:rFonts w:ascii="宋体" w:hAnsi="宋体" w:cs="宋体"/>
          <w:sz w:val="22"/>
          <w:szCs w:val="22"/>
        </w:rPr>
      </w:pPr>
      <w:r>
        <w:rPr>
          <w:rFonts w:hint="eastAsia" w:ascii="宋体" w:hAnsi="宋体" w:cs="宋体"/>
          <w:sz w:val="22"/>
          <w:szCs w:val="22"/>
        </w:rPr>
        <w:t>谈判小组主持人宣布谈判规则和谈判纪律。</w:t>
      </w:r>
    </w:p>
    <w:p w14:paraId="1114DA8B">
      <w:pPr>
        <w:numPr>
          <w:ilvl w:val="2"/>
          <w:numId w:val="15"/>
        </w:numPr>
        <w:rPr>
          <w:rFonts w:ascii="宋体" w:hAnsi="宋体" w:cs="宋体"/>
          <w:sz w:val="22"/>
          <w:szCs w:val="22"/>
        </w:rPr>
      </w:pPr>
      <w:r>
        <w:rPr>
          <w:rFonts w:hint="eastAsia" w:ascii="宋体" w:hAnsi="宋体" w:cs="宋体"/>
          <w:sz w:val="22"/>
          <w:szCs w:val="22"/>
        </w:rPr>
        <w:t>在谈判中，谈判小组将就以下谈判内容跟供应商进行谈判：</w:t>
      </w:r>
    </w:p>
    <w:p w14:paraId="20381F64">
      <w:pPr>
        <w:ind w:left="907"/>
        <w:rPr>
          <w:rFonts w:ascii="宋体" w:hAnsi="宋体" w:cs="宋体"/>
          <w:sz w:val="22"/>
          <w:szCs w:val="22"/>
        </w:rPr>
      </w:pPr>
      <w:r>
        <w:rPr>
          <w:rFonts w:hint="eastAsia" w:ascii="宋体" w:hAnsi="宋体" w:cs="宋体"/>
          <w:sz w:val="22"/>
          <w:szCs w:val="22"/>
        </w:rPr>
        <w:t>（1）项目方案；</w:t>
      </w:r>
    </w:p>
    <w:p w14:paraId="5E902C15">
      <w:pPr>
        <w:ind w:left="907"/>
        <w:rPr>
          <w:rFonts w:ascii="宋体" w:hAnsi="宋体" w:cs="宋体"/>
          <w:sz w:val="22"/>
          <w:szCs w:val="22"/>
        </w:rPr>
      </w:pPr>
      <w:r>
        <w:rPr>
          <w:rFonts w:hint="eastAsia" w:ascii="宋体" w:hAnsi="宋体" w:cs="宋体"/>
          <w:sz w:val="22"/>
          <w:szCs w:val="22"/>
        </w:rPr>
        <w:t>（2）报价；</w:t>
      </w:r>
    </w:p>
    <w:p w14:paraId="57E6528F">
      <w:pPr>
        <w:ind w:left="907"/>
        <w:rPr>
          <w:rFonts w:ascii="宋体" w:hAnsi="宋体" w:cs="宋体"/>
          <w:sz w:val="22"/>
          <w:szCs w:val="22"/>
        </w:rPr>
      </w:pPr>
      <w:r>
        <w:rPr>
          <w:rFonts w:hint="eastAsia" w:ascii="宋体" w:hAnsi="宋体" w:cs="宋体"/>
          <w:sz w:val="22"/>
          <w:szCs w:val="22"/>
        </w:rPr>
        <w:t>（3）其它相关事项。</w:t>
      </w:r>
    </w:p>
    <w:p w14:paraId="39E0CF04">
      <w:pPr>
        <w:ind w:left="907"/>
        <w:rPr>
          <w:rFonts w:ascii="宋体" w:hAnsi="宋体" w:cs="宋体"/>
          <w:sz w:val="22"/>
          <w:szCs w:val="22"/>
        </w:rPr>
      </w:pPr>
      <w:r>
        <w:rPr>
          <w:rFonts w:hint="eastAsia" w:ascii="宋体" w:hAnsi="宋体" w:cs="宋体"/>
          <w:sz w:val="22"/>
          <w:szCs w:val="22"/>
        </w:rPr>
        <w:t>原采购文件或谈判邀请文件有实质性变动的，谈判小组应当通过政府采购代理机构通知所有参加谈判的供应商。</w:t>
      </w:r>
    </w:p>
    <w:p w14:paraId="4200B49F">
      <w:pPr>
        <w:numPr>
          <w:ilvl w:val="2"/>
          <w:numId w:val="15"/>
        </w:numPr>
        <w:rPr>
          <w:rFonts w:ascii="宋体" w:hAnsi="宋体" w:cs="宋体"/>
          <w:sz w:val="22"/>
          <w:szCs w:val="22"/>
        </w:rPr>
      </w:pPr>
      <w:r>
        <w:rPr>
          <w:rFonts w:hint="eastAsia" w:ascii="宋体" w:hAnsi="宋体" w:cs="宋体"/>
          <w:sz w:val="22"/>
          <w:szCs w:val="22"/>
        </w:rPr>
        <w:t>谈判小组可以用书面形式要求各供应商对其谈判应答文件含义不明确的内容作必要的澄清或者说明，重要问题供应商应以书面形式进行澄清、说明。</w:t>
      </w:r>
    </w:p>
    <w:p w14:paraId="65075176">
      <w:pPr>
        <w:numPr>
          <w:ilvl w:val="2"/>
          <w:numId w:val="15"/>
        </w:numPr>
        <w:rPr>
          <w:rFonts w:ascii="宋体" w:hAnsi="宋体" w:cs="宋体"/>
          <w:sz w:val="22"/>
          <w:szCs w:val="22"/>
        </w:rPr>
      </w:pPr>
      <w:r>
        <w:rPr>
          <w:rFonts w:hint="eastAsia" w:ascii="宋体" w:hAnsi="宋体" w:cs="宋体"/>
          <w:sz w:val="22"/>
          <w:szCs w:val="22"/>
        </w:rPr>
        <w:t>允许供应商在谈判结束之前根据谈判小组提出的内容进行澄清、修改或完善，或对项目方案进行相应的调整。</w:t>
      </w:r>
    </w:p>
    <w:p w14:paraId="076E20FB">
      <w:pPr>
        <w:numPr>
          <w:ilvl w:val="2"/>
          <w:numId w:val="15"/>
        </w:numPr>
        <w:rPr>
          <w:rFonts w:ascii="宋体" w:hAnsi="宋体" w:cs="宋体"/>
          <w:sz w:val="22"/>
          <w:szCs w:val="22"/>
        </w:rPr>
      </w:pPr>
      <w:r>
        <w:rPr>
          <w:rFonts w:hint="eastAsia" w:ascii="宋体" w:hAnsi="宋体" w:cs="宋体"/>
          <w:sz w:val="22"/>
          <w:szCs w:val="22"/>
        </w:rPr>
        <w:t>供应商对谈判应答文件进行修改，都应形成文字材料，并经供应商谈判授权人签字认可。</w:t>
      </w:r>
    </w:p>
    <w:p w14:paraId="21565628">
      <w:pPr>
        <w:numPr>
          <w:ilvl w:val="2"/>
          <w:numId w:val="15"/>
        </w:numPr>
        <w:rPr>
          <w:rFonts w:ascii="宋体" w:hAnsi="宋体" w:cs="宋体"/>
          <w:sz w:val="22"/>
          <w:szCs w:val="22"/>
        </w:rPr>
      </w:pPr>
      <w:r>
        <w:rPr>
          <w:rFonts w:hint="eastAsia" w:ascii="宋体" w:hAnsi="宋体" w:cs="宋体"/>
          <w:sz w:val="22"/>
          <w:szCs w:val="22"/>
        </w:rPr>
        <w:t>谈判小组所有成员集中与单一供应商分别进行谈判。在谈判中，谈判的任何一方不得透露与谈判有关的其它供应商的技术资料、价格或者其他信息；参加谈判的供应商有两次更改机会；供应商应在规定的时间内提出最后更改及书面承诺。</w:t>
      </w:r>
    </w:p>
    <w:p w14:paraId="0FE4B282">
      <w:pPr>
        <w:numPr>
          <w:ilvl w:val="2"/>
          <w:numId w:val="15"/>
        </w:numPr>
        <w:rPr>
          <w:rFonts w:ascii="宋体" w:hAnsi="宋体" w:cs="宋体"/>
          <w:sz w:val="22"/>
          <w:szCs w:val="22"/>
        </w:rPr>
      </w:pPr>
      <w:r>
        <w:rPr>
          <w:rFonts w:hint="eastAsia" w:ascii="宋体" w:hAnsi="宋体" w:cs="宋体"/>
          <w:sz w:val="22"/>
          <w:szCs w:val="22"/>
        </w:rPr>
        <w:t>有下列情形之一的，该供应商的谈判结果作废标处理，具体内容见原采购文件中投标文件初审表的《符合性检查表》部分以及谈判邀请中相应的变动部分。</w:t>
      </w:r>
    </w:p>
    <w:p w14:paraId="468DB06A">
      <w:pPr>
        <w:numPr>
          <w:ilvl w:val="2"/>
          <w:numId w:val="15"/>
        </w:numPr>
        <w:rPr>
          <w:rFonts w:ascii="宋体" w:hAnsi="宋体" w:cs="宋体"/>
          <w:sz w:val="22"/>
          <w:szCs w:val="22"/>
        </w:rPr>
      </w:pPr>
      <w:r>
        <w:rPr>
          <w:rFonts w:hint="eastAsia" w:ascii="宋体" w:hAnsi="宋体" w:cs="宋体"/>
          <w:sz w:val="22"/>
          <w:szCs w:val="22"/>
        </w:rPr>
        <w:t>谈判结束后，谈判小组根据供应商提供的谈判应答文件、谈判过程中产生的相关资料，对供应商谈判应答文件进行评估与比较，提出书面评审意见。</w:t>
      </w:r>
    </w:p>
    <w:p w14:paraId="5603460E">
      <w:pPr>
        <w:numPr>
          <w:ilvl w:val="2"/>
          <w:numId w:val="15"/>
        </w:numPr>
        <w:rPr>
          <w:rFonts w:ascii="宋体" w:hAnsi="宋体" w:cs="宋体"/>
          <w:sz w:val="22"/>
          <w:szCs w:val="22"/>
        </w:rPr>
      </w:pPr>
      <w:r>
        <w:rPr>
          <w:rFonts w:hint="eastAsia" w:ascii="宋体" w:hAnsi="宋体" w:cs="宋体"/>
          <w:sz w:val="22"/>
          <w:szCs w:val="22"/>
        </w:rPr>
        <w:t>谈判小组将对谈判过程进行记录，以存档备查。</w:t>
      </w:r>
    </w:p>
    <w:p w14:paraId="7DCF6D61">
      <w:pPr>
        <w:numPr>
          <w:ilvl w:val="1"/>
          <w:numId w:val="11"/>
        </w:numPr>
        <w:ind w:left="950" w:hanging="950" w:hangingChars="432"/>
        <w:rPr>
          <w:rFonts w:ascii="宋体" w:hAnsi="宋体" w:cs="宋体"/>
          <w:sz w:val="22"/>
          <w:szCs w:val="22"/>
        </w:rPr>
      </w:pPr>
      <w:r>
        <w:rPr>
          <w:rFonts w:hint="eastAsia" w:ascii="宋体" w:hAnsi="宋体" w:cs="宋体"/>
          <w:sz w:val="22"/>
          <w:szCs w:val="22"/>
        </w:rPr>
        <w:t>评标方法和定标原则</w:t>
      </w:r>
    </w:p>
    <w:p w14:paraId="0857A002">
      <w:pPr>
        <w:numPr>
          <w:ilvl w:val="2"/>
          <w:numId w:val="15"/>
        </w:numPr>
        <w:rPr>
          <w:rFonts w:ascii="宋体" w:hAnsi="宋体" w:cs="宋体"/>
          <w:sz w:val="22"/>
          <w:szCs w:val="22"/>
        </w:rPr>
      </w:pPr>
      <w:r>
        <w:rPr>
          <w:rFonts w:hint="eastAsia" w:ascii="宋体" w:hAnsi="宋体" w:cs="宋体"/>
          <w:sz w:val="22"/>
          <w:szCs w:val="22"/>
        </w:rPr>
        <w:t>根据《政府采购货物和服务招标投标管理办法（财政部令第87号）》，竞争性谈判采购项目的评标方法要比照最低评标价法规定执行。如确因实际情况需要采用其他评标方法的，应报经同级政府采购监督管理部门批准。原采购文件若采用最低评标价法以外的评标方法，转为竞争性谈判后，评标方法应采用最低评标价法。</w:t>
      </w:r>
    </w:p>
    <w:p w14:paraId="7117A7A0">
      <w:pPr>
        <w:numPr>
          <w:ilvl w:val="2"/>
          <w:numId w:val="15"/>
        </w:numPr>
        <w:rPr>
          <w:rFonts w:ascii="宋体" w:hAnsi="宋体" w:cs="宋体"/>
          <w:sz w:val="22"/>
          <w:szCs w:val="22"/>
        </w:rPr>
      </w:pPr>
      <w:r>
        <w:rPr>
          <w:rFonts w:hint="eastAsia" w:ascii="宋体" w:hAnsi="宋体" w:cs="宋体"/>
          <w:sz w:val="22"/>
          <w:szCs w:val="22"/>
        </w:rPr>
        <w:t>对公开招标失败转为竞争性谈判方式采购的项目，谈判小组对谈判应答文件进行评审和比较，综合各家供应商最终的方案、服务和投资等谈判结果并按本通用条款第37.1.1款的最低评标价法进行评审。</w:t>
      </w:r>
    </w:p>
    <w:p w14:paraId="69CE5374">
      <w:pPr>
        <w:numPr>
          <w:ilvl w:val="2"/>
          <w:numId w:val="15"/>
        </w:numPr>
        <w:rPr>
          <w:rFonts w:ascii="宋体" w:hAnsi="宋体" w:cs="宋体"/>
          <w:sz w:val="22"/>
          <w:szCs w:val="22"/>
        </w:rPr>
      </w:pPr>
      <w:r>
        <w:rPr>
          <w:rFonts w:hint="eastAsia" w:ascii="宋体" w:hAnsi="宋体" w:cs="宋体"/>
          <w:sz w:val="22"/>
          <w:szCs w:val="22"/>
        </w:rPr>
        <w:t>若要采用其他评标方法的，必须报经政府采购监督管理部门批准，谈判小组按批准的评标方法进行评审。谈判邀请文件中应注明批准的评标方法。</w:t>
      </w:r>
    </w:p>
    <w:p w14:paraId="4CDD708D">
      <w:pPr>
        <w:numPr>
          <w:ilvl w:val="2"/>
          <w:numId w:val="15"/>
        </w:numPr>
        <w:rPr>
          <w:rFonts w:ascii="宋体" w:hAnsi="宋体" w:cs="宋体"/>
          <w:sz w:val="22"/>
          <w:szCs w:val="22"/>
        </w:rPr>
      </w:pPr>
      <w:r>
        <w:rPr>
          <w:rFonts w:hint="eastAsia" w:ascii="宋体" w:hAnsi="宋体" w:cs="宋体"/>
          <w:sz w:val="22"/>
          <w:szCs w:val="22"/>
        </w:rPr>
        <w:t>谈判小组向政府采购代理机构提交书面评标报告，并推荐中标候选人或确定中标供应商。</w:t>
      </w:r>
    </w:p>
    <w:p w14:paraId="25AC6B9F">
      <w:pPr>
        <w:ind w:left="907"/>
        <w:rPr>
          <w:rFonts w:ascii="宋体" w:hAnsi="宋体" w:cs="宋体"/>
          <w:sz w:val="22"/>
          <w:szCs w:val="22"/>
        </w:rPr>
      </w:pPr>
    </w:p>
    <w:p w14:paraId="437C3801">
      <w:pPr>
        <w:numPr>
          <w:ilvl w:val="0"/>
          <w:numId w:val="10"/>
        </w:numPr>
        <w:rPr>
          <w:rFonts w:ascii="宋体" w:hAnsi="宋体" w:cs="宋体"/>
          <w:sz w:val="22"/>
          <w:szCs w:val="22"/>
        </w:rPr>
      </w:pPr>
      <w:r>
        <w:rPr>
          <w:rFonts w:hint="eastAsia" w:ascii="宋体" w:hAnsi="宋体" w:cs="宋体"/>
          <w:sz w:val="22"/>
          <w:szCs w:val="22"/>
        </w:rPr>
        <w:t>公开招标失败项目转为单一来源谈判方式采购</w:t>
      </w:r>
    </w:p>
    <w:p w14:paraId="6CF022A2">
      <w:pPr>
        <w:numPr>
          <w:ilvl w:val="1"/>
          <w:numId w:val="11"/>
        </w:numPr>
        <w:ind w:left="950" w:hanging="950" w:hangingChars="432"/>
        <w:rPr>
          <w:rFonts w:ascii="宋体" w:hAnsi="宋体" w:cs="宋体"/>
          <w:sz w:val="22"/>
          <w:szCs w:val="22"/>
        </w:rPr>
      </w:pPr>
      <w:r>
        <w:rPr>
          <w:rFonts w:hint="eastAsia" w:ascii="宋体" w:hAnsi="宋体" w:cs="宋体"/>
          <w:sz w:val="22"/>
          <w:szCs w:val="22"/>
        </w:rPr>
        <w:t>谈判文件</w:t>
      </w:r>
    </w:p>
    <w:p w14:paraId="525D0341">
      <w:pPr>
        <w:numPr>
          <w:ilvl w:val="2"/>
          <w:numId w:val="15"/>
        </w:numPr>
        <w:rPr>
          <w:rFonts w:ascii="宋体" w:hAnsi="宋体" w:cs="宋体"/>
          <w:sz w:val="22"/>
          <w:szCs w:val="22"/>
        </w:rPr>
      </w:pPr>
      <w:r>
        <w:rPr>
          <w:rFonts w:hint="eastAsia" w:ascii="宋体" w:hAnsi="宋体" w:cs="宋体"/>
          <w:sz w:val="22"/>
          <w:szCs w:val="22"/>
        </w:rPr>
        <w:t>公开招标失败项目转为单一来源谈判方式采购的，原采购文件转为谈判文件。</w:t>
      </w:r>
    </w:p>
    <w:p w14:paraId="64AE2ECD">
      <w:pPr>
        <w:numPr>
          <w:ilvl w:val="1"/>
          <w:numId w:val="11"/>
        </w:numPr>
        <w:ind w:left="950" w:hanging="950" w:hangingChars="432"/>
        <w:rPr>
          <w:rFonts w:ascii="宋体" w:hAnsi="宋体" w:cs="宋体"/>
          <w:sz w:val="22"/>
          <w:szCs w:val="22"/>
        </w:rPr>
      </w:pPr>
      <w:r>
        <w:rPr>
          <w:rFonts w:hint="eastAsia" w:ascii="宋体" w:hAnsi="宋体" w:cs="宋体"/>
          <w:sz w:val="22"/>
          <w:szCs w:val="22"/>
        </w:rPr>
        <w:t>谈判小组</w:t>
      </w:r>
    </w:p>
    <w:p w14:paraId="4885866D">
      <w:pPr>
        <w:numPr>
          <w:ilvl w:val="2"/>
          <w:numId w:val="15"/>
        </w:numPr>
        <w:rPr>
          <w:rFonts w:ascii="宋体" w:hAnsi="宋体" w:cs="宋体"/>
          <w:sz w:val="22"/>
          <w:szCs w:val="22"/>
        </w:rPr>
      </w:pPr>
      <w:r>
        <w:rPr>
          <w:rFonts w:hint="eastAsia" w:ascii="宋体" w:hAnsi="宋体" w:cs="宋体"/>
          <w:sz w:val="22"/>
          <w:szCs w:val="22"/>
        </w:rPr>
        <w:t>公开招标失败项目转为单一来源谈判方式采购后，评审委员会转为谈判小组，专家可重新抽取也可继续采用评审委员会内专家。</w:t>
      </w:r>
    </w:p>
    <w:p w14:paraId="518BCFCB">
      <w:pPr>
        <w:numPr>
          <w:ilvl w:val="2"/>
          <w:numId w:val="15"/>
        </w:numPr>
        <w:rPr>
          <w:rFonts w:ascii="宋体" w:hAnsi="宋体" w:cs="宋体"/>
          <w:sz w:val="22"/>
          <w:szCs w:val="22"/>
        </w:rPr>
      </w:pPr>
      <w:r>
        <w:rPr>
          <w:rFonts w:hint="eastAsia" w:ascii="宋体" w:hAnsi="宋体" w:cs="宋体"/>
          <w:sz w:val="22"/>
          <w:szCs w:val="22"/>
        </w:rPr>
        <w:t>谈判前，谈判小组将对单一来源供应商的谈判应答文件进行审查，当谈判应答文件出现下列情况之一的将视为无效，按废标处理，不得进入谈判，具体内容见原采购文件中投标文件初审表的《资格性检查表》部分以及谈判邀请中相应的变动部分。</w:t>
      </w:r>
    </w:p>
    <w:p w14:paraId="0668EB92">
      <w:pPr>
        <w:numPr>
          <w:ilvl w:val="1"/>
          <w:numId w:val="11"/>
        </w:numPr>
        <w:ind w:left="950" w:hanging="950" w:hangingChars="432"/>
        <w:rPr>
          <w:rFonts w:ascii="宋体" w:hAnsi="宋体" w:cs="宋体"/>
          <w:sz w:val="22"/>
          <w:szCs w:val="22"/>
        </w:rPr>
      </w:pPr>
      <w:r>
        <w:rPr>
          <w:rFonts w:hint="eastAsia" w:ascii="宋体" w:hAnsi="宋体" w:cs="宋体"/>
          <w:sz w:val="22"/>
          <w:szCs w:val="22"/>
        </w:rPr>
        <w:t>谈判程序</w:t>
      </w:r>
    </w:p>
    <w:p w14:paraId="6B1BA5F6">
      <w:pPr>
        <w:numPr>
          <w:ilvl w:val="2"/>
          <w:numId w:val="15"/>
        </w:numPr>
        <w:rPr>
          <w:rFonts w:ascii="宋体" w:hAnsi="宋体" w:cs="宋体"/>
          <w:sz w:val="22"/>
          <w:szCs w:val="22"/>
        </w:rPr>
      </w:pPr>
      <w:r>
        <w:rPr>
          <w:rFonts w:hint="eastAsia" w:ascii="宋体" w:hAnsi="宋体" w:cs="宋体"/>
          <w:sz w:val="22"/>
          <w:szCs w:val="22"/>
        </w:rPr>
        <w:t>参加谈判的供应商和谈判小组成员填写谈判登记表，并交验证明文件（法定代表人证明书、法人授权委托书、被授权的谈判代表身份证原件）。</w:t>
      </w:r>
    </w:p>
    <w:p w14:paraId="4EFFAA01">
      <w:pPr>
        <w:numPr>
          <w:ilvl w:val="2"/>
          <w:numId w:val="15"/>
        </w:numPr>
        <w:rPr>
          <w:rFonts w:ascii="宋体" w:hAnsi="宋体" w:cs="宋体"/>
          <w:sz w:val="22"/>
          <w:szCs w:val="22"/>
        </w:rPr>
      </w:pPr>
      <w:r>
        <w:rPr>
          <w:rFonts w:hint="eastAsia" w:ascii="宋体" w:hAnsi="宋体" w:cs="宋体"/>
          <w:sz w:val="22"/>
          <w:szCs w:val="22"/>
        </w:rPr>
        <w:t>谈判小组主持人宣布谈判规则和谈判纪律。</w:t>
      </w:r>
    </w:p>
    <w:p w14:paraId="2E0CD9DD">
      <w:pPr>
        <w:numPr>
          <w:ilvl w:val="2"/>
          <w:numId w:val="15"/>
        </w:numPr>
        <w:rPr>
          <w:rFonts w:ascii="宋体" w:hAnsi="宋体" w:cs="宋体"/>
          <w:sz w:val="22"/>
          <w:szCs w:val="22"/>
        </w:rPr>
      </w:pPr>
      <w:r>
        <w:rPr>
          <w:rFonts w:hint="eastAsia" w:ascii="宋体" w:hAnsi="宋体" w:cs="宋体"/>
          <w:sz w:val="22"/>
          <w:szCs w:val="22"/>
        </w:rPr>
        <w:t>在谈判中，谈判小组将就以下谈判内容跟供应商进行谈判：</w:t>
      </w:r>
    </w:p>
    <w:p w14:paraId="29089FAD">
      <w:pPr>
        <w:ind w:left="907"/>
        <w:rPr>
          <w:rFonts w:ascii="宋体" w:hAnsi="宋体" w:cs="宋体"/>
          <w:sz w:val="22"/>
          <w:szCs w:val="22"/>
        </w:rPr>
      </w:pPr>
      <w:r>
        <w:rPr>
          <w:rFonts w:hint="eastAsia" w:ascii="宋体" w:hAnsi="宋体" w:cs="宋体"/>
          <w:sz w:val="22"/>
          <w:szCs w:val="22"/>
        </w:rPr>
        <w:t>（1）项目方案；</w:t>
      </w:r>
    </w:p>
    <w:p w14:paraId="7601D851">
      <w:pPr>
        <w:ind w:left="907"/>
        <w:rPr>
          <w:rFonts w:ascii="宋体" w:hAnsi="宋体" w:cs="宋体"/>
          <w:sz w:val="22"/>
          <w:szCs w:val="22"/>
        </w:rPr>
      </w:pPr>
      <w:r>
        <w:rPr>
          <w:rFonts w:hint="eastAsia" w:ascii="宋体" w:hAnsi="宋体" w:cs="宋体"/>
          <w:sz w:val="22"/>
          <w:szCs w:val="22"/>
        </w:rPr>
        <w:t>（2）报价；</w:t>
      </w:r>
    </w:p>
    <w:p w14:paraId="132A1413">
      <w:pPr>
        <w:ind w:left="907"/>
        <w:rPr>
          <w:rFonts w:ascii="宋体" w:hAnsi="宋体" w:cs="宋体"/>
          <w:sz w:val="22"/>
          <w:szCs w:val="22"/>
        </w:rPr>
      </w:pPr>
      <w:r>
        <w:rPr>
          <w:rFonts w:hint="eastAsia" w:ascii="宋体" w:hAnsi="宋体" w:cs="宋体"/>
          <w:sz w:val="22"/>
          <w:szCs w:val="22"/>
        </w:rPr>
        <w:t>（3）其它相关事项。</w:t>
      </w:r>
    </w:p>
    <w:p w14:paraId="5C82F27C">
      <w:pPr>
        <w:ind w:left="907"/>
        <w:rPr>
          <w:rFonts w:ascii="宋体" w:hAnsi="宋体" w:cs="宋体"/>
          <w:sz w:val="22"/>
          <w:szCs w:val="22"/>
        </w:rPr>
      </w:pPr>
      <w:r>
        <w:rPr>
          <w:rFonts w:hint="eastAsia" w:ascii="宋体" w:hAnsi="宋体" w:cs="宋体"/>
          <w:sz w:val="22"/>
          <w:szCs w:val="22"/>
        </w:rPr>
        <w:t>原采购文件或谈判邀请文件有实质性变动的，谈判小组应当通过政府采购代理机构通知供应商。</w:t>
      </w:r>
    </w:p>
    <w:p w14:paraId="497523E8">
      <w:pPr>
        <w:numPr>
          <w:ilvl w:val="2"/>
          <w:numId w:val="15"/>
        </w:numPr>
        <w:rPr>
          <w:rFonts w:ascii="宋体" w:hAnsi="宋体" w:cs="宋体"/>
          <w:sz w:val="22"/>
          <w:szCs w:val="22"/>
        </w:rPr>
      </w:pPr>
      <w:r>
        <w:rPr>
          <w:rFonts w:hint="eastAsia" w:ascii="宋体" w:hAnsi="宋体" w:cs="宋体"/>
          <w:sz w:val="22"/>
          <w:szCs w:val="22"/>
        </w:rPr>
        <w:t>谈判小组可以用书面形式要求供应商对其谈判应答文件含义不明确的内容作必要的澄清或者说明，重要问题供应商应以书面形式进行澄清、说明。</w:t>
      </w:r>
    </w:p>
    <w:p w14:paraId="7C8E9DFF">
      <w:pPr>
        <w:numPr>
          <w:ilvl w:val="2"/>
          <w:numId w:val="15"/>
        </w:numPr>
        <w:rPr>
          <w:rFonts w:ascii="宋体" w:hAnsi="宋体" w:cs="宋体"/>
          <w:sz w:val="22"/>
          <w:szCs w:val="22"/>
        </w:rPr>
      </w:pPr>
      <w:r>
        <w:rPr>
          <w:rFonts w:hint="eastAsia" w:ascii="宋体" w:hAnsi="宋体" w:cs="宋体"/>
          <w:sz w:val="22"/>
          <w:szCs w:val="22"/>
        </w:rPr>
        <w:t>允许供应商在谈判结束之前根据谈判小组提出的内容进行澄清、修改或完善，或对项目方案进行相应的调整。</w:t>
      </w:r>
    </w:p>
    <w:p w14:paraId="6070444A">
      <w:pPr>
        <w:numPr>
          <w:ilvl w:val="2"/>
          <w:numId w:val="15"/>
        </w:numPr>
        <w:rPr>
          <w:rFonts w:ascii="宋体" w:hAnsi="宋体" w:cs="宋体"/>
          <w:sz w:val="22"/>
          <w:szCs w:val="22"/>
        </w:rPr>
      </w:pPr>
      <w:r>
        <w:rPr>
          <w:rFonts w:hint="eastAsia" w:ascii="宋体" w:hAnsi="宋体" w:cs="宋体"/>
          <w:sz w:val="22"/>
          <w:szCs w:val="22"/>
        </w:rPr>
        <w:t>供应商对谈判应答文件进行修改，都应形成文字材料，并经供应商谈判授权人签字认可。</w:t>
      </w:r>
    </w:p>
    <w:p w14:paraId="538A2A48">
      <w:pPr>
        <w:numPr>
          <w:ilvl w:val="2"/>
          <w:numId w:val="15"/>
        </w:numPr>
        <w:rPr>
          <w:rFonts w:ascii="宋体" w:hAnsi="宋体" w:cs="宋体"/>
          <w:sz w:val="22"/>
          <w:szCs w:val="22"/>
        </w:rPr>
      </w:pPr>
      <w:r>
        <w:rPr>
          <w:rFonts w:hint="eastAsia" w:ascii="宋体" w:hAnsi="宋体" w:cs="宋体"/>
          <w:sz w:val="22"/>
          <w:szCs w:val="22"/>
        </w:rPr>
        <w:t>谈判小组与单一来源供应商进行谈判。供应商有两次更改机会；供应商应在规定的时间内提出最后更改及书面承诺。</w:t>
      </w:r>
    </w:p>
    <w:p w14:paraId="094FAF47">
      <w:pPr>
        <w:numPr>
          <w:ilvl w:val="2"/>
          <w:numId w:val="15"/>
        </w:numPr>
        <w:rPr>
          <w:rFonts w:ascii="宋体" w:hAnsi="宋体" w:cs="宋体"/>
          <w:sz w:val="22"/>
          <w:szCs w:val="22"/>
        </w:rPr>
      </w:pPr>
      <w:r>
        <w:rPr>
          <w:rFonts w:hint="eastAsia" w:ascii="宋体" w:hAnsi="宋体" w:cs="宋体"/>
          <w:sz w:val="22"/>
          <w:szCs w:val="22"/>
        </w:rPr>
        <w:t>有下列情形之一的，供应商的谈判结果作废标处理，具体内容见原采购文件中投标文件初审表的《符合性检查表》部分以及谈判邀请中相应的变动部分。</w:t>
      </w:r>
    </w:p>
    <w:p w14:paraId="20078A8C">
      <w:pPr>
        <w:numPr>
          <w:ilvl w:val="2"/>
          <w:numId w:val="15"/>
        </w:numPr>
        <w:rPr>
          <w:rFonts w:ascii="宋体" w:hAnsi="宋体" w:cs="宋体"/>
          <w:sz w:val="22"/>
          <w:szCs w:val="22"/>
        </w:rPr>
      </w:pPr>
      <w:r>
        <w:rPr>
          <w:rFonts w:hint="eastAsia" w:ascii="宋体" w:hAnsi="宋体" w:cs="宋体"/>
          <w:sz w:val="22"/>
          <w:szCs w:val="22"/>
        </w:rPr>
        <w:t>谈判结束后，谈判小组根据供应商提供的谈判应答文件、谈判过程中产生的相关资料，对供应商谈判应答文件进行评估与比较，提出书面评审意见。</w:t>
      </w:r>
    </w:p>
    <w:p w14:paraId="44DA359F">
      <w:pPr>
        <w:numPr>
          <w:ilvl w:val="2"/>
          <w:numId w:val="15"/>
        </w:numPr>
        <w:rPr>
          <w:rFonts w:ascii="宋体" w:hAnsi="宋体" w:cs="宋体"/>
          <w:sz w:val="22"/>
          <w:szCs w:val="22"/>
        </w:rPr>
      </w:pPr>
      <w:r>
        <w:rPr>
          <w:rFonts w:hint="eastAsia" w:ascii="宋体" w:hAnsi="宋体" w:cs="宋体"/>
          <w:sz w:val="22"/>
          <w:szCs w:val="22"/>
        </w:rPr>
        <w:t>谈判小组将对谈判过程进行记录，以存档备查。</w:t>
      </w:r>
    </w:p>
    <w:p w14:paraId="653D7177">
      <w:pPr>
        <w:numPr>
          <w:ilvl w:val="1"/>
          <w:numId w:val="11"/>
        </w:numPr>
        <w:ind w:left="950" w:hanging="950" w:hangingChars="432"/>
        <w:rPr>
          <w:rFonts w:ascii="宋体" w:hAnsi="宋体" w:cs="宋体"/>
          <w:sz w:val="22"/>
          <w:szCs w:val="22"/>
        </w:rPr>
      </w:pPr>
      <w:r>
        <w:rPr>
          <w:rFonts w:hint="eastAsia" w:ascii="宋体" w:hAnsi="宋体" w:cs="宋体"/>
          <w:sz w:val="22"/>
          <w:szCs w:val="22"/>
        </w:rPr>
        <w:t>评标方法和定标原则</w:t>
      </w:r>
    </w:p>
    <w:p w14:paraId="4095AC4D">
      <w:pPr>
        <w:numPr>
          <w:ilvl w:val="2"/>
          <w:numId w:val="15"/>
        </w:numPr>
        <w:rPr>
          <w:rFonts w:ascii="宋体" w:hAnsi="宋体" w:cs="宋体"/>
          <w:sz w:val="22"/>
          <w:szCs w:val="22"/>
        </w:rPr>
      </w:pPr>
      <w:r>
        <w:rPr>
          <w:rFonts w:hint="eastAsia" w:ascii="宋体" w:hAnsi="宋体" w:cs="宋体"/>
          <w:sz w:val="22"/>
          <w:szCs w:val="22"/>
        </w:rPr>
        <w:t>单一来源谈判采用最低评标价法。原采购文件若采用最低评标价法以外的评标方法，转为单一来源谈判后，评标方法改为最低评标价法。谈判小组对谈判应答文件进行评审和比较，对供应商最终的方案、服务和投资等谈判结果按本通用条款第37.1.1的最低评标价法进行评审。</w:t>
      </w:r>
    </w:p>
    <w:p w14:paraId="7D3D603F">
      <w:pPr>
        <w:numPr>
          <w:ilvl w:val="2"/>
          <w:numId w:val="15"/>
        </w:numPr>
        <w:rPr>
          <w:rFonts w:ascii="宋体" w:hAnsi="宋体" w:cs="宋体"/>
          <w:sz w:val="22"/>
          <w:szCs w:val="22"/>
        </w:rPr>
      </w:pPr>
      <w:r>
        <w:rPr>
          <w:rFonts w:hint="eastAsia" w:ascii="宋体" w:hAnsi="宋体" w:cs="宋体"/>
          <w:sz w:val="22"/>
          <w:szCs w:val="22"/>
        </w:rPr>
        <w:t>谈判小组向政府采购代理机构提交书面评标报告，并推荐中标候选人或确定中标供应商。</w:t>
      </w:r>
      <w:bookmarkEnd w:id="214"/>
      <w:bookmarkEnd w:id="215"/>
      <w:bookmarkEnd w:id="216"/>
      <w:bookmarkEnd w:id="217"/>
    </w:p>
    <w:p w14:paraId="634E4FB4">
      <w:r>
        <w:br w:type="page"/>
      </w:r>
    </w:p>
    <w:p w14:paraId="7C81D81A"/>
    <w:p w14:paraId="1327724A"/>
    <w:p w14:paraId="63C02FFA"/>
    <w:p w14:paraId="7725B89B"/>
    <w:p w14:paraId="3FC814F1"/>
    <w:p w14:paraId="68111210"/>
    <w:p w14:paraId="63BAC79F"/>
    <w:p w14:paraId="73969C83"/>
    <w:p w14:paraId="62B6C02B"/>
    <w:p w14:paraId="3F5DBA6E"/>
    <w:p w14:paraId="28DFFE09"/>
    <w:p w14:paraId="6C9F21CA"/>
    <w:p w14:paraId="21879C2B"/>
    <w:p w14:paraId="12174CB1"/>
    <w:p w14:paraId="7B32DFE0"/>
    <w:p w14:paraId="3BD81170">
      <w:pPr>
        <w:pStyle w:val="5"/>
        <w:rPr>
          <w:szCs w:val="28"/>
        </w:rPr>
      </w:pPr>
      <w:r>
        <w:rPr>
          <w:b w:val="0"/>
          <w:bCs/>
          <w:kern w:val="28"/>
          <w:sz w:val="44"/>
          <w:szCs w:val="44"/>
        </w:rPr>
        <w:t>第十章  合同的授予与备案</w:t>
      </w:r>
      <w:r>
        <w:rPr>
          <w:b w:val="0"/>
          <w:bCs/>
          <w:kern w:val="28"/>
          <w:sz w:val="44"/>
          <w:szCs w:val="44"/>
        </w:rPr>
        <w:br w:type="page"/>
      </w:r>
    </w:p>
    <w:p w14:paraId="4AC4F311"/>
    <w:p w14:paraId="569CECEE">
      <w:pPr>
        <w:numPr>
          <w:ilvl w:val="0"/>
          <w:numId w:val="10"/>
        </w:numPr>
        <w:ind w:left="1037" w:hanging="1036" w:hangingChars="432"/>
        <w:rPr>
          <w:sz w:val="24"/>
        </w:rPr>
      </w:pPr>
      <w:bookmarkStart w:id="218" w:name="_33._合同授予标准"/>
      <w:bookmarkEnd w:id="218"/>
      <w:bookmarkStart w:id="219" w:name="_Toc73521586"/>
      <w:bookmarkStart w:id="220" w:name="_Toc73518157"/>
      <w:bookmarkStart w:id="221" w:name="_Toc73521674"/>
      <w:bookmarkStart w:id="222" w:name="_Toc73517679"/>
      <w:bookmarkStart w:id="223" w:name="_Toc100052408"/>
      <w:r>
        <w:rPr>
          <w:sz w:val="24"/>
        </w:rPr>
        <w:t>合同授予标准</w:t>
      </w:r>
      <w:bookmarkEnd w:id="219"/>
      <w:bookmarkEnd w:id="220"/>
      <w:bookmarkEnd w:id="221"/>
      <w:bookmarkEnd w:id="222"/>
      <w:bookmarkEnd w:id="223"/>
    </w:p>
    <w:p w14:paraId="3C725D32">
      <w:pPr>
        <w:numPr>
          <w:ilvl w:val="1"/>
          <w:numId w:val="11"/>
        </w:numPr>
        <w:ind w:hangingChars="432"/>
        <w:rPr>
          <w:szCs w:val="21"/>
        </w:rPr>
      </w:pPr>
      <w:r>
        <w:rPr>
          <w:szCs w:val="21"/>
        </w:rPr>
        <w:t>本项目的合同将授予按本采购文件规定评审确定的中标人。</w:t>
      </w:r>
    </w:p>
    <w:p w14:paraId="63D46219">
      <w:pPr>
        <w:ind w:left="907"/>
        <w:rPr>
          <w:szCs w:val="21"/>
        </w:rPr>
      </w:pPr>
    </w:p>
    <w:p w14:paraId="33A661DE">
      <w:pPr>
        <w:numPr>
          <w:ilvl w:val="0"/>
          <w:numId w:val="10"/>
        </w:numPr>
        <w:ind w:left="1037" w:hanging="1036" w:hangingChars="432"/>
        <w:rPr>
          <w:sz w:val="24"/>
        </w:rPr>
      </w:pPr>
      <w:r>
        <w:rPr>
          <w:sz w:val="24"/>
        </w:rPr>
        <w:t>接受和拒绝任何或所有投标的权力</w:t>
      </w:r>
    </w:p>
    <w:p w14:paraId="7605E028">
      <w:pPr>
        <w:numPr>
          <w:ilvl w:val="1"/>
          <w:numId w:val="11"/>
        </w:numPr>
        <w:ind w:hangingChars="432"/>
        <w:rPr>
          <w:szCs w:val="21"/>
        </w:rPr>
      </w:pPr>
      <w:r>
        <w:rPr>
          <w:szCs w:val="21"/>
        </w:rPr>
        <w:t>政府采购代理机构和采购单位保留在投标之前任何时候接受或拒绝任何投标或所有投标，以及宣布招标无效的权力，对受影响的投标人不承担任何责任，也无义务向受影响的投标人解释采取这一行动的理由。</w:t>
      </w:r>
    </w:p>
    <w:p w14:paraId="3558D5F8">
      <w:pPr>
        <w:ind w:left="907"/>
        <w:rPr>
          <w:szCs w:val="21"/>
        </w:rPr>
      </w:pPr>
    </w:p>
    <w:p w14:paraId="0A64E4C4">
      <w:pPr>
        <w:numPr>
          <w:ilvl w:val="0"/>
          <w:numId w:val="10"/>
        </w:numPr>
        <w:ind w:left="1037" w:hanging="1036" w:hangingChars="432"/>
        <w:rPr>
          <w:sz w:val="24"/>
        </w:rPr>
      </w:pPr>
      <w:bookmarkStart w:id="224" w:name="_Toc100052410"/>
      <w:bookmarkStart w:id="225" w:name="_Toc73517682"/>
      <w:bookmarkStart w:id="226" w:name="_Toc73518160"/>
      <w:bookmarkStart w:id="227" w:name="_Toc73521589"/>
      <w:bookmarkStart w:id="228" w:name="_Toc73521677"/>
      <w:r>
        <w:rPr>
          <w:sz w:val="24"/>
        </w:rPr>
        <w:t>合同协议书的签订</w:t>
      </w:r>
      <w:bookmarkEnd w:id="224"/>
      <w:bookmarkEnd w:id="225"/>
      <w:bookmarkEnd w:id="226"/>
      <w:bookmarkEnd w:id="227"/>
      <w:bookmarkEnd w:id="228"/>
    </w:p>
    <w:p w14:paraId="2B0885D2">
      <w:pPr>
        <w:numPr>
          <w:ilvl w:val="1"/>
          <w:numId w:val="11"/>
        </w:numPr>
        <w:ind w:hangingChars="432"/>
        <w:rPr>
          <w:szCs w:val="21"/>
        </w:rPr>
      </w:pPr>
      <w:r>
        <w:rPr>
          <w:rFonts w:hint="eastAsia"/>
          <w:szCs w:val="21"/>
        </w:rPr>
        <w:t>中标人将于中标通知书发出之日起十个工作日内</w:t>
      </w:r>
      <w:r>
        <w:rPr>
          <w:szCs w:val="21"/>
        </w:rPr>
        <w:t>，按照采购文件和投标文件内容与采购单位签订书面合同，合同书应采用本采购文件规定的合同样本；</w:t>
      </w:r>
    </w:p>
    <w:p w14:paraId="4D44F349">
      <w:pPr>
        <w:numPr>
          <w:ilvl w:val="1"/>
          <w:numId w:val="11"/>
        </w:numPr>
        <w:ind w:hangingChars="432"/>
        <w:rPr>
          <w:szCs w:val="21"/>
        </w:rPr>
      </w:pPr>
      <w:r>
        <w:rPr>
          <w:szCs w:val="21"/>
        </w:rPr>
        <w:t>中标人如不按本通用条款第47.1款的规定与采购单位签订合同，则政府采购代理机构将有充分的理由废除中标，并没收其投标保证金，给政府采购代理机构造成的损失超过投标担保数额的，还应当对超过部分予以赔偿，同时承担相应法律责任；</w:t>
      </w:r>
    </w:p>
    <w:p w14:paraId="3C235D01">
      <w:pPr>
        <w:numPr>
          <w:ilvl w:val="1"/>
          <w:numId w:val="11"/>
        </w:numPr>
        <w:ind w:hangingChars="432"/>
        <w:rPr>
          <w:szCs w:val="21"/>
        </w:rPr>
      </w:pPr>
      <w:r>
        <w:rPr>
          <w:szCs w:val="21"/>
        </w:rPr>
        <w:t>中标人应当按照合同约定履行义务，完成中标项目，不得将中标项目转让（转包）给他人；</w:t>
      </w:r>
    </w:p>
    <w:p w14:paraId="24EF3271">
      <w:pPr>
        <w:numPr>
          <w:ilvl w:val="1"/>
          <w:numId w:val="11"/>
        </w:numPr>
        <w:ind w:hangingChars="432"/>
        <w:rPr>
          <w:szCs w:val="21"/>
        </w:rPr>
      </w:pPr>
      <w:r>
        <w:rPr>
          <w:szCs w:val="21"/>
        </w:rPr>
        <w:t>采购人与中标人签订的合同必须遵守本采购文件的合同条件，并且不得更改合同条件。</w:t>
      </w:r>
    </w:p>
    <w:p w14:paraId="4094C85C">
      <w:pPr>
        <w:ind w:left="907"/>
        <w:rPr>
          <w:szCs w:val="21"/>
        </w:rPr>
      </w:pPr>
    </w:p>
    <w:p w14:paraId="611FC982">
      <w:pPr>
        <w:numPr>
          <w:ilvl w:val="0"/>
          <w:numId w:val="10"/>
        </w:numPr>
        <w:ind w:left="1037" w:hanging="1036" w:hangingChars="432"/>
        <w:rPr>
          <w:sz w:val="24"/>
        </w:rPr>
      </w:pPr>
      <w:bookmarkStart w:id="229" w:name="_Toc73517683"/>
      <w:bookmarkStart w:id="230" w:name="_Toc100052411"/>
      <w:bookmarkStart w:id="231" w:name="_Toc73518161"/>
      <w:bookmarkStart w:id="232" w:name="_Toc73521678"/>
      <w:bookmarkStart w:id="233" w:name="_Toc73521590"/>
      <w:r>
        <w:rPr>
          <w:sz w:val="24"/>
        </w:rPr>
        <w:t>履约担保</w:t>
      </w:r>
      <w:bookmarkEnd w:id="229"/>
      <w:bookmarkEnd w:id="230"/>
      <w:bookmarkEnd w:id="231"/>
      <w:bookmarkEnd w:id="232"/>
      <w:bookmarkEnd w:id="233"/>
    </w:p>
    <w:p w14:paraId="11D7FF5C">
      <w:pPr>
        <w:numPr>
          <w:ilvl w:val="1"/>
          <w:numId w:val="11"/>
        </w:numPr>
        <w:ind w:hangingChars="432"/>
        <w:rPr>
          <w:szCs w:val="21"/>
        </w:rPr>
      </w:pPr>
      <w:r>
        <w:rPr>
          <w:szCs w:val="21"/>
        </w:rPr>
        <w:t>在签订项目合同的同时，中标人应按“对通用条款的补充内容”中规定的金额向采购单位提交履约保证金；</w:t>
      </w:r>
    </w:p>
    <w:p w14:paraId="65AB050F">
      <w:pPr>
        <w:numPr>
          <w:ilvl w:val="1"/>
          <w:numId w:val="11"/>
        </w:numPr>
        <w:ind w:hangingChars="432"/>
        <w:rPr>
          <w:szCs w:val="21"/>
        </w:rPr>
      </w:pPr>
      <w:r>
        <w:rPr>
          <w:szCs w:val="21"/>
        </w:rPr>
        <w:t>如果中标人不能按本通用条款第49.1款的规定执行，采购单位将有充分的理由通过政府采购监督管理部门废除中标，并没收投标保证金，给采购单位造成的损失超过投标保证金数额的，还应当对超过部分予以赔偿；</w:t>
      </w:r>
    </w:p>
    <w:p w14:paraId="06E15644">
      <w:pPr>
        <w:numPr>
          <w:ilvl w:val="1"/>
          <w:numId w:val="11"/>
        </w:numPr>
        <w:ind w:hangingChars="432"/>
        <w:rPr>
          <w:szCs w:val="21"/>
        </w:rPr>
      </w:pPr>
      <w:r>
        <w:rPr>
          <w:szCs w:val="21"/>
        </w:rPr>
        <w:t>项目服务期满之后，经验收合格后，采购单位在七日内办理解除履约担保手续。</w:t>
      </w:r>
    </w:p>
    <w:p w14:paraId="16E01CAF">
      <w:pPr>
        <w:ind w:left="907"/>
        <w:rPr>
          <w:szCs w:val="21"/>
        </w:rPr>
      </w:pPr>
    </w:p>
    <w:p w14:paraId="50ADD9AC">
      <w:pPr>
        <w:numPr>
          <w:ilvl w:val="0"/>
          <w:numId w:val="10"/>
        </w:numPr>
        <w:ind w:left="1037" w:hanging="1036" w:hangingChars="432"/>
        <w:rPr>
          <w:sz w:val="24"/>
        </w:rPr>
      </w:pPr>
      <w:r>
        <w:rPr>
          <w:sz w:val="24"/>
        </w:rPr>
        <w:t>招标代理服务费</w:t>
      </w:r>
    </w:p>
    <w:p w14:paraId="4DA3989E">
      <w:pPr>
        <w:numPr>
          <w:ilvl w:val="1"/>
          <w:numId w:val="11"/>
        </w:numPr>
        <w:ind w:hangingChars="432"/>
        <w:rPr>
          <w:szCs w:val="21"/>
        </w:rPr>
      </w:pPr>
      <w:r>
        <w:rPr>
          <w:szCs w:val="21"/>
        </w:rPr>
        <w:t>招标代理服务费依据深财购[2018]27号文及相关规定，具体收费标准如下表：</w:t>
      </w:r>
    </w:p>
    <w:tbl>
      <w:tblPr>
        <w:tblStyle w:val="29"/>
        <w:tblW w:w="0" w:type="auto"/>
        <w:jc w:val="right"/>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60"/>
        <w:gridCol w:w="1984"/>
        <w:gridCol w:w="1843"/>
        <w:gridCol w:w="1900"/>
      </w:tblGrid>
      <w:tr w14:paraId="56EAE4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right"/>
        </w:trPr>
        <w:tc>
          <w:tcPr>
            <w:tcW w:w="1760" w:type="dxa"/>
          </w:tcPr>
          <w:p w14:paraId="6ADBC09D">
            <w:r>
              <w:t>中标金额（万元）</w:t>
            </w:r>
          </w:p>
        </w:tc>
        <w:tc>
          <w:tcPr>
            <w:tcW w:w="1984" w:type="dxa"/>
            <w:vAlign w:val="center"/>
          </w:tcPr>
          <w:p w14:paraId="33EDED24">
            <w:pPr>
              <w:jc w:val="center"/>
            </w:pPr>
            <w:r>
              <w:t>货物采购</w:t>
            </w:r>
          </w:p>
        </w:tc>
        <w:tc>
          <w:tcPr>
            <w:tcW w:w="1843" w:type="dxa"/>
            <w:vAlign w:val="center"/>
          </w:tcPr>
          <w:p w14:paraId="2423508E">
            <w:pPr>
              <w:jc w:val="center"/>
            </w:pPr>
            <w:r>
              <w:t>服务采购</w:t>
            </w:r>
          </w:p>
        </w:tc>
        <w:tc>
          <w:tcPr>
            <w:tcW w:w="1900" w:type="dxa"/>
            <w:vAlign w:val="center"/>
          </w:tcPr>
          <w:p w14:paraId="26843180">
            <w:pPr>
              <w:jc w:val="center"/>
            </w:pPr>
            <w:r>
              <w:t>工程采购</w:t>
            </w:r>
          </w:p>
        </w:tc>
      </w:tr>
      <w:tr w14:paraId="5FAEF3E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right"/>
        </w:trPr>
        <w:tc>
          <w:tcPr>
            <w:tcW w:w="1760" w:type="dxa"/>
          </w:tcPr>
          <w:p w14:paraId="7B52FE08">
            <w:r>
              <w:t>100以下</w:t>
            </w:r>
          </w:p>
        </w:tc>
        <w:tc>
          <w:tcPr>
            <w:tcW w:w="1984" w:type="dxa"/>
          </w:tcPr>
          <w:p w14:paraId="0DCD3B80">
            <w:pPr>
              <w:jc w:val="center"/>
            </w:pPr>
            <w:r>
              <w:t>1.5%</w:t>
            </w:r>
          </w:p>
        </w:tc>
        <w:tc>
          <w:tcPr>
            <w:tcW w:w="1843" w:type="dxa"/>
          </w:tcPr>
          <w:p w14:paraId="07C11930">
            <w:pPr>
              <w:jc w:val="center"/>
            </w:pPr>
            <w:r>
              <w:t>1.5%</w:t>
            </w:r>
          </w:p>
        </w:tc>
        <w:tc>
          <w:tcPr>
            <w:tcW w:w="1900" w:type="dxa"/>
          </w:tcPr>
          <w:p w14:paraId="48E46DF5">
            <w:pPr>
              <w:jc w:val="center"/>
            </w:pPr>
            <w:r>
              <w:t>1.0%</w:t>
            </w:r>
          </w:p>
        </w:tc>
      </w:tr>
      <w:tr w14:paraId="63899B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right"/>
        </w:trPr>
        <w:tc>
          <w:tcPr>
            <w:tcW w:w="1760" w:type="dxa"/>
          </w:tcPr>
          <w:p w14:paraId="0CFB5A4D">
            <w:r>
              <w:t>100-500</w:t>
            </w:r>
          </w:p>
        </w:tc>
        <w:tc>
          <w:tcPr>
            <w:tcW w:w="1984" w:type="dxa"/>
          </w:tcPr>
          <w:p w14:paraId="574A3C4E">
            <w:pPr>
              <w:jc w:val="center"/>
            </w:pPr>
            <w:r>
              <w:t>1.1%</w:t>
            </w:r>
          </w:p>
        </w:tc>
        <w:tc>
          <w:tcPr>
            <w:tcW w:w="1843" w:type="dxa"/>
          </w:tcPr>
          <w:p w14:paraId="05AD6E9A">
            <w:pPr>
              <w:jc w:val="center"/>
            </w:pPr>
            <w:r>
              <w:t>0.8%</w:t>
            </w:r>
          </w:p>
        </w:tc>
        <w:tc>
          <w:tcPr>
            <w:tcW w:w="1900" w:type="dxa"/>
          </w:tcPr>
          <w:p w14:paraId="1FDD4F2E">
            <w:pPr>
              <w:jc w:val="center"/>
            </w:pPr>
            <w:r>
              <w:t>0.7%</w:t>
            </w:r>
          </w:p>
        </w:tc>
      </w:tr>
      <w:tr w14:paraId="31B4B5B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right"/>
        </w:trPr>
        <w:tc>
          <w:tcPr>
            <w:tcW w:w="1760" w:type="dxa"/>
          </w:tcPr>
          <w:p w14:paraId="653B0E4F">
            <w:r>
              <w:t>500-1000</w:t>
            </w:r>
          </w:p>
        </w:tc>
        <w:tc>
          <w:tcPr>
            <w:tcW w:w="1984" w:type="dxa"/>
          </w:tcPr>
          <w:p w14:paraId="03D5756C">
            <w:pPr>
              <w:jc w:val="center"/>
            </w:pPr>
            <w:r>
              <w:t>0.8%</w:t>
            </w:r>
          </w:p>
        </w:tc>
        <w:tc>
          <w:tcPr>
            <w:tcW w:w="1843" w:type="dxa"/>
          </w:tcPr>
          <w:p w14:paraId="5E309F42">
            <w:pPr>
              <w:jc w:val="center"/>
            </w:pPr>
            <w:r>
              <w:t>0.45%</w:t>
            </w:r>
          </w:p>
        </w:tc>
        <w:tc>
          <w:tcPr>
            <w:tcW w:w="1900" w:type="dxa"/>
          </w:tcPr>
          <w:p w14:paraId="030DAB45">
            <w:pPr>
              <w:jc w:val="center"/>
            </w:pPr>
            <w:r>
              <w:t>0.55%</w:t>
            </w:r>
          </w:p>
        </w:tc>
      </w:tr>
      <w:tr w14:paraId="4DC8A4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right"/>
        </w:trPr>
        <w:tc>
          <w:tcPr>
            <w:tcW w:w="1760" w:type="dxa"/>
          </w:tcPr>
          <w:p w14:paraId="59495404">
            <w:r>
              <w:t>1000-5000</w:t>
            </w:r>
          </w:p>
        </w:tc>
        <w:tc>
          <w:tcPr>
            <w:tcW w:w="1984" w:type="dxa"/>
          </w:tcPr>
          <w:p w14:paraId="7C3C7FC9">
            <w:pPr>
              <w:jc w:val="center"/>
            </w:pPr>
            <w:r>
              <w:t>0.5%</w:t>
            </w:r>
          </w:p>
        </w:tc>
        <w:tc>
          <w:tcPr>
            <w:tcW w:w="1843" w:type="dxa"/>
          </w:tcPr>
          <w:p w14:paraId="0B0FA30D">
            <w:pPr>
              <w:jc w:val="center"/>
            </w:pPr>
            <w:r>
              <w:t>0.25%</w:t>
            </w:r>
          </w:p>
        </w:tc>
        <w:tc>
          <w:tcPr>
            <w:tcW w:w="1900" w:type="dxa"/>
          </w:tcPr>
          <w:p w14:paraId="781D0476">
            <w:pPr>
              <w:jc w:val="center"/>
            </w:pPr>
            <w:r>
              <w:t>0.35%</w:t>
            </w:r>
          </w:p>
        </w:tc>
      </w:tr>
      <w:tr w14:paraId="784778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right"/>
        </w:trPr>
        <w:tc>
          <w:tcPr>
            <w:tcW w:w="1760" w:type="dxa"/>
          </w:tcPr>
          <w:p w14:paraId="1125D7E1">
            <w:r>
              <w:t>5000-10000</w:t>
            </w:r>
          </w:p>
        </w:tc>
        <w:tc>
          <w:tcPr>
            <w:tcW w:w="1984" w:type="dxa"/>
          </w:tcPr>
          <w:p w14:paraId="7B388D8B">
            <w:pPr>
              <w:jc w:val="center"/>
            </w:pPr>
            <w:r>
              <w:t>0.25%</w:t>
            </w:r>
          </w:p>
        </w:tc>
        <w:tc>
          <w:tcPr>
            <w:tcW w:w="1843" w:type="dxa"/>
          </w:tcPr>
          <w:p w14:paraId="231056E5">
            <w:pPr>
              <w:jc w:val="center"/>
            </w:pPr>
            <w:r>
              <w:t>0.1%</w:t>
            </w:r>
          </w:p>
        </w:tc>
        <w:tc>
          <w:tcPr>
            <w:tcW w:w="1900" w:type="dxa"/>
          </w:tcPr>
          <w:p w14:paraId="5CA07D70">
            <w:pPr>
              <w:jc w:val="center"/>
            </w:pPr>
            <w:r>
              <w:t>0.2%</w:t>
            </w:r>
          </w:p>
        </w:tc>
      </w:tr>
      <w:tr w14:paraId="2CE2842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9" w:hRule="atLeast"/>
          <w:jc w:val="right"/>
        </w:trPr>
        <w:tc>
          <w:tcPr>
            <w:tcW w:w="1760" w:type="dxa"/>
          </w:tcPr>
          <w:p w14:paraId="7A6553E3">
            <w:r>
              <w:t>10000-50000</w:t>
            </w:r>
          </w:p>
        </w:tc>
        <w:tc>
          <w:tcPr>
            <w:tcW w:w="1984" w:type="dxa"/>
          </w:tcPr>
          <w:p w14:paraId="49EBF93D">
            <w:pPr>
              <w:jc w:val="center"/>
            </w:pPr>
            <w:r>
              <w:t>0.05%</w:t>
            </w:r>
          </w:p>
        </w:tc>
        <w:tc>
          <w:tcPr>
            <w:tcW w:w="1843" w:type="dxa"/>
          </w:tcPr>
          <w:p w14:paraId="0A20D424">
            <w:pPr>
              <w:jc w:val="center"/>
            </w:pPr>
            <w:r>
              <w:t>0.05%</w:t>
            </w:r>
          </w:p>
        </w:tc>
        <w:tc>
          <w:tcPr>
            <w:tcW w:w="1900" w:type="dxa"/>
          </w:tcPr>
          <w:p w14:paraId="23B3F2C4">
            <w:pPr>
              <w:jc w:val="center"/>
            </w:pPr>
            <w:r>
              <w:t>0.05%</w:t>
            </w:r>
          </w:p>
        </w:tc>
      </w:tr>
    </w:tbl>
    <w:p w14:paraId="3D53D826">
      <w:pPr>
        <w:ind w:left="907"/>
        <w:rPr>
          <w:szCs w:val="21"/>
        </w:rPr>
      </w:pPr>
      <w:r>
        <w:rPr>
          <w:szCs w:val="21"/>
        </w:rPr>
        <w:t>注：</w:t>
      </w:r>
    </w:p>
    <w:p w14:paraId="6FDCC22B">
      <w:pPr>
        <w:ind w:left="907"/>
        <w:rPr>
          <w:szCs w:val="21"/>
        </w:rPr>
      </w:pPr>
      <w:r>
        <w:rPr>
          <w:szCs w:val="21"/>
        </w:rPr>
        <w:t>(1)以中标通知书中确定的中标总金额作为缴费的计算基数。</w:t>
      </w:r>
    </w:p>
    <w:p w14:paraId="4FA3A26A">
      <w:pPr>
        <w:ind w:left="907"/>
        <w:rPr>
          <w:szCs w:val="21"/>
        </w:rPr>
      </w:pPr>
      <w:r>
        <w:rPr>
          <w:szCs w:val="21"/>
        </w:rPr>
        <w:t>(2)招标代理服务费按差额定率累进法计算。</w:t>
      </w:r>
    </w:p>
    <w:p w14:paraId="3C054D96">
      <w:pPr>
        <w:ind w:left="907"/>
        <w:rPr>
          <w:szCs w:val="21"/>
        </w:rPr>
      </w:pPr>
      <w:r>
        <w:rPr>
          <w:szCs w:val="21"/>
        </w:rPr>
        <w:t>(3)领取中标通知书前向采购代理机构缴纳服务费。</w:t>
      </w:r>
    </w:p>
    <w:p w14:paraId="3B65AB48">
      <w:pPr>
        <w:rPr>
          <w:szCs w:val="21"/>
        </w:rPr>
      </w:pPr>
    </w:p>
    <w:p w14:paraId="60040F15">
      <w:pPr>
        <w:numPr>
          <w:ilvl w:val="0"/>
          <w:numId w:val="10"/>
        </w:numPr>
        <w:rPr>
          <w:sz w:val="24"/>
        </w:rPr>
      </w:pPr>
      <w:r>
        <w:rPr>
          <w:sz w:val="24"/>
        </w:rPr>
        <w:t>宣传</w:t>
      </w:r>
    </w:p>
    <w:p w14:paraId="74DC7E41">
      <w:pPr>
        <w:numPr>
          <w:ilvl w:val="1"/>
          <w:numId w:val="11"/>
        </w:numPr>
        <w:ind w:hangingChars="432"/>
        <w:rPr>
          <w:szCs w:val="21"/>
        </w:rPr>
      </w:pPr>
      <w:r>
        <w:rPr>
          <w:szCs w:val="21"/>
        </w:rPr>
        <w:t>凡与政府采购活动有关的宣传或广告，若当中提及政府采购，必须事先将具体对外宣传方案报采购代理机构，并征得其同意。对外市场宣传包括但不限于以下形式：</w:t>
      </w:r>
    </w:p>
    <w:p w14:paraId="793FE053">
      <w:pPr>
        <w:numPr>
          <w:ilvl w:val="2"/>
          <w:numId w:val="12"/>
        </w:numPr>
        <w:rPr>
          <w:szCs w:val="21"/>
        </w:rPr>
      </w:pPr>
      <w:r>
        <w:rPr>
          <w:szCs w:val="21"/>
        </w:rPr>
        <w:t>名片、宣传册、广告标语等；</w:t>
      </w:r>
    </w:p>
    <w:p w14:paraId="40A0F9F8">
      <w:pPr>
        <w:numPr>
          <w:ilvl w:val="2"/>
          <w:numId w:val="12"/>
        </w:numPr>
        <w:rPr>
          <w:szCs w:val="21"/>
        </w:rPr>
      </w:pPr>
      <w:r>
        <w:rPr>
          <w:szCs w:val="21"/>
        </w:rPr>
        <w:t>案例介绍、推广等；</w:t>
      </w:r>
    </w:p>
    <w:p w14:paraId="721588C8">
      <w:pPr>
        <w:numPr>
          <w:ilvl w:val="2"/>
          <w:numId w:val="12"/>
        </w:numPr>
        <w:rPr>
          <w:szCs w:val="21"/>
        </w:rPr>
      </w:pPr>
      <w:r>
        <w:rPr>
          <w:szCs w:val="21"/>
        </w:rPr>
        <w:t>工作人员向其他消费群体宣传。</w:t>
      </w:r>
    </w:p>
    <w:p w14:paraId="01EF218E">
      <w:pPr>
        <w:ind w:left="907"/>
        <w:rPr>
          <w:szCs w:val="21"/>
        </w:rPr>
      </w:pPr>
    </w:p>
    <w:p w14:paraId="7E9F718F">
      <w:pPr>
        <w:numPr>
          <w:ilvl w:val="0"/>
          <w:numId w:val="10"/>
        </w:numPr>
        <w:rPr>
          <w:sz w:val="24"/>
        </w:rPr>
      </w:pPr>
      <w:r>
        <w:rPr>
          <w:sz w:val="24"/>
        </w:rPr>
        <w:t>腐败和欺诈行为</w:t>
      </w:r>
    </w:p>
    <w:p w14:paraId="6E7030DD">
      <w:pPr>
        <w:numPr>
          <w:ilvl w:val="1"/>
          <w:numId w:val="11"/>
        </w:numPr>
        <w:ind w:hangingChars="432"/>
        <w:rPr>
          <w:szCs w:val="21"/>
        </w:rPr>
      </w:pPr>
      <w:r>
        <w:rPr>
          <w:szCs w:val="21"/>
        </w:rPr>
        <w:t>政府采购要求合同项下的采购人和中标人在合同采购和实施过程中应遵守最高的道德标准。根据本要求，政府采购代理机构将：</w:t>
      </w:r>
    </w:p>
    <w:p w14:paraId="0F58C65B">
      <w:pPr>
        <w:numPr>
          <w:ilvl w:val="2"/>
          <w:numId w:val="12"/>
        </w:numPr>
        <w:rPr>
          <w:szCs w:val="21"/>
        </w:rPr>
      </w:pPr>
      <w:r>
        <w:rPr>
          <w:szCs w:val="21"/>
        </w:rPr>
        <w:t>为此目的，定义下述条件：</w:t>
      </w:r>
    </w:p>
    <w:p w14:paraId="4B5F5FD6">
      <w:pPr>
        <w:ind w:left="907"/>
        <w:rPr>
          <w:szCs w:val="21"/>
        </w:rPr>
      </w:pPr>
      <w:r>
        <w:rPr>
          <w:szCs w:val="21"/>
        </w:rPr>
        <w:t>（a）“腐败行为”是指提供、给予、接受或索取任何有价值的东西来影响招标方或采购人在采购过程或合同实施过程中的行为；</w:t>
      </w:r>
    </w:p>
    <w:p w14:paraId="0384F128">
      <w:pPr>
        <w:ind w:left="907"/>
        <w:rPr>
          <w:szCs w:val="21"/>
        </w:rPr>
      </w:pPr>
      <w:r>
        <w:rPr>
          <w:szCs w:val="21"/>
        </w:rPr>
        <w:t>（b）“欺诈行为”是指为了影响采购过程或合同实施过程而谎报事实，损害招标方或采购人的利益，包括投标人之间串通投标（递交投标书之前和之后），人为地使投标丧失竞争性，剥夺招标方或采购人从自由公开竞争所能获得的权益。</w:t>
      </w:r>
    </w:p>
    <w:p w14:paraId="520FE022">
      <w:pPr>
        <w:numPr>
          <w:ilvl w:val="2"/>
          <w:numId w:val="12"/>
        </w:numPr>
        <w:rPr>
          <w:szCs w:val="21"/>
        </w:rPr>
      </w:pPr>
      <w:r>
        <w:rPr>
          <w:szCs w:val="21"/>
        </w:rPr>
        <w:t>如果评审委员会认为投标人在本合同的竞争中有腐败和欺诈行为，则拒绝接受该投标。</w:t>
      </w:r>
    </w:p>
    <w:p w14:paraId="5005E5B1">
      <w:pPr>
        <w:numPr>
          <w:ilvl w:val="2"/>
          <w:numId w:val="12"/>
        </w:numPr>
        <w:rPr>
          <w:szCs w:val="21"/>
        </w:rPr>
      </w:pPr>
      <w:r>
        <w:rPr>
          <w:szCs w:val="21"/>
        </w:rPr>
        <w:t>如果投标人或中标人在政府采购合同的竞争和实施过程中有腐败和欺诈行为，将依据</w:t>
      </w:r>
      <w:r>
        <w:rPr>
          <w:rFonts w:hint="eastAsia"/>
          <w:szCs w:val="21"/>
        </w:rPr>
        <w:t>《中华人民共和国民法典》</w:t>
      </w:r>
      <w:r>
        <w:rPr>
          <w:szCs w:val="21"/>
        </w:rPr>
        <w:t>、《深圳经济特区政府采购条例》有关法律法规进行处罚。</w:t>
      </w:r>
    </w:p>
    <w:p w14:paraId="78E6D0C2"/>
    <w:p w14:paraId="66AB1591">
      <w:r>
        <w:br w:type="page"/>
      </w:r>
    </w:p>
    <w:p w14:paraId="71BD6A17"/>
    <w:p w14:paraId="78C37034"/>
    <w:p w14:paraId="44853D22"/>
    <w:p w14:paraId="5E4FC0B3"/>
    <w:p w14:paraId="6F781C6A"/>
    <w:p w14:paraId="03115254"/>
    <w:p w14:paraId="33461033"/>
    <w:p w14:paraId="24A98B3D"/>
    <w:p w14:paraId="1E72B453"/>
    <w:p w14:paraId="2DF0B788"/>
    <w:p w14:paraId="594C1ADF"/>
    <w:p w14:paraId="7CF78775"/>
    <w:p w14:paraId="7E3386EC"/>
    <w:p w14:paraId="4CE80A7D"/>
    <w:p w14:paraId="625EEE54"/>
    <w:p w14:paraId="57ADAD2F">
      <w:pPr>
        <w:pStyle w:val="5"/>
      </w:pPr>
      <w:r>
        <w:rPr>
          <w:b w:val="0"/>
          <w:bCs/>
          <w:kern w:val="28"/>
          <w:sz w:val="44"/>
          <w:szCs w:val="44"/>
        </w:rPr>
        <w:t>第十一章  质疑处理</w:t>
      </w:r>
      <w:r>
        <w:rPr>
          <w:b w:val="0"/>
          <w:bCs/>
          <w:kern w:val="28"/>
          <w:sz w:val="44"/>
          <w:szCs w:val="44"/>
        </w:rPr>
        <w:br w:type="page"/>
      </w:r>
    </w:p>
    <w:p w14:paraId="2556077D">
      <w:pPr>
        <w:numPr>
          <w:ilvl w:val="0"/>
          <w:numId w:val="10"/>
        </w:numPr>
        <w:ind w:left="950" w:hanging="950" w:hangingChars="432"/>
        <w:rPr>
          <w:rFonts w:ascii="宋体" w:hAnsi="宋体" w:cs="宋体"/>
          <w:sz w:val="22"/>
          <w:szCs w:val="22"/>
        </w:rPr>
      </w:pPr>
      <w:r>
        <w:rPr>
          <w:rFonts w:hint="eastAsia" w:ascii="宋体" w:hAnsi="宋体" w:cs="宋体"/>
          <w:sz w:val="22"/>
          <w:szCs w:val="22"/>
        </w:rPr>
        <w:t>质疑受理机构</w:t>
      </w:r>
    </w:p>
    <w:p w14:paraId="6E4A40FB">
      <w:pPr>
        <w:numPr>
          <w:ilvl w:val="1"/>
          <w:numId w:val="11"/>
        </w:numPr>
        <w:ind w:left="950" w:hanging="950" w:hangingChars="432"/>
        <w:rPr>
          <w:rFonts w:ascii="宋体" w:hAnsi="宋体" w:cs="宋体"/>
          <w:sz w:val="22"/>
          <w:szCs w:val="22"/>
        </w:rPr>
      </w:pPr>
      <w:r>
        <w:rPr>
          <w:rFonts w:hint="eastAsia" w:ascii="宋体" w:hAnsi="宋体" w:cs="宋体"/>
          <w:sz w:val="22"/>
          <w:szCs w:val="22"/>
        </w:rPr>
        <w:t>采购代理机构负责受理和答复质疑。</w:t>
      </w:r>
    </w:p>
    <w:p w14:paraId="786C797E">
      <w:pPr>
        <w:rPr>
          <w:rFonts w:ascii="宋体" w:hAnsi="宋体" w:cs="宋体"/>
          <w:sz w:val="22"/>
          <w:szCs w:val="22"/>
        </w:rPr>
      </w:pPr>
    </w:p>
    <w:p w14:paraId="7C3C1711">
      <w:pPr>
        <w:numPr>
          <w:ilvl w:val="0"/>
          <w:numId w:val="10"/>
        </w:numPr>
        <w:ind w:left="950" w:hanging="950" w:hangingChars="432"/>
        <w:rPr>
          <w:rFonts w:ascii="宋体" w:hAnsi="宋体" w:cs="宋体"/>
          <w:sz w:val="22"/>
          <w:szCs w:val="22"/>
        </w:rPr>
      </w:pPr>
      <w:r>
        <w:rPr>
          <w:rFonts w:hint="eastAsia" w:ascii="宋体" w:hAnsi="宋体" w:cs="宋体"/>
          <w:sz w:val="22"/>
          <w:szCs w:val="22"/>
        </w:rPr>
        <w:t>质疑处理原则</w:t>
      </w:r>
    </w:p>
    <w:p w14:paraId="348C57D0">
      <w:pPr>
        <w:numPr>
          <w:ilvl w:val="1"/>
          <w:numId w:val="11"/>
        </w:numPr>
        <w:ind w:left="950" w:hanging="950" w:hangingChars="432"/>
        <w:rPr>
          <w:rFonts w:ascii="宋体" w:hAnsi="宋体" w:cs="宋体"/>
          <w:sz w:val="22"/>
          <w:szCs w:val="22"/>
        </w:rPr>
      </w:pPr>
      <w:r>
        <w:rPr>
          <w:rFonts w:hint="eastAsia" w:ascii="宋体" w:hAnsi="宋体" w:cs="宋体"/>
          <w:sz w:val="22"/>
          <w:szCs w:val="22"/>
        </w:rPr>
        <w:t>质疑处理遵循公平、公正、规范、高效的原则。</w:t>
      </w:r>
    </w:p>
    <w:p w14:paraId="76D7AC86">
      <w:pPr>
        <w:numPr>
          <w:ilvl w:val="1"/>
          <w:numId w:val="11"/>
        </w:numPr>
        <w:ind w:left="950" w:hanging="950" w:hangingChars="432"/>
        <w:rPr>
          <w:rFonts w:ascii="宋体" w:hAnsi="宋体" w:cs="宋体"/>
          <w:sz w:val="22"/>
          <w:szCs w:val="22"/>
        </w:rPr>
      </w:pPr>
      <w:r>
        <w:rPr>
          <w:rFonts w:hint="eastAsia" w:ascii="宋体" w:hAnsi="宋体" w:cs="宋体"/>
          <w:sz w:val="22"/>
          <w:szCs w:val="22"/>
        </w:rPr>
        <w:t>供应商质疑实行实名制和“谁质疑，谁举证”的原则，质疑应有具体的事项及事实根据。</w:t>
      </w:r>
    </w:p>
    <w:p w14:paraId="22658E29">
      <w:pPr>
        <w:ind w:left="907"/>
        <w:rPr>
          <w:rFonts w:ascii="宋体" w:hAnsi="宋体" w:cs="宋体"/>
          <w:sz w:val="22"/>
          <w:szCs w:val="22"/>
        </w:rPr>
      </w:pPr>
    </w:p>
    <w:p w14:paraId="579C6AE3">
      <w:pPr>
        <w:numPr>
          <w:ilvl w:val="0"/>
          <w:numId w:val="10"/>
        </w:numPr>
        <w:ind w:left="950" w:hanging="950" w:hangingChars="432"/>
        <w:rPr>
          <w:rFonts w:ascii="宋体" w:hAnsi="宋体" w:cs="宋体"/>
          <w:sz w:val="22"/>
          <w:szCs w:val="22"/>
        </w:rPr>
      </w:pPr>
      <w:r>
        <w:rPr>
          <w:rFonts w:hint="eastAsia" w:ascii="宋体" w:hAnsi="宋体" w:cs="宋体"/>
          <w:sz w:val="22"/>
          <w:szCs w:val="22"/>
        </w:rPr>
        <w:t>质疑受理的时效和范围</w:t>
      </w:r>
    </w:p>
    <w:p w14:paraId="46B6422D">
      <w:pPr>
        <w:numPr>
          <w:ilvl w:val="1"/>
          <w:numId w:val="11"/>
        </w:numPr>
        <w:ind w:left="950" w:hanging="950" w:hangingChars="432"/>
        <w:rPr>
          <w:rFonts w:ascii="宋体" w:hAnsi="宋体" w:cs="宋体"/>
          <w:sz w:val="22"/>
          <w:szCs w:val="22"/>
        </w:rPr>
      </w:pPr>
      <w:r>
        <w:rPr>
          <w:rFonts w:hint="eastAsia" w:ascii="宋体" w:hAnsi="宋体" w:cs="宋体"/>
          <w:sz w:val="22"/>
          <w:szCs w:val="22"/>
        </w:rPr>
        <w:t>供应商认为采购文件、采购过程和中标、成交结果使自己权益受到损害的，可以在知道或者应知其权益受到损害之日起七个工作日内，以书面形式向政府采购代理机构提出质疑。</w:t>
      </w:r>
    </w:p>
    <w:p w14:paraId="776BC47C">
      <w:pPr>
        <w:numPr>
          <w:ilvl w:val="1"/>
          <w:numId w:val="11"/>
        </w:numPr>
        <w:ind w:left="950" w:hanging="950" w:hangingChars="432"/>
        <w:rPr>
          <w:rFonts w:ascii="宋体" w:hAnsi="宋体" w:cs="宋体"/>
          <w:sz w:val="22"/>
          <w:szCs w:val="22"/>
        </w:rPr>
      </w:pPr>
      <w:r>
        <w:rPr>
          <w:rFonts w:hint="eastAsia" w:ascii="宋体" w:hAnsi="宋体" w:cs="宋体"/>
          <w:sz w:val="22"/>
          <w:szCs w:val="22"/>
        </w:rPr>
        <w:t>供应商对采购文件有疑问的，政府采购代理机构按答疑程序处理；供应商对采购文件有异议的，按质疑程序处理。</w:t>
      </w:r>
    </w:p>
    <w:p w14:paraId="47BD9EB2">
      <w:pPr>
        <w:numPr>
          <w:ilvl w:val="1"/>
          <w:numId w:val="11"/>
        </w:numPr>
        <w:ind w:left="950" w:hanging="950" w:hangingChars="432"/>
        <w:rPr>
          <w:rFonts w:ascii="宋体" w:hAnsi="宋体" w:cs="宋体"/>
          <w:sz w:val="22"/>
          <w:szCs w:val="22"/>
        </w:rPr>
      </w:pPr>
      <w:r>
        <w:rPr>
          <w:rFonts w:hint="eastAsia" w:ascii="宋体" w:hAnsi="宋体" w:cs="宋体"/>
          <w:sz w:val="22"/>
        </w:rPr>
        <w:t>供应商在法定质疑期内一次性提出针对同一采购程序环节的质疑。</w:t>
      </w:r>
    </w:p>
    <w:p w14:paraId="18B62C7D">
      <w:pPr>
        <w:ind w:left="907"/>
        <w:rPr>
          <w:rFonts w:ascii="宋体" w:hAnsi="宋体" w:cs="宋体"/>
          <w:sz w:val="22"/>
          <w:szCs w:val="22"/>
        </w:rPr>
      </w:pPr>
    </w:p>
    <w:p w14:paraId="61F2B927">
      <w:pPr>
        <w:numPr>
          <w:ilvl w:val="0"/>
          <w:numId w:val="10"/>
        </w:numPr>
        <w:ind w:left="950" w:hanging="950" w:hangingChars="432"/>
        <w:rPr>
          <w:rFonts w:ascii="宋体" w:hAnsi="宋体" w:cs="宋体"/>
          <w:sz w:val="22"/>
          <w:szCs w:val="22"/>
        </w:rPr>
      </w:pPr>
      <w:r>
        <w:rPr>
          <w:rFonts w:hint="eastAsia" w:ascii="宋体" w:hAnsi="宋体" w:cs="宋体"/>
          <w:sz w:val="22"/>
          <w:szCs w:val="22"/>
        </w:rPr>
        <w:t>质疑条件</w:t>
      </w:r>
    </w:p>
    <w:p w14:paraId="1AB758F7">
      <w:pPr>
        <w:numPr>
          <w:ilvl w:val="1"/>
          <w:numId w:val="11"/>
        </w:numPr>
        <w:ind w:left="950" w:hanging="950" w:hangingChars="432"/>
        <w:rPr>
          <w:rFonts w:ascii="宋体" w:hAnsi="宋体" w:cs="宋体"/>
          <w:sz w:val="22"/>
          <w:szCs w:val="22"/>
        </w:rPr>
      </w:pPr>
      <w:r>
        <w:rPr>
          <w:rFonts w:hint="eastAsia" w:ascii="宋体" w:hAnsi="宋体" w:cs="宋体"/>
          <w:sz w:val="22"/>
          <w:szCs w:val="22"/>
        </w:rPr>
        <w:t>提出质疑的应是直接参与相应采购项目的供应商。以联合体形式参与的，由联合体共同提出；</w:t>
      </w:r>
    </w:p>
    <w:p w14:paraId="64B33F0E">
      <w:pPr>
        <w:numPr>
          <w:ilvl w:val="1"/>
          <w:numId w:val="11"/>
        </w:numPr>
        <w:ind w:left="950" w:hanging="950" w:hangingChars="432"/>
        <w:rPr>
          <w:rFonts w:ascii="宋体" w:hAnsi="宋体" w:cs="宋体"/>
          <w:sz w:val="22"/>
          <w:szCs w:val="22"/>
        </w:rPr>
      </w:pPr>
      <w:r>
        <w:rPr>
          <w:rFonts w:hint="eastAsia" w:ascii="宋体" w:hAnsi="宋体" w:cs="宋体"/>
          <w:sz w:val="22"/>
          <w:szCs w:val="22"/>
        </w:rPr>
        <w:t>提供质疑的项目名称和编号、质疑供应商的单位名称、详细地址、邮政编码、联系人及联系电话等基本情况；</w:t>
      </w:r>
    </w:p>
    <w:p w14:paraId="7FAB75FE">
      <w:pPr>
        <w:numPr>
          <w:ilvl w:val="1"/>
          <w:numId w:val="11"/>
        </w:numPr>
        <w:ind w:left="950" w:hanging="950" w:hangingChars="432"/>
        <w:rPr>
          <w:rFonts w:ascii="宋体" w:hAnsi="宋体" w:cs="宋体"/>
          <w:sz w:val="22"/>
          <w:szCs w:val="22"/>
        </w:rPr>
      </w:pPr>
      <w:r>
        <w:rPr>
          <w:rFonts w:hint="eastAsia" w:ascii="宋体" w:hAnsi="宋体" w:cs="宋体"/>
          <w:sz w:val="22"/>
          <w:szCs w:val="22"/>
        </w:rPr>
        <w:t>有质疑的具体事项、请求及理由，并附相关证据材料；</w:t>
      </w:r>
    </w:p>
    <w:p w14:paraId="6AAF77C7">
      <w:pPr>
        <w:numPr>
          <w:ilvl w:val="1"/>
          <w:numId w:val="11"/>
        </w:numPr>
        <w:ind w:left="950" w:hanging="950" w:hangingChars="432"/>
        <w:rPr>
          <w:rFonts w:ascii="宋体" w:hAnsi="宋体" w:cs="宋体"/>
          <w:sz w:val="22"/>
          <w:szCs w:val="22"/>
        </w:rPr>
      </w:pPr>
      <w:r>
        <w:rPr>
          <w:rFonts w:hint="eastAsia" w:ascii="宋体" w:hAnsi="宋体" w:cs="宋体"/>
          <w:sz w:val="22"/>
          <w:szCs w:val="22"/>
        </w:rPr>
        <w:t>质疑书加盖公章，被授权人进行质疑的同时提交法人授权委托书；</w:t>
      </w:r>
    </w:p>
    <w:p w14:paraId="168CD862">
      <w:pPr>
        <w:numPr>
          <w:ilvl w:val="1"/>
          <w:numId w:val="11"/>
        </w:numPr>
        <w:ind w:left="950" w:hanging="950" w:hangingChars="432"/>
        <w:rPr>
          <w:rFonts w:ascii="宋体" w:hAnsi="宋体" w:cs="宋体"/>
          <w:sz w:val="22"/>
          <w:szCs w:val="22"/>
        </w:rPr>
      </w:pPr>
      <w:r>
        <w:rPr>
          <w:rFonts w:hint="eastAsia" w:ascii="宋体" w:hAnsi="宋体" w:cs="宋体"/>
          <w:sz w:val="22"/>
          <w:szCs w:val="22"/>
        </w:rPr>
        <w:t>质疑材料中有外文资料的，应一并附上中文译本，并以中文译本为准。</w:t>
      </w:r>
    </w:p>
    <w:p w14:paraId="101CCDC7">
      <w:pPr>
        <w:ind w:left="907"/>
        <w:rPr>
          <w:rFonts w:ascii="宋体" w:hAnsi="宋体" w:cs="宋体"/>
          <w:sz w:val="22"/>
          <w:szCs w:val="22"/>
        </w:rPr>
      </w:pPr>
    </w:p>
    <w:p w14:paraId="41BAE909">
      <w:pPr>
        <w:numPr>
          <w:ilvl w:val="0"/>
          <w:numId w:val="10"/>
        </w:numPr>
        <w:ind w:left="950" w:hanging="950" w:hangingChars="432"/>
        <w:rPr>
          <w:rFonts w:ascii="宋体" w:hAnsi="宋体" w:cs="宋体"/>
          <w:sz w:val="22"/>
          <w:szCs w:val="22"/>
        </w:rPr>
      </w:pPr>
      <w:r>
        <w:rPr>
          <w:rFonts w:hint="eastAsia" w:ascii="宋体" w:hAnsi="宋体" w:cs="宋体"/>
          <w:sz w:val="22"/>
          <w:szCs w:val="22"/>
        </w:rPr>
        <w:t>受理质疑办理程序</w:t>
      </w:r>
    </w:p>
    <w:p w14:paraId="6E8A3847">
      <w:pPr>
        <w:numPr>
          <w:ilvl w:val="1"/>
          <w:numId w:val="11"/>
        </w:numPr>
        <w:ind w:left="950" w:hanging="950" w:hangingChars="432"/>
        <w:rPr>
          <w:rFonts w:ascii="宋体" w:hAnsi="宋体" w:cs="宋体"/>
          <w:sz w:val="22"/>
          <w:szCs w:val="22"/>
        </w:rPr>
      </w:pPr>
      <w:r>
        <w:rPr>
          <w:rFonts w:hint="eastAsia" w:ascii="宋体" w:hAnsi="宋体" w:cs="宋体"/>
          <w:sz w:val="22"/>
          <w:szCs w:val="22"/>
        </w:rPr>
        <w:t>先与质疑供应商进行沟通，以消除因误解或对采购规则和程序的不了解而引起的质疑。对沟通情况满意的，供应商撤回质疑，质疑处理程序终止。</w:t>
      </w:r>
    </w:p>
    <w:p w14:paraId="6E2D164D">
      <w:pPr>
        <w:numPr>
          <w:ilvl w:val="1"/>
          <w:numId w:val="11"/>
        </w:numPr>
        <w:ind w:left="950" w:hanging="950" w:hangingChars="432"/>
        <w:rPr>
          <w:rFonts w:ascii="宋体" w:hAnsi="宋体" w:cs="宋体"/>
          <w:sz w:val="22"/>
          <w:szCs w:val="22"/>
        </w:rPr>
      </w:pPr>
      <w:r>
        <w:rPr>
          <w:rFonts w:hint="eastAsia" w:ascii="宋体" w:hAnsi="宋体" w:cs="宋体"/>
          <w:sz w:val="22"/>
          <w:szCs w:val="22"/>
        </w:rPr>
        <w:t>处理质疑一般进行书面审查；必要时听取各方当事人的陈述和申辩、进行相关调查；组织原评审委员会或谈判小组进行复议。</w:t>
      </w:r>
    </w:p>
    <w:p w14:paraId="7A80E4BA">
      <w:pPr>
        <w:numPr>
          <w:ilvl w:val="1"/>
          <w:numId w:val="11"/>
        </w:numPr>
        <w:ind w:left="950" w:hanging="950" w:hangingChars="432"/>
        <w:rPr>
          <w:rFonts w:ascii="宋体" w:hAnsi="宋体" w:cs="宋体"/>
          <w:sz w:val="22"/>
          <w:szCs w:val="22"/>
        </w:rPr>
      </w:pPr>
      <w:r>
        <w:rPr>
          <w:rFonts w:hint="eastAsia" w:ascii="宋体" w:hAnsi="宋体" w:cs="宋体"/>
          <w:sz w:val="22"/>
          <w:szCs w:val="22"/>
        </w:rPr>
        <w:t>在质疑处理期间，采购代理机构视情形决定暂停采购活动。</w:t>
      </w:r>
    </w:p>
    <w:p w14:paraId="531C3FCB">
      <w:pPr>
        <w:numPr>
          <w:ilvl w:val="1"/>
          <w:numId w:val="11"/>
        </w:numPr>
        <w:ind w:left="950" w:hanging="950" w:hangingChars="432"/>
        <w:rPr>
          <w:rFonts w:ascii="宋体" w:hAnsi="宋体" w:cs="宋体"/>
          <w:sz w:val="22"/>
          <w:szCs w:val="22"/>
        </w:rPr>
      </w:pPr>
      <w:r>
        <w:rPr>
          <w:rFonts w:hint="eastAsia" w:ascii="宋体" w:hAnsi="宋体" w:cs="宋体"/>
          <w:sz w:val="22"/>
          <w:szCs w:val="22"/>
        </w:rPr>
        <w:t>采购代理机构原则上在质疑受理之日起七个工作日内书面答复质疑供应商。答复函以直接领取、传真或邮寄方式送达。</w:t>
      </w:r>
    </w:p>
    <w:p w14:paraId="477B311D">
      <w:pPr>
        <w:numPr>
          <w:ilvl w:val="1"/>
          <w:numId w:val="11"/>
        </w:numPr>
        <w:ind w:left="950" w:hanging="950" w:hangingChars="432"/>
        <w:rPr>
          <w:rFonts w:ascii="宋体" w:hAnsi="宋体" w:cs="宋体"/>
          <w:sz w:val="22"/>
          <w:szCs w:val="22"/>
        </w:rPr>
      </w:pPr>
      <w:r>
        <w:rPr>
          <w:rFonts w:hint="eastAsia" w:ascii="宋体" w:hAnsi="宋体" w:cs="宋体"/>
          <w:sz w:val="22"/>
          <w:szCs w:val="22"/>
        </w:rPr>
        <w:t>供应商向采购代理机构提出质疑后，在质疑处理期限内，不得同时向其他方面提起同一质疑。</w:t>
      </w:r>
    </w:p>
    <w:p w14:paraId="2505E338">
      <w:pPr>
        <w:ind w:left="907"/>
        <w:rPr>
          <w:rFonts w:ascii="宋体" w:hAnsi="宋体" w:cs="宋体"/>
          <w:sz w:val="22"/>
          <w:szCs w:val="22"/>
        </w:rPr>
      </w:pPr>
    </w:p>
    <w:p w14:paraId="5792D57C">
      <w:pPr>
        <w:numPr>
          <w:ilvl w:val="0"/>
          <w:numId w:val="10"/>
        </w:numPr>
        <w:ind w:left="950" w:hanging="950" w:hangingChars="432"/>
        <w:rPr>
          <w:rFonts w:ascii="宋体" w:hAnsi="宋体" w:cs="宋体"/>
          <w:sz w:val="22"/>
          <w:szCs w:val="22"/>
        </w:rPr>
      </w:pPr>
      <w:r>
        <w:rPr>
          <w:rFonts w:hint="eastAsia" w:ascii="宋体" w:hAnsi="宋体" w:cs="宋体"/>
          <w:sz w:val="22"/>
          <w:szCs w:val="22"/>
        </w:rPr>
        <w:t>相关责任与义务</w:t>
      </w:r>
    </w:p>
    <w:p w14:paraId="4E22B513">
      <w:pPr>
        <w:numPr>
          <w:ilvl w:val="1"/>
          <w:numId w:val="11"/>
        </w:numPr>
        <w:ind w:left="950" w:hanging="950" w:hangingChars="432"/>
        <w:rPr>
          <w:rFonts w:ascii="宋体" w:hAnsi="宋体" w:cs="宋体"/>
          <w:sz w:val="22"/>
          <w:szCs w:val="22"/>
        </w:rPr>
      </w:pPr>
      <w:r>
        <w:rPr>
          <w:rFonts w:hint="eastAsia" w:ascii="宋体" w:hAnsi="宋体" w:cs="宋体"/>
          <w:sz w:val="22"/>
          <w:szCs w:val="22"/>
        </w:rPr>
        <w:t>采购单位、评标专家和相关供应商等当事人应积极配合政府采购代理机构进行质疑调查，如实反映情况，及时提供证明材料。</w:t>
      </w:r>
    </w:p>
    <w:p w14:paraId="03EDC1FF">
      <w:pPr>
        <w:numPr>
          <w:ilvl w:val="1"/>
          <w:numId w:val="11"/>
        </w:numPr>
        <w:ind w:left="950" w:hanging="950" w:hangingChars="432"/>
        <w:rPr>
          <w:rFonts w:ascii="宋体" w:hAnsi="宋体" w:cs="宋体"/>
          <w:sz w:val="22"/>
          <w:szCs w:val="22"/>
        </w:rPr>
      </w:pPr>
      <w:r>
        <w:rPr>
          <w:rFonts w:hint="eastAsia" w:ascii="宋体" w:hAnsi="宋体" w:cs="宋体"/>
          <w:sz w:val="22"/>
          <w:szCs w:val="22"/>
        </w:rPr>
        <w:t>质疑供应商有下列情形之一的，属于虚假、恶意质疑，并视情节提请政府采购监督管理部门给予一定年限内禁止参与政府采购活动资格或其他处罚：</w:t>
      </w:r>
    </w:p>
    <w:p w14:paraId="3FDC3420">
      <w:pPr>
        <w:numPr>
          <w:ilvl w:val="1"/>
          <w:numId w:val="11"/>
        </w:numPr>
        <w:ind w:left="950" w:hanging="950" w:hangingChars="432"/>
        <w:rPr>
          <w:rFonts w:ascii="宋体" w:hAnsi="宋体" w:cs="宋体"/>
          <w:sz w:val="22"/>
          <w:szCs w:val="22"/>
        </w:rPr>
      </w:pPr>
      <w:r>
        <w:rPr>
          <w:rFonts w:hint="eastAsia" w:ascii="宋体" w:hAnsi="宋体" w:cs="宋体"/>
          <w:sz w:val="22"/>
          <w:szCs w:val="22"/>
        </w:rPr>
        <w:t>捏造事实或提供虚假证明材料的；</w:t>
      </w:r>
    </w:p>
    <w:p w14:paraId="4FF6D801">
      <w:pPr>
        <w:numPr>
          <w:ilvl w:val="1"/>
          <w:numId w:val="11"/>
        </w:numPr>
        <w:ind w:left="950" w:hanging="950" w:hangingChars="432"/>
        <w:rPr>
          <w:rFonts w:ascii="宋体" w:hAnsi="宋体" w:cs="宋体"/>
          <w:sz w:val="22"/>
          <w:szCs w:val="22"/>
        </w:rPr>
      </w:pPr>
      <w:r>
        <w:rPr>
          <w:rFonts w:hint="eastAsia" w:ascii="宋体" w:hAnsi="宋体" w:cs="宋体"/>
          <w:sz w:val="22"/>
          <w:szCs w:val="22"/>
        </w:rPr>
        <w:t>假冒他人名义进行质疑的；</w:t>
      </w:r>
    </w:p>
    <w:p w14:paraId="4FC1E1E0">
      <w:pPr>
        <w:numPr>
          <w:ilvl w:val="1"/>
          <w:numId w:val="11"/>
        </w:numPr>
        <w:ind w:left="950" w:hanging="950" w:hangingChars="432"/>
        <w:rPr>
          <w:rFonts w:ascii="宋体" w:hAnsi="宋体" w:cs="宋体"/>
          <w:sz w:val="22"/>
          <w:szCs w:val="22"/>
        </w:rPr>
      </w:pPr>
      <w:r>
        <w:rPr>
          <w:rFonts w:hint="eastAsia" w:ascii="宋体" w:hAnsi="宋体" w:cs="宋体"/>
          <w:sz w:val="22"/>
          <w:szCs w:val="22"/>
        </w:rPr>
        <w:t>拒不配合进行有关调查、情节严重的。</w:t>
      </w:r>
    </w:p>
    <w:p w14:paraId="795291F5">
      <w:pPr>
        <w:pStyle w:val="28"/>
        <w:ind w:firstLine="440"/>
        <w:rPr>
          <w:rFonts w:ascii="宋体" w:hAnsi="宋体" w:cs="宋体"/>
          <w:sz w:val="22"/>
          <w:szCs w:val="22"/>
        </w:rPr>
      </w:pPr>
    </w:p>
    <w:p w14:paraId="771B7B44">
      <w:pPr>
        <w:rPr>
          <w:rFonts w:ascii="宋体" w:hAnsi="宋体" w:cs="宋体"/>
          <w:sz w:val="22"/>
          <w:szCs w:val="22"/>
        </w:rPr>
      </w:pPr>
    </w:p>
    <w:p w14:paraId="0F1C996F">
      <w:pPr>
        <w:pStyle w:val="28"/>
        <w:ind w:firstLine="440"/>
        <w:rPr>
          <w:rFonts w:ascii="宋体" w:hAnsi="宋体" w:cs="宋体"/>
          <w:sz w:val="22"/>
          <w:szCs w:val="22"/>
        </w:rPr>
      </w:pPr>
    </w:p>
    <w:p w14:paraId="45C56E52"/>
    <w:p w14:paraId="2FA198FA">
      <w:pPr>
        <w:jc w:val="center"/>
        <w:rPr>
          <w:b/>
          <w:bCs/>
          <w:kern w:val="28"/>
          <w:sz w:val="44"/>
          <w:szCs w:val="44"/>
        </w:rPr>
      </w:pPr>
      <w:r>
        <w:rPr>
          <w:b/>
          <w:bCs/>
          <w:kern w:val="28"/>
          <w:sz w:val="44"/>
          <w:szCs w:val="44"/>
        </w:rPr>
        <w:t>第</w:t>
      </w:r>
      <w:r>
        <w:rPr>
          <w:rFonts w:hint="eastAsia"/>
          <w:b/>
          <w:bCs/>
          <w:kern w:val="28"/>
          <w:sz w:val="44"/>
          <w:szCs w:val="44"/>
        </w:rPr>
        <w:t>三</w:t>
      </w:r>
      <w:r>
        <w:rPr>
          <w:b/>
          <w:bCs/>
          <w:kern w:val="28"/>
          <w:sz w:val="44"/>
          <w:szCs w:val="44"/>
        </w:rPr>
        <w:t xml:space="preserve">册  </w:t>
      </w:r>
      <w:r>
        <w:rPr>
          <w:rFonts w:hint="eastAsia"/>
          <w:b/>
          <w:bCs/>
          <w:kern w:val="28"/>
          <w:sz w:val="44"/>
          <w:szCs w:val="44"/>
        </w:rPr>
        <w:t>附件</w:t>
      </w:r>
    </w:p>
    <w:p w14:paraId="3DCB645E">
      <w:pPr>
        <w:pStyle w:val="25"/>
        <w:shd w:val="clear" w:color="auto" w:fill="FFFFFF"/>
        <w:jc w:val="center"/>
        <w:rPr>
          <w:rFonts w:ascii="宋体" w:hAnsi="宋体" w:cs="宋体"/>
          <w:b/>
          <w:bCs/>
          <w:color w:val="333333"/>
          <w:sz w:val="21"/>
          <w:szCs w:val="21"/>
        </w:rPr>
      </w:pPr>
      <w:bookmarkStart w:id="234" w:name="_Toc73610162"/>
      <w:bookmarkStart w:id="235" w:name="_Toc73613644"/>
    </w:p>
    <w:p w14:paraId="5AE444DF">
      <w:pPr>
        <w:pStyle w:val="25"/>
        <w:shd w:val="clear" w:color="auto" w:fill="FFFFFF"/>
        <w:jc w:val="center"/>
        <w:rPr>
          <w:rFonts w:ascii="宋体" w:hAnsi="宋体" w:cs="宋体"/>
          <w:b/>
          <w:bCs/>
          <w:color w:val="333333"/>
          <w:sz w:val="21"/>
          <w:szCs w:val="21"/>
        </w:rPr>
      </w:pPr>
    </w:p>
    <w:p w14:paraId="159E105D">
      <w:pPr>
        <w:pStyle w:val="25"/>
        <w:shd w:val="clear" w:color="auto" w:fill="FFFFFF"/>
        <w:jc w:val="center"/>
        <w:rPr>
          <w:rFonts w:ascii="宋体" w:hAnsi="宋体" w:cs="宋体"/>
          <w:b/>
          <w:bCs/>
          <w:color w:val="333333"/>
          <w:sz w:val="21"/>
          <w:szCs w:val="21"/>
        </w:rPr>
      </w:pPr>
      <w:r>
        <w:rPr>
          <w:rFonts w:hint="eastAsia" w:ascii="宋体" w:hAnsi="宋体" w:cs="宋体"/>
          <w:b/>
          <w:bCs/>
          <w:color w:val="333333"/>
          <w:sz w:val="21"/>
          <w:szCs w:val="21"/>
        </w:rPr>
        <w:t>一、财政部 工业和信息化部关于印发《政府采购促进中小企业发展管理办法》的通知</w:t>
      </w:r>
      <w:bookmarkEnd w:id="234"/>
      <w:bookmarkEnd w:id="235"/>
    </w:p>
    <w:p w14:paraId="0B55C5DE"/>
    <w:p w14:paraId="2423EE31"/>
    <w:p w14:paraId="5DA6BFB0">
      <w:pPr>
        <w:pStyle w:val="25"/>
        <w:shd w:val="clear" w:color="auto" w:fill="FFFFFF"/>
        <w:jc w:val="center"/>
        <w:rPr>
          <w:rFonts w:ascii="宋体" w:hAnsi="宋体" w:cs="宋体"/>
          <w:color w:val="000000"/>
          <w:sz w:val="21"/>
          <w:szCs w:val="21"/>
        </w:rPr>
      </w:pPr>
      <w:r>
        <w:rPr>
          <w:rFonts w:hint="eastAsia" w:ascii="宋体" w:hAnsi="宋体" w:cs="宋体"/>
          <w:color w:val="000000"/>
          <w:sz w:val="21"/>
          <w:szCs w:val="21"/>
        </w:rPr>
        <w:t>财库〔2020〕46号</w:t>
      </w:r>
    </w:p>
    <w:p w14:paraId="3D42D9B6">
      <w:pPr>
        <w:pStyle w:val="25"/>
        <w:shd w:val="clear" w:color="auto" w:fill="FFFFFF"/>
        <w:rPr>
          <w:rFonts w:ascii="宋体" w:hAnsi="宋体" w:cs="宋体"/>
          <w:color w:val="333333"/>
          <w:sz w:val="21"/>
          <w:szCs w:val="21"/>
        </w:rPr>
      </w:pPr>
      <w:r>
        <w:rPr>
          <w:rFonts w:hint="eastAsia" w:ascii="宋体" w:hAnsi="宋体" w:cs="宋体"/>
          <w:color w:val="333333"/>
          <w:sz w:val="21"/>
          <w:szCs w:val="21"/>
        </w:rPr>
        <w:t>各中央预算单位办公厅（室），各省、自治区、直辖市、计划单列市财政厅（局）、工业和信息化主管部门，新疆生产建设兵团财政局、工业和信息化主管部门：</w:t>
      </w:r>
    </w:p>
    <w:p w14:paraId="0852AE35">
      <w:pPr>
        <w:pStyle w:val="25"/>
        <w:shd w:val="clear" w:color="auto" w:fill="FFFFFF"/>
        <w:ind w:firstLine="480"/>
        <w:rPr>
          <w:rFonts w:ascii="宋体" w:hAnsi="宋体" w:cs="宋体"/>
          <w:color w:val="333333"/>
          <w:sz w:val="21"/>
          <w:szCs w:val="21"/>
        </w:rPr>
      </w:pPr>
      <w:r>
        <w:rPr>
          <w:rFonts w:hint="eastAsia" w:ascii="宋体" w:hAnsi="宋体" w:cs="宋体"/>
          <w:color w:val="333333"/>
          <w:sz w:val="21"/>
          <w:szCs w:val="21"/>
        </w:rPr>
        <w:t>为贯彻落实《关于促进中小企业健康发展的指导意见》，发挥政府采购政策功能，促进中小企业发展，根据《中华人民共和国政府采购法》、《中华人民共和国中小企业促进法》等法律法规，财政部、工业和信息化部制定了《政府采购促进中小企业发展管理办法》。现印发给你们，请遵照执行。</w:t>
      </w:r>
    </w:p>
    <w:p w14:paraId="610CE307">
      <w:pPr>
        <w:pStyle w:val="25"/>
        <w:shd w:val="clear" w:color="auto" w:fill="FFFFFF"/>
        <w:ind w:firstLine="480"/>
        <w:rPr>
          <w:rFonts w:ascii="宋体" w:hAnsi="宋体" w:cs="宋体"/>
          <w:color w:val="333333"/>
          <w:sz w:val="21"/>
          <w:szCs w:val="21"/>
        </w:rPr>
      </w:pPr>
      <w:r>
        <w:rPr>
          <w:rFonts w:hint="eastAsia" w:ascii="宋体" w:hAnsi="宋体" w:cs="宋体"/>
          <w:color w:val="333333"/>
          <w:sz w:val="21"/>
          <w:szCs w:val="21"/>
        </w:rPr>
        <w:t>附件：政府采购促进中小企业发展管理办法</w:t>
      </w:r>
    </w:p>
    <w:p w14:paraId="2FF9E24D">
      <w:pPr>
        <w:pStyle w:val="25"/>
        <w:shd w:val="clear" w:color="auto" w:fill="FFFFFF"/>
        <w:jc w:val="right"/>
        <w:rPr>
          <w:rFonts w:ascii="宋体" w:hAnsi="宋体" w:cs="宋体"/>
          <w:color w:val="333333"/>
          <w:sz w:val="21"/>
          <w:szCs w:val="21"/>
        </w:rPr>
      </w:pPr>
      <w:r>
        <w:rPr>
          <w:rFonts w:hint="eastAsia" w:ascii="宋体" w:hAnsi="宋体" w:cs="宋体"/>
          <w:color w:val="333333"/>
          <w:sz w:val="21"/>
          <w:szCs w:val="21"/>
        </w:rPr>
        <w:t>财　　政　　部</w:t>
      </w:r>
    </w:p>
    <w:p w14:paraId="1F1A7786">
      <w:pPr>
        <w:pStyle w:val="25"/>
        <w:shd w:val="clear" w:color="auto" w:fill="FFFFFF"/>
        <w:jc w:val="right"/>
        <w:rPr>
          <w:rFonts w:ascii="宋体" w:hAnsi="宋体" w:cs="宋体"/>
          <w:color w:val="333333"/>
          <w:sz w:val="21"/>
          <w:szCs w:val="21"/>
        </w:rPr>
      </w:pPr>
      <w:r>
        <w:rPr>
          <w:rFonts w:hint="eastAsia" w:ascii="宋体" w:hAnsi="宋体" w:cs="宋体"/>
          <w:color w:val="333333"/>
          <w:sz w:val="21"/>
          <w:szCs w:val="21"/>
        </w:rPr>
        <w:t>工业和信息化部</w:t>
      </w:r>
    </w:p>
    <w:p w14:paraId="2AD65E2A">
      <w:pPr>
        <w:pStyle w:val="25"/>
        <w:shd w:val="clear" w:color="auto" w:fill="FFFFFF"/>
        <w:jc w:val="right"/>
        <w:rPr>
          <w:rFonts w:ascii="宋体" w:hAnsi="宋体" w:cs="宋体"/>
          <w:color w:val="333333"/>
          <w:sz w:val="21"/>
          <w:szCs w:val="21"/>
        </w:rPr>
      </w:pPr>
      <w:r>
        <w:rPr>
          <w:rFonts w:hint="eastAsia" w:ascii="宋体" w:hAnsi="宋体" w:cs="宋体"/>
          <w:color w:val="333333"/>
          <w:sz w:val="21"/>
          <w:szCs w:val="21"/>
        </w:rPr>
        <w:t>2020年12月18日</w:t>
      </w:r>
    </w:p>
    <w:p w14:paraId="6B1251E1">
      <w:pPr>
        <w:pStyle w:val="25"/>
        <w:shd w:val="clear" w:color="auto" w:fill="FFFFFF"/>
        <w:ind w:firstLine="480"/>
        <w:rPr>
          <w:rFonts w:ascii="宋体" w:hAnsi="宋体" w:cs="宋体"/>
          <w:color w:val="333333"/>
          <w:sz w:val="21"/>
          <w:szCs w:val="21"/>
        </w:rPr>
      </w:pPr>
    </w:p>
    <w:p w14:paraId="7E16F894">
      <w:pPr>
        <w:pStyle w:val="25"/>
        <w:shd w:val="clear" w:color="auto" w:fill="FFFFFF"/>
        <w:rPr>
          <w:rFonts w:ascii="宋体" w:hAnsi="宋体" w:cs="宋体"/>
          <w:color w:val="333333"/>
          <w:sz w:val="21"/>
          <w:szCs w:val="21"/>
        </w:rPr>
      </w:pPr>
      <w:r>
        <w:rPr>
          <w:rFonts w:hint="eastAsia" w:ascii="宋体" w:hAnsi="宋体" w:cs="宋体"/>
          <w:b/>
          <w:bCs/>
          <w:color w:val="333333"/>
          <w:sz w:val="21"/>
          <w:szCs w:val="21"/>
        </w:rPr>
        <w:t>附件</w:t>
      </w:r>
    </w:p>
    <w:p w14:paraId="34BA105C">
      <w:pPr>
        <w:pStyle w:val="25"/>
        <w:shd w:val="clear" w:color="auto" w:fill="FFFFFF"/>
        <w:ind w:firstLine="480"/>
        <w:rPr>
          <w:rFonts w:ascii="宋体" w:hAnsi="宋体" w:cs="宋体"/>
          <w:color w:val="333333"/>
          <w:sz w:val="21"/>
          <w:szCs w:val="21"/>
        </w:rPr>
      </w:pPr>
    </w:p>
    <w:p w14:paraId="7DBC3029">
      <w:pPr>
        <w:pStyle w:val="25"/>
        <w:shd w:val="clear" w:color="auto" w:fill="FFFFFF"/>
        <w:jc w:val="center"/>
        <w:rPr>
          <w:rFonts w:ascii="宋体" w:hAnsi="宋体" w:cs="宋体"/>
          <w:color w:val="333333"/>
          <w:sz w:val="21"/>
          <w:szCs w:val="21"/>
        </w:rPr>
      </w:pPr>
      <w:r>
        <w:rPr>
          <w:rFonts w:hint="eastAsia" w:ascii="宋体" w:hAnsi="宋体" w:cs="宋体"/>
          <w:b/>
          <w:bCs/>
          <w:color w:val="333333"/>
          <w:sz w:val="21"/>
          <w:szCs w:val="21"/>
        </w:rPr>
        <w:t>政府采购促进中小企业发展管理办法</w:t>
      </w:r>
    </w:p>
    <w:p w14:paraId="3C2B5CC6">
      <w:pPr>
        <w:pStyle w:val="25"/>
        <w:shd w:val="clear" w:color="auto" w:fill="FFFFFF"/>
        <w:ind w:firstLine="480"/>
        <w:rPr>
          <w:rFonts w:ascii="宋体" w:hAnsi="宋体" w:cs="宋体"/>
          <w:color w:val="333333"/>
          <w:sz w:val="21"/>
          <w:szCs w:val="21"/>
        </w:rPr>
      </w:pPr>
    </w:p>
    <w:p w14:paraId="68EB102C">
      <w:pPr>
        <w:pStyle w:val="25"/>
        <w:shd w:val="clear" w:color="auto" w:fill="FFFFFF"/>
        <w:ind w:firstLine="480"/>
        <w:rPr>
          <w:rFonts w:ascii="宋体" w:hAnsi="宋体" w:cs="宋体"/>
          <w:color w:val="333333"/>
          <w:sz w:val="21"/>
          <w:szCs w:val="21"/>
        </w:rPr>
      </w:pPr>
      <w:r>
        <w:rPr>
          <w:rFonts w:hint="eastAsia" w:ascii="宋体" w:hAnsi="宋体" w:cs="宋体"/>
          <w:b/>
          <w:bCs/>
          <w:color w:val="333333"/>
          <w:sz w:val="21"/>
          <w:szCs w:val="21"/>
        </w:rPr>
        <w:t>第一条</w:t>
      </w:r>
      <w:r>
        <w:rPr>
          <w:rFonts w:hint="eastAsia" w:ascii="宋体" w:hAnsi="宋体" w:cs="宋体"/>
          <w:color w:val="333333"/>
          <w:sz w:val="21"/>
          <w:szCs w:val="21"/>
        </w:rPr>
        <w:t>　为了发挥政府采购的政策功能，促进中小企业健康发展，根据《中华人民共和国政府采购法》、《中华人民共和国中小企业促进法》等有关法律法规，制定本办法。</w:t>
      </w:r>
    </w:p>
    <w:p w14:paraId="437FC31B">
      <w:pPr>
        <w:pStyle w:val="25"/>
        <w:shd w:val="clear" w:color="auto" w:fill="FFFFFF"/>
        <w:ind w:firstLine="480"/>
        <w:rPr>
          <w:rFonts w:ascii="宋体" w:hAnsi="宋体" w:cs="宋体"/>
          <w:color w:val="333333"/>
          <w:sz w:val="21"/>
          <w:szCs w:val="21"/>
        </w:rPr>
      </w:pPr>
      <w:r>
        <w:rPr>
          <w:rFonts w:hint="eastAsia" w:ascii="宋体" w:hAnsi="宋体" w:cs="宋体"/>
          <w:b/>
          <w:bCs/>
          <w:color w:val="333333"/>
          <w:sz w:val="21"/>
          <w:szCs w:val="21"/>
        </w:rPr>
        <w:t>第二条</w:t>
      </w:r>
      <w:r>
        <w:rPr>
          <w:rFonts w:hint="eastAsia" w:ascii="宋体" w:hAnsi="宋体" w:cs="宋体"/>
          <w:color w:val="333333"/>
          <w:sz w:val="21"/>
          <w:szCs w:val="21"/>
        </w:rPr>
        <w:t>　本办法所称中小企业，是指在中华人民共和国境内依法设立，依据国务院批准的中小企业划分标准确定的中型企业、小型企业和微型企业，但与大企业的负责人为同一人，或者与大企业存在直接控股、管理关系的除外。</w:t>
      </w:r>
    </w:p>
    <w:p w14:paraId="11229089">
      <w:pPr>
        <w:pStyle w:val="25"/>
        <w:shd w:val="clear" w:color="auto" w:fill="FFFFFF"/>
        <w:ind w:firstLine="480"/>
        <w:rPr>
          <w:rFonts w:ascii="宋体" w:hAnsi="宋体" w:cs="宋体"/>
          <w:color w:val="333333"/>
          <w:sz w:val="21"/>
          <w:szCs w:val="21"/>
        </w:rPr>
      </w:pPr>
      <w:r>
        <w:rPr>
          <w:rFonts w:hint="eastAsia" w:ascii="宋体" w:hAnsi="宋体" w:cs="宋体"/>
          <w:color w:val="333333"/>
          <w:sz w:val="21"/>
          <w:szCs w:val="21"/>
        </w:rPr>
        <w:t>符合中小企业划分标准的个体工商户，在政府采购活动中视同中小企业。</w:t>
      </w:r>
    </w:p>
    <w:p w14:paraId="650098D7">
      <w:pPr>
        <w:pStyle w:val="25"/>
        <w:shd w:val="clear" w:color="auto" w:fill="FFFFFF"/>
        <w:ind w:firstLine="480"/>
        <w:rPr>
          <w:rFonts w:ascii="宋体" w:hAnsi="宋体" w:cs="宋体"/>
          <w:color w:val="333333"/>
          <w:sz w:val="21"/>
          <w:szCs w:val="21"/>
        </w:rPr>
      </w:pPr>
      <w:r>
        <w:rPr>
          <w:rFonts w:hint="eastAsia" w:ascii="宋体" w:hAnsi="宋体" w:cs="宋体"/>
          <w:b/>
          <w:bCs/>
          <w:color w:val="333333"/>
          <w:sz w:val="21"/>
          <w:szCs w:val="21"/>
        </w:rPr>
        <w:t>第三条</w:t>
      </w:r>
      <w:r>
        <w:rPr>
          <w:rFonts w:hint="eastAsia" w:ascii="宋体" w:hAnsi="宋体" w:cs="宋体"/>
          <w:color w:val="333333"/>
          <w:sz w:val="21"/>
          <w:szCs w:val="21"/>
        </w:rPr>
        <w:t>　采购人在政府采购活动中应当通过加强采购需求管理，落实预留采购份额、价格评审优惠、优先采购等措施，提高中小企业在政府采购中的份额，支持中小企业发展。</w:t>
      </w:r>
    </w:p>
    <w:p w14:paraId="12C4384F">
      <w:pPr>
        <w:pStyle w:val="25"/>
        <w:shd w:val="clear" w:color="auto" w:fill="FFFFFF"/>
        <w:ind w:firstLine="480"/>
        <w:rPr>
          <w:rFonts w:ascii="宋体" w:hAnsi="宋体" w:cs="宋体"/>
          <w:color w:val="333333"/>
          <w:sz w:val="21"/>
          <w:szCs w:val="21"/>
        </w:rPr>
      </w:pPr>
      <w:r>
        <w:rPr>
          <w:rFonts w:hint="eastAsia" w:ascii="宋体" w:hAnsi="宋体" w:cs="宋体"/>
          <w:b/>
          <w:bCs/>
          <w:color w:val="333333"/>
          <w:sz w:val="21"/>
          <w:szCs w:val="21"/>
        </w:rPr>
        <w:t>第四条</w:t>
      </w:r>
      <w:r>
        <w:rPr>
          <w:rFonts w:hint="eastAsia" w:ascii="宋体" w:hAnsi="宋体" w:cs="宋体"/>
          <w:color w:val="333333"/>
          <w:sz w:val="21"/>
          <w:szCs w:val="21"/>
        </w:rPr>
        <w:t>　在政府采购活动中，供应商提供的货物、工程或者服务符合下列情形的，享受本办法规定的中小企业扶持政策：</w:t>
      </w:r>
    </w:p>
    <w:p w14:paraId="6B34D716">
      <w:pPr>
        <w:pStyle w:val="25"/>
        <w:shd w:val="clear" w:color="auto" w:fill="FFFFFF"/>
        <w:ind w:firstLine="480"/>
        <w:rPr>
          <w:rFonts w:ascii="宋体" w:hAnsi="宋体" w:cs="宋体"/>
          <w:color w:val="333333"/>
          <w:sz w:val="21"/>
          <w:szCs w:val="21"/>
        </w:rPr>
      </w:pPr>
      <w:r>
        <w:rPr>
          <w:rFonts w:hint="eastAsia" w:ascii="宋体" w:hAnsi="宋体" w:cs="宋体"/>
          <w:color w:val="333333"/>
          <w:sz w:val="21"/>
          <w:szCs w:val="21"/>
        </w:rPr>
        <w:t>（一）在货物采购项目中，货物由中小企业制造，即货物由中小企业生产且使用该中小企业商号或者注册商标；</w:t>
      </w:r>
    </w:p>
    <w:p w14:paraId="546F605C">
      <w:pPr>
        <w:pStyle w:val="25"/>
        <w:shd w:val="clear" w:color="auto" w:fill="FFFFFF"/>
        <w:ind w:firstLine="480"/>
        <w:rPr>
          <w:rFonts w:ascii="宋体" w:hAnsi="宋体" w:cs="宋体"/>
          <w:color w:val="333333"/>
          <w:sz w:val="21"/>
          <w:szCs w:val="21"/>
        </w:rPr>
      </w:pPr>
      <w:r>
        <w:rPr>
          <w:rFonts w:hint="eastAsia" w:ascii="宋体" w:hAnsi="宋体" w:cs="宋体"/>
          <w:color w:val="333333"/>
          <w:sz w:val="21"/>
          <w:szCs w:val="21"/>
        </w:rPr>
        <w:t>（二）在工程采购项目中，工程由中小企业承建，即工程施工单位为中小企业；</w:t>
      </w:r>
    </w:p>
    <w:p w14:paraId="07FC1E20">
      <w:pPr>
        <w:pStyle w:val="25"/>
        <w:shd w:val="clear" w:color="auto" w:fill="FFFFFF"/>
        <w:ind w:firstLine="480"/>
        <w:rPr>
          <w:rFonts w:ascii="宋体" w:hAnsi="宋体" w:cs="宋体"/>
          <w:color w:val="333333"/>
          <w:sz w:val="21"/>
          <w:szCs w:val="21"/>
        </w:rPr>
      </w:pPr>
      <w:r>
        <w:rPr>
          <w:rFonts w:hint="eastAsia" w:ascii="宋体" w:hAnsi="宋体" w:cs="宋体"/>
          <w:color w:val="333333"/>
          <w:sz w:val="21"/>
          <w:szCs w:val="21"/>
        </w:rPr>
        <w:t>（三）在服务采购项目中，服务由中小企业承接，即提供服务的人员为中小企业依照《中华人民共和国劳动合同法》订立劳动合同的从业人员。</w:t>
      </w:r>
    </w:p>
    <w:p w14:paraId="5FFC00B6">
      <w:pPr>
        <w:pStyle w:val="25"/>
        <w:shd w:val="clear" w:color="auto" w:fill="FFFFFF"/>
        <w:ind w:firstLine="480"/>
        <w:rPr>
          <w:rFonts w:ascii="宋体" w:hAnsi="宋体" w:cs="宋体"/>
          <w:color w:val="333333"/>
          <w:sz w:val="21"/>
          <w:szCs w:val="21"/>
        </w:rPr>
      </w:pPr>
      <w:r>
        <w:rPr>
          <w:rFonts w:hint="eastAsia" w:ascii="宋体" w:hAnsi="宋体" w:cs="宋体"/>
          <w:color w:val="333333"/>
          <w:sz w:val="21"/>
          <w:szCs w:val="21"/>
        </w:rPr>
        <w:t>在货物采购项目中，供应商提供的货物既有中小企业制造货物，也有大型企业制造货物的，不享受本办法规定的中小企业扶持政策。</w:t>
      </w:r>
    </w:p>
    <w:p w14:paraId="24887D0F">
      <w:pPr>
        <w:pStyle w:val="25"/>
        <w:shd w:val="clear" w:color="auto" w:fill="FFFFFF"/>
        <w:ind w:firstLine="480"/>
        <w:rPr>
          <w:rFonts w:ascii="宋体" w:hAnsi="宋体" w:cs="宋体"/>
          <w:color w:val="333333"/>
          <w:sz w:val="21"/>
          <w:szCs w:val="21"/>
        </w:rPr>
      </w:pPr>
      <w:r>
        <w:rPr>
          <w:rFonts w:hint="eastAsia" w:ascii="宋体" w:hAnsi="宋体" w:cs="宋体"/>
          <w:color w:val="333333"/>
          <w:sz w:val="21"/>
          <w:szCs w:val="21"/>
        </w:rPr>
        <w:t>以联合体形式参加政府采购活动，联合体各方均为中小企业的，联合体视同中小企业。其中，联合体各方均为小微企业的，联合体视同小微企业。</w:t>
      </w:r>
    </w:p>
    <w:p w14:paraId="03087A56">
      <w:pPr>
        <w:pStyle w:val="25"/>
        <w:shd w:val="clear" w:color="auto" w:fill="FFFFFF"/>
        <w:ind w:firstLine="480"/>
        <w:rPr>
          <w:rFonts w:ascii="宋体" w:hAnsi="宋体" w:cs="宋体"/>
          <w:color w:val="333333"/>
          <w:sz w:val="21"/>
          <w:szCs w:val="21"/>
        </w:rPr>
      </w:pPr>
      <w:r>
        <w:rPr>
          <w:rFonts w:hint="eastAsia" w:ascii="宋体" w:hAnsi="宋体" w:cs="宋体"/>
          <w:b/>
          <w:bCs/>
          <w:color w:val="333333"/>
          <w:sz w:val="21"/>
          <w:szCs w:val="21"/>
        </w:rPr>
        <w:t>第五条</w:t>
      </w:r>
      <w:r>
        <w:rPr>
          <w:rFonts w:hint="eastAsia" w:ascii="宋体" w:hAnsi="宋体" w:cs="宋体"/>
          <w:color w:val="333333"/>
          <w:sz w:val="21"/>
          <w:szCs w:val="21"/>
        </w:rPr>
        <w:t>　采购人在政府采购活动中应当合理确定采购项目的采购需求，不得以企业注册资本、资产总额、营业收入、从业人员、利润、纳税额等规模条件和财务指标作为供应商的资格要求或者评审因素，不得在企业股权结构、经营年限等方面对中小企业实行差别待遇或者歧视待遇。</w:t>
      </w:r>
    </w:p>
    <w:p w14:paraId="5D643455">
      <w:pPr>
        <w:pStyle w:val="25"/>
        <w:shd w:val="clear" w:color="auto" w:fill="FFFFFF"/>
        <w:ind w:firstLine="480"/>
        <w:rPr>
          <w:rFonts w:ascii="宋体" w:hAnsi="宋体" w:cs="宋体"/>
          <w:color w:val="333333"/>
          <w:sz w:val="21"/>
          <w:szCs w:val="21"/>
        </w:rPr>
      </w:pPr>
      <w:r>
        <w:rPr>
          <w:rFonts w:hint="eastAsia" w:ascii="宋体" w:hAnsi="宋体" w:cs="宋体"/>
          <w:b/>
          <w:bCs/>
          <w:color w:val="333333"/>
          <w:sz w:val="21"/>
          <w:szCs w:val="21"/>
        </w:rPr>
        <w:t>第六条</w:t>
      </w:r>
      <w:r>
        <w:rPr>
          <w:rFonts w:hint="eastAsia" w:ascii="宋体" w:hAnsi="宋体" w:cs="宋体"/>
          <w:color w:val="333333"/>
          <w:sz w:val="21"/>
          <w:szCs w:val="21"/>
        </w:rPr>
        <w:t>　主管预算单位应当组织评估本部门及所属单位政府采购项目，统筹制定面向中小企业预留采购份额的具体方案，对适宜由中小企业提供的采购项目和采购包，预留采购份额专门面向中小企业采购，并在政府采购预算中单独列示。</w:t>
      </w:r>
    </w:p>
    <w:p w14:paraId="4183B4BF">
      <w:pPr>
        <w:pStyle w:val="25"/>
        <w:shd w:val="clear" w:color="auto" w:fill="FFFFFF"/>
        <w:ind w:firstLine="480"/>
        <w:rPr>
          <w:rFonts w:ascii="宋体" w:hAnsi="宋体" w:cs="宋体"/>
          <w:color w:val="333333"/>
          <w:sz w:val="21"/>
          <w:szCs w:val="21"/>
        </w:rPr>
      </w:pPr>
      <w:r>
        <w:rPr>
          <w:rFonts w:hint="eastAsia" w:ascii="宋体" w:hAnsi="宋体" w:cs="宋体"/>
          <w:color w:val="333333"/>
          <w:sz w:val="21"/>
          <w:szCs w:val="21"/>
        </w:rPr>
        <w:t>符合下列情形之一的，可不专门面向中小企业预留采购份额：</w:t>
      </w:r>
    </w:p>
    <w:p w14:paraId="1E990DA3">
      <w:pPr>
        <w:pStyle w:val="25"/>
        <w:shd w:val="clear" w:color="auto" w:fill="FFFFFF"/>
        <w:ind w:firstLine="480"/>
        <w:rPr>
          <w:rFonts w:ascii="宋体" w:hAnsi="宋体" w:cs="宋体"/>
          <w:color w:val="333333"/>
          <w:sz w:val="21"/>
          <w:szCs w:val="21"/>
        </w:rPr>
      </w:pPr>
      <w:r>
        <w:rPr>
          <w:rFonts w:hint="eastAsia" w:ascii="宋体" w:hAnsi="宋体" w:cs="宋体"/>
          <w:color w:val="333333"/>
          <w:sz w:val="21"/>
          <w:szCs w:val="21"/>
        </w:rPr>
        <w:t>（一）法律法规和国家有关政策明确规定优先或者应当面向事业单位、社会组织等非企业主体采购的；</w:t>
      </w:r>
    </w:p>
    <w:p w14:paraId="44E652FF">
      <w:pPr>
        <w:pStyle w:val="25"/>
        <w:shd w:val="clear" w:color="auto" w:fill="FFFFFF"/>
        <w:ind w:firstLine="480"/>
        <w:rPr>
          <w:rFonts w:ascii="宋体" w:hAnsi="宋体" w:cs="宋体"/>
          <w:color w:val="333333"/>
          <w:sz w:val="21"/>
          <w:szCs w:val="21"/>
        </w:rPr>
      </w:pPr>
      <w:r>
        <w:rPr>
          <w:rFonts w:hint="eastAsia" w:ascii="宋体" w:hAnsi="宋体" w:cs="宋体"/>
          <w:color w:val="333333"/>
          <w:sz w:val="21"/>
          <w:szCs w:val="21"/>
        </w:rPr>
        <w:t>（二）因确需使用不可替代的专利、专有技术，基础设施限制，或者提供特定公共服务等原因，只能从中小企业之外的供应商处采购的；</w:t>
      </w:r>
    </w:p>
    <w:p w14:paraId="42EEF30F">
      <w:pPr>
        <w:pStyle w:val="25"/>
        <w:shd w:val="clear" w:color="auto" w:fill="FFFFFF"/>
        <w:ind w:firstLine="480"/>
        <w:rPr>
          <w:rFonts w:ascii="宋体" w:hAnsi="宋体" w:cs="宋体"/>
          <w:color w:val="333333"/>
          <w:sz w:val="21"/>
          <w:szCs w:val="21"/>
        </w:rPr>
      </w:pPr>
      <w:r>
        <w:rPr>
          <w:rFonts w:hint="eastAsia" w:ascii="宋体" w:hAnsi="宋体" w:cs="宋体"/>
          <w:color w:val="333333"/>
          <w:sz w:val="21"/>
          <w:szCs w:val="21"/>
        </w:rPr>
        <w:t>（三）按照本办法规定预留采购份额无法确保充分供应、充分竞争，或者存在可能影响政府采购目标实现的情形；</w:t>
      </w:r>
    </w:p>
    <w:p w14:paraId="3221418D">
      <w:pPr>
        <w:pStyle w:val="25"/>
        <w:shd w:val="clear" w:color="auto" w:fill="FFFFFF"/>
        <w:ind w:firstLine="480"/>
        <w:rPr>
          <w:rFonts w:ascii="宋体" w:hAnsi="宋体" w:cs="宋体"/>
          <w:color w:val="333333"/>
          <w:sz w:val="21"/>
          <w:szCs w:val="21"/>
        </w:rPr>
      </w:pPr>
      <w:r>
        <w:rPr>
          <w:rFonts w:hint="eastAsia" w:ascii="宋体" w:hAnsi="宋体" w:cs="宋体"/>
          <w:color w:val="333333"/>
          <w:sz w:val="21"/>
          <w:szCs w:val="21"/>
        </w:rPr>
        <w:t>（四）框架协议采购项目；</w:t>
      </w:r>
    </w:p>
    <w:p w14:paraId="3BC2C805">
      <w:pPr>
        <w:pStyle w:val="25"/>
        <w:shd w:val="clear" w:color="auto" w:fill="FFFFFF"/>
        <w:ind w:firstLine="480"/>
        <w:rPr>
          <w:rFonts w:ascii="宋体" w:hAnsi="宋体" w:cs="宋体"/>
          <w:color w:val="333333"/>
          <w:sz w:val="21"/>
          <w:szCs w:val="21"/>
        </w:rPr>
      </w:pPr>
      <w:r>
        <w:rPr>
          <w:rFonts w:hint="eastAsia" w:ascii="宋体" w:hAnsi="宋体" w:cs="宋体"/>
          <w:color w:val="333333"/>
          <w:sz w:val="21"/>
          <w:szCs w:val="21"/>
        </w:rPr>
        <w:t>（五）省级以上人民政府财政部门规定的其他情形。</w:t>
      </w:r>
    </w:p>
    <w:p w14:paraId="0174AF9F">
      <w:pPr>
        <w:pStyle w:val="25"/>
        <w:shd w:val="clear" w:color="auto" w:fill="FFFFFF"/>
        <w:ind w:firstLine="480"/>
        <w:rPr>
          <w:rFonts w:ascii="宋体" w:hAnsi="宋体" w:cs="宋体"/>
          <w:color w:val="333333"/>
          <w:sz w:val="21"/>
          <w:szCs w:val="21"/>
        </w:rPr>
      </w:pPr>
      <w:r>
        <w:rPr>
          <w:rFonts w:hint="eastAsia" w:ascii="宋体" w:hAnsi="宋体" w:cs="宋体"/>
          <w:color w:val="333333"/>
          <w:sz w:val="21"/>
          <w:szCs w:val="21"/>
        </w:rPr>
        <w:t>除上述情形外，其他均为适宜由中小企业提供的情形。</w:t>
      </w:r>
    </w:p>
    <w:p w14:paraId="168782F7">
      <w:pPr>
        <w:pStyle w:val="25"/>
        <w:shd w:val="clear" w:color="auto" w:fill="FFFFFF"/>
        <w:ind w:firstLine="480"/>
        <w:rPr>
          <w:rFonts w:ascii="宋体" w:hAnsi="宋体" w:cs="宋体"/>
          <w:color w:val="333333"/>
          <w:sz w:val="21"/>
          <w:szCs w:val="21"/>
        </w:rPr>
      </w:pPr>
      <w:r>
        <w:rPr>
          <w:rFonts w:hint="eastAsia" w:ascii="宋体" w:hAnsi="宋体" w:cs="宋体"/>
          <w:b/>
          <w:bCs/>
          <w:color w:val="333333"/>
          <w:sz w:val="21"/>
          <w:szCs w:val="21"/>
        </w:rPr>
        <w:t>第七条</w:t>
      </w:r>
      <w:r>
        <w:rPr>
          <w:rFonts w:hint="eastAsia" w:ascii="宋体" w:hAnsi="宋体" w:cs="宋体"/>
          <w:color w:val="333333"/>
          <w:sz w:val="21"/>
          <w:szCs w:val="21"/>
        </w:rPr>
        <w:t>　采购限额标准以上，200万元以下的货物和服务采购项目、400万元以下的工程采购项目，适宜由中小企业提供的，采购人应当专门面向中小企业采购。</w:t>
      </w:r>
    </w:p>
    <w:p w14:paraId="64C2675A">
      <w:pPr>
        <w:pStyle w:val="25"/>
        <w:shd w:val="clear" w:color="auto" w:fill="FFFFFF"/>
        <w:ind w:firstLine="480"/>
        <w:rPr>
          <w:rFonts w:ascii="宋体" w:hAnsi="宋体" w:cs="宋体"/>
          <w:color w:val="333333"/>
          <w:sz w:val="21"/>
          <w:szCs w:val="21"/>
        </w:rPr>
      </w:pPr>
      <w:r>
        <w:rPr>
          <w:rFonts w:hint="eastAsia" w:ascii="宋体" w:hAnsi="宋体" w:cs="宋体"/>
          <w:b/>
          <w:bCs/>
          <w:color w:val="333333"/>
          <w:sz w:val="21"/>
          <w:szCs w:val="21"/>
        </w:rPr>
        <w:t>第八条</w:t>
      </w:r>
      <w:r>
        <w:rPr>
          <w:rFonts w:hint="eastAsia" w:ascii="宋体" w:hAnsi="宋体" w:cs="宋体"/>
          <w:color w:val="333333"/>
          <w:sz w:val="21"/>
          <w:szCs w:val="21"/>
        </w:rPr>
        <w:t>　超过200万元的货物和服务采购项目、超过400万元的工程采购项目中适宜由中小企业提供的，预留该部分采购项目预算总额的30%以上专门面向中小企业采购，其中预留给小微企业的比例不低于60%。预留份额通过下列措施进行：</w:t>
      </w:r>
    </w:p>
    <w:p w14:paraId="1F2648D8">
      <w:pPr>
        <w:pStyle w:val="25"/>
        <w:shd w:val="clear" w:color="auto" w:fill="FFFFFF"/>
        <w:ind w:firstLine="480"/>
        <w:rPr>
          <w:rFonts w:ascii="宋体" w:hAnsi="宋体" w:cs="宋体"/>
          <w:color w:val="333333"/>
          <w:sz w:val="21"/>
          <w:szCs w:val="21"/>
        </w:rPr>
      </w:pPr>
      <w:r>
        <w:rPr>
          <w:rFonts w:hint="eastAsia" w:ascii="宋体" w:hAnsi="宋体" w:cs="宋体"/>
          <w:color w:val="333333"/>
          <w:sz w:val="21"/>
          <w:szCs w:val="21"/>
        </w:rPr>
        <w:t>（一）将采购项目整体或者设置采购包专门面向中小企业采购；</w:t>
      </w:r>
    </w:p>
    <w:p w14:paraId="18F7716E">
      <w:pPr>
        <w:pStyle w:val="25"/>
        <w:shd w:val="clear" w:color="auto" w:fill="FFFFFF"/>
        <w:ind w:firstLine="480"/>
        <w:rPr>
          <w:rFonts w:ascii="宋体" w:hAnsi="宋体" w:cs="宋体"/>
          <w:color w:val="333333"/>
          <w:sz w:val="21"/>
          <w:szCs w:val="21"/>
        </w:rPr>
      </w:pPr>
      <w:r>
        <w:rPr>
          <w:rFonts w:hint="eastAsia" w:ascii="宋体" w:hAnsi="宋体" w:cs="宋体"/>
          <w:color w:val="333333"/>
          <w:sz w:val="21"/>
          <w:szCs w:val="21"/>
        </w:rPr>
        <w:t>（二）要求供应商以联合体形式参加采购活动，且联合体中中小企业承担的部分达到一定比例；</w:t>
      </w:r>
    </w:p>
    <w:p w14:paraId="247F01DC">
      <w:pPr>
        <w:pStyle w:val="25"/>
        <w:shd w:val="clear" w:color="auto" w:fill="FFFFFF"/>
        <w:ind w:firstLine="480"/>
        <w:rPr>
          <w:rFonts w:ascii="宋体" w:hAnsi="宋体" w:cs="宋体"/>
          <w:color w:val="333333"/>
          <w:sz w:val="21"/>
          <w:szCs w:val="21"/>
        </w:rPr>
      </w:pPr>
      <w:r>
        <w:rPr>
          <w:rFonts w:hint="eastAsia" w:ascii="宋体" w:hAnsi="宋体" w:cs="宋体"/>
          <w:color w:val="333333"/>
          <w:sz w:val="21"/>
          <w:szCs w:val="21"/>
        </w:rPr>
        <w:t>（三）要求获得采购合同的供应商将采购项目中的一定比例分包给一家或者多家中小企业。</w:t>
      </w:r>
    </w:p>
    <w:p w14:paraId="2439E11D">
      <w:pPr>
        <w:pStyle w:val="25"/>
        <w:shd w:val="clear" w:color="auto" w:fill="FFFFFF"/>
        <w:ind w:firstLine="480"/>
        <w:rPr>
          <w:rFonts w:ascii="宋体" w:hAnsi="宋体" w:cs="宋体"/>
          <w:color w:val="333333"/>
          <w:sz w:val="21"/>
          <w:szCs w:val="21"/>
        </w:rPr>
      </w:pPr>
      <w:r>
        <w:rPr>
          <w:rFonts w:hint="eastAsia" w:ascii="宋体" w:hAnsi="宋体" w:cs="宋体"/>
          <w:color w:val="333333"/>
          <w:sz w:val="21"/>
          <w:szCs w:val="21"/>
        </w:rPr>
        <w:t>组成联合体或者接受分包合同的中小企业与联合体内其他企业、分包企业之间不得存在直接控股、管理关系。</w:t>
      </w:r>
    </w:p>
    <w:p w14:paraId="6C430BCD">
      <w:pPr>
        <w:pStyle w:val="25"/>
        <w:shd w:val="clear" w:color="auto" w:fill="FFFFFF"/>
        <w:ind w:firstLine="480"/>
        <w:rPr>
          <w:rFonts w:ascii="宋体" w:hAnsi="宋体" w:cs="宋体"/>
          <w:color w:val="333333"/>
          <w:sz w:val="21"/>
          <w:szCs w:val="21"/>
        </w:rPr>
      </w:pPr>
      <w:r>
        <w:rPr>
          <w:rFonts w:hint="eastAsia" w:ascii="宋体" w:hAnsi="宋体" w:cs="宋体"/>
          <w:b/>
          <w:bCs/>
          <w:color w:val="333333"/>
          <w:sz w:val="21"/>
          <w:szCs w:val="21"/>
        </w:rPr>
        <w:t>第九条</w:t>
      </w:r>
      <w:r>
        <w:rPr>
          <w:rFonts w:hint="eastAsia" w:ascii="宋体" w:hAnsi="宋体" w:cs="宋体"/>
          <w:color w:val="333333"/>
          <w:sz w:val="21"/>
          <w:szCs w:val="21"/>
        </w:rPr>
        <w:t>　对于经主管预算单位统筹后未预留份额专门面向中小企业采购的采购项目，以及预留份额项目中的非预留部分采购包，采购人、采购代理机构应当对符合本办法规定的小微企业报价给予6%—10%（工程项目为3%—5%）的扣除，用扣除后的价格参加评审。适用招标投标法的政府采购工程建设项目，采用综合评估法但未采用低价优先法计算价格分的，评标时应当在采用原报价进行评分的基础上增加其价格得分的3%—5%作为其价格分。</w:t>
      </w:r>
    </w:p>
    <w:p w14:paraId="24F6E4DB">
      <w:pPr>
        <w:pStyle w:val="25"/>
        <w:shd w:val="clear" w:color="auto" w:fill="FFFFFF"/>
        <w:ind w:firstLine="480"/>
        <w:rPr>
          <w:rFonts w:ascii="宋体" w:hAnsi="宋体" w:cs="宋体"/>
          <w:color w:val="333333"/>
          <w:sz w:val="21"/>
          <w:szCs w:val="21"/>
        </w:rPr>
      </w:pPr>
      <w:r>
        <w:rPr>
          <w:rFonts w:hint="eastAsia" w:ascii="宋体" w:hAnsi="宋体" w:cs="宋体"/>
          <w:color w:val="333333"/>
          <w:sz w:val="21"/>
          <w:szCs w:val="21"/>
        </w:rPr>
        <w:t>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2%-3%（工程项目为1%—2%）的扣除，用扣除后的价格参加评审。适用招标投标法的政府采购工程建设项目，采用综合评估法但未采用低价优先法计算价格分的，评标时应当在采用原报价进行评分的基础上增加其价格得分的1%—2%作为其价格分。组成联合体或者接受分包的小微企业与联合体内其他企业、分包企业之间存在直接控股、管理关系的，不享受价格扣除优惠政策。</w:t>
      </w:r>
    </w:p>
    <w:p w14:paraId="70B1F65A">
      <w:pPr>
        <w:pStyle w:val="25"/>
        <w:shd w:val="clear" w:color="auto" w:fill="FFFFFF"/>
        <w:ind w:firstLine="480"/>
        <w:rPr>
          <w:rFonts w:ascii="宋体" w:hAnsi="宋体" w:cs="宋体"/>
          <w:color w:val="333333"/>
          <w:sz w:val="21"/>
          <w:szCs w:val="21"/>
        </w:rPr>
      </w:pPr>
      <w:r>
        <w:rPr>
          <w:rFonts w:hint="eastAsia" w:ascii="宋体" w:hAnsi="宋体" w:cs="宋体"/>
          <w:color w:val="333333"/>
          <w:sz w:val="21"/>
          <w:szCs w:val="21"/>
        </w:rPr>
        <w:t>价格扣除比例或者价格分加分比例对小型企业和微型企业同等对待，不作区分。具体采购项目的价格扣除比例或者价格分加分比例，由采购人根据采购标的相关行业平均利润率、市场竞争状况等，在本办法规定的幅度内确定。</w:t>
      </w:r>
    </w:p>
    <w:p w14:paraId="46F9718C">
      <w:pPr>
        <w:pStyle w:val="25"/>
        <w:shd w:val="clear" w:color="auto" w:fill="FFFFFF"/>
        <w:ind w:firstLine="480"/>
        <w:rPr>
          <w:rFonts w:ascii="宋体" w:hAnsi="宋体" w:cs="宋体"/>
          <w:color w:val="333333"/>
          <w:sz w:val="21"/>
          <w:szCs w:val="21"/>
        </w:rPr>
      </w:pPr>
      <w:r>
        <w:rPr>
          <w:rFonts w:hint="eastAsia" w:ascii="宋体" w:hAnsi="宋体" w:cs="宋体"/>
          <w:b/>
          <w:bCs/>
          <w:color w:val="333333"/>
          <w:sz w:val="21"/>
          <w:szCs w:val="21"/>
        </w:rPr>
        <w:t>第十条</w:t>
      </w:r>
      <w:r>
        <w:rPr>
          <w:rFonts w:hint="eastAsia" w:ascii="宋体" w:hAnsi="宋体" w:cs="宋体"/>
          <w:color w:val="333333"/>
          <w:sz w:val="21"/>
          <w:szCs w:val="21"/>
        </w:rPr>
        <w:t>　采购人应当严格按照本办法规定和主管预算单位制定的预留采购份额具体方案开展采购活动。预留份额的采购项目或者采购包，通过发布公告方式邀请供应商后，符合资格条件的中小企业数量不足3家的，应当中止采购活动，视同未预留份额的采购项目或者采购包，按照本办法第九条有关规定重新组织采购活动。</w:t>
      </w:r>
    </w:p>
    <w:p w14:paraId="53CFBFBE">
      <w:pPr>
        <w:pStyle w:val="25"/>
        <w:shd w:val="clear" w:color="auto" w:fill="FFFFFF"/>
        <w:ind w:firstLine="480"/>
        <w:rPr>
          <w:rFonts w:ascii="宋体" w:hAnsi="宋体" w:cs="宋体"/>
          <w:color w:val="333333"/>
          <w:sz w:val="21"/>
          <w:szCs w:val="21"/>
        </w:rPr>
      </w:pPr>
      <w:r>
        <w:rPr>
          <w:rFonts w:hint="eastAsia" w:ascii="宋体" w:hAnsi="宋体" w:cs="宋体"/>
          <w:b/>
          <w:bCs/>
          <w:color w:val="333333"/>
          <w:sz w:val="21"/>
          <w:szCs w:val="21"/>
        </w:rPr>
        <w:t>第十一条</w:t>
      </w:r>
      <w:r>
        <w:rPr>
          <w:rFonts w:hint="eastAsia" w:ascii="宋体" w:hAnsi="宋体" w:cs="宋体"/>
          <w:color w:val="333333"/>
          <w:sz w:val="21"/>
          <w:szCs w:val="21"/>
        </w:rPr>
        <w:t>　中小企业参加政府采购活动，应当出具本办法规定的《中小企业声明函》（附1），否则不得享受相关中小企业扶持政策。任何单位和个人不得要求供应商提供《中小企业声明函》之外的中小企业身份证明文件。</w:t>
      </w:r>
    </w:p>
    <w:p w14:paraId="756CA29D">
      <w:pPr>
        <w:pStyle w:val="25"/>
        <w:shd w:val="clear" w:color="auto" w:fill="FFFFFF"/>
        <w:ind w:firstLine="480"/>
        <w:rPr>
          <w:rFonts w:ascii="宋体" w:hAnsi="宋体" w:cs="宋体"/>
          <w:color w:val="333333"/>
          <w:sz w:val="21"/>
          <w:szCs w:val="21"/>
        </w:rPr>
      </w:pPr>
      <w:r>
        <w:rPr>
          <w:rFonts w:hint="eastAsia" w:ascii="宋体" w:hAnsi="宋体" w:cs="宋体"/>
          <w:b/>
          <w:bCs/>
          <w:color w:val="333333"/>
          <w:sz w:val="21"/>
          <w:szCs w:val="21"/>
        </w:rPr>
        <w:t>第十二条</w:t>
      </w:r>
      <w:r>
        <w:rPr>
          <w:rFonts w:hint="eastAsia" w:ascii="宋体" w:hAnsi="宋体" w:cs="宋体"/>
          <w:color w:val="333333"/>
          <w:sz w:val="21"/>
          <w:szCs w:val="21"/>
        </w:rPr>
        <w:t>　采购项目涉及中小企业采购的，采购文件应当明确以下内容：</w:t>
      </w:r>
    </w:p>
    <w:p w14:paraId="6F9FEE4D">
      <w:pPr>
        <w:pStyle w:val="25"/>
        <w:shd w:val="clear" w:color="auto" w:fill="FFFFFF"/>
        <w:ind w:firstLine="480"/>
        <w:rPr>
          <w:rFonts w:ascii="宋体" w:hAnsi="宋体" w:cs="宋体"/>
          <w:color w:val="333333"/>
          <w:sz w:val="21"/>
          <w:szCs w:val="21"/>
        </w:rPr>
      </w:pPr>
      <w:r>
        <w:rPr>
          <w:rFonts w:hint="eastAsia" w:ascii="宋体" w:hAnsi="宋体" w:cs="宋体"/>
          <w:color w:val="333333"/>
          <w:sz w:val="21"/>
          <w:szCs w:val="21"/>
        </w:rPr>
        <w:t>（一）预留份额的采购项目或者采购包，明确该项目或相关采购包专门面向中小企业采购，以及相关标的及预算金额；</w:t>
      </w:r>
    </w:p>
    <w:p w14:paraId="3E81960D">
      <w:pPr>
        <w:pStyle w:val="25"/>
        <w:shd w:val="clear" w:color="auto" w:fill="FFFFFF"/>
        <w:ind w:firstLine="480"/>
        <w:rPr>
          <w:rFonts w:ascii="宋体" w:hAnsi="宋体" w:cs="宋体"/>
          <w:color w:val="333333"/>
          <w:sz w:val="21"/>
          <w:szCs w:val="21"/>
        </w:rPr>
      </w:pPr>
      <w:r>
        <w:rPr>
          <w:rFonts w:hint="eastAsia" w:ascii="宋体" w:hAnsi="宋体" w:cs="宋体"/>
          <w:color w:val="333333"/>
          <w:sz w:val="21"/>
          <w:szCs w:val="21"/>
        </w:rPr>
        <w:t>（二）要求以联合体形式参加或者合同分包的，明确联合协议或者分包意向协议中中小企业合同金额应当达到的比例，并作为供应商资格条件；</w:t>
      </w:r>
    </w:p>
    <w:p w14:paraId="167CADD5">
      <w:pPr>
        <w:pStyle w:val="25"/>
        <w:shd w:val="clear" w:color="auto" w:fill="FFFFFF"/>
        <w:ind w:firstLine="480"/>
        <w:rPr>
          <w:rFonts w:ascii="宋体" w:hAnsi="宋体" w:cs="宋体"/>
          <w:color w:val="333333"/>
          <w:sz w:val="21"/>
          <w:szCs w:val="21"/>
        </w:rPr>
      </w:pPr>
      <w:r>
        <w:rPr>
          <w:rFonts w:hint="eastAsia" w:ascii="宋体" w:hAnsi="宋体" w:cs="宋体"/>
          <w:color w:val="333333"/>
          <w:sz w:val="21"/>
          <w:szCs w:val="21"/>
        </w:rPr>
        <w:t>（三）非预留份额的采购项目或者采购包，明确有关价格扣除比例或者价格分加分比例；</w:t>
      </w:r>
    </w:p>
    <w:p w14:paraId="168DFE4F">
      <w:pPr>
        <w:pStyle w:val="25"/>
        <w:shd w:val="clear" w:color="auto" w:fill="FFFFFF"/>
        <w:ind w:firstLine="480"/>
        <w:rPr>
          <w:rFonts w:ascii="宋体" w:hAnsi="宋体" w:cs="宋体"/>
          <w:color w:val="333333"/>
          <w:sz w:val="21"/>
          <w:szCs w:val="21"/>
        </w:rPr>
      </w:pPr>
      <w:r>
        <w:rPr>
          <w:rFonts w:hint="eastAsia" w:ascii="宋体" w:hAnsi="宋体" w:cs="宋体"/>
          <w:color w:val="333333"/>
          <w:sz w:val="21"/>
          <w:szCs w:val="21"/>
        </w:rPr>
        <w:t>（四）规定依据本办法规定享受扶持政策获得政府采购合同的，小微企业不得将合同分包给大中型企业，中型企业不得将合同分包给大型企业；</w:t>
      </w:r>
    </w:p>
    <w:p w14:paraId="107C291E">
      <w:pPr>
        <w:pStyle w:val="25"/>
        <w:shd w:val="clear" w:color="auto" w:fill="FFFFFF"/>
        <w:ind w:firstLine="480"/>
        <w:rPr>
          <w:rFonts w:ascii="宋体" w:hAnsi="宋体" w:cs="宋体"/>
          <w:color w:val="333333"/>
          <w:sz w:val="21"/>
          <w:szCs w:val="21"/>
        </w:rPr>
      </w:pPr>
      <w:r>
        <w:rPr>
          <w:rFonts w:hint="eastAsia" w:ascii="宋体" w:hAnsi="宋体" w:cs="宋体"/>
          <w:color w:val="333333"/>
          <w:sz w:val="21"/>
          <w:szCs w:val="21"/>
        </w:rPr>
        <w:t>（五）采购人认为具备相关条件的，明确对中小企业在资金支付期限、预付款比例等方面的优惠措施；</w:t>
      </w:r>
    </w:p>
    <w:p w14:paraId="469223DF">
      <w:pPr>
        <w:pStyle w:val="25"/>
        <w:shd w:val="clear" w:color="auto" w:fill="FFFFFF"/>
        <w:ind w:firstLine="480"/>
        <w:rPr>
          <w:rFonts w:ascii="宋体" w:hAnsi="宋体" w:cs="宋体"/>
          <w:color w:val="333333"/>
          <w:sz w:val="21"/>
          <w:szCs w:val="21"/>
        </w:rPr>
      </w:pPr>
      <w:r>
        <w:rPr>
          <w:rFonts w:hint="eastAsia" w:ascii="宋体" w:hAnsi="宋体" w:cs="宋体"/>
          <w:color w:val="333333"/>
          <w:sz w:val="21"/>
          <w:szCs w:val="21"/>
        </w:rPr>
        <w:t>（六）明确采购标的对应的中小企业划分标准所属行业；</w:t>
      </w:r>
    </w:p>
    <w:p w14:paraId="09AEB5BD">
      <w:pPr>
        <w:pStyle w:val="25"/>
        <w:shd w:val="clear" w:color="auto" w:fill="FFFFFF"/>
        <w:ind w:firstLine="480"/>
        <w:rPr>
          <w:rFonts w:ascii="宋体" w:hAnsi="宋体" w:cs="宋体"/>
          <w:color w:val="333333"/>
          <w:sz w:val="21"/>
          <w:szCs w:val="21"/>
        </w:rPr>
      </w:pPr>
      <w:r>
        <w:rPr>
          <w:rFonts w:hint="eastAsia" w:ascii="宋体" w:hAnsi="宋体" w:cs="宋体"/>
          <w:color w:val="333333"/>
          <w:sz w:val="21"/>
          <w:szCs w:val="21"/>
        </w:rPr>
        <w:t>（七）法律法规和省级以上人民政府财政部门规定的其他事项。</w:t>
      </w:r>
    </w:p>
    <w:p w14:paraId="79125B38">
      <w:pPr>
        <w:pStyle w:val="25"/>
        <w:shd w:val="clear" w:color="auto" w:fill="FFFFFF"/>
        <w:ind w:firstLine="480"/>
        <w:rPr>
          <w:rFonts w:ascii="宋体" w:hAnsi="宋体" w:cs="宋体"/>
          <w:color w:val="333333"/>
          <w:sz w:val="21"/>
          <w:szCs w:val="21"/>
        </w:rPr>
      </w:pPr>
      <w:r>
        <w:rPr>
          <w:rFonts w:hint="eastAsia" w:ascii="宋体" w:hAnsi="宋体" w:cs="宋体"/>
          <w:b/>
          <w:bCs/>
          <w:color w:val="333333"/>
          <w:sz w:val="21"/>
          <w:szCs w:val="21"/>
        </w:rPr>
        <w:t>第十三条</w:t>
      </w:r>
      <w:r>
        <w:rPr>
          <w:rFonts w:hint="eastAsia" w:ascii="宋体" w:hAnsi="宋体" w:cs="宋体"/>
          <w:color w:val="333333"/>
          <w:sz w:val="21"/>
          <w:szCs w:val="21"/>
        </w:rPr>
        <w:t>　中标、成交供应商享受本办法规定的中小企业扶持政策的，采购人、采购代理机构应当随中标、成交结果公开中标、成交供应商的《中小企业声明函》。</w:t>
      </w:r>
    </w:p>
    <w:p w14:paraId="19EF18F6">
      <w:pPr>
        <w:pStyle w:val="25"/>
        <w:shd w:val="clear" w:color="auto" w:fill="FFFFFF"/>
        <w:ind w:firstLine="480"/>
        <w:rPr>
          <w:rFonts w:ascii="宋体" w:hAnsi="宋体" w:cs="宋体"/>
          <w:color w:val="333333"/>
          <w:sz w:val="21"/>
          <w:szCs w:val="21"/>
        </w:rPr>
      </w:pPr>
      <w:r>
        <w:rPr>
          <w:rFonts w:hint="eastAsia" w:ascii="宋体" w:hAnsi="宋体" w:cs="宋体"/>
          <w:color w:val="333333"/>
          <w:sz w:val="21"/>
          <w:szCs w:val="21"/>
        </w:rPr>
        <w:t>适用招标投标法的政府采购工程建设项目，应当在公示中标候选人时公开中标候选人的《中小企业声明函》。</w:t>
      </w:r>
    </w:p>
    <w:p w14:paraId="6D8730D4">
      <w:pPr>
        <w:pStyle w:val="25"/>
        <w:shd w:val="clear" w:color="auto" w:fill="FFFFFF"/>
        <w:ind w:firstLine="480"/>
        <w:rPr>
          <w:rFonts w:ascii="宋体" w:hAnsi="宋体" w:cs="宋体"/>
          <w:color w:val="333333"/>
          <w:sz w:val="21"/>
          <w:szCs w:val="21"/>
        </w:rPr>
      </w:pPr>
      <w:r>
        <w:rPr>
          <w:rFonts w:hint="eastAsia" w:ascii="宋体" w:hAnsi="宋体" w:cs="宋体"/>
          <w:b/>
          <w:bCs/>
          <w:color w:val="333333"/>
          <w:sz w:val="21"/>
          <w:szCs w:val="21"/>
        </w:rPr>
        <w:t>第十四条</w:t>
      </w:r>
      <w:r>
        <w:rPr>
          <w:rFonts w:hint="eastAsia" w:ascii="宋体" w:hAnsi="宋体" w:cs="宋体"/>
          <w:color w:val="333333"/>
          <w:sz w:val="21"/>
          <w:szCs w:val="21"/>
        </w:rPr>
        <w:t>　对于通过预留采购项目、预留专门采购包、要求以联合体形式参加或者合同分包等措施签订的采购合同，应当明确标注本合同为中小企业预留合同。其中，要求以联合体形式参加采购活动或者合同分包的，应当将联合协议或者分包意向协议作为采购合同的组成部分。</w:t>
      </w:r>
    </w:p>
    <w:p w14:paraId="0D6213F8">
      <w:pPr>
        <w:pStyle w:val="25"/>
        <w:shd w:val="clear" w:color="auto" w:fill="FFFFFF"/>
        <w:ind w:firstLine="480"/>
        <w:rPr>
          <w:rFonts w:ascii="宋体" w:hAnsi="宋体" w:cs="宋体"/>
          <w:color w:val="333333"/>
          <w:sz w:val="21"/>
          <w:szCs w:val="21"/>
        </w:rPr>
      </w:pPr>
      <w:r>
        <w:rPr>
          <w:rFonts w:hint="eastAsia" w:ascii="宋体" w:hAnsi="宋体" w:cs="宋体"/>
          <w:b/>
          <w:bCs/>
          <w:color w:val="333333"/>
          <w:sz w:val="21"/>
          <w:szCs w:val="21"/>
        </w:rPr>
        <w:t>第十五条</w:t>
      </w:r>
      <w:r>
        <w:rPr>
          <w:rFonts w:hint="eastAsia" w:ascii="宋体" w:hAnsi="宋体" w:cs="宋体"/>
          <w:color w:val="333333"/>
          <w:sz w:val="21"/>
          <w:szCs w:val="21"/>
        </w:rPr>
        <w:t>　鼓励各地区、各部门在采购活动中允许中小企业引入信用担保手段，为中小企业在投标（响应）保证、履约保证等方面提供专业化服务。鼓励中小企业依法合规通过政府采购合同融资。</w:t>
      </w:r>
    </w:p>
    <w:p w14:paraId="28AB1C76">
      <w:pPr>
        <w:pStyle w:val="25"/>
        <w:shd w:val="clear" w:color="auto" w:fill="FFFFFF"/>
        <w:ind w:firstLine="480"/>
        <w:rPr>
          <w:rFonts w:ascii="宋体" w:hAnsi="宋体" w:cs="宋体"/>
          <w:color w:val="333333"/>
          <w:sz w:val="21"/>
          <w:szCs w:val="21"/>
        </w:rPr>
      </w:pPr>
      <w:r>
        <w:rPr>
          <w:rFonts w:hint="eastAsia" w:ascii="宋体" w:hAnsi="宋体" w:cs="宋体"/>
          <w:b/>
          <w:bCs/>
          <w:color w:val="333333"/>
          <w:sz w:val="21"/>
          <w:szCs w:val="21"/>
        </w:rPr>
        <w:t>第十六条</w:t>
      </w:r>
      <w:r>
        <w:rPr>
          <w:rFonts w:hint="eastAsia" w:ascii="宋体" w:hAnsi="宋体" w:cs="宋体"/>
          <w:color w:val="333333"/>
          <w:sz w:val="21"/>
          <w:szCs w:val="21"/>
        </w:rPr>
        <w:t>　政府采购监督检查、投诉处理及政府采购行政处罚中对中小企业的认定，由货物制造商或者工程、服务供应商注册登记所在地的县级以上人民政府中小企业主管部门负责。</w:t>
      </w:r>
    </w:p>
    <w:p w14:paraId="3F9F35CD">
      <w:pPr>
        <w:pStyle w:val="25"/>
        <w:shd w:val="clear" w:color="auto" w:fill="FFFFFF"/>
        <w:ind w:firstLine="480"/>
        <w:rPr>
          <w:rFonts w:ascii="宋体" w:hAnsi="宋体" w:cs="宋体"/>
          <w:color w:val="333333"/>
          <w:sz w:val="21"/>
          <w:szCs w:val="21"/>
        </w:rPr>
      </w:pPr>
      <w:r>
        <w:rPr>
          <w:rFonts w:hint="eastAsia" w:ascii="宋体" w:hAnsi="宋体" w:cs="宋体"/>
          <w:color w:val="333333"/>
          <w:sz w:val="21"/>
          <w:szCs w:val="21"/>
        </w:rPr>
        <w:t>中小企业主管部门应当在收到财政部门或者有关招标投标行政监督部门关于协助开展中小企业认定函后10个工作日内做出书面答复。</w:t>
      </w:r>
    </w:p>
    <w:p w14:paraId="2BAD32A0">
      <w:pPr>
        <w:pStyle w:val="25"/>
        <w:shd w:val="clear" w:color="auto" w:fill="FFFFFF"/>
        <w:ind w:firstLine="480"/>
        <w:rPr>
          <w:rFonts w:ascii="宋体" w:hAnsi="宋体" w:cs="宋体"/>
          <w:color w:val="333333"/>
          <w:sz w:val="21"/>
          <w:szCs w:val="21"/>
        </w:rPr>
      </w:pPr>
      <w:r>
        <w:rPr>
          <w:rFonts w:hint="eastAsia" w:ascii="宋体" w:hAnsi="宋体" w:cs="宋体"/>
          <w:b/>
          <w:bCs/>
          <w:color w:val="333333"/>
          <w:sz w:val="21"/>
          <w:szCs w:val="21"/>
        </w:rPr>
        <w:t>第十七条</w:t>
      </w:r>
      <w:r>
        <w:rPr>
          <w:rFonts w:hint="eastAsia" w:ascii="宋体" w:hAnsi="宋体" w:cs="宋体"/>
          <w:color w:val="333333"/>
          <w:sz w:val="21"/>
          <w:szCs w:val="21"/>
        </w:rPr>
        <w:t>　各地区、各部门应当对涉及中小企业采购的预算项目实施全过程绩效管理，合理设置绩效目标和指标，落实扶持中小企业有关政策要求，定期开展绩效监控和评价，强化绩效评价结果应用。</w:t>
      </w:r>
    </w:p>
    <w:p w14:paraId="2553508A">
      <w:pPr>
        <w:pStyle w:val="25"/>
        <w:shd w:val="clear" w:color="auto" w:fill="FFFFFF"/>
        <w:ind w:firstLine="480"/>
        <w:rPr>
          <w:rFonts w:ascii="宋体" w:hAnsi="宋体" w:cs="宋体"/>
          <w:color w:val="333333"/>
          <w:sz w:val="21"/>
          <w:szCs w:val="21"/>
        </w:rPr>
      </w:pPr>
      <w:r>
        <w:rPr>
          <w:rFonts w:hint="eastAsia" w:ascii="宋体" w:hAnsi="宋体" w:cs="宋体"/>
          <w:b/>
          <w:bCs/>
          <w:color w:val="333333"/>
          <w:sz w:val="21"/>
          <w:szCs w:val="21"/>
        </w:rPr>
        <w:t>第十八条</w:t>
      </w:r>
      <w:r>
        <w:rPr>
          <w:rFonts w:hint="eastAsia" w:ascii="宋体" w:hAnsi="宋体" w:cs="宋体"/>
          <w:color w:val="333333"/>
          <w:sz w:val="21"/>
          <w:szCs w:val="21"/>
        </w:rPr>
        <w:t>　主管预算单位应当自2022年起向同级财政部门报告本部门上一年度面向中小企业预留份额和采购的具体情况，并在中国政府采购网公开预留项目执行情况（附2）。未达到本办法规定的预留份额比例的，应当作出说明。</w:t>
      </w:r>
    </w:p>
    <w:p w14:paraId="374B880A">
      <w:pPr>
        <w:pStyle w:val="25"/>
        <w:shd w:val="clear" w:color="auto" w:fill="FFFFFF"/>
        <w:ind w:firstLine="480"/>
        <w:rPr>
          <w:rFonts w:ascii="宋体" w:hAnsi="宋体" w:cs="宋体"/>
          <w:color w:val="333333"/>
          <w:sz w:val="21"/>
          <w:szCs w:val="21"/>
        </w:rPr>
      </w:pPr>
      <w:r>
        <w:rPr>
          <w:rFonts w:hint="eastAsia" w:ascii="宋体" w:hAnsi="宋体" w:cs="宋体"/>
          <w:b/>
          <w:bCs/>
          <w:color w:val="333333"/>
          <w:sz w:val="21"/>
          <w:szCs w:val="21"/>
        </w:rPr>
        <w:t>第十九条</w:t>
      </w:r>
      <w:r>
        <w:rPr>
          <w:rFonts w:hint="eastAsia" w:ascii="宋体" w:hAnsi="宋体" w:cs="宋体"/>
          <w:color w:val="333333"/>
          <w:sz w:val="21"/>
          <w:szCs w:val="21"/>
        </w:rPr>
        <w:t>　采购人未按本办法规定为中小企业预留采购份额，采购人、采购代理机构未按照本办法规定要求实施价格扣除或者价格分加分的，属于未按照规定执行政府采购政策，依照《中华人民共和国政府采购法》等国家有关规定追究法律责任。</w:t>
      </w:r>
    </w:p>
    <w:p w14:paraId="6437B0A9">
      <w:pPr>
        <w:pStyle w:val="25"/>
        <w:shd w:val="clear" w:color="auto" w:fill="FFFFFF"/>
        <w:ind w:firstLine="480"/>
        <w:rPr>
          <w:rFonts w:ascii="宋体" w:hAnsi="宋体" w:cs="宋体"/>
          <w:color w:val="333333"/>
          <w:sz w:val="21"/>
          <w:szCs w:val="21"/>
        </w:rPr>
      </w:pPr>
      <w:r>
        <w:rPr>
          <w:rFonts w:hint="eastAsia" w:ascii="宋体" w:hAnsi="宋体" w:cs="宋体"/>
          <w:b/>
          <w:bCs/>
          <w:color w:val="333333"/>
          <w:sz w:val="21"/>
          <w:szCs w:val="21"/>
        </w:rPr>
        <w:t>第二十条</w:t>
      </w:r>
      <w:r>
        <w:rPr>
          <w:rFonts w:hint="eastAsia" w:ascii="宋体" w:hAnsi="宋体" w:cs="宋体"/>
          <w:color w:val="333333"/>
          <w:sz w:val="21"/>
          <w:szCs w:val="21"/>
        </w:rPr>
        <w:t>　供应商按照本办法规定提供声明函内容不实的，属于提供虚假材料谋取中标、成交，依照《中华人民共和国政府采购法》等国家有关规定追究相应责任。</w:t>
      </w:r>
    </w:p>
    <w:p w14:paraId="65EBD14D">
      <w:pPr>
        <w:pStyle w:val="25"/>
        <w:shd w:val="clear" w:color="auto" w:fill="FFFFFF"/>
        <w:ind w:firstLine="480"/>
        <w:rPr>
          <w:rFonts w:ascii="宋体" w:hAnsi="宋体" w:cs="宋体"/>
          <w:color w:val="333333"/>
          <w:sz w:val="21"/>
          <w:szCs w:val="21"/>
        </w:rPr>
      </w:pPr>
      <w:r>
        <w:rPr>
          <w:rFonts w:hint="eastAsia" w:ascii="宋体" w:hAnsi="宋体" w:cs="宋体"/>
          <w:color w:val="333333"/>
          <w:sz w:val="21"/>
          <w:szCs w:val="21"/>
        </w:rPr>
        <w:t>适用招标投标法的政府采购工程建设项目，投标人按照本办法规定提供声明函内容不实的，属于弄虚作假骗取中标，依照《中华人民共和国招标投标法》等国家有关规定追究相应责任。</w:t>
      </w:r>
    </w:p>
    <w:p w14:paraId="44ADBBA3">
      <w:pPr>
        <w:pStyle w:val="25"/>
        <w:shd w:val="clear" w:color="auto" w:fill="FFFFFF"/>
        <w:ind w:firstLine="480"/>
        <w:rPr>
          <w:rFonts w:ascii="宋体" w:hAnsi="宋体" w:cs="宋体"/>
          <w:color w:val="333333"/>
          <w:sz w:val="21"/>
          <w:szCs w:val="21"/>
        </w:rPr>
      </w:pPr>
      <w:r>
        <w:rPr>
          <w:rFonts w:hint="eastAsia" w:ascii="宋体" w:hAnsi="宋体" w:cs="宋体"/>
          <w:b/>
          <w:bCs/>
          <w:color w:val="333333"/>
          <w:sz w:val="21"/>
          <w:szCs w:val="21"/>
        </w:rPr>
        <w:t>第二十一条</w:t>
      </w:r>
      <w:r>
        <w:rPr>
          <w:rFonts w:hint="eastAsia" w:ascii="宋体" w:hAnsi="宋体" w:cs="宋体"/>
          <w:color w:val="333333"/>
          <w:sz w:val="21"/>
          <w:szCs w:val="21"/>
        </w:rPr>
        <w:t>　财政部门、中小企业主管部门及其工作人员在履行职责中违反本办法规定及存在其他滥用职权、玩忽职守、徇私舞弊等违法违纪行为的，依照《中华人民共和国政府采购法》、《中华人民共和国公务员法》、《中华人民共和国监察法》、《中华人民共和国政府采购法实施条例》等国家有关规定追究相应责任；涉嫌犯罪的，依法移送有关国家机关处理。</w:t>
      </w:r>
    </w:p>
    <w:p w14:paraId="0B62B045">
      <w:pPr>
        <w:pStyle w:val="25"/>
        <w:shd w:val="clear" w:color="auto" w:fill="FFFFFF"/>
        <w:ind w:firstLine="480"/>
        <w:rPr>
          <w:rFonts w:ascii="宋体" w:hAnsi="宋体" w:cs="宋体"/>
          <w:color w:val="333333"/>
          <w:sz w:val="21"/>
          <w:szCs w:val="21"/>
        </w:rPr>
      </w:pPr>
      <w:r>
        <w:rPr>
          <w:rFonts w:hint="eastAsia" w:ascii="宋体" w:hAnsi="宋体" w:cs="宋体"/>
          <w:b/>
          <w:bCs/>
          <w:color w:val="333333"/>
          <w:sz w:val="21"/>
          <w:szCs w:val="21"/>
        </w:rPr>
        <w:t>第二十二条</w:t>
      </w:r>
      <w:r>
        <w:rPr>
          <w:rFonts w:hint="eastAsia" w:ascii="宋体" w:hAnsi="宋体" w:cs="宋体"/>
          <w:color w:val="333333"/>
          <w:sz w:val="21"/>
          <w:szCs w:val="21"/>
        </w:rPr>
        <w:t>　对外援助项目、国家相关资格或者资质管理制度另有规定的项目，不适用本办法。</w:t>
      </w:r>
    </w:p>
    <w:p w14:paraId="3A664044">
      <w:pPr>
        <w:pStyle w:val="25"/>
        <w:shd w:val="clear" w:color="auto" w:fill="FFFFFF"/>
        <w:ind w:firstLine="480"/>
        <w:rPr>
          <w:rFonts w:ascii="宋体" w:hAnsi="宋体" w:cs="宋体"/>
          <w:color w:val="333333"/>
          <w:sz w:val="21"/>
          <w:szCs w:val="21"/>
        </w:rPr>
      </w:pPr>
      <w:r>
        <w:rPr>
          <w:rFonts w:hint="eastAsia" w:ascii="宋体" w:hAnsi="宋体" w:cs="宋体"/>
          <w:b/>
          <w:bCs/>
          <w:color w:val="333333"/>
          <w:sz w:val="21"/>
          <w:szCs w:val="21"/>
        </w:rPr>
        <w:t>第二十三条</w:t>
      </w:r>
      <w:r>
        <w:rPr>
          <w:rFonts w:hint="eastAsia" w:ascii="宋体" w:hAnsi="宋体" w:cs="宋体"/>
          <w:color w:val="333333"/>
          <w:sz w:val="21"/>
          <w:szCs w:val="21"/>
        </w:rPr>
        <w:t>　关于视同中小企业的其他主体的政府采购扶持政策，由财政部会同有关部门另行规定。</w:t>
      </w:r>
    </w:p>
    <w:p w14:paraId="490E6AEC">
      <w:pPr>
        <w:pStyle w:val="25"/>
        <w:shd w:val="clear" w:color="auto" w:fill="FFFFFF"/>
        <w:ind w:firstLine="480"/>
        <w:rPr>
          <w:rFonts w:ascii="宋体" w:hAnsi="宋体" w:cs="宋体"/>
          <w:color w:val="333333"/>
          <w:sz w:val="21"/>
          <w:szCs w:val="21"/>
        </w:rPr>
      </w:pPr>
      <w:r>
        <w:rPr>
          <w:rFonts w:hint="eastAsia" w:ascii="宋体" w:hAnsi="宋体" w:cs="宋体"/>
          <w:b/>
          <w:bCs/>
          <w:color w:val="333333"/>
          <w:sz w:val="21"/>
          <w:szCs w:val="21"/>
        </w:rPr>
        <w:t>第二十四条</w:t>
      </w:r>
      <w:r>
        <w:rPr>
          <w:rFonts w:hint="eastAsia" w:ascii="宋体" w:hAnsi="宋体" w:cs="宋体"/>
          <w:color w:val="333333"/>
          <w:sz w:val="21"/>
          <w:szCs w:val="21"/>
        </w:rPr>
        <w:t>　省级财政部门可以会同中小企业主管部门根据本办法的规定制定具体实施办法。</w:t>
      </w:r>
    </w:p>
    <w:p w14:paraId="03A13A83">
      <w:pPr>
        <w:pStyle w:val="25"/>
        <w:shd w:val="clear" w:color="auto" w:fill="FFFFFF"/>
        <w:ind w:firstLine="480"/>
        <w:rPr>
          <w:rFonts w:ascii="宋体" w:hAnsi="宋体" w:cs="宋体"/>
          <w:color w:val="333333"/>
          <w:sz w:val="21"/>
          <w:szCs w:val="21"/>
        </w:rPr>
      </w:pPr>
      <w:r>
        <w:rPr>
          <w:rFonts w:hint="eastAsia" w:ascii="宋体" w:hAnsi="宋体" w:cs="宋体"/>
          <w:b/>
          <w:bCs/>
          <w:color w:val="333333"/>
          <w:sz w:val="21"/>
          <w:szCs w:val="21"/>
        </w:rPr>
        <w:t>第二十五条</w:t>
      </w:r>
      <w:r>
        <w:rPr>
          <w:rFonts w:hint="eastAsia" w:ascii="宋体" w:hAnsi="宋体" w:cs="宋体"/>
          <w:color w:val="333333"/>
          <w:sz w:val="21"/>
          <w:szCs w:val="21"/>
        </w:rPr>
        <w:t>　本办法自2021年1月1日起施行。《财政部 工业和信息化部关于印发〈政府采购促进中小企业发展暂行办法〉的通知》（财库〔2011〕181号）同时废止。</w:t>
      </w:r>
    </w:p>
    <w:p w14:paraId="5415ADCE">
      <w:pPr>
        <w:pStyle w:val="25"/>
        <w:shd w:val="clear" w:color="auto" w:fill="FFFFFF"/>
        <w:ind w:firstLine="480"/>
        <w:rPr>
          <w:rFonts w:ascii="宋体" w:hAnsi="宋体" w:cs="宋体"/>
          <w:color w:val="333333"/>
          <w:sz w:val="21"/>
          <w:szCs w:val="21"/>
        </w:rPr>
      </w:pPr>
    </w:p>
    <w:p w14:paraId="46A8A2F3">
      <w:pPr>
        <w:rPr>
          <w:rFonts w:ascii="宋体" w:hAnsi="宋体" w:cs="宋体"/>
          <w:szCs w:val="21"/>
        </w:rPr>
      </w:pPr>
    </w:p>
    <w:p w14:paraId="08613B4C">
      <w:pPr>
        <w:pStyle w:val="25"/>
        <w:shd w:val="clear" w:color="auto" w:fill="FFFFFF"/>
        <w:jc w:val="center"/>
        <w:rPr>
          <w:rFonts w:ascii="宋体" w:hAnsi="宋体" w:cs="宋体"/>
          <w:b/>
          <w:bCs/>
          <w:color w:val="333333"/>
          <w:sz w:val="21"/>
          <w:szCs w:val="21"/>
        </w:rPr>
      </w:pPr>
      <w:bookmarkStart w:id="236" w:name="_Toc73610163"/>
      <w:bookmarkStart w:id="237" w:name="_Toc73613645"/>
      <w:r>
        <w:rPr>
          <w:rFonts w:hint="eastAsia" w:ascii="宋体" w:hAnsi="宋体" w:cs="宋体"/>
          <w:b/>
          <w:bCs/>
          <w:color w:val="333333"/>
          <w:sz w:val="21"/>
          <w:szCs w:val="21"/>
        </w:rPr>
        <w:t>二、关于印发中小企业划型标准规定的通知</w:t>
      </w:r>
      <w:bookmarkEnd w:id="236"/>
      <w:bookmarkEnd w:id="237"/>
    </w:p>
    <w:p w14:paraId="06AA5517">
      <w:pPr>
        <w:jc w:val="center"/>
        <w:rPr>
          <w:rFonts w:ascii="宋体" w:hAnsi="宋体" w:cs="宋体"/>
          <w:color w:val="000000"/>
          <w:szCs w:val="21"/>
        </w:rPr>
      </w:pPr>
    </w:p>
    <w:p w14:paraId="4A5CECAD">
      <w:pPr>
        <w:jc w:val="center"/>
        <w:rPr>
          <w:rFonts w:ascii="宋体" w:hAnsi="宋体" w:cs="宋体"/>
          <w:color w:val="000000"/>
          <w:szCs w:val="21"/>
        </w:rPr>
      </w:pPr>
      <w:r>
        <w:rPr>
          <w:rFonts w:hint="eastAsia" w:ascii="宋体" w:hAnsi="宋体" w:cs="宋体"/>
          <w:color w:val="000000"/>
          <w:szCs w:val="21"/>
        </w:rPr>
        <w:t>工信部联企业〔2011〕300号</w:t>
      </w:r>
    </w:p>
    <w:p w14:paraId="268B50B3">
      <w:pPr>
        <w:rPr>
          <w:rFonts w:ascii="宋体" w:hAnsi="宋体" w:cs="宋体"/>
          <w:color w:val="000000"/>
          <w:szCs w:val="21"/>
        </w:rPr>
      </w:pPr>
      <w:r>
        <w:rPr>
          <w:rFonts w:hint="eastAsia" w:ascii="宋体" w:hAnsi="宋体" w:cs="宋体"/>
          <w:color w:val="000000"/>
          <w:szCs w:val="21"/>
        </w:rPr>
        <w:t>各省、自治区、直辖市人民政府，国务院各部委、各直属机构及有关单位：</w:t>
      </w:r>
    </w:p>
    <w:p w14:paraId="07D12AEE">
      <w:pPr>
        <w:rPr>
          <w:rFonts w:ascii="宋体" w:hAnsi="宋体" w:cs="宋体"/>
          <w:color w:val="000000"/>
          <w:szCs w:val="21"/>
        </w:rPr>
      </w:pPr>
      <w:r>
        <w:rPr>
          <w:rFonts w:hint="eastAsia" w:ascii="宋体" w:hAnsi="宋体" w:cs="宋体"/>
          <w:color w:val="000000"/>
          <w:szCs w:val="21"/>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099D81D7">
      <w:pPr>
        <w:rPr>
          <w:rFonts w:ascii="宋体" w:hAnsi="宋体" w:cs="宋体"/>
          <w:color w:val="000000"/>
          <w:szCs w:val="21"/>
        </w:rPr>
      </w:pPr>
    </w:p>
    <w:p w14:paraId="62CB2BB8">
      <w:pPr>
        <w:jc w:val="right"/>
        <w:rPr>
          <w:rFonts w:ascii="宋体" w:hAnsi="宋体" w:cs="宋体"/>
          <w:color w:val="000000"/>
          <w:szCs w:val="21"/>
        </w:rPr>
      </w:pPr>
      <w:r>
        <w:rPr>
          <w:rFonts w:hint="eastAsia" w:ascii="宋体" w:hAnsi="宋体" w:cs="宋体"/>
          <w:color w:val="000000"/>
          <w:szCs w:val="21"/>
        </w:rPr>
        <w:t>工业和信息化部　国家统计局   国家发展和改革委员会　财政部</w:t>
      </w:r>
    </w:p>
    <w:p w14:paraId="7CFE2E70">
      <w:pPr>
        <w:jc w:val="right"/>
        <w:rPr>
          <w:rFonts w:ascii="宋体" w:hAnsi="宋体" w:cs="宋体"/>
          <w:color w:val="000000"/>
          <w:szCs w:val="21"/>
        </w:rPr>
      </w:pPr>
      <w:r>
        <w:rPr>
          <w:rFonts w:hint="eastAsia" w:ascii="宋体" w:hAnsi="宋体" w:cs="宋体"/>
          <w:color w:val="000000"/>
          <w:szCs w:val="21"/>
        </w:rPr>
        <w:t>二○一一年六月十八日</w:t>
      </w:r>
    </w:p>
    <w:p w14:paraId="592FE46D">
      <w:pPr>
        <w:rPr>
          <w:rFonts w:ascii="宋体" w:hAnsi="宋体" w:cs="宋体"/>
          <w:szCs w:val="21"/>
        </w:rPr>
      </w:pPr>
    </w:p>
    <w:p w14:paraId="47CE4062">
      <w:pPr>
        <w:jc w:val="center"/>
        <w:rPr>
          <w:rFonts w:ascii="宋体" w:hAnsi="宋体" w:cs="宋体"/>
          <w:szCs w:val="21"/>
        </w:rPr>
      </w:pPr>
      <w:r>
        <w:rPr>
          <w:rStyle w:val="32"/>
          <w:rFonts w:hint="eastAsia" w:ascii="宋体" w:hAnsi="宋体" w:cs="宋体"/>
          <w:color w:val="000000"/>
          <w:szCs w:val="21"/>
        </w:rPr>
        <w:t>中小企业划型标准规定</w:t>
      </w:r>
    </w:p>
    <w:p w14:paraId="50CF373A">
      <w:pPr>
        <w:rPr>
          <w:rFonts w:ascii="宋体" w:hAnsi="宋体" w:cs="宋体"/>
          <w:color w:val="000000"/>
          <w:szCs w:val="21"/>
        </w:rPr>
      </w:pPr>
      <w:r>
        <w:rPr>
          <w:rFonts w:hint="eastAsia" w:ascii="宋体" w:hAnsi="宋体" w:cs="宋体"/>
          <w:color w:val="000000"/>
          <w:szCs w:val="21"/>
        </w:rPr>
        <w:t>　　</w:t>
      </w:r>
    </w:p>
    <w:p w14:paraId="1D5CAAAF">
      <w:pPr>
        <w:rPr>
          <w:rFonts w:ascii="宋体" w:hAnsi="宋体" w:cs="宋体"/>
          <w:color w:val="000000"/>
          <w:szCs w:val="21"/>
        </w:rPr>
      </w:pPr>
      <w:r>
        <w:rPr>
          <w:rFonts w:hint="eastAsia" w:ascii="宋体" w:hAnsi="宋体" w:cs="宋体"/>
          <w:color w:val="000000"/>
          <w:szCs w:val="21"/>
        </w:rPr>
        <w:t>一、根据《中华人民共和国中小企业促进法》和《国务院关于进一步促进中小企业发展的若干意见》(国发〔2009〕36号)，制定本规定。</w:t>
      </w:r>
    </w:p>
    <w:p w14:paraId="66696F6E">
      <w:pPr>
        <w:rPr>
          <w:rFonts w:ascii="宋体" w:hAnsi="宋体" w:cs="宋体"/>
          <w:color w:val="000000"/>
          <w:szCs w:val="21"/>
        </w:rPr>
      </w:pPr>
      <w:r>
        <w:rPr>
          <w:rFonts w:hint="eastAsia" w:ascii="宋体" w:hAnsi="宋体" w:cs="宋体"/>
          <w:color w:val="000000"/>
          <w:szCs w:val="21"/>
        </w:rPr>
        <w:t>　　二、中小企业划分为中型、小型、微型三种类型，具体标准根据企业从业人员、营业收入、资产总额等指标，结合行业特点制定。</w:t>
      </w:r>
    </w:p>
    <w:p w14:paraId="059C94D4">
      <w:pPr>
        <w:rPr>
          <w:rFonts w:ascii="宋体" w:hAnsi="宋体" w:cs="宋体"/>
          <w:color w:val="000000"/>
          <w:szCs w:val="21"/>
        </w:rPr>
      </w:pPr>
      <w:r>
        <w:rPr>
          <w:rFonts w:hint="eastAsia" w:ascii="宋体" w:hAnsi="宋体" w:cs="宋体"/>
          <w:color w:val="000000"/>
          <w:szCs w:val="21"/>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07EE745F">
      <w:pPr>
        <w:rPr>
          <w:rFonts w:ascii="宋体" w:hAnsi="宋体" w:cs="宋体"/>
          <w:color w:val="000000"/>
          <w:szCs w:val="21"/>
        </w:rPr>
      </w:pPr>
      <w:r>
        <w:rPr>
          <w:rFonts w:hint="eastAsia" w:ascii="宋体" w:hAnsi="宋体" w:cs="宋体"/>
          <w:color w:val="000000"/>
          <w:szCs w:val="21"/>
        </w:rPr>
        <w:t>　　四、各行业划型标准为：</w:t>
      </w:r>
    </w:p>
    <w:p w14:paraId="7AA4B7FE">
      <w:pPr>
        <w:rPr>
          <w:rFonts w:ascii="宋体" w:hAnsi="宋体" w:cs="宋体"/>
          <w:color w:val="000000"/>
          <w:szCs w:val="21"/>
        </w:rPr>
      </w:pPr>
      <w:r>
        <w:rPr>
          <w:rFonts w:hint="eastAsia" w:ascii="宋体" w:hAnsi="宋体" w:cs="宋体"/>
          <w:color w:val="000000"/>
          <w:szCs w:val="21"/>
        </w:rPr>
        <w:t>　　（一）农、林、牧、渔业。营业收入20000万元以下的为中小微型企业。其中，营业收入500万元及以上的为中型企业，营业收入50万元及以上的为小型企业，营业收入50万元以下的为微型企业。</w:t>
      </w:r>
    </w:p>
    <w:p w14:paraId="6048EBAC">
      <w:pPr>
        <w:rPr>
          <w:rFonts w:ascii="宋体" w:hAnsi="宋体" w:cs="宋体"/>
          <w:color w:val="000000"/>
          <w:szCs w:val="21"/>
        </w:rPr>
      </w:pPr>
      <w:r>
        <w:rPr>
          <w:rFonts w:hint="eastAsia" w:ascii="宋体" w:hAnsi="宋体" w:cs="宋体"/>
          <w:color w:val="000000"/>
          <w:szCs w:val="21"/>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0E55462C">
      <w:pPr>
        <w:rPr>
          <w:rFonts w:ascii="宋体" w:hAnsi="宋体" w:cs="宋体"/>
          <w:color w:val="000000"/>
          <w:szCs w:val="21"/>
        </w:rPr>
      </w:pPr>
      <w:r>
        <w:rPr>
          <w:rFonts w:hint="eastAsia" w:ascii="宋体" w:hAnsi="宋体" w:cs="宋体"/>
          <w:color w:val="000000"/>
          <w:szCs w:val="21"/>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5A8F0C2D">
      <w:pPr>
        <w:rPr>
          <w:rFonts w:ascii="宋体" w:hAnsi="宋体" w:cs="宋体"/>
          <w:color w:val="000000"/>
          <w:szCs w:val="21"/>
        </w:rPr>
      </w:pPr>
      <w:r>
        <w:rPr>
          <w:rFonts w:hint="eastAsia" w:ascii="宋体" w:hAnsi="宋体" w:cs="宋体"/>
          <w:color w:val="000000"/>
          <w:szCs w:val="21"/>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22147F9B">
      <w:pPr>
        <w:rPr>
          <w:rFonts w:ascii="宋体" w:hAnsi="宋体" w:cs="宋体"/>
          <w:color w:val="000000"/>
          <w:szCs w:val="21"/>
        </w:rPr>
      </w:pPr>
      <w:r>
        <w:rPr>
          <w:rFonts w:hint="eastAsia" w:ascii="宋体" w:hAnsi="宋体" w:cs="宋体"/>
          <w:color w:val="000000"/>
          <w:szCs w:val="21"/>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34A83D8D">
      <w:pPr>
        <w:rPr>
          <w:rFonts w:ascii="宋体" w:hAnsi="宋体" w:cs="宋体"/>
          <w:color w:val="000000"/>
          <w:szCs w:val="21"/>
        </w:rPr>
      </w:pPr>
      <w:r>
        <w:rPr>
          <w:rFonts w:hint="eastAsia" w:ascii="宋体" w:hAnsi="宋体" w:cs="宋体"/>
          <w:color w:val="000000"/>
          <w:szCs w:val="21"/>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3A9D3A77">
      <w:pPr>
        <w:rPr>
          <w:rFonts w:ascii="宋体" w:hAnsi="宋体" w:cs="宋体"/>
          <w:color w:val="000000"/>
          <w:szCs w:val="21"/>
        </w:rPr>
      </w:pPr>
      <w:r>
        <w:rPr>
          <w:rFonts w:hint="eastAsia" w:ascii="宋体" w:hAnsi="宋体" w:cs="宋体"/>
          <w:color w:val="000000"/>
          <w:szCs w:val="21"/>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3FC4128C">
      <w:pPr>
        <w:rPr>
          <w:rFonts w:ascii="宋体" w:hAnsi="宋体" w:cs="宋体"/>
          <w:color w:val="000000"/>
          <w:szCs w:val="21"/>
        </w:rPr>
      </w:pPr>
      <w:r>
        <w:rPr>
          <w:rFonts w:hint="eastAsia" w:ascii="宋体" w:hAnsi="宋体" w:cs="宋体"/>
          <w:color w:val="000000"/>
          <w:szCs w:val="21"/>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52E05225">
      <w:pPr>
        <w:rPr>
          <w:rFonts w:ascii="宋体" w:hAnsi="宋体" w:cs="宋体"/>
          <w:color w:val="000000"/>
          <w:szCs w:val="21"/>
        </w:rPr>
      </w:pPr>
      <w:r>
        <w:rPr>
          <w:rFonts w:hint="eastAsia" w:ascii="宋体" w:hAnsi="宋体" w:cs="宋体"/>
          <w:color w:val="000000"/>
          <w:szCs w:val="21"/>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6BE6359">
      <w:pPr>
        <w:rPr>
          <w:rFonts w:ascii="宋体" w:hAnsi="宋体" w:cs="宋体"/>
          <w:color w:val="000000"/>
          <w:szCs w:val="21"/>
        </w:rPr>
      </w:pPr>
      <w:r>
        <w:rPr>
          <w:rFonts w:hint="eastAsia" w:ascii="宋体" w:hAnsi="宋体" w:cs="宋体"/>
          <w:color w:val="000000"/>
          <w:szCs w:val="21"/>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5EB04644">
      <w:pPr>
        <w:rPr>
          <w:rFonts w:ascii="宋体" w:hAnsi="宋体" w:cs="宋体"/>
          <w:color w:val="000000"/>
          <w:szCs w:val="21"/>
        </w:rPr>
      </w:pPr>
      <w:r>
        <w:rPr>
          <w:rFonts w:hint="eastAsia" w:ascii="宋体" w:hAnsi="宋体" w:cs="宋体"/>
          <w:color w:val="000000"/>
          <w:szCs w:val="21"/>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4DEB3CD">
      <w:pPr>
        <w:rPr>
          <w:rFonts w:ascii="宋体" w:hAnsi="宋体" w:cs="宋体"/>
          <w:color w:val="000000"/>
          <w:szCs w:val="21"/>
        </w:rPr>
      </w:pPr>
      <w:r>
        <w:rPr>
          <w:rFonts w:hint="eastAsia" w:ascii="宋体" w:hAnsi="宋体" w:cs="宋体"/>
          <w:color w:val="000000"/>
          <w:szCs w:val="21"/>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361D4801">
      <w:pPr>
        <w:rPr>
          <w:rFonts w:ascii="宋体" w:hAnsi="宋体" w:cs="宋体"/>
          <w:color w:val="000000"/>
          <w:szCs w:val="21"/>
        </w:rPr>
      </w:pPr>
      <w:r>
        <w:rPr>
          <w:rFonts w:hint="eastAsia" w:ascii="宋体" w:hAnsi="宋体" w:cs="宋体"/>
          <w:color w:val="000000"/>
          <w:szCs w:val="21"/>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7892CE4C">
      <w:pPr>
        <w:rPr>
          <w:rFonts w:ascii="宋体" w:hAnsi="宋体" w:cs="宋体"/>
          <w:color w:val="000000"/>
          <w:szCs w:val="21"/>
        </w:rPr>
      </w:pPr>
      <w:r>
        <w:rPr>
          <w:rFonts w:hint="eastAsia" w:ascii="宋体" w:hAnsi="宋体" w:cs="宋体"/>
          <w:color w:val="000000"/>
          <w:szCs w:val="21"/>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350E7BB2">
      <w:pPr>
        <w:rPr>
          <w:rFonts w:ascii="宋体" w:hAnsi="宋体" w:cs="宋体"/>
          <w:color w:val="000000"/>
          <w:szCs w:val="21"/>
        </w:rPr>
      </w:pPr>
      <w:r>
        <w:rPr>
          <w:rFonts w:hint="eastAsia" w:ascii="宋体" w:hAnsi="宋体" w:cs="宋体"/>
          <w:color w:val="000000"/>
          <w:szCs w:val="21"/>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3F8073BE">
      <w:pPr>
        <w:rPr>
          <w:rFonts w:ascii="宋体" w:hAnsi="宋体" w:cs="宋体"/>
          <w:color w:val="000000"/>
          <w:szCs w:val="21"/>
        </w:rPr>
      </w:pPr>
      <w:r>
        <w:rPr>
          <w:rFonts w:hint="eastAsia" w:ascii="宋体" w:hAnsi="宋体" w:cs="宋体"/>
          <w:color w:val="000000"/>
          <w:szCs w:val="21"/>
        </w:rPr>
        <w:t>　　（十六）其他未列明行业。从业人员300人以下的为中小微型企业。其中，从业人员100人及以上的为中型企业；从业人员10人及以上的为小型企业；从业人员10人以下的为微型企业。</w:t>
      </w:r>
    </w:p>
    <w:p w14:paraId="20279B52">
      <w:pPr>
        <w:rPr>
          <w:rFonts w:ascii="宋体" w:hAnsi="宋体" w:cs="宋体"/>
          <w:color w:val="000000"/>
          <w:szCs w:val="21"/>
        </w:rPr>
      </w:pPr>
      <w:r>
        <w:rPr>
          <w:rFonts w:hint="eastAsia" w:ascii="宋体" w:hAnsi="宋体" w:cs="宋体"/>
          <w:color w:val="000000"/>
          <w:szCs w:val="21"/>
        </w:rPr>
        <w:t>　　五、企业类型的划分以统计部门的统计数据为依据。</w:t>
      </w:r>
    </w:p>
    <w:p w14:paraId="4CFA12B6">
      <w:pPr>
        <w:rPr>
          <w:rFonts w:ascii="宋体" w:hAnsi="宋体" w:cs="宋体"/>
          <w:color w:val="000000"/>
          <w:szCs w:val="21"/>
        </w:rPr>
      </w:pPr>
      <w:r>
        <w:rPr>
          <w:rFonts w:hint="eastAsia" w:ascii="宋体" w:hAnsi="宋体" w:cs="宋体"/>
          <w:color w:val="000000"/>
          <w:szCs w:val="21"/>
        </w:rPr>
        <w:t>　　六、本规定适用于在中华人民共和国境内依法设立的各类所有制和各种组织形式的企业。个体工商户和本规定以外的行业，参照本规定进行划型。</w:t>
      </w:r>
    </w:p>
    <w:p w14:paraId="113BEEB0">
      <w:pPr>
        <w:rPr>
          <w:rFonts w:ascii="宋体" w:hAnsi="宋体" w:cs="宋体"/>
          <w:color w:val="000000"/>
          <w:szCs w:val="21"/>
        </w:rPr>
      </w:pPr>
      <w:r>
        <w:rPr>
          <w:rFonts w:hint="eastAsia" w:ascii="宋体" w:hAnsi="宋体" w:cs="宋体"/>
          <w:color w:val="000000"/>
          <w:szCs w:val="21"/>
        </w:rPr>
        <w:t>　　七、本规定的中型企业标准上限即为大型企业标准的下限，国家统计部门据此制定大中小微型企业的统计分类。国务院有关部门据此进行相关数据分析，不得制定与本规定不一致的企业划型标准。</w:t>
      </w:r>
    </w:p>
    <w:p w14:paraId="7406A4FB">
      <w:pPr>
        <w:rPr>
          <w:rFonts w:ascii="宋体" w:hAnsi="宋体" w:cs="宋体"/>
          <w:color w:val="000000"/>
          <w:szCs w:val="21"/>
        </w:rPr>
      </w:pPr>
      <w:r>
        <w:rPr>
          <w:rFonts w:hint="eastAsia" w:ascii="宋体" w:hAnsi="宋体" w:cs="宋体"/>
          <w:color w:val="000000"/>
          <w:szCs w:val="21"/>
        </w:rPr>
        <w:t>　　八、本规定由工业和信息化部、国家统计局会同有关部门根据《国民经济行业分类》修订情况和企业发展变化情况适时修订。</w:t>
      </w:r>
    </w:p>
    <w:p w14:paraId="3BFA99E9">
      <w:pPr>
        <w:rPr>
          <w:rFonts w:ascii="宋体" w:hAnsi="宋体" w:cs="宋体"/>
          <w:color w:val="000000"/>
          <w:szCs w:val="21"/>
        </w:rPr>
      </w:pPr>
      <w:r>
        <w:rPr>
          <w:rFonts w:hint="eastAsia" w:ascii="宋体" w:hAnsi="宋体" w:cs="宋体"/>
          <w:color w:val="000000"/>
          <w:szCs w:val="21"/>
        </w:rPr>
        <w:t>　　九、本规定由工业和信息化部、国家统计局会同有关部门负责解释。</w:t>
      </w:r>
    </w:p>
    <w:p w14:paraId="1C038F16">
      <w:pPr>
        <w:rPr>
          <w:rFonts w:ascii="宋体" w:hAnsi="宋体" w:cs="宋体"/>
          <w:szCs w:val="21"/>
        </w:rPr>
      </w:pPr>
      <w:r>
        <w:rPr>
          <w:rFonts w:hint="eastAsia" w:ascii="宋体" w:hAnsi="宋体" w:cs="宋体"/>
          <w:color w:val="000000"/>
          <w:szCs w:val="21"/>
        </w:rPr>
        <w:t>　　十、本规定自发布之日起执行，原国家经贸委、原国家计委、财政部和国家统计局2003年颁布的《中小企业标准暂行规定》同时废止。</w:t>
      </w:r>
    </w:p>
    <w:p w14:paraId="01DCCB1D">
      <w:pPr>
        <w:pStyle w:val="6"/>
        <w:spacing w:before="0" w:after="0"/>
        <w:jc w:val="center"/>
        <w:rPr>
          <w:rFonts w:cs="宋体"/>
          <w:szCs w:val="21"/>
        </w:rPr>
      </w:pPr>
      <w:bookmarkStart w:id="238" w:name="_Toc73610164"/>
      <w:bookmarkStart w:id="239" w:name="_Toc73613646"/>
    </w:p>
    <w:p w14:paraId="08E6DFAB">
      <w:pPr>
        <w:pStyle w:val="6"/>
        <w:spacing w:before="0" w:after="0"/>
        <w:jc w:val="center"/>
        <w:rPr>
          <w:rFonts w:cs="宋体"/>
          <w:szCs w:val="21"/>
        </w:rPr>
      </w:pPr>
    </w:p>
    <w:p w14:paraId="437A153A">
      <w:pPr>
        <w:pStyle w:val="6"/>
        <w:spacing w:before="0" w:after="0"/>
        <w:jc w:val="center"/>
        <w:rPr>
          <w:rFonts w:cs="宋体"/>
          <w:szCs w:val="21"/>
        </w:rPr>
      </w:pPr>
      <w:r>
        <w:rPr>
          <w:rFonts w:hint="eastAsia" w:cs="宋体"/>
          <w:szCs w:val="21"/>
        </w:rPr>
        <w:t>三、国家统计局关于印发《统计上大中小微型企业划分办法 （2017）》的通知</w:t>
      </w:r>
      <w:bookmarkEnd w:id="238"/>
      <w:bookmarkEnd w:id="239"/>
      <w:r>
        <w:rPr>
          <w:rFonts w:hint="eastAsia" w:cs="宋体"/>
          <w:szCs w:val="21"/>
        </w:rPr>
        <w:t> </w:t>
      </w:r>
    </w:p>
    <w:p w14:paraId="07C0BD4D">
      <w:pPr>
        <w:widowControl/>
        <w:jc w:val="left"/>
        <w:rPr>
          <w:rFonts w:ascii="宋体" w:hAnsi="宋体" w:cs="宋体"/>
          <w:kern w:val="0"/>
          <w:szCs w:val="21"/>
        </w:rPr>
      </w:pPr>
    </w:p>
    <w:p w14:paraId="260CF12A">
      <w:pPr>
        <w:widowControl/>
        <w:jc w:val="left"/>
        <w:rPr>
          <w:rFonts w:ascii="宋体" w:hAnsi="宋体" w:cs="宋体"/>
          <w:kern w:val="0"/>
          <w:szCs w:val="21"/>
        </w:rPr>
      </w:pPr>
      <w:r>
        <w:rPr>
          <w:rFonts w:hint="eastAsia" w:ascii="宋体" w:hAnsi="宋体" w:cs="宋体"/>
          <w:kern w:val="0"/>
          <w:szCs w:val="21"/>
        </w:rPr>
        <w:t>各省、自治区、直辖市统计局，新疆生产建设兵团统计局，国务院各有关部门，国家统计局各调查总队：</w:t>
      </w:r>
    </w:p>
    <w:p w14:paraId="1F4D2BCD">
      <w:pPr>
        <w:widowControl/>
        <w:ind w:firstLine="371" w:firstLineChars="177"/>
        <w:jc w:val="left"/>
        <w:rPr>
          <w:rFonts w:ascii="宋体" w:hAnsi="宋体" w:cs="宋体"/>
          <w:kern w:val="0"/>
          <w:szCs w:val="21"/>
        </w:rPr>
      </w:pPr>
      <w:r>
        <w:rPr>
          <w:rFonts w:hint="eastAsia" w:ascii="宋体" w:hAnsi="宋体" w:cs="宋体"/>
          <w:kern w:val="0"/>
          <w:szCs w:val="21"/>
        </w:rPr>
        <w:t>《国民经济行业分类》（GB/T 4754—2017）已正式实施，现对2011年制定的《统计上大中小微型企业划分办法》进行修订。本次修订保持原有的分类原则、方法、结构框架和适用范围，仅将所涉及的行业按照《国民经济行业分类》（GB/T 4754—2011）和《国民经济行业分类》（GB/T 4754—2017）的对应关系，进行相应调整，形成《统计上大中小微型企业划分办法（2017）》。现将《统计上大中小微型企业划分办法（2017）》印发给你们，请在统计工作中认真贯彻执行。</w:t>
      </w:r>
    </w:p>
    <w:p w14:paraId="45C23906">
      <w:pPr>
        <w:widowControl/>
        <w:jc w:val="left"/>
        <w:rPr>
          <w:rFonts w:ascii="宋体" w:hAnsi="宋体" w:cs="宋体"/>
          <w:kern w:val="0"/>
          <w:szCs w:val="21"/>
        </w:rPr>
      </w:pPr>
      <w:r>
        <w:rPr>
          <w:rFonts w:hint="eastAsia" w:ascii="宋体" w:hAnsi="宋体" w:cs="宋体"/>
          <w:kern w:val="0"/>
          <w:szCs w:val="21"/>
        </w:rPr>
        <w:t>附件：《统计上大中小微型企业划分办法（2017）》修订说明</w:t>
      </w:r>
    </w:p>
    <w:p w14:paraId="4120812D">
      <w:pPr>
        <w:widowControl/>
        <w:jc w:val="right"/>
        <w:rPr>
          <w:rFonts w:ascii="宋体" w:hAnsi="宋体" w:cs="宋体"/>
          <w:kern w:val="0"/>
          <w:szCs w:val="21"/>
        </w:rPr>
      </w:pPr>
      <w:r>
        <w:rPr>
          <w:rFonts w:hint="eastAsia" w:ascii="宋体" w:hAnsi="宋体" w:cs="宋体"/>
          <w:kern w:val="0"/>
          <w:szCs w:val="21"/>
        </w:rPr>
        <w:t>国家统计局</w:t>
      </w:r>
    </w:p>
    <w:p w14:paraId="3A1575D6">
      <w:pPr>
        <w:widowControl/>
        <w:jc w:val="right"/>
        <w:rPr>
          <w:rFonts w:ascii="宋体" w:hAnsi="宋体" w:cs="宋体"/>
          <w:kern w:val="0"/>
          <w:szCs w:val="21"/>
        </w:rPr>
      </w:pPr>
      <w:r>
        <w:rPr>
          <w:rFonts w:hint="eastAsia" w:ascii="宋体" w:hAnsi="宋体" w:cs="宋体"/>
          <w:kern w:val="0"/>
          <w:szCs w:val="21"/>
        </w:rPr>
        <w:t>2017年12月28日</w:t>
      </w:r>
    </w:p>
    <w:p w14:paraId="7F2BF7D7">
      <w:pPr>
        <w:widowControl/>
        <w:jc w:val="center"/>
        <w:rPr>
          <w:rFonts w:ascii="宋体" w:hAnsi="宋体" w:cs="宋体"/>
          <w:b/>
          <w:bCs/>
          <w:kern w:val="0"/>
          <w:szCs w:val="21"/>
        </w:rPr>
      </w:pPr>
    </w:p>
    <w:p w14:paraId="7978A193">
      <w:pPr>
        <w:widowControl/>
        <w:jc w:val="center"/>
        <w:rPr>
          <w:rFonts w:ascii="宋体" w:hAnsi="宋体" w:cs="宋体"/>
          <w:kern w:val="0"/>
          <w:szCs w:val="21"/>
        </w:rPr>
      </w:pPr>
      <w:r>
        <w:rPr>
          <w:rFonts w:hint="eastAsia" w:ascii="宋体" w:hAnsi="宋体" w:cs="宋体"/>
          <w:b/>
          <w:bCs/>
          <w:kern w:val="0"/>
          <w:szCs w:val="21"/>
        </w:rPr>
        <w:t>统计上大中小微型企业划分办法（2017）</w:t>
      </w:r>
    </w:p>
    <w:p w14:paraId="339BD96E">
      <w:pPr>
        <w:widowControl/>
        <w:jc w:val="left"/>
        <w:rPr>
          <w:rFonts w:ascii="宋体" w:hAnsi="宋体" w:cs="宋体"/>
          <w:kern w:val="0"/>
          <w:szCs w:val="21"/>
        </w:rPr>
      </w:pPr>
    </w:p>
    <w:p w14:paraId="157EC5EF">
      <w:pPr>
        <w:widowControl/>
        <w:ind w:left="1" w:firstLine="371" w:firstLineChars="177"/>
        <w:jc w:val="left"/>
        <w:rPr>
          <w:rFonts w:ascii="宋体" w:hAnsi="宋体" w:cs="宋体"/>
          <w:kern w:val="0"/>
          <w:szCs w:val="21"/>
        </w:rPr>
      </w:pPr>
      <w:r>
        <w:rPr>
          <w:rFonts w:hint="eastAsia" w:ascii="宋体" w:hAnsi="宋体" w:cs="宋体"/>
          <w:kern w:val="0"/>
          <w:szCs w:val="21"/>
        </w:rPr>
        <w:t>一、根据工业和信息化部、国家统计局、国家发展改革委、财政部《关于印发中小企业划型标准规定的通知》（工信部联企业〔2011〕300号），以《国民经济行业分类》（GB/T4754-2017）为基础，结合统计工作的实际情况，制定本办法。</w:t>
      </w:r>
    </w:p>
    <w:p w14:paraId="0F74122F">
      <w:pPr>
        <w:widowControl/>
        <w:ind w:firstLine="371" w:firstLineChars="177"/>
        <w:jc w:val="left"/>
        <w:rPr>
          <w:rFonts w:ascii="宋体" w:hAnsi="宋体" w:cs="宋体"/>
          <w:kern w:val="0"/>
          <w:szCs w:val="21"/>
        </w:rPr>
      </w:pPr>
      <w:r>
        <w:rPr>
          <w:rFonts w:hint="eastAsia" w:ascii="宋体" w:hAnsi="宋体" w:cs="宋体"/>
          <w:kern w:val="0"/>
          <w:szCs w:val="21"/>
        </w:rPr>
        <w:t>二、本办法适用对象为在中华人民共和国境内依法设立的各种组织形式的法人企业或单位。个体工商户参照本办法进行划分。</w:t>
      </w:r>
    </w:p>
    <w:p w14:paraId="31C79C5B">
      <w:pPr>
        <w:widowControl/>
        <w:ind w:firstLine="371" w:firstLineChars="177"/>
        <w:jc w:val="left"/>
        <w:rPr>
          <w:rFonts w:ascii="宋体" w:hAnsi="宋体" w:cs="宋体"/>
          <w:kern w:val="0"/>
          <w:szCs w:val="21"/>
        </w:rPr>
      </w:pPr>
      <w:r>
        <w:rPr>
          <w:rFonts w:hint="eastAsia" w:ascii="宋体" w:hAnsi="宋体" w:cs="宋体"/>
          <w:kern w:val="0"/>
          <w:szCs w:val="21"/>
        </w:rPr>
        <w:t>三、本办法适用范围包括：农、林、牧、渔业，采矿业，制造业，电力、热力、燃气及水生产和供应业，建筑业，批发和零售业，交通运输、仓储和邮政业，住宿和餐饮业，信息传输、软件和信息技术服务业，房地产业，租赁和商务服务业，科学研究和技术服务业，水利、环境和公共设施管理业，居民服务、修理和其他服务业，文化、体育和娱乐业等15个行业门类以及社会工作行业大类。</w:t>
      </w:r>
    </w:p>
    <w:p w14:paraId="061047AB">
      <w:pPr>
        <w:widowControl/>
        <w:ind w:firstLine="371" w:firstLineChars="177"/>
        <w:jc w:val="left"/>
        <w:rPr>
          <w:rFonts w:ascii="宋体" w:hAnsi="宋体" w:cs="宋体"/>
          <w:kern w:val="0"/>
          <w:szCs w:val="21"/>
        </w:rPr>
      </w:pPr>
      <w:r>
        <w:rPr>
          <w:rFonts w:hint="eastAsia" w:ascii="宋体" w:hAnsi="宋体" w:cs="宋体"/>
          <w:kern w:val="0"/>
          <w:szCs w:val="21"/>
        </w:rPr>
        <w:t>四、本办法按照行业门类、大类、中类和组合类别，依据从业人员、营业收入、资产总额等指标或替代指标，将我国的企业划分为大型、中型、小型、微型等四种类型。具体划分标准见附表。</w:t>
      </w:r>
    </w:p>
    <w:p w14:paraId="4FEECE15">
      <w:pPr>
        <w:widowControl/>
        <w:ind w:firstLine="371" w:firstLineChars="177"/>
        <w:jc w:val="left"/>
        <w:rPr>
          <w:rFonts w:ascii="宋体" w:hAnsi="宋体" w:cs="宋体"/>
          <w:kern w:val="0"/>
          <w:szCs w:val="21"/>
        </w:rPr>
      </w:pPr>
      <w:r>
        <w:rPr>
          <w:rFonts w:hint="eastAsia" w:ascii="宋体" w:hAnsi="宋体" w:cs="宋体"/>
          <w:kern w:val="0"/>
          <w:szCs w:val="21"/>
        </w:rPr>
        <w:t>五、企业划分由政府综合统计部门根据统计年报每年确定一次，定报统计原则上不进行调整。</w:t>
      </w:r>
    </w:p>
    <w:p w14:paraId="05D2F52F">
      <w:pPr>
        <w:widowControl/>
        <w:ind w:left="1" w:firstLine="371" w:firstLineChars="177"/>
        <w:jc w:val="left"/>
        <w:rPr>
          <w:rFonts w:ascii="宋体" w:hAnsi="宋体" w:cs="宋体"/>
          <w:kern w:val="0"/>
          <w:szCs w:val="21"/>
        </w:rPr>
      </w:pPr>
      <w:r>
        <w:rPr>
          <w:rFonts w:hint="eastAsia" w:ascii="宋体" w:hAnsi="宋体" w:cs="宋体"/>
          <w:kern w:val="0"/>
          <w:szCs w:val="21"/>
        </w:rPr>
        <w:t>六、本办法自印发之日起执行，国家统计局2011年印发的《统计上大中小微型企业划分办法》（国统字〔2011〕75号）同时废止。</w:t>
      </w:r>
    </w:p>
    <w:p w14:paraId="30A6F1C4">
      <w:pPr>
        <w:widowControl/>
        <w:jc w:val="left"/>
        <w:rPr>
          <w:rFonts w:ascii="宋体" w:hAnsi="宋体" w:cs="宋体"/>
          <w:kern w:val="0"/>
          <w:szCs w:val="21"/>
        </w:rPr>
      </w:pPr>
    </w:p>
    <w:p w14:paraId="6EA108EA">
      <w:pPr>
        <w:widowControl/>
        <w:jc w:val="left"/>
        <w:rPr>
          <w:rFonts w:ascii="宋体" w:hAnsi="宋体" w:cs="宋体"/>
          <w:kern w:val="0"/>
          <w:szCs w:val="21"/>
        </w:rPr>
      </w:pPr>
      <w:r>
        <w:rPr>
          <w:rFonts w:hint="eastAsia" w:ascii="宋体" w:hAnsi="宋体" w:cs="宋体"/>
          <w:kern w:val="0"/>
          <w:szCs w:val="21"/>
        </w:rPr>
        <w:t>附件</w:t>
      </w:r>
    </w:p>
    <w:p w14:paraId="263E933E">
      <w:pPr>
        <w:widowControl/>
        <w:jc w:val="center"/>
        <w:rPr>
          <w:rFonts w:ascii="宋体" w:hAnsi="宋体" w:cs="宋体"/>
          <w:kern w:val="0"/>
          <w:szCs w:val="21"/>
        </w:rPr>
      </w:pPr>
      <w:r>
        <w:rPr>
          <w:rFonts w:hint="eastAsia" w:ascii="宋体" w:hAnsi="宋体" w:cs="宋体"/>
          <w:b/>
          <w:bCs/>
          <w:kern w:val="0"/>
          <w:szCs w:val="21"/>
        </w:rPr>
        <w:t>《统计上大中小微型企业划分办法（2017）》修订说明</w:t>
      </w:r>
    </w:p>
    <w:p w14:paraId="77B5701F">
      <w:pPr>
        <w:widowControl/>
        <w:jc w:val="left"/>
        <w:rPr>
          <w:rFonts w:ascii="宋体" w:hAnsi="宋体" w:cs="宋体"/>
          <w:kern w:val="0"/>
          <w:szCs w:val="21"/>
        </w:rPr>
      </w:pPr>
    </w:p>
    <w:p w14:paraId="5D1405E0">
      <w:pPr>
        <w:widowControl/>
        <w:ind w:firstLine="371" w:firstLineChars="177"/>
        <w:jc w:val="left"/>
        <w:rPr>
          <w:rFonts w:ascii="宋体" w:hAnsi="宋体" w:cs="宋体"/>
          <w:kern w:val="0"/>
          <w:szCs w:val="21"/>
        </w:rPr>
      </w:pPr>
      <w:r>
        <w:rPr>
          <w:rFonts w:hint="eastAsia" w:ascii="宋体" w:hAnsi="宋体" w:cs="宋体"/>
          <w:kern w:val="0"/>
          <w:szCs w:val="21"/>
        </w:rPr>
        <w:t>一、修订背景</w:t>
      </w:r>
    </w:p>
    <w:p w14:paraId="0D5419CA">
      <w:pPr>
        <w:widowControl/>
        <w:ind w:firstLine="371" w:firstLineChars="177"/>
        <w:jc w:val="left"/>
        <w:rPr>
          <w:rFonts w:ascii="宋体" w:hAnsi="宋体" w:cs="宋体"/>
          <w:kern w:val="0"/>
          <w:szCs w:val="21"/>
        </w:rPr>
      </w:pPr>
      <w:r>
        <w:rPr>
          <w:rFonts w:hint="eastAsia" w:ascii="宋体" w:hAnsi="宋体" w:cs="宋体"/>
          <w:kern w:val="0"/>
          <w:szCs w:val="21"/>
        </w:rPr>
        <w:t>目前执行的《统计上大中小微型企业划分办法》是2011年国家统计局根据工业和信息化部、国家统计局、国家发展改革委、财政部《关于印发中小企业划型标准规定的通知》（工信部联企业〔2011〕300号），同时依据《国民经济行业分类》（GB/T 4754—2011），制定并颁布的。</w:t>
      </w:r>
    </w:p>
    <w:p w14:paraId="75DA1329">
      <w:pPr>
        <w:widowControl/>
        <w:ind w:firstLine="371" w:firstLineChars="177"/>
        <w:jc w:val="left"/>
        <w:rPr>
          <w:rFonts w:ascii="宋体" w:hAnsi="宋体" w:cs="宋体"/>
          <w:kern w:val="0"/>
          <w:szCs w:val="21"/>
        </w:rPr>
      </w:pPr>
      <w:r>
        <w:rPr>
          <w:rFonts w:hint="eastAsia" w:ascii="宋体" w:hAnsi="宋体" w:cs="宋体"/>
          <w:kern w:val="0"/>
          <w:szCs w:val="21"/>
        </w:rPr>
        <w:t>2017年6月30日，《国民经济行业分类》（GB/T 4754—2017）正式颁布。8月29日，国家统计局印发《关于执行新国民经济行业分类国家标准的通知》（国统字〔2017〕142号），规定从2017年统计年报和2018年定期统计报表起统一使用新分类标准。为此，我们对2011年印发的《统计上大中小微型企业划分办法》进行修订。</w:t>
      </w:r>
    </w:p>
    <w:p w14:paraId="03C317F3">
      <w:pPr>
        <w:widowControl/>
        <w:ind w:firstLine="371" w:firstLineChars="177"/>
        <w:jc w:val="left"/>
        <w:rPr>
          <w:rFonts w:ascii="宋体" w:hAnsi="宋体" w:cs="宋体"/>
          <w:kern w:val="0"/>
          <w:szCs w:val="21"/>
        </w:rPr>
      </w:pPr>
      <w:r>
        <w:rPr>
          <w:rFonts w:hint="eastAsia" w:ascii="宋体" w:hAnsi="宋体" w:cs="宋体"/>
          <w:kern w:val="0"/>
          <w:szCs w:val="21"/>
        </w:rPr>
        <w:t>二、修订主要内容</w:t>
      </w:r>
    </w:p>
    <w:p w14:paraId="092F1A2F">
      <w:pPr>
        <w:widowControl/>
        <w:ind w:firstLine="371" w:firstLineChars="177"/>
        <w:jc w:val="left"/>
        <w:rPr>
          <w:rFonts w:ascii="宋体" w:hAnsi="宋体" w:cs="宋体"/>
          <w:kern w:val="0"/>
          <w:szCs w:val="21"/>
        </w:rPr>
      </w:pPr>
      <w:r>
        <w:rPr>
          <w:rFonts w:hint="eastAsia" w:ascii="宋体" w:hAnsi="宋体" w:cs="宋体"/>
          <w:kern w:val="0"/>
          <w:szCs w:val="21"/>
        </w:rPr>
        <w:t>本次修订是在2011年《统计上大中小微型企业划分办法》基础上进行的，修订延续原有的分类原则、方法和结构框架，在保持适用范围不变的情况下,依据标准由《国民经济行业分类》（GB/T 4754—2011）修改为《国民经济行业分类》（GB/T 4754—2017），并根据新旧国民经济行业的对应关系，进行了行业所包含类别的对应调整。</w:t>
      </w:r>
    </w:p>
    <w:p w14:paraId="58D8BF93">
      <w:pPr>
        <w:widowControl/>
        <w:ind w:firstLine="371" w:firstLineChars="177"/>
        <w:jc w:val="left"/>
        <w:rPr>
          <w:rFonts w:ascii="宋体" w:hAnsi="宋体" w:cs="宋体"/>
          <w:kern w:val="0"/>
          <w:szCs w:val="21"/>
        </w:rPr>
      </w:pPr>
      <w:r>
        <w:rPr>
          <w:rFonts w:hint="eastAsia" w:ascii="宋体" w:hAnsi="宋体" w:cs="宋体"/>
          <w:kern w:val="0"/>
          <w:szCs w:val="21"/>
        </w:rPr>
        <w:t>将交通运输业中包括的“装卸搬运和运输代理业”修改为“多式联运和运输代理业、装卸搬运”。</w:t>
      </w:r>
    </w:p>
    <w:p w14:paraId="3C8B95BD">
      <w:pPr>
        <w:widowControl/>
        <w:jc w:val="left"/>
        <w:rPr>
          <w:rFonts w:ascii="宋体" w:hAnsi="宋体" w:cs="宋体"/>
          <w:kern w:val="0"/>
          <w:szCs w:val="21"/>
        </w:rPr>
      </w:pPr>
      <w:r>
        <w:rPr>
          <w:rFonts w:hint="eastAsia" w:ascii="宋体" w:hAnsi="宋体" w:cs="宋体"/>
          <w:kern w:val="0"/>
          <w:szCs w:val="21"/>
        </w:rPr>
        <w:t>仓储业所包括的行业中类，根据《国民经济行业分类》（GB/T 4754—2017）调整为“通用仓储，低温仓储，危险品仓储，谷物、棉花等农产品仓储，中药材仓储和其他仓储业”。</w:t>
      </w:r>
    </w:p>
    <w:p w14:paraId="2EFC455A">
      <w:pPr>
        <w:widowControl/>
        <w:jc w:val="left"/>
        <w:rPr>
          <w:rFonts w:ascii="宋体" w:hAnsi="宋体" w:cs="宋体"/>
          <w:kern w:val="0"/>
          <w:szCs w:val="21"/>
        </w:rPr>
      </w:pPr>
    </w:p>
    <w:p w14:paraId="795E37FF">
      <w:pPr>
        <w:widowControl/>
        <w:jc w:val="left"/>
        <w:rPr>
          <w:rFonts w:ascii="宋体" w:hAnsi="宋体" w:cs="宋体"/>
          <w:kern w:val="0"/>
          <w:szCs w:val="21"/>
        </w:rPr>
      </w:pPr>
      <w:r>
        <w:rPr>
          <w:rFonts w:hint="eastAsia" w:ascii="宋体" w:hAnsi="宋体" w:cs="宋体"/>
          <w:kern w:val="0"/>
          <w:szCs w:val="21"/>
        </w:rPr>
        <w:t>附表</w:t>
      </w:r>
    </w:p>
    <w:p w14:paraId="5B945B01">
      <w:pPr>
        <w:widowControl/>
        <w:jc w:val="center"/>
        <w:rPr>
          <w:rFonts w:ascii="宋体" w:hAnsi="宋体" w:cs="宋体"/>
          <w:kern w:val="0"/>
          <w:szCs w:val="21"/>
        </w:rPr>
      </w:pPr>
      <w:r>
        <w:rPr>
          <w:rFonts w:hint="eastAsia" w:ascii="宋体" w:hAnsi="宋体" w:cs="宋体"/>
          <w:b/>
          <w:bCs/>
          <w:kern w:val="0"/>
          <w:szCs w:val="21"/>
        </w:rPr>
        <w:t>统计上大中小微型企业划分标准</w:t>
      </w:r>
    </w:p>
    <w:tbl>
      <w:tblPr>
        <w:tblStyle w:val="29"/>
        <w:tblW w:w="0" w:type="auto"/>
        <w:jc w:val="center"/>
        <w:tblLayout w:type="fixed"/>
        <w:tblCellMar>
          <w:top w:w="0" w:type="dxa"/>
          <w:left w:w="108" w:type="dxa"/>
          <w:bottom w:w="0" w:type="dxa"/>
          <w:right w:w="108" w:type="dxa"/>
        </w:tblCellMar>
      </w:tblPr>
      <w:tblGrid>
        <w:gridCol w:w="2113"/>
        <w:gridCol w:w="1369"/>
        <w:gridCol w:w="709"/>
        <w:gridCol w:w="1125"/>
        <w:gridCol w:w="1701"/>
        <w:gridCol w:w="1426"/>
        <w:gridCol w:w="992"/>
      </w:tblGrid>
      <w:tr w14:paraId="2E09BB1D">
        <w:tblPrEx>
          <w:tblCellMar>
            <w:top w:w="0" w:type="dxa"/>
            <w:left w:w="108" w:type="dxa"/>
            <w:bottom w:w="0" w:type="dxa"/>
            <w:right w:w="108" w:type="dxa"/>
          </w:tblCellMar>
        </w:tblPrEx>
        <w:trPr>
          <w:trHeight w:val="622" w:hRule="exact"/>
          <w:jc w:val="center"/>
        </w:trPr>
        <w:tc>
          <w:tcPr>
            <w:tcW w:w="2113" w:type="dxa"/>
            <w:tcBorders>
              <w:top w:val="single" w:color="auto" w:sz="4" w:space="0"/>
              <w:left w:val="nil"/>
              <w:bottom w:val="single" w:color="auto" w:sz="4" w:space="0"/>
              <w:right w:val="single" w:color="auto" w:sz="4" w:space="0"/>
            </w:tcBorders>
            <w:vAlign w:val="center"/>
          </w:tcPr>
          <w:p w14:paraId="14CFA803">
            <w:pPr>
              <w:widowControl/>
              <w:jc w:val="center"/>
              <w:rPr>
                <w:rFonts w:ascii="宋体" w:hAnsi="宋体" w:cs="宋体"/>
                <w:b/>
                <w:bCs/>
                <w:color w:val="000000"/>
                <w:kern w:val="0"/>
                <w:szCs w:val="21"/>
              </w:rPr>
            </w:pPr>
            <w:r>
              <w:rPr>
                <w:rFonts w:hint="eastAsia" w:ascii="宋体" w:hAnsi="宋体" w:cs="宋体"/>
                <w:b/>
                <w:bCs/>
                <w:color w:val="000000"/>
                <w:kern w:val="0"/>
                <w:szCs w:val="21"/>
              </w:rPr>
              <w:t>行业名称</w:t>
            </w:r>
          </w:p>
        </w:tc>
        <w:tc>
          <w:tcPr>
            <w:tcW w:w="1369" w:type="dxa"/>
            <w:tcBorders>
              <w:top w:val="single" w:color="auto" w:sz="4" w:space="0"/>
              <w:left w:val="nil"/>
              <w:bottom w:val="single" w:color="auto" w:sz="4" w:space="0"/>
              <w:right w:val="single" w:color="auto" w:sz="4" w:space="0"/>
            </w:tcBorders>
            <w:vAlign w:val="center"/>
          </w:tcPr>
          <w:p w14:paraId="545139DE">
            <w:pPr>
              <w:widowControl/>
              <w:jc w:val="center"/>
              <w:rPr>
                <w:rFonts w:ascii="宋体" w:hAnsi="宋体" w:cs="宋体"/>
                <w:b/>
                <w:bCs/>
                <w:color w:val="000000"/>
                <w:kern w:val="0"/>
                <w:szCs w:val="21"/>
              </w:rPr>
            </w:pPr>
            <w:r>
              <w:rPr>
                <w:rFonts w:hint="eastAsia" w:ascii="宋体" w:hAnsi="宋体" w:cs="宋体"/>
                <w:b/>
                <w:bCs/>
                <w:color w:val="000000"/>
                <w:kern w:val="0"/>
                <w:szCs w:val="21"/>
              </w:rPr>
              <w:t>指标名称</w:t>
            </w:r>
          </w:p>
        </w:tc>
        <w:tc>
          <w:tcPr>
            <w:tcW w:w="709" w:type="dxa"/>
            <w:tcBorders>
              <w:top w:val="single" w:color="auto" w:sz="4" w:space="0"/>
              <w:left w:val="nil"/>
              <w:bottom w:val="single" w:color="auto" w:sz="4" w:space="0"/>
              <w:right w:val="single" w:color="auto" w:sz="4" w:space="0"/>
            </w:tcBorders>
            <w:vAlign w:val="center"/>
          </w:tcPr>
          <w:p w14:paraId="51243922">
            <w:pPr>
              <w:widowControl/>
              <w:jc w:val="center"/>
              <w:rPr>
                <w:rFonts w:ascii="宋体" w:hAnsi="宋体" w:cs="宋体"/>
                <w:b/>
                <w:bCs/>
                <w:color w:val="000000"/>
                <w:kern w:val="0"/>
                <w:szCs w:val="21"/>
              </w:rPr>
            </w:pPr>
            <w:r>
              <w:rPr>
                <w:rFonts w:hint="eastAsia" w:ascii="宋体" w:hAnsi="宋体" w:cs="宋体"/>
                <w:b/>
                <w:bCs/>
                <w:color w:val="000000"/>
                <w:kern w:val="0"/>
                <w:szCs w:val="21"/>
              </w:rPr>
              <w:t>计量</w:t>
            </w:r>
          </w:p>
          <w:p w14:paraId="5A6D172E">
            <w:pPr>
              <w:widowControl/>
              <w:jc w:val="center"/>
              <w:rPr>
                <w:rFonts w:ascii="宋体" w:hAnsi="宋体" w:cs="宋体"/>
                <w:b/>
                <w:bCs/>
                <w:color w:val="000000"/>
                <w:kern w:val="0"/>
                <w:szCs w:val="21"/>
              </w:rPr>
            </w:pPr>
            <w:r>
              <w:rPr>
                <w:rFonts w:hint="eastAsia" w:ascii="宋体" w:hAnsi="宋体" w:cs="宋体"/>
                <w:b/>
                <w:bCs/>
                <w:color w:val="000000"/>
                <w:kern w:val="0"/>
                <w:szCs w:val="21"/>
              </w:rPr>
              <w:t>单位</w:t>
            </w:r>
          </w:p>
        </w:tc>
        <w:tc>
          <w:tcPr>
            <w:tcW w:w="1125" w:type="dxa"/>
            <w:tcBorders>
              <w:top w:val="single" w:color="auto" w:sz="4" w:space="0"/>
              <w:left w:val="nil"/>
              <w:bottom w:val="single" w:color="auto" w:sz="4" w:space="0"/>
              <w:right w:val="single" w:color="auto" w:sz="4" w:space="0"/>
            </w:tcBorders>
            <w:vAlign w:val="center"/>
          </w:tcPr>
          <w:p w14:paraId="0B039D39">
            <w:pPr>
              <w:widowControl/>
              <w:jc w:val="center"/>
              <w:rPr>
                <w:rFonts w:ascii="宋体" w:hAnsi="宋体" w:cs="宋体"/>
                <w:b/>
                <w:bCs/>
                <w:color w:val="000000"/>
                <w:kern w:val="0"/>
                <w:szCs w:val="21"/>
              </w:rPr>
            </w:pPr>
            <w:r>
              <w:rPr>
                <w:rFonts w:hint="eastAsia" w:ascii="宋体" w:hAnsi="宋体" w:cs="宋体"/>
                <w:b/>
                <w:bCs/>
                <w:color w:val="000000"/>
                <w:kern w:val="0"/>
                <w:szCs w:val="21"/>
              </w:rPr>
              <w:t>大型</w:t>
            </w:r>
          </w:p>
        </w:tc>
        <w:tc>
          <w:tcPr>
            <w:tcW w:w="1701" w:type="dxa"/>
            <w:tcBorders>
              <w:top w:val="single" w:color="auto" w:sz="4" w:space="0"/>
              <w:left w:val="nil"/>
              <w:bottom w:val="single" w:color="auto" w:sz="4" w:space="0"/>
              <w:right w:val="single" w:color="auto" w:sz="4" w:space="0"/>
            </w:tcBorders>
            <w:vAlign w:val="center"/>
          </w:tcPr>
          <w:p w14:paraId="440B2147">
            <w:pPr>
              <w:widowControl/>
              <w:jc w:val="center"/>
              <w:rPr>
                <w:rFonts w:ascii="宋体" w:hAnsi="宋体" w:cs="宋体"/>
                <w:b/>
                <w:bCs/>
                <w:color w:val="000000"/>
                <w:kern w:val="0"/>
                <w:szCs w:val="21"/>
              </w:rPr>
            </w:pPr>
            <w:r>
              <w:rPr>
                <w:rFonts w:hint="eastAsia" w:ascii="宋体" w:hAnsi="宋体" w:cs="宋体"/>
                <w:b/>
                <w:bCs/>
                <w:color w:val="000000"/>
                <w:kern w:val="0"/>
                <w:szCs w:val="21"/>
              </w:rPr>
              <w:t>中型</w:t>
            </w:r>
          </w:p>
        </w:tc>
        <w:tc>
          <w:tcPr>
            <w:tcW w:w="1426" w:type="dxa"/>
            <w:tcBorders>
              <w:top w:val="single" w:color="auto" w:sz="4" w:space="0"/>
              <w:left w:val="nil"/>
              <w:bottom w:val="single" w:color="auto" w:sz="4" w:space="0"/>
              <w:right w:val="single" w:color="auto" w:sz="4" w:space="0"/>
            </w:tcBorders>
            <w:vAlign w:val="center"/>
          </w:tcPr>
          <w:p w14:paraId="0FC37447">
            <w:pPr>
              <w:widowControl/>
              <w:jc w:val="center"/>
              <w:rPr>
                <w:rFonts w:ascii="宋体" w:hAnsi="宋体" w:cs="宋体"/>
                <w:b/>
                <w:bCs/>
                <w:color w:val="000000"/>
                <w:kern w:val="0"/>
                <w:szCs w:val="21"/>
              </w:rPr>
            </w:pPr>
            <w:r>
              <w:rPr>
                <w:rFonts w:hint="eastAsia" w:ascii="宋体" w:hAnsi="宋体" w:cs="宋体"/>
                <w:b/>
                <w:bCs/>
                <w:color w:val="000000"/>
                <w:kern w:val="0"/>
                <w:szCs w:val="21"/>
              </w:rPr>
              <w:t>小型</w:t>
            </w:r>
          </w:p>
        </w:tc>
        <w:tc>
          <w:tcPr>
            <w:tcW w:w="992" w:type="dxa"/>
            <w:tcBorders>
              <w:top w:val="single" w:color="auto" w:sz="4" w:space="0"/>
              <w:left w:val="nil"/>
              <w:bottom w:val="single" w:color="auto" w:sz="4" w:space="0"/>
              <w:right w:val="nil"/>
            </w:tcBorders>
            <w:vAlign w:val="center"/>
          </w:tcPr>
          <w:p w14:paraId="3470DC34">
            <w:pPr>
              <w:widowControl/>
              <w:jc w:val="center"/>
              <w:rPr>
                <w:rFonts w:ascii="宋体" w:hAnsi="宋体" w:cs="宋体"/>
                <w:b/>
                <w:bCs/>
                <w:color w:val="000000"/>
                <w:kern w:val="0"/>
                <w:szCs w:val="21"/>
              </w:rPr>
            </w:pPr>
            <w:r>
              <w:rPr>
                <w:rFonts w:hint="eastAsia" w:ascii="宋体" w:hAnsi="宋体" w:cs="宋体"/>
                <w:b/>
                <w:bCs/>
                <w:color w:val="000000"/>
                <w:kern w:val="0"/>
                <w:szCs w:val="21"/>
              </w:rPr>
              <w:t>微型</w:t>
            </w:r>
          </w:p>
        </w:tc>
      </w:tr>
      <w:tr w14:paraId="75F513E1">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vAlign w:val="center"/>
          </w:tcPr>
          <w:p w14:paraId="2EE452C7">
            <w:pPr>
              <w:widowControl/>
              <w:jc w:val="left"/>
              <w:rPr>
                <w:rFonts w:ascii="宋体" w:hAnsi="宋体" w:cs="宋体"/>
                <w:color w:val="000000"/>
                <w:kern w:val="0"/>
                <w:szCs w:val="21"/>
              </w:rPr>
            </w:pPr>
            <w:r>
              <w:rPr>
                <w:rFonts w:hint="eastAsia" w:ascii="宋体" w:hAnsi="宋体" w:cs="宋体"/>
                <w:color w:val="000000"/>
                <w:kern w:val="0"/>
                <w:szCs w:val="21"/>
              </w:rPr>
              <w:t>农、林、牧、渔业</w:t>
            </w:r>
          </w:p>
        </w:tc>
        <w:tc>
          <w:tcPr>
            <w:tcW w:w="1369" w:type="dxa"/>
            <w:tcBorders>
              <w:top w:val="nil"/>
              <w:left w:val="nil"/>
              <w:bottom w:val="single" w:color="auto" w:sz="4" w:space="0"/>
              <w:right w:val="single" w:color="auto" w:sz="4" w:space="0"/>
            </w:tcBorders>
            <w:vAlign w:val="center"/>
          </w:tcPr>
          <w:p w14:paraId="66D79047">
            <w:pPr>
              <w:widowControl/>
              <w:jc w:val="center"/>
              <w:rPr>
                <w:rFonts w:ascii="宋体" w:hAnsi="宋体" w:cs="宋体"/>
                <w:color w:val="000000"/>
                <w:kern w:val="0"/>
                <w:szCs w:val="21"/>
              </w:rPr>
            </w:pPr>
            <w:r>
              <w:rPr>
                <w:rFonts w:hint="eastAsia" w:ascii="宋体" w:hAnsi="宋体" w:cs="宋体"/>
                <w:color w:val="000000"/>
                <w:kern w:val="0"/>
                <w:szCs w:val="21"/>
              </w:rPr>
              <w:t>营业收入(Y)</w:t>
            </w:r>
          </w:p>
        </w:tc>
        <w:tc>
          <w:tcPr>
            <w:tcW w:w="709" w:type="dxa"/>
            <w:tcBorders>
              <w:top w:val="nil"/>
              <w:left w:val="nil"/>
              <w:bottom w:val="single" w:color="auto" w:sz="4" w:space="0"/>
              <w:right w:val="single" w:color="auto" w:sz="4" w:space="0"/>
            </w:tcBorders>
            <w:vAlign w:val="center"/>
          </w:tcPr>
          <w:p w14:paraId="3AE98FBD">
            <w:pPr>
              <w:widowControl/>
              <w:jc w:val="center"/>
              <w:rPr>
                <w:rFonts w:ascii="宋体" w:hAnsi="宋体" w:cs="宋体"/>
                <w:color w:val="000000"/>
                <w:kern w:val="0"/>
                <w:szCs w:val="21"/>
              </w:rPr>
            </w:pPr>
            <w:r>
              <w:rPr>
                <w:rFonts w:hint="eastAsia" w:ascii="宋体" w:hAnsi="宋体" w:cs="宋体"/>
                <w:color w:val="000000"/>
                <w:kern w:val="0"/>
                <w:szCs w:val="21"/>
              </w:rPr>
              <w:t>万元</w:t>
            </w:r>
          </w:p>
        </w:tc>
        <w:tc>
          <w:tcPr>
            <w:tcW w:w="1125" w:type="dxa"/>
            <w:tcBorders>
              <w:top w:val="nil"/>
              <w:left w:val="nil"/>
              <w:bottom w:val="single" w:color="auto" w:sz="4" w:space="0"/>
              <w:right w:val="single" w:color="auto" w:sz="4" w:space="0"/>
            </w:tcBorders>
            <w:vAlign w:val="center"/>
          </w:tcPr>
          <w:p w14:paraId="2B9C3419">
            <w:pPr>
              <w:widowControl/>
              <w:jc w:val="center"/>
              <w:rPr>
                <w:rFonts w:ascii="宋体" w:hAnsi="宋体" w:cs="宋体"/>
                <w:color w:val="000000"/>
                <w:kern w:val="0"/>
                <w:szCs w:val="21"/>
              </w:rPr>
            </w:pPr>
            <w:r>
              <w:rPr>
                <w:rFonts w:hint="eastAsia" w:ascii="宋体" w:hAnsi="宋体" w:cs="宋体"/>
                <w:color w:val="000000"/>
                <w:kern w:val="0"/>
                <w:szCs w:val="21"/>
              </w:rPr>
              <w:t>Y≥20000</w:t>
            </w:r>
          </w:p>
        </w:tc>
        <w:tc>
          <w:tcPr>
            <w:tcW w:w="1701" w:type="dxa"/>
            <w:tcBorders>
              <w:top w:val="nil"/>
              <w:left w:val="nil"/>
              <w:bottom w:val="single" w:color="auto" w:sz="4" w:space="0"/>
              <w:right w:val="single" w:color="auto" w:sz="4" w:space="0"/>
            </w:tcBorders>
            <w:vAlign w:val="center"/>
          </w:tcPr>
          <w:p w14:paraId="43C37A6C">
            <w:pPr>
              <w:widowControl/>
              <w:jc w:val="center"/>
              <w:rPr>
                <w:rFonts w:ascii="宋体" w:hAnsi="宋体" w:cs="宋体"/>
                <w:color w:val="000000"/>
                <w:kern w:val="0"/>
                <w:szCs w:val="21"/>
              </w:rPr>
            </w:pPr>
            <w:r>
              <w:rPr>
                <w:rFonts w:hint="eastAsia" w:ascii="宋体" w:hAnsi="宋体" w:cs="宋体"/>
                <w:color w:val="000000"/>
                <w:kern w:val="0"/>
                <w:szCs w:val="21"/>
              </w:rPr>
              <w:t xml:space="preserve"> 500≤Y＜20000</w:t>
            </w:r>
          </w:p>
        </w:tc>
        <w:tc>
          <w:tcPr>
            <w:tcW w:w="1426" w:type="dxa"/>
            <w:tcBorders>
              <w:top w:val="nil"/>
              <w:left w:val="nil"/>
              <w:bottom w:val="single" w:color="auto" w:sz="4" w:space="0"/>
              <w:right w:val="single" w:color="auto" w:sz="4" w:space="0"/>
            </w:tcBorders>
            <w:vAlign w:val="center"/>
          </w:tcPr>
          <w:p w14:paraId="4C745F2E">
            <w:pPr>
              <w:widowControl/>
              <w:jc w:val="center"/>
              <w:rPr>
                <w:rFonts w:ascii="宋体" w:hAnsi="宋体" w:cs="宋体"/>
                <w:color w:val="000000"/>
                <w:kern w:val="0"/>
                <w:szCs w:val="21"/>
              </w:rPr>
            </w:pPr>
            <w:r>
              <w:rPr>
                <w:rFonts w:hint="eastAsia" w:ascii="宋体" w:hAnsi="宋体" w:cs="宋体"/>
                <w:color w:val="000000"/>
                <w:kern w:val="0"/>
                <w:szCs w:val="21"/>
              </w:rPr>
              <w:t xml:space="preserve"> 50≤Y＜500</w:t>
            </w:r>
          </w:p>
        </w:tc>
        <w:tc>
          <w:tcPr>
            <w:tcW w:w="992" w:type="dxa"/>
            <w:tcBorders>
              <w:top w:val="nil"/>
              <w:left w:val="nil"/>
              <w:bottom w:val="single" w:color="auto" w:sz="4" w:space="0"/>
              <w:right w:val="nil"/>
            </w:tcBorders>
            <w:vAlign w:val="center"/>
          </w:tcPr>
          <w:p w14:paraId="5C8D7EC2">
            <w:pPr>
              <w:widowControl/>
              <w:jc w:val="center"/>
              <w:rPr>
                <w:rFonts w:ascii="宋体" w:hAnsi="宋体" w:cs="宋体"/>
                <w:color w:val="000000"/>
                <w:kern w:val="0"/>
                <w:szCs w:val="21"/>
              </w:rPr>
            </w:pPr>
            <w:r>
              <w:rPr>
                <w:rFonts w:hint="eastAsia" w:ascii="宋体" w:hAnsi="宋体" w:cs="宋体"/>
                <w:color w:val="000000"/>
                <w:kern w:val="0"/>
                <w:szCs w:val="21"/>
              </w:rPr>
              <w:t>Y＜50</w:t>
            </w:r>
          </w:p>
        </w:tc>
      </w:tr>
      <w:tr w14:paraId="1258534C">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102FA164">
            <w:pPr>
              <w:widowControl/>
              <w:jc w:val="left"/>
              <w:rPr>
                <w:rFonts w:ascii="宋体" w:hAnsi="宋体" w:cs="宋体"/>
                <w:color w:val="000000"/>
                <w:kern w:val="0"/>
                <w:szCs w:val="21"/>
              </w:rPr>
            </w:pPr>
            <w:r>
              <w:rPr>
                <w:rFonts w:hint="eastAsia" w:ascii="宋体" w:hAnsi="宋体" w:cs="宋体"/>
                <w:color w:val="000000"/>
                <w:kern w:val="0"/>
                <w:szCs w:val="21"/>
              </w:rPr>
              <w:t>工业 *</w:t>
            </w:r>
          </w:p>
        </w:tc>
        <w:tc>
          <w:tcPr>
            <w:tcW w:w="1369" w:type="dxa"/>
            <w:tcBorders>
              <w:top w:val="nil"/>
              <w:left w:val="nil"/>
              <w:bottom w:val="nil"/>
              <w:right w:val="single" w:color="auto" w:sz="4" w:space="0"/>
            </w:tcBorders>
            <w:vAlign w:val="center"/>
          </w:tcPr>
          <w:p w14:paraId="0DA3F1FD">
            <w:pPr>
              <w:widowControl/>
              <w:jc w:val="center"/>
              <w:rPr>
                <w:rFonts w:ascii="宋体" w:hAnsi="宋体" w:cs="宋体"/>
                <w:color w:val="000000"/>
                <w:kern w:val="0"/>
                <w:szCs w:val="21"/>
              </w:rPr>
            </w:pPr>
            <w:r>
              <w:rPr>
                <w:rFonts w:hint="eastAsia" w:ascii="宋体" w:hAnsi="宋体" w:cs="宋体"/>
                <w:color w:val="000000"/>
                <w:kern w:val="0"/>
                <w:szCs w:val="21"/>
              </w:rPr>
              <w:t>从业人员(X)</w:t>
            </w:r>
          </w:p>
        </w:tc>
        <w:tc>
          <w:tcPr>
            <w:tcW w:w="709" w:type="dxa"/>
            <w:tcBorders>
              <w:top w:val="nil"/>
              <w:left w:val="nil"/>
              <w:bottom w:val="nil"/>
              <w:right w:val="single" w:color="auto" w:sz="4" w:space="0"/>
            </w:tcBorders>
            <w:vAlign w:val="center"/>
          </w:tcPr>
          <w:p w14:paraId="76537459">
            <w:pPr>
              <w:widowControl/>
              <w:jc w:val="center"/>
              <w:rPr>
                <w:rFonts w:ascii="宋体" w:hAnsi="宋体" w:cs="宋体"/>
                <w:color w:val="000000"/>
                <w:kern w:val="0"/>
                <w:szCs w:val="21"/>
              </w:rPr>
            </w:pPr>
            <w:r>
              <w:rPr>
                <w:rFonts w:hint="eastAsia" w:ascii="宋体" w:hAnsi="宋体" w:cs="宋体"/>
                <w:color w:val="000000"/>
                <w:kern w:val="0"/>
                <w:szCs w:val="21"/>
              </w:rPr>
              <w:t>人</w:t>
            </w:r>
          </w:p>
        </w:tc>
        <w:tc>
          <w:tcPr>
            <w:tcW w:w="1125" w:type="dxa"/>
            <w:tcBorders>
              <w:top w:val="nil"/>
              <w:left w:val="nil"/>
              <w:bottom w:val="nil"/>
              <w:right w:val="single" w:color="auto" w:sz="4" w:space="0"/>
            </w:tcBorders>
            <w:vAlign w:val="center"/>
          </w:tcPr>
          <w:p w14:paraId="01185318">
            <w:pPr>
              <w:widowControl/>
              <w:jc w:val="center"/>
              <w:rPr>
                <w:rFonts w:ascii="宋体" w:hAnsi="宋体" w:cs="宋体"/>
                <w:color w:val="000000"/>
                <w:kern w:val="0"/>
                <w:szCs w:val="21"/>
              </w:rPr>
            </w:pPr>
            <w:r>
              <w:rPr>
                <w:rFonts w:hint="eastAsia" w:ascii="宋体" w:hAnsi="宋体" w:cs="宋体"/>
                <w:color w:val="000000"/>
                <w:kern w:val="0"/>
                <w:szCs w:val="21"/>
              </w:rPr>
              <w:t>X≥1000</w:t>
            </w:r>
          </w:p>
        </w:tc>
        <w:tc>
          <w:tcPr>
            <w:tcW w:w="1701" w:type="dxa"/>
            <w:tcBorders>
              <w:top w:val="nil"/>
              <w:left w:val="nil"/>
              <w:bottom w:val="nil"/>
              <w:right w:val="single" w:color="auto" w:sz="4" w:space="0"/>
            </w:tcBorders>
            <w:vAlign w:val="center"/>
          </w:tcPr>
          <w:p w14:paraId="5962F5A8">
            <w:pPr>
              <w:widowControl/>
              <w:jc w:val="center"/>
              <w:rPr>
                <w:rFonts w:ascii="宋体" w:hAnsi="宋体" w:cs="宋体"/>
                <w:color w:val="000000"/>
                <w:kern w:val="0"/>
                <w:szCs w:val="21"/>
              </w:rPr>
            </w:pPr>
            <w:r>
              <w:rPr>
                <w:rFonts w:hint="eastAsia" w:ascii="宋体" w:hAnsi="宋体" w:cs="宋体"/>
                <w:color w:val="000000"/>
                <w:kern w:val="0"/>
                <w:szCs w:val="21"/>
              </w:rPr>
              <w:t>300≤X＜1000</w:t>
            </w:r>
          </w:p>
        </w:tc>
        <w:tc>
          <w:tcPr>
            <w:tcW w:w="1426" w:type="dxa"/>
            <w:tcBorders>
              <w:top w:val="nil"/>
              <w:left w:val="nil"/>
              <w:bottom w:val="nil"/>
              <w:right w:val="single" w:color="auto" w:sz="4" w:space="0"/>
            </w:tcBorders>
            <w:vAlign w:val="center"/>
          </w:tcPr>
          <w:p w14:paraId="7221159C">
            <w:pPr>
              <w:widowControl/>
              <w:jc w:val="center"/>
              <w:rPr>
                <w:rFonts w:ascii="宋体" w:hAnsi="宋体" w:cs="宋体"/>
                <w:color w:val="000000"/>
                <w:kern w:val="0"/>
                <w:szCs w:val="21"/>
              </w:rPr>
            </w:pPr>
            <w:r>
              <w:rPr>
                <w:rFonts w:hint="eastAsia" w:ascii="宋体" w:hAnsi="宋体" w:cs="宋体"/>
                <w:color w:val="000000"/>
                <w:kern w:val="0"/>
                <w:szCs w:val="21"/>
              </w:rPr>
              <w:t xml:space="preserve"> 20≤X＜300</w:t>
            </w:r>
          </w:p>
        </w:tc>
        <w:tc>
          <w:tcPr>
            <w:tcW w:w="992" w:type="dxa"/>
            <w:tcBorders>
              <w:top w:val="nil"/>
              <w:left w:val="nil"/>
              <w:bottom w:val="nil"/>
              <w:right w:val="nil"/>
            </w:tcBorders>
            <w:vAlign w:val="center"/>
          </w:tcPr>
          <w:p w14:paraId="22A07FC0">
            <w:pPr>
              <w:widowControl/>
              <w:jc w:val="center"/>
              <w:rPr>
                <w:rFonts w:ascii="宋体" w:hAnsi="宋体" w:cs="宋体"/>
                <w:color w:val="000000"/>
                <w:kern w:val="0"/>
                <w:szCs w:val="21"/>
              </w:rPr>
            </w:pPr>
            <w:r>
              <w:rPr>
                <w:rFonts w:hint="eastAsia" w:ascii="宋体" w:hAnsi="宋体" w:cs="宋体"/>
                <w:color w:val="000000"/>
                <w:kern w:val="0"/>
                <w:szCs w:val="21"/>
              </w:rPr>
              <w:t>X＜20</w:t>
            </w:r>
          </w:p>
        </w:tc>
      </w:tr>
      <w:tr w14:paraId="434789A5">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7E26C68C">
            <w:pPr>
              <w:widowControl/>
              <w:jc w:val="left"/>
              <w:rPr>
                <w:rFonts w:ascii="宋体" w:hAnsi="宋体" w:cs="宋体"/>
                <w:color w:val="000000"/>
                <w:kern w:val="0"/>
                <w:szCs w:val="21"/>
              </w:rPr>
            </w:pPr>
          </w:p>
        </w:tc>
        <w:tc>
          <w:tcPr>
            <w:tcW w:w="1369" w:type="dxa"/>
            <w:tcBorders>
              <w:top w:val="nil"/>
              <w:left w:val="nil"/>
              <w:bottom w:val="single" w:color="auto" w:sz="4" w:space="0"/>
              <w:right w:val="single" w:color="auto" w:sz="4" w:space="0"/>
            </w:tcBorders>
            <w:vAlign w:val="center"/>
          </w:tcPr>
          <w:p w14:paraId="72577DE4">
            <w:pPr>
              <w:widowControl/>
              <w:jc w:val="center"/>
              <w:rPr>
                <w:rFonts w:ascii="宋体" w:hAnsi="宋体" w:cs="宋体"/>
                <w:color w:val="000000"/>
                <w:kern w:val="0"/>
                <w:szCs w:val="21"/>
              </w:rPr>
            </w:pPr>
            <w:r>
              <w:rPr>
                <w:rFonts w:hint="eastAsia" w:ascii="宋体" w:hAnsi="宋体" w:cs="宋体"/>
                <w:color w:val="000000"/>
                <w:kern w:val="0"/>
                <w:szCs w:val="21"/>
              </w:rPr>
              <w:t>营业收入(Y)</w:t>
            </w:r>
          </w:p>
        </w:tc>
        <w:tc>
          <w:tcPr>
            <w:tcW w:w="709" w:type="dxa"/>
            <w:tcBorders>
              <w:top w:val="nil"/>
              <w:left w:val="nil"/>
              <w:bottom w:val="single" w:color="auto" w:sz="4" w:space="0"/>
              <w:right w:val="single" w:color="auto" w:sz="4" w:space="0"/>
            </w:tcBorders>
            <w:vAlign w:val="center"/>
          </w:tcPr>
          <w:p w14:paraId="0000E90E">
            <w:pPr>
              <w:widowControl/>
              <w:jc w:val="center"/>
              <w:rPr>
                <w:rFonts w:ascii="宋体" w:hAnsi="宋体" w:cs="宋体"/>
                <w:color w:val="000000"/>
                <w:kern w:val="0"/>
                <w:szCs w:val="21"/>
              </w:rPr>
            </w:pPr>
            <w:r>
              <w:rPr>
                <w:rFonts w:hint="eastAsia" w:ascii="宋体" w:hAnsi="宋体" w:cs="宋体"/>
                <w:color w:val="000000"/>
                <w:kern w:val="0"/>
                <w:szCs w:val="21"/>
              </w:rPr>
              <w:t>万元</w:t>
            </w:r>
          </w:p>
        </w:tc>
        <w:tc>
          <w:tcPr>
            <w:tcW w:w="1125" w:type="dxa"/>
            <w:tcBorders>
              <w:top w:val="nil"/>
              <w:left w:val="nil"/>
              <w:bottom w:val="single" w:color="auto" w:sz="4" w:space="0"/>
              <w:right w:val="single" w:color="auto" w:sz="4" w:space="0"/>
            </w:tcBorders>
            <w:vAlign w:val="center"/>
          </w:tcPr>
          <w:p w14:paraId="35CFB824">
            <w:pPr>
              <w:widowControl/>
              <w:jc w:val="center"/>
              <w:rPr>
                <w:rFonts w:ascii="宋体" w:hAnsi="宋体" w:cs="宋体"/>
                <w:color w:val="000000"/>
                <w:kern w:val="0"/>
                <w:szCs w:val="21"/>
              </w:rPr>
            </w:pPr>
            <w:r>
              <w:rPr>
                <w:rFonts w:hint="eastAsia" w:ascii="宋体" w:hAnsi="宋体" w:cs="宋体"/>
                <w:color w:val="000000"/>
                <w:kern w:val="0"/>
                <w:szCs w:val="21"/>
              </w:rPr>
              <w:t>Y≥40000</w:t>
            </w:r>
          </w:p>
        </w:tc>
        <w:tc>
          <w:tcPr>
            <w:tcW w:w="1701" w:type="dxa"/>
            <w:tcBorders>
              <w:top w:val="nil"/>
              <w:left w:val="nil"/>
              <w:bottom w:val="single" w:color="auto" w:sz="4" w:space="0"/>
              <w:right w:val="single" w:color="auto" w:sz="4" w:space="0"/>
            </w:tcBorders>
            <w:vAlign w:val="center"/>
          </w:tcPr>
          <w:p w14:paraId="7635AE3D">
            <w:pPr>
              <w:widowControl/>
              <w:jc w:val="center"/>
              <w:rPr>
                <w:rFonts w:ascii="宋体" w:hAnsi="宋体" w:cs="宋体"/>
                <w:color w:val="000000"/>
                <w:kern w:val="0"/>
                <w:szCs w:val="21"/>
              </w:rPr>
            </w:pPr>
            <w:r>
              <w:rPr>
                <w:rFonts w:hint="eastAsia" w:ascii="宋体" w:hAnsi="宋体" w:cs="宋体"/>
                <w:color w:val="000000"/>
                <w:kern w:val="0"/>
                <w:szCs w:val="21"/>
              </w:rPr>
              <w:t>2000≤Y＜40000</w:t>
            </w:r>
          </w:p>
        </w:tc>
        <w:tc>
          <w:tcPr>
            <w:tcW w:w="1426" w:type="dxa"/>
            <w:tcBorders>
              <w:top w:val="nil"/>
              <w:left w:val="nil"/>
              <w:bottom w:val="single" w:color="auto" w:sz="4" w:space="0"/>
              <w:right w:val="single" w:color="auto" w:sz="4" w:space="0"/>
            </w:tcBorders>
            <w:vAlign w:val="center"/>
          </w:tcPr>
          <w:p w14:paraId="401141C9">
            <w:pPr>
              <w:widowControl/>
              <w:jc w:val="center"/>
              <w:rPr>
                <w:rFonts w:ascii="宋体" w:hAnsi="宋体" w:cs="宋体"/>
                <w:color w:val="000000"/>
                <w:kern w:val="0"/>
                <w:szCs w:val="21"/>
              </w:rPr>
            </w:pPr>
            <w:r>
              <w:rPr>
                <w:rFonts w:hint="eastAsia" w:ascii="宋体" w:hAnsi="宋体" w:cs="宋体"/>
                <w:color w:val="000000"/>
                <w:kern w:val="0"/>
                <w:szCs w:val="21"/>
              </w:rPr>
              <w:t xml:space="preserve"> 300≤Y＜2000</w:t>
            </w:r>
          </w:p>
        </w:tc>
        <w:tc>
          <w:tcPr>
            <w:tcW w:w="992" w:type="dxa"/>
            <w:tcBorders>
              <w:top w:val="nil"/>
              <w:left w:val="nil"/>
              <w:bottom w:val="single" w:color="auto" w:sz="4" w:space="0"/>
              <w:right w:val="nil"/>
            </w:tcBorders>
            <w:vAlign w:val="center"/>
          </w:tcPr>
          <w:p w14:paraId="70FA3CD8">
            <w:pPr>
              <w:widowControl/>
              <w:jc w:val="center"/>
              <w:rPr>
                <w:rFonts w:ascii="宋体" w:hAnsi="宋体" w:cs="宋体"/>
                <w:color w:val="000000"/>
                <w:kern w:val="0"/>
                <w:szCs w:val="21"/>
              </w:rPr>
            </w:pPr>
            <w:r>
              <w:rPr>
                <w:rFonts w:hint="eastAsia" w:ascii="宋体" w:hAnsi="宋体" w:cs="宋体"/>
                <w:color w:val="000000"/>
                <w:kern w:val="0"/>
                <w:szCs w:val="21"/>
              </w:rPr>
              <w:t>Y＜300</w:t>
            </w:r>
          </w:p>
        </w:tc>
      </w:tr>
      <w:tr w14:paraId="0F7BBDFB">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448CAEFC">
            <w:pPr>
              <w:widowControl/>
              <w:jc w:val="left"/>
              <w:rPr>
                <w:rFonts w:ascii="宋体" w:hAnsi="宋体" w:cs="宋体"/>
                <w:color w:val="000000"/>
                <w:kern w:val="0"/>
                <w:szCs w:val="21"/>
              </w:rPr>
            </w:pPr>
            <w:r>
              <w:rPr>
                <w:rFonts w:hint="eastAsia" w:ascii="宋体" w:hAnsi="宋体" w:cs="宋体"/>
                <w:color w:val="000000"/>
                <w:kern w:val="0"/>
                <w:szCs w:val="21"/>
              </w:rPr>
              <w:t>建筑业</w:t>
            </w:r>
          </w:p>
        </w:tc>
        <w:tc>
          <w:tcPr>
            <w:tcW w:w="1369" w:type="dxa"/>
            <w:tcBorders>
              <w:top w:val="nil"/>
              <w:left w:val="nil"/>
              <w:bottom w:val="nil"/>
              <w:right w:val="single" w:color="auto" w:sz="4" w:space="0"/>
            </w:tcBorders>
            <w:vAlign w:val="center"/>
          </w:tcPr>
          <w:p w14:paraId="7FA11506">
            <w:pPr>
              <w:widowControl/>
              <w:jc w:val="center"/>
              <w:rPr>
                <w:rFonts w:ascii="宋体" w:hAnsi="宋体" w:cs="宋体"/>
                <w:color w:val="000000"/>
                <w:kern w:val="0"/>
                <w:szCs w:val="21"/>
              </w:rPr>
            </w:pPr>
            <w:r>
              <w:rPr>
                <w:rFonts w:hint="eastAsia" w:ascii="宋体" w:hAnsi="宋体" w:cs="宋体"/>
                <w:color w:val="000000"/>
                <w:kern w:val="0"/>
                <w:szCs w:val="21"/>
              </w:rPr>
              <w:t>营业收入(Y)</w:t>
            </w:r>
          </w:p>
        </w:tc>
        <w:tc>
          <w:tcPr>
            <w:tcW w:w="709" w:type="dxa"/>
            <w:tcBorders>
              <w:top w:val="nil"/>
              <w:left w:val="nil"/>
              <w:bottom w:val="nil"/>
              <w:right w:val="single" w:color="auto" w:sz="4" w:space="0"/>
            </w:tcBorders>
            <w:vAlign w:val="center"/>
          </w:tcPr>
          <w:p w14:paraId="097E7EAD">
            <w:pPr>
              <w:widowControl/>
              <w:jc w:val="center"/>
              <w:rPr>
                <w:rFonts w:ascii="宋体" w:hAnsi="宋体" w:cs="宋体"/>
                <w:color w:val="000000"/>
                <w:kern w:val="0"/>
                <w:szCs w:val="21"/>
              </w:rPr>
            </w:pPr>
            <w:r>
              <w:rPr>
                <w:rFonts w:hint="eastAsia" w:ascii="宋体" w:hAnsi="宋体" w:cs="宋体"/>
                <w:color w:val="000000"/>
                <w:kern w:val="0"/>
                <w:szCs w:val="21"/>
              </w:rPr>
              <w:t>万元</w:t>
            </w:r>
          </w:p>
        </w:tc>
        <w:tc>
          <w:tcPr>
            <w:tcW w:w="1125" w:type="dxa"/>
            <w:tcBorders>
              <w:top w:val="nil"/>
              <w:left w:val="nil"/>
              <w:bottom w:val="nil"/>
              <w:right w:val="single" w:color="auto" w:sz="4" w:space="0"/>
            </w:tcBorders>
            <w:vAlign w:val="center"/>
          </w:tcPr>
          <w:p w14:paraId="7F6EA546">
            <w:pPr>
              <w:widowControl/>
              <w:jc w:val="center"/>
              <w:rPr>
                <w:rFonts w:ascii="宋体" w:hAnsi="宋体" w:cs="宋体"/>
                <w:color w:val="000000"/>
                <w:kern w:val="0"/>
                <w:szCs w:val="21"/>
              </w:rPr>
            </w:pPr>
            <w:r>
              <w:rPr>
                <w:rFonts w:hint="eastAsia" w:ascii="宋体" w:hAnsi="宋体" w:cs="宋体"/>
                <w:color w:val="000000"/>
                <w:kern w:val="0"/>
                <w:szCs w:val="21"/>
              </w:rPr>
              <w:t>Y≥80000</w:t>
            </w:r>
          </w:p>
        </w:tc>
        <w:tc>
          <w:tcPr>
            <w:tcW w:w="1701" w:type="dxa"/>
            <w:tcBorders>
              <w:top w:val="nil"/>
              <w:left w:val="nil"/>
              <w:bottom w:val="nil"/>
              <w:right w:val="single" w:color="auto" w:sz="4" w:space="0"/>
            </w:tcBorders>
            <w:vAlign w:val="center"/>
          </w:tcPr>
          <w:p w14:paraId="568016EF">
            <w:pPr>
              <w:widowControl/>
              <w:jc w:val="center"/>
              <w:rPr>
                <w:rFonts w:ascii="宋体" w:hAnsi="宋体" w:cs="宋体"/>
                <w:color w:val="000000"/>
                <w:kern w:val="0"/>
                <w:szCs w:val="21"/>
              </w:rPr>
            </w:pPr>
            <w:r>
              <w:rPr>
                <w:rFonts w:hint="eastAsia" w:ascii="宋体" w:hAnsi="宋体" w:cs="宋体"/>
                <w:color w:val="000000"/>
                <w:kern w:val="0"/>
                <w:szCs w:val="21"/>
              </w:rPr>
              <w:t>6000≤Y＜80000</w:t>
            </w:r>
          </w:p>
        </w:tc>
        <w:tc>
          <w:tcPr>
            <w:tcW w:w="1426" w:type="dxa"/>
            <w:tcBorders>
              <w:top w:val="nil"/>
              <w:left w:val="nil"/>
              <w:bottom w:val="nil"/>
              <w:right w:val="single" w:color="auto" w:sz="4" w:space="0"/>
            </w:tcBorders>
            <w:vAlign w:val="center"/>
          </w:tcPr>
          <w:p w14:paraId="5E527BDD">
            <w:pPr>
              <w:widowControl/>
              <w:jc w:val="center"/>
              <w:rPr>
                <w:rFonts w:ascii="宋体" w:hAnsi="宋体" w:cs="宋体"/>
                <w:color w:val="000000"/>
                <w:kern w:val="0"/>
                <w:szCs w:val="21"/>
              </w:rPr>
            </w:pPr>
            <w:r>
              <w:rPr>
                <w:rFonts w:hint="eastAsia" w:ascii="宋体" w:hAnsi="宋体" w:cs="宋体"/>
                <w:color w:val="000000"/>
                <w:kern w:val="0"/>
                <w:szCs w:val="21"/>
              </w:rPr>
              <w:t xml:space="preserve"> 300≤Y＜6000</w:t>
            </w:r>
          </w:p>
        </w:tc>
        <w:tc>
          <w:tcPr>
            <w:tcW w:w="992" w:type="dxa"/>
            <w:tcBorders>
              <w:top w:val="nil"/>
              <w:left w:val="nil"/>
              <w:bottom w:val="nil"/>
              <w:right w:val="nil"/>
            </w:tcBorders>
            <w:vAlign w:val="center"/>
          </w:tcPr>
          <w:p w14:paraId="6F5B6F63">
            <w:pPr>
              <w:widowControl/>
              <w:jc w:val="center"/>
              <w:rPr>
                <w:rFonts w:ascii="宋体" w:hAnsi="宋体" w:cs="宋体"/>
                <w:color w:val="000000"/>
                <w:kern w:val="0"/>
                <w:szCs w:val="21"/>
              </w:rPr>
            </w:pPr>
            <w:r>
              <w:rPr>
                <w:rFonts w:hint="eastAsia" w:ascii="宋体" w:hAnsi="宋体" w:cs="宋体"/>
                <w:color w:val="000000"/>
                <w:kern w:val="0"/>
                <w:szCs w:val="21"/>
              </w:rPr>
              <w:t>Y＜300</w:t>
            </w:r>
          </w:p>
        </w:tc>
      </w:tr>
      <w:tr w14:paraId="08A7EF2D">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0B6A54CE">
            <w:pPr>
              <w:widowControl/>
              <w:jc w:val="left"/>
              <w:rPr>
                <w:rFonts w:ascii="宋体" w:hAnsi="宋体" w:cs="宋体"/>
                <w:color w:val="000000"/>
                <w:kern w:val="0"/>
                <w:szCs w:val="21"/>
              </w:rPr>
            </w:pPr>
          </w:p>
        </w:tc>
        <w:tc>
          <w:tcPr>
            <w:tcW w:w="1369" w:type="dxa"/>
            <w:tcBorders>
              <w:top w:val="nil"/>
              <w:left w:val="nil"/>
              <w:bottom w:val="single" w:color="auto" w:sz="4" w:space="0"/>
              <w:right w:val="single" w:color="auto" w:sz="4" w:space="0"/>
            </w:tcBorders>
            <w:vAlign w:val="center"/>
          </w:tcPr>
          <w:p w14:paraId="0AFFC808">
            <w:pPr>
              <w:widowControl/>
              <w:jc w:val="center"/>
              <w:rPr>
                <w:rFonts w:ascii="宋体" w:hAnsi="宋体" w:cs="宋体"/>
                <w:color w:val="000000"/>
                <w:kern w:val="0"/>
                <w:szCs w:val="21"/>
              </w:rPr>
            </w:pPr>
            <w:r>
              <w:rPr>
                <w:rFonts w:hint="eastAsia" w:ascii="宋体" w:hAnsi="宋体" w:cs="宋体"/>
                <w:color w:val="000000"/>
                <w:kern w:val="0"/>
                <w:szCs w:val="21"/>
              </w:rPr>
              <w:t>资产总额(Z)</w:t>
            </w:r>
          </w:p>
        </w:tc>
        <w:tc>
          <w:tcPr>
            <w:tcW w:w="709" w:type="dxa"/>
            <w:tcBorders>
              <w:top w:val="nil"/>
              <w:left w:val="nil"/>
              <w:bottom w:val="single" w:color="auto" w:sz="4" w:space="0"/>
              <w:right w:val="single" w:color="auto" w:sz="4" w:space="0"/>
            </w:tcBorders>
            <w:vAlign w:val="center"/>
          </w:tcPr>
          <w:p w14:paraId="425CBF2A">
            <w:pPr>
              <w:widowControl/>
              <w:jc w:val="center"/>
              <w:rPr>
                <w:rFonts w:ascii="宋体" w:hAnsi="宋体" w:cs="宋体"/>
                <w:color w:val="000000"/>
                <w:kern w:val="0"/>
                <w:szCs w:val="21"/>
              </w:rPr>
            </w:pPr>
            <w:r>
              <w:rPr>
                <w:rFonts w:hint="eastAsia" w:ascii="宋体" w:hAnsi="宋体" w:cs="宋体"/>
                <w:color w:val="000000"/>
                <w:kern w:val="0"/>
                <w:szCs w:val="21"/>
              </w:rPr>
              <w:t>万元</w:t>
            </w:r>
          </w:p>
        </w:tc>
        <w:tc>
          <w:tcPr>
            <w:tcW w:w="1125" w:type="dxa"/>
            <w:tcBorders>
              <w:top w:val="nil"/>
              <w:left w:val="nil"/>
              <w:bottom w:val="single" w:color="auto" w:sz="4" w:space="0"/>
              <w:right w:val="single" w:color="auto" w:sz="4" w:space="0"/>
            </w:tcBorders>
            <w:vAlign w:val="center"/>
          </w:tcPr>
          <w:p w14:paraId="5817C218">
            <w:pPr>
              <w:widowControl/>
              <w:jc w:val="center"/>
              <w:rPr>
                <w:rFonts w:ascii="宋体" w:hAnsi="宋体" w:cs="宋体"/>
                <w:color w:val="000000"/>
                <w:kern w:val="0"/>
                <w:szCs w:val="21"/>
              </w:rPr>
            </w:pPr>
            <w:r>
              <w:rPr>
                <w:rFonts w:hint="eastAsia" w:ascii="宋体" w:hAnsi="宋体" w:cs="宋体"/>
                <w:color w:val="000000"/>
                <w:kern w:val="0"/>
                <w:szCs w:val="21"/>
              </w:rPr>
              <w:t>Z≥80000</w:t>
            </w:r>
          </w:p>
        </w:tc>
        <w:tc>
          <w:tcPr>
            <w:tcW w:w="1701" w:type="dxa"/>
            <w:tcBorders>
              <w:top w:val="nil"/>
              <w:left w:val="nil"/>
              <w:bottom w:val="single" w:color="auto" w:sz="4" w:space="0"/>
              <w:right w:val="single" w:color="auto" w:sz="4" w:space="0"/>
            </w:tcBorders>
            <w:vAlign w:val="center"/>
          </w:tcPr>
          <w:p w14:paraId="2EF75E57">
            <w:pPr>
              <w:widowControl/>
              <w:jc w:val="center"/>
              <w:rPr>
                <w:rFonts w:ascii="宋体" w:hAnsi="宋体" w:cs="宋体"/>
                <w:color w:val="000000"/>
                <w:kern w:val="0"/>
                <w:szCs w:val="21"/>
              </w:rPr>
            </w:pPr>
            <w:r>
              <w:rPr>
                <w:rFonts w:hint="eastAsia" w:ascii="宋体" w:hAnsi="宋体" w:cs="宋体"/>
                <w:color w:val="000000"/>
                <w:kern w:val="0"/>
                <w:szCs w:val="21"/>
              </w:rPr>
              <w:t>5000≤Z＜80000</w:t>
            </w:r>
          </w:p>
        </w:tc>
        <w:tc>
          <w:tcPr>
            <w:tcW w:w="1426" w:type="dxa"/>
            <w:tcBorders>
              <w:top w:val="nil"/>
              <w:left w:val="nil"/>
              <w:bottom w:val="single" w:color="auto" w:sz="4" w:space="0"/>
              <w:right w:val="single" w:color="auto" w:sz="4" w:space="0"/>
            </w:tcBorders>
            <w:vAlign w:val="center"/>
          </w:tcPr>
          <w:p w14:paraId="1D09C309">
            <w:pPr>
              <w:widowControl/>
              <w:jc w:val="center"/>
              <w:rPr>
                <w:rFonts w:ascii="宋体" w:hAnsi="宋体" w:cs="宋体"/>
                <w:color w:val="000000"/>
                <w:kern w:val="0"/>
                <w:szCs w:val="21"/>
              </w:rPr>
            </w:pPr>
            <w:r>
              <w:rPr>
                <w:rFonts w:hint="eastAsia" w:ascii="宋体" w:hAnsi="宋体" w:cs="宋体"/>
                <w:color w:val="000000"/>
                <w:kern w:val="0"/>
                <w:szCs w:val="21"/>
              </w:rPr>
              <w:t xml:space="preserve"> 300≤Z＜5000</w:t>
            </w:r>
          </w:p>
        </w:tc>
        <w:tc>
          <w:tcPr>
            <w:tcW w:w="992" w:type="dxa"/>
            <w:tcBorders>
              <w:top w:val="nil"/>
              <w:left w:val="nil"/>
              <w:bottom w:val="single" w:color="auto" w:sz="4" w:space="0"/>
              <w:right w:val="nil"/>
            </w:tcBorders>
            <w:vAlign w:val="center"/>
          </w:tcPr>
          <w:p w14:paraId="5FA8199B">
            <w:pPr>
              <w:widowControl/>
              <w:jc w:val="center"/>
              <w:rPr>
                <w:rFonts w:ascii="宋体" w:hAnsi="宋体" w:cs="宋体"/>
                <w:color w:val="000000"/>
                <w:kern w:val="0"/>
                <w:szCs w:val="21"/>
              </w:rPr>
            </w:pPr>
            <w:r>
              <w:rPr>
                <w:rFonts w:hint="eastAsia" w:ascii="宋体" w:hAnsi="宋体" w:cs="宋体"/>
                <w:color w:val="000000"/>
                <w:kern w:val="0"/>
                <w:szCs w:val="21"/>
              </w:rPr>
              <w:t>Z＜300</w:t>
            </w:r>
          </w:p>
        </w:tc>
      </w:tr>
      <w:tr w14:paraId="5C57D8CF">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2F208C78">
            <w:pPr>
              <w:widowControl/>
              <w:jc w:val="left"/>
              <w:rPr>
                <w:rFonts w:ascii="宋体" w:hAnsi="宋体" w:cs="宋体"/>
                <w:color w:val="000000"/>
                <w:kern w:val="0"/>
                <w:szCs w:val="21"/>
              </w:rPr>
            </w:pPr>
            <w:r>
              <w:rPr>
                <w:rFonts w:hint="eastAsia" w:ascii="宋体" w:hAnsi="宋体" w:cs="宋体"/>
                <w:color w:val="000000"/>
                <w:kern w:val="0"/>
                <w:szCs w:val="21"/>
              </w:rPr>
              <w:t>批发业</w:t>
            </w:r>
          </w:p>
        </w:tc>
        <w:tc>
          <w:tcPr>
            <w:tcW w:w="1369" w:type="dxa"/>
            <w:tcBorders>
              <w:top w:val="nil"/>
              <w:left w:val="nil"/>
              <w:bottom w:val="nil"/>
              <w:right w:val="single" w:color="auto" w:sz="4" w:space="0"/>
            </w:tcBorders>
            <w:vAlign w:val="center"/>
          </w:tcPr>
          <w:p w14:paraId="45509568">
            <w:pPr>
              <w:widowControl/>
              <w:jc w:val="center"/>
              <w:rPr>
                <w:rFonts w:ascii="宋体" w:hAnsi="宋体" w:cs="宋体"/>
                <w:color w:val="000000"/>
                <w:kern w:val="0"/>
                <w:szCs w:val="21"/>
              </w:rPr>
            </w:pPr>
            <w:r>
              <w:rPr>
                <w:rFonts w:hint="eastAsia" w:ascii="宋体" w:hAnsi="宋体" w:cs="宋体"/>
                <w:color w:val="000000"/>
                <w:kern w:val="0"/>
                <w:szCs w:val="21"/>
              </w:rPr>
              <w:t>从业人员(X)</w:t>
            </w:r>
          </w:p>
        </w:tc>
        <w:tc>
          <w:tcPr>
            <w:tcW w:w="709" w:type="dxa"/>
            <w:tcBorders>
              <w:top w:val="nil"/>
              <w:left w:val="nil"/>
              <w:bottom w:val="nil"/>
              <w:right w:val="single" w:color="auto" w:sz="4" w:space="0"/>
            </w:tcBorders>
            <w:vAlign w:val="center"/>
          </w:tcPr>
          <w:p w14:paraId="78E06A09">
            <w:pPr>
              <w:widowControl/>
              <w:jc w:val="center"/>
              <w:rPr>
                <w:rFonts w:ascii="宋体" w:hAnsi="宋体" w:cs="宋体"/>
                <w:color w:val="000000"/>
                <w:kern w:val="0"/>
                <w:szCs w:val="21"/>
              </w:rPr>
            </w:pPr>
            <w:r>
              <w:rPr>
                <w:rFonts w:hint="eastAsia" w:ascii="宋体" w:hAnsi="宋体" w:cs="宋体"/>
                <w:color w:val="000000"/>
                <w:kern w:val="0"/>
                <w:szCs w:val="21"/>
              </w:rPr>
              <w:t>人</w:t>
            </w:r>
          </w:p>
        </w:tc>
        <w:tc>
          <w:tcPr>
            <w:tcW w:w="1125" w:type="dxa"/>
            <w:tcBorders>
              <w:top w:val="nil"/>
              <w:left w:val="nil"/>
              <w:bottom w:val="nil"/>
              <w:right w:val="single" w:color="auto" w:sz="4" w:space="0"/>
            </w:tcBorders>
            <w:vAlign w:val="center"/>
          </w:tcPr>
          <w:p w14:paraId="2CD2F2A8">
            <w:pPr>
              <w:widowControl/>
              <w:jc w:val="center"/>
              <w:rPr>
                <w:rFonts w:ascii="宋体" w:hAnsi="宋体" w:cs="宋体"/>
                <w:color w:val="000000"/>
                <w:kern w:val="0"/>
                <w:szCs w:val="21"/>
              </w:rPr>
            </w:pPr>
            <w:r>
              <w:rPr>
                <w:rFonts w:hint="eastAsia" w:ascii="宋体" w:hAnsi="宋体" w:cs="宋体"/>
                <w:color w:val="000000"/>
                <w:kern w:val="0"/>
                <w:szCs w:val="21"/>
              </w:rPr>
              <w:t>X≥200</w:t>
            </w:r>
          </w:p>
        </w:tc>
        <w:tc>
          <w:tcPr>
            <w:tcW w:w="1701" w:type="dxa"/>
            <w:tcBorders>
              <w:top w:val="nil"/>
              <w:left w:val="nil"/>
              <w:bottom w:val="nil"/>
              <w:right w:val="single" w:color="auto" w:sz="4" w:space="0"/>
            </w:tcBorders>
            <w:vAlign w:val="center"/>
          </w:tcPr>
          <w:p w14:paraId="6AD2FC8A">
            <w:pPr>
              <w:widowControl/>
              <w:jc w:val="center"/>
              <w:rPr>
                <w:rFonts w:ascii="宋体" w:hAnsi="宋体" w:cs="宋体"/>
                <w:color w:val="000000"/>
                <w:kern w:val="0"/>
                <w:szCs w:val="21"/>
              </w:rPr>
            </w:pPr>
            <w:r>
              <w:rPr>
                <w:rFonts w:hint="eastAsia" w:ascii="宋体" w:hAnsi="宋体" w:cs="宋体"/>
                <w:color w:val="000000"/>
                <w:kern w:val="0"/>
                <w:szCs w:val="21"/>
              </w:rPr>
              <w:t>20≤X＜200</w:t>
            </w:r>
          </w:p>
        </w:tc>
        <w:tc>
          <w:tcPr>
            <w:tcW w:w="1426" w:type="dxa"/>
            <w:tcBorders>
              <w:top w:val="nil"/>
              <w:left w:val="nil"/>
              <w:bottom w:val="nil"/>
              <w:right w:val="single" w:color="auto" w:sz="4" w:space="0"/>
            </w:tcBorders>
            <w:vAlign w:val="center"/>
          </w:tcPr>
          <w:p w14:paraId="5EC971BE">
            <w:pPr>
              <w:widowControl/>
              <w:jc w:val="center"/>
              <w:rPr>
                <w:rFonts w:ascii="宋体" w:hAnsi="宋体" w:cs="宋体"/>
                <w:color w:val="000000"/>
                <w:kern w:val="0"/>
                <w:szCs w:val="21"/>
              </w:rPr>
            </w:pPr>
            <w:r>
              <w:rPr>
                <w:rFonts w:hint="eastAsia" w:ascii="宋体" w:hAnsi="宋体" w:cs="宋体"/>
                <w:color w:val="000000"/>
                <w:kern w:val="0"/>
                <w:szCs w:val="21"/>
              </w:rPr>
              <w:t xml:space="preserve"> 5≤X＜20</w:t>
            </w:r>
          </w:p>
        </w:tc>
        <w:tc>
          <w:tcPr>
            <w:tcW w:w="992" w:type="dxa"/>
            <w:tcBorders>
              <w:top w:val="nil"/>
              <w:left w:val="nil"/>
              <w:bottom w:val="nil"/>
              <w:right w:val="nil"/>
            </w:tcBorders>
            <w:vAlign w:val="center"/>
          </w:tcPr>
          <w:p w14:paraId="51C9C737">
            <w:pPr>
              <w:widowControl/>
              <w:jc w:val="center"/>
              <w:rPr>
                <w:rFonts w:ascii="宋体" w:hAnsi="宋体" w:cs="宋体"/>
                <w:color w:val="000000"/>
                <w:kern w:val="0"/>
                <w:szCs w:val="21"/>
              </w:rPr>
            </w:pPr>
            <w:r>
              <w:rPr>
                <w:rFonts w:hint="eastAsia" w:ascii="宋体" w:hAnsi="宋体" w:cs="宋体"/>
                <w:color w:val="000000"/>
                <w:kern w:val="0"/>
                <w:szCs w:val="21"/>
              </w:rPr>
              <w:t>X＜5</w:t>
            </w:r>
          </w:p>
        </w:tc>
      </w:tr>
      <w:tr w14:paraId="24C44B0F">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7B658DC">
            <w:pPr>
              <w:widowControl/>
              <w:jc w:val="left"/>
              <w:rPr>
                <w:rFonts w:ascii="宋体" w:hAnsi="宋体" w:cs="宋体"/>
                <w:color w:val="000000"/>
                <w:kern w:val="0"/>
                <w:szCs w:val="21"/>
              </w:rPr>
            </w:pPr>
          </w:p>
        </w:tc>
        <w:tc>
          <w:tcPr>
            <w:tcW w:w="1369" w:type="dxa"/>
            <w:tcBorders>
              <w:top w:val="nil"/>
              <w:left w:val="nil"/>
              <w:bottom w:val="single" w:color="auto" w:sz="4" w:space="0"/>
              <w:right w:val="single" w:color="auto" w:sz="4" w:space="0"/>
            </w:tcBorders>
            <w:vAlign w:val="center"/>
          </w:tcPr>
          <w:p w14:paraId="422FE81B">
            <w:pPr>
              <w:widowControl/>
              <w:jc w:val="center"/>
              <w:rPr>
                <w:rFonts w:ascii="宋体" w:hAnsi="宋体" w:cs="宋体"/>
                <w:color w:val="000000"/>
                <w:kern w:val="0"/>
                <w:szCs w:val="21"/>
              </w:rPr>
            </w:pPr>
            <w:r>
              <w:rPr>
                <w:rFonts w:hint="eastAsia" w:ascii="宋体" w:hAnsi="宋体" w:cs="宋体"/>
                <w:color w:val="000000"/>
                <w:kern w:val="0"/>
                <w:szCs w:val="21"/>
              </w:rPr>
              <w:t>营业收入(Y)</w:t>
            </w:r>
          </w:p>
        </w:tc>
        <w:tc>
          <w:tcPr>
            <w:tcW w:w="709" w:type="dxa"/>
            <w:tcBorders>
              <w:top w:val="nil"/>
              <w:left w:val="nil"/>
              <w:bottom w:val="single" w:color="auto" w:sz="4" w:space="0"/>
              <w:right w:val="single" w:color="auto" w:sz="4" w:space="0"/>
            </w:tcBorders>
            <w:vAlign w:val="center"/>
          </w:tcPr>
          <w:p w14:paraId="049A652D">
            <w:pPr>
              <w:widowControl/>
              <w:jc w:val="center"/>
              <w:rPr>
                <w:rFonts w:ascii="宋体" w:hAnsi="宋体" w:cs="宋体"/>
                <w:color w:val="000000"/>
                <w:kern w:val="0"/>
                <w:szCs w:val="21"/>
              </w:rPr>
            </w:pPr>
            <w:r>
              <w:rPr>
                <w:rFonts w:hint="eastAsia" w:ascii="宋体" w:hAnsi="宋体" w:cs="宋体"/>
                <w:color w:val="000000"/>
                <w:kern w:val="0"/>
                <w:szCs w:val="21"/>
              </w:rPr>
              <w:t>万元</w:t>
            </w:r>
          </w:p>
        </w:tc>
        <w:tc>
          <w:tcPr>
            <w:tcW w:w="1125" w:type="dxa"/>
            <w:tcBorders>
              <w:top w:val="nil"/>
              <w:left w:val="nil"/>
              <w:bottom w:val="single" w:color="auto" w:sz="4" w:space="0"/>
              <w:right w:val="single" w:color="auto" w:sz="4" w:space="0"/>
            </w:tcBorders>
            <w:vAlign w:val="center"/>
          </w:tcPr>
          <w:p w14:paraId="70C76F28">
            <w:pPr>
              <w:widowControl/>
              <w:jc w:val="center"/>
              <w:rPr>
                <w:rFonts w:ascii="宋体" w:hAnsi="宋体" w:cs="宋体"/>
                <w:color w:val="000000"/>
                <w:kern w:val="0"/>
                <w:szCs w:val="21"/>
              </w:rPr>
            </w:pPr>
            <w:r>
              <w:rPr>
                <w:rFonts w:hint="eastAsia" w:ascii="宋体" w:hAnsi="宋体" w:cs="宋体"/>
                <w:color w:val="000000"/>
                <w:kern w:val="0"/>
                <w:szCs w:val="21"/>
              </w:rPr>
              <w:t>Y≥40000</w:t>
            </w:r>
          </w:p>
        </w:tc>
        <w:tc>
          <w:tcPr>
            <w:tcW w:w="1701" w:type="dxa"/>
            <w:tcBorders>
              <w:top w:val="nil"/>
              <w:left w:val="nil"/>
              <w:bottom w:val="single" w:color="auto" w:sz="4" w:space="0"/>
              <w:right w:val="single" w:color="auto" w:sz="4" w:space="0"/>
            </w:tcBorders>
            <w:vAlign w:val="center"/>
          </w:tcPr>
          <w:p w14:paraId="236A1789">
            <w:pPr>
              <w:widowControl/>
              <w:jc w:val="center"/>
              <w:rPr>
                <w:rFonts w:ascii="宋体" w:hAnsi="宋体" w:cs="宋体"/>
                <w:color w:val="000000"/>
                <w:kern w:val="0"/>
                <w:szCs w:val="21"/>
              </w:rPr>
            </w:pPr>
            <w:r>
              <w:rPr>
                <w:rFonts w:hint="eastAsia" w:ascii="宋体" w:hAnsi="宋体" w:cs="宋体"/>
                <w:color w:val="000000"/>
                <w:kern w:val="0"/>
                <w:szCs w:val="21"/>
              </w:rPr>
              <w:t>5000≤Y＜40000</w:t>
            </w:r>
          </w:p>
        </w:tc>
        <w:tc>
          <w:tcPr>
            <w:tcW w:w="1426" w:type="dxa"/>
            <w:tcBorders>
              <w:top w:val="nil"/>
              <w:left w:val="nil"/>
              <w:bottom w:val="single" w:color="auto" w:sz="4" w:space="0"/>
              <w:right w:val="single" w:color="auto" w:sz="4" w:space="0"/>
            </w:tcBorders>
            <w:vAlign w:val="center"/>
          </w:tcPr>
          <w:p w14:paraId="38F63F6D">
            <w:pPr>
              <w:widowControl/>
              <w:ind w:left="-1" w:leftChars="-1" w:hanging="1"/>
              <w:jc w:val="center"/>
              <w:rPr>
                <w:rFonts w:ascii="宋体" w:hAnsi="宋体" w:cs="宋体"/>
                <w:color w:val="000000"/>
                <w:kern w:val="0"/>
                <w:szCs w:val="21"/>
              </w:rPr>
            </w:pPr>
            <w:r>
              <w:rPr>
                <w:rFonts w:hint="eastAsia" w:ascii="宋体" w:hAnsi="宋体" w:cs="宋体"/>
                <w:color w:val="000000"/>
                <w:kern w:val="0"/>
                <w:szCs w:val="21"/>
              </w:rPr>
              <w:t>1000≤Y＜5000</w:t>
            </w:r>
          </w:p>
        </w:tc>
        <w:tc>
          <w:tcPr>
            <w:tcW w:w="992" w:type="dxa"/>
            <w:tcBorders>
              <w:top w:val="nil"/>
              <w:left w:val="nil"/>
              <w:bottom w:val="single" w:color="auto" w:sz="4" w:space="0"/>
              <w:right w:val="nil"/>
            </w:tcBorders>
            <w:vAlign w:val="center"/>
          </w:tcPr>
          <w:p w14:paraId="33F6C4C8">
            <w:pPr>
              <w:widowControl/>
              <w:jc w:val="center"/>
              <w:rPr>
                <w:rFonts w:ascii="宋体" w:hAnsi="宋体" w:cs="宋体"/>
                <w:color w:val="000000"/>
                <w:kern w:val="0"/>
                <w:szCs w:val="21"/>
              </w:rPr>
            </w:pPr>
            <w:r>
              <w:rPr>
                <w:rFonts w:hint="eastAsia" w:ascii="宋体" w:hAnsi="宋体" w:cs="宋体"/>
                <w:color w:val="000000"/>
                <w:kern w:val="0"/>
                <w:szCs w:val="21"/>
              </w:rPr>
              <w:t>Y＜1000</w:t>
            </w:r>
          </w:p>
        </w:tc>
      </w:tr>
      <w:tr w14:paraId="44FB5390">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49EF5134">
            <w:pPr>
              <w:widowControl/>
              <w:jc w:val="left"/>
              <w:rPr>
                <w:rFonts w:ascii="宋体" w:hAnsi="宋体" w:cs="宋体"/>
                <w:color w:val="000000"/>
                <w:kern w:val="0"/>
                <w:szCs w:val="21"/>
              </w:rPr>
            </w:pPr>
            <w:r>
              <w:rPr>
                <w:rFonts w:hint="eastAsia" w:ascii="宋体" w:hAnsi="宋体" w:cs="宋体"/>
                <w:color w:val="000000"/>
                <w:kern w:val="0"/>
                <w:szCs w:val="21"/>
              </w:rPr>
              <w:t>零售业</w:t>
            </w:r>
          </w:p>
        </w:tc>
        <w:tc>
          <w:tcPr>
            <w:tcW w:w="1369" w:type="dxa"/>
            <w:tcBorders>
              <w:top w:val="nil"/>
              <w:left w:val="nil"/>
              <w:bottom w:val="nil"/>
              <w:right w:val="single" w:color="auto" w:sz="4" w:space="0"/>
            </w:tcBorders>
            <w:vAlign w:val="center"/>
          </w:tcPr>
          <w:p w14:paraId="76B11CBF">
            <w:pPr>
              <w:widowControl/>
              <w:jc w:val="center"/>
              <w:rPr>
                <w:rFonts w:ascii="宋体" w:hAnsi="宋体" w:cs="宋体"/>
                <w:color w:val="000000"/>
                <w:kern w:val="0"/>
                <w:szCs w:val="21"/>
              </w:rPr>
            </w:pPr>
            <w:r>
              <w:rPr>
                <w:rFonts w:hint="eastAsia" w:ascii="宋体" w:hAnsi="宋体" w:cs="宋体"/>
                <w:color w:val="000000"/>
                <w:kern w:val="0"/>
                <w:szCs w:val="21"/>
              </w:rPr>
              <w:t>从业人员(X)</w:t>
            </w:r>
          </w:p>
        </w:tc>
        <w:tc>
          <w:tcPr>
            <w:tcW w:w="709" w:type="dxa"/>
            <w:tcBorders>
              <w:top w:val="nil"/>
              <w:left w:val="nil"/>
              <w:bottom w:val="nil"/>
              <w:right w:val="single" w:color="auto" w:sz="4" w:space="0"/>
            </w:tcBorders>
            <w:vAlign w:val="center"/>
          </w:tcPr>
          <w:p w14:paraId="42199DCC">
            <w:pPr>
              <w:widowControl/>
              <w:jc w:val="center"/>
              <w:rPr>
                <w:rFonts w:ascii="宋体" w:hAnsi="宋体" w:cs="宋体"/>
                <w:color w:val="000000"/>
                <w:kern w:val="0"/>
                <w:szCs w:val="21"/>
              </w:rPr>
            </w:pPr>
            <w:r>
              <w:rPr>
                <w:rFonts w:hint="eastAsia" w:ascii="宋体" w:hAnsi="宋体" w:cs="宋体"/>
                <w:color w:val="000000"/>
                <w:kern w:val="0"/>
                <w:szCs w:val="21"/>
              </w:rPr>
              <w:t>人</w:t>
            </w:r>
          </w:p>
        </w:tc>
        <w:tc>
          <w:tcPr>
            <w:tcW w:w="1125" w:type="dxa"/>
            <w:tcBorders>
              <w:top w:val="nil"/>
              <w:left w:val="nil"/>
              <w:bottom w:val="nil"/>
              <w:right w:val="single" w:color="auto" w:sz="4" w:space="0"/>
            </w:tcBorders>
            <w:vAlign w:val="center"/>
          </w:tcPr>
          <w:p w14:paraId="4E7E35CF">
            <w:pPr>
              <w:widowControl/>
              <w:jc w:val="center"/>
              <w:rPr>
                <w:rFonts w:ascii="宋体" w:hAnsi="宋体" w:cs="宋体"/>
                <w:color w:val="000000"/>
                <w:kern w:val="0"/>
                <w:szCs w:val="21"/>
              </w:rPr>
            </w:pPr>
            <w:r>
              <w:rPr>
                <w:rFonts w:hint="eastAsia" w:ascii="宋体" w:hAnsi="宋体" w:cs="宋体"/>
                <w:color w:val="000000"/>
                <w:kern w:val="0"/>
                <w:szCs w:val="21"/>
              </w:rPr>
              <w:t>X≥300</w:t>
            </w:r>
          </w:p>
        </w:tc>
        <w:tc>
          <w:tcPr>
            <w:tcW w:w="1701" w:type="dxa"/>
            <w:tcBorders>
              <w:top w:val="nil"/>
              <w:left w:val="nil"/>
              <w:bottom w:val="nil"/>
              <w:right w:val="single" w:color="auto" w:sz="4" w:space="0"/>
            </w:tcBorders>
            <w:vAlign w:val="center"/>
          </w:tcPr>
          <w:p w14:paraId="59B08EDF">
            <w:pPr>
              <w:widowControl/>
              <w:jc w:val="center"/>
              <w:rPr>
                <w:rFonts w:ascii="宋体" w:hAnsi="宋体" w:cs="宋体"/>
                <w:color w:val="000000"/>
                <w:kern w:val="0"/>
                <w:szCs w:val="21"/>
              </w:rPr>
            </w:pPr>
            <w:r>
              <w:rPr>
                <w:rFonts w:hint="eastAsia" w:ascii="宋体" w:hAnsi="宋体" w:cs="宋体"/>
                <w:color w:val="000000"/>
                <w:kern w:val="0"/>
                <w:szCs w:val="21"/>
              </w:rPr>
              <w:t>50≤X＜300</w:t>
            </w:r>
          </w:p>
        </w:tc>
        <w:tc>
          <w:tcPr>
            <w:tcW w:w="1426" w:type="dxa"/>
            <w:tcBorders>
              <w:top w:val="nil"/>
              <w:left w:val="nil"/>
              <w:bottom w:val="nil"/>
              <w:right w:val="single" w:color="auto" w:sz="4" w:space="0"/>
            </w:tcBorders>
            <w:vAlign w:val="center"/>
          </w:tcPr>
          <w:p w14:paraId="29320DA1">
            <w:pPr>
              <w:widowControl/>
              <w:ind w:left="-1" w:leftChars="-1" w:hanging="1"/>
              <w:jc w:val="center"/>
              <w:rPr>
                <w:rFonts w:ascii="宋体" w:hAnsi="宋体" w:cs="宋体"/>
                <w:color w:val="000000"/>
                <w:kern w:val="0"/>
                <w:szCs w:val="21"/>
              </w:rPr>
            </w:pPr>
            <w:r>
              <w:rPr>
                <w:rFonts w:hint="eastAsia" w:ascii="宋体" w:hAnsi="宋体" w:cs="宋体"/>
                <w:color w:val="000000"/>
                <w:kern w:val="0"/>
                <w:szCs w:val="21"/>
              </w:rPr>
              <w:t xml:space="preserve">10≤X＜50 </w:t>
            </w:r>
          </w:p>
        </w:tc>
        <w:tc>
          <w:tcPr>
            <w:tcW w:w="992" w:type="dxa"/>
            <w:tcBorders>
              <w:top w:val="nil"/>
              <w:left w:val="nil"/>
              <w:bottom w:val="nil"/>
              <w:right w:val="nil"/>
            </w:tcBorders>
            <w:vAlign w:val="center"/>
          </w:tcPr>
          <w:p w14:paraId="6D4DF75B">
            <w:pPr>
              <w:widowControl/>
              <w:jc w:val="center"/>
              <w:rPr>
                <w:rFonts w:ascii="宋体" w:hAnsi="宋体" w:cs="宋体"/>
                <w:color w:val="000000"/>
                <w:kern w:val="0"/>
                <w:szCs w:val="21"/>
              </w:rPr>
            </w:pPr>
            <w:r>
              <w:rPr>
                <w:rFonts w:hint="eastAsia" w:ascii="宋体" w:hAnsi="宋体" w:cs="宋体"/>
                <w:color w:val="000000"/>
                <w:kern w:val="0"/>
                <w:szCs w:val="21"/>
              </w:rPr>
              <w:t>X＜10</w:t>
            </w:r>
          </w:p>
        </w:tc>
      </w:tr>
      <w:tr w14:paraId="0A1E798F">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626CD3B5">
            <w:pPr>
              <w:widowControl/>
              <w:jc w:val="left"/>
              <w:rPr>
                <w:rFonts w:ascii="宋体" w:hAnsi="宋体" w:cs="宋体"/>
                <w:color w:val="000000"/>
                <w:kern w:val="0"/>
                <w:szCs w:val="21"/>
              </w:rPr>
            </w:pPr>
          </w:p>
        </w:tc>
        <w:tc>
          <w:tcPr>
            <w:tcW w:w="1369" w:type="dxa"/>
            <w:tcBorders>
              <w:top w:val="nil"/>
              <w:left w:val="nil"/>
              <w:bottom w:val="single" w:color="auto" w:sz="4" w:space="0"/>
              <w:right w:val="single" w:color="auto" w:sz="4" w:space="0"/>
            </w:tcBorders>
            <w:vAlign w:val="center"/>
          </w:tcPr>
          <w:p w14:paraId="4075EDD2">
            <w:pPr>
              <w:widowControl/>
              <w:jc w:val="center"/>
              <w:rPr>
                <w:rFonts w:ascii="宋体" w:hAnsi="宋体" w:cs="宋体"/>
                <w:color w:val="000000"/>
                <w:kern w:val="0"/>
                <w:szCs w:val="21"/>
              </w:rPr>
            </w:pPr>
            <w:r>
              <w:rPr>
                <w:rFonts w:hint="eastAsia" w:ascii="宋体" w:hAnsi="宋体" w:cs="宋体"/>
                <w:color w:val="000000"/>
                <w:kern w:val="0"/>
                <w:szCs w:val="21"/>
              </w:rPr>
              <w:t>营业收入(Y)</w:t>
            </w:r>
          </w:p>
        </w:tc>
        <w:tc>
          <w:tcPr>
            <w:tcW w:w="709" w:type="dxa"/>
            <w:tcBorders>
              <w:top w:val="nil"/>
              <w:left w:val="nil"/>
              <w:bottom w:val="single" w:color="auto" w:sz="4" w:space="0"/>
              <w:right w:val="single" w:color="auto" w:sz="4" w:space="0"/>
            </w:tcBorders>
            <w:vAlign w:val="center"/>
          </w:tcPr>
          <w:p w14:paraId="6207F002">
            <w:pPr>
              <w:widowControl/>
              <w:jc w:val="center"/>
              <w:rPr>
                <w:rFonts w:ascii="宋体" w:hAnsi="宋体" w:cs="宋体"/>
                <w:color w:val="000000"/>
                <w:kern w:val="0"/>
                <w:szCs w:val="21"/>
              </w:rPr>
            </w:pPr>
            <w:r>
              <w:rPr>
                <w:rFonts w:hint="eastAsia" w:ascii="宋体" w:hAnsi="宋体" w:cs="宋体"/>
                <w:color w:val="000000"/>
                <w:kern w:val="0"/>
                <w:szCs w:val="21"/>
              </w:rPr>
              <w:t>万元</w:t>
            </w:r>
          </w:p>
        </w:tc>
        <w:tc>
          <w:tcPr>
            <w:tcW w:w="1125" w:type="dxa"/>
            <w:tcBorders>
              <w:top w:val="nil"/>
              <w:left w:val="nil"/>
              <w:bottom w:val="single" w:color="auto" w:sz="4" w:space="0"/>
              <w:right w:val="single" w:color="auto" w:sz="4" w:space="0"/>
            </w:tcBorders>
            <w:vAlign w:val="center"/>
          </w:tcPr>
          <w:p w14:paraId="46CFADF6">
            <w:pPr>
              <w:widowControl/>
              <w:jc w:val="center"/>
              <w:rPr>
                <w:rFonts w:ascii="宋体" w:hAnsi="宋体" w:cs="宋体"/>
                <w:color w:val="000000"/>
                <w:kern w:val="0"/>
                <w:szCs w:val="21"/>
              </w:rPr>
            </w:pPr>
            <w:r>
              <w:rPr>
                <w:rFonts w:hint="eastAsia" w:ascii="宋体" w:hAnsi="宋体" w:cs="宋体"/>
                <w:color w:val="000000"/>
                <w:kern w:val="0"/>
                <w:szCs w:val="21"/>
              </w:rPr>
              <w:t>Y≥20000</w:t>
            </w:r>
          </w:p>
        </w:tc>
        <w:tc>
          <w:tcPr>
            <w:tcW w:w="1701" w:type="dxa"/>
            <w:tcBorders>
              <w:top w:val="nil"/>
              <w:left w:val="nil"/>
              <w:bottom w:val="single" w:color="auto" w:sz="4" w:space="0"/>
              <w:right w:val="single" w:color="auto" w:sz="4" w:space="0"/>
            </w:tcBorders>
            <w:vAlign w:val="center"/>
          </w:tcPr>
          <w:p w14:paraId="47463117">
            <w:pPr>
              <w:widowControl/>
              <w:jc w:val="center"/>
              <w:rPr>
                <w:rFonts w:ascii="宋体" w:hAnsi="宋体" w:cs="宋体"/>
                <w:color w:val="000000"/>
                <w:kern w:val="0"/>
                <w:szCs w:val="21"/>
              </w:rPr>
            </w:pPr>
            <w:r>
              <w:rPr>
                <w:rFonts w:hint="eastAsia" w:ascii="宋体" w:hAnsi="宋体" w:cs="宋体"/>
                <w:color w:val="000000"/>
                <w:kern w:val="0"/>
                <w:szCs w:val="21"/>
              </w:rPr>
              <w:t xml:space="preserve"> 500≤Y＜20000</w:t>
            </w:r>
          </w:p>
        </w:tc>
        <w:tc>
          <w:tcPr>
            <w:tcW w:w="1426" w:type="dxa"/>
            <w:tcBorders>
              <w:top w:val="nil"/>
              <w:left w:val="nil"/>
              <w:bottom w:val="single" w:color="auto" w:sz="4" w:space="0"/>
              <w:right w:val="single" w:color="auto" w:sz="4" w:space="0"/>
            </w:tcBorders>
            <w:vAlign w:val="center"/>
          </w:tcPr>
          <w:p w14:paraId="1A4005FB">
            <w:pPr>
              <w:widowControl/>
              <w:ind w:left="-1" w:leftChars="-1" w:hanging="1"/>
              <w:jc w:val="center"/>
              <w:rPr>
                <w:rFonts w:ascii="宋体" w:hAnsi="宋体" w:cs="宋体"/>
                <w:color w:val="000000"/>
                <w:kern w:val="0"/>
                <w:szCs w:val="21"/>
              </w:rPr>
            </w:pPr>
            <w:r>
              <w:rPr>
                <w:rFonts w:hint="eastAsia" w:ascii="宋体" w:hAnsi="宋体" w:cs="宋体"/>
                <w:color w:val="000000"/>
                <w:kern w:val="0"/>
                <w:szCs w:val="21"/>
              </w:rPr>
              <w:t xml:space="preserve">100≤Y＜500 </w:t>
            </w:r>
          </w:p>
        </w:tc>
        <w:tc>
          <w:tcPr>
            <w:tcW w:w="992" w:type="dxa"/>
            <w:tcBorders>
              <w:top w:val="nil"/>
              <w:left w:val="nil"/>
              <w:bottom w:val="single" w:color="auto" w:sz="4" w:space="0"/>
              <w:right w:val="nil"/>
            </w:tcBorders>
            <w:vAlign w:val="center"/>
          </w:tcPr>
          <w:p w14:paraId="64A91416">
            <w:pPr>
              <w:widowControl/>
              <w:jc w:val="center"/>
              <w:rPr>
                <w:rFonts w:ascii="宋体" w:hAnsi="宋体" w:cs="宋体"/>
                <w:color w:val="000000"/>
                <w:kern w:val="0"/>
                <w:szCs w:val="21"/>
              </w:rPr>
            </w:pPr>
            <w:r>
              <w:rPr>
                <w:rFonts w:hint="eastAsia" w:ascii="宋体" w:hAnsi="宋体" w:cs="宋体"/>
                <w:color w:val="000000"/>
                <w:kern w:val="0"/>
                <w:szCs w:val="21"/>
              </w:rPr>
              <w:t>Y＜100</w:t>
            </w:r>
          </w:p>
        </w:tc>
      </w:tr>
      <w:tr w14:paraId="7EEDF535">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48296EA3">
            <w:pPr>
              <w:widowControl/>
              <w:jc w:val="left"/>
              <w:rPr>
                <w:rFonts w:ascii="宋体" w:hAnsi="宋体" w:cs="宋体"/>
                <w:color w:val="000000"/>
                <w:kern w:val="0"/>
                <w:szCs w:val="21"/>
              </w:rPr>
            </w:pPr>
            <w:r>
              <w:rPr>
                <w:rFonts w:hint="eastAsia" w:ascii="宋体" w:hAnsi="宋体" w:cs="宋体"/>
                <w:color w:val="000000"/>
                <w:kern w:val="0"/>
                <w:szCs w:val="21"/>
              </w:rPr>
              <w:t>交通运输业 *</w:t>
            </w:r>
          </w:p>
        </w:tc>
        <w:tc>
          <w:tcPr>
            <w:tcW w:w="1369" w:type="dxa"/>
            <w:tcBorders>
              <w:top w:val="nil"/>
              <w:left w:val="nil"/>
              <w:bottom w:val="nil"/>
              <w:right w:val="single" w:color="auto" w:sz="4" w:space="0"/>
            </w:tcBorders>
            <w:vAlign w:val="center"/>
          </w:tcPr>
          <w:p w14:paraId="4957F4C6">
            <w:pPr>
              <w:widowControl/>
              <w:jc w:val="center"/>
              <w:rPr>
                <w:rFonts w:ascii="宋体" w:hAnsi="宋体" w:cs="宋体"/>
                <w:color w:val="000000"/>
                <w:kern w:val="0"/>
                <w:szCs w:val="21"/>
              </w:rPr>
            </w:pPr>
            <w:r>
              <w:rPr>
                <w:rFonts w:hint="eastAsia" w:ascii="宋体" w:hAnsi="宋体" w:cs="宋体"/>
                <w:color w:val="000000"/>
                <w:kern w:val="0"/>
                <w:szCs w:val="21"/>
              </w:rPr>
              <w:t>从业人员(X)</w:t>
            </w:r>
          </w:p>
        </w:tc>
        <w:tc>
          <w:tcPr>
            <w:tcW w:w="709" w:type="dxa"/>
            <w:tcBorders>
              <w:top w:val="nil"/>
              <w:left w:val="nil"/>
              <w:bottom w:val="nil"/>
              <w:right w:val="single" w:color="auto" w:sz="4" w:space="0"/>
            </w:tcBorders>
            <w:vAlign w:val="center"/>
          </w:tcPr>
          <w:p w14:paraId="6039CD40">
            <w:pPr>
              <w:widowControl/>
              <w:jc w:val="center"/>
              <w:rPr>
                <w:rFonts w:ascii="宋体" w:hAnsi="宋体" w:cs="宋体"/>
                <w:color w:val="000000"/>
                <w:kern w:val="0"/>
                <w:szCs w:val="21"/>
              </w:rPr>
            </w:pPr>
            <w:r>
              <w:rPr>
                <w:rFonts w:hint="eastAsia" w:ascii="宋体" w:hAnsi="宋体" w:cs="宋体"/>
                <w:color w:val="000000"/>
                <w:kern w:val="0"/>
                <w:szCs w:val="21"/>
              </w:rPr>
              <w:t>人</w:t>
            </w:r>
          </w:p>
        </w:tc>
        <w:tc>
          <w:tcPr>
            <w:tcW w:w="1125" w:type="dxa"/>
            <w:tcBorders>
              <w:top w:val="nil"/>
              <w:left w:val="nil"/>
              <w:bottom w:val="nil"/>
              <w:right w:val="single" w:color="auto" w:sz="4" w:space="0"/>
            </w:tcBorders>
            <w:vAlign w:val="center"/>
          </w:tcPr>
          <w:p w14:paraId="7D5F2751">
            <w:pPr>
              <w:widowControl/>
              <w:jc w:val="center"/>
              <w:rPr>
                <w:rFonts w:ascii="宋体" w:hAnsi="宋体" w:cs="宋体"/>
                <w:color w:val="000000"/>
                <w:kern w:val="0"/>
                <w:szCs w:val="21"/>
              </w:rPr>
            </w:pPr>
            <w:r>
              <w:rPr>
                <w:rFonts w:hint="eastAsia" w:ascii="宋体" w:hAnsi="宋体" w:cs="宋体"/>
                <w:color w:val="000000"/>
                <w:kern w:val="0"/>
                <w:szCs w:val="21"/>
              </w:rPr>
              <w:t>X≥1000</w:t>
            </w:r>
          </w:p>
        </w:tc>
        <w:tc>
          <w:tcPr>
            <w:tcW w:w="1701" w:type="dxa"/>
            <w:tcBorders>
              <w:top w:val="nil"/>
              <w:left w:val="nil"/>
              <w:bottom w:val="nil"/>
              <w:right w:val="single" w:color="auto" w:sz="4" w:space="0"/>
            </w:tcBorders>
            <w:vAlign w:val="center"/>
          </w:tcPr>
          <w:p w14:paraId="1FC7E573">
            <w:pPr>
              <w:widowControl/>
              <w:jc w:val="center"/>
              <w:rPr>
                <w:rFonts w:ascii="宋体" w:hAnsi="宋体" w:cs="宋体"/>
                <w:color w:val="000000"/>
                <w:kern w:val="0"/>
                <w:szCs w:val="21"/>
              </w:rPr>
            </w:pPr>
            <w:r>
              <w:rPr>
                <w:rFonts w:hint="eastAsia" w:ascii="宋体" w:hAnsi="宋体" w:cs="宋体"/>
                <w:color w:val="000000"/>
                <w:kern w:val="0"/>
                <w:szCs w:val="21"/>
              </w:rPr>
              <w:t>300≤X＜1000</w:t>
            </w:r>
          </w:p>
        </w:tc>
        <w:tc>
          <w:tcPr>
            <w:tcW w:w="1426" w:type="dxa"/>
            <w:tcBorders>
              <w:top w:val="nil"/>
              <w:left w:val="nil"/>
              <w:bottom w:val="nil"/>
              <w:right w:val="single" w:color="auto" w:sz="4" w:space="0"/>
            </w:tcBorders>
            <w:vAlign w:val="center"/>
          </w:tcPr>
          <w:p w14:paraId="0120F8CA">
            <w:pPr>
              <w:widowControl/>
              <w:jc w:val="center"/>
              <w:rPr>
                <w:rFonts w:ascii="宋体" w:hAnsi="宋体" w:cs="宋体"/>
                <w:color w:val="000000"/>
                <w:kern w:val="0"/>
                <w:szCs w:val="21"/>
              </w:rPr>
            </w:pPr>
            <w:r>
              <w:rPr>
                <w:rFonts w:hint="eastAsia" w:ascii="宋体" w:hAnsi="宋体" w:cs="宋体"/>
                <w:color w:val="000000"/>
                <w:kern w:val="0"/>
                <w:szCs w:val="21"/>
              </w:rPr>
              <w:t xml:space="preserve"> 20≤X＜300</w:t>
            </w:r>
          </w:p>
        </w:tc>
        <w:tc>
          <w:tcPr>
            <w:tcW w:w="992" w:type="dxa"/>
            <w:tcBorders>
              <w:top w:val="nil"/>
              <w:left w:val="nil"/>
              <w:bottom w:val="nil"/>
              <w:right w:val="nil"/>
            </w:tcBorders>
            <w:vAlign w:val="center"/>
          </w:tcPr>
          <w:p w14:paraId="17F88060">
            <w:pPr>
              <w:widowControl/>
              <w:jc w:val="center"/>
              <w:rPr>
                <w:rFonts w:ascii="宋体" w:hAnsi="宋体" w:cs="宋体"/>
                <w:color w:val="000000"/>
                <w:kern w:val="0"/>
                <w:szCs w:val="21"/>
              </w:rPr>
            </w:pPr>
            <w:r>
              <w:rPr>
                <w:rFonts w:hint="eastAsia" w:ascii="宋体" w:hAnsi="宋体" w:cs="宋体"/>
                <w:color w:val="000000"/>
                <w:kern w:val="0"/>
                <w:szCs w:val="21"/>
              </w:rPr>
              <w:t>X＜20</w:t>
            </w:r>
          </w:p>
        </w:tc>
      </w:tr>
      <w:tr w14:paraId="32147507">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50FCA939">
            <w:pPr>
              <w:widowControl/>
              <w:jc w:val="left"/>
              <w:rPr>
                <w:rFonts w:ascii="宋体" w:hAnsi="宋体" w:cs="宋体"/>
                <w:color w:val="000000"/>
                <w:kern w:val="0"/>
                <w:szCs w:val="21"/>
              </w:rPr>
            </w:pPr>
          </w:p>
        </w:tc>
        <w:tc>
          <w:tcPr>
            <w:tcW w:w="1369" w:type="dxa"/>
            <w:tcBorders>
              <w:top w:val="nil"/>
              <w:left w:val="nil"/>
              <w:bottom w:val="single" w:color="auto" w:sz="4" w:space="0"/>
              <w:right w:val="single" w:color="auto" w:sz="4" w:space="0"/>
            </w:tcBorders>
            <w:vAlign w:val="center"/>
          </w:tcPr>
          <w:p w14:paraId="22BE6997">
            <w:pPr>
              <w:widowControl/>
              <w:jc w:val="center"/>
              <w:rPr>
                <w:rFonts w:ascii="宋体" w:hAnsi="宋体" w:cs="宋体"/>
                <w:color w:val="000000"/>
                <w:kern w:val="0"/>
                <w:szCs w:val="21"/>
              </w:rPr>
            </w:pPr>
            <w:r>
              <w:rPr>
                <w:rFonts w:hint="eastAsia" w:ascii="宋体" w:hAnsi="宋体" w:cs="宋体"/>
                <w:color w:val="000000"/>
                <w:kern w:val="0"/>
                <w:szCs w:val="21"/>
              </w:rPr>
              <w:t>营业收入(Y)</w:t>
            </w:r>
          </w:p>
        </w:tc>
        <w:tc>
          <w:tcPr>
            <w:tcW w:w="709" w:type="dxa"/>
            <w:tcBorders>
              <w:top w:val="nil"/>
              <w:left w:val="nil"/>
              <w:bottom w:val="single" w:color="auto" w:sz="4" w:space="0"/>
              <w:right w:val="single" w:color="auto" w:sz="4" w:space="0"/>
            </w:tcBorders>
            <w:vAlign w:val="center"/>
          </w:tcPr>
          <w:p w14:paraId="4A2B527E">
            <w:pPr>
              <w:widowControl/>
              <w:jc w:val="center"/>
              <w:rPr>
                <w:rFonts w:ascii="宋体" w:hAnsi="宋体" w:cs="宋体"/>
                <w:color w:val="000000"/>
                <w:kern w:val="0"/>
                <w:szCs w:val="21"/>
              </w:rPr>
            </w:pPr>
            <w:r>
              <w:rPr>
                <w:rFonts w:hint="eastAsia" w:ascii="宋体" w:hAnsi="宋体" w:cs="宋体"/>
                <w:color w:val="000000"/>
                <w:kern w:val="0"/>
                <w:szCs w:val="21"/>
              </w:rPr>
              <w:t>万元</w:t>
            </w:r>
          </w:p>
        </w:tc>
        <w:tc>
          <w:tcPr>
            <w:tcW w:w="1125" w:type="dxa"/>
            <w:tcBorders>
              <w:top w:val="nil"/>
              <w:left w:val="nil"/>
              <w:bottom w:val="single" w:color="auto" w:sz="4" w:space="0"/>
              <w:right w:val="single" w:color="auto" w:sz="4" w:space="0"/>
            </w:tcBorders>
            <w:vAlign w:val="center"/>
          </w:tcPr>
          <w:p w14:paraId="1C0D4BC2">
            <w:pPr>
              <w:widowControl/>
              <w:jc w:val="center"/>
              <w:rPr>
                <w:rFonts w:ascii="宋体" w:hAnsi="宋体" w:cs="宋体"/>
                <w:color w:val="000000"/>
                <w:kern w:val="0"/>
                <w:szCs w:val="21"/>
              </w:rPr>
            </w:pPr>
            <w:r>
              <w:rPr>
                <w:rFonts w:hint="eastAsia" w:ascii="宋体" w:hAnsi="宋体" w:cs="宋体"/>
                <w:color w:val="000000"/>
                <w:kern w:val="0"/>
                <w:szCs w:val="21"/>
              </w:rPr>
              <w:t>Y≥30000</w:t>
            </w:r>
          </w:p>
        </w:tc>
        <w:tc>
          <w:tcPr>
            <w:tcW w:w="1701" w:type="dxa"/>
            <w:tcBorders>
              <w:top w:val="nil"/>
              <w:left w:val="nil"/>
              <w:bottom w:val="single" w:color="auto" w:sz="4" w:space="0"/>
              <w:right w:val="single" w:color="auto" w:sz="4" w:space="0"/>
            </w:tcBorders>
            <w:vAlign w:val="center"/>
          </w:tcPr>
          <w:p w14:paraId="53F4868F">
            <w:pPr>
              <w:widowControl/>
              <w:jc w:val="center"/>
              <w:rPr>
                <w:rFonts w:ascii="宋体" w:hAnsi="宋体" w:cs="宋体"/>
                <w:color w:val="000000"/>
                <w:kern w:val="0"/>
                <w:szCs w:val="21"/>
              </w:rPr>
            </w:pPr>
            <w:r>
              <w:rPr>
                <w:rFonts w:hint="eastAsia" w:ascii="宋体" w:hAnsi="宋体" w:cs="宋体"/>
                <w:color w:val="000000"/>
                <w:kern w:val="0"/>
                <w:szCs w:val="21"/>
              </w:rPr>
              <w:t>3000≤Y＜30000</w:t>
            </w:r>
          </w:p>
        </w:tc>
        <w:tc>
          <w:tcPr>
            <w:tcW w:w="1426" w:type="dxa"/>
            <w:tcBorders>
              <w:top w:val="nil"/>
              <w:left w:val="nil"/>
              <w:bottom w:val="single" w:color="auto" w:sz="4" w:space="0"/>
              <w:right w:val="single" w:color="auto" w:sz="4" w:space="0"/>
            </w:tcBorders>
            <w:vAlign w:val="center"/>
          </w:tcPr>
          <w:p w14:paraId="422D2707">
            <w:pPr>
              <w:widowControl/>
              <w:jc w:val="center"/>
              <w:rPr>
                <w:rFonts w:ascii="宋体" w:hAnsi="宋体" w:cs="宋体"/>
                <w:color w:val="000000"/>
                <w:kern w:val="0"/>
                <w:szCs w:val="21"/>
              </w:rPr>
            </w:pPr>
            <w:r>
              <w:rPr>
                <w:rFonts w:hint="eastAsia" w:ascii="宋体" w:hAnsi="宋体" w:cs="宋体"/>
                <w:color w:val="000000"/>
                <w:kern w:val="0"/>
                <w:szCs w:val="21"/>
              </w:rPr>
              <w:t xml:space="preserve"> 200≤Y＜3000</w:t>
            </w:r>
          </w:p>
        </w:tc>
        <w:tc>
          <w:tcPr>
            <w:tcW w:w="992" w:type="dxa"/>
            <w:tcBorders>
              <w:top w:val="nil"/>
              <w:left w:val="nil"/>
              <w:bottom w:val="single" w:color="auto" w:sz="4" w:space="0"/>
              <w:right w:val="nil"/>
            </w:tcBorders>
            <w:vAlign w:val="center"/>
          </w:tcPr>
          <w:p w14:paraId="2838A425">
            <w:pPr>
              <w:widowControl/>
              <w:jc w:val="center"/>
              <w:rPr>
                <w:rFonts w:ascii="宋体" w:hAnsi="宋体" w:cs="宋体"/>
                <w:color w:val="000000"/>
                <w:kern w:val="0"/>
                <w:szCs w:val="21"/>
              </w:rPr>
            </w:pPr>
            <w:r>
              <w:rPr>
                <w:rFonts w:hint="eastAsia" w:ascii="宋体" w:hAnsi="宋体" w:cs="宋体"/>
                <w:color w:val="000000"/>
                <w:kern w:val="0"/>
                <w:szCs w:val="21"/>
              </w:rPr>
              <w:t>Y＜200</w:t>
            </w:r>
          </w:p>
        </w:tc>
      </w:tr>
      <w:tr w14:paraId="2EF606D9">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773ED8EA">
            <w:pPr>
              <w:widowControl/>
              <w:jc w:val="left"/>
              <w:rPr>
                <w:rFonts w:ascii="宋体" w:hAnsi="宋体" w:cs="宋体"/>
                <w:color w:val="000000"/>
                <w:kern w:val="0"/>
                <w:szCs w:val="21"/>
              </w:rPr>
            </w:pPr>
            <w:r>
              <w:rPr>
                <w:rFonts w:hint="eastAsia" w:ascii="宋体" w:hAnsi="宋体" w:cs="宋体"/>
                <w:color w:val="000000"/>
                <w:kern w:val="0"/>
                <w:szCs w:val="21"/>
              </w:rPr>
              <w:t>仓储业*</w:t>
            </w:r>
          </w:p>
        </w:tc>
        <w:tc>
          <w:tcPr>
            <w:tcW w:w="1369" w:type="dxa"/>
            <w:tcBorders>
              <w:top w:val="nil"/>
              <w:left w:val="nil"/>
              <w:bottom w:val="nil"/>
              <w:right w:val="single" w:color="auto" w:sz="4" w:space="0"/>
            </w:tcBorders>
            <w:vAlign w:val="center"/>
          </w:tcPr>
          <w:p w14:paraId="5E7BC226">
            <w:pPr>
              <w:widowControl/>
              <w:jc w:val="center"/>
              <w:rPr>
                <w:rFonts w:ascii="宋体" w:hAnsi="宋体" w:cs="宋体"/>
                <w:color w:val="000000"/>
                <w:kern w:val="0"/>
                <w:szCs w:val="21"/>
              </w:rPr>
            </w:pPr>
            <w:r>
              <w:rPr>
                <w:rFonts w:hint="eastAsia" w:ascii="宋体" w:hAnsi="宋体" w:cs="宋体"/>
                <w:color w:val="000000"/>
                <w:kern w:val="0"/>
                <w:szCs w:val="21"/>
              </w:rPr>
              <w:t>从业人员(X)</w:t>
            </w:r>
          </w:p>
        </w:tc>
        <w:tc>
          <w:tcPr>
            <w:tcW w:w="709" w:type="dxa"/>
            <w:tcBorders>
              <w:top w:val="nil"/>
              <w:left w:val="nil"/>
              <w:bottom w:val="nil"/>
              <w:right w:val="single" w:color="auto" w:sz="4" w:space="0"/>
            </w:tcBorders>
            <w:vAlign w:val="center"/>
          </w:tcPr>
          <w:p w14:paraId="32DEFAEF">
            <w:pPr>
              <w:widowControl/>
              <w:jc w:val="center"/>
              <w:rPr>
                <w:rFonts w:ascii="宋体" w:hAnsi="宋体" w:cs="宋体"/>
                <w:color w:val="000000"/>
                <w:kern w:val="0"/>
                <w:szCs w:val="21"/>
              </w:rPr>
            </w:pPr>
            <w:r>
              <w:rPr>
                <w:rFonts w:hint="eastAsia" w:ascii="宋体" w:hAnsi="宋体" w:cs="宋体"/>
                <w:color w:val="000000"/>
                <w:kern w:val="0"/>
                <w:szCs w:val="21"/>
              </w:rPr>
              <w:t>人</w:t>
            </w:r>
          </w:p>
        </w:tc>
        <w:tc>
          <w:tcPr>
            <w:tcW w:w="1125" w:type="dxa"/>
            <w:tcBorders>
              <w:top w:val="nil"/>
              <w:left w:val="nil"/>
              <w:bottom w:val="nil"/>
              <w:right w:val="single" w:color="auto" w:sz="4" w:space="0"/>
            </w:tcBorders>
            <w:vAlign w:val="center"/>
          </w:tcPr>
          <w:p w14:paraId="409CD66B">
            <w:pPr>
              <w:widowControl/>
              <w:jc w:val="center"/>
              <w:rPr>
                <w:rFonts w:ascii="宋体" w:hAnsi="宋体" w:cs="宋体"/>
                <w:color w:val="000000"/>
                <w:kern w:val="0"/>
                <w:szCs w:val="21"/>
              </w:rPr>
            </w:pPr>
            <w:r>
              <w:rPr>
                <w:rFonts w:hint="eastAsia" w:ascii="宋体" w:hAnsi="宋体" w:cs="宋体"/>
                <w:color w:val="000000"/>
                <w:kern w:val="0"/>
                <w:szCs w:val="21"/>
              </w:rPr>
              <w:t>X≥200</w:t>
            </w:r>
          </w:p>
        </w:tc>
        <w:tc>
          <w:tcPr>
            <w:tcW w:w="1701" w:type="dxa"/>
            <w:tcBorders>
              <w:top w:val="nil"/>
              <w:left w:val="nil"/>
              <w:bottom w:val="nil"/>
              <w:right w:val="single" w:color="auto" w:sz="4" w:space="0"/>
            </w:tcBorders>
            <w:vAlign w:val="center"/>
          </w:tcPr>
          <w:p w14:paraId="7A9AFA9E">
            <w:pPr>
              <w:widowControl/>
              <w:ind w:left="19" w:leftChars="-51" w:hanging="126" w:hangingChars="60"/>
              <w:jc w:val="center"/>
              <w:rPr>
                <w:rFonts w:ascii="宋体" w:hAnsi="宋体" w:cs="宋体"/>
                <w:color w:val="000000"/>
                <w:kern w:val="0"/>
                <w:szCs w:val="21"/>
              </w:rPr>
            </w:pPr>
            <w:r>
              <w:rPr>
                <w:rFonts w:hint="eastAsia" w:ascii="宋体" w:hAnsi="宋体" w:cs="宋体"/>
                <w:color w:val="000000"/>
                <w:kern w:val="0"/>
                <w:szCs w:val="21"/>
              </w:rPr>
              <w:t>100≤X＜200</w:t>
            </w:r>
          </w:p>
        </w:tc>
        <w:tc>
          <w:tcPr>
            <w:tcW w:w="1426" w:type="dxa"/>
            <w:tcBorders>
              <w:top w:val="nil"/>
              <w:left w:val="nil"/>
              <w:bottom w:val="nil"/>
              <w:right w:val="single" w:color="auto" w:sz="4" w:space="0"/>
            </w:tcBorders>
            <w:vAlign w:val="center"/>
          </w:tcPr>
          <w:p w14:paraId="1EC989DA">
            <w:pPr>
              <w:widowControl/>
              <w:jc w:val="center"/>
              <w:rPr>
                <w:rFonts w:ascii="宋体" w:hAnsi="宋体" w:cs="宋体"/>
                <w:color w:val="000000"/>
                <w:kern w:val="0"/>
                <w:szCs w:val="21"/>
              </w:rPr>
            </w:pPr>
            <w:r>
              <w:rPr>
                <w:rFonts w:hint="eastAsia" w:ascii="宋体" w:hAnsi="宋体" w:cs="宋体"/>
                <w:color w:val="000000"/>
                <w:kern w:val="0"/>
                <w:szCs w:val="21"/>
              </w:rPr>
              <w:t xml:space="preserve"> 20≤X＜100</w:t>
            </w:r>
          </w:p>
        </w:tc>
        <w:tc>
          <w:tcPr>
            <w:tcW w:w="992" w:type="dxa"/>
            <w:tcBorders>
              <w:top w:val="nil"/>
              <w:left w:val="nil"/>
              <w:bottom w:val="nil"/>
              <w:right w:val="nil"/>
            </w:tcBorders>
            <w:vAlign w:val="center"/>
          </w:tcPr>
          <w:p w14:paraId="6A3A2432">
            <w:pPr>
              <w:widowControl/>
              <w:jc w:val="center"/>
              <w:rPr>
                <w:rFonts w:ascii="宋体" w:hAnsi="宋体" w:cs="宋体"/>
                <w:color w:val="000000"/>
                <w:kern w:val="0"/>
                <w:szCs w:val="21"/>
              </w:rPr>
            </w:pPr>
            <w:r>
              <w:rPr>
                <w:rFonts w:hint="eastAsia" w:ascii="宋体" w:hAnsi="宋体" w:cs="宋体"/>
                <w:color w:val="000000"/>
                <w:kern w:val="0"/>
                <w:szCs w:val="21"/>
              </w:rPr>
              <w:t>X＜20</w:t>
            </w:r>
          </w:p>
        </w:tc>
      </w:tr>
      <w:tr w14:paraId="64EF0409">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159C3C24">
            <w:pPr>
              <w:widowControl/>
              <w:jc w:val="left"/>
              <w:rPr>
                <w:rFonts w:ascii="宋体" w:hAnsi="宋体" w:cs="宋体"/>
                <w:color w:val="000000"/>
                <w:kern w:val="0"/>
                <w:szCs w:val="21"/>
              </w:rPr>
            </w:pPr>
          </w:p>
        </w:tc>
        <w:tc>
          <w:tcPr>
            <w:tcW w:w="1369" w:type="dxa"/>
            <w:tcBorders>
              <w:top w:val="nil"/>
              <w:left w:val="nil"/>
              <w:bottom w:val="single" w:color="auto" w:sz="4" w:space="0"/>
              <w:right w:val="single" w:color="auto" w:sz="4" w:space="0"/>
            </w:tcBorders>
            <w:vAlign w:val="center"/>
          </w:tcPr>
          <w:p w14:paraId="022A2701">
            <w:pPr>
              <w:widowControl/>
              <w:jc w:val="center"/>
              <w:rPr>
                <w:rFonts w:ascii="宋体" w:hAnsi="宋体" w:cs="宋体"/>
                <w:color w:val="000000"/>
                <w:kern w:val="0"/>
                <w:szCs w:val="21"/>
              </w:rPr>
            </w:pPr>
            <w:r>
              <w:rPr>
                <w:rFonts w:hint="eastAsia" w:ascii="宋体" w:hAnsi="宋体" w:cs="宋体"/>
                <w:color w:val="000000"/>
                <w:kern w:val="0"/>
                <w:szCs w:val="21"/>
              </w:rPr>
              <w:t>营业收入(Y)</w:t>
            </w:r>
          </w:p>
        </w:tc>
        <w:tc>
          <w:tcPr>
            <w:tcW w:w="709" w:type="dxa"/>
            <w:tcBorders>
              <w:top w:val="nil"/>
              <w:left w:val="nil"/>
              <w:bottom w:val="single" w:color="auto" w:sz="4" w:space="0"/>
              <w:right w:val="single" w:color="auto" w:sz="4" w:space="0"/>
            </w:tcBorders>
            <w:vAlign w:val="center"/>
          </w:tcPr>
          <w:p w14:paraId="78B47156">
            <w:pPr>
              <w:widowControl/>
              <w:jc w:val="center"/>
              <w:rPr>
                <w:rFonts w:ascii="宋体" w:hAnsi="宋体" w:cs="宋体"/>
                <w:color w:val="000000"/>
                <w:kern w:val="0"/>
                <w:szCs w:val="21"/>
              </w:rPr>
            </w:pPr>
            <w:r>
              <w:rPr>
                <w:rFonts w:hint="eastAsia" w:ascii="宋体" w:hAnsi="宋体" w:cs="宋体"/>
                <w:color w:val="000000"/>
                <w:kern w:val="0"/>
                <w:szCs w:val="21"/>
              </w:rPr>
              <w:t>万元</w:t>
            </w:r>
          </w:p>
        </w:tc>
        <w:tc>
          <w:tcPr>
            <w:tcW w:w="1125" w:type="dxa"/>
            <w:tcBorders>
              <w:top w:val="nil"/>
              <w:left w:val="nil"/>
              <w:bottom w:val="single" w:color="auto" w:sz="4" w:space="0"/>
              <w:right w:val="single" w:color="auto" w:sz="4" w:space="0"/>
            </w:tcBorders>
            <w:vAlign w:val="center"/>
          </w:tcPr>
          <w:p w14:paraId="392DD217">
            <w:pPr>
              <w:widowControl/>
              <w:jc w:val="center"/>
              <w:rPr>
                <w:rFonts w:ascii="宋体" w:hAnsi="宋体" w:cs="宋体"/>
                <w:color w:val="000000"/>
                <w:kern w:val="0"/>
                <w:szCs w:val="21"/>
              </w:rPr>
            </w:pPr>
            <w:r>
              <w:rPr>
                <w:rFonts w:hint="eastAsia" w:ascii="宋体" w:hAnsi="宋体" w:cs="宋体"/>
                <w:color w:val="000000"/>
                <w:kern w:val="0"/>
                <w:szCs w:val="21"/>
              </w:rPr>
              <w:t>Y≥30000</w:t>
            </w:r>
          </w:p>
        </w:tc>
        <w:tc>
          <w:tcPr>
            <w:tcW w:w="1701" w:type="dxa"/>
            <w:tcBorders>
              <w:top w:val="nil"/>
              <w:left w:val="nil"/>
              <w:bottom w:val="single" w:color="auto" w:sz="4" w:space="0"/>
              <w:right w:val="single" w:color="auto" w:sz="4" w:space="0"/>
            </w:tcBorders>
            <w:vAlign w:val="center"/>
          </w:tcPr>
          <w:p w14:paraId="2358A81E">
            <w:pPr>
              <w:widowControl/>
              <w:jc w:val="center"/>
              <w:rPr>
                <w:rFonts w:ascii="宋体" w:hAnsi="宋体" w:cs="宋体"/>
                <w:color w:val="000000"/>
                <w:kern w:val="0"/>
                <w:szCs w:val="21"/>
              </w:rPr>
            </w:pPr>
            <w:r>
              <w:rPr>
                <w:rFonts w:hint="eastAsia" w:ascii="宋体" w:hAnsi="宋体" w:cs="宋体"/>
                <w:color w:val="000000"/>
                <w:kern w:val="0"/>
                <w:szCs w:val="21"/>
              </w:rPr>
              <w:t>1000≤Y＜30000</w:t>
            </w:r>
          </w:p>
        </w:tc>
        <w:tc>
          <w:tcPr>
            <w:tcW w:w="1426" w:type="dxa"/>
            <w:tcBorders>
              <w:top w:val="nil"/>
              <w:left w:val="nil"/>
              <w:bottom w:val="single" w:color="auto" w:sz="4" w:space="0"/>
              <w:right w:val="single" w:color="auto" w:sz="4" w:space="0"/>
            </w:tcBorders>
            <w:vAlign w:val="center"/>
          </w:tcPr>
          <w:p w14:paraId="32E81A13">
            <w:pPr>
              <w:widowControl/>
              <w:jc w:val="center"/>
              <w:rPr>
                <w:rFonts w:ascii="宋体" w:hAnsi="宋体" w:cs="宋体"/>
                <w:color w:val="000000"/>
                <w:kern w:val="0"/>
                <w:szCs w:val="21"/>
              </w:rPr>
            </w:pPr>
            <w:r>
              <w:rPr>
                <w:rFonts w:hint="eastAsia" w:ascii="宋体" w:hAnsi="宋体" w:cs="宋体"/>
                <w:color w:val="000000"/>
                <w:kern w:val="0"/>
                <w:szCs w:val="21"/>
              </w:rPr>
              <w:t xml:space="preserve"> 100≤Y＜1000</w:t>
            </w:r>
          </w:p>
        </w:tc>
        <w:tc>
          <w:tcPr>
            <w:tcW w:w="992" w:type="dxa"/>
            <w:tcBorders>
              <w:top w:val="nil"/>
              <w:left w:val="nil"/>
              <w:bottom w:val="single" w:color="auto" w:sz="4" w:space="0"/>
              <w:right w:val="nil"/>
            </w:tcBorders>
            <w:vAlign w:val="center"/>
          </w:tcPr>
          <w:p w14:paraId="50CFEA9C">
            <w:pPr>
              <w:widowControl/>
              <w:jc w:val="center"/>
              <w:rPr>
                <w:rFonts w:ascii="宋体" w:hAnsi="宋体" w:cs="宋体"/>
                <w:color w:val="000000"/>
                <w:kern w:val="0"/>
                <w:szCs w:val="21"/>
              </w:rPr>
            </w:pPr>
            <w:r>
              <w:rPr>
                <w:rFonts w:hint="eastAsia" w:ascii="宋体" w:hAnsi="宋体" w:cs="宋体"/>
                <w:color w:val="000000"/>
                <w:kern w:val="0"/>
                <w:szCs w:val="21"/>
              </w:rPr>
              <w:t>Y＜100</w:t>
            </w:r>
          </w:p>
        </w:tc>
      </w:tr>
      <w:tr w14:paraId="56CC1127">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62E3314B">
            <w:pPr>
              <w:widowControl/>
              <w:jc w:val="left"/>
              <w:rPr>
                <w:rFonts w:ascii="宋体" w:hAnsi="宋体" w:cs="宋体"/>
                <w:color w:val="000000"/>
                <w:kern w:val="0"/>
                <w:szCs w:val="21"/>
              </w:rPr>
            </w:pPr>
            <w:r>
              <w:rPr>
                <w:rFonts w:hint="eastAsia" w:ascii="宋体" w:hAnsi="宋体" w:cs="宋体"/>
                <w:color w:val="000000"/>
                <w:kern w:val="0"/>
                <w:szCs w:val="21"/>
              </w:rPr>
              <w:t>邮政业</w:t>
            </w:r>
          </w:p>
        </w:tc>
        <w:tc>
          <w:tcPr>
            <w:tcW w:w="1369" w:type="dxa"/>
            <w:tcBorders>
              <w:top w:val="nil"/>
              <w:left w:val="nil"/>
              <w:bottom w:val="nil"/>
              <w:right w:val="single" w:color="auto" w:sz="4" w:space="0"/>
            </w:tcBorders>
            <w:vAlign w:val="center"/>
          </w:tcPr>
          <w:p w14:paraId="2F5CAF06">
            <w:pPr>
              <w:widowControl/>
              <w:jc w:val="center"/>
              <w:rPr>
                <w:rFonts w:ascii="宋体" w:hAnsi="宋体" w:cs="宋体"/>
                <w:color w:val="000000"/>
                <w:kern w:val="0"/>
                <w:szCs w:val="21"/>
              </w:rPr>
            </w:pPr>
            <w:r>
              <w:rPr>
                <w:rFonts w:hint="eastAsia" w:ascii="宋体" w:hAnsi="宋体" w:cs="宋体"/>
                <w:color w:val="000000"/>
                <w:kern w:val="0"/>
                <w:szCs w:val="21"/>
              </w:rPr>
              <w:t>从业人员(X)</w:t>
            </w:r>
          </w:p>
        </w:tc>
        <w:tc>
          <w:tcPr>
            <w:tcW w:w="709" w:type="dxa"/>
            <w:tcBorders>
              <w:top w:val="nil"/>
              <w:left w:val="nil"/>
              <w:bottom w:val="nil"/>
              <w:right w:val="single" w:color="auto" w:sz="4" w:space="0"/>
            </w:tcBorders>
            <w:vAlign w:val="center"/>
          </w:tcPr>
          <w:p w14:paraId="787C8BA5">
            <w:pPr>
              <w:widowControl/>
              <w:jc w:val="center"/>
              <w:rPr>
                <w:rFonts w:ascii="宋体" w:hAnsi="宋体" w:cs="宋体"/>
                <w:color w:val="000000"/>
                <w:kern w:val="0"/>
                <w:szCs w:val="21"/>
              </w:rPr>
            </w:pPr>
            <w:r>
              <w:rPr>
                <w:rFonts w:hint="eastAsia" w:ascii="宋体" w:hAnsi="宋体" w:cs="宋体"/>
                <w:color w:val="000000"/>
                <w:kern w:val="0"/>
                <w:szCs w:val="21"/>
              </w:rPr>
              <w:t>人</w:t>
            </w:r>
          </w:p>
        </w:tc>
        <w:tc>
          <w:tcPr>
            <w:tcW w:w="1125" w:type="dxa"/>
            <w:tcBorders>
              <w:top w:val="nil"/>
              <w:left w:val="nil"/>
              <w:bottom w:val="nil"/>
              <w:right w:val="single" w:color="auto" w:sz="4" w:space="0"/>
            </w:tcBorders>
            <w:vAlign w:val="center"/>
          </w:tcPr>
          <w:p w14:paraId="249CC22A">
            <w:pPr>
              <w:widowControl/>
              <w:jc w:val="center"/>
              <w:rPr>
                <w:rFonts w:ascii="宋体" w:hAnsi="宋体" w:cs="宋体"/>
                <w:color w:val="000000"/>
                <w:kern w:val="0"/>
                <w:szCs w:val="21"/>
              </w:rPr>
            </w:pPr>
            <w:r>
              <w:rPr>
                <w:rFonts w:hint="eastAsia" w:ascii="宋体" w:hAnsi="宋体" w:cs="宋体"/>
                <w:color w:val="000000"/>
                <w:kern w:val="0"/>
                <w:szCs w:val="21"/>
              </w:rPr>
              <w:t>X≥1000</w:t>
            </w:r>
          </w:p>
        </w:tc>
        <w:tc>
          <w:tcPr>
            <w:tcW w:w="1701" w:type="dxa"/>
            <w:tcBorders>
              <w:top w:val="nil"/>
              <w:left w:val="nil"/>
              <w:bottom w:val="nil"/>
              <w:right w:val="single" w:color="auto" w:sz="4" w:space="0"/>
            </w:tcBorders>
            <w:vAlign w:val="center"/>
          </w:tcPr>
          <w:p w14:paraId="61BEA271">
            <w:pPr>
              <w:widowControl/>
              <w:jc w:val="center"/>
              <w:rPr>
                <w:rFonts w:ascii="宋体" w:hAnsi="宋体" w:cs="宋体"/>
                <w:color w:val="000000"/>
                <w:kern w:val="0"/>
                <w:szCs w:val="21"/>
              </w:rPr>
            </w:pPr>
            <w:r>
              <w:rPr>
                <w:rFonts w:hint="eastAsia" w:ascii="宋体" w:hAnsi="宋体" w:cs="宋体"/>
                <w:color w:val="000000"/>
                <w:kern w:val="0"/>
                <w:szCs w:val="21"/>
              </w:rPr>
              <w:t>300≤X＜1000</w:t>
            </w:r>
          </w:p>
        </w:tc>
        <w:tc>
          <w:tcPr>
            <w:tcW w:w="1426" w:type="dxa"/>
            <w:tcBorders>
              <w:top w:val="nil"/>
              <w:left w:val="nil"/>
              <w:bottom w:val="nil"/>
              <w:right w:val="single" w:color="auto" w:sz="4" w:space="0"/>
            </w:tcBorders>
            <w:vAlign w:val="center"/>
          </w:tcPr>
          <w:p w14:paraId="3207C47C">
            <w:pPr>
              <w:widowControl/>
              <w:jc w:val="center"/>
              <w:rPr>
                <w:rFonts w:ascii="宋体" w:hAnsi="宋体" w:cs="宋体"/>
                <w:color w:val="000000"/>
                <w:kern w:val="0"/>
                <w:szCs w:val="21"/>
              </w:rPr>
            </w:pPr>
            <w:r>
              <w:rPr>
                <w:rFonts w:hint="eastAsia" w:ascii="宋体" w:hAnsi="宋体" w:cs="宋体"/>
                <w:color w:val="000000"/>
                <w:kern w:val="0"/>
                <w:szCs w:val="21"/>
              </w:rPr>
              <w:t xml:space="preserve"> 20≤X＜300</w:t>
            </w:r>
          </w:p>
        </w:tc>
        <w:tc>
          <w:tcPr>
            <w:tcW w:w="992" w:type="dxa"/>
            <w:tcBorders>
              <w:top w:val="nil"/>
              <w:left w:val="nil"/>
              <w:bottom w:val="nil"/>
              <w:right w:val="nil"/>
            </w:tcBorders>
            <w:vAlign w:val="center"/>
          </w:tcPr>
          <w:p w14:paraId="270172BF">
            <w:pPr>
              <w:widowControl/>
              <w:jc w:val="center"/>
              <w:rPr>
                <w:rFonts w:ascii="宋体" w:hAnsi="宋体" w:cs="宋体"/>
                <w:color w:val="000000"/>
                <w:kern w:val="0"/>
                <w:szCs w:val="21"/>
              </w:rPr>
            </w:pPr>
            <w:r>
              <w:rPr>
                <w:rFonts w:hint="eastAsia" w:ascii="宋体" w:hAnsi="宋体" w:cs="宋体"/>
                <w:color w:val="000000"/>
                <w:kern w:val="0"/>
                <w:szCs w:val="21"/>
              </w:rPr>
              <w:t>X＜20</w:t>
            </w:r>
          </w:p>
        </w:tc>
      </w:tr>
      <w:tr w14:paraId="68FD67C8">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1896A9C">
            <w:pPr>
              <w:widowControl/>
              <w:jc w:val="left"/>
              <w:rPr>
                <w:rFonts w:ascii="宋体" w:hAnsi="宋体" w:cs="宋体"/>
                <w:color w:val="000000"/>
                <w:kern w:val="0"/>
                <w:szCs w:val="21"/>
              </w:rPr>
            </w:pPr>
          </w:p>
        </w:tc>
        <w:tc>
          <w:tcPr>
            <w:tcW w:w="1369" w:type="dxa"/>
            <w:tcBorders>
              <w:top w:val="nil"/>
              <w:left w:val="nil"/>
              <w:bottom w:val="single" w:color="auto" w:sz="4" w:space="0"/>
              <w:right w:val="single" w:color="auto" w:sz="4" w:space="0"/>
            </w:tcBorders>
            <w:vAlign w:val="center"/>
          </w:tcPr>
          <w:p w14:paraId="177D9375">
            <w:pPr>
              <w:widowControl/>
              <w:jc w:val="center"/>
              <w:rPr>
                <w:rFonts w:ascii="宋体" w:hAnsi="宋体" w:cs="宋体"/>
                <w:color w:val="000000"/>
                <w:kern w:val="0"/>
                <w:szCs w:val="21"/>
              </w:rPr>
            </w:pPr>
            <w:r>
              <w:rPr>
                <w:rFonts w:hint="eastAsia" w:ascii="宋体" w:hAnsi="宋体" w:cs="宋体"/>
                <w:color w:val="000000"/>
                <w:kern w:val="0"/>
                <w:szCs w:val="21"/>
              </w:rPr>
              <w:t>营业收入(Y)</w:t>
            </w:r>
          </w:p>
        </w:tc>
        <w:tc>
          <w:tcPr>
            <w:tcW w:w="709" w:type="dxa"/>
            <w:tcBorders>
              <w:top w:val="nil"/>
              <w:left w:val="nil"/>
              <w:bottom w:val="single" w:color="auto" w:sz="4" w:space="0"/>
              <w:right w:val="single" w:color="auto" w:sz="4" w:space="0"/>
            </w:tcBorders>
            <w:vAlign w:val="center"/>
          </w:tcPr>
          <w:p w14:paraId="7FC3F945">
            <w:pPr>
              <w:widowControl/>
              <w:jc w:val="center"/>
              <w:rPr>
                <w:rFonts w:ascii="宋体" w:hAnsi="宋体" w:cs="宋体"/>
                <w:color w:val="000000"/>
                <w:kern w:val="0"/>
                <w:szCs w:val="21"/>
              </w:rPr>
            </w:pPr>
            <w:r>
              <w:rPr>
                <w:rFonts w:hint="eastAsia" w:ascii="宋体" w:hAnsi="宋体" w:cs="宋体"/>
                <w:color w:val="000000"/>
                <w:kern w:val="0"/>
                <w:szCs w:val="21"/>
              </w:rPr>
              <w:t>万元</w:t>
            </w:r>
          </w:p>
        </w:tc>
        <w:tc>
          <w:tcPr>
            <w:tcW w:w="1125" w:type="dxa"/>
            <w:tcBorders>
              <w:top w:val="nil"/>
              <w:left w:val="nil"/>
              <w:bottom w:val="single" w:color="auto" w:sz="4" w:space="0"/>
              <w:right w:val="single" w:color="auto" w:sz="4" w:space="0"/>
            </w:tcBorders>
            <w:vAlign w:val="center"/>
          </w:tcPr>
          <w:p w14:paraId="0F067480">
            <w:pPr>
              <w:widowControl/>
              <w:jc w:val="center"/>
              <w:rPr>
                <w:rFonts w:ascii="宋体" w:hAnsi="宋体" w:cs="宋体"/>
                <w:color w:val="000000"/>
                <w:kern w:val="0"/>
                <w:szCs w:val="21"/>
              </w:rPr>
            </w:pPr>
            <w:r>
              <w:rPr>
                <w:rFonts w:hint="eastAsia" w:ascii="宋体" w:hAnsi="宋体" w:cs="宋体"/>
                <w:color w:val="000000"/>
                <w:kern w:val="0"/>
                <w:szCs w:val="21"/>
              </w:rPr>
              <w:t>Y≥30000</w:t>
            </w:r>
          </w:p>
        </w:tc>
        <w:tc>
          <w:tcPr>
            <w:tcW w:w="1701" w:type="dxa"/>
            <w:tcBorders>
              <w:top w:val="nil"/>
              <w:left w:val="nil"/>
              <w:bottom w:val="single" w:color="auto" w:sz="4" w:space="0"/>
              <w:right w:val="single" w:color="auto" w:sz="4" w:space="0"/>
            </w:tcBorders>
            <w:vAlign w:val="center"/>
          </w:tcPr>
          <w:p w14:paraId="65C84E75">
            <w:pPr>
              <w:widowControl/>
              <w:jc w:val="center"/>
              <w:rPr>
                <w:rFonts w:ascii="宋体" w:hAnsi="宋体" w:cs="宋体"/>
                <w:color w:val="000000"/>
                <w:kern w:val="0"/>
                <w:szCs w:val="21"/>
              </w:rPr>
            </w:pPr>
            <w:r>
              <w:rPr>
                <w:rFonts w:hint="eastAsia" w:ascii="宋体" w:hAnsi="宋体" w:cs="宋体"/>
                <w:color w:val="000000"/>
                <w:kern w:val="0"/>
                <w:szCs w:val="21"/>
              </w:rPr>
              <w:t>2000≤Y＜30000</w:t>
            </w:r>
          </w:p>
        </w:tc>
        <w:tc>
          <w:tcPr>
            <w:tcW w:w="1426" w:type="dxa"/>
            <w:tcBorders>
              <w:top w:val="nil"/>
              <w:left w:val="nil"/>
              <w:bottom w:val="single" w:color="auto" w:sz="4" w:space="0"/>
              <w:right w:val="single" w:color="auto" w:sz="4" w:space="0"/>
            </w:tcBorders>
            <w:vAlign w:val="center"/>
          </w:tcPr>
          <w:p w14:paraId="315F9F68">
            <w:pPr>
              <w:widowControl/>
              <w:jc w:val="center"/>
              <w:rPr>
                <w:rFonts w:ascii="宋体" w:hAnsi="宋体" w:cs="宋体"/>
                <w:color w:val="000000"/>
                <w:kern w:val="0"/>
                <w:szCs w:val="21"/>
              </w:rPr>
            </w:pPr>
            <w:r>
              <w:rPr>
                <w:rFonts w:hint="eastAsia" w:ascii="宋体" w:hAnsi="宋体" w:cs="宋体"/>
                <w:color w:val="000000"/>
                <w:kern w:val="0"/>
                <w:szCs w:val="21"/>
              </w:rPr>
              <w:t xml:space="preserve"> 100≤Y＜2000</w:t>
            </w:r>
          </w:p>
        </w:tc>
        <w:tc>
          <w:tcPr>
            <w:tcW w:w="992" w:type="dxa"/>
            <w:tcBorders>
              <w:top w:val="nil"/>
              <w:left w:val="nil"/>
              <w:bottom w:val="single" w:color="auto" w:sz="4" w:space="0"/>
              <w:right w:val="nil"/>
            </w:tcBorders>
            <w:vAlign w:val="center"/>
          </w:tcPr>
          <w:p w14:paraId="200EEA07">
            <w:pPr>
              <w:widowControl/>
              <w:jc w:val="center"/>
              <w:rPr>
                <w:rFonts w:ascii="宋体" w:hAnsi="宋体" w:cs="宋体"/>
                <w:color w:val="000000"/>
                <w:kern w:val="0"/>
                <w:szCs w:val="21"/>
              </w:rPr>
            </w:pPr>
            <w:r>
              <w:rPr>
                <w:rFonts w:hint="eastAsia" w:ascii="宋体" w:hAnsi="宋体" w:cs="宋体"/>
                <w:color w:val="000000"/>
                <w:kern w:val="0"/>
                <w:szCs w:val="21"/>
              </w:rPr>
              <w:t>Y＜100</w:t>
            </w:r>
          </w:p>
        </w:tc>
      </w:tr>
      <w:tr w14:paraId="53ECFEA5">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5DD9B514">
            <w:pPr>
              <w:widowControl/>
              <w:jc w:val="left"/>
              <w:rPr>
                <w:rFonts w:ascii="宋体" w:hAnsi="宋体" w:cs="宋体"/>
                <w:color w:val="000000"/>
                <w:kern w:val="0"/>
                <w:szCs w:val="21"/>
              </w:rPr>
            </w:pPr>
            <w:r>
              <w:rPr>
                <w:rFonts w:hint="eastAsia" w:ascii="宋体" w:hAnsi="宋体" w:cs="宋体"/>
                <w:color w:val="000000"/>
                <w:kern w:val="0"/>
                <w:szCs w:val="21"/>
              </w:rPr>
              <w:t>住宿业</w:t>
            </w:r>
          </w:p>
        </w:tc>
        <w:tc>
          <w:tcPr>
            <w:tcW w:w="1369" w:type="dxa"/>
            <w:tcBorders>
              <w:top w:val="nil"/>
              <w:left w:val="nil"/>
              <w:bottom w:val="nil"/>
              <w:right w:val="single" w:color="auto" w:sz="4" w:space="0"/>
            </w:tcBorders>
            <w:vAlign w:val="center"/>
          </w:tcPr>
          <w:p w14:paraId="3C35A25A">
            <w:pPr>
              <w:widowControl/>
              <w:jc w:val="center"/>
              <w:rPr>
                <w:rFonts w:ascii="宋体" w:hAnsi="宋体" w:cs="宋体"/>
                <w:color w:val="000000"/>
                <w:kern w:val="0"/>
                <w:szCs w:val="21"/>
              </w:rPr>
            </w:pPr>
            <w:r>
              <w:rPr>
                <w:rFonts w:hint="eastAsia" w:ascii="宋体" w:hAnsi="宋体" w:cs="宋体"/>
                <w:color w:val="000000"/>
                <w:kern w:val="0"/>
                <w:szCs w:val="21"/>
              </w:rPr>
              <w:t>从业人员(X)</w:t>
            </w:r>
          </w:p>
        </w:tc>
        <w:tc>
          <w:tcPr>
            <w:tcW w:w="709" w:type="dxa"/>
            <w:tcBorders>
              <w:top w:val="nil"/>
              <w:left w:val="nil"/>
              <w:bottom w:val="nil"/>
              <w:right w:val="single" w:color="auto" w:sz="4" w:space="0"/>
            </w:tcBorders>
            <w:vAlign w:val="center"/>
          </w:tcPr>
          <w:p w14:paraId="54D51A35">
            <w:pPr>
              <w:widowControl/>
              <w:jc w:val="center"/>
              <w:rPr>
                <w:rFonts w:ascii="宋体" w:hAnsi="宋体" w:cs="宋体"/>
                <w:color w:val="000000"/>
                <w:kern w:val="0"/>
                <w:szCs w:val="21"/>
              </w:rPr>
            </w:pPr>
            <w:r>
              <w:rPr>
                <w:rFonts w:hint="eastAsia" w:ascii="宋体" w:hAnsi="宋体" w:cs="宋体"/>
                <w:color w:val="000000"/>
                <w:kern w:val="0"/>
                <w:szCs w:val="21"/>
              </w:rPr>
              <w:t>人</w:t>
            </w:r>
          </w:p>
        </w:tc>
        <w:tc>
          <w:tcPr>
            <w:tcW w:w="1125" w:type="dxa"/>
            <w:tcBorders>
              <w:top w:val="nil"/>
              <w:left w:val="nil"/>
              <w:bottom w:val="nil"/>
              <w:right w:val="single" w:color="auto" w:sz="4" w:space="0"/>
            </w:tcBorders>
            <w:vAlign w:val="center"/>
          </w:tcPr>
          <w:p w14:paraId="4A9438D9">
            <w:pPr>
              <w:widowControl/>
              <w:jc w:val="center"/>
              <w:rPr>
                <w:rFonts w:ascii="宋体" w:hAnsi="宋体" w:cs="宋体"/>
                <w:color w:val="000000"/>
                <w:kern w:val="0"/>
                <w:szCs w:val="21"/>
              </w:rPr>
            </w:pPr>
            <w:r>
              <w:rPr>
                <w:rFonts w:hint="eastAsia" w:ascii="宋体" w:hAnsi="宋体" w:cs="宋体"/>
                <w:color w:val="000000"/>
                <w:kern w:val="0"/>
                <w:szCs w:val="21"/>
              </w:rPr>
              <w:t>X≥300</w:t>
            </w:r>
          </w:p>
        </w:tc>
        <w:tc>
          <w:tcPr>
            <w:tcW w:w="1701" w:type="dxa"/>
            <w:tcBorders>
              <w:top w:val="nil"/>
              <w:left w:val="nil"/>
              <w:bottom w:val="nil"/>
              <w:right w:val="single" w:color="auto" w:sz="4" w:space="0"/>
            </w:tcBorders>
            <w:vAlign w:val="center"/>
          </w:tcPr>
          <w:p w14:paraId="0D521896">
            <w:pPr>
              <w:widowControl/>
              <w:ind w:left="19" w:leftChars="-51" w:hanging="126" w:hangingChars="60"/>
              <w:jc w:val="center"/>
              <w:rPr>
                <w:rFonts w:ascii="宋体" w:hAnsi="宋体" w:cs="宋体"/>
                <w:color w:val="000000"/>
                <w:kern w:val="0"/>
                <w:szCs w:val="21"/>
              </w:rPr>
            </w:pPr>
            <w:r>
              <w:rPr>
                <w:rFonts w:hint="eastAsia" w:ascii="宋体" w:hAnsi="宋体" w:cs="宋体"/>
                <w:color w:val="000000"/>
                <w:kern w:val="0"/>
                <w:szCs w:val="21"/>
              </w:rPr>
              <w:t xml:space="preserve">100≤X＜300 </w:t>
            </w:r>
          </w:p>
        </w:tc>
        <w:tc>
          <w:tcPr>
            <w:tcW w:w="1426" w:type="dxa"/>
            <w:tcBorders>
              <w:top w:val="nil"/>
              <w:left w:val="nil"/>
              <w:bottom w:val="nil"/>
              <w:right w:val="single" w:color="auto" w:sz="4" w:space="0"/>
            </w:tcBorders>
            <w:vAlign w:val="center"/>
          </w:tcPr>
          <w:p w14:paraId="6F2D479E">
            <w:pPr>
              <w:widowControl/>
              <w:jc w:val="center"/>
              <w:rPr>
                <w:rFonts w:ascii="宋体" w:hAnsi="宋体" w:cs="宋体"/>
                <w:color w:val="000000"/>
                <w:kern w:val="0"/>
                <w:szCs w:val="21"/>
              </w:rPr>
            </w:pPr>
            <w:r>
              <w:rPr>
                <w:rFonts w:hint="eastAsia" w:ascii="宋体" w:hAnsi="宋体" w:cs="宋体"/>
                <w:color w:val="000000"/>
                <w:kern w:val="0"/>
                <w:szCs w:val="21"/>
              </w:rPr>
              <w:t xml:space="preserve"> 10≤X＜100</w:t>
            </w:r>
          </w:p>
        </w:tc>
        <w:tc>
          <w:tcPr>
            <w:tcW w:w="992" w:type="dxa"/>
            <w:tcBorders>
              <w:top w:val="nil"/>
              <w:left w:val="nil"/>
              <w:bottom w:val="nil"/>
              <w:right w:val="nil"/>
            </w:tcBorders>
            <w:vAlign w:val="center"/>
          </w:tcPr>
          <w:p w14:paraId="3466E1BF">
            <w:pPr>
              <w:widowControl/>
              <w:jc w:val="center"/>
              <w:rPr>
                <w:rFonts w:ascii="宋体" w:hAnsi="宋体" w:cs="宋体"/>
                <w:color w:val="000000"/>
                <w:kern w:val="0"/>
                <w:szCs w:val="21"/>
              </w:rPr>
            </w:pPr>
            <w:r>
              <w:rPr>
                <w:rFonts w:hint="eastAsia" w:ascii="宋体" w:hAnsi="宋体" w:cs="宋体"/>
                <w:color w:val="000000"/>
                <w:kern w:val="0"/>
                <w:szCs w:val="21"/>
              </w:rPr>
              <w:t>X＜10</w:t>
            </w:r>
          </w:p>
        </w:tc>
      </w:tr>
      <w:tr w14:paraId="49FEAEBA">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00C821D6">
            <w:pPr>
              <w:widowControl/>
              <w:jc w:val="left"/>
              <w:rPr>
                <w:rFonts w:ascii="宋体" w:hAnsi="宋体" w:cs="宋体"/>
                <w:color w:val="000000"/>
                <w:kern w:val="0"/>
                <w:szCs w:val="21"/>
              </w:rPr>
            </w:pPr>
          </w:p>
        </w:tc>
        <w:tc>
          <w:tcPr>
            <w:tcW w:w="1369" w:type="dxa"/>
            <w:tcBorders>
              <w:top w:val="nil"/>
              <w:left w:val="nil"/>
              <w:bottom w:val="single" w:color="auto" w:sz="4" w:space="0"/>
              <w:right w:val="single" w:color="auto" w:sz="4" w:space="0"/>
            </w:tcBorders>
            <w:vAlign w:val="center"/>
          </w:tcPr>
          <w:p w14:paraId="183FEA22">
            <w:pPr>
              <w:widowControl/>
              <w:jc w:val="center"/>
              <w:rPr>
                <w:rFonts w:ascii="宋体" w:hAnsi="宋体" w:cs="宋体"/>
                <w:color w:val="000000"/>
                <w:kern w:val="0"/>
                <w:szCs w:val="21"/>
              </w:rPr>
            </w:pPr>
            <w:r>
              <w:rPr>
                <w:rFonts w:hint="eastAsia" w:ascii="宋体" w:hAnsi="宋体" w:cs="宋体"/>
                <w:color w:val="000000"/>
                <w:kern w:val="0"/>
                <w:szCs w:val="21"/>
              </w:rPr>
              <w:t>营业收入(Y)</w:t>
            </w:r>
          </w:p>
        </w:tc>
        <w:tc>
          <w:tcPr>
            <w:tcW w:w="709" w:type="dxa"/>
            <w:tcBorders>
              <w:top w:val="nil"/>
              <w:left w:val="nil"/>
              <w:bottom w:val="single" w:color="auto" w:sz="4" w:space="0"/>
              <w:right w:val="single" w:color="auto" w:sz="4" w:space="0"/>
            </w:tcBorders>
            <w:vAlign w:val="center"/>
          </w:tcPr>
          <w:p w14:paraId="24483897">
            <w:pPr>
              <w:widowControl/>
              <w:jc w:val="center"/>
              <w:rPr>
                <w:rFonts w:ascii="宋体" w:hAnsi="宋体" w:cs="宋体"/>
                <w:color w:val="000000"/>
                <w:kern w:val="0"/>
                <w:szCs w:val="21"/>
              </w:rPr>
            </w:pPr>
            <w:r>
              <w:rPr>
                <w:rFonts w:hint="eastAsia" w:ascii="宋体" w:hAnsi="宋体" w:cs="宋体"/>
                <w:color w:val="000000"/>
                <w:kern w:val="0"/>
                <w:szCs w:val="21"/>
              </w:rPr>
              <w:t>万元</w:t>
            </w:r>
          </w:p>
        </w:tc>
        <w:tc>
          <w:tcPr>
            <w:tcW w:w="1125" w:type="dxa"/>
            <w:tcBorders>
              <w:top w:val="nil"/>
              <w:left w:val="nil"/>
              <w:bottom w:val="single" w:color="auto" w:sz="4" w:space="0"/>
              <w:right w:val="single" w:color="auto" w:sz="4" w:space="0"/>
            </w:tcBorders>
            <w:vAlign w:val="center"/>
          </w:tcPr>
          <w:p w14:paraId="24C106B6">
            <w:pPr>
              <w:widowControl/>
              <w:jc w:val="center"/>
              <w:rPr>
                <w:rFonts w:ascii="宋体" w:hAnsi="宋体" w:cs="宋体"/>
                <w:color w:val="000000"/>
                <w:kern w:val="0"/>
                <w:szCs w:val="21"/>
              </w:rPr>
            </w:pPr>
            <w:r>
              <w:rPr>
                <w:rFonts w:hint="eastAsia" w:ascii="宋体" w:hAnsi="宋体" w:cs="宋体"/>
                <w:color w:val="000000"/>
                <w:kern w:val="0"/>
                <w:szCs w:val="21"/>
              </w:rPr>
              <w:t>Y≥10000</w:t>
            </w:r>
          </w:p>
        </w:tc>
        <w:tc>
          <w:tcPr>
            <w:tcW w:w="1701" w:type="dxa"/>
            <w:tcBorders>
              <w:top w:val="nil"/>
              <w:left w:val="nil"/>
              <w:bottom w:val="single" w:color="auto" w:sz="4" w:space="0"/>
              <w:right w:val="single" w:color="auto" w:sz="4" w:space="0"/>
            </w:tcBorders>
            <w:vAlign w:val="center"/>
          </w:tcPr>
          <w:p w14:paraId="49520D0E">
            <w:pPr>
              <w:widowControl/>
              <w:jc w:val="center"/>
              <w:rPr>
                <w:rFonts w:ascii="宋体" w:hAnsi="宋体" w:cs="宋体"/>
                <w:color w:val="000000"/>
                <w:kern w:val="0"/>
                <w:szCs w:val="21"/>
              </w:rPr>
            </w:pPr>
            <w:r>
              <w:rPr>
                <w:rFonts w:hint="eastAsia" w:ascii="宋体" w:hAnsi="宋体" w:cs="宋体"/>
                <w:color w:val="000000"/>
                <w:kern w:val="0"/>
                <w:szCs w:val="21"/>
              </w:rPr>
              <w:t>2000≤Y＜10000</w:t>
            </w:r>
          </w:p>
        </w:tc>
        <w:tc>
          <w:tcPr>
            <w:tcW w:w="1426" w:type="dxa"/>
            <w:tcBorders>
              <w:top w:val="nil"/>
              <w:left w:val="nil"/>
              <w:bottom w:val="single" w:color="auto" w:sz="4" w:space="0"/>
              <w:right w:val="single" w:color="auto" w:sz="4" w:space="0"/>
            </w:tcBorders>
            <w:vAlign w:val="center"/>
          </w:tcPr>
          <w:p w14:paraId="00B5649C">
            <w:pPr>
              <w:widowControl/>
              <w:jc w:val="center"/>
              <w:rPr>
                <w:rFonts w:ascii="宋体" w:hAnsi="宋体" w:cs="宋体"/>
                <w:color w:val="000000"/>
                <w:kern w:val="0"/>
                <w:szCs w:val="21"/>
              </w:rPr>
            </w:pPr>
            <w:r>
              <w:rPr>
                <w:rFonts w:hint="eastAsia" w:ascii="宋体" w:hAnsi="宋体" w:cs="宋体"/>
                <w:color w:val="000000"/>
                <w:kern w:val="0"/>
                <w:szCs w:val="21"/>
              </w:rPr>
              <w:t xml:space="preserve"> 100≤Y＜2000</w:t>
            </w:r>
          </w:p>
        </w:tc>
        <w:tc>
          <w:tcPr>
            <w:tcW w:w="992" w:type="dxa"/>
            <w:tcBorders>
              <w:top w:val="nil"/>
              <w:left w:val="nil"/>
              <w:bottom w:val="single" w:color="auto" w:sz="4" w:space="0"/>
              <w:right w:val="nil"/>
            </w:tcBorders>
            <w:vAlign w:val="center"/>
          </w:tcPr>
          <w:p w14:paraId="6509CA8A">
            <w:pPr>
              <w:widowControl/>
              <w:jc w:val="center"/>
              <w:rPr>
                <w:rFonts w:ascii="宋体" w:hAnsi="宋体" w:cs="宋体"/>
                <w:color w:val="000000"/>
                <w:kern w:val="0"/>
                <w:szCs w:val="21"/>
              </w:rPr>
            </w:pPr>
            <w:r>
              <w:rPr>
                <w:rFonts w:hint="eastAsia" w:ascii="宋体" w:hAnsi="宋体" w:cs="宋体"/>
                <w:color w:val="000000"/>
                <w:kern w:val="0"/>
                <w:szCs w:val="21"/>
              </w:rPr>
              <w:t>Y＜100</w:t>
            </w:r>
          </w:p>
        </w:tc>
      </w:tr>
      <w:tr w14:paraId="784614B9">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526D7F35">
            <w:pPr>
              <w:widowControl/>
              <w:jc w:val="left"/>
              <w:rPr>
                <w:rFonts w:ascii="宋体" w:hAnsi="宋体" w:cs="宋体"/>
                <w:color w:val="000000"/>
                <w:kern w:val="0"/>
                <w:szCs w:val="21"/>
              </w:rPr>
            </w:pPr>
            <w:r>
              <w:rPr>
                <w:rFonts w:hint="eastAsia" w:ascii="宋体" w:hAnsi="宋体" w:cs="宋体"/>
                <w:color w:val="000000"/>
                <w:kern w:val="0"/>
                <w:szCs w:val="21"/>
              </w:rPr>
              <w:t>餐饮业</w:t>
            </w:r>
          </w:p>
        </w:tc>
        <w:tc>
          <w:tcPr>
            <w:tcW w:w="1369" w:type="dxa"/>
            <w:tcBorders>
              <w:top w:val="nil"/>
              <w:left w:val="nil"/>
              <w:bottom w:val="nil"/>
              <w:right w:val="single" w:color="auto" w:sz="4" w:space="0"/>
            </w:tcBorders>
            <w:vAlign w:val="center"/>
          </w:tcPr>
          <w:p w14:paraId="726D2753">
            <w:pPr>
              <w:widowControl/>
              <w:jc w:val="center"/>
              <w:rPr>
                <w:rFonts w:ascii="宋体" w:hAnsi="宋体" w:cs="宋体"/>
                <w:color w:val="000000"/>
                <w:kern w:val="0"/>
                <w:szCs w:val="21"/>
              </w:rPr>
            </w:pPr>
            <w:r>
              <w:rPr>
                <w:rFonts w:hint="eastAsia" w:ascii="宋体" w:hAnsi="宋体" w:cs="宋体"/>
                <w:color w:val="000000"/>
                <w:kern w:val="0"/>
                <w:szCs w:val="21"/>
              </w:rPr>
              <w:t>从业人员(X)</w:t>
            </w:r>
          </w:p>
        </w:tc>
        <w:tc>
          <w:tcPr>
            <w:tcW w:w="709" w:type="dxa"/>
            <w:tcBorders>
              <w:top w:val="nil"/>
              <w:left w:val="nil"/>
              <w:bottom w:val="nil"/>
              <w:right w:val="single" w:color="auto" w:sz="4" w:space="0"/>
            </w:tcBorders>
            <w:vAlign w:val="center"/>
          </w:tcPr>
          <w:p w14:paraId="69CD5B6E">
            <w:pPr>
              <w:widowControl/>
              <w:jc w:val="center"/>
              <w:rPr>
                <w:rFonts w:ascii="宋体" w:hAnsi="宋体" w:cs="宋体"/>
                <w:color w:val="000000"/>
                <w:kern w:val="0"/>
                <w:szCs w:val="21"/>
              </w:rPr>
            </w:pPr>
            <w:r>
              <w:rPr>
                <w:rFonts w:hint="eastAsia" w:ascii="宋体" w:hAnsi="宋体" w:cs="宋体"/>
                <w:color w:val="000000"/>
                <w:kern w:val="0"/>
                <w:szCs w:val="21"/>
              </w:rPr>
              <w:t>人</w:t>
            </w:r>
          </w:p>
        </w:tc>
        <w:tc>
          <w:tcPr>
            <w:tcW w:w="1125" w:type="dxa"/>
            <w:tcBorders>
              <w:top w:val="nil"/>
              <w:left w:val="nil"/>
              <w:bottom w:val="nil"/>
              <w:right w:val="single" w:color="auto" w:sz="4" w:space="0"/>
            </w:tcBorders>
            <w:vAlign w:val="center"/>
          </w:tcPr>
          <w:p w14:paraId="0018949A">
            <w:pPr>
              <w:widowControl/>
              <w:jc w:val="center"/>
              <w:rPr>
                <w:rFonts w:ascii="宋体" w:hAnsi="宋体" w:cs="宋体"/>
                <w:color w:val="000000"/>
                <w:kern w:val="0"/>
                <w:szCs w:val="21"/>
              </w:rPr>
            </w:pPr>
            <w:r>
              <w:rPr>
                <w:rFonts w:hint="eastAsia" w:ascii="宋体" w:hAnsi="宋体" w:cs="宋体"/>
                <w:color w:val="000000"/>
                <w:kern w:val="0"/>
                <w:szCs w:val="21"/>
              </w:rPr>
              <w:t>X≥300</w:t>
            </w:r>
          </w:p>
        </w:tc>
        <w:tc>
          <w:tcPr>
            <w:tcW w:w="1701" w:type="dxa"/>
            <w:tcBorders>
              <w:top w:val="nil"/>
              <w:left w:val="nil"/>
              <w:bottom w:val="nil"/>
              <w:right w:val="single" w:color="auto" w:sz="4" w:space="0"/>
            </w:tcBorders>
            <w:vAlign w:val="center"/>
          </w:tcPr>
          <w:p w14:paraId="4CDFD20C">
            <w:pPr>
              <w:widowControl/>
              <w:ind w:left="19" w:leftChars="-51" w:hanging="126" w:hangingChars="60"/>
              <w:jc w:val="center"/>
              <w:rPr>
                <w:rFonts w:ascii="宋体" w:hAnsi="宋体" w:cs="宋体"/>
                <w:color w:val="000000"/>
                <w:kern w:val="0"/>
                <w:szCs w:val="21"/>
              </w:rPr>
            </w:pPr>
            <w:r>
              <w:rPr>
                <w:rFonts w:hint="eastAsia" w:ascii="宋体" w:hAnsi="宋体" w:cs="宋体"/>
                <w:color w:val="000000"/>
                <w:kern w:val="0"/>
                <w:szCs w:val="21"/>
              </w:rPr>
              <w:t xml:space="preserve">100≤X＜300 </w:t>
            </w:r>
          </w:p>
        </w:tc>
        <w:tc>
          <w:tcPr>
            <w:tcW w:w="1426" w:type="dxa"/>
            <w:tcBorders>
              <w:top w:val="nil"/>
              <w:left w:val="nil"/>
              <w:bottom w:val="nil"/>
              <w:right w:val="single" w:color="auto" w:sz="4" w:space="0"/>
            </w:tcBorders>
            <w:vAlign w:val="center"/>
          </w:tcPr>
          <w:p w14:paraId="2762929B">
            <w:pPr>
              <w:widowControl/>
              <w:jc w:val="center"/>
              <w:rPr>
                <w:rFonts w:ascii="宋体" w:hAnsi="宋体" w:cs="宋体"/>
                <w:color w:val="000000"/>
                <w:kern w:val="0"/>
                <w:szCs w:val="21"/>
              </w:rPr>
            </w:pPr>
            <w:r>
              <w:rPr>
                <w:rFonts w:hint="eastAsia" w:ascii="宋体" w:hAnsi="宋体" w:cs="宋体"/>
                <w:color w:val="000000"/>
                <w:kern w:val="0"/>
                <w:szCs w:val="21"/>
              </w:rPr>
              <w:t xml:space="preserve"> 10≤X＜100</w:t>
            </w:r>
          </w:p>
        </w:tc>
        <w:tc>
          <w:tcPr>
            <w:tcW w:w="992" w:type="dxa"/>
            <w:tcBorders>
              <w:top w:val="nil"/>
              <w:left w:val="nil"/>
              <w:bottom w:val="nil"/>
              <w:right w:val="nil"/>
            </w:tcBorders>
            <w:vAlign w:val="center"/>
          </w:tcPr>
          <w:p w14:paraId="06A7D75E">
            <w:pPr>
              <w:widowControl/>
              <w:jc w:val="center"/>
              <w:rPr>
                <w:rFonts w:ascii="宋体" w:hAnsi="宋体" w:cs="宋体"/>
                <w:color w:val="000000"/>
                <w:kern w:val="0"/>
                <w:szCs w:val="21"/>
              </w:rPr>
            </w:pPr>
            <w:r>
              <w:rPr>
                <w:rFonts w:hint="eastAsia" w:ascii="宋体" w:hAnsi="宋体" w:cs="宋体"/>
                <w:color w:val="000000"/>
                <w:kern w:val="0"/>
                <w:szCs w:val="21"/>
              </w:rPr>
              <w:t>X＜10</w:t>
            </w:r>
          </w:p>
        </w:tc>
      </w:tr>
      <w:tr w14:paraId="6CF5CE8A">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692FFDF6">
            <w:pPr>
              <w:widowControl/>
              <w:jc w:val="left"/>
              <w:rPr>
                <w:rFonts w:ascii="宋体" w:hAnsi="宋体" w:cs="宋体"/>
                <w:color w:val="000000"/>
                <w:kern w:val="0"/>
                <w:szCs w:val="21"/>
              </w:rPr>
            </w:pPr>
          </w:p>
        </w:tc>
        <w:tc>
          <w:tcPr>
            <w:tcW w:w="1369" w:type="dxa"/>
            <w:tcBorders>
              <w:top w:val="nil"/>
              <w:left w:val="nil"/>
              <w:bottom w:val="single" w:color="auto" w:sz="4" w:space="0"/>
              <w:right w:val="single" w:color="auto" w:sz="4" w:space="0"/>
            </w:tcBorders>
            <w:vAlign w:val="center"/>
          </w:tcPr>
          <w:p w14:paraId="00C0836D">
            <w:pPr>
              <w:widowControl/>
              <w:jc w:val="center"/>
              <w:rPr>
                <w:rFonts w:ascii="宋体" w:hAnsi="宋体" w:cs="宋体"/>
                <w:color w:val="000000"/>
                <w:kern w:val="0"/>
                <w:szCs w:val="21"/>
              </w:rPr>
            </w:pPr>
            <w:r>
              <w:rPr>
                <w:rFonts w:hint="eastAsia" w:ascii="宋体" w:hAnsi="宋体" w:cs="宋体"/>
                <w:color w:val="000000"/>
                <w:kern w:val="0"/>
                <w:szCs w:val="21"/>
              </w:rPr>
              <w:t>营业收入(Y)</w:t>
            </w:r>
          </w:p>
        </w:tc>
        <w:tc>
          <w:tcPr>
            <w:tcW w:w="709" w:type="dxa"/>
            <w:tcBorders>
              <w:top w:val="nil"/>
              <w:left w:val="nil"/>
              <w:bottom w:val="single" w:color="auto" w:sz="4" w:space="0"/>
              <w:right w:val="single" w:color="auto" w:sz="4" w:space="0"/>
            </w:tcBorders>
            <w:vAlign w:val="center"/>
          </w:tcPr>
          <w:p w14:paraId="1CCA77EA">
            <w:pPr>
              <w:widowControl/>
              <w:jc w:val="center"/>
              <w:rPr>
                <w:rFonts w:ascii="宋体" w:hAnsi="宋体" w:cs="宋体"/>
                <w:color w:val="000000"/>
                <w:kern w:val="0"/>
                <w:szCs w:val="21"/>
              </w:rPr>
            </w:pPr>
            <w:r>
              <w:rPr>
                <w:rFonts w:hint="eastAsia" w:ascii="宋体" w:hAnsi="宋体" w:cs="宋体"/>
                <w:color w:val="000000"/>
                <w:kern w:val="0"/>
                <w:szCs w:val="21"/>
              </w:rPr>
              <w:t>万元</w:t>
            </w:r>
          </w:p>
        </w:tc>
        <w:tc>
          <w:tcPr>
            <w:tcW w:w="1125" w:type="dxa"/>
            <w:tcBorders>
              <w:top w:val="nil"/>
              <w:left w:val="nil"/>
              <w:bottom w:val="single" w:color="auto" w:sz="4" w:space="0"/>
              <w:right w:val="single" w:color="auto" w:sz="4" w:space="0"/>
            </w:tcBorders>
            <w:vAlign w:val="center"/>
          </w:tcPr>
          <w:p w14:paraId="6DCE6A0E">
            <w:pPr>
              <w:widowControl/>
              <w:jc w:val="center"/>
              <w:rPr>
                <w:rFonts w:ascii="宋体" w:hAnsi="宋体" w:cs="宋体"/>
                <w:color w:val="000000"/>
                <w:kern w:val="0"/>
                <w:szCs w:val="21"/>
              </w:rPr>
            </w:pPr>
            <w:r>
              <w:rPr>
                <w:rFonts w:hint="eastAsia" w:ascii="宋体" w:hAnsi="宋体" w:cs="宋体"/>
                <w:color w:val="000000"/>
                <w:kern w:val="0"/>
                <w:szCs w:val="21"/>
              </w:rPr>
              <w:t>Y≥10000</w:t>
            </w:r>
          </w:p>
        </w:tc>
        <w:tc>
          <w:tcPr>
            <w:tcW w:w="1701" w:type="dxa"/>
            <w:tcBorders>
              <w:top w:val="nil"/>
              <w:left w:val="nil"/>
              <w:bottom w:val="single" w:color="auto" w:sz="4" w:space="0"/>
              <w:right w:val="single" w:color="auto" w:sz="4" w:space="0"/>
            </w:tcBorders>
            <w:vAlign w:val="center"/>
          </w:tcPr>
          <w:p w14:paraId="559934F3">
            <w:pPr>
              <w:widowControl/>
              <w:jc w:val="center"/>
              <w:rPr>
                <w:rFonts w:ascii="宋体" w:hAnsi="宋体" w:cs="宋体"/>
                <w:color w:val="000000"/>
                <w:kern w:val="0"/>
                <w:szCs w:val="21"/>
              </w:rPr>
            </w:pPr>
            <w:r>
              <w:rPr>
                <w:rFonts w:hint="eastAsia" w:ascii="宋体" w:hAnsi="宋体" w:cs="宋体"/>
                <w:color w:val="000000"/>
                <w:kern w:val="0"/>
                <w:szCs w:val="21"/>
              </w:rPr>
              <w:t>2000≤Y＜10000</w:t>
            </w:r>
          </w:p>
        </w:tc>
        <w:tc>
          <w:tcPr>
            <w:tcW w:w="1426" w:type="dxa"/>
            <w:tcBorders>
              <w:top w:val="nil"/>
              <w:left w:val="nil"/>
              <w:bottom w:val="single" w:color="auto" w:sz="4" w:space="0"/>
              <w:right w:val="single" w:color="auto" w:sz="4" w:space="0"/>
            </w:tcBorders>
            <w:vAlign w:val="center"/>
          </w:tcPr>
          <w:p w14:paraId="7F0EA25C">
            <w:pPr>
              <w:widowControl/>
              <w:jc w:val="center"/>
              <w:rPr>
                <w:rFonts w:ascii="宋体" w:hAnsi="宋体" w:cs="宋体"/>
                <w:color w:val="000000"/>
                <w:kern w:val="0"/>
                <w:szCs w:val="21"/>
              </w:rPr>
            </w:pPr>
            <w:r>
              <w:rPr>
                <w:rFonts w:hint="eastAsia" w:ascii="宋体" w:hAnsi="宋体" w:cs="宋体"/>
                <w:color w:val="000000"/>
                <w:kern w:val="0"/>
                <w:szCs w:val="21"/>
              </w:rPr>
              <w:t xml:space="preserve"> 100≤Y＜2000</w:t>
            </w:r>
          </w:p>
        </w:tc>
        <w:tc>
          <w:tcPr>
            <w:tcW w:w="992" w:type="dxa"/>
            <w:tcBorders>
              <w:top w:val="nil"/>
              <w:left w:val="nil"/>
              <w:bottom w:val="single" w:color="auto" w:sz="4" w:space="0"/>
              <w:right w:val="nil"/>
            </w:tcBorders>
            <w:vAlign w:val="center"/>
          </w:tcPr>
          <w:p w14:paraId="783E8DC8">
            <w:pPr>
              <w:widowControl/>
              <w:jc w:val="center"/>
              <w:rPr>
                <w:rFonts w:ascii="宋体" w:hAnsi="宋体" w:cs="宋体"/>
                <w:color w:val="000000"/>
                <w:kern w:val="0"/>
                <w:szCs w:val="21"/>
              </w:rPr>
            </w:pPr>
            <w:r>
              <w:rPr>
                <w:rFonts w:hint="eastAsia" w:ascii="宋体" w:hAnsi="宋体" w:cs="宋体"/>
                <w:color w:val="000000"/>
                <w:kern w:val="0"/>
                <w:szCs w:val="21"/>
              </w:rPr>
              <w:t>Y＜100</w:t>
            </w:r>
          </w:p>
        </w:tc>
      </w:tr>
      <w:tr w14:paraId="45E744F7">
        <w:tblPrEx>
          <w:tblCellMar>
            <w:top w:w="0" w:type="dxa"/>
            <w:left w:w="108" w:type="dxa"/>
            <w:bottom w:w="0" w:type="dxa"/>
            <w:right w:w="108" w:type="dxa"/>
          </w:tblCellMar>
        </w:tblPrEx>
        <w:trPr>
          <w:trHeight w:val="397" w:hRule="exact"/>
          <w:jc w:val="center"/>
        </w:trPr>
        <w:tc>
          <w:tcPr>
            <w:tcW w:w="2113" w:type="dxa"/>
            <w:vMerge w:val="restart"/>
            <w:tcBorders>
              <w:top w:val="nil"/>
              <w:left w:val="nil"/>
              <w:bottom w:val="single" w:color="auto" w:sz="4" w:space="0"/>
              <w:right w:val="single" w:color="auto" w:sz="4" w:space="0"/>
            </w:tcBorders>
            <w:vAlign w:val="center"/>
          </w:tcPr>
          <w:p w14:paraId="728E22A5">
            <w:pPr>
              <w:widowControl/>
              <w:jc w:val="left"/>
              <w:rPr>
                <w:rFonts w:ascii="宋体" w:hAnsi="宋体" w:cs="宋体"/>
                <w:color w:val="000000"/>
                <w:kern w:val="0"/>
                <w:szCs w:val="21"/>
              </w:rPr>
            </w:pPr>
            <w:r>
              <w:rPr>
                <w:rFonts w:hint="eastAsia" w:ascii="宋体" w:hAnsi="宋体" w:cs="宋体"/>
                <w:color w:val="000000"/>
                <w:kern w:val="0"/>
                <w:szCs w:val="21"/>
              </w:rPr>
              <w:t>信息传输业 *</w:t>
            </w:r>
          </w:p>
        </w:tc>
        <w:tc>
          <w:tcPr>
            <w:tcW w:w="1369" w:type="dxa"/>
            <w:tcBorders>
              <w:top w:val="nil"/>
              <w:left w:val="nil"/>
              <w:bottom w:val="nil"/>
              <w:right w:val="single" w:color="auto" w:sz="4" w:space="0"/>
            </w:tcBorders>
            <w:vAlign w:val="center"/>
          </w:tcPr>
          <w:p w14:paraId="6EE71F2E">
            <w:pPr>
              <w:widowControl/>
              <w:jc w:val="center"/>
              <w:rPr>
                <w:rFonts w:ascii="宋体" w:hAnsi="宋体" w:cs="宋体"/>
                <w:color w:val="000000"/>
                <w:kern w:val="0"/>
                <w:szCs w:val="21"/>
              </w:rPr>
            </w:pPr>
            <w:r>
              <w:rPr>
                <w:rFonts w:hint="eastAsia" w:ascii="宋体" w:hAnsi="宋体" w:cs="宋体"/>
                <w:color w:val="000000"/>
                <w:kern w:val="0"/>
                <w:szCs w:val="21"/>
              </w:rPr>
              <w:t>从业人员(X)</w:t>
            </w:r>
          </w:p>
        </w:tc>
        <w:tc>
          <w:tcPr>
            <w:tcW w:w="709" w:type="dxa"/>
            <w:tcBorders>
              <w:top w:val="nil"/>
              <w:left w:val="nil"/>
              <w:bottom w:val="nil"/>
              <w:right w:val="single" w:color="auto" w:sz="4" w:space="0"/>
            </w:tcBorders>
            <w:vAlign w:val="center"/>
          </w:tcPr>
          <w:p w14:paraId="3D6F4E08">
            <w:pPr>
              <w:widowControl/>
              <w:jc w:val="center"/>
              <w:rPr>
                <w:rFonts w:ascii="宋体" w:hAnsi="宋体" w:cs="宋体"/>
                <w:color w:val="000000"/>
                <w:kern w:val="0"/>
                <w:szCs w:val="21"/>
              </w:rPr>
            </w:pPr>
            <w:r>
              <w:rPr>
                <w:rFonts w:hint="eastAsia" w:ascii="宋体" w:hAnsi="宋体" w:cs="宋体"/>
                <w:color w:val="000000"/>
                <w:kern w:val="0"/>
                <w:szCs w:val="21"/>
              </w:rPr>
              <w:t>人</w:t>
            </w:r>
          </w:p>
        </w:tc>
        <w:tc>
          <w:tcPr>
            <w:tcW w:w="1125" w:type="dxa"/>
            <w:tcBorders>
              <w:top w:val="nil"/>
              <w:left w:val="nil"/>
              <w:bottom w:val="nil"/>
              <w:right w:val="single" w:color="auto" w:sz="4" w:space="0"/>
            </w:tcBorders>
            <w:vAlign w:val="center"/>
          </w:tcPr>
          <w:p w14:paraId="09FF8B22">
            <w:pPr>
              <w:widowControl/>
              <w:jc w:val="center"/>
              <w:rPr>
                <w:rFonts w:ascii="宋体" w:hAnsi="宋体" w:cs="宋体"/>
                <w:color w:val="000000"/>
                <w:kern w:val="0"/>
                <w:szCs w:val="21"/>
              </w:rPr>
            </w:pPr>
            <w:r>
              <w:rPr>
                <w:rFonts w:hint="eastAsia" w:ascii="宋体" w:hAnsi="宋体" w:cs="宋体"/>
                <w:color w:val="000000"/>
                <w:kern w:val="0"/>
                <w:szCs w:val="21"/>
              </w:rPr>
              <w:t>X≥2000</w:t>
            </w:r>
          </w:p>
        </w:tc>
        <w:tc>
          <w:tcPr>
            <w:tcW w:w="1701" w:type="dxa"/>
            <w:tcBorders>
              <w:top w:val="nil"/>
              <w:left w:val="nil"/>
              <w:bottom w:val="nil"/>
              <w:right w:val="single" w:color="auto" w:sz="4" w:space="0"/>
            </w:tcBorders>
            <w:vAlign w:val="center"/>
          </w:tcPr>
          <w:p w14:paraId="7466E5F6">
            <w:pPr>
              <w:widowControl/>
              <w:jc w:val="center"/>
              <w:rPr>
                <w:rFonts w:ascii="宋体" w:hAnsi="宋体" w:cs="宋体"/>
                <w:color w:val="000000"/>
                <w:kern w:val="0"/>
                <w:szCs w:val="21"/>
              </w:rPr>
            </w:pPr>
            <w:r>
              <w:rPr>
                <w:rFonts w:hint="eastAsia" w:ascii="宋体" w:hAnsi="宋体" w:cs="宋体"/>
                <w:color w:val="000000"/>
                <w:kern w:val="0"/>
                <w:szCs w:val="21"/>
              </w:rPr>
              <w:t>100≤X＜2000</w:t>
            </w:r>
          </w:p>
        </w:tc>
        <w:tc>
          <w:tcPr>
            <w:tcW w:w="1426" w:type="dxa"/>
            <w:tcBorders>
              <w:top w:val="nil"/>
              <w:left w:val="nil"/>
              <w:bottom w:val="nil"/>
              <w:right w:val="single" w:color="auto" w:sz="4" w:space="0"/>
            </w:tcBorders>
            <w:vAlign w:val="center"/>
          </w:tcPr>
          <w:p w14:paraId="59DBE023">
            <w:pPr>
              <w:widowControl/>
              <w:jc w:val="center"/>
              <w:rPr>
                <w:rFonts w:ascii="宋体" w:hAnsi="宋体" w:cs="宋体"/>
                <w:color w:val="000000"/>
                <w:kern w:val="0"/>
                <w:szCs w:val="21"/>
              </w:rPr>
            </w:pPr>
            <w:r>
              <w:rPr>
                <w:rFonts w:hint="eastAsia" w:ascii="宋体" w:hAnsi="宋体" w:cs="宋体"/>
                <w:color w:val="000000"/>
                <w:kern w:val="0"/>
                <w:szCs w:val="21"/>
              </w:rPr>
              <w:t xml:space="preserve"> 10≤X＜100</w:t>
            </w:r>
          </w:p>
        </w:tc>
        <w:tc>
          <w:tcPr>
            <w:tcW w:w="992" w:type="dxa"/>
            <w:tcBorders>
              <w:top w:val="nil"/>
              <w:left w:val="nil"/>
              <w:bottom w:val="nil"/>
              <w:right w:val="nil"/>
            </w:tcBorders>
            <w:vAlign w:val="center"/>
          </w:tcPr>
          <w:p w14:paraId="14FDA519">
            <w:pPr>
              <w:widowControl/>
              <w:jc w:val="center"/>
              <w:rPr>
                <w:rFonts w:ascii="宋体" w:hAnsi="宋体" w:cs="宋体"/>
                <w:color w:val="000000"/>
                <w:kern w:val="0"/>
                <w:szCs w:val="21"/>
              </w:rPr>
            </w:pPr>
            <w:r>
              <w:rPr>
                <w:rFonts w:hint="eastAsia" w:ascii="宋体" w:hAnsi="宋体" w:cs="宋体"/>
                <w:color w:val="000000"/>
                <w:kern w:val="0"/>
                <w:szCs w:val="21"/>
              </w:rPr>
              <w:t>X＜10</w:t>
            </w:r>
          </w:p>
        </w:tc>
      </w:tr>
      <w:tr w14:paraId="0AF705D3">
        <w:tblPrEx>
          <w:tblCellMar>
            <w:top w:w="0" w:type="dxa"/>
            <w:left w:w="108" w:type="dxa"/>
            <w:bottom w:w="0" w:type="dxa"/>
            <w:right w:w="108" w:type="dxa"/>
          </w:tblCellMar>
        </w:tblPrEx>
        <w:trPr>
          <w:trHeight w:val="397" w:hRule="exact"/>
          <w:jc w:val="center"/>
        </w:trPr>
        <w:tc>
          <w:tcPr>
            <w:tcW w:w="2113" w:type="dxa"/>
            <w:vMerge w:val="continue"/>
            <w:tcBorders>
              <w:top w:val="nil"/>
              <w:left w:val="nil"/>
              <w:bottom w:val="single" w:color="auto" w:sz="4" w:space="0"/>
              <w:right w:val="single" w:color="auto" w:sz="4" w:space="0"/>
            </w:tcBorders>
            <w:vAlign w:val="center"/>
          </w:tcPr>
          <w:p w14:paraId="414B1318">
            <w:pPr>
              <w:widowControl/>
              <w:jc w:val="left"/>
              <w:rPr>
                <w:rFonts w:ascii="宋体" w:hAnsi="宋体" w:cs="宋体"/>
                <w:color w:val="000000"/>
                <w:kern w:val="0"/>
                <w:szCs w:val="21"/>
              </w:rPr>
            </w:pPr>
          </w:p>
        </w:tc>
        <w:tc>
          <w:tcPr>
            <w:tcW w:w="1369" w:type="dxa"/>
            <w:tcBorders>
              <w:top w:val="nil"/>
              <w:left w:val="nil"/>
              <w:bottom w:val="single" w:color="auto" w:sz="4" w:space="0"/>
              <w:right w:val="single" w:color="auto" w:sz="4" w:space="0"/>
            </w:tcBorders>
            <w:vAlign w:val="center"/>
          </w:tcPr>
          <w:p w14:paraId="3F503F19">
            <w:pPr>
              <w:widowControl/>
              <w:jc w:val="center"/>
              <w:rPr>
                <w:rFonts w:ascii="宋体" w:hAnsi="宋体" w:cs="宋体"/>
                <w:color w:val="000000"/>
                <w:kern w:val="0"/>
                <w:szCs w:val="21"/>
              </w:rPr>
            </w:pPr>
            <w:r>
              <w:rPr>
                <w:rFonts w:hint="eastAsia" w:ascii="宋体" w:hAnsi="宋体" w:cs="宋体"/>
                <w:color w:val="000000"/>
                <w:kern w:val="0"/>
                <w:szCs w:val="21"/>
              </w:rPr>
              <w:t>营业收入(Y)</w:t>
            </w:r>
          </w:p>
        </w:tc>
        <w:tc>
          <w:tcPr>
            <w:tcW w:w="709" w:type="dxa"/>
            <w:tcBorders>
              <w:top w:val="nil"/>
              <w:left w:val="nil"/>
              <w:bottom w:val="single" w:color="auto" w:sz="4" w:space="0"/>
              <w:right w:val="single" w:color="auto" w:sz="4" w:space="0"/>
            </w:tcBorders>
            <w:vAlign w:val="center"/>
          </w:tcPr>
          <w:p w14:paraId="1FC96451">
            <w:pPr>
              <w:widowControl/>
              <w:jc w:val="center"/>
              <w:rPr>
                <w:rFonts w:ascii="宋体" w:hAnsi="宋体" w:cs="宋体"/>
                <w:color w:val="000000"/>
                <w:kern w:val="0"/>
                <w:szCs w:val="21"/>
              </w:rPr>
            </w:pPr>
            <w:r>
              <w:rPr>
                <w:rFonts w:hint="eastAsia" w:ascii="宋体" w:hAnsi="宋体" w:cs="宋体"/>
                <w:color w:val="000000"/>
                <w:kern w:val="0"/>
                <w:szCs w:val="21"/>
              </w:rPr>
              <w:t>万元</w:t>
            </w:r>
          </w:p>
        </w:tc>
        <w:tc>
          <w:tcPr>
            <w:tcW w:w="1125" w:type="dxa"/>
            <w:tcBorders>
              <w:top w:val="nil"/>
              <w:left w:val="nil"/>
              <w:bottom w:val="single" w:color="auto" w:sz="4" w:space="0"/>
              <w:right w:val="single" w:color="auto" w:sz="4" w:space="0"/>
            </w:tcBorders>
            <w:vAlign w:val="center"/>
          </w:tcPr>
          <w:p w14:paraId="05609B6B">
            <w:pPr>
              <w:widowControl/>
              <w:jc w:val="center"/>
              <w:rPr>
                <w:rFonts w:ascii="宋体" w:hAnsi="宋体" w:cs="宋体"/>
                <w:color w:val="000000"/>
                <w:kern w:val="0"/>
                <w:szCs w:val="21"/>
              </w:rPr>
            </w:pPr>
            <w:r>
              <w:rPr>
                <w:rFonts w:hint="eastAsia" w:ascii="宋体" w:hAnsi="宋体" w:cs="宋体"/>
                <w:color w:val="000000"/>
                <w:kern w:val="0"/>
                <w:szCs w:val="21"/>
              </w:rPr>
              <w:t>Y≥100000</w:t>
            </w:r>
          </w:p>
        </w:tc>
        <w:tc>
          <w:tcPr>
            <w:tcW w:w="1701" w:type="dxa"/>
            <w:tcBorders>
              <w:top w:val="nil"/>
              <w:left w:val="nil"/>
              <w:bottom w:val="single" w:color="auto" w:sz="4" w:space="0"/>
              <w:right w:val="single" w:color="auto" w:sz="4" w:space="0"/>
            </w:tcBorders>
            <w:vAlign w:val="center"/>
          </w:tcPr>
          <w:p w14:paraId="620FD638">
            <w:pPr>
              <w:widowControl/>
              <w:jc w:val="center"/>
              <w:rPr>
                <w:rFonts w:ascii="宋体" w:hAnsi="宋体" w:cs="宋体"/>
                <w:color w:val="000000"/>
                <w:kern w:val="0"/>
                <w:szCs w:val="21"/>
              </w:rPr>
            </w:pPr>
            <w:r>
              <w:rPr>
                <w:rFonts w:hint="eastAsia" w:ascii="宋体" w:hAnsi="宋体" w:cs="宋体"/>
                <w:color w:val="000000"/>
                <w:kern w:val="0"/>
                <w:szCs w:val="21"/>
              </w:rPr>
              <w:t xml:space="preserve"> 1000≤Y＜100000</w:t>
            </w:r>
          </w:p>
        </w:tc>
        <w:tc>
          <w:tcPr>
            <w:tcW w:w="1426" w:type="dxa"/>
            <w:tcBorders>
              <w:top w:val="nil"/>
              <w:left w:val="nil"/>
              <w:bottom w:val="single" w:color="auto" w:sz="4" w:space="0"/>
              <w:right w:val="single" w:color="auto" w:sz="4" w:space="0"/>
            </w:tcBorders>
            <w:vAlign w:val="center"/>
          </w:tcPr>
          <w:p w14:paraId="15995C34">
            <w:pPr>
              <w:widowControl/>
              <w:jc w:val="center"/>
              <w:rPr>
                <w:rFonts w:ascii="宋体" w:hAnsi="宋体" w:cs="宋体"/>
                <w:color w:val="000000"/>
                <w:kern w:val="0"/>
                <w:szCs w:val="21"/>
              </w:rPr>
            </w:pPr>
            <w:r>
              <w:rPr>
                <w:rFonts w:hint="eastAsia" w:ascii="宋体" w:hAnsi="宋体" w:cs="宋体"/>
                <w:color w:val="000000"/>
                <w:kern w:val="0"/>
                <w:szCs w:val="21"/>
              </w:rPr>
              <w:t xml:space="preserve"> 100≤Y＜1000</w:t>
            </w:r>
          </w:p>
        </w:tc>
        <w:tc>
          <w:tcPr>
            <w:tcW w:w="992" w:type="dxa"/>
            <w:tcBorders>
              <w:top w:val="nil"/>
              <w:left w:val="nil"/>
              <w:bottom w:val="single" w:color="auto" w:sz="4" w:space="0"/>
              <w:right w:val="nil"/>
            </w:tcBorders>
            <w:vAlign w:val="center"/>
          </w:tcPr>
          <w:p w14:paraId="08FFAC0F">
            <w:pPr>
              <w:widowControl/>
              <w:jc w:val="center"/>
              <w:rPr>
                <w:rFonts w:ascii="宋体" w:hAnsi="宋体" w:cs="宋体"/>
                <w:color w:val="000000"/>
                <w:kern w:val="0"/>
                <w:szCs w:val="21"/>
              </w:rPr>
            </w:pPr>
            <w:r>
              <w:rPr>
                <w:rFonts w:hint="eastAsia" w:ascii="宋体" w:hAnsi="宋体" w:cs="宋体"/>
                <w:color w:val="000000"/>
                <w:kern w:val="0"/>
                <w:szCs w:val="21"/>
              </w:rPr>
              <w:t>Y＜100</w:t>
            </w:r>
          </w:p>
        </w:tc>
      </w:tr>
      <w:tr w14:paraId="2705A6E3">
        <w:tblPrEx>
          <w:tblCellMar>
            <w:top w:w="0" w:type="dxa"/>
            <w:left w:w="108" w:type="dxa"/>
            <w:bottom w:w="0" w:type="dxa"/>
            <w:right w:w="108" w:type="dxa"/>
          </w:tblCellMar>
        </w:tblPrEx>
        <w:trPr>
          <w:trHeight w:val="340" w:hRule="exact"/>
          <w:jc w:val="center"/>
        </w:trPr>
        <w:tc>
          <w:tcPr>
            <w:tcW w:w="2113" w:type="dxa"/>
            <w:vMerge w:val="restart"/>
            <w:tcBorders>
              <w:top w:val="single" w:color="auto" w:sz="4" w:space="0"/>
              <w:left w:val="nil"/>
              <w:bottom w:val="single" w:color="auto" w:sz="4" w:space="0"/>
              <w:right w:val="single" w:color="auto" w:sz="4" w:space="0"/>
            </w:tcBorders>
            <w:vAlign w:val="center"/>
          </w:tcPr>
          <w:p w14:paraId="127DBAC3">
            <w:pPr>
              <w:widowControl/>
              <w:jc w:val="left"/>
              <w:rPr>
                <w:rFonts w:ascii="宋体" w:hAnsi="宋体" w:cs="宋体"/>
                <w:color w:val="000000"/>
                <w:spacing w:val="-12"/>
                <w:kern w:val="0"/>
                <w:szCs w:val="21"/>
              </w:rPr>
            </w:pPr>
            <w:r>
              <w:rPr>
                <w:rFonts w:hint="eastAsia" w:ascii="宋体" w:hAnsi="宋体" w:cs="宋体"/>
                <w:color w:val="000000"/>
                <w:spacing w:val="-12"/>
                <w:kern w:val="0"/>
                <w:szCs w:val="21"/>
              </w:rPr>
              <w:t>软件和信息技术服</w:t>
            </w:r>
            <w:r>
              <w:rPr>
                <w:rFonts w:hint="eastAsia" w:ascii="宋体" w:hAnsi="宋体" w:cs="宋体"/>
                <w:color w:val="000000"/>
                <w:kern w:val="0"/>
                <w:szCs w:val="21"/>
              </w:rPr>
              <w:t>务业</w:t>
            </w:r>
          </w:p>
        </w:tc>
        <w:tc>
          <w:tcPr>
            <w:tcW w:w="1369" w:type="dxa"/>
            <w:tcBorders>
              <w:top w:val="nil"/>
              <w:left w:val="nil"/>
              <w:bottom w:val="nil"/>
              <w:right w:val="single" w:color="auto" w:sz="4" w:space="0"/>
            </w:tcBorders>
            <w:vAlign w:val="center"/>
          </w:tcPr>
          <w:p w14:paraId="1C383843">
            <w:pPr>
              <w:widowControl/>
              <w:jc w:val="center"/>
              <w:rPr>
                <w:rFonts w:ascii="宋体" w:hAnsi="宋体" w:cs="宋体"/>
                <w:color w:val="000000"/>
                <w:kern w:val="0"/>
                <w:szCs w:val="21"/>
              </w:rPr>
            </w:pPr>
            <w:r>
              <w:rPr>
                <w:rFonts w:hint="eastAsia" w:ascii="宋体" w:hAnsi="宋体" w:cs="宋体"/>
                <w:color w:val="000000"/>
                <w:kern w:val="0"/>
                <w:szCs w:val="21"/>
              </w:rPr>
              <w:t>从业人员(X)</w:t>
            </w:r>
          </w:p>
        </w:tc>
        <w:tc>
          <w:tcPr>
            <w:tcW w:w="709" w:type="dxa"/>
            <w:tcBorders>
              <w:top w:val="nil"/>
              <w:left w:val="nil"/>
              <w:bottom w:val="nil"/>
              <w:right w:val="single" w:color="auto" w:sz="4" w:space="0"/>
            </w:tcBorders>
            <w:vAlign w:val="center"/>
          </w:tcPr>
          <w:p w14:paraId="67AD989B">
            <w:pPr>
              <w:widowControl/>
              <w:jc w:val="center"/>
              <w:rPr>
                <w:rFonts w:ascii="宋体" w:hAnsi="宋体" w:cs="宋体"/>
                <w:color w:val="000000"/>
                <w:kern w:val="0"/>
                <w:szCs w:val="21"/>
              </w:rPr>
            </w:pPr>
            <w:r>
              <w:rPr>
                <w:rFonts w:hint="eastAsia" w:ascii="宋体" w:hAnsi="宋体" w:cs="宋体"/>
                <w:color w:val="000000"/>
                <w:kern w:val="0"/>
                <w:szCs w:val="21"/>
              </w:rPr>
              <w:t>人</w:t>
            </w:r>
          </w:p>
        </w:tc>
        <w:tc>
          <w:tcPr>
            <w:tcW w:w="1125" w:type="dxa"/>
            <w:tcBorders>
              <w:top w:val="nil"/>
              <w:left w:val="nil"/>
              <w:bottom w:val="nil"/>
              <w:right w:val="single" w:color="auto" w:sz="4" w:space="0"/>
            </w:tcBorders>
            <w:vAlign w:val="center"/>
          </w:tcPr>
          <w:p w14:paraId="6C6BF35D">
            <w:pPr>
              <w:widowControl/>
              <w:jc w:val="center"/>
              <w:rPr>
                <w:rFonts w:ascii="宋体" w:hAnsi="宋体" w:cs="宋体"/>
                <w:color w:val="000000"/>
                <w:kern w:val="0"/>
                <w:szCs w:val="21"/>
              </w:rPr>
            </w:pPr>
            <w:r>
              <w:rPr>
                <w:rFonts w:hint="eastAsia" w:ascii="宋体" w:hAnsi="宋体" w:cs="宋体"/>
                <w:color w:val="000000"/>
                <w:kern w:val="0"/>
                <w:szCs w:val="21"/>
              </w:rPr>
              <w:t>X≥300</w:t>
            </w:r>
          </w:p>
        </w:tc>
        <w:tc>
          <w:tcPr>
            <w:tcW w:w="1701" w:type="dxa"/>
            <w:tcBorders>
              <w:top w:val="nil"/>
              <w:left w:val="nil"/>
              <w:bottom w:val="nil"/>
              <w:right w:val="single" w:color="auto" w:sz="4" w:space="0"/>
            </w:tcBorders>
            <w:vAlign w:val="center"/>
          </w:tcPr>
          <w:p w14:paraId="09BAF2E7">
            <w:pPr>
              <w:widowControl/>
              <w:ind w:left="19" w:leftChars="-51" w:hanging="126" w:hangingChars="60"/>
              <w:jc w:val="center"/>
              <w:rPr>
                <w:rFonts w:ascii="宋体" w:hAnsi="宋体" w:cs="宋体"/>
                <w:color w:val="000000"/>
                <w:kern w:val="0"/>
                <w:szCs w:val="21"/>
              </w:rPr>
            </w:pPr>
            <w:r>
              <w:rPr>
                <w:rFonts w:hint="eastAsia" w:ascii="宋体" w:hAnsi="宋体" w:cs="宋体"/>
                <w:color w:val="000000"/>
                <w:kern w:val="0"/>
                <w:szCs w:val="21"/>
              </w:rPr>
              <w:t xml:space="preserve">100≤X＜300 </w:t>
            </w:r>
          </w:p>
        </w:tc>
        <w:tc>
          <w:tcPr>
            <w:tcW w:w="1426" w:type="dxa"/>
            <w:tcBorders>
              <w:top w:val="nil"/>
              <w:left w:val="nil"/>
              <w:bottom w:val="nil"/>
              <w:right w:val="single" w:color="auto" w:sz="4" w:space="0"/>
            </w:tcBorders>
            <w:vAlign w:val="center"/>
          </w:tcPr>
          <w:p w14:paraId="17769B52">
            <w:pPr>
              <w:widowControl/>
              <w:jc w:val="center"/>
              <w:rPr>
                <w:rFonts w:ascii="宋体" w:hAnsi="宋体" w:cs="宋体"/>
                <w:color w:val="000000"/>
                <w:kern w:val="0"/>
                <w:szCs w:val="21"/>
              </w:rPr>
            </w:pPr>
            <w:r>
              <w:rPr>
                <w:rFonts w:hint="eastAsia" w:ascii="宋体" w:hAnsi="宋体" w:cs="宋体"/>
                <w:color w:val="000000"/>
                <w:kern w:val="0"/>
                <w:szCs w:val="21"/>
              </w:rPr>
              <w:t xml:space="preserve"> 10≤X＜100</w:t>
            </w:r>
          </w:p>
        </w:tc>
        <w:tc>
          <w:tcPr>
            <w:tcW w:w="992" w:type="dxa"/>
            <w:tcBorders>
              <w:top w:val="nil"/>
              <w:left w:val="nil"/>
              <w:bottom w:val="nil"/>
              <w:right w:val="nil"/>
            </w:tcBorders>
            <w:vAlign w:val="center"/>
          </w:tcPr>
          <w:p w14:paraId="01D4C70A">
            <w:pPr>
              <w:widowControl/>
              <w:jc w:val="center"/>
              <w:rPr>
                <w:rFonts w:ascii="宋体" w:hAnsi="宋体" w:cs="宋体"/>
                <w:color w:val="000000"/>
                <w:kern w:val="0"/>
                <w:szCs w:val="21"/>
              </w:rPr>
            </w:pPr>
            <w:r>
              <w:rPr>
                <w:rFonts w:hint="eastAsia" w:ascii="宋体" w:hAnsi="宋体" w:cs="宋体"/>
                <w:color w:val="000000"/>
                <w:kern w:val="0"/>
                <w:szCs w:val="21"/>
              </w:rPr>
              <w:t>X＜10</w:t>
            </w:r>
          </w:p>
        </w:tc>
      </w:tr>
      <w:tr w14:paraId="3A81D107">
        <w:tblPrEx>
          <w:tblCellMar>
            <w:top w:w="0" w:type="dxa"/>
            <w:left w:w="108" w:type="dxa"/>
            <w:bottom w:w="0" w:type="dxa"/>
            <w:right w:w="108" w:type="dxa"/>
          </w:tblCellMar>
        </w:tblPrEx>
        <w:trPr>
          <w:trHeight w:val="340" w:hRule="exact"/>
          <w:jc w:val="center"/>
        </w:trPr>
        <w:tc>
          <w:tcPr>
            <w:tcW w:w="2113" w:type="dxa"/>
            <w:vMerge w:val="continue"/>
            <w:tcBorders>
              <w:top w:val="single" w:color="auto" w:sz="4" w:space="0"/>
              <w:left w:val="nil"/>
              <w:bottom w:val="single" w:color="auto" w:sz="4" w:space="0"/>
              <w:right w:val="single" w:color="auto" w:sz="4" w:space="0"/>
            </w:tcBorders>
            <w:vAlign w:val="center"/>
          </w:tcPr>
          <w:p w14:paraId="70F2E357">
            <w:pPr>
              <w:widowControl/>
              <w:jc w:val="left"/>
              <w:rPr>
                <w:rFonts w:ascii="宋体" w:hAnsi="宋体" w:cs="宋体"/>
                <w:color w:val="000000"/>
                <w:spacing w:val="-12"/>
                <w:kern w:val="0"/>
                <w:szCs w:val="21"/>
              </w:rPr>
            </w:pPr>
          </w:p>
        </w:tc>
        <w:tc>
          <w:tcPr>
            <w:tcW w:w="1369" w:type="dxa"/>
            <w:tcBorders>
              <w:top w:val="nil"/>
              <w:left w:val="nil"/>
              <w:bottom w:val="single" w:color="auto" w:sz="4" w:space="0"/>
              <w:right w:val="single" w:color="auto" w:sz="4" w:space="0"/>
            </w:tcBorders>
            <w:vAlign w:val="center"/>
          </w:tcPr>
          <w:p w14:paraId="4D03A71B">
            <w:pPr>
              <w:widowControl/>
              <w:jc w:val="center"/>
              <w:rPr>
                <w:rFonts w:ascii="宋体" w:hAnsi="宋体" w:cs="宋体"/>
                <w:color w:val="000000"/>
                <w:kern w:val="0"/>
                <w:szCs w:val="21"/>
              </w:rPr>
            </w:pPr>
            <w:r>
              <w:rPr>
                <w:rFonts w:hint="eastAsia" w:ascii="宋体" w:hAnsi="宋体" w:cs="宋体"/>
                <w:color w:val="000000"/>
                <w:kern w:val="0"/>
                <w:szCs w:val="21"/>
              </w:rPr>
              <w:t>营业收入(Y)</w:t>
            </w:r>
          </w:p>
        </w:tc>
        <w:tc>
          <w:tcPr>
            <w:tcW w:w="709" w:type="dxa"/>
            <w:tcBorders>
              <w:top w:val="nil"/>
              <w:left w:val="nil"/>
              <w:bottom w:val="single" w:color="auto" w:sz="4" w:space="0"/>
              <w:right w:val="single" w:color="auto" w:sz="4" w:space="0"/>
            </w:tcBorders>
            <w:vAlign w:val="center"/>
          </w:tcPr>
          <w:p w14:paraId="18373479">
            <w:pPr>
              <w:widowControl/>
              <w:jc w:val="center"/>
              <w:rPr>
                <w:rFonts w:ascii="宋体" w:hAnsi="宋体" w:cs="宋体"/>
                <w:color w:val="000000"/>
                <w:kern w:val="0"/>
                <w:szCs w:val="21"/>
              </w:rPr>
            </w:pPr>
            <w:r>
              <w:rPr>
                <w:rFonts w:hint="eastAsia" w:ascii="宋体" w:hAnsi="宋体" w:cs="宋体"/>
                <w:color w:val="000000"/>
                <w:kern w:val="0"/>
                <w:szCs w:val="21"/>
              </w:rPr>
              <w:t>万元</w:t>
            </w:r>
          </w:p>
        </w:tc>
        <w:tc>
          <w:tcPr>
            <w:tcW w:w="1125" w:type="dxa"/>
            <w:tcBorders>
              <w:top w:val="nil"/>
              <w:left w:val="nil"/>
              <w:bottom w:val="single" w:color="auto" w:sz="4" w:space="0"/>
              <w:right w:val="single" w:color="auto" w:sz="4" w:space="0"/>
            </w:tcBorders>
            <w:vAlign w:val="center"/>
          </w:tcPr>
          <w:p w14:paraId="7DEF03F9">
            <w:pPr>
              <w:widowControl/>
              <w:jc w:val="center"/>
              <w:rPr>
                <w:rFonts w:ascii="宋体" w:hAnsi="宋体" w:cs="宋体"/>
                <w:color w:val="000000"/>
                <w:kern w:val="0"/>
                <w:szCs w:val="21"/>
              </w:rPr>
            </w:pPr>
            <w:r>
              <w:rPr>
                <w:rFonts w:hint="eastAsia" w:ascii="宋体" w:hAnsi="宋体" w:cs="宋体"/>
                <w:color w:val="000000"/>
                <w:kern w:val="0"/>
                <w:szCs w:val="21"/>
              </w:rPr>
              <w:t>Y≥10000</w:t>
            </w:r>
          </w:p>
        </w:tc>
        <w:tc>
          <w:tcPr>
            <w:tcW w:w="1701" w:type="dxa"/>
            <w:tcBorders>
              <w:top w:val="nil"/>
              <w:left w:val="nil"/>
              <w:bottom w:val="single" w:color="auto" w:sz="4" w:space="0"/>
              <w:right w:val="single" w:color="auto" w:sz="4" w:space="0"/>
            </w:tcBorders>
            <w:vAlign w:val="center"/>
          </w:tcPr>
          <w:p w14:paraId="3C021EE7">
            <w:pPr>
              <w:widowControl/>
              <w:jc w:val="center"/>
              <w:rPr>
                <w:rFonts w:ascii="宋体" w:hAnsi="宋体" w:cs="宋体"/>
                <w:color w:val="000000"/>
                <w:kern w:val="0"/>
                <w:szCs w:val="21"/>
              </w:rPr>
            </w:pPr>
            <w:r>
              <w:rPr>
                <w:rFonts w:hint="eastAsia" w:ascii="宋体" w:hAnsi="宋体" w:cs="宋体"/>
                <w:color w:val="000000"/>
                <w:kern w:val="0"/>
                <w:szCs w:val="21"/>
              </w:rPr>
              <w:t>1000≤Y＜10000</w:t>
            </w:r>
          </w:p>
        </w:tc>
        <w:tc>
          <w:tcPr>
            <w:tcW w:w="1426" w:type="dxa"/>
            <w:tcBorders>
              <w:top w:val="nil"/>
              <w:left w:val="nil"/>
              <w:bottom w:val="single" w:color="auto" w:sz="4" w:space="0"/>
              <w:right w:val="single" w:color="auto" w:sz="4" w:space="0"/>
            </w:tcBorders>
            <w:vAlign w:val="center"/>
          </w:tcPr>
          <w:p w14:paraId="0C2CBC02">
            <w:pPr>
              <w:widowControl/>
              <w:jc w:val="center"/>
              <w:rPr>
                <w:rFonts w:ascii="宋体" w:hAnsi="宋体" w:cs="宋体"/>
                <w:color w:val="000000"/>
                <w:kern w:val="0"/>
                <w:szCs w:val="21"/>
              </w:rPr>
            </w:pPr>
            <w:r>
              <w:rPr>
                <w:rFonts w:hint="eastAsia" w:ascii="宋体" w:hAnsi="宋体" w:cs="宋体"/>
                <w:color w:val="000000"/>
                <w:kern w:val="0"/>
                <w:szCs w:val="21"/>
              </w:rPr>
              <w:t xml:space="preserve">  50≤Y＜1000</w:t>
            </w:r>
          </w:p>
        </w:tc>
        <w:tc>
          <w:tcPr>
            <w:tcW w:w="992" w:type="dxa"/>
            <w:tcBorders>
              <w:top w:val="nil"/>
              <w:left w:val="nil"/>
              <w:bottom w:val="single" w:color="auto" w:sz="4" w:space="0"/>
              <w:right w:val="nil"/>
            </w:tcBorders>
            <w:vAlign w:val="center"/>
          </w:tcPr>
          <w:p w14:paraId="486F595C">
            <w:pPr>
              <w:widowControl/>
              <w:jc w:val="center"/>
              <w:rPr>
                <w:rFonts w:ascii="宋体" w:hAnsi="宋体" w:cs="宋体"/>
                <w:color w:val="000000"/>
                <w:kern w:val="0"/>
                <w:szCs w:val="21"/>
              </w:rPr>
            </w:pPr>
            <w:r>
              <w:rPr>
                <w:rFonts w:hint="eastAsia" w:ascii="宋体" w:hAnsi="宋体" w:cs="宋体"/>
                <w:color w:val="000000"/>
                <w:kern w:val="0"/>
                <w:szCs w:val="21"/>
              </w:rPr>
              <w:t>Y＜50</w:t>
            </w:r>
          </w:p>
        </w:tc>
      </w:tr>
      <w:tr w14:paraId="531FF624">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vAlign w:val="center"/>
          </w:tcPr>
          <w:p w14:paraId="5790AB49">
            <w:pPr>
              <w:widowControl/>
              <w:jc w:val="left"/>
              <w:rPr>
                <w:rFonts w:ascii="宋体" w:hAnsi="宋体" w:cs="宋体"/>
                <w:color w:val="000000"/>
                <w:kern w:val="0"/>
                <w:szCs w:val="21"/>
              </w:rPr>
            </w:pPr>
            <w:r>
              <w:rPr>
                <w:rFonts w:hint="eastAsia" w:ascii="宋体" w:hAnsi="宋体" w:cs="宋体"/>
                <w:color w:val="000000"/>
                <w:kern w:val="0"/>
                <w:szCs w:val="21"/>
              </w:rPr>
              <w:t>房地产开发经营</w:t>
            </w:r>
          </w:p>
        </w:tc>
        <w:tc>
          <w:tcPr>
            <w:tcW w:w="1369" w:type="dxa"/>
            <w:tcBorders>
              <w:top w:val="nil"/>
              <w:left w:val="nil"/>
              <w:bottom w:val="nil"/>
              <w:right w:val="single" w:color="auto" w:sz="4" w:space="0"/>
            </w:tcBorders>
            <w:vAlign w:val="center"/>
          </w:tcPr>
          <w:p w14:paraId="7715E9DA">
            <w:pPr>
              <w:widowControl/>
              <w:jc w:val="center"/>
              <w:rPr>
                <w:rFonts w:ascii="宋体" w:hAnsi="宋体" w:cs="宋体"/>
                <w:color w:val="000000"/>
                <w:kern w:val="0"/>
                <w:szCs w:val="21"/>
              </w:rPr>
            </w:pPr>
            <w:r>
              <w:rPr>
                <w:rFonts w:hint="eastAsia" w:ascii="宋体" w:hAnsi="宋体" w:cs="宋体"/>
                <w:color w:val="000000"/>
                <w:kern w:val="0"/>
                <w:szCs w:val="21"/>
              </w:rPr>
              <w:t>营业收入(Y)</w:t>
            </w:r>
          </w:p>
        </w:tc>
        <w:tc>
          <w:tcPr>
            <w:tcW w:w="709" w:type="dxa"/>
            <w:tcBorders>
              <w:top w:val="nil"/>
              <w:left w:val="nil"/>
              <w:bottom w:val="nil"/>
              <w:right w:val="single" w:color="auto" w:sz="4" w:space="0"/>
            </w:tcBorders>
            <w:vAlign w:val="center"/>
          </w:tcPr>
          <w:p w14:paraId="517986FA">
            <w:pPr>
              <w:widowControl/>
              <w:jc w:val="center"/>
              <w:rPr>
                <w:rFonts w:ascii="宋体" w:hAnsi="宋体" w:cs="宋体"/>
                <w:color w:val="000000"/>
                <w:kern w:val="0"/>
                <w:szCs w:val="21"/>
              </w:rPr>
            </w:pPr>
            <w:r>
              <w:rPr>
                <w:rFonts w:hint="eastAsia" w:ascii="宋体" w:hAnsi="宋体" w:cs="宋体"/>
                <w:color w:val="000000"/>
                <w:kern w:val="0"/>
                <w:szCs w:val="21"/>
              </w:rPr>
              <w:t>万元</w:t>
            </w:r>
          </w:p>
        </w:tc>
        <w:tc>
          <w:tcPr>
            <w:tcW w:w="1125" w:type="dxa"/>
            <w:tcBorders>
              <w:top w:val="nil"/>
              <w:left w:val="nil"/>
              <w:bottom w:val="nil"/>
              <w:right w:val="single" w:color="auto" w:sz="4" w:space="0"/>
            </w:tcBorders>
            <w:vAlign w:val="center"/>
          </w:tcPr>
          <w:p w14:paraId="1ED07585">
            <w:pPr>
              <w:widowControl/>
              <w:jc w:val="center"/>
              <w:rPr>
                <w:rFonts w:ascii="宋体" w:hAnsi="宋体" w:cs="宋体"/>
                <w:color w:val="000000"/>
                <w:kern w:val="0"/>
                <w:szCs w:val="21"/>
              </w:rPr>
            </w:pPr>
            <w:r>
              <w:rPr>
                <w:rFonts w:hint="eastAsia" w:ascii="宋体" w:hAnsi="宋体" w:cs="宋体"/>
                <w:color w:val="000000"/>
                <w:kern w:val="0"/>
                <w:szCs w:val="21"/>
              </w:rPr>
              <w:t>Y≥200000</w:t>
            </w:r>
          </w:p>
        </w:tc>
        <w:tc>
          <w:tcPr>
            <w:tcW w:w="1701" w:type="dxa"/>
            <w:tcBorders>
              <w:top w:val="nil"/>
              <w:left w:val="nil"/>
              <w:bottom w:val="nil"/>
              <w:right w:val="single" w:color="auto" w:sz="4" w:space="0"/>
            </w:tcBorders>
            <w:vAlign w:val="center"/>
          </w:tcPr>
          <w:p w14:paraId="33DD7462">
            <w:pPr>
              <w:widowControl/>
              <w:jc w:val="center"/>
              <w:rPr>
                <w:rFonts w:ascii="宋体" w:hAnsi="宋体" w:cs="宋体"/>
                <w:color w:val="000000"/>
                <w:kern w:val="0"/>
                <w:szCs w:val="21"/>
              </w:rPr>
            </w:pPr>
            <w:r>
              <w:rPr>
                <w:rFonts w:hint="eastAsia" w:ascii="宋体" w:hAnsi="宋体" w:cs="宋体"/>
                <w:color w:val="000000"/>
                <w:kern w:val="0"/>
                <w:szCs w:val="21"/>
              </w:rPr>
              <w:t xml:space="preserve"> 1000≤Y＜200000</w:t>
            </w:r>
          </w:p>
        </w:tc>
        <w:tc>
          <w:tcPr>
            <w:tcW w:w="1426" w:type="dxa"/>
            <w:tcBorders>
              <w:top w:val="nil"/>
              <w:left w:val="nil"/>
              <w:bottom w:val="nil"/>
              <w:right w:val="single" w:color="auto" w:sz="4" w:space="0"/>
            </w:tcBorders>
            <w:vAlign w:val="center"/>
          </w:tcPr>
          <w:p w14:paraId="2DEA9873">
            <w:pPr>
              <w:widowControl/>
              <w:jc w:val="center"/>
              <w:rPr>
                <w:rFonts w:ascii="宋体" w:hAnsi="宋体" w:cs="宋体"/>
                <w:color w:val="000000"/>
                <w:kern w:val="0"/>
                <w:szCs w:val="21"/>
              </w:rPr>
            </w:pPr>
            <w:r>
              <w:rPr>
                <w:rFonts w:hint="eastAsia" w:ascii="宋体" w:hAnsi="宋体" w:cs="宋体"/>
                <w:color w:val="000000"/>
                <w:kern w:val="0"/>
                <w:szCs w:val="21"/>
              </w:rPr>
              <w:t xml:space="preserve"> 100≤Y＜1000</w:t>
            </w:r>
          </w:p>
        </w:tc>
        <w:tc>
          <w:tcPr>
            <w:tcW w:w="992" w:type="dxa"/>
            <w:tcBorders>
              <w:top w:val="nil"/>
              <w:left w:val="nil"/>
              <w:bottom w:val="nil"/>
              <w:right w:val="nil"/>
            </w:tcBorders>
            <w:vAlign w:val="center"/>
          </w:tcPr>
          <w:p w14:paraId="510C07C3">
            <w:pPr>
              <w:widowControl/>
              <w:jc w:val="center"/>
              <w:rPr>
                <w:rFonts w:ascii="宋体" w:hAnsi="宋体" w:cs="宋体"/>
                <w:color w:val="000000"/>
                <w:kern w:val="0"/>
                <w:szCs w:val="21"/>
              </w:rPr>
            </w:pPr>
            <w:r>
              <w:rPr>
                <w:rFonts w:hint="eastAsia" w:ascii="宋体" w:hAnsi="宋体" w:cs="宋体"/>
                <w:color w:val="000000"/>
                <w:kern w:val="0"/>
                <w:szCs w:val="21"/>
              </w:rPr>
              <w:t>Y＜100</w:t>
            </w:r>
          </w:p>
        </w:tc>
      </w:tr>
      <w:tr w14:paraId="6499C52B">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316D0467">
            <w:pPr>
              <w:widowControl/>
              <w:jc w:val="left"/>
              <w:rPr>
                <w:rFonts w:ascii="宋体" w:hAnsi="宋体" w:cs="宋体"/>
                <w:color w:val="000000"/>
                <w:kern w:val="0"/>
                <w:szCs w:val="21"/>
              </w:rPr>
            </w:pPr>
          </w:p>
        </w:tc>
        <w:tc>
          <w:tcPr>
            <w:tcW w:w="1369" w:type="dxa"/>
            <w:tcBorders>
              <w:top w:val="nil"/>
              <w:left w:val="nil"/>
              <w:bottom w:val="single" w:color="auto" w:sz="4" w:space="0"/>
              <w:right w:val="single" w:color="auto" w:sz="4" w:space="0"/>
            </w:tcBorders>
            <w:vAlign w:val="center"/>
          </w:tcPr>
          <w:p w14:paraId="37914FEF">
            <w:pPr>
              <w:widowControl/>
              <w:jc w:val="center"/>
              <w:rPr>
                <w:rFonts w:ascii="宋体" w:hAnsi="宋体" w:cs="宋体"/>
                <w:color w:val="000000"/>
                <w:kern w:val="0"/>
                <w:szCs w:val="21"/>
              </w:rPr>
            </w:pPr>
            <w:r>
              <w:rPr>
                <w:rFonts w:hint="eastAsia" w:ascii="宋体" w:hAnsi="宋体" w:cs="宋体"/>
                <w:color w:val="000000"/>
                <w:kern w:val="0"/>
                <w:szCs w:val="21"/>
              </w:rPr>
              <w:t>资产总额(Z)</w:t>
            </w:r>
          </w:p>
        </w:tc>
        <w:tc>
          <w:tcPr>
            <w:tcW w:w="709" w:type="dxa"/>
            <w:tcBorders>
              <w:top w:val="nil"/>
              <w:left w:val="nil"/>
              <w:bottom w:val="single" w:color="auto" w:sz="4" w:space="0"/>
              <w:right w:val="single" w:color="auto" w:sz="4" w:space="0"/>
            </w:tcBorders>
            <w:vAlign w:val="center"/>
          </w:tcPr>
          <w:p w14:paraId="4521A1BF">
            <w:pPr>
              <w:widowControl/>
              <w:jc w:val="center"/>
              <w:rPr>
                <w:rFonts w:ascii="宋体" w:hAnsi="宋体" w:cs="宋体"/>
                <w:color w:val="000000"/>
                <w:kern w:val="0"/>
                <w:szCs w:val="21"/>
              </w:rPr>
            </w:pPr>
            <w:r>
              <w:rPr>
                <w:rFonts w:hint="eastAsia" w:ascii="宋体" w:hAnsi="宋体" w:cs="宋体"/>
                <w:color w:val="000000"/>
                <w:kern w:val="0"/>
                <w:szCs w:val="21"/>
              </w:rPr>
              <w:t>万元</w:t>
            </w:r>
          </w:p>
        </w:tc>
        <w:tc>
          <w:tcPr>
            <w:tcW w:w="1125" w:type="dxa"/>
            <w:tcBorders>
              <w:top w:val="nil"/>
              <w:left w:val="nil"/>
              <w:bottom w:val="single" w:color="auto" w:sz="4" w:space="0"/>
              <w:right w:val="single" w:color="auto" w:sz="4" w:space="0"/>
            </w:tcBorders>
            <w:vAlign w:val="center"/>
          </w:tcPr>
          <w:p w14:paraId="088E075E">
            <w:pPr>
              <w:widowControl/>
              <w:jc w:val="center"/>
              <w:rPr>
                <w:rFonts w:ascii="宋体" w:hAnsi="宋体" w:cs="宋体"/>
                <w:color w:val="000000"/>
                <w:kern w:val="0"/>
                <w:szCs w:val="21"/>
              </w:rPr>
            </w:pPr>
            <w:r>
              <w:rPr>
                <w:rFonts w:hint="eastAsia" w:ascii="宋体" w:hAnsi="宋体" w:cs="宋体"/>
                <w:color w:val="000000"/>
                <w:kern w:val="0"/>
                <w:szCs w:val="21"/>
              </w:rPr>
              <w:t>Z≥10000</w:t>
            </w:r>
          </w:p>
        </w:tc>
        <w:tc>
          <w:tcPr>
            <w:tcW w:w="1701" w:type="dxa"/>
            <w:tcBorders>
              <w:top w:val="nil"/>
              <w:left w:val="nil"/>
              <w:bottom w:val="single" w:color="auto" w:sz="4" w:space="0"/>
              <w:right w:val="single" w:color="auto" w:sz="4" w:space="0"/>
            </w:tcBorders>
            <w:vAlign w:val="center"/>
          </w:tcPr>
          <w:p w14:paraId="449E7096">
            <w:pPr>
              <w:widowControl/>
              <w:jc w:val="center"/>
              <w:rPr>
                <w:rFonts w:ascii="宋体" w:hAnsi="宋体" w:cs="宋体"/>
                <w:color w:val="000000"/>
                <w:kern w:val="0"/>
                <w:szCs w:val="21"/>
              </w:rPr>
            </w:pPr>
            <w:r>
              <w:rPr>
                <w:rFonts w:hint="eastAsia" w:ascii="宋体" w:hAnsi="宋体" w:cs="宋体"/>
                <w:color w:val="000000"/>
                <w:kern w:val="0"/>
                <w:szCs w:val="21"/>
              </w:rPr>
              <w:t>5000≤Z＜10000</w:t>
            </w:r>
          </w:p>
        </w:tc>
        <w:tc>
          <w:tcPr>
            <w:tcW w:w="1426" w:type="dxa"/>
            <w:tcBorders>
              <w:top w:val="nil"/>
              <w:left w:val="nil"/>
              <w:bottom w:val="single" w:color="auto" w:sz="4" w:space="0"/>
              <w:right w:val="single" w:color="auto" w:sz="4" w:space="0"/>
            </w:tcBorders>
            <w:vAlign w:val="center"/>
          </w:tcPr>
          <w:p w14:paraId="3CBC72C3">
            <w:pPr>
              <w:widowControl/>
              <w:jc w:val="center"/>
              <w:rPr>
                <w:rFonts w:ascii="宋体" w:hAnsi="宋体" w:cs="宋体"/>
                <w:color w:val="000000"/>
                <w:kern w:val="0"/>
                <w:szCs w:val="21"/>
              </w:rPr>
            </w:pPr>
            <w:r>
              <w:rPr>
                <w:rFonts w:hint="eastAsia" w:ascii="宋体" w:hAnsi="宋体" w:cs="宋体"/>
                <w:color w:val="000000"/>
                <w:kern w:val="0"/>
                <w:szCs w:val="21"/>
              </w:rPr>
              <w:t xml:space="preserve">2000≤Z＜5000   </w:t>
            </w:r>
          </w:p>
        </w:tc>
        <w:tc>
          <w:tcPr>
            <w:tcW w:w="992" w:type="dxa"/>
            <w:tcBorders>
              <w:top w:val="nil"/>
              <w:left w:val="nil"/>
              <w:bottom w:val="single" w:color="auto" w:sz="4" w:space="0"/>
              <w:right w:val="nil"/>
            </w:tcBorders>
            <w:vAlign w:val="center"/>
          </w:tcPr>
          <w:p w14:paraId="47E3155B">
            <w:pPr>
              <w:widowControl/>
              <w:jc w:val="center"/>
              <w:rPr>
                <w:rFonts w:ascii="宋体" w:hAnsi="宋体" w:cs="宋体"/>
                <w:color w:val="000000"/>
                <w:kern w:val="0"/>
                <w:szCs w:val="21"/>
              </w:rPr>
            </w:pPr>
            <w:r>
              <w:rPr>
                <w:rFonts w:hint="eastAsia" w:ascii="宋体" w:hAnsi="宋体" w:cs="宋体"/>
                <w:color w:val="000000"/>
                <w:kern w:val="0"/>
                <w:szCs w:val="21"/>
              </w:rPr>
              <w:t>Z＜2000</w:t>
            </w:r>
          </w:p>
        </w:tc>
      </w:tr>
      <w:tr w14:paraId="30BA6444">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vAlign w:val="center"/>
          </w:tcPr>
          <w:p w14:paraId="6A518690">
            <w:pPr>
              <w:widowControl/>
              <w:jc w:val="left"/>
              <w:rPr>
                <w:rFonts w:ascii="宋体" w:hAnsi="宋体" w:cs="宋体"/>
                <w:color w:val="000000"/>
                <w:kern w:val="0"/>
                <w:szCs w:val="21"/>
              </w:rPr>
            </w:pPr>
            <w:r>
              <w:rPr>
                <w:rFonts w:hint="eastAsia" w:ascii="宋体" w:hAnsi="宋体" w:cs="宋体"/>
                <w:color w:val="000000"/>
                <w:kern w:val="0"/>
                <w:szCs w:val="21"/>
              </w:rPr>
              <w:t>物业管理</w:t>
            </w:r>
          </w:p>
        </w:tc>
        <w:tc>
          <w:tcPr>
            <w:tcW w:w="1369" w:type="dxa"/>
            <w:tcBorders>
              <w:top w:val="nil"/>
              <w:left w:val="nil"/>
              <w:bottom w:val="nil"/>
              <w:right w:val="single" w:color="auto" w:sz="4" w:space="0"/>
            </w:tcBorders>
            <w:vAlign w:val="center"/>
          </w:tcPr>
          <w:p w14:paraId="08E18D08">
            <w:pPr>
              <w:widowControl/>
              <w:jc w:val="center"/>
              <w:rPr>
                <w:rFonts w:ascii="宋体" w:hAnsi="宋体" w:cs="宋体"/>
                <w:color w:val="000000"/>
                <w:kern w:val="0"/>
                <w:szCs w:val="21"/>
              </w:rPr>
            </w:pPr>
            <w:r>
              <w:rPr>
                <w:rFonts w:hint="eastAsia" w:ascii="宋体" w:hAnsi="宋体" w:cs="宋体"/>
                <w:color w:val="000000"/>
                <w:kern w:val="0"/>
                <w:szCs w:val="21"/>
              </w:rPr>
              <w:t>从业人员(X)</w:t>
            </w:r>
          </w:p>
        </w:tc>
        <w:tc>
          <w:tcPr>
            <w:tcW w:w="709" w:type="dxa"/>
            <w:tcBorders>
              <w:top w:val="nil"/>
              <w:left w:val="nil"/>
              <w:bottom w:val="nil"/>
              <w:right w:val="single" w:color="auto" w:sz="4" w:space="0"/>
            </w:tcBorders>
            <w:vAlign w:val="center"/>
          </w:tcPr>
          <w:p w14:paraId="2FC07BDE">
            <w:pPr>
              <w:widowControl/>
              <w:jc w:val="center"/>
              <w:rPr>
                <w:rFonts w:ascii="宋体" w:hAnsi="宋体" w:cs="宋体"/>
                <w:color w:val="000000"/>
                <w:kern w:val="0"/>
                <w:szCs w:val="21"/>
              </w:rPr>
            </w:pPr>
            <w:r>
              <w:rPr>
                <w:rFonts w:hint="eastAsia" w:ascii="宋体" w:hAnsi="宋体" w:cs="宋体"/>
                <w:color w:val="000000"/>
                <w:kern w:val="0"/>
                <w:szCs w:val="21"/>
              </w:rPr>
              <w:t>人</w:t>
            </w:r>
          </w:p>
        </w:tc>
        <w:tc>
          <w:tcPr>
            <w:tcW w:w="1125" w:type="dxa"/>
            <w:tcBorders>
              <w:top w:val="nil"/>
              <w:left w:val="nil"/>
              <w:bottom w:val="nil"/>
              <w:right w:val="single" w:color="auto" w:sz="4" w:space="0"/>
            </w:tcBorders>
            <w:vAlign w:val="center"/>
          </w:tcPr>
          <w:p w14:paraId="12026E42">
            <w:pPr>
              <w:widowControl/>
              <w:jc w:val="center"/>
              <w:rPr>
                <w:rFonts w:ascii="宋体" w:hAnsi="宋体" w:cs="宋体"/>
                <w:color w:val="000000"/>
                <w:kern w:val="0"/>
                <w:szCs w:val="21"/>
              </w:rPr>
            </w:pPr>
            <w:r>
              <w:rPr>
                <w:rFonts w:hint="eastAsia" w:ascii="宋体" w:hAnsi="宋体" w:cs="宋体"/>
                <w:color w:val="000000"/>
                <w:kern w:val="0"/>
                <w:szCs w:val="21"/>
              </w:rPr>
              <w:t>X≥1000</w:t>
            </w:r>
          </w:p>
        </w:tc>
        <w:tc>
          <w:tcPr>
            <w:tcW w:w="1701" w:type="dxa"/>
            <w:tcBorders>
              <w:top w:val="nil"/>
              <w:left w:val="nil"/>
              <w:bottom w:val="nil"/>
              <w:right w:val="single" w:color="auto" w:sz="4" w:space="0"/>
            </w:tcBorders>
            <w:vAlign w:val="center"/>
          </w:tcPr>
          <w:p w14:paraId="132D6238">
            <w:pPr>
              <w:widowControl/>
              <w:jc w:val="center"/>
              <w:rPr>
                <w:rFonts w:ascii="宋体" w:hAnsi="宋体" w:cs="宋体"/>
                <w:color w:val="000000"/>
                <w:kern w:val="0"/>
                <w:szCs w:val="21"/>
              </w:rPr>
            </w:pPr>
            <w:r>
              <w:rPr>
                <w:rFonts w:hint="eastAsia" w:ascii="宋体" w:hAnsi="宋体" w:cs="宋体"/>
                <w:color w:val="000000"/>
                <w:kern w:val="0"/>
                <w:szCs w:val="21"/>
              </w:rPr>
              <w:t>300≤X＜1000</w:t>
            </w:r>
          </w:p>
        </w:tc>
        <w:tc>
          <w:tcPr>
            <w:tcW w:w="1426" w:type="dxa"/>
            <w:tcBorders>
              <w:top w:val="nil"/>
              <w:left w:val="nil"/>
              <w:bottom w:val="nil"/>
              <w:right w:val="single" w:color="auto" w:sz="4" w:space="0"/>
            </w:tcBorders>
            <w:vAlign w:val="center"/>
          </w:tcPr>
          <w:p w14:paraId="65359F4B">
            <w:pPr>
              <w:widowControl/>
              <w:jc w:val="center"/>
              <w:rPr>
                <w:rFonts w:ascii="宋体" w:hAnsi="宋体" w:cs="宋体"/>
                <w:color w:val="000000"/>
                <w:kern w:val="0"/>
                <w:szCs w:val="21"/>
              </w:rPr>
            </w:pPr>
            <w:r>
              <w:rPr>
                <w:rFonts w:hint="eastAsia" w:ascii="宋体" w:hAnsi="宋体" w:cs="宋体"/>
                <w:color w:val="000000"/>
                <w:kern w:val="0"/>
                <w:szCs w:val="21"/>
              </w:rPr>
              <w:t xml:space="preserve">100≤X＜300 </w:t>
            </w:r>
          </w:p>
        </w:tc>
        <w:tc>
          <w:tcPr>
            <w:tcW w:w="992" w:type="dxa"/>
            <w:tcBorders>
              <w:top w:val="nil"/>
              <w:left w:val="nil"/>
              <w:bottom w:val="nil"/>
              <w:right w:val="nil"/>
            </w:tcBorders>
            <w:vAlign w:val="center"/>
          </w:tcPr>
          <w:p w14:paraId="64E6FEFA">
            <w:pPr>
              <w:widowControl/>
              <w:jc w:val="center"/>
              <w:rPr>
                <w:rFonts w:ascii="宋体" w:hAnsi="宋体" w:cs="宋体"/>
                <w:color w:val="000000"/>
                <w:kern w:val="0"/>
                <w:szCs w:val="21"/>
              </w:rPr>
            </w:pPr>
            <w:r>
              <w:rPr>
                <w:rFonts w:hint="eastAsia" w:ascii="宋体" w:hAnsi="宋体" w:cs="宋体"/>
                <w:color w:val="000000"/>
                <w:kern w:val="0"/>
                <w:szCs w:val="21"/>
              </w:rPr>
              <w:t>X＜100</w:t>
            </w:r>
          </w:p>
        </w:tc>
      </w:tr>
      <w:tr w14:paraId="32929DA0">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11A2C350">
            <w:pPr>
              <w:widowControl/>
              <w:jc w:val="left"/>
              <w:rPr>
                <w:rFonts w:ascii="宋体" w:hAnsi="宋体" w:cs="宋体"/>
                <w:color w:val="000000"/>
                <w:kern w:val="0"/>
                <w:szCs w:val="21"/>
              </w:rPr>
            </w:pPr>
          </w:p>
        </w:tc>
        <w:tc>
          <w:tcPr>
            <w:tcW w:w="1369" w:type="dxa"/>
            <w:tcBorders>
              <w:top w:val="nil"/>
              <w:left w:val="nil"/>
              <w:bottom w:val="single" w:color="auto" w:sz="4" w:space="0"/>
              <w:right w:val="single" w:color="auto" w:sz="4" w:space="0"/>
            </w:tcBorders>
            <w:vAlign w:val="center"/>
          </w:tcPr>
          <w:p w14:paraId="3CEF4B57">
            <w:pPr>
              <w:widowControl/>
              <w:jc w:val="center"/>
              <w:rPr>
                <w:rFonts w:ascii="宋体" w:hAnsi="宋体" w:cs="宋体"/>
                <w:color w:val="000000"/>
                <w:kern w:val="0"/>
                <w:szCs w:val="21"/>
              </w:rPr>
            </w:pPr>
            <w:r>
              <w:rPr>
                <w:rFonts w:hint="eastAsia" w:ascii="宋体" w:hAnsi="宋体" w:cs="宋体"/>
                <w:color w:val="000000"/>
                <w:kern w:val="0"/>
                <w:szCs w:val="21"/>
              </w:rPr>
              <w:t>营业收入(Y)</w:t>
            </w:r>
          </w:p>
        </w:tc>
        <w:tc>
          <w:tcPr>
            <w:tcW w:w="709" w:type="dxa"/>
            <w:tcBorders>
              <w:top w:val="nil"/>
              <w:left w:val="nil"/>
              <w:bottom w:val="single" w:color="auto" w:sz="4" w:space="0"/>
              <w:right w:val="single" w:color="auto" w:sz="4" w:space="0"/>
            </w:tcBorders>
            <w:vAlign w:val="center"/>
          </w:tcPr>
          <w:p w14:paraId="7CEC298F">
            <w:pPr>
              <w:widowControl/>
              <w:jc w:val="center"/>
              <w:rPr>
                <w:rFonts w:ascii="宋体" w:hAnsi="宋体" w:cs="宋体"/>
                <w:color w:val="000000"/>
                <w:kern w:val="0"/>
                <w:szCs w:val="21"/>
              </w:rPr>
            </w:pPr>
            <w:r>
              <w:rPr>
                <w:rFonts w:hint="eastAsia" w:ascii="宋体" w:hAnsi="宋体" w:cs="宋体"/>
                <w:color w:val="000000"/>
                <w:kern w:val="0"/>
                <w:szCs w:val="21"/>
              </w:rPr>
              <w:t>万元</w:t>
            </w:r>
          </w:p>
        </w:tc>
        <w:tc>
          <w:tcPr>
            <w:tcW w:w="1125" w:type="dxa"/>
            <w:tcBorders>
              <w:top w:val="nil"/>
              <w:left w:val="nil"/>
              <w:bottom w:val="single" w:color="auto" w:sz="4" w:space="0"/>
              <w:right w:val="single" w:color="auto" w:sz="4" w:space="0"/>
            </w:tcBorders>
            <w:vAlign w:val="center"/>
          </w:tcPr>
          <w:p w14:paraId="7BAEC4CF">
            <w:pPr>
              <w:widowControl/>
              <w:jc w:val="center"/>
              <w:rPr>
                <w:rFonts w:ascii="宋体" w:hAnsi="宋体" w:cs="宋体"/>
                <w:color w:val="000000"/>
                <w:kern w:val="0"/>
                <w:szCs w:val="21"/>
              </w:rPr>
            </w:pPr>
            <w:r>
              <w:rPr>
                <w:rFonts w:hint="eastAsia" w:ascii="宋体" w:hAnsi="宋体" w:cs="宋体"/>
                <w:color w:val="000000"/>
                <w:kern w:val="0"/>
                <w:szCs w:val="21"/>
              </w:rPr>
              <w:t>Y≥5000</w:t>
            </w:r>
          </w:p>
        </w:tc>
        <w:tc>
          <w:tcPr>
            <w:tcW w:w="1701" w:type="dxa"/>
            <w:tcBorders>
              <w:top w:val="nil"/>
              <w:left w:val="nil"/>
              <w:bottom w:val="single" w:color="auto" w:sz="4" w:space="0"/>
              <w:right w:val="single" w:color="auto" w:sz="4" w:space="0"/>
            </w:tcBorders>
            <w:vAlign w:val="center"/>
          </w:tcPr>
          <w:p w14:paraId="35666399">
            <w:pPr>
              <w:widowControl/>
              <w:ind w:left="19" w:leftChars="-51" w:hanging="126" w:hangingChars="60"/>
              <w:jc w:val="center"/>
              <w:rPr>
                <w:rFonts w:ascii="宋体" w:hAnsi="宋体" w:cs="宋体"/>
                <w:color w:val="000000"/>
                <w:kern w:val="0"/>
                <w:szCs w:val="21"/>
              </w:rPr>
            </w:pPr>
            <w:r>
              <w:rPr>
                <w:rFonts w:hint="eastAsia" w:ascii="宋体" w:hAnsi="宋体" w:cs="宋体"/>
                <w:color w:val="000000"/>
                <w:kern w:val="0"/>
                <w:szCs w:val="21"/>
              </w:rPr>
              <w:t xml:space="preserve">1000≤Y＜5000 </w:t>
            </w:r>
          </w:p>
        </w:tc>
        <w:tc>
          <w:tcPr>
            <w:tcW w:w="1426" w:type="dxa"/>
            <w:tcBorders>
              <w:top w:val="nil"/>
              <w:left w:val="nil"/>
              <w:bottom w:val="single" w:color="auto" w:sz="4" w:space="0"/>
              <w:right w:val="single" w:color="auto" w:sz="4" w:space="0"/>
            </w:tcBorders>
            <w:vAlign w:val="center"/>
          </w:tcPr>
          <w:p w14:paraId="5942CA0C">
            <w:pPr>
              <w:widowControl/>
              <w:jc w:val="center"/>
              <w:rPr>
                <w:rFonts w:ascii="宋体" w:hAnsi="宋体" w:cs="宋体"/>
                <w:color w:val="000000"/>
                <w:kern w:val="0"/>
                <w:szCs w:val="21"/>
              </w:rPr>
            </w:pPr>
            <w:r>
              <w:rPr>
                <w:rFonts w:hint="eastAsia" w:ascii="宋体" w:hAnsi="宋体" w:cs="宋体"/>
                <w:color w:val="000000"/>
                <w:kern w:val="0"/>
                <w:szCs w:val="21"/>
              </w:rPr>
              <w:t xml:space="preserve"> 500≤Y＜1000</w:t>
            </w:r>
          </w:p>
        </w:tc>
        <w:tc>
          <w:tcPr>
            <w:tcW w:w="992" w:type="dxa"/>
            <w:tcBorders>
              <w:top w:val="nil"/>
              <w:left w:val="nil"/>
              <w:bottom w:val="single" w:color="auto" w:sz="4" w:space="0"/>
              <w:right w:val="nil"/>
            </w:tcBorders>
            <w:vAlign w:val="center"/>
          </w:tcPr>
          <w:p w14:paraId="54CB6612">
            <w:pPr>
              <w:widowControl/>
              <w:jc w:val="center"/>
              <w:rPr>
                <w:rFonts w:ascii="宋体" w:hAnsi="宋体" w:cs="宋体"/>
                <w:color w:val="000000"/>
                <w:kern w:val="0"/>
                <w:szCs w:val="21"/>
              </w:rPr>
            </w:pPr>
            <w:r>
              <w:rPr>
                <w:rFonts w:hint="eastAsia" w:ascii="宋体" w:hAnsi="宋体" w:cs="宋体"/>
                <w:color w:val="000000"/>
                <w:kern w:val="0"/>
                <w:szCs w:val="21"/>
              </w:rPr>
              <w:t>Y＜500</w:t>
            </w:r>
          </w:p>
        </w:tc>
      </w:tr>
      <w:tr w14:paraId="3728BA40">
        <w:tblPrEx>
          <w:tblCellMar>
            <w:top w:w="0" w:type="dxa"/>
            <w:left w:w="108" w:type="dxa"/>
            <w:bottom w:w="0" w:type="dxa"/>
            <w:right w:w="108" w:type="dxa"/>
          </w:tblCellMar>
        </w:tblPrEx>
        <w:trPr>
          <w:trHeight w:val="340" w:hRule="exact"/>
          <w:jc w:val="center"/>
        </w:trPr>
        <w:tc>
          <w:tcPr>
            <w:tcW w:w="2113" w:type="dxa"/>
            <w:vMerge w:val="restart"/>
            <w:tcBorders>
              <w:top w:val="nil"/>
              <w:left w:val="nil"/>
              <w:bottom w:val="single" w:color="auto" w:sz="4" w:space="0"/>
              <w:right w:val="single" w:color="auto" w:sz="4" w:space="0"/>
            </w:tcBorders>
            <w:vAlign w:val="center"/>
          </w:tcPr>
          <w:p w14:paraId="134A96FF">
            <w:pPr>
              <w:widowControl/>
              <w:jc w:val="left"/>
              <w:rPr>
                <w:rFonts w:ascii="宋体" w:hAnsi="宋体" w:cs="宋体"/>
                <w:color w:val="000000"/>
                <w:kern w:val="0"/>
                <w:szCs w:val="21"/>
              </w:rPr>
            </w:pPr>
            <w:r>
              <w:rPr>
                <w:rFonts w:hint="eastAsia" w:ascii="宋体" w:hAnsi="宋体" w:cs="宋体"/>
                <w:color w:val="000000"/>
                <w:kern w:val="0"/>
                <w:szCs w:val="21"/>
              </w:rPr>
              <w:t>租赁和商务服务业</w:t>
            </w:r>
          </w:p>
        </w:tc>
        <w:tc>
          <w:tcPr>
            <w:tcW w:w="1369" w:type="dxa"/>
            <w:tcBorders>
              <w:top w:val="nil"/>
              <w:left w:val="nil"/>
              <w:bottom w:val="nil"/>
              <w:right w:val="single" w:color="auto" w:sz="4" w:space="0"/>
            </w:tcBorders>
            <w:vAlign w:val="center"/>
          </w:tcPr>
          <w:p w14:paraId="55468420">
            <w:pPr>
              <w:widowControl/>
              <w:jc w:val="center"/>
              <w:rPr>
                <w:rFonts w:ascii="宋体" w:hAnsi="宋体" w:cs="宋体"/>
                <w:color w:val="000000"/>
                <w:kern w:val="0"/>
                <w:szCs w:val="21"/>
              </w:rPr>
            </w:pPr>
            <w:r>
              <w:rPr>
                <w:rFonts w:hint="eastAsia" w:ascii="宋体" w:hAnsi="宋体" w:cs="宋体"/>
                <w:color w:val="000000"/>
                <w:kern w:val="0"/>
                <w:szCs w:val="21"/>
              </w:rPr>
              <w:t>从业人员(X)</w:t>
            </w:r>
          </w:p>
        </w:tc>
        <w:tc>
          <w:tcPr>
            <w:tcW w:w="709" w:type="dxa"/>
            <w:tcBorders>
              <w:top w:val="nil"/>
              <w:left w:val="nil"/>
              <w:bottom w:val="nil"/>
              <w:right w:val="single" w:color="auto" w:sz="4" w:space="0"/>
            </w:tcBorders>
            <w:vAlign w:val="center"/>
          </w:tcPr>
          <w:p w14:paraId="58147EFC">
            <w:pPr>
              <w:widowControl/>
              <w:jc w:val="center"/>
              <w:rPr>
                <w:rFonts w:ascii="宋体" w:hAnsi="宋体" w:cs="宋体"/>
                <w:color w:val="000000"/>
                <w:kern w:val="0"/>
                <w:szCs w:val="21"/>
              </w:rPr>
            </w:pPr>
            <w:r>
              <w:rPr>
                <w:rFonts w:hint="eastAsia" w:ascii="宋体" w:hAnsi="宋体" w:cs="宋体"/>
                <w:color w:val="000000"/>
                <w:kern w:val="0"/>
                <w:szCs w:val="21"/>
              </w:rPr>
              <w:t>人</w:t>
            </w:r>
          </w:p>
        </w:tc>
        <w:tc>
          <w:tcPr>
            <w:tcW w:w="1125" w:type="dxa"/>
            <w:tcBorders>
              <w:top w:val="nil"/>
              <w:left w:val="nil"/>
              <w:bottom w:val="nil"/>
              <w:right w:val="single" w:color="auto" w:sz="4" w:space="0"/>
            </w:tcBorders>
            <w:vAlign w:val="center"/>
          </w:tcPr>
          <w:p w14:paraId="42B6EED5">
            <w:pPr>
              <w:widowControl/>
              <w:jc w:val="center"/>
              <w:rPr>
                <w:rFonts w:ascii="宋体" w:hAnsi="宋体" w:cs="宋体"/>
                <w:color w:val="000000"/>
                <w:kern w:val="0"/>
                <w:szCs w:val="21"/>
              </w:rPr>
            </w:pPr>
            <w:r>
              <w:rPr>
                <w:rFonts w:hint="eastAsia" w:ascii="宋体" w:hAnsi="宋体" w:cs="宋体"/>
                <w:color w:val="000000"/>
                <w:kern w:val="0"/>
                <w:szCs w:val="21"/>
              </w:rPr>
              <w:t>X≥300</w:t>
            </w:r>
          </w:p>
        </w:tc>
        <w:tc>
          <w:tcPr>
            <w:tcW w:w="1701" w:type="dxa"/>
            <w:tcBorders>
              <w:top w:val="nil"/>
              <w:left w:val="nil"/>
              <w:bottom w:val="nil"/>
              <w:right w:val="single" w:color="auto" w:sz="4" w:space="0"/>
            </w:tcBorders>
            <w:vAlign w:val="center"/>
          </w:tcPr>
          <w:p w14:paraId="0BF6BF3C">
            <w:pPr>
              <w:widowControl/>
              <w:ind w:left="19" w:leftChars="-51" w:hanging="126" w:hangingChars="60"/>
              <w:jc w:val="center"/>
              <w:rPr>
                <w:rFonts w:ascii="宋体" w:hAnsi="宋体" w:cs="宋体"/>
                <w:color w:val="000000"/>
                <w:kern w:val="0"/>
                <w:szCs w:val="21"/>
              </w:rPr>
            </w:pPr>
            <w:r>
              <w:rPr>
                <w:rFonts w:hint="eastAsia" w:ascii="宋体" w:hAnsi="宋体" w:cs="宋体"/>
                <w:color w:val="000000"/>
                <w:kern w:val="0"/>
                <w:szCs w:val="21"/>
              </w:rPr>
              <w:t xml:space="preserve">100≤X＜300 </w:t>
            </w:r>
          </w:p>
        </w:tc>
        <w:tc>
          <w:tcPr>
            <w:tcW w:w="1426" w:type="dxa"/>
            <w:tcBorders>
              <w:top w:val="nil"/>
              <w:left w:val="nil"/>
              <w:bottom w:val="nil"/>
              <w:right w:val="single" w:color="auto" w:sz="4" w:space="0"/>
            </w:tcBorders>
            <w:vAlign w:val="center"/>
          </w:tcPr>
          <w:p w14:paraId="5F055798">
            <w:pPr>
              <w:widowControl/>
              <w:jc w:val="center"/>
              <w:rPr>
                <w:rFonts w:ascii="宋体" w:hAnsi="宋体" w:cs="宋体"/>
                <w:color w:val="000000"/>
                <w:kern w:val="0"/>
                <w:szCs w:val="21"/>
              </w:rPr>
            </w:pPr>
            <w:r>
              <w:rPr>
                <w:rFonts w:hint="eastAsia" w:ascii="宋体" w:hAnsi="宋体" w:cs="宋体"/>
                <w:color w:val="000000"/>
                <w:kern w:val="0"/>
                <w:szCs w:val="21"/>
              </w:rPr>
              <w:t xml:space="preserve"> 10≤X＜100</w:t>
            </w:r>
          </w:p>
        </w:tc>
        <w:tc>
          <w:tcPr>
            <w:tcW w:w="992" w:type="dxa"/>
            <w:tcBorders>
              <w:top w:val="nil"/>
              <w:left w:val="nil"/>
              <w:bottom w:val="nil"/>
              <w:right w:val="nil"/>
            </w:tcBorders>
            <w:vAlign w:val="center"/>
          </w:tcPr>
          <w:p w14:paraId="6F1CFC71">
            <w:pPr>
              <w:widowControl/>
              <w:jc w:val="center"/>
              <w:rPr>
                <w:rFonts w:ascii="宋体" w:hAnsi="宋体" w:cs="宋体"/>
                <w:color w:val="000000"/>
                <w:kern w:val="0"/>
                <w:szCs w:val="21"/>
              </w:rPr>
            </w:pPr>
            <w:r>
              <w:rPr>
                <w:rFonts w:hint="eastAsia" w:ascii="宋体" w:hAnsi="宋体" w:cs="宋体"/>
                <w:color w:val="000000"/>
                <w:kern w:val="0"/>
                <w:szCs w:val="21"/>
              </w:rPr>
              <w:t>X＜10</w:t>
            </w:r>
          </w:p>
        </w:tc>
      </w:tr>
      <w:tr w14:paraId="5A9FC09D">
        <w:tblPrEx>
          <w:tblCellMar>
            <w:top w:w="0" w:type="dxa"/>
            <w:left w:w="108" w:type="dxa"/>
            <w:bottom w:w="0" w:type="dxa"/>
            <w:right w:w="108" w:type="dxa"/>
          </w:tblCellMar>
        </w:tblPrEx>
        <w:trPr>
          <w:trHeight w:val="340" w:hRule="exact"/>
          <w:jc w:val="center"/>
        </w:trPr>
        <w:tc>
          <w:tcPr>
            <w:tcW w:w="2113" w:type="dxa"/>
            <w:vMerge w:val="continue"/>
            <w:tcBorders>
              <w:top w:val="nil"/>
              <w:left w:val="nil"/>
              <w:bottom w:val="single" w:color="auto" w:sz="4" w:space="0"/>
              <w:right w:val="single" w:color="auto" w:sz="4" w:space="0"/>
            </w:tcBorders>
            <w:vAlign w:val="center"/>
          </w:tcPr>
          <w:p w14:paraId="0CEA6B0F">
            <w:pPr>
              <w:widowControl/>
              <w:jc w:val="left"/>
              <w:rPr>
                <w:rFonts w:ascii="宋体" w:hAnsi="宋体" w:cs="宋体"/>
                <w:color w:val="000000"/>
                <w:kern w:val="0"/>
                <w:szCs w:val="21"/>
              </w:rPr>
            </w:pPr>
          </w:p>
        </w:tc>
        <w:tc>
          <w:tcPr>
            <w:tcW w:w="1369" w:type="dxa"/>
            <w:tcBorders>
              <w:top w:val="nil"/>
              <w:left w:val="nil"/>
              <w:bottom w:val="single" w:color="auto" w:sz="4" w:space="0"/>
              <w:right w:val="single" w:color="auto" w:sz="4" w:space="0"/>
            </w:tcBorders>
            <w:vAlign w:val="center"/>
          </w:tcPr>
          <w:p w14:paraId="5A5F23A5">
            <w:pPr>
              <w:widowControl/>
              <w:jc w:val="center"/>
              <w:rPr>
                <w:rFonts w:ascii="宋体" w:hAnsi="宋体" w:cs="宋体"/>
                <w:color w:val="000000"/>
                <w:kern w:val="0"/>
                <w:szCs w:val="21"/>
              </w:rPr>
            </w:pPr>
            <w:r>
              <w:rPr>
                <w:rFonts w:hint="eastAsia" w:ascii="宋体" w:hAnsi="宋体" w:cs="宋体"/>
                <w:color w:val="000000"/>
                <w:kern w:val="0"/>
                <w:szCs w:val="21"/>
              </w:rPr>
              <w:t>资产总额(Z)</w:t>
            </w:r>
          </w:p>
        </w:tc>
        <w:tc>
          <w:tcPr>
            <w:tcW w:w="709" w:type="dxa"/>
            <w:tcBorders>
              <w:top w:val="nil"/>
              <w:left w:val="nil"/>
              <w:bottom w:val="single" w:color="auto" w:sz="4" w:space="0"/>
              <w:right w:val="single" w:color="auto" w:sz="4" w:space="0"/>
            </w:tcBorders>
            <w:vAlign w:val="center"/>
          </w:tcPr>
          <w:p w14:paraId="1C5D22AB">
            <w:pPr>
              <w:widowControl/>
              <w:jc w:val="center"/>
              <w:rPr>
                <w:rFonts w:ascii="宋体" w:hAnsi="宋体" w:cs="宋体"/>
                <w:color w:val="000000"/>
                <w:kern w:val="0"/>
                <w:szCs w:val="21"/>
              </w:rPr>
            </w:pPr>
            <w:r>
              <w:rPr>
                <w:rFonts w:hint="eastAsia" w:ascii="宋体" w:hAnsi="宋体" w:cs="宋体"/>
                <w:color w:val="000000"/>
                <w:kern w:val="0"/>
                <w:szCs w:val="21"/>
              </w:rPr>
              <w:t>万元</w:t>
            </w:r>
          </w:p>
        </w:tc>
        <w:tc>
          <w:tcPr>
            <w:tcW w:w="1125" w:type="dxa"/>
            <w:tcBorders>
              <w:top w:val="nil"/>
              <w:left w:val="nil"/>
              <w:bottom w:val="single" w:color="auto" w:sz="4" w:space="0"/>
              <w:right w:val="single" w:color="auto" w:sz="4" w:space="0"/>
            </w:tcBorders>
            <w:vAlign w:val="center"/>
          </w:tcPr>
          <w:p w14:paraId="0FB35F8E">
            <w:pPr>
              <w:widowControl/>
              <w:jc w:val="center"/>
              <w:rPr>
                <w:rFonts w:ascii="宋体" w:hAnsi="宋体" w:cs="宋体"/>
                <w:color w:val="000000"/>
                <w:kern w:val="0"/>
                <w:szCs w:val="21"/>
              </w:rPr>
            </w:pPr>
            <w:r>
              <w:rPr>
                <w:rFonts w:hint="eastAsia" w:ascii="宋体" w:hAnsi="宋体" w:cs="宋体"/>
                <w:color w:val="000000"/>
                <w:kern w:val="0"/>
                <w:szCs w:val="21"/>
              </w:rPr>
              <w:t>Z≥120000</w:t>
            </w:r>
          </w:p>
        </w:tc>
        <w:tc>
          <w:tcPr>
            <w:tcW w:w="1701" w:type="dxa"/>
            <w:tcBorders>
              <w:top w:val="nil"/>
              <w:left w:val="nil"/>
              <w:bottom w:val="single" w:color="auto" w:sz="4" w:space="0"/>
              <w:right w:val="single" w:color="auto" w:sz="4" w:space="0"/>
            </w:tcBorders>
            <w:vAlign w:val="center"/>
          </w:tcPr>
          <w:p w14:paraId="33EC8D85">
            <w:pPr>
              <w:widowControl/>
              <w:jc w:val="center"/>
              <w:rPr>
                <w:rFonts w:ascii="宋体" w:hAnsi="宋体" w:cs="宋体"/>
                <w:color w:val="000000"/>
                <w:kern w:val="0"/>
                <w:szCs w:val="21"/>
              </w:rPr>
            </w:pPr>
            <w:r>
              <w:rPr>
                <w:rFonts w:hint="eastAsia" w:ascii="宋体" w:hAnsi="宋体" w:cs="宋体"/>
                <w:color w:val="000000"/>
                <w:kern w:val="0"/>
                <w:szCs w:val="21"/>
              </w:rPr>
              <w:t xml:space="preserve"> 8000≤Z＜120000</w:t>
            </w:r>
          </w:p>
        </w:tc>
        <w:tc>
          <w:tcPr>
            <w:tcW w:w="1426" w:type="dxa"/>
            <w:tcBorders>
              <w:top w:val="nil"/>
              <w:left w:val="nil"/>
              <w:bottom w:val="single" w:color="auto" w:sz="4" w:space="0"/>
              <w:right w:val="single" w:color="auto" w:sz="4" w:space="0"/>
            </w:tcBorders>
            <w:vAlign w:val="center"/>
          </w:tcPr>
          <w:p w14:paraId="2B665E93">
            <w:pPr>
              <w:widowControl/>
              <w:jc w:val="center"/>
              <w:rPr>
                <w:rFonts w:ascii="宋体" w:hAnsi="宋体" w:cs="宋体"/>
                <w:color w:val="000000"/>
                <w:kern w:val="0"/>
                <w:szCs w:val="21"/>
              </w:rPr>
            </w:pPr>
            <w:r>
              <w:rPr>
                <w:rFonts w:hint="eastAsia" w:ascii="宋体" w:hAnsi="宋体" w:cs="宋体"/>
                <w:color w:val="000000"/>
                <w:kern w:val="0"/>
                <w:szCs w:val="21"/>
              </w:rPr>
              <w:t xml:space="preserve"> 100≤Z＜8000</w:t>
            </w:r>
          </w:p>
        </w:tc>
        <w:tc>
          <w:tcPr>
            <w:tcW w:w="992" w:type="dxa"/>
            <w:tcBorders>
              <w:top w:val="nil"/>
              <w:left w:val="nil"/>
              <w:bottom w:val="single" w:color="auto" w:sz="4" w:space="0"/>
              <w:right w:val="nil"/>
            </w:tcBorders>
            <w:vAlign w:val="center"/>
          </w:tcPr>
          <w:p w14:paraId="75E79289">
            <w:pPr>
              <w:widowControl/>
              <w:jc w:val="center"/>
              <w:rPr>
                <w:rFonts w:ascii="宋体" w:hAnsi="宋体" w:cs="宋体"/>
                <w:color w:val="000000"/>
                <w:kern w:val="0"/>
                <w:szCs w:val="21"/>
              </w:rPr>
            </w:pPr>
            <w:r>
              <w:rPr>
                <w:rFonts w:hint="eastAsia" w:ascii="宋体" w:hAnsi="宋体" w:cs="宋体"/>
                <w:color w:val="000000"/>
                <w:kern w:val="0"/>
                <w:szCs w:val="21"/>
              </w:rPr>
              <w:t>Z＜100</w:t>
            </w:r>
          </w:p>
        </w:tc>
      </w:tr>
      <w:tr w14:paraId="307405AB">
        <w:tblPrEx>
          <w:tblCellMar>
            <w:top w:w="0" w:type="dxa"/>
            <w:left w:w="108" w:type="dxa"/>
            <w:bottom w:w="0" w:type="dxa"/>
            <w:right w:w="108" w:type="dxa"/>
          </w:tblCellMar>
        </w:tblPrEx>
        <w:trPr>
          <w:trHeight w:val="397" w:hRule="exact"/>
          <w:jc w:val="center"/>
        </w:trPr>
        <w:tc>
          <w:tcPr>
            <w:tcW w:w="2113" w:type="dxa"/>
            <w:tcBorders>
              <w:top w:val="nil"/>
              <w:left w:val="nil"/>
              <w:bottom w:val="single" w:color="auto" w:sz="4" w:space="0"/>
              <w:right w:val="single" w:color="auto" w:sz="4" w:space="0"/>
            </w:tcBorders>
            <w:vAlign w:val="center"/>
          </w:tcPr>
          <w:p w14:paraId="6832C47B">
            <w:pPr>
              <w:widowControl/>
              <w:jc w:val="left"/>
              <w:rPr>
                <w:rFonts w:ascii="宋体" w:hAnsi="宋体" w:cs="宋体"/>
                <w:color w:val="000000"/>
                <w:kern w:val="0"/>
                <w:szCs w:val="21"/>
              </w:rPr>
            </w:pPr>
            <w:r>
              <w:rPr>
                <w:rFonts w:hint="eastAsia" w:ascii="宋体" w:hAnsi="宋体" w:cs="宋体"/>
                <w:color w:val="000000"/>
                <w:kern w:val="0"/>
                <w:szCs w:val="21"/>
              </w:rPr>
              <w:t>其他未列明行业 *</w:t>
            </w:r>
          </w:p>
        </w:tc>
        <w:tc>
          <w:tcPr>
            <w:tcW w:w="1369" w:type="dxa"/>
            <w:tcBorders>
              <w:top w:val="nil"/>
              <w:left w:val="nil"/>
              <w:bottom w:val="single" w:color="auto" w:sz="4" w:space="0"/>
              <w:right w:val="single" w:color="auto" w:sz="4" w:space="0"/>
            </w:tcBorders>
            <w:vAlign w:val="center"/>
          </w:tcPr>
          <w:p w14:paraId="0C2C28AA">
            <w:pPr>
              <w:widowControl/>
              <w:jc w:val="center"/>
              <w:rPr>
                <w:rFonts w:ascii="宋体" w:hAnsi="宋体" w:cs="宋体"/>
                <w:color w:val="000000"/>
                <w:kern w:val="0"/>
                <w:szCs w:val="21"/>
              </w:rPr>
            </w:pPr>
            <w:r>
              <w:rPr>
                <w:rFonts w:hint="eastAsia" w:ascii="宋体" w:hAnsi="宋体" w:cs="宋体"/>
                <w:color w:val="000000"/>
                <w:kern w:val="0"/>
                <w:szCs w:val="21"/>
              </w:rPr>
              <w:t>从业人员(X)</w:t>
            </w:r>
          </w:p>
        </w:tc>
        <w:tc>
          <w:tcPr>
            <w:tcW w:w="709" w:type="dxa"/>
            <w:tcBorders>
              <w:top w:val="nil"/>
              <w:left w:val="nil"/>
              <w:bottom w:val="single" w:color="auto" w:sz="4" w:space="0"/>
              <w:right w:val="single" w:color="auto" w:sz="4" w:space="0"/>
            </w:tcBorders>
            <w:vAlign w:val="center"/>
          </w:tcPr>
          <w:p w14:paraId="26A65811">
            <w:pPr>
              <w:widowControl/>
              <w:jc w:val="center"/>
              <w:rPr>
                <w:rFonts w:ascii="宋体" w:hAnsi="宋体" w:cs="宋体"/>
                <w:color w:val="000000"/>
                <w:kern w:val="0"/>
                <w:szCs w:val="21"/>
              </w:rPr>
            </w:pPr>
            <w:r>
              <w:rPr>
                <w:rFonts w:hint="eastAsia" w:ascii="宋体" w:hAnsi="宋体" w:cs="宋体"/>
                <w:color w:val="000000"/>
                <w:kern w:val="0"/>
                <w:szCs w:val="21"/>
              </w:rPr>
              <w:t>人</w:t>
            </w:r>
          </w:p>
        </w:tc>
        <w:tc>
          <w:tcPr>
            <w:tcW w:w="1125" w:type="dxa"/>
            <w:tcBorders>
              <w:top w:val="nil"/>
              <w:left w:val="nil"/>
              <w:bottom w:val="single" w:color="auto" w:sz="4" w:space="0"/>
              <w:right w:val="single" w:color="auto" w:sz="4" w:space="0"/>
            </w:tcBorders>
            <w:vAlign w:val="center"/>
          </w:tcPr>
          <w:p w14:paraId="37AC49ED">
            <w:pPr>
              <w:widowControl/>
              <w:jc w:val="center"/>
              <w:rPr>
                <w:rFonts w:ascii="宋体" w:hAnsi="宋体" w:cs="宋体"/>
                <w:color w:val="000000"/>
                <w:kern w:val="0"/>
                <w:szCs w:val="21"/>
              </w:rPr>
            </w:pPr>
            <w:r>
              <w:rPr>
                <w:rFonts w:hint="eastAsia" w:ascii="宋体" w:hAnsi="宋体" w:cs="宋体"/>
                <w:color w:val="000000"/>
                <w:kern w:val="0"/>
                <w:szCs w:val="21"/>
              </w:rPr>
              <w:t>X≥300</w:t>
            </w:r>
          </w:p>
        </w:tc>
        <w:tc>
          <w:tcPr>
            <w:tcW w:w="1701" w:type="dxa"/>
            <w:tcBorders>
              <w:top w:val="nil"/>
              <w:left w:val="nil"/>
              <w:bottom w:val="single" w:color="auto" w:sz="4" w:space="0"/>
              <w:right w:val="single" w:color="auto" w:sz="4" w:space="0"/>
            </w:tcBorders>
            <w:vAlign w:val="center"/>
          </w:tcPr>
          <w:p w14:paraId="46B3C5AB">
            <w:pPr>
              <w:widowControl/>
              <w:ind w:left="19" w:leftChars="-51" w:hanging="126" w:hangingChars="60"/>
              <w:jc w:val="center"/>
              <w:rPr>
                <w:rFonts w:ascii="宋体" w:hAnsi="宋体" w:cs="宋体"/>
                <w:color w:val="000000"/>
                <w:kern w:val="0"/>
                <w:szCs w:val="21"/>
              </w:rPr>
            </w:pPr>
            <w:r>
              <w:rPr>
                <w:rFonts w:hint="eastAsia" w:ascii="宋体" w:hAnsi="宋体" w:cs="宋体"/>
                <w:color w:val="000000"/>
                <w:kern w:val="0"/>
                <w:szCs w:val="21"/>
              </w:rPr>
              <w:t xml:space="preserve">100≤X＜300 </w:t>
            </w:r>
          </w:p>
        </w:tc>
        <w:tc>
          <w:tcPr>
            <w:tcW w:w="1426" w:type="dxa"/>
            <w:tcBorders>
              <w:top w:val="nil"/>
              <w:left w:val="nil"/>
              <w:bottom w:val="single" w:color="auto" w:sz="4" w:space="0"/>
              <w:right w:val="single" w:color="auto" w:sz="4" w:space="0"/>
            </w:tcBorders>
            <w:vAlign w:val="center"/>
          </w:tcPr>
          <w:p w14:paraId="5756A391">
            <w:pPr>
              <w:widowControl/>
              <w:jc w:val="center"/>
              <w:rPr>
                <w:rFonts w:ascii="宋体" w:hAnsi="宋体" w:cs="宋体"/>
                <w:color w:val="000000"/>
                <w:kern w:val="0"/>
                <w:szCs w:val="21"/>
              </w:rPr>
            </w:pPr>
            <w:r>
              <w:rPr>
                <w:rFonts w:hint="eastAsia" w:ascii="宋体" w:hAnsi="宋体" w:cs="宋体"/>
                <w:color w:val="000000"/>
                <w:kern w:val="0"/>
                <w:szCs w:val="21"/>
              </w:rPr>
              <w:t xml:space="preserve"> 10≤X＜100</w:t>
            </w:r>
          </w:p>
        </w:tc>
        <w:tc>
          <w:tcPr>
            <w:tcW w:w="992" w:type="dxa"/>
            <w:tcBorders>
              <w:top w:val="nil"/>
              <w:left w:val="nil"/>
              <w:bottom w:val="single" w:color="auto" w:sz="4" w:space="0"/>
              <w:right w:val="nil"/>
            </w:tcBorders>
            <w:vAlign w:val="center"/>
          </w:tcPr>
          <w:p w14:paraId="74CFE64C">
            <w:pPr>
              <w:widowControl/>
              <w:jc w:val="center"/>
              <w:rPr>
                <w:rFonts w:ascii="宋体" w:hAnsi="宋体" w:cs="宋体"/>
                <w:color w:val="000000"/>
                <w:kern w:val="0"/>
                <w:szCs w:val="21"/>
              </w:rPr>
            </w:pPr>
            <w:r>
              <w:rPr>
                <w:rFonts w:hint="eastAsia" w:ascii="宋体" w:hAnsi="宋体" w:cs="宋体"/>
                <w:color w:val="000000"/>
                <w:kern w:val="0"/>
                <w:szCs w:val="21"/>
              </w:rPr>
              <w:t>X＜10</w:t>
            </w:r>
          </w:p>
        </w:tc>
      </w:tr>
    </w:tbl>
    <w:p w14:paraId="707B7887">
      <w:pPr>
        <w:widowControl/>
        <w:jc w:val="left"/>
        <w:rPr>
          <w:rFonts w:ascii="宋体" w:hAnsi="宋体" w:cs="宋体"/>
          <w:kern w:val="0"/>
          <w:szCs w:val="21"/>
        </w:rPr>
      </w:pPr>
      <w:r>
        <w:rPr>
          <w:rFonts w:hint="eastAsia" w:ascii="宋体" w:hAnsi="宋体" w:cs="宋体"/>
          <w:kern w:val="0"/>
          <w:szCs w:val="21"/>
        </w:rPr>
        <w:t>说明：</w:t>
      </w:r>
    </w:p>
    <w:p w14:paraId="1800D436">
      <w:pPr>
        <w:widowControl/>
        <w:ind w:firstLine="371" w:firstLineChars="177"/>
        <w:jc w:val="left"/>
        <w:rPr>
          <w:rFonts w:ascii="宋体" w:hAnsi="宋体" w:cs="宋体"/>
          <w:kern w:val="0"/>
          <w:szCs w:val="21"/>
        </w:rPr>
      </w:pPr>
      <w:r>
        <w:rPr>
          <w:rFonts w:hint="eastAsia" w:ascii="宋体" w:hAnsi="宋体" w:cs="宋体"/>
          <w:kern w:val="0"/>
          <w:szCs w:val="21"/>
        </w:rPr>
        <w:t>1.大型、中型和小型企业须同时满足所列指标的下限，否则下划一档；微型企业只须满足所列指标中的一项即可。</w:t>
      </w:r>
    </w:p>
    <w:p w14:paraId="20461892">
      <w:pPr>
        <w:widowControl/>
        <w:ind w:firstLine="371" w:firstLineChars="177"/>
        <w:jc w:val="left"/>
        <w:rPr>
          <w:rFonts w:ascii="宋体" w:hAnsi="宋体" w:cs="宋体"/>
          <w:kern w:val="0"/>
          <w:szCs w:val="21"/>
        </w:rPr>
      </w:pPr>
      <w:r>
        <w:rPr>
          <w:rFonts w:hint="eastAsia" w:ascii="宋体" w:hAnsi="宋体" w:cs="宋体"/>
          <w:kern w:val="0"/>
          <w:szCs w:val="21"/>
        </w:rPr>
        <w:t>2.附表中各行业的范围以《国民经济行业分类》（GB/T4754-2017）为准。带*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DBBF04A">
      <w:pPr>
        <w:widowControl/>
        <w:ind w:firstLine="371" w:firstLineChars="177"/>
        <w:jc w:val="left"/>
        <w:rPr>
          <w:rFonts w:ascii="宋体" w:hAnsi="宋体" w:cs="宋体"/>
          <w:kern w:val="0"/>
          <w:szCs w:val="21"/>
        </w:rPr>
      </w:pPr>
      <w:r>
        <w:rPr>
          <w:rFonts w:hint="eastAsia" w:ascii="宋体" w:hAnsi="宋体" w:cs="宋体"/>
          <w:kern w:val="0"/>
          <w:szCs w:val="21"/>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14:paraId="17D8B0AF">
      <w:pPr>
        <w:rPr>
          <w:rFonts w:ascii="宋体" w:hAnsi="宋体" w:cs="宋体"/>
          <w:szCs w:val="21"/>
        </w:rPr>
      </w:pPr>
    </w:p>
    <w:p w14:paraId="4CE3163C">
      <w:pPr>
        <w:pStyle w:val="6"/>
        <w:spacing w:before="0" w:after="0"/>
        <w:jc w:val="center"/>
        <w:rPr>
          <w:rFonts w:cs="宋体"/>
          <w:szCs w:val="21"/>
        </w:rPr>
      </w:pPr>
      <w:bookmarkStart w:id="240" w:name="_Toc73613647"/>
      <w:bookmarkStart w:id="241" w:name="_Toc73610165"/>
      <w:r>
        <w:rPr>
          <w:rFonts w:hint="eastAsia" w:cs="宋体"/>
          <w:szCs w:val="21"/>
        </w:rPr>
        <w:t>四、财政部 民政部 中国残疾人联合会关于促进残疾人就业 政府采购政策的通知</w:t>
      </w:r>
      <w:bookmarkEnd w:id="240"/>
      <w:bookmarkEnd w:id="241"/>
      <w:r>
        <w:rPr>
          <w:rFonts w:hint="eastAsia" w:cs="宋体"/>
          <w:szCs w:val="21"/>
        </w:rPr>
        <w:t xml:space="preserve"> </w:t>
      </w:r>
    </w:p>
    <w:p w14:paraId="65C4C09D">
      <w:pPr>
        <w:widowControl/>
        <w:jc w:val="center"/>
        <w:rPr>
          <w:rFonts w:ascii="宋体" w:hAnsi="宋体" w:cs="宋体"/>
          <w:kern w:val="0"/>
          <w:szCs w:val="21"/>
        </w:rPr>
      </w:pPr>
      <w:r>
        <w:rPr>
          <w:rFonts w:hint="eastAsia" w:ascii="宋体" w:hAnsi="宋体" w:cs="宋体"/>
          <w:kern w:val="0"/>
          <w:szCs w:val="21"/>
        </w:rPr>
        <w:t>财库〔2017〕141号</w:t>
      </w:r>
    </w:p>
    <w:p w14:paraId="253D75D5">
      <w:pPr>
        <w:widowControl/>
        <w:jc w:val="left"/>
        <w:rPr>
          <w:rFonts w:ascii="宋体" w:hAnsi="宋体" w:cs="宋体"/>
          <w:kern w:val="0"/>
          <w:szCs w:val="21"/>
        </w:rPr>
      </w:pPr>
    </w:p>
    <w:p w14:paraId="272D0CBA">
      <w:pPr>
        <w:widowControl/>
        <w:jc w:val="left"/>
        <w:rPr>
          <w:rFonts w:ascii="宋体" w:hAnsi="宋体" w:cs="宋体"/>
          <w:kern w:val="0"/>
          <w:szCs w:val="21"/>
        </w:rPr>
      </w:pPr>
      <w:r>
        <w:rPr>
          <w:rFonts w:hint="eastAsia" w:ascii="宋体" w:hAnsi="宋体" w:cs="宋体"/>
          <w:kern w:val="0"/>
          <w:szCs w:val="21"/>
        </w:rPr>
        <w:t>党中央有关部门，国务院各部委、各直属机构，全国人大常委会办公厅，全国政协办公厅，高法院，高检院，各民主党派中央，有关人民团体，各省、自治区、直辖市、计划单列市财政厅（局）、民政厅（局）、残疾人联合会，新疆生产建设兵团财务局、民政局、残疾人联合会：</w:t>
      </w:r>
    </w:p>
    <w:p w14:paraId="3BC47687">
      <w:pPr>
        <w:widowControl/>
        <w:jc w:val="left"/>
        <w:rPr>
          <w:rFonts w:ascii="宋体" w:hAnsi="宋体" w:cs="宋体"/>
          <w:kern w:val="0"/>
          <w:szCs w:val="21"/>
        </w:rPr>
      </w:pPr>
      <w:r>
        <w:rPr>
          <w:rFonts w:hint="eastAsia" w:ascii="宋体" w:hAnsi="宋体" w:cs="宋体"/>
          <w:kern w:val="0"/>
          <w:szCs w:val="21"/>
        </w:rPr>
        <w:t>　　为了发挥政府采购促进残疾人就业的作用，进一步保障残疾人权益，依照《政府采购法》、《残疾人保障法》等法律法规及相关规定，现就促进残疾人就业政府采购政策通知如下：</w:t>
      </w:r>
    </w:p>
    <w:p w14:paraId="628A3ABF">
      <w:pPr>
        <w:widowControl/>
        <w:jc w:val="left"/>
        <w:rPr>
          <w:rFonts w:ascii="宋体" w:hAnsi="宋体" w:cs="宋体"/>
          <w:kern w:val="0"/>
          <w:szCs w:val="21"/>
        </w:rPr>
      </w:pPr>
      <w:r>
        <w:rPr>
          <w:rFonts w:hint="eastAsia" w:ascii="宋体" w:hAnsi="宋体" w:cs="宋体"/>
          <w:kern w:val="0"/>
          <w:szCs w:val="21"/>
        </w:rPr>
        <w:t>　　一、享受政府采购支持政策的残疾人福利性单位应当同时满足以下条件：</w:t>
      </w:r>
    </w:p>
    <w:p w14:paraId="72CF9BF2">
      <w:pPr>
        <w:widowControl/>
        <w:jc w:val="left"/>
        <w:rPr>
          <w:rFonts w:ascii="宋体" w:hAnsi="宋体" w:cs="宋体"/>
          <w:kern w:val="0"/>
          <w:szCs w:val="21"/>
        </w:rPr>
      </w:pPr>
      <w:r>
        <w:rPr>
          <w:rFonts w:hint="eastAsia" w:ascii="宋体" w:hAnsi="宋体" w:cs="宋体"/>
          <w:kern w:val="0"/>
          <w:szCs w:val="21"/>
        </w:rPr>
        <w:t>　　（一）安置的残疾人占本单位在职职工人数的比例不低于25%（含25%），并且安置的残疾人人数不少于10人（含10人）；</w:t>
      </w:r>
    </w:p>
    <w:p w14:paraId="77BEE12E">
      <w:pPr>
        <w:widowControl/>
        <w:jc w:val="left"/>
        <w:rPr>
          <w:rFonts w:ascii="宋体" w:hAnsi="宋体" w:cs="宋体"/>
          <w:kern w:val="0"/>
          <w:szCs w:val="21"/>
        </w:rPr>
      </w:pPr>
      <w:r>
        <w:rPr>
          <w:rFonts w:hint="eastAsia" w:ascii="宋体" w:hAnsi="宋体" w:cs="宋体"/>
          <w:kern w:val="0"/>
          <w:szCs w:val="21"/>
        </w:rPr>
        <w:t>　　（二）依法与安置的每位残疾人签订了一年以上（含一年）的劳动合同或服务协议；</w:t>
      </w:r>
    </w:p>
    <w:p w14:paraId="7F1B5573">
      <w:pPr>
        <w:widowControl/>
        <w:jc w:val="left"/>
        <w:rPr>
          <w:rFonts w:ascii="宋体" w:hAnsi="宋体" w:cs="宋体"/>
          <w:kern w:val="0"/>
          <w:szCs w:val="21"/>
        </w:rPr>
      </w:pPr>
      <w:r>
        <w:rPr>
          <w:rFonts w:hint="eastAsia" w:ascii="宋体" w:hAnsi="宋体" w:cs="宋体"/>
          <w:kern w:val="0"/>
          <w:szCs w:val="21"/>
        </w:rPr>
        <w:t>　　（三）为安置的每位残疾人按月足额缴纳了基本养老保险、基本医疗保险、失业保险、工伤保险和生育保险等社会保险费；</w:t>
      </w:r>
    </w:p>
    <w:p w14:paraId="3318F24B">
      <w:pPr>
        <w:widowControl/>
        <w:jc w:val="left"/>
        <w:rPr>
          <w:rFonts w:ascii="宋体" w:hAnsi="宋体" w:cs="宋体"/>
          <w:kern w:val="0"/>
          <w:szCs w:val="21"/>
        </w:rPr>
      </w:pPr>
      <w:r>
        <w:rPr>
          <w:rFonts w:hint="eastAsia" w:ascii="宋体" w:hAnsi="宋体" w:cs="宋体"/>
          <w:kern w:val="0"/>
          <w:szCs w:val="21"/>
        </w:rPr>
        <w:t>　　（四）通过银行等金融机构向安置的每位残疾人，按月支付了不低于单位所在区县适用的经省级人民政府批准的月最低工资标准的工资；</w:t>
      </w:r>
    </w:p>
    <w:p w14:paraId="0F91FD9F">
      <w:pPr>
        <w:widowControl/>
        <w:jc w:val="left"/>
        <w:rPr>
          <w:rFonts w:ascii="宋体" w:hAnsi="宋体" w:cs="宋体"/>
          <w:kern w:val="0"/>
          <w:szCs w:val="21"/>
        </w:rPr>
      </w:pPr>
      <w:r>
        <w:rPr>
          <w:rFonts w:hint="eastAsia" w:ascii="宋体" w:hAnsi="宋体" w:cs="宋体"/>
          <w:kern w:val="0"/>
          <w:szCs w:val="21"/>
        </w:rPr>
        <w:t>　　（五）提供本单位制造的货物、承担的工程或者服务（以下简称产品），或者提供其他残疾人福利性单位制造的货物（不包括使用非残疾人福利性单位注册商标的货物）。</w:t>
      </w:r>
    </w:p>
    <w:p w14:paraId="0B83B275">
      <w:pPr>
        <w:widowControl/>
        <w:jc w:val="left"/>
        <w:rPr>
          <w:rFonts w:ascii="宋体" w:hAnsi="宋体" w:cs="宋体"/>
          <w:kern w:val="0"/>
          <w:szCs w:val="21"/>
        </w:rPr>
      </w:pPr>
      <w:r>
        <w:rPr>
          <w:rFonts w:hint="eastAsia" w:ascii="宋体" w:hAnsi="宋体" w:cs="宋体"/>
          <w:kern w:val="0"/>
          <w:szCs w:val="21"/>
        </w:rPr>
        <w:t>　　前款所称残疾人是指法定劳动年龄内，持有《中华人民共和国残疾人证》或者《中华人民共和国残疾军人证（1至8级）》的自然人，包括具有劳动条件和劳动意愿的精神残疾人。在职职工人数是指与残疾人福利性单位建立劳动关系并依法签订劳动合同或者服务协议的雇员人数。</w:t>
      </w:r>
    </w:p>
    <w:p w14:paraId="6E347729">
      <w:pPr>
        <w:widowControl/>
        <w:jc w:val="left"/>
        <w:rPr>
          <w:rFonts w:ascii="宋体" w:hAnsi="宋体" w:cs="宋体"/>
          <w:kern w:val="0"/>
          <w:szCs w:val="21"/>
        </w:rPr>
      </w:pPr>
      <w:r>
        <w:rPr>
          <w:rFonts w:hint="eastAsia" w:ascii="宋体" w:hAnsi="宋体" w:cs="宋体"/>
          <w:kern w:val="0"/>
          <w:szCs w:val="21"/>
        </w:rPr>
        <w:t>　　二、符合条件的残疾人福利性单位在参加政府采购活动时，应当提供本通知规定的《残疾人福利性单位声明函》（见附件），并对声明的真实性负责。任何单位或者个人在政府采购活动中均不得要求残疾人福利性单位提供其他证明声明函内容的材料。</w:t>
      </w:r>
    </w:p>
    <w:p w14:paraId="429BB3DA">
      <w:pPr>
        <w:widowControl/>
        <w:jc w:val="left"/>
        <w:rPr>
          <w:rFonts w:ascii="宋体" w:hAnsi="宋体" w:cs="宋体"/>
          <w:kern w:val="0"/>
          <w:szCs w:val="21"/>
        </w:rPr>
      </w:pPr>
      <w:r>
        <w:rPr>
          <w:rFonts w:hint="eastAsia" w:ascii="宋体" w:hAnsi="宋体" w:cs="宋体"/>
          <w:kern w:val="0"/>
          <w:szCs w:val="21"/>
        </w:rPr>
        <w:t>　　中标、成交供应商为残疾人福利性单位的，采购人或者其委托的采购代理机构应当随中标、成交结果同时公告其《残疾人福利性单位声明函》，接受社会监督。</w:t>
      </w:r>
    </w:p>
    <w:p w14:paraId="4219849D">
      <w:pPr>
        <w:widowControl/>
        <w:jc w:val="left"/>
        <w:rPr>
          <w:rFonts w:ascii="宋体" w:hAnsi="宋体" w:cs="宋体"/>
          <w:kern w:val="0"/>
          <w:szCs w:val="21"/>
        </w:rPr>
      </w:pPr>
      <w:r>
        <w:rPr>
          <w:rFonts w:hint="eastAsia" w:ascii="宋体" w:hAnsi="宋体" w:cs="宋体"/>
          <w:kern w:val="0"/>
          <w:szCs w:val="21"/>
        </w:rPr>
        <w:t>　　供应商提供的《残疾人福利性单位声明函》与事实不符的，依照《政府采购法》第七十七条第一款的规定追究法律责任。</w:t>
      </w:r>
    </w:p>
    <w:p w14:paraId="6C3A89B2">
      <w:pPr>
        <w:widowControl/>
        <w:jc w:val="left"/>
        <w:rPr>
          <w:rFonts w:ascii="宋体" w:hAnsi="宋体" w:cs="宋体"/>
          <w:kern w:val="0"/>
          <w:szCs w:val="21"/>
        </w:rPr>
      </w:pPr>
      <w:r>
        <w:rPr>
          <w:rFonts w:hint="eastAsia" w:ascii="宋体" w:hAnsi="宋体" w:cs="宋体"/>
          <w:kern w:val="0"/>
          <w:szCs w:val="21"/>
        </w:rPr>
        <w:t>　　三、在政府采购活动中，残疾人福利性单位视同小型、微型企业，享受预留份额、评审中价格扣除等促进中小企业发展的政府采购政策。向残疾人福利性单位采购的金额，计入面向中小企业采购的统计数据。残疾人福利性单位属于小型、微型企业的，不重复享受政策。</w:t>
      </w:r>
    </w:p>
    <w:p w14:paraId="5EAB0B77">
      <w:pPr>
        <w:widowControl/>
        <w:jc w:val="left"/>
        <w:rPr>
          <w:rFonts w:ascii="宋体" w:hAnsi="宋体" w:cs="宋体"/>
          <w:kern w:val="0"/>
          <w:szCs w:val="21"/>
        </w:rPr>
      </w:pPr>
      <w:r>
        <w:rPr>
          <w:rFonts w:hint="eastAsia" w:ascii="宋体" w:hAnsi="宋体" w:cs="宋体"/>
          <w:kern w:val="0"/>
          <w:szCs w:val="21"/>
        </w:rPr>
        <w:t>　　四、采购人采购公开招标数额标准以上的货物或者服务，因落实促进残疾人就业政策的需要，依法履行有关报批程序后，可采用公开招标以外的采购方式。</w:t>
      </w:r>
    </w:p>
    <w:p w14:paraId="5E4389B3">
      <w:pPr>
        <w:widowControl/>
        <w:jc w:val="left"/>
        <w:rPr>
          <w:rFonts w:ascii="宋体" w:hAnsi="宋体" w:cs="宋体"/>
          <w:kern w:val="0"/>
          <w:szCs w:val="21"/>
        </w:rPr>
      </w:pPr>
      <w:r>
        <w:rPr>
          <w:rFonts w:hint="eastAsia" w:ascii="宋体" w:hAnsi="宋体" w:cs="宋体"/>
          <w:kern w:val="0"/>
          <w:szCs w:val="21"/>
        </w:rPr>
        <w:t>　　五、对于满足要求的残疾人福利性单位产品，集中采购机构可直接纳入协议供货或者定点采购范围。各地区建设的政府采购电子卖场、电子商城、网上超市等应当设立残疾人福利性单位产品专栏。鼓励采购人优先选择残疾人福利性单位的产品。</w:t>
      </w:r>
    </w:p>
    <w:p w14:paraId="2CE7AA32">
      <w:pPr>
        <w:widowControl/>
        <w:jc w:val="left"/>
        <w:rPr>
          <w:rFonts w:ascii="宋体" w:hAnsi="宋体" w:cs="宋体"/>
          <w:kern w:val="0"/>
          <w:szCs w:val="21"/>
        </w:rPr>
      </w:pPr>
      <w:r>
        <w:rPr>
          <w:rFonts w:hint="eastAsia" w:ascii="宋体" w:hAnsi="宋体" w:cs="宋体"/>
          <w:kern w:val="0"/>
          <w:szCs w:val="21"/>
        </w:rPr>
        <w:t>　　六、省级财政部门可以结合本地区残疾人生产、经营的实际情况，细化政府采购支持措施。对符合国家有关部门规定条件的残疾人辅助性就业机构，可通过上述措施予以支持。各地制定的有关文件应当报财政部备案。</w:t>
      </w:r>
    </w:p>
    <w:p w14:paraId="2742FB78">
      <w:pPr>
        <w:widowControl/>
        <w:jc w:val="left"/>
        <w:rPr>
          <w:rFonts w:ascii="宋体" w:hAnsi="宋体" w:cs="宋体"/>
          <w:kern w:val="0"/>
          <w:szCs w:val="21"/>
        </w:rPr>
      </w:pPr>
      <w:r>
        <w:rPr>
          <w:rFonts w:hint="eastAsia" w:ascii="宋体" w:hAnsi="宋体" w:cs="宋体"/>
          <w:kern w:val="0"/>
          <w:szCs w:val="21"/>
        </w:rPr>
        <w:t>　　七、本通知自2017年10月1日起执行。</w:t>
      </w:r>
    </w:p>
    <w:p w14:paraId="5A03E3D0">
      <w:pPr>
        <w:widowControl/>
        <w:jc w:val="left"/>
        <w:rPr>
          <w:rFonts w:ascii="宋体" w:hAnsi="宋体" w:cs="宋体"/>
          <w:kern w:val="0"/>
          <w:szCs w:val="21"/>
        </w:rPr>
      </w:pPr>
      <w:r>
        <w:rPr>
          <w:rFonts w:hint="eastAsia" w:ascii="宋体" w:hAnsi="宋体" w:cs="宋体"/>
          <w:kern w:val="0"/>
          <w:szCs w:val="21"/>
        </w:rPr>
        <w:t>　　</w:t>
      </w:r>
    </w:p>
    <w:p w14:paraId="589F846D">
      <w:pPr>
        <w:widowControl/>
        <w:jc w:val="right"/>
        <w:rPr>
          <w:rFonts w:ascii="宋体" w:hAnsi="宋体" w:cs="宋体"/>
          <w:kern w:val="0"/>
          <w:szCs w:val="21"/>
        </w:rPr>
      </w:pPr>
      <w:r>
        <w:rPr>
          <w:rFonts w:hint="eastAsia" w:ascii="宋体" w:hAnsi="宋体" w:cs="宋体"/>
          <w:kern w:val="0"/>
          <w:szCs w:val="21"/>
        </w:rPr>
        <w:t>财政部 民政部 中国残疾人联合会</w:t>
      </w:r>
    </w:p>
    <w:p w14:paraId="578BFE5F">
      <w:pPr>
        <w:widowControl/>
        <w:jc w:val="right"/>
        <w:rPr>
          <w:rFonts w:ascii="宋体" w:hAnsi="宋体" w:cs="宋体"/>
          <w:kern w:val="0"/>
          <w:szCs w:val="21"/>
        </w:rPr>
      </w:pPr>
    </w:p>
    <w:p w14:paraId="237217BA">
      <w:pPr>
        <w:widowControl/>
        <w:jc w:val="right"/>
        <w:rPr>
          <w:rFonts w:ascii="宋体" w:hAnsi="宋体" w:cs="宋体"/>
          <w:kern w:val="0"/>
          <w:szCs w:val="21"/>
        </w:rPr>
      </w:pPr>
      <w:r>
        <w:rPr>
          <w:rFonts w:hint="eastAsia" w:ascii="宋体" w:hAnsi="宋体" w:cs="宋体"/>
          <w:kern w:val="0"/>
          <w:szCs w:val="21"/>
        </w:rPr>
        <w:t>  2017年8月22日</w:t>
      </w:r>
    </w:p>
    <w:p w14:paraId="411E304E">
      <w:pPr>
        <w:tabs>
          <w:tab w:val="left" w:pos="1875"/>
        </w:tabs>
        <w:rPr>
          <w:rFonts w:ascii="宋体" w:hAnsi="宋体" w:cs="宋体"/>
          <w:szCs w:val="21"/>
        </w:rPr>
      </w:pPr>
    </w:p>
    <w:p w14:paraId="56A4B90D"/>
    <w:p w14:paraId="1500AA77">
      <w:pPr>
        <w:pStyle w:val="3"/>
        <w:rPr>
          <w:rFonts w:ascii="Times New Roman" w:hAnsi="Times New Roman"/>
          <w:sz w:val="22"/>
          <w:szCs w:val="22"/>
        </w:rPr>
      </w:pPr>
    </w:p>
    <w:p w14:paraId="33A74002">
      <w:pPr>
        <w:rPr>
          <w:rFonts w:ascii="Times New Roman" w:hAnsi="Times New Roman"/>
          <w:sz w:val="22"/>
          <w:szCs w:val="22"/>
        </w:rPr>
      </w:pPr>
    </w:p>
    <w:p w14:paraId="4931D1DA">
      <w:pPr>
        <w:rPr>
          <w:rFonts w:ascii="Times New Roman" w:hAnsi="Times New Roman"/>
          <w:sz w:val="22"/>
          <w:szCs w:val="22"/>
        </w:rPr>
      </w:pPr>
    </w:p>
    <w:p w14:paraId="095138AF">
      <w:pPr>
        <w:widowControl/>
        <w:jc w:val="left"/>
        <w:rPr>
          <w:rFonts w:ascii="Times New Roman" w:hAnsi="Times New Roman"/>
          <w:sz w:val="22"/>
          <w:szCs w:val="22"/>
        </w:rPr>
      </w:pPr>
    </w:p>
    <w:p w14:paraId="0729DC32">
      <w:pPr>
        <w:widowControl/>
        <w:jc w:val="left"/>
        <w:rPr>
          <w:rFonts w:ascii="Times New Roman" w:hAnsi="Times New Roman"/>
          <w:sz w:val="22"/>
          <w:szCs w:val="22"/>
        </w:rPr>
      </w:pPr>
    </w:p>
    <w:p w14:paraId="147211D8">
      <w:pPr>
        <w:widowControl/>
        <w:jc w:val="left"/>
        <w:rPr>
          <w:rFonts w:ascii="Times New Roman" w:hAnsi="Times New Roman"/>
          <w:sz w:val="22"/>
          <w:szCs w:val="22"/>
        </w:rPr>
      </w:pPr>
    </w:p>
    <w:sectPr>
      <w:footerReference r:id="rId6" w:type="first"/>
      <w:headerReference r:id="rId3" w:type="default"/>
      <w:footerReference r:id="rId4" w:type="default"/>
      <w:footerReference r:id="rId5" w:type="even"/>
      <w:pgSz w:w="11907" w:h="16840"/>
      <w:pgMar w:top="1440" w:right="1797" w:bottom="1440" w:left="1797" w:header="851" w:footer="992" w:gutter="0"/>
      <w:pgBorders>
        <w:top w:val="none" w:sz="0" w:space="0"/>
        <w:left w:val="none" w:sz="0" w:space="0"/>
        <w:bottom w:val="none" w:sz="0" w:space="0"/>
        <w:right w:val="none" w:sz="0" w:space="0"/>
      </w:pgBorders>
      <w:pgNumType w:fmt="numberInDash"/>
      <w:cols w:space="720" w:num="1"/>
      <w:titlePg/>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H Yb 2gj">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swiss"/>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1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FZXBSK--GBK1-0">
    <w:altName w:val="宋体"/>
    <w:panose1 w:val="00000000000000000000"/>
    <w:charset w:val="86"/>
    <w:family w:val="auto"/>
    <w:pitch w:val="default"/>
    <w:sig w:usb0="00000000" w:usb1="00000000" w:usb2="00000010" w:usb3="00000000" w:csb0="00040000" w:csb1="00000000"/>
  </w:font>
  <w:font w:name="长城仿宋">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2219E1">
    <w:pPr>
      <w:pStyle w:val="18"/>
      <w:framePr w:wrap="around" w:vAnchor="text" w:hAnchor="margin" w:xAlign="center" w:y="1"/>
      <w:rPr>
        <w:rStyle w:val="33"/>
      </w:rPr>
    </w:pPr>
    <w:r>
      <w:t xml:space="preserve">- </w:t>
    </w:r>
    <w:r>
      <w:fldChar w:fldCharType="begin"/>
    </w:r>
    <w:r>
      <w:instrText xml:space="preserve"> PAGE </w:instrText>
    </w:r>
    <w:r>
      <w:fldChar w:fldCharType="separate"/>
    </w:r>
    <w:r>
      <w:t>- 7 -</w:t>
    </w:r>
    <w:r>
      <w:fldChar w:fldCharType="end"/>
    </w:r>
    <w:r>
      <w:t xml:space="preserve"> -</w:t>
    </w:r>
  </w:p>
  <w:p w14:paraId="291A958F">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E20C35">
    <w:pPr>
      <w:pStyle w:val="18"/>
      <w:framePr w:wrap="around" w:vAnchor="text" w:hAnchor="margin" w:xAlign="center" w:y="1"/>
      <w:rPr>
        <w:rStyle w:val="33"/>
      </w:rPr>
    </w:pPr>
    <w:r>
      <w:fldChar w:fldCharType="begin"/>
    </w:r>
    <w:r>
      <w:rPr>
        <w:rStyle w:val="33"/>
      </w:rPr>
      <w:instrText xml:space="preserve">PAGE  </w:instrText>
    </w:r>
    <w:r>
      <w:fldChar w:fldCharType="end"/>
    </w:r>
  </w:p>
  <w:p w14:paraId="38439ED0">
    <w:pPr>
      <w:pStyle w:val="18"/>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6BB06">
    <w:pPr>
      <w:pStyle w:val="18"/>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B21413">
                          <w:pPr>
                            <w:pStyle w:val="18"/>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14:paraId="34B21413">
                    <w:pPr>
                      <w:pStyle w:val="18"/>
                    </w:pPr>
                    <w:r>
                      <w:rPr>
                        <w:rFonts w:hint="eastAsia"/>
                      </w:rPr>
                      <w:fldChar w:fldCharType="begin"/>
                    </w:r>
                    <w:r>
                      <w:rPr>
                        <w:rFonts w:hint="eastAsia"/>
                      </w:rPr>
                      <w:instrText xml:space="preserve"> PAGE  \* MERGEFORMAT </w:instrText>
                    </w:r>
                    <w:r>
                      <w:rPr>
                        <w:rFonts w:hint="eastAsia"/>
                      </w:rPr>
                      <w:fldChar w:fldCharType="separate"/>
                    </w:r>
                    <w:r>
                      <w:t>- 1 -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E04F0D">
    <w:pPr>
      <w:pStyle w:val="20"/>
      <w:pBdr>
        <w:bottom w:val="single" w:color="auto" w:sz="4"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48BE4F"/>
    <w:multiLevelType w:val="singleLevel"/>
    <w:tmpl w:val="9A48BE4F"/>
    <w:lvl w:ilvl="0" w:tentative="0">
      <w:start w:val="1"/>
      <w:numFmt w:val="chineseCounting"/>
      <w:suff w:val="nothing"/>
      <w:lvlText w:val="（%1）"/>
      <w:lvlJc w:val="left"/>
      <w:pPr>
        <w:ind w:left="0" w:firstLine="420"/>
      </w:pPr>
      <w:rPr>
        <w:rFonts w:hint="eastAsia"/>
        <w:b/>
        <w:bCs/>
      </w:rPr>
    </w:lvl>
  </w:abstractNum>
  <w:abstractNum w:abstractNumId="1">
    <w:nsid w:val="B7F29D3F"/>
    <w:multiLevelType w:val="singleLevel"/>
    <w:tmpl w:val="B7F29D3F"/>
    <w:lvl w:ilvl="0" w:tentative="0">
      <w:start w:val="1"/>
      <w:numFmt w:val="chineseCounting"/>
      <w:suff w:val="nothing"/>
      <w:lvlText w:val="%1、"/>
      <w:lvlJc w:val="left"/>
      <w:pPr>
        <w:ind w:left="0" w:firstLine="420"/>
      </w:pPr>
      <w:rPr>
        <w:rFonts w:hint="eastAsia"/>
      </w:rPr>
    </w:lvl>
  </w:abstractNum>
  <w:abstractNum w:abstractNumId="2">
    <w:nsid w:val="DB811B52"/>
    <w:multiLevelType w:val="singleLevel"/>
    <w:tmpl w:val="DB811B52"/>
    <w:lvl w:ilvl="0" w:tentative="0">
      <w:start w:val="1"/>
      <w:numFmt w:val="chineseCounting"/>
      <w:suff w:val="nothing"/>
      <w:lvlText w:val="%1、"/>
      <w:lvlJc w:val="left"/>
      <w:pPr>
        <w:ind w:left="0" w:firstLine="420"/>
      </w:pPr>
      <w:rPr>
        <w:rFonts w:hint="eastAsia"/>
      </w:rPr>
    </w:lvl>
  </w:abstractNum>
  <w:abstractNum w:abstractNumId="3">
    <w:nsid w:val="DC73F8B9"/>
    <w:multiLevelType w:val="singleLevel"/>
    <w:tmpl w:val="DC73F8B9"/>
    <w:lvl w:ilvl="0" w:tentative="0">
      <w:start w:val="1"/>
      <w:numFmt w:val="decimal"/>
      <w:lvlText w:val="%1."/>
      <w:lvlJc w:val="left"/>
      <w:pPr>
        <w:ind w:left="425" w:hanging="425"/>
      </w:pPr>
      <w:rPr>
        <w:rFonts w:hint="default"/>
      </w:rPr>
    </w:lvl>
  </w:abstractNum>
  <w:abstractNum w:abstractNumId="4">
    <w:nsid w:val="E12D3261"/>
    <w:multiLevelType w:val="singleLevel"/>
    <w:tmpl w:val="E12D3261"/>
    <w:lvl w:ilvl="0" w:tentative="0">
      <w:start w:val="4"/>
      <w:numFmt w:val="chineseCounting"/>
      <w:suff w:val="nothing"/>
      <w:lvlText w:val="%1、"/>
      <w:lvlJc w:val="left"/>
      <w:rPr>
        <w:rFonts w:hint="eastAsia"/>
        <w:b/>
        <w:bCs/>
      </w:rPr>
    </w:lvl>
  </w:abstractNum>
  <w:abstractNum w:abstractNumId="5">
    <w:nsid w:val="020060D0"/>
    <w:multiLevelType w:val="singleLevel"/>
    <w:tmpl w:val="020060D0"/>
    <w:lvl w:ilvl="0" w:tentative="0">
      <w:start w:val="3"/>
      <w:numFmt w:val="decimal"/>
      <w:suff w:val="nothing"/>
      <w:lvlText w:val="（%1）"/>
      <w:lvlJc w:val="left"/>
    </w:lvl>
  </w:abstractNum>
  <w:abstractNum w:abstractNumId="6">
    <w:nsid w:val="3EC84A5C"/>
    <w:multiLevelType w:val="multilevel"/>
    <w:tmpl w:val="3EC84A5C"/>
    <w:lvl w:ilvl="0" w:tentative="0">
      <w:start w:val="1"/>
      <w:numFmt w:val="decimal"/>
      <w:lvlText w:val="%1."/>
      <w:lvlJc w:val="left"/>
      <w:pPr>
        <w:tabs>
          <w:tab w:val="left" w:pos="907"/>
        </w:tabs>
        <w:ind w:left="907" w:hanging="907"/>
      </w:pPr>
      <w:rPr>
        <w:rFonts w:hint="default" w:ascii="Times New Roman" w:hAnsi="Times New Roman" w:cs="Times New Roman"/>
      </w:rPr>
    </w:lvl>
    <w:lvl w:ilvl="1" w:tentative="0">
      <w:start w:val="1"/>
      <w:numFmt w:val="decimal"/>
      <w:lvlText w:val="%1.%2."/>
      <w:lvlJc w:val="left"/>
      <w:pPr>
        <w:ind w:left="907" w:firstLine="0"/>
      </w:pPr>
      <w:rPr>
        <w:rFonts w:hint="eastAsia"/>
      </w:rPr>
    </w:lvl>
    <w:lvl w:ilvl="2" w:tentative="0">
      <w:start w:val="1"/>
      <w:numFmt w:val="decimal"/>
      <w:lvlText w:val="%1.%2.%3."/>
      <w:lvlJc w:val="left"/>
      <w:pPr>
        <w:ind w:left="1814" w:firstLine="0"/>
      </w:pPr>
      <w:rPr>
        <w:rFonts w:hint="eastAsia"/>
      </w:rPr>
    </w:lvl>
    <w:lvl w:ilvl="3" w:tentative="0">
      <w:start w:val="1"/>
      <w:numFmt w:val="decimal"/>
      <w:lvlText w:val="%1.%2.%3.%4."/>
      <w:lvlJc w:val="left"/>
      <w:pPr>
        <w:ind w:left="2721" w:firstLine="0"/>
      </w:pPr>
      <w:rPr>
        <w:rFonts w:hint="eastAsia"/>
      </w:rPr>
    </w:lvl>
    <w:lvl w:ilvl="4" w:tentative="0">
      <w:start w:val="1"/>
      <w:numFmt w:val="decimal"/>
      <w:lvlText w:val="%1.%2.%3.%4.%5."/>
      <w:lvlJc w:val="left"/>
      <w:pPr>
        <w:ind w:left="3628" w:firstLine="0"/>
      </w:pPr>
      <w:rPr>
        <w:rFonts w:hint="eastAsia"/>
      </w:rPr>
    </w:lvl>
    <w:lvl w:ilvl="5" w:tentative="0">
      <w:start w:val="1"/>
      <w:numFmt w:val="decimal"/>
      <w:lvlText w:val="%1.%2.%3.%4.%5.%6."/>
      <w:lvlJc w:val="left"/>
      <w:pPr>
        <w:ind w:left="4535" w:firstLine="0"/>
      </w:pPr>
      <w:rPr>
        <w:rFonts w:hint="eastAsia"/>
      </w:rPr>
    </w:lvl>
    <w:lvl w:ilvl="6" w:tentative="0">
      <w:start w:val="1"/>
      <w:numFmt w:val="decimal"/>
      <w:lvlText w:val="%1.%2.%3.%4.%5.%6.%7."/>
      <w:lvlJc w:val="left"/>
      <w:pPr>
        <w:ind w:left="5442" w:firstLine="0"/>
      </w:pPr>
      <w:rPr>
        <w:rFonts w:hint="eastAsia"/>
      </w:rPr>
    </w:lvl>
    <w:lvl w:ilvl="7" w:tentative="0">
      <w:start w:val="1"/>
      <w:numFmt w:val="decimal"/>
      <w:lvlText w:val="%1.%2.%3.%4.%5.%6.%7.%8."/>
      <w:lvlJc w:val="left"/>
      <w:pPr>
        <w:ind w:left="6349" w:firstLine="0"/>
      </w:pPr>
      <w:rPr>
        <w:rFonts w:hint="eastAsia"/>
      </w:rPr>
    </w:lvl>
    <w:lvl w:ilvl="8" w:tentative="0">
      <w:start w:val="1"/>
      <w:numFmt w:val="decimal"/>
      <w:lvlText w:val="%1.%2.%3.%4.%5.%6.%7.%8.%9."/>
      <w:lvlJc w:val="left"/>
      <w:pPr>
        <w:ind w:left="7256" w:firstLine="0"/>
      </w:pPr>
      <w:rPr>
        <w:rFonts w:hint="eastAsia"/>
      </w:rPr>
    </w:lvl>
  </w:abstractNum>
  <w:abstractNum w:abstractNumId="7">
    <w:nsid w:val="40A41628"/>
    <w:multiLevelType w:val="multilevel"/>
    <w:tmpl w:val="40A41628"/>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56297788"/>
    <w:multiLevelType w:val="singleLevel"/>
    <w:tmpl w:val="56297788"/>
    <w:lvl w:ilvl="0" w:tentative="0">
      <w:start w:val="2"/>
      <w:numFmt w:val="chineseCounting"/>
      <w:suff w:val="nothing"/>
      <w:lvlText w:val="（%1）"/>
      <w:lvlJc w:val="left"/>
      <w:rPr>
        <w:rFonts w:hint="eastAsia"/>
      </w:rPr>
    </w:lvl>
  </w:abstractNum>
  <w:abstractNum w:abstractNumId="9">
    <w:nsid w:val="6F63110B"/>
    <w:multiLevelType w:val="singleLevel"/>
    <w:tmpl w:val="6F63110B"/>
    <w:lvl w:ilvl="0" w:tentative="0">
      <w:start w:val="1"/>
      <w:numFmt w:val="chineseCounting"/>
      <w:suff w:val="nothing"/>
      <w:lvlText w:val="%1、"/>
      <w:lvlJc w:val="left"/>
      <w:pPr>
        <w:ind w:left="0" w:firstLine="420"/>
      </w:pPr>
      <w:rPr>
        <w:rFonts w:hint="eastAsia"/>
      </w:rPr>
    </w:lvl>
  </w:abstractNum>
  <w:abstractNum w:abstractNumId="10">
    <w:nsid w:val="7CA15D09"/>
    <w:multiLevelType w:val="singleLevel"/>
    <w:tmpl w:val="7CA15D09"/>
    <w:lvl w:ilvl="0" w:tentative="0">
      <w:start w:val="1"/>
      <w:numFmt w:val="chineseCounting"/>
      <w:suff w:val="nothing"/>
      <w:lvlText w:val="%1、"/>
      <w:lvlJc w:val="left"/>
      <w:pPr>
        <w:ind w:left="0" w:firstLine="420"/>
      </w:pPr>
      <w:rPr>
        <w:rFonts w:hint="eastAsia"/>
        <w:b/>
        <w:bCs/>
        <w:sz w:val="32"/>
        <w:szCs w:val="32"/>
      </w:rPr>
    </w:lvl>
  </w:abstractNum>
  <w:num w:numId="1">
    <w:abstractNumId w:val="4"/>
  </w:num>
  <w:num w:numId="2">
    <w:abstractNumId w:val="7"/>
  </w:num>
  <w:num w:numId="3">
    <w:abstractNumId w:val="1"/>
  </w:num>
  <w:num w:numId="4">
    <w:abstractNumId w:val="9"/>
  </w:num>
  <w:num w:numId="5">
    <w:abstractNumId w:val="10"/>
  </w:num>
  <w:num w:numId="6">
    <w:abstractNumId w:val="0"/>
  </w:num>
  <w:num w:numId="7">
    <w:abstractNumId w:val="8"/>
  </w:num>
  <w:num w:numId="8">
    <w:abstractNumId w:val="5"/>
  </w:num>
  <w:num w:numId="9">
    <w:abstractNumId w:val="3"/>
  </w:num>
  <w:num w:numId="10">
    <w:abstractNumId w:val="6"/>
  </w:num>
  <w:num w:numId="11">
    <w:abstractNumId w:val="6"/>
    <w:lvlOverride w:ilvl="0">
      <w:lvl w:ilvl="0" w:tentative="1">
        <w:start w:val="1"/>
        <w:numFmt w:val="decimal"/>
        <w:lvlText w:val="%1."/>
        <w:lvlJc w:val="left"/>
        <w:pPr>
          <w:tabs>
            <w:tab w:val="left" w:pos="907"/>
          </w:tabs>
          <w:ind w:left="907" w:hanging="907"/>
        </w:pPr>
        <w:rPr>
          <w:rFonts w:hint="eastAsia"/>
        </w:rPr>
      </w:lvl>
    </w:lvlOverride>
    <w:lvlOverride w:ilvl="1">
      <w:lvl w:ilvl="1" w:tentative="1">
        <w:start w:val="1"/>
        <w:numFmt w:val="decimal"/>
        <w:lvlText w:val="%1.%2."/>
        <w:lvlJc w:val="left"/>
        <w:pPr>
          <w:tabs>
            <w:tab w:val="left" w:pos="907"/>
          </w:tabs>
          <w:ind w:left="907" w:hanging="907"/>
        </w:pPr>
        <w:rPr>
          <w:rFonts w:hint="default" w:ascii="Times New Roman" w:hAnsi="Times New Roman" w:cs="Times New Roman"/>
          <w:b w:val="0"/>
        </w:rPr>
      </w:lvl>
    </w:lvlOverride>
    <w:lvlOverride w:ilvl="2">
      <w:lvl w:ilvl="2" w:tentative="1">
        <w:start w:val="1"/>
        <w:numFmt w:val="decimal"/>
        <w:lvlText w:val="%1.%2.%3."/>
        <w:lvlJc w:val="left"/>
        <w:pPr>
          <w:ind w:left="1814" w:firstLine="0"/>
        </w:pPr>
        <w:rPr>
          <w:rFonts w:hint="eastAsia"/>
        </w:rPr>
      </w:lvl>
    </w:lvlOverride>
    <w:lvlOverride w:ilvl="3">
      <w:lvl w:ilvl="3" w:tentative="1">
        <w:start w:val="1"/>
        <w:numFmt w:val="decimal"/>
        <w:lvlText w:val="%1.%2.%3.%4."/>
        <w:lvlJc w:val="left"/>
        <w:pPr>
          <w:ind w:left="2721" w:firstLine="0"/>
        </w:pPr>
        <w:rPr>
          <w:rFonts w:hint="eastAsia"/>
        </w:rPr>
      </w:lvl>
    </w:lvlOverride>
    <w:lvlOverride w:ilvl="4">
      <w:lvl w:ilvl="4" w:tentative="1">
        <w:start w:val="1"/>
        <w:numFmt w:val="decimal"/>
        <w:lvlText w:val="%1.%2.%3.%4.%5."/>
        <w:lvlJc w:val="left"/>
        <w:pPr>
          <w:ind w:left="3628" w:firstLine="0"/>
        </w:pPr>
        <w:rPr>
          <w:rFonts w:hint="eastAsia"/>
        </w:rPr>
      </w:lvl>
    </w:lvlOverride>
    <w:lvlOverride w:ilvl="5">
      <w:lvl w:ilvl="5" w:tentative="1">
        <w:start w:val="1"/>
        <w:numFmt w:val="decimal"/>
        <w:lvlText w:val="%1.%2.%3.%4.%5.%6."/>
        <w:lvlJc w:val="left"/>
        <w:pPr>
          <w:ind w:left="4535" w:firstLine="0"/>
        </w:pPr>
        <w:rPr>
          <w:rFonts w:hint="eastAsia"/>
        </w:rPr>
      </w:lvl>
    </w:lvlOverride>
    <w:lvlOverride w:ilvl="6">
      <w:lvl w:ilvl="6" w:tentative="1">
        <w:start w:val="1"/>
        <w:numFmt w:val="decimal"/>
        <w:lvlText w:val="%1.%2.%3.%4.%5.%6.%7."/>
        <w:lvlJc w:val="left"/>
        <w:pPr>
          <w:ind w:left="5442" w:firstLine="0"/>
        </w:pPr>
        <w:rPr>
          <w:rFonts w:hint="eastAsia"/>
        </w:rPr>
      </w:lvl>
    </w:lvlOverride>
    <w:lvlOverride w:ilvl="7">
      <w:lvl w:ilvl="7" w:tentative="1">
        <w:start w:val="1"/>
        <w:numFmt w:val="decimal"/>
        <w:lvlText w:val="%1.%2.%3.%4.%5.%6.%7.%8."/>
        <w:lvlJc w:val="left"/>
        <w:pPr>
          <w:ind w:left="6349" w:firstLine="0"/>
        </w:pPr>
        <w:rPr>
          <w:rFonts w:hint="eastAsia"/>
        </w:rPr>
      </w:lvl>
    </w:lvlOverride>
    <w:lvlOverride w:ilvl="8">
      <w:lvl w:ilvl="8" w:tentative="1">
        <w:start w:val="1"/>
        <w:numFmt w:val="decimal"/>
        <w:lvlText w:val="%1.%2.%3.%4.%5.%6.%7.%8.%9."/>
        <w:lvlJc w:val="left"/>
        <w:pPr>
          <w:ind w:left="7256" w:firstLine="0"/>
        </w:pPr>
        <w:rPr>
          <w:rFonts w:hint="eastAsia"/>
        </w:rPr>
      </w:lvl>
    </w:lvlOverride>
  </w:num>
  <w:num w:numId="12">
    <w:abstractNumId w:val="6"/>
    <w:lvlOverride w:ilvl="0">
      <w:lvl w:ilvl="0" w:tentative="1">
        <w:start w:val="1"/>
        <w:numFmt w:val="decimal"/>
        <w:lvlText w:val="%1."/>
        <w:lvlJc w:val="left"/>
        <w:pPr>
          <w:tabs>
            <w:tab w:val="left" w:pos="907"/>
          </w:tabs>
          <w:ind w:left="907" w:hanging="907"/>
        </w:pPr>
        <w:rPr>
          <w:rFonts w:hint="eastAsia"/>
        </w:rPr>
      </w:lvl>
    </w:lvlOverride>
    <w:lvlOverride w:ilvl="1">
      <w:lvl w:ilvl="1" w:tentative="1">
        <w:start w:val="1"/>
        <w:numFmt w:val="decimal"/>
        <w:lvlText w:val="%1.%2."/>
        <w:lvlJc w:val="left"/>
        <w:pPr>
          <w:tabs>
            <w:tab w:val="left" w:pos="907"/>
          </w:tabs>
          <w:ind w:left="907" w:hanging="907"/>
        </w:pPr>
        <w:rPr>
          <w:rFonts w:hint="eastAsia"/>
        </w:rPr>
      </w:lvl>
    </w:lvlOverride>
    <w:lvlOverride w:ilvl="2">
      <w:lvl w:ilvl="2" w:tentative="1">
        <w:start w:val="1"/>
        <w:numFmt w:val="decimal"/>
        <w:lvlText w:val="%1.%2.%3."/>
        <w:lvlJc w:val="left"/>
        <w:pPr>
          <w:tabs>
            <w:tab w:val="left" w:pos="907"/>
          </w:tabs>
          <w:ind w:left="907" w:hanging="907"/>
        </w:pPr>
        <w:rPr>
          <w:rFonts w:hint="eastAsia"/>
        </w:rPr>
      </w:lvl>
    </w:lvlOverride>
    <w:lvlOverride w:ilvl="3">
      <w:lvl w:ilvl="3" w:tentative="1">
        <w:start w:val="1"/>
        <w:numFmt w:val="decimal"/>
        <w:lvlText w:val="%1.%2.%3.%4."/>
        <w:lvlJc w:val="left"/>
        <w:pPr>
          <w:ind w:left="2721" w:firstLine="0"/>
        </w:pPr>
        <w:rPr>
          <w:rFonts w:hint="eastAsia"/>
        </w:rPr>
      </w:lvl>
    </w:lvlOverride>
    <w:lvlOverride w:ilvl="4">
      <w:lvl w:ilvl="4" w:tentative="1">
        <w:start w:val="1"/>
        <w:numFmt w:val="decimal"/>
        <w:lvlText w:val="%1.%2.%3.%4.%5."/>
        <w:lvlJc w:val="left"/>
        <w:pPr>
          <w:ind w:left="3628" w:firstLine="0"/>
        </w:pPr>
        <w:rPr>
          <w:rFonts w:hint="eastAsia"/>
        </w:rPr>
      </w:lvl>
    </w:lvlOverride>
    <w:lvlOverride w:ilvl="5">
      <w:lvl w:ilvl="5" w:tentative="1">
        <w:start w:val="1"/>
        <w:numFmt w:val="decimal"/>
        <w:lvlText w:val="%1.%2.%3.%4.%5.%6."/>
        <w:lvlJc w:val="left"/>
        <w:pPr>
          <w:ind w:left="4535" w:firstLine="0"/>
        </w:pPr>
        <w:rPr>
          <w:rFonts w:hint="eastAsia"/>
        </w:rPr>
      </w:lvl>
    </w:lvlOverride>
    <w:lvlOverride w:ilvl="6">
      <w:lvl w:ilvl="6" w:tentative="1">
        <w:start w:val="1"/>
        <w:numFmt w:val="decimal"/>
        <w:lvlText w:val="%1.%2.%3.%4.%5.%6.%7."/>
        <w:lvlJc w:val="left"/>
        <w:pPr>
          <w:ind w:left="5442" w:firstLine="0"/>
        </w:pPr>
        <w:rPr>
          <w:rFonts w:hint="eastAsia"/>
        </w:rPr>
      </w:lvl>
    </w:lvlOverride>
    <w:lvlOverride w:ilvl="7">
      <w:lvl w:ilvl="7" w:tentative="1">
        <w:start w:val="1"/>
        <w:numFmt w:val="decimal"/>
        <w:lvlText w:val="%1.%2.%3.%4.%5.%6.%7.%8."/>
        <w:lvlJc w:val="left"/>
        <w:pPr>
          <w:ind w:left="6349" w:firstLine="0"/>
        </w:pPr>
        <w:rPr>
          <w:rFonts w:hint="eastAsia"/>
        </w:rPr>
      </w:lvl>
    </w:lvlOverride>
    <w:lvlOverride w:ilvl="8">
      <w:lvl w:ilvl="8" w:tentative="1">
        <w:start w:val="1"/>
        <w:numFmt w:val="decimal"/>
        <w:lvlText w:val="%1.%2.%3.%4.%5.%6.%7.%8.%9."/>
        <w:lvlJc w:val="left"/>
        <w:pPr>
          <w:ind w:left="7256" w:firstLine="0"/>
        </w:pPr>
        <w:rPr>
          <w:rFonts w:hint="eastAsia"/>
        </w:rPr>
      </w:lvl>
    </w:lvlOverride>
  </w:num>
  <w:num w:numId="13">
    <w:abstractNumId w:val="6"/>
    <w:lvlOverride w:ilvl="0">
      <w:lvl w:ilvl="0" w:tentative="1">
        <w:start w:val="1"/>
        <w:numFmt w:val="decimal"/>
        <w:lvlText w:val="%1."/>
        <w:lvlJc w:val="left"/>
        <w:pPr>
          <w:tabs>
            <w:tab w:val="left" w:pos="907"/>
          </w:tabs>
          <w:ind w:left="907" w:hanging="907"/>
        </w:pPr>
        <w:rPr>
          <w:rFonts w:hint="eastAsia"/>
        </w:rPr>
      </w:lvl>
    </w:lvlOverride>
    <w:lvlOverride w:ilvl="1">
      <w:lvl w:ilvl="1" w:tentative="1">
        <w:start w:val="1"/>
        <w:numFmt w:val="decimal"/>
        <w:lvlText w:val="%1.%2."/>
        <w:lvlJc w:val="left"/>
        <w:pPr>
          <w:tabs>
            <w:tab w:val="left" w:pos="907"/>
          </w:tabs>
          <w:ind w:left="907" w:hanging="907"/>
        </w:pPr>
        <w:rPr>
          <w:rFonts w:hint="eastAsia"/>
        </w:rPr>
      </w:lvl>
    </w:lvlOverride>
    <w:lvlOverride w:ilvl="2">
      <w:lvl w:ilvl="2" w:tentative="1">
        <w:start w:val="1"/>
        <w:numFmt w:val="decimal"/>
        <w:lvlText w:val="%1.%2.%3."/>
        <w:lvlJc w:val="left"/>
        <w:pPr>
          <w:tabs>
            <w:tab w:val="left" w:pos="907"/>
          </w:tabs>
          <w:ind w:left="907" w:hanging="907"/>
        </w:pPr>
        <w:rPr>
          <w:rFonts w:hint="eastAsia"/>
        </w:rPr>
      </w:lvl>
    </w:lvlOverride>
    <w:lvlOverride w:ilvl="3">
      <w:lvl w:ilvl="3" w:tentative="1">
        <w:start w:val="1"/>
        <w:numFmt w:val="decimal"/>
        <w:lvlText w:val="%1.%2.%3.%4."/>
        <w:lvlJc w:val="left"/>
        <w:pPr>
          <w:tabs>
            <w:tab w:val="left" w:pos="907"/>
          </w:tabs>
          <w:ind w:left="907" w:hanging="907"/>
        </w:pPr>
        <w:rPr>
          <w:rFonts w:hint="eastAsia"/>
        </w:rPr>
      </w:lvl>
    </w:lvlOverride>
    <w:lvlOverride w:ilvl="4">
      <w:lvl w:ilvl="4" w:tentative="1">
        <w:start w:val="1"/>
        <w:numFmt w:val="decimal"/>
        <w:lvlText w:val="%1.%2.%3.%4.%5."/>
        <w:lvlJc w:val="left"/>
        <w:pPr>
          <w:ind w:left="3628" w:firstLine="0"/>
        </w:pPr>
        <w:rPr>
          <w:rFonts w:hint="eastAsia"/>
        </w:rPr>
      </w:lvl>
    </w:lvlOverride>
    <w:lvlOverride w:ilvl="5">
      <w:lvl w:ilvl="5" w:tentative="1">
        <w:start w:val="1"/>
        <w:numFmt w:val="decimal"/>
        <w:lvlText w:val="%1.%2.%3.%4.%5.%6."/>
        <w:lvlJc w:val="left"/>
        <w:pPr>
          <w:ind w:left="4535" w:firstLine="0"/>
        </w:pPr>
        <w:rPr>
          <w:rFonts w:hint="eastAsia"/>
        </w:rPr>
      </w:lvl>
    </w:lvlOverride>
    <w:lvlOverride w:ilvl="6">
      <w:lvl w:ilvl="6" w:tentative="1">
        <w:start w:val="1"/>
        <w:numFmt w:val="decimal"/>
        <w:lvlText w:val="%1.%2.%3.%4.%5.%6.%7."/>
        <w:lvlJc w:val="left"/>
        <w:pPr>
          <w:ind w:left="5442" w:firstLine="0"/>
        </w:pPr>
        <w:rPr>
          <w:rFonts w:hint="eastAsia"/>
        </w:rPr>
      </w:lvl>
    </w:lvlOverride>
    <w:lvlOverride w:ilvl="7">
      <w:lvl w:ilvl="7" w:tentative="1">
        <w:start w:val="1"/>
        <w:numFmt w:val="decimal"/>
        <w:lvlText w:val="%1.%2.%3.%4.%5.%6.%7.%8."/>
        <w:lvlJc w:val="left"/>
        <w:pPr>
          <w:ind w:left="6349" w:firstLine="0"/>
        </w:pPr>
        <w:rPr>
          <w:rFonts w:hint="eastAsia"/>
        </w:rPr>
      </w:lvl>
    </w:lvlOverride>
    <w:lvlOverride w:ilvl="8">
      <w:lvl w:ilvl="8" w:tentative="1">
        <w:start w:val="1"/>
        <w:numFmt w:val="decimal"/>
        <w:lvlText w:val="%1.%2.%3.%4.%5.%6.%7.%8.%9."/>
        <w:lvlJc w:val="left"/>
        <w:pPr>
          <w:ind w:left="7256" w:firstLine="0"/>
        </w:pPr>
        <w:rPr>
          <w:rFonts w:hint="eastAsia"/>
        </w:rPr>
      </w:lvl>
    </w:lvlOverride>
  </w:num>
  <w:num w:numId="14">
    <w:abstractNumId w:val="2"/>
  </w:num>
  <w:num w:numId="15">
    <w:abstractNumId w:val="6"/>
    <w:lvlOverride w:ilvl="0">
      <w:lvl w:ilvl="0" w:tentative="1">
        <w:start w:val="1"/>
        <w:numFmt w:val="decimal"/>
        <w:lvlText w:val="%1."/>
        <w:lvlJc w:val="left"/>
        <w:pPr>
          <w:tabs>
            <w:tab w:val="left" w:pos="907"/>
          </w:tabs>
          <w:ind w:left="907" w:hanging="907"/>
        </w:pPr>
        <w:rPr>
          <w:rFonts w:hint="eastAsia"/>
        </w:rPr>
      </w:lvl>
    </w:lvlOverride>
    <w:lvlOverride w:ilvl="1">
      <w:lvl w:ilvl="1" w:tentative="1">
        <w:start w:val="1"/>
        <w:numFmt w:val="decimal"/>
        <w:lvlText w:val="%1.%2."/>
        <w:lvlJc w:val="left"/>
        <w:pPr>
          <w:tabs>
            <w:tab w:val="left" w:pos="907"/>
          </w:tabs>
          <w:ind w:left="907" w:hanging="907"/>
        </w:pPr>
        <w:rPr>
          <w:rFonts w:hint="eastAsia"/>
        </w:rPr>
      </w:lvl>
    </w:lvlOverride>
    <w:lvlOverride w:ilvl="2">
      <w:lvl w:ilvl="2" w:tentative="1">
        <w:start w:val="1"/>
        <w:numFmt w:val="decimal"/>
        <w:lvlText w:val="%1.%2.%3."/>
        <w:lvlJc w:val="left"/>
        <w:pPr>
          <w:tabs>
            <w:tab w:val="left" w:pos="907"/>
          </w:tabs>
          <w:ind w:left="907" w:hanging="907"/>
        </w:pPr>
        <w:rPr>
          <w:rFonts w:hint="default" w:ascii="Times New Roman" w:hAnsi="Times New Roman" w:cs="Times New Roman"/>
        </w:rPr>
      </w:lvl>
    </w:lvlOverride>
    <w:lvlOverride w:ilvl="3">
      <w:lvl w:ilvl="3" w:tentative="1">
        <w:start w:val="1"/>
        <w:numFmt w:val="decimal"/>
        <w:lvlText w:val="%1.%2.%3.%4."/>
        <w:lvlJc w:val="left"/>
        <w:pPr>
          <w:ind w:left="2721" w:firstLine="0"/>
        </w:pPr>
        <w:rPr>
          <w:rFonts w:hint="eastAsia"/>
        </w:rPr>
      </w:lvl>
    </w:lvlOverride>
    <w:lvlOverride w:ilvl="4">
      <w:lvl w:ilvl="4" w:tentative="1">
        <w:start w:val="1"/>
        <w:numFmt w:val="decimal"/>
        <w:lvlText w:val="%1.%2.%3.%4.%5."/>
        <w:lvlJc w:val="left"/>
        <w:pPr>
          <w:ind w:left="3628" w:firstLine="0"/>
        </w:pPr>
        <w:rPr>
          <w:rFonts w:hint="eastAsia"/>
        </w:rPr>
      </w:lvl>
    </w:lvlOverride>
    <w:lvlOverride w:ilvl="5">
      <w:lvl w:ilvl="5" w:tentative="1">
        <w:start w:val="1"/>
        <w:numFmt w:val="decimal"/>
        <w:lvlText w:val="%1.%2.%3.%4.%5.%6."/>
        <w:lvlJc w:val="left"/>
        <w:pPr>
          <w:ind w:left="4535" w:firstLine="0"/>
        </w:pPr>
        <w:rPr>
          <w:rFonts w:hint="eastAsia"/>
        </w:rPr>
      </w:lvl>
    </w:lvlOverride>
    <w:lvlOverride w:ilvl="6">
      <w:lvl w:ilvl="6" w:tentative="1">
        <w:start w:val="1"/>
        <w:numFmt w:val="decimal"/>
        <w:lvlText w:val="%1.%2.%3.%4.%5.%6.%7."/>
        <w:lvlJc w:val="left"/>
        <w:pPr>
          <w:ind w:left="5442" w:firstLine="0"/>
        </w:pPr>
        <w:rPr>
          <w:rFonts w:hint="eastAsia"/>
        </w:rPr>
      </w:lvl>
    </w:lvlOverride>
    <w:lvlOverride w:ilvl="7">
      <w:lvl w:ilvl="7" w:tentative="1">
        <w:start w:val="1"/>
        <w:numFmt w:val="decimal"/>
        <w:lvlText w:val="%1.%2.%3.%4.%5.%6.%7.%8."/>
        <w:lvlJc w:val="left"/>
        <w:pPr>
          <w:ind w:left="6349" w:firstLine="0"/>
        </w:pPr>
        <w:rPr>
          <w:rFonts w:hint="eastAsia"/>
        </w:rPr>
      </w:lvl>
    </w:lvlOverride>
    <w:lvlOverride w:ilvl="8">
      <w:lvl w:ilvl="8" w:tentative="1">
        <w:start w:val="1"/>
        <w:numFmt w:val="decimal"/>
        <w:lvlText w:val="%1.%2.%3.%4.%5.%6.%7.%8.%9."/>
        <w:lvlJc w:val="left"/>
        <w:pPr>
          <w:ind w:left="7256" w:firstLine="0"/>
        </w:pPr>
        <w:rPr>
          <w:rFonts w:hint="eastAsia"/>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NjMzA2NWVmYzk2MzQ2NDM1MzE5MmNhMGNmODk1MjAifQ=="/>
    <w:docVar w:name="KSO_WPS_MARK_KEY" w:val="739ef164-01c8-4600-b862-46e1c9d53cfc"/>
    <w:docVar w:name="KY_MEDREF_DOCUID" w:val="{ED0D8092-13DF-4E37-A776-E239325999ED}"/>
    <w:docVar w:name="KY_MEDREF_VERSION" w:val="3"/>
  </w:docVars>
  <w:rsids>
    <w:rsidRoot w:val="111F1C12"/>
    <w:rsid w:val="00025372"/>
    <w:rsid w:val="00050E60"/>
    <w:rsid w:val="00054655"/>
    <w:rsid w:val="00077055"/>
    <w:rsid w:val="000917A8"/>
    <w:rsid w:val="00091E22"/>
    <w:rsid w:val="000B73DB"/>
    <w:rsid w:val="000E5279"/>
    <w:rsid w:val="000E7A40"/>
    <w:rsid w:val="000F107D"/>
    <w:rsid w:val="000F3AC7"/>
    <w:rsid w:val="000F68E6"/>
    <w:rsid w:val="001017E5"/>
    <w:rsid w:val="001064AC"/>
    <w:rsid w:val="00125E13"/>
    <w:rsid w:val="0013006D"/>
    <w:rsid w:val="0013426D"/>
    <w:rsid w:val="00136660"/>
    <w:rsid w:val="00145826"/>
    <w:rsid w:val="00192E06"/>
    <w:rsid w:val="001A55AD"/>
    <w:rsid w:val="001D4DB9"/>
    <w:rsid w:val="001D7355"/>
    <w:rsid w:val="001E6B2E"/>
    <w:rsid w:val="00205435"/>
    <w:rsid w:val="002106D2"/>
    <w:rsid w:val="00216CF5"/>
    <w:rsid w:val="00223153"/>
    <w:rsid w:val="00236423"/>
    <w:rsid w:val="00237426"/>
    <w:rsid w:val="00240044"/>
    <w:rsid w:val="0024166A"/>
    <w:rsid w:val="002430C2"/>
    <w:rsid w:val="00245D95"/>
    <w:rsid w:val="002477B4"/>
    <w:rsid w:val="00260379"/>
    <w:rsid w:val="002645BE"/>
    <w:rsid w:val="002A368A"/>
    <w:rsid w:val="002C092F"/>
    <w:rsid w:val="002C2F28"/>
    <w:rsid w:val="002C716E"/>
    <w:rsid w:val="002D3153"/>
    <w:rsid w:val="002D57FE"/>
    <w:rsid w:val="002D6464"/>
    <w:rsid w:val="00310E62"/>
    <w:rsid w:val="00322BB4"/>
    <w:rsid w:val="00334ACA"/>
    <w:rsid w:val="00344D33"/>
    <w:rsid w:val="00345292"/>
    <w:rsid w:val="00347A58"/>
    <w:rsid w:val="00351787"/>
    <w:rsid w:val="003A6F84"/>
    <w:rsid w:val="003B5438"/>
    <w:rsid w:val="003C3A7B"/>
    <w:rsid w:val="003D43E5"/>
    <w:rsid w:val="003D6082"/>
    <w:rsid w:val="003F71F9"/>
    <w:rsid w:val="00423A6D"/>
    <w:rsid w:val="004250E5"/>
    <w:rsid w:val="0043126B"/>
    <w:rsid w:val="00464B7D"/>
    <w:rsid w:val="004E3386"/>
    <w:rsid w:val="004E781D"/>
    <w:rsid w:val="004F59DA"/>
    <w:rsid w:val="00500641"/>
    <w:rsid w:val="00504515"/>
    <w:rsid w:val="0051299F"/>
    <w:rsid w:val="0057275C"/>
    <w:rsid w:val="005A5573"/>
    <w:rsid w:val="006006F4"/>
    <w:rsid w:val="006147B8"/>
    <w:rsid w:val="00624D6C"/>
    <w:rsid w:val="0065443A"/>
    <w:rsid w:val="006571DE"/>
    <w:rsid w:val="00660774"/>
    <w:rsid w:val="00666B5D"/>
    <w:rsid w:val="00667D70"/>
    <w:rsid w:val="006707E3"/>
    <w:rsid w:val="006715DB"/>
    <w:rsid w:val="006834B8"/>
    <w:rsid w:val="006913AB"/>
    <w:rsid w:val="006A2FEB"/>
    <w:rsid w:val="006A6EC6"/>
    <w:rsid w:val="006A7E03"/>
    <w:rsid w:val="006B1E7E"/>
    <w:rsid w:val="006E6760"/>
    <w:rsid w:val="006F7915"/>
    <w:rsid w:val="00716EBA"/>
    <w:rsid w:val="00745C07"/>
    <w:rsid w:val="007501E6"/>
    <w:rsid w:val="00753208"/>
    <w:rsid w:val="00766CA4"/>
    <w:rsid w:val="00767ED3"/>
    <w:rsid w:val="00770598"/>
    <w:rsid w:val="007D5C80"/>
    <w:rsid w:val="007D74EB"/>
    <w:rsid w:val="0081029B"/>
    <w:rsid w:val="00816FF3"/>
    <w:rsid w:val="00825BC6"/>
    <w:rsid w:val="0083717B"/>
    <w:rsid w:val="00845113"/>
    <w:rsid w:val="008572D0"/>
    <w:rsid w:val="0086066C"/>
    <w:rsid w:val="008828CD"/>
    <w:rsid w:val="008925B1"/>
    <w:rsid w:val="00892E36"/>
    <w:rsid w:val="008A14A9"/>
    <w:rsid w:val="008C035C"/>
    <w:rsid w:val="008E00ED"/>
    <w:rsid w:val="008F1B79"/>
    <w:rsid w:val="008F2B92"/>
    <w:rsid w:val="00941A71"/>
    <w:rsid w:val="009629E7"/>
    <w:rsid w:val="009908A5"/>
    <w:rsid w:val="009B02EC"/>
    <w:rsid w:val="009F5699"/>
    <w:rsid w:val="00A03848"/>
    <w:rsid w:val="00A14185"/>
    <w:rsid w:val="00A4253D"/>
    <w:rsid w:val="00A57C9D"/>
    <w:rsid w:val="00A64286"/>
    <w:rsid w:val="00A6660F"/>
    <w:rsid w:val="00A66CF9"/>
    <w:rsid w:val="00A8090A"/>
    <w:rsid w:val="00A831F3"/>
    <w:rsid w:val="00AA49C5"/>
    <w:rsid w:val="00AA7A5D"/>
    <w:rsid w:val="00AD61FF"/>
    <w:rsid w:val="00AE0AAC"/>
    <w:rsid w:val="00AE67FD"/>
    <w:rsid w:val="00AF632E"/>
    <w:rsid w:val="00B14DD7"/>
    <w:rsid w:val="00B14E83"/>
    <w:rsid w:val="00B16FF1"/>
    <w:rsid w:val="00B57C54"/>
    <w:rsid w:val="00B8434E"/>
    <w:rsid w:val="00B931E9"/>
    <w:rsid w:val="00B97621"/>
    <w:rsid w:val="00BA373F"/>
    <w:rsid w:val="00BA7EE7"/>
    <w:rsid w:val="00BC1242"/>
    <w:rsid w:val="00BC7790"/>
    <w:rsid w:val="00BE715C"/>
    <w:rsid w:val="00C02852"/>
    <w:rsid w:val="00C406FC"/>
    <w:rsid w:val="00C617D0"/>
    <w:rsid w:val="00CA0ADD"/>
    <w:rsid w:val="00CA44A5"/>
    <w:rsid w:val="00CA515C"/>
    <w:rsid w:val="00CB1AFC"/>
    <w:rsid w:val="00D16173"/>
    <w:rsid w:val="00D24858"/>
    <w:rsid w:val="00D26ED3"/>
    <w:rsid w:val="00D3365E"/>
    <w:rsid w:val="00D33E10"/>
    <w:rsid w:val="00D41333"/>
    <w:rsid w:val="00D42607"/>
    <w:rsid w:val="00D43F4F"/>
    <w:rsid w:val="00D471A0"/>
    <w:rsid w:val="00D879BB"/>
    <w:rsid w:val="00DA48E7"/>
    <w:rsid w:val="00DA52B7"/>
    <w:rsid w:val="00DB526A"/>
    <w:rsid w:val="00DD2A84"/>
    <w:rsid w:val="00DD716D"/>
    <w:rsid w:val="00DF7184"/>
    <w:rsid w:val="00E1338A"/>
    <w:rsid w:val="00E16028"/>
    <w:rsid w:val="00E26492"/>
    <w:rsid w:val="00E33AAE"/>
    <w:rsid w:val="00E33B6A"/>
    <w:rsid w:val="00E4507B"/>
    <w:rsid w:val="00E53795"/>
    <w:rsid w:val="00E55EBE"/>
    <w:rsid w:val="00E73DAD"/>
    <w:rsid w:val="00E837EB"/>
    <w:rsid w:val="00E8454E"/>
    <w:rsid w:val="00E94FCD"/>
    <w:rsid w:val="00E94FF0"/>
    <w:rsid w:val="00EA3129"/>
    <w:rsid w:val="00EA6752"/>
    <w:rsid w:val="00EB59A0"/>
    <w:rsid w:val="00EB6E37"/>
    <w:rsid w:val="00EC283E"/>
    <w:rsid w:val="00EC35B9"/>
    <w:rsid w:val="00EC626C"/>
    <w:rsid w:val="00ED0194"/>
    <w:rsid w:val="00ED1145"/>
    <w:rsid w:val="00F231B0"/>
    <w:rsid w:val="00F70744"/>
    <w:rsid w:val="00F7127D"/>
    <w:rsid w:val="00F739F3"/>
    <w:rsid w:val="00F92CB1"/>
    <w:rsid w:val="00FC1F4C"/>
    <w:rsid w:val="00FC269C"/>
    <w:rsid w:val="00FD1FCC"/>
    <w:rsid w:val="00FE459D"/>
    <w:rsid w:val="00FE4EC4"/>
    <w:rsid w:val="00FF3A5A"/>
    <w:rsid w:val="01171874"/>
    <w:rsid w:val="017524AC"/>
    <w:rsid w:val="01B3074D"/>
    <w:rsid w:val="01BF684C"/>
    <w:rsid w:val="01EA4745"/>
    <w:rsid w:val="01F75672"/>
    <w:rsid w:val="01FA04C5"/>
    <w:rsid w:val="01FD5F6F"/>
    <w:rsid w:val="021A2464"/>
    <w:rsid w:val="0227136C"/>
    <w:rsid w:val="023C403F"/>
    <w:rsid w:val="024737BC"/>
    <w:rsid w:val="02657810"/>
    <w:rsid w:val="02934EC9"/>
    <w:rsid w:val="02A646E5"/>
    <w:rsid w:val="02A816EE"/>
    <w:rsid w:val="02D07585"/>
    <w:rsid w:val="02DD1DDC"/>
    <w:rsid w:val="033968DC"/>
    <w:rsid w:val="033E78DF"/>
    <w:rsid w:val="03631C8B"/>
    <w:rsid w:val="03737409"/>
    <w:rsid w:val="03811A4F"/>
    <w:rsid w:val="038B349C"/>
    <w:rsid w:val="038C66FF"/>
    <w:rsid w:val="039A2F5F"/>
    <w:rsid w:val="03DB586B"/>
    <w:rsid w:val="040C554B"/>
    <w:rsid w:val="043571F4"/>
    <w:rsid w:val="04450A30"/>
    <w:rsid w:val="04497378"/>
    <w:rsid w:val="046F714E"/>
    <w:rsid w:val="04895010"/>
    <w:rsid w:val="048F1A9B"/>
    <w:rsid w:val="04956A61"/>
    <w:rsid w:val="04A15CEF"/>
    <w:rsid w:val="04CA4554"/>
    <w:rsid w:val="04DF13AA"/>
    <w:rsid w:val="050E1B56"/>
    <w:rsid w:val="052440AA"/>
    <w:rsid w:val="052821B7"/>
    <w:rsid w:val="059C7E7E"/>
    <w:rsid w:val="05B8021F"/>
    <w:rsid w:val="05BE17B7"/>
    <w:rsid w:val="05C35700"/>
    <w:rsid w:val="05E56F04"/>
    <w:rsid w:val="05E91C78"/>
    <w:rsid w:val="06077BAA"/>
    <w:rsid w:val="06182ECF"/>
    <w:rsid w:val="061D724C"/>
    <w:rsid w:val="062F531D"/>
    <w:rsid w:val="063703AA"/>
    <w:rsid w:val="06642D2D"/>
    <w:rsid w:val="066637C1"/>
    <w:rsid w:val="068428E9"/>
    <w:rsid w:val="068A0238"/>
    <w:rsid w:val="069F098B"/>
    <w:rsid w:val="06B20AB5"/>
    <w:rsid w:val="06C377E9"/>
    <w:rsid w:val="06C85F4E"/>
    <w:rsid w:val="06E130D0"/>
    <w:rsid w:val="06EE39C9"/>
    <w:rsid w:val="06FD0EA0"/>
    <w:rsid w:val="06FF6413"/>
    <w:rsid w:val="07137B80"/>
    <w:rsid w:val="0715005E"/>
    <w:rsid w:val="07244DC3"/>
    <w:rsid w:val="07434BCA"/>
    <w:rsid w:val="074866C1"/>
    <w:rsid w:val="07556B9F"/>
    <w:rsid w:val="07602738"/>
    <w:rsid w:val="079A5D39"/>
    <w:rsid w:val="07A0764E"/>
    <w:rsid w:val="07C37441"/>
    <w:rsid w:val="07C9206F"/>
    <w:rsid w:val="07CB05DC"/>
    <w:rsid w:val="07F45FFC"/>
    <w:rsid w:val="081F7CA2"/>
    <w:rsid w:val="083472B4"/>
    <w:rsid w:val="08471265"/>
    <w:rsid w:val="0859325F"/>
    <w:rsid w:val="08617BB8"/>
    <w:rsid w:val="08745F3F"/>
    <w:rsid w:val="08BA0D05"/>
    <w:rsid w:val="08C84423"/>
    <w:rsid w:val="08CB3009"/>
    <w:rsid w:val="08F0369A"/>
    <w:rsid w:val="08F4099F"/>
    <w:rsid w:val="092843E4"/>
    <w:rsid w:val="093D3F11"/>
    <w:rsid w:val="09526CCE"/>
    <w:rsid w:val="09542F09"/>
    <w:rsid w:val="09747ABE"/>
    <w:rsid w:val="098E0239"/>
    <w:rsid w:val="09910E66"/>
    <w:rsid w:val="09B30A80"/>
    <w:rsid w:val="09B9637A"/>
    <w:rsid w:val="0A18572C"/>
    <w:rsid w:val="0A1F4F16"/>
    <w:rsid w:val="0A290CAB"/>
    <w:rsid w:val="0A2E4B86"/>
    <w:rsid w:val="0A401079"/>
    <w:rsid w:val="0A481C45"/>
    <w:rsid w:val="0A4A4575"/>
    <w:rsid w:val="0A5F2B10"/>
    <w:rsid w:val="0A7871DF"/>
    <w:rsid w:val="0A90168C"/>
    <w:rsid w:val="0AD81306"/>
    <w:rsid w:val="0AEB33E1"/>
    <w:rsid w:val="0AF07F6C"/>
    <w:rsid w:val="0AF142C5"/>
    <w:rsid w:val="0B074A0C"/>
    <w:rsid w:val="0B0A78BD"/>
    <w:rsid w:val="0B310714"/>
    <w:rsid w:val="0B4C726D"/>
    <w:rsid w:val="0B5568DF"/>
    <w:rsid w:val="0B642CE9"/>
    <w:rsid w:val="0B900E77"/>
    <w:rsid w:val="0B954157"/>
    <w:rsid w:val="0BAA38F6"/>
    <w:rsid w:val="0BAC61CD"/>
    <w:rsid w:val="0BAF0A57"/>
    <w:rsid w:val="0BAF0F44"/>
    <w:rsid w:val="0BB66575"/>
    <w:rsid w:val="0BBC48D3"/>
    <w:rsid w:val="0BCB720C"/>
    <w:rsid w:val="0BE47A58"/>
    <w:rsid w:val="0BF405EF"/>
    <w:rsid w:val="0C4B235C"/>
    <w:rsid w:val="0C60035E"/>
    <w:rsid w:val="0CA13E02"/>
    <w:rsid w:val="0CB918FB"/>
    <w:rsid w:val="0CE10450"/>
    <w:rsid w:val="0CE5465B"/>
    <w:rsid w:val="0D1643D4"/>
    <w:rsid w:val="0D182775"/>
    <w:rsid w:val="0D2E0223"/>
    <w:rsid w:val="0D421223"/>
    <w:rsid w:val="0D50409B"/>
    <w:rsid w:val="0D656FF1"/>
    <w:rsid w:val="0D777923"/>
    <w:rsid w:val="0D8538FD"/>
    <w:rsid w:val="0D9E7E0F"/>
    <w:rsid w:val="0DEE0D57"/>
    <w:rsid w:val="0DFE0CAB"/>
    <w:rsid w:val="0E0F0455"/>
    <w:rsid w:val="0E25637E"/>
    <w:rsid w:val="0E7D1618"/>
    <w:rsid w:val="0E866879"/>
    <w:rsid w:val="0E884F40"/>
    <w:rsid w:val="0E9C07DF"/>
    <w:rsid w:val="0EBB78F4"/>
    <w:rsid w:val="0EC37539"/>
    <w:rsid w:val="0EDC5A85"/>
    <w:rsid w:val="0EE41B4B"/>
    <w:rsid w:val="0EEA5BFB"/>
    <w:rsid w:val="0EF262D5"/>
    <w:rsid w:val="0F047432"/>
    <w:rsid w:val="0F0F2851"/>
    <w:rsid w:val="0F182FFF"/>
    <w:rsid w:val="0F557D79"/>
    <w:rsid w:val="0F6438FD"/>
    <w:rsid w:val="0F6C4862"/>
    <w:rsid w:val="0F792A4E"/>
    <w:rsid w:val="0F825701"/>
    <w:rsid w:val="0F837E3C"/>
    <w:rsid w:val="0F897A97"/>
    <w:rsid w:val="0FB2755A"/>
    <w:rsid w:val="0FB30E5B"/>
    <w:rsid w:val="0FB85196"/>
    <w:rsid w:val="0FBC27E7"/>
    <w:rsid w:val="0FC9044A"/>
    <w:rsid w:val="0FDF156F"/>
    <w:rsid w:val="0FE003D1"/>
    <w:rsid w:val="0FE521B8"/>
    <w:rsid w:val="100D3ADF"/>
    <w:rsid w:val="1018566E"/>
    <w:rsid w:val="10200ADA"/>
    <w:rsid w:val="102A4D84"/>
    <w:rsid w:val="103A3783"/>
    <w:rsid w:val="103F62B9"/>
    <w:rsid w:val="10403C1F"/>
    <w:rsid w:val="10467C22"/>
    <w:rsid w:val="106741E2"/>
    <w:rsid w:val="10B64CFD"/>
    <w:rsid w:val="10C505BF"/>
    <w:rsid w:val="10E459A2"/>
    <w:rsid w:val="10E95878"/>
    <w:rsid w:val="10FA7B8B"/>
    <w:rsid w:val="110B002A"/>
    <w:rsid w:val="1112341C"/>
    <w:rsid w:val="111F1C12"/>
    <w:rsid w:val="11220530"/>
    <w:rsid w:val="1123321C"/>
    <w:rsid w:val="11531836"/>
    <w:rsid w:val="117A14B8"/>
    <w:rsid w:val="118306C9"/>
    <w:rsid w:val="11BC6E21"/>
    <w:rsid w:val="11C210CA"/>
    <w:rsid w:val="12025C94"/>
    <w:rsid w:val="120612BC"/>
    <w:rsid w:val="120E4821"/>
    <w:rsid w:val="121B2A89"/>
    <w:rsid w:val="123521D9"/>
    <w:rsid w:val="124E2A05"/>
    <w:rsid w:val="127F5D15"/>
    <w:rsid w:val="12867BBC"/>
    <w:rsid w:val="12C92D09"/>
    <w:rsid w:val="12CC2940"/>
    <w:rsid w:val="12E5655F"/>
    <w:rsid w:val="132A4B85"/>
    <w:rsid w:val="134A38F4"/>
    <w:rsid w:val="13513E01"/>
    <w:rsid w:val="13685214"/>
    <w:rsid w:val="139A6375"/>
    <w:rsid w:val="13A36355"/>
    <w:rsid w:val="13AC1068"/>
    <w:rsid w:val="13CA33DC"/>
    <w:rsid w:val="13D374FE"/>
    <w:rsid w:val="13D92D8C"/>
    <w:rsid w:val="13D95916"/>
    <w:rsid w:val="13DD7A91"/>
    <w:rsid w:val="13E24064"/>
    <w:rsid w:val="13EE73C3"/>
    <w:rsid w:val="13FB5320"/>
    <w:rsid w:val="13FE5803"/>
    <w:rsid w:val="1409137B"/>
    <w:rsid w:val="14134B87"/>
    <w:rsid w:val="14220ED5"/>
    <w:rsid w:val="143771ED"/>
    <w:rsid w:val="144E64F9"/>
    <w:rsid w:val="1460330F"/>
    <w:rsid w:val="14673F8D"/>
    <w:rsid w:val="148038B7"/>
    <w:rsid w:val="14A16B75"/>
    <w:rsid w:val="14D24504"/>
    <w:rsid w:val="14F41125"/>
    <w:rsid w:val="14F434A0"/>
    <w:rsid w:val="14F52CBF"/>
    <w:rsid w:val="151615D0"/>
    <w:rsid w:val="152568D0"/>
    <w:rsid w:val="152908CD"/>
    <w:rsid w:val="153E5868"/>
    <w:rsid w:val="15841770"/>
    <w:rsid w:val="158731F7"/>
    <w:rsid w:val="158B56CD"/>
    <w:rsid w:val="15941104"/>
    <w:rsid w:val="15D11126"/>
    <w:rsid w:val="15FD5029"/>
    <w:rsid w:val="161F1D1F"/>
    <w:rsid w:val="162453F6"/>
    <w:rsid w:val="163634D4"/>
    <w:rsid w:val="163C6D3C"/>
    <w:rsid w:val="16417F89"/>
    <w:rsid w:val="164366E6"/>
    <w:rsid w:val="167161DA"/>
    <w:rsid w:val="16A24DCD"/>
    <w:rsid w:val="16AA1099"/>
    <w:rsid w:val="16AF5A6D"/>
    <w:rsid w:val="16B636F7"/>
    <w:rsid w:val="16D57322"/>
    <w:rsid w:val="16DB47A7"/>
    <w:rsid w:val="16E05866"/>
    <w:rsid w:val="16F459CF"/>
    <w:rsid w:val="16FE1553"/>
    <w:rsid w:val="17190169"/>
    <w:rsid w:val="172403CA"/>
    <w:rsid w:val="172A7CF3"/>
    <w:rsid w:val="173E1A6D"/>
    <w:rsid w:val="17600638"/>
    <w:rsid w:val="17614581"/>
    <w:rsid w:val="178F53EA"/>
    <w:rsid w:val="17982824"/>
    <w:rsid w:val="17997703"/>
    <w:rsid w:val="17DB498B"/>
    <w:rsid w:val="17E004F9"/>
    <w:rsid w:val="17E03D15"/>
    <w:rsid w:val="17E70F2A"/>
    <w:rsid w:val="18100480"/>
    <w:rsid w:val="1819047B"/>
    <w:rsid w:val="182C4545"/>
    <w:rsid w:val="183436D9"/>
    <w:rsid w:val="184C6DB1"/>
    <w:rsid w:val="1858173C"/>
    <w:rsid w:val="18764E08"/>
    <w:rsid w:val="188125EA"/>
    <w:rsid w:val="189F55F4"/>
    <w:rsid w:val="18AD4901"/>
    <w:rsid w:val="18AF3831"/>
    <w:rsid w:val="18B42DE9"/>
    <w:rsid w:val="18D2340B"/>
    <w:rsid w:val="18EE0CC3"/>
    <w:rsid w:val="18EF1C68"/>
    <w:rsid w:val="19407906"/>
    <w:rsid w:val="195B7D6F"/>
    <w:rsid w:val="19797D0C"/>
    <w:rsid w:val="197C59A3"/>
    <w:rsid w:val="199202A4"/>
    <w:rsid w:val="199A0B98"/>
    <w:rsid w:val="19A16DB7"/>
    <w:rsid w:val="19BE7E2A"/>
    <w:rsid w:val="19D454DE"/>
    <w:rsid w:val="19EE2997"/>
    <w:rsid w:val="19F5711A"/>
    <w:rsid w:val="1A25069D"/>
    <w:rsid w:val="1A48511B"/>
    <w:rsid w:val="1A5F7CFF"/>
    <w:rsid w:val="1A712204"/>
    <w:rsid w:val="1A8D0787"/>
    <w:rsid w:val="1AD31C39"/>
    <w:rsid w:val="1ADF5748"/>
    <w:rsid w:val="1AED60B6"/>
    <w:rsid w:val="1B44195B"/>
    <w:rsid w:val="1B6653E1"/>
    <w:rsid w:val="1B6F407E"/>
    <w:rsid w:val="1BB963C3"/>
    <w:rsid w:val="1BE063BC"/>
    <w:rsid w:val="1BFE3817"/>
    <w:rsid w:val="1C026A3B"/>
    <w:rsid w:val="1C065130"/>
    <w:rsid w:val="1C071E75"/>
    <w:rsid w:val="1C0D79D1"/>
    <w:rsid w:val="1C447E6E"/>
    <w:rsid w:val="1C514CE7"/>
    <w:rsid w:val="1C5B13F8"/>
    <w:rsid w:val="1C66462C"/>
    <w:rsid w:val="1C752BBC"/>
    <w:rsid w:val="1C8C5982"/>
    <w:rsid w:val="1C9A626F"/>
    <w:rsid w:val="1C9C025F"/>
    <w:rsid w:val="1CE047FF"/>
    <w:rsid w:val="1CEE1BBC"/>
    <w:rsid w:val="1D0161EB"/>
    <w:rsid w:val="1D246AC7"/>
    <w:rsid w:val="1D2D5631"/>
    <w:rsid w:val="1D382CE5"/>
    <w:rsid w:val="1D3943B9"/>
    <w:rsid w:val="1D4D2945"/>
    <w:rsid w:val="1D530C8F"/>
    <w:rsid w:val="1D6F3C77"/>
    <w:rsid w:val="1DB87B82"/>
    <w:rsid w:val="1DCD79B3"/>
    <w:rsid w:val="1E242FA0"/>
    <w:rsid w:val="1E2635C8"/>
    <w:rsid w:val="1E42390A"/>
    <w:rsid w:val="1E4479F5"/>
    <w:rsid w:val="1E481D01"/>
    <w:rsid w:val="1E4C761E"/>
    <w:rsid w:val="1E5D3CF4"/>
    <w:rsid w:val="1E65288C"/>
    <w:rsid w:val="1E7978A7"/>
    <w:rsid w:val="1ED65FDF"/>
    <w:rsid w:val="1ED670E2"/>
    <w:rsid w:val="1EDD22B2"/>
    <w:rsid w:val="1EFD679F"/>
    <w:rsid w:val="1F103F85"/>
    <w:rsid w:val="1F2853C9"/>
    <w:rsid w:val="1F2C22AC"/>
    <w:rsid w:val="1F3569AB"/>
    <w:rsid w:val="1F425605"/>
    <w:rsid w:val="1F501B58"/>
    <w:rsid w:val="1F7C1719"/>
    <w:rsid w:val="1FB34ED1"/>
    <w:rsid w:val="1FD63D84"/>
    <w:rsid w:val="1FFB2836"/>
    <w:rsid w:val="20073468"/>
    <w:rsid w:val="201054AB"/>
    <w:rsid w:val="202B4E25"/>
    <w:rsid w:val="205662AB"/>
    <w:rsid w:val="205B1010"/>
    <w:rsid w:val="20703EBA"/>
    <w:rsid w:val="20776C72"/>
    <w:rsid w:val="20891984"/>
    <w:rsid w:val="209D19A2"/>
    <w:rsid w:val="20B858E3"/>
    <w:rsid w:val="20BA0C8B"/>
    <w:rsid w:val="20DE251B"/>
    <w:rsid w:val="20E208BE"/>
    <w:rsid w:val="210E5779"/>
    <w:rsid w:val="21116D6C"/>
    <w:rsid w:val="21555FFF"/>
    <w:rsid w:val="215B62FE"/>
    <w:rsid w:val="21636449"/>
    <w:rsid w:val="21706016"/>
    <w:rsid w:val="219B1519"/>
    <w:rsid w:val="21A220AF"/>
    <w:rsid w:val="21AF1F37"/>
    <w:rsid w:val="21CE157F"/>
    <w:rsid w:val="21D64994"/>
    <w:rsid w:val="21EF66CC"/>
    <w:rsid w:val="22041D83"/>
    <w:rsid w:val="220F4647"/>
    <w:rsid w:val="220F6353"/>
    <w:rsid w:val="22161464"/>
    <w:rsid w:val="222334A6"/>
    <w:rsid w:val="224F6DFB"/>
    <w:rsid w:val="226C5FFC"/>
    <w:rsid w:val="22AD7522"/>
    <w:rsid w:val="22BC37D0"/>
    <w:rsid w:val="22CB3886"/>
    <w:rsid w:val="22CC254A"/>
    <w:rsid w:val="22ED3C46"/>
    <w:rsid w:val="22FE20AD"/>
    <w:rsid w:val="23052CB6"/>
    <w:rsid w:val="231548B1"/>
    <w:rsid w:val="231F6004"/>
    <w:rsid w:val="23352255"/>
    <w:rsid w:val="23474DBE"/>
    <w:rsid w:val="23475D11"/>
    <w:rsid w:val="234A2CBF"/>
    <w:rsid w:val="23553FF0"/>
    <w:rsid w:val="23575396"/>
    <w:rsid w:val="237C0C70"/>
    <w:rsid w:val="238910E7"/>
    <w:rsid w:val="23EB0CBD"/>
    <w:rsid w:val="240115C5"/>
    <w:rsid w:val="240C59DD"/>
    <w:rsid w:val="24163FA5"/>
    <w:rsid w:val="241D7B3F"/>
    <w:rsid w:val="24575689"/>
    <w:rsid w:val="24895704"/>
    <w:rsid w:val="24AA6E1F"/>
    <w:rsid w:val="24B578C1"/>
    <w:rsid w:val="24E011DB"/>
    <w:rsid w:val="24E10DE6"/>
    <w:rsid w:val="24E35695"/>
    <w:rsid w:val="24E62AFB"/>
    <w:rsid w:val="24F00973"/>
    <w:rsid w:val="251975DA"/>
    <w:rsid w:val="253801A8"/>
    <w:rsid w:val="2543097A"/>
    <w:rsid w:val="254D5797"/>
    <w:rsid w:val="2555371D"/>
    <w:rsid w:val="255D2D36"/>
    <w:rsid w:val="258E6F48"/>
    <w:rsid w:val="25A35D9C"/>
    <w:rsid w:val="25D759B8"/>
    <w:rsid w:val="25E327D5"/>
    <w:rsid w:val="25F211C5"/>
    <w:rsid w:val="26211C70"/>
    <w:rsid w:val="262E6ED2"/>
    <w:rsid w:val="2681079B"/>
    <w:rsid w:val="268479F6"/>
    <w:rsid w:val="26860394"/>
    <w:rsid w:val="26A30288"/>
    <w:rsid w:val="26D44D6F"/>
    <w:rsid w:val="26D76851"/>
    <w:rsid w:val="27036191"/>
    <w:rsid w:val="27085757"/>
    <w:rsid w:val="270E3D1E"/>
    <w:rsid w:val="271C26A0"/>
    <w:rsid w:val="272F2A2E"/>
    <w:rsid w:val="273F3383"/>
    <w:rsid w:val="27532138"/>
    <w:rsid w:val="27536EF7"/>
    <w:rsid w:val="27600FCE"/>
    <w:rsid w:val="2767358A"/>
    <w:rsid w:val="27677775"/>
    <w:rsid w:val="276B7224"/>
    <w:rsid w:val="277B5EAD"/>
    <w:rsid w:val="278B04FF"/>
    <w:rsid w:val="27A64A59"/>
    <w:rsid w:val="27B40309"/>
    <w:rsid w:val="27BF77CD"/>
    <w:rsid w:val="27C80258"/>
    <w:rsid w:val="27C855AD"/>
    <w:rsid w:val="27D36A0B"/>
    <w:rsid w:val="27D4045B"/>
    <w:rsid w:val="27F62090"/>
    <w:rsid w:val="282334BE"/>
    <w:rsid w:val="28252672"/>
    <w:rsid w:val="2839618E"/>
    <w:rsid w:val="285D7100"/>
    <w:rsid w:val="28884063"/>
    <w:rsid w:val="2899012F"/>
    <w:rsid w:val="28A606A1"/>
    <w:rsid w:val="28AC4D09"/>
    <w:rsid w:val="28BB1909"/>
    <w:rsid w:val="2902271F"/>
    <w:rsid w:val="292A6BCD"/>
    <w:rsid w:val="293D0721"/>
    <w:rsid w:val="293E25D2"/>
    <w:rsid w:val="296348F9"/>
    <w:rsid w:val="29694671"/>
    <w:rsid w:val="297240DD"/>
    <w:rsid w:val="29872D20"/>
    <w:rsid w:val="29AE66B4"/>
    <w:rsid w:val="29BA49DE"/>
    <w:rsid w:val="29DC15D1"/>
    <w:rsid w:val="29FF1CD0"/>
    <w:rsid w:val="2A1468B0"/>
    <w:rsid w:val="2A435801"/>
    <w:rsid w:val="2A547277"/>
    <w:rsid w:val="2A724AA4"/>
    <w:rsid w:val="2AC6072A"/>
    <w:rsid w:val="2AD80EE4"/>
    <w:rsid w:val="2AED3E69"/>
    <w:rsid w:val="2AF71901"/>
    <w:rsid w:val="2B07735B"/>
    <w:rsid w:val="2B0D4974"/>
    <w:rsid w:val="2B69017C"/>
    <w:rsid w:val="2B8414B1"/>
    <w:rsid w:val="2BA36251"/>
    <w:rsid w:val="2BB83D85"/>
    <w:rsid w:val="2BBB1E0C"/>
    <w:rsid w:val="2BE237BF"/>
    <w:rsid w:val="2C395289"/>
    <w:rsid w:val="2C6C71FA"/>
    <w:rsid w:val="2C865BD2"/>
    <w:rsid w:val="2C885AD6"/>
    <w:rsid w:val="2CA927FA"/>
    <w:rsid w:val="2CB31908"/>
    <w:rsid w:val="2CC06F13"/>
    <w:rsid w:val="2CF972DD"/>
    <w:rsid w:val="2CFD68F5"/>
    <w:rsid w:val="2D3B78F6"/>
    <w:rsid w:val="2D8A43D9"/>
    <w:rsid w:val="2D8B5158"/>
    <w:rsid w:val="2DB650FE"/>
    <w:rsid w:val="2DD616B2"/>
    <w:rsid w:val="2DE42AF7"/>
    <w:rsid w:val="2DF34929"/>
    <w:rsid w:val="2DFF6B3A"/>
    <w:rsid w:val="2E345470"/>
    <w:rsid w:val="2E3A4F0F"/>
    <w:rsid w:val="2E3D6D05"/>
    <w:rsid w:val="2E4A1A53"/>
    <w:rsid w:val="2E666BF4"/>
    <w:rsid w:val="2E694A04"/>
    <w:rsid w:val="2E851517"/>
    <w:rsid w:val="2E894691"/>
    <w:rsid w:val="2EAC460B"/>
    <w:rsid w:val="2EBA4489"/>
    <w:rsid w:val="2ECB6F2D"/>
    <w:rsid w:val="2ECF180C"/>
    <w:rsid w:val="2EE00724"/>
    <w:rsid w:val="2EE627BE"/>
    <w:rsid w:val="2F062E78"/>
    <w:rsid w:val="2F3358F9"/>
    <w:rsid w:val="2F5401C3"/>
    <w:rsid w:val="2F5F6AC7"/>
    <w:rsid w:val="2F6166C6"/>
    <w:rsid w:val="2F6A6270"/>
    <w:rsid w:val="2F83138F"/>
    <w:rsid w:val="2F833164"/>
    <w:rsid w:val="3001658A"/>
    <w:rsid w:val="300C7EE4"/>
    <w:rsid w:val="30154744"/>
    <w:rsid w:val="30353C29"/>
    <w:rsid w:val="30394D9D"/>
    <w:rsid w:val="304D44BC"/>
    <w:rsid w:val="3050638A"/>
    <w:rsid w:val="30A106D7"/>
    <w:rsid w:val="30B55E57"/>
    <w:rsid w:val="30C25BB8"/>
    <w:rsid w:val="311C7963"/>
    <w:rsid w:val="31522954"/>
    <w:rsid w:val="316260A4"/>
    <w:rsid w:val="316E7252"/>
    <w:rsid w:val="317B4814"/>
    <w:rsid w:val="317C228B"/>
    <w:rsid w:val="318A6853"/>
    <w:rsid w:val="31DE70DA"/>
    <w:rsid w:val="32075FF9"/>
    <w:rsid w:val="323C3C96"/>
    <w:rsid w:val="32467555"/>
    <w:rsid w:val="324A3E9C"/>
    <w:rsid w:val="32860A96"/>
    <w:rsid w:val="32945942"/>
    <w:rsid w:val="329E04FD"/>
    <w:rsid w:val="32B41E52"/>
    <w:rsid w:val="32C66A7A"/>
    <w:rsid w:val="32CE706B"/>
    <w:rsid w:val="32E159D6"/>
    <w:rsid w:val="32E42847"/>
    <w:rsid w:val="32F51684"/>
    <w:rsid w:val="32FE389F"/>
    <w:rsid w:val="33110903"/>
    <w:rsid w:val="33171638"/>
    <w:rsid w:val="3321133C"/>
    <w:rsid w:val="33265EB1"/>
    <w:rsid w:val="332779FE"/>
    <w:rsid w:val="332A20B1"/>
    <w:rsid w:val="334727D0"/>
    <w:rsid w:val="33483B2E"/>
    <w:rsid w:val="336D6FD3"/>
    <w:rsid w:val="336D7AC4"/>
    <w:rsid w:val="337672CD"/>
    <w:rsid w:val="337B12C4"/>
    <w:rsid w:val="337B3FB6"/>
    <w:rsid w:val="33A10940"/>
    <w:rsid w:val="33D03282"/>
    <w:rsid w:val="33E162AB"/>
    <w:rsid w:val="33F43507"/>
    <w:rsid w:val="34031F81"/>
    <w:rsid w:val="340A2BC5"/>
    <w:rsid w:val="34154FC5"/>
    <w:rsid w:val="342C69D4"/>
    <w:rsid w:val="346260ED"/>
    <w:rsid w:val="347C4511"/>
    <w:rsid w:val="349A466D"/>
    <w:rsid w:val="34CA6C80"/>
    <w:rsid w:val="34CC342B"/>
    <w:rsid w:val="34E452E0"/>
    <w:rsid w:val="34E63E44"/>
    <w:rsid w:val="351011C0"/>
    <w:rsid w:val="351070BA"/>
    <w:rsid w:val="3517435A"/>
    <w:rsid w:val="35262C3A"/>
    <w:rsid w:val="353413A3"/>
    <w:rsid w:val="3565496C"/>
    <w:rsid w:val="35731BF7"/>
    <w:rsid w:val="357339A5"/>
    <w:rsid w:val="35973B37"/>
    <w:rsid w:val="35A65B28"/>
    <w:rsid w:val="35A70210"/>
    <w:rsid w:val="35E33557"/>
    <w:rsid w:val="35E97DB6"/>
    <w:rsid w:val="36303EE4"/>
    <w:rsid w:val="36493D8C"/>
    <w:rsid w:val="364B11F1"/>
    <w:rsid w:val="36537AC0"/>
    <w:rsid w:val="365908C8"/>
    <w:rsid w:val="366559E4"/>
    <w:rsid w:val="36792FD7"/>
    <w:rsid w:val="368045CB"/>
    <w:rsid w:val="36A60538"/>
    <w:rsid w:val="36B02D31"/>
    <w:rsid w:val="36B143D9"/>
    <w:rsid w:val="36D33E3C"/>
    <w:rsid w:val="36DB566D"/>
    <w:rsid w:val="36F63D88"/>
    <w:rsid w:val="370B198D"/>
    <w:rsid w:val="371E3F66"/>
    <w:rsid w:val="37665153"/>
    <w:rsid w:val="376B4C00"/>
    <w:rsid w:val="3770507F"/>
    <w:rsid w:val="378254C0"/>
    <w:rsid w:val="37A767E6"/>
    <w:rsid w:val="37A822BE"/>
    <w:rsid w:val="37B053B6"/>
    <w:rsid w:val="37C93620"/>
    <w:rsid w:val="37F034C6"/>
    <w:rsid w:val="37F1776A"/>
    <w:rsid w:val="37FD4A54"/>
    <w:rsid w:val="381D575A"/>
    <w:rsid w:val="384368F6"/>
    <w:rsid w:val="38464432"/>
    <w:rsid w:val="38776A58"/>
    <w:rsid w:val="387B329C"/>
    <w:rsid w:val="38854EF2"/>
    <w:rsid w:val="38890542"/>
    <w:rsid w:val="38944B73"/>
    <w:rsid w:val="38B369F8"/>
    <w:rsid w:val="38BF1ED3"/>
    <w:rsid w:val="3907606D"/>
    <w:rsid w:val="39092797"/>
    <w:rsid w:val="392A5311"/>
    <w:rsid w:val="392D5D11"/>
    <w:rsid w:val="394123EC"/>
    <w:rsid w:val="396609B1"/>
    <w:rsid w:val="39956770"/>
    <w:rsid w:val="39A71832"/>
    <w:rsid w:val="39A9208B"/>
    <w:rsid w:val="39DF45FA"/>
    <w:rsid w:val="39E71349"/>
    <w:rsid w:val="39F53FCC"/>
    <w:rsid w:val="3A0B63E1"/>
    <w:rsid w:val="3A2B484E"/>
    <w:rsid w:val="3A331955"/>
    <w:rsid w:val="3A400993"/>
    <w:rsid w:val="3A4C6D2F"/>
    <w:rsid w:val="3A633BE8"/>
    <w:rsid w:val="3A824F99"/>
    <w:rsid w:val="3A9376FD"/>
    <w:rsid w:val="3AA10705"/>
    <w:rsid w:val="3AA22CFA"/>
    <w:rsid w:val="3AAE2278"/>
    <w:rsid w:val="3ACD5133"/>
    <w:rsid w:val="3AF27B57"/>
    <w:rsid w:val="3B3B092F"/>
    <w:rsid w:val="3B4668D3"/>
    <w:rsid w:val="3B512AC7"/>
    <w:rsid w:val="3B745079"/>
    <w:rsid w:val="3B95319C"/>
    <w:rsid w:val="3BA57E8D"/>
    <w:rsid w:val="3BAB3E99"/>
    <w:rsid w:val="3BAE5CB6"/>
    <w:rsid w:val="3BAE6269"/>
    <w:rsid w:val="3BB30F9F"/>
    <w:rsid w:val="3BBA40DC"/>
    <w:rsid w:val="3BBA4578"/>
    <w:rsid w:val="3BBD419E"/>
    <w:rsid w:val="3BC15D57"/>
    <w:rsid w:val="3BE20411"/>
    <w:rsid w:val="3BE451DD"/>
    <w:rsid w:val="3C3A026E"/>
    <w:rsid w:val="3C447DDB"/>
    <w:rsid w:val="3C5830E2"/>
    <w:rsid w:val="3C7B7D0F"/>
    <w:rsid w:val="3CEC29BB"/>
    <w:rsid w:val="3CFB3486"/>
    <w:rsid w:val="3D0A7794"/>
    <w:rsid w:val="3D1708FC"/>
    <w:rsid w:val="3D1A7390"/>
    <w:rsid w:val="3D2316EF"/>
    <w:rsid w:val="3D5A050C"/>
    <w:rsid w:val="3D8B24EA"/>
    <w:rsid w:val="3DB8213A"/>
    <w:rsid w:val="3DEE3070"/>
    <w:rsid w:val="3E0E7115"/>
    <w:rsid w:val="3E1251B0"/>
    <w:rsid w:val="3E3F62D3"/>
    <w:rsid w:val="3E41335C"/>
    <w:rsid w:val="3E6B2193"/>
    <w:rsid w:val="3E7C3D6A"/>
    <w:rsid w:val="3E90381A"/>
    <w:rsid w:val="3E913E6E"/>
    <w:rsid w:val="3EBD75C8"/>
    <w:rsid w:val="3EC510CE"/>
    <w:rsid w:val="3F086863"/>
    <w:rsid w:val="3F097A8F"/>
    <w:rsid w:val="3F0A57CF"/>
    <w:rsid w:val="3F0F3A45"/>
    <w:rsid w:val="3F5056EE"/>
    <w:rsid w:val="3F5A6F13"/>
    <w:rsid w:val="3F6E5909"/>
    <w:rsid w:val="3F882780"/>
    <w:rsid w:val="3F9335C1"/>
    <w:rsid w:val="3F953B21"/>
    <w:rsid w:val="3F97238E"/>
    <w:rsid w:val="3F9B0412"/>
    <w:rsid w:val="3FA23DBD"/>
    <w:rsid w:val="3FB35257"/>
    <w:rsid w:val="3FB6417D"/>
    <w:rsid w:val="3FB944BF"/>
    <w:rsid w:val="3FC33CE5"/>
    <w:rsid w:val="3FC37539"/>
    <w:rsid w:val="3FF81A15"/>
    <w:rsid w:val="400E0065"/>
    <w:rsid w:val="40474350"/>
    <w:rsid w:val="40520D87"/>
    <w:rsid w:val="407112AE"/>
    <w:rsid w:val="40827371"/>
    <w:rsid w:val="40835C11"/>
    <w:rsid w:val="40A972C3"/>
    <w:rsid w:val="40B60DFF"/>
    <w:rsid w:val="40CF6F3E"/>
    <w:rsid w:val="40D66930"/>
    <w:rsid w:val="41066E56"/>
    <w:rsid w:val="41241738"/>
    <w:rsid w:val="412D4F64"/>
    <w:rsid w:val="415B5E44"/>
    <w:rsid w:val="416430E1"/>
    <w:rsid w:val="418630F0"/>
    <w:rsid w:val="418845EF"/>
    <w:rsid w:val="419D6868"/>
    <w:rsid w:val="41B120D9"/>
    <w:rsid w:val="41B27BC3"/>
    <w:rsid w:val="41B92AEF"/>
    <w:rsid w:val="41C924CD"/>
    <w:rsid w:val="42297269"/>
    <w:rsid w:val="42383FAC"/>
    <w:rsid w:val="428B4AEB"/>
    <w:rsid w:val="428C263D"/>
    <w:rsid w:val="42AB2833"/>
    <w:rsid w:val="42CD462E"/>
    <w:rsid w:val="42E05B48"/>
    <w:rsid w:val="43056A83"/>
    <w:rsid w:val="430C76E0"/>
    <w:rsid w:val="431C7EE5"/>
    <w:rsid w:val="43266B4C"/>
    <w:rsid w:val="43302ED5"/>
    <w:rsid w:val="433B15A7"/>
    <w:rsid w:val="434B7D0F"/>
    <w:rsid w:val="43632A8E"/>
    <w:rsid w:val="43817B35"/>
    <w:rsid w:val="4383035D"/>
    <w:rsid w:val="438A5501"/>
    <w:rsid w:val="4398427E"/>
    <w:rsid w:val="43B93FA8"/>
    <w:rsid w:val="43D32F27"/>
    <w:rsid w:val="43F82659"/>
    <w:rsid w:val="440901CA"/>
    <w:rsid w:val="44140974"/>
    <w:rsid w:val="44190F99"/>
    <w:rsid w:val="442403F9"/>
    <w:rsid w:val="443171E5"/>
    <w:rsid w:val="443E60EA"/>
    <w:rsid w:val="445423C5"/>
    <w:rsid w:val="44622B86"/>
    <w:rsid w:val="44713757"/>
    <w:rsid w:val="448E55E4"/>
    <w:rsid w:val="44AB0299"/>
    <w:rsid w:val="44B71B00"/>
    <w:rsid w:val="44BA35B6"/>
    <w:rsid w:val="44BB1488"/>
    <w:rsid w:val="44DD0E3B"/>
    <w:rsid w:val="44F07349"/>
    <w:rsid w:val="451E2038"/>
    <w:rsid w:val="45466038"/>
    <w:rsid w:val="45522968"/>
    <w:rsid w:val="457F7272"/>
    <w:rsid w:val="458C6934"/>
    <w:rsid w:val="46073748"/>
    <w:rsid w:val="462E79F1"/>
    <w:rsid w:val="462F1B6A"/>
    <w:rsid w:val="46534F82"/>
    <w:rsid w:val="465B5DAE"/>
    <w:rsid w:val="465D72A2"/>
    <w:rsid w:val="465E18F3"/>
    <w:rsid w:val="4661696D"/>
    <w:rsid w:val="466263C3"/>
    <w:rsid w:val="467C5739"/>
    <w:rsid w:val="46831A99"/>
    <w:rsid w:val="468C1600"/>
    <w:rsid w:val="46A635DB"/>
    <w:rsid w:val="46BA6CBB"/>
    <w:rsid w:val="46C63C04"/>
    <w:rsid w:val="46CE1383"/>
    <w:rsid w:val="46DB38C0"/>
    <w:rsid w:val="46E1696A"/>
    <w:rsid w:val="47012B0C"/>
    <w:rsid w:val="47115896"/>
    <w:rsid w:val="47196F77"/>
    <w:rsid w:val="472529AB"/>
    <w:rsid w:val="47266AC9"/>
    <w:rsid w:val="473768C6"/>
    <w:rsid w:val="475267CD"/>
    <w:rsid w:val="478718E7"/>
    <w:rsid w:val="47B24618"/>
    <w:rsid w:val="47BF237C"/>
    <w:rsid w:val="47CE6158"/>
    <w:rsid w:val="47DF4A19"/>
    <w:rsid w:val="47FC5B03"/>
    <w:rsid w:val="47FE1D76"/>
    <w:rsid w:val="483A75B9"/>
    <w:rsid w:val="483F074B"/>
    <w:rsid w:val="4853040B"/>
    <w:rsid w:val="485A024C"/>
    <w:rsid w:val="4888270D"/>
    <w:rsid w:val="48B86708"/>
    <w:rsid w:val="48BF71D5"/>
    <w:rsid w:val="492F1751"/>
    <w:rsid w:val="4957740E"/>
    <w:rsid w:val="496F2AB1"/>
    <w:rsid w:val="497753E6"/>
    <w:rsid w:val="49CE6F44"/>
    <w:rsid w:val="49CE7F06"/>
    <w:rsid w:val="49D73FE4"/>
    <w:rsid w:val="49E61313"/>
    <w:rsid w:val="4A007AA5"/>
    <w:rsid w:val="4A183041"/>
    <w:rsid w:val="4A2878EE"/>
    <w:rsid w:val="4A2B0AE3"/>
    <w:rsid w:val="4A482C70"/>
    <w:rsid w:val="4A58168F"/>
    <w:rsid w:val="4A866AC5"/>
    <w:rsid w:val="4A8815A1"/>
    <w:rsid w:val="4A8A76B7"/>
    <w:rsid w:val="4A9007AF"/>
    <w:rsid w:val="4AA23376"/>
    <w:rsid w:val="4AAC2C5B"/>
    <w:rsid w:val="4AE45A49"/>
    <w:rsid w:val="4AEE216C"/>
    <w:rsid w:val="4B29099A"/>
    <w:rsid w:val="4B313BAD"/>
    <w:rsid w:val="4B4B64B2"/>
    <w:rsid w:val="4B4D6462"/>
    <w:rsid w:val="4B5A30A1"/>
    <w:rsid w:val="4B777FC8"/>
    <w:rsid w:val="4B87106E"/>
    <w:rsid w:val="4B8E5828"/>
    <w:rsid w:val="4B9732F4"/>
    <w:rsid w:val="4BC2339D"/>
    <w:rsid w:val="4BCF2AD6"/>
    <w:rsid w:val="4BFB79BA"/>
    <w:rsid w:val="4C01454E"/>
    <w:rsid w:val="4C023F8C"/>
    <w:rsid w:val="4C03562B"/>
    <w:rsid w:val="4C1C493F"/>
    <w:rsid w:val="4C1E5027"/>
    <w:rsid w:val="4C2F4672"/>
    <w:rsid w:val="4C561C6A"/>
    <w:rsid w:val="4C735FE6"/>
    <w:rsid w:val="4C8C366D"/>
    <w:rsid w:val="4C951B67"/>
    <w:rsid w:val="4CDD5C9E"/>
    <w:rsid w:val="4CDF14F6"/>
    <w:rsid w:val="4D17148E"/>
    <w:rsid w:val="4D190925"/>
    <w:rsid w:val="4D2B05C5"/>
    <w:rsid w:val="4D3850D9"/>
    <w:rsid w:val="4D3E6AC8"/>
    <w:rsid w:val="4D4648F1"/>
    <w:rsid w:val="4D632239"/>
    <w:rsid w:val="4DD12437"/>
    <w:rsid w:val="4DD20C31"/>
    <w:rsid w:val="4DEC75C7"/>
    <w:rsid w:val="4DF3347D"/>
    <w:rsid w:val="4E083087"/>
    <w:rsid w:val="4E164095"/>
    <w:rsid w:val="4E231BD6"/>
    <w:rsid w:val="4E452FED"/>
    <w:rsid w:val="4E464D7B"/>
    <w:rsid w:val="4E4923FB"/>
    <w:rsid w:val="4E4A739C"/>
    <w:rsid w:val="4E6B3F6B"/>
    <w:rsid w:val="4E6B5521"/>
    <w:rsid w:val="4E7D563C"/>
    <w:rsid w:val="4E8000A5"/>
    <w:rsid w:val="4E8D43B9"/>
    <w:rsid w:val="4EA02273"/>
    <w:rsid w:val="4ECE7A68"/>
    <w:rsid w:val="4ED22280"/>
    <w:rsid w:val="4ED767A5"/>
    <w:rsid w:val="4F016159"/>
    <w:rsid w:val="4F560168"/>
    <w:rsid w:val="4F591F2F"/>
    <w:rsid w:val="4F5E1FB1"/>
    <w:rsid w:val="4F740D5F"/>
    <w:rsid w:val="4F8915E2"/>
    <w:rsid w:val="4F8D5DE2"/>
    <w:rsid w:val="4F9C6CCB"/>
    <w:rsid w:val="4FC04703"/>
    <w:rsid w:val="4FCE113C"/>
    <w:rsid w:val="4FD13549"/>
    <w:rsid w:val="4FE00D4D"/>
    <w:rsid w:val="500F7F2F"/>
    <w:rsid w:val="50216394"/>
    <w:rsid w:val="50260B79"/>
    <w:rsid w:val="504303B7"/>
    <w:rsid w:val="504924DD"/>
    <w:rsid w:val="50502E09"/>
    <w:rsid w:val="505E3E94"/>
    <w:rsid w:val="50715259"/>
    <w:rsid w:val="508A4913"/>
    <w:rsid w:val="50A524D5"/>
    <w:rsid w:val="50DB329B"/>
    <w:rsid w:val="50DE0E73"/>
    <w:rsid w:val="50F22664"/>
    <w:rsid w:val="511C1455"/>
    <w:rsid w:val="511C2D0A"/>
    <w:rsid w:val="51291F21"/>
    <w:rsid w:val="513F5357"/>
    <w:rsid w:val="514E21A9"/>
    <w:rsid w:val="51771A1A"/>
    <w:rsid w:val="517C6E66"/>
    <w:rsid w:val="518B3C19"/>
    <w:rsid w:val="51AD5C1C"/>
    <w:rsid w:val="51CD421C"/>
    <w:rsid w:val="51ED4DB3"/>
    <w:rsid w:val="522510AD"/>
    <w:rsid w:val="52557D35"/>
    <w:rsid w:val="52616076"/>
    <w:rsid w:val="528616F8"/>
    <w:rsid w:val="52924294"/>
    <w:rsid w:val="52960D8F"/>
    <w:rsid w:val="52970207"/>
    <w:rsid w:val="52976ACD"/>
    <w:rsid w:val="52CA767F"/>
    <w:rsid w:val="52ED09EC"/>
    <w:rsid w:val="532105A3"/>
    <w:rsid w:val="532E05B2"/>
    <w:rsid w:val="533F00C1"/>
    <w:rsid w:val="534A6B5C"/>
    <w:rsid w:val="53B12C2C"/>
    <w:rsid w:val="53B547AA"/>
    <w:rsid w:val="53C34A6F"/>
    <w:rsid w:val="53DF4239"/>
    <w:rsid w:val="53EE7D83"/>
    <w:rsid w:val="54227F49"/>
    <w:rsid w:val="54234E18"/>
    <w:rsid w:val="54266D3E"/>
    <w:rsid w:val="542F45C0"/>
    <w:rsid w:val="546315F6"/>
    <w:rsid w:val="5483448D"/>
    <w:rsid w:val="54BA6AA3"/>
    <w:rsid w:val="54BC6626"/>
    <w:rsid w:val="54C6565D"/>
    <w:rsid w:val="54CF221A"/>
    <w:rsid w:val="55316168"/>
    <w:rsid w:val="55393DE9"/>
    <w:rsid w:val="553E5AA8"/>
    <w:rsid w:val="55740B89"/>
    <w:rsid w:val="5574464A"/>
    <w:rsid w:val="558A46C7"/>
    <w:rsid w:val="559F4FDA"/>
    <w:rsid w:val="55CB7BC8"/>
    <w:rsid w:val="55E742C2"/>
    <w:rsid w:val="5605137C"/>
    <w:rsid w:val="561060A2"/>
    <w:rsid w:val="562D06F7"/>
    <w:rsid w:val="56426CE9"/>
    <w:rsid w:val="56762DFD"/>
    <w:rsid w:val="56871834"/>
    <w:rsid w:val="56963132"/>
    <w:rsid w:val="56F76BFC"/>
    <w:rsid w:val="57053A42"/>
    <w:rsid w:val="57164213"/>
    <w:rsid w:val="572868A4"/>
    <w:rsid w:val="574B7E86"/>
    <w:rsid w:val="574C37B2"/>
    <w:rsid w:val="57580C7D"/>
    <w:rsid w:val="57666D80"/>
    <w:rsid w:val="576974C5"/>
    <w:rsid w:val="576D32D8"/>
    <w:rsid w:val="578A6A3D"/>
    <w:rsid w:val="57A867DC"/>
    <w:rsid w:val="57B25E1C"/>
    <w:rsid w:val="57C54DFF"/>
    <w:rsid w:val="57D11A4F"/>
    <w:rsid w:val="58105B00"/>
    <w:rsid w:val="581A7F84"/>
    <w:rsid w:val="58660286"/>
    <w:rsid w:val="587F072F"/>
    <w:rsid w:val="58920462"/>
    <w:rsid w:val="5895585D"/>
    <w:rsid w:val="58BD0F2F"/>
    <w:rsid w:val="58E07719"/>
    <w:rsid w:val="58EE1097"/>
    <w:rsid w:val="58F155D7"/>
    <w:rsid w:val="58FC3C94"/>
    <w:rsid w:val="59327003"/>
    <w:rsid w:val="593F23EE"/>
    <w:rsid w:val="59677906"/>
    <w:rsid w:val="59A4325C"/>
    <w:rsid w:val="59A700B9"/>
    <w:rsid w:val="59B83D99"/>
    <w:rsid w:val="59C710ED"/>
    <w:rsid w:val="59C743D7"/>
    <w:rsid w:val="5A2471D5"/>
    <w:rsid w:val="5A2B202F"/>
    <w:rsid w:val="5A462C6E"/>
    <w:rsid w:val="5A614C4E"/>
    <w:rsid w:val="5A695922"/>
    <w:rsid w:val="5A704B6C"/>
    <w:rsid w:val="5A9048BF"/>
    <w:rsid w:val="5ABA77FD"/>
    <w:rsid w:val="5AD71C43"/>
    <w:rsid w:val="5AE43A9D"/>
    <w:rsid w:val="5B06172A"/>
    <w:rsid w:val="5B587C31"/>
    <w:rsid w:val="5B5E3AC9"/>
    <w:rsid w:val="5B6B58B3"/>
    <w:rsid w:val="5B901FC3"/>
    <w:rsid w:val="5BB33F7E"/>
    <w:rsid w:val="5BC11FCA"/>
    <w:rsid w:val="5BCD69E1"/>
    <w:rsid w:val="5BE31506"/>
    <w:rsid w:val="5BF8449A"/>
    <w:rsid w:val="5C074CC3"/>
    <w:rsid w:val="5C2D5714"/>
    <w:rsid w:val="5C355BBC"/>
    <w:rsid w:val="5C357179"/>
    <w:rsid w:val="5C3804D5"/>
    <w:rsid w:val="5C412E01"/>
    <w:rsid w:val="5C7D538C"/>
    <w:rsid w:val="5C8D74D5"/>
    <w:rsid w:val="5C9347A9"/>
    <w:rsid w:val="5CA906D4"/>
    <w:rsid w:val="5CB13DE3"/>
    <w:rsid w:val="5CC432FF"/>
    <w:rsid w:val="5CCB77D7"/>
    <w:rsid w:val="5CF3349A"/>
    <w:rsid w:val="5D1C5695"/>
    <w:rsid w:val="5D3446A6"/>
    <w:rsid w:val="5D3F4BF0"/>
    <w:rsid w:val="5D3F5111"/>
    <w:rsid w:val="5D4111F7"/>
    <w:rsid w:val="5D530069"/>
    <w:rsid w:val="5D9334C7"/>
    <w:rsid w:val="5DE26CA7"/>
    <w:rsid w:val="5DE43FC8"/>
    <w:rsid w:val="5E021BE6"/>
    <w:rsid w:val="5E233DDC"/>
    <w:rsid w:val="5E4541A5"/>
    <w:rsid w:val="5E6749AF"/>
    <w:rsid w:val="5E756F3E"/>
    <w:rsid w:val="5E8A2344"/>
    <w:rsid w:val="5E975679"/>
    <w:rsid w:val="5EA5324C"/>
    <w:rsid w:val="5EA8352B"/>
    <w:rsid w:val="5EAC6E9D"/>
    <w:rsid w:val="5EBA006F"/>
    <w:rsid w:val="5ECE3876"/>
    <w:rsid w:val="5ED676DA"/>
    <w:rsid w:val="5EFA052E"/>
    <w:rsid w:val="5F0834D3"/>
    <w:rsid w:val="5F0D2452"/>
    <w:rsid w:val="5F304531"/>
    <w:rsid w:val="5F3F4042"/>
    <w:rsid w:val="5F92240C"/>
    <w:rsid w:val="5F9525E6"/>
    <w:rsid w:val="5F9F681B"/>
    <w:rsid w:val="5FB747DE"/>
    <w:rsid w:val="5FFBAFF1"/>
    <w:rsid w:val="5FFE29B9"/>
    <w:rsid w:val="600517FA"/>
    <w:rsid w:val="60074D07"/>
    <w:rsid w:val="600B1912"/>
    <w:rsid w:val="60366F66"/>
    <w:rsid w:val="604C4D2E"/>
    <w:rsid w:val="604D3143"/>
    <w:rsid w:val="605B367F"/>
    <w:rsid w:val="60674C7D"/>
    <w:rsid w:val="60794052"/>
    <w:rsid w:val="607B62F7"/>
    <w:rsid w:val="60807A2F"/>
    <w:rsid w:val="609222AB"/>
    <w:rsid w:val="6096311E"/>
    <w:rsid w:val="60A725D1"/>
    <w:rsid w:val="60AA6573"/>
    <w:rsid w:val="60B42255"/>
    <w:rsid w:val="60CB60E2"/>
    <w:rsid w:val="60F171C1"/>
    <w:rsid w:val="6123445D"/>
    <w:rsid w:val="613C41DE"/>
    <w:rsid w:val="616C26D9"/>
    <w:rsid w:val="61871754"/>
    <w:rsid w:val="61905F91"/>
    <w:rsid w:val="61CA3144"/>
    <w:rsid w:val="61F00A74"/>
    <w:rsid w:val="61F80EDA"/>
    <w:rsid w:val="6205764C"/>
    <w:rsid w:val="620A36CD"/>
    <w:rsid w:val="62110889"/>
    <w:rsid w:val="622518DF"/>
    <w:rsid w:val="622B0FE0"/>
    <w:rsid w:val="62312FC7"/>
    <w:rsid w:val="62317910"/>
    <w:rsid w:val="624C1682"/>
    <w:rsid w:val="624D53FA"/>
    <w:rsid w:val="628755ED"/>
    <w:rsid w:val="629471B9"/>
    <w:rsid w:val="62A558BE"/>
    <w:rsid w:val="62F24AD3"/>
    <w:rsid w:val="62FD3B35"/>
    <w:rsid w:val="630C4391"/>
    <w:rsid w:val="630D197D"/>
    <w:rsid w:val="632141F6"/>
    <w:rsid w:val="63250B6A"/>
    <w:rsid w:val="632A22B1"/>
    <w:rsid w:val="633D3729"/>
    <w:rsid w:val="63402F9A"/>
    <w:rsid w:val="6341644D"/>
    <w:rsid w:val="63454F14"/>
    <w:rsid w:val="637B2D41"/>
    <w:rsid w:val="63DF5E1F"/>
    <w:rsid w:val="63E02C32"/>
    <w:rsid w:val="63E3170F"/>
    <w:rsid w:val="63F034E2"/>
    <w:rsid w:val="642103D4"/>
    <w:rsid w:val="64320BF5"/>
    <w:rsid w:val="646E4A9A"/>
    <w:rsid w:val="6475275F"/>
    <w:rsid w:val="64916A0D"/>
    <w:rsid w:val="64960429"/>
    <w:rsid w:val="64A4089F"/>
    <w:rsid w:val="64B4350F"/>
    <w:rsid w:val="64B620FD"/>
    <w:rsid w:val="64F06E79"/>
    <w:rsid w:val="64FB0350"/>
    <w:rsid w:val="6540162F"/>
    <w:rsid w:val="65A84940"/>
    <w:rsid w:val="65A92B46"/>
    <w:rsid w:val="65A96DEB"/>
    <w:rsid w:val="65B63E2C"/>
    <w:rsid w:val="65E74F8A"/>
    <w:rsid w:val="66077D9D"/>
    <w:rsid w:val="661B37C9"/>
    <w:rsid w:val="66402E65"/>
    <w:rsid w:val="664F575F"/>
    <w:rsid w:val="66517576"/>
    <w:rsid w:val="666F6EFA"/>
    <w:rsid w:val="66925960"/>
    <w:rsid w:val="66B64315"/>
    <w:rsid w:val="66D42635"/>
    <w:rsid w:val="675F5E5E"/>
    <w:rsid w:val="677F3E31"/>
    <w:rsid w:val="6781680D"/>
    <w:rsid w:val="679900D6"/>
    <w:rsid w:val="67A443FF"/>
    <w:rsid w:val="67B2516C"/>
    <w:rsid w:val="67C2644B"/>
    <w:rsid w:val="67C34E88"/>
    <w:rsid w:val="67EC7342"/>
    <w:rsid w:val="67EE5224"/>
    <w:rsid w:val="68036E98"/>
    <w:rsid w:val="680B24AD"/>
    <w:rsid w:val="68296A24"/>
    <w:rsid w:val="683751E5"/>
    <w:rsid w:val="68480892"/>
    <w:rsid w:val="68527E20"/>
    <w:rsid w:val="686A7362"/>
    <w:rsid w:val="6874526D"/>
    <w:rsid w:val="68BE2E92"/>
    <w:rsid w:val="68D67594"/>
    <w:rsid w:val="68E31BD1"/>
    <w:rsid w:val="68E675A5"/>
    <w:rsid w:val="690143B3"/>
    <w:rsid w:val="69077488"/>
    <w:rsid w:val="69171A9D"/>
    <w:rsid w:val="691C7B92"/>
    <w:rsid w:val="69300138"/>
    <w:rsid w:val="69336C77"/>
    <w:rsid w:val="69600463"/>
    <w:rsid w:val="69662807"/>
    <w:rsid w:val="69753174"/>
    <w:rsid w:val="697B6106"/>
    <w:rsid w:val="698869AD"/>
    <w:rsid w:val="69905D46"/>
    <w:rsid w:val="69A52414"/>
    <w:rsid w:val="6A1D2F7F"/>
    <w:rsid w:val="6A216F4A"/>
    <w:rsid w:val="6A451690"/>
    <w:rsid w:val="6A5B0896"/>
    <w:rsid w:val="6A611A43"/>
    <w:rsid w:val="6A611C56"/>
    <w:rsid w:val="6A6B26AB"/>
    <w:rsid w:val="6A891345"/>
    <w:rsid w:val="6A901E6F"/>
    <w:rsid w:val="6A9F07BD"/>
    <w:rsid w:val="6AB447B0"/>
    <w:rsid w:val="6ABB0DA2"/>
    <w:rsid w:val="6AD70ED2"/>
    <w:rsid w:val="6AD91401"/>
    <w:rsid w:val="6ADB24E8"/>
    <w:rsid w:val="6AEE19E9"/>
    <w:rsid w:val="6B0A408C"/>
    <w:rsid w:val="6B0F76F1"/>
    <w:rsid w:val="6B1E692B"/>
    <w:rsid w:val="6B257B8D"/>
    <w:rsid w:val="6B285847"/>
    <w:rsid w:val="6B7D56F0"/>
    <w:rsid w:val="6B9601AD"/>
    <w:rsid w:val="6BAD1568"/>
    <w:rsid w:val="6BAF7A2F"/>
    <w:rsid w:val="6BBB6FDE"/>
    <w:rsid w:val="6BD05F44"/>
    <w:rsid w:val="6BEF065F"/>
    <w:rsid w:val="6BF7366A"/>
    <w:rsid w:val="6C135BA8"/>
    <w:rsid w:val="6C1F74A2"/>
    <w:rsid w:val="6C3D5FF0"/>
    <w:rsid w:val="6C4048A2"/>
    <w:rsid w:val="6C437617"/>
    <w:rsid w:val="6C546984"/>
    <w:rsid w:val="6C5B2594"/>
    <w:rsid w:val="6C6F65E7"/>
    <w:rsid w:val="6C882AB4"/>
    <w:rsid w:val="6C9139EB"/>
    <w:rsid w:val="6CA9797D"/>
    <w:rsid w:val="6CEA55E7"/>
    <w:rsid w:val="6D1D6F73"/>
    <w:rsid w:val="6D277756"/>
    <w:rsid w:val="6D2A0C5D"/>
    <w:rsid w:val="6D4A4512"/>
    <w:rsid w:val="6D5A0F91"/>
    <w:rsid w:val="6D5A10D7"/>
    <w:rsid w:val="6D5D30AD"/>
    <w:rsid w:val="6D6C10DC"/>
    <w:rsid w:val="6D755140"/>
    <w:rsid w:val="6D7A25C7"/>
    <w:rsid w:val="6D885632"/>
    <w:rsid w:val="6DB27370"/>
    <w:rsid w:val="6DB679BA"/>
    <w:rsid w:val="6DE50BDD"/>
    <w:rsid w:val="6DEE8CFD"/>
    <w:rsid w:val="6E0C0F5A"/>
    <w:rsid w:val="6E2C128C"/>
    <w:rsid w:val="6E3F1428"/>
    <w:rsid w:val="6E3F4508"/>
    <w:rsid w:val="6E452589"/>
    <w:rsid w:val="6E4618B1"/>
    <w:rsid w:val="6E4F3BAE"/>
    <w:rsid w:val="6E5E7650"/>
    <w:rsid w:val="6E8563B9"/>
    <w:rsid w:val="6EAF40E8"/>
    <w:rsid w:val="6EB04D47"/>
    <w:rsid w:val="6EB80181"/>
    <w:rsid w:val="6EDF387E"/>
    <w:rsid w:val="6EE3246C"/>
    <w:rsid w:val="6EE4097F"/>
    <w:rsid w:val="6EF54186"/>
    <w:rsid w:val="6F1720C1"/>
    <w:rsid w:val="6F1C3F7E"/>
    <w:rsid w:val="6F51203A"/>
    <w:rsid w:val="6F5B23C4"/>
    <w:rsid w:val="6F7B7813"/>
    <w:rsid w:val="6F8A5598"/>
    <w:rsid w:val="6F957C2C"/>
    <w:rsid w:val="6FED1ECA"/>
    <w:rsid w:val="7003673B"/>
    <w:rsid w:val="70165356"/>
    <w:rsid w:val="702C68C4"/>
    <w:rsid w:val="703F3B4E"/>
    <w:rsid w:val="704E73AD"/>
    <w:rsid w:val="70534C94"/>
    <w:rsid w:val="708B4884"/>
    <w:rsid w:val="70A756FF"/>
    <w:rsid w:val="70A939B1"/>
    <w:rsid w:val="70B30B1E"/>
    <w:rsid w:val="70E55D27"/>
    <w:rsid w:val="71105C03"/>
    <w:rsid w:val="711D7B9B"/>
    <w:rsid w:val="713D39EF"/>
    <w:rsid w:val="7169303C"/>
    <w:rsid w:val="71874784"/>
    <w:rsid w:val="71BE17A6"/>
    <w:rsid w:val="71CB6246"/>
    <w:rsid w:val="71E14182"/>
    <w:rsid w:val="720F6E08"/>
    <w:rsid w:val="722D066E"/>
    <w:rsid w:val="722F68B9"/>
    <w:rsid w:val="723555C1"/>
    <w:rsid w:val="72467608"/>
    <w:rsid w:val="725D087E"/>
    <w:rsid w:val="72646CA7"/>
    <w:rsid w:val="727A536F"/>
    <w:rsid w:val="729448CC"/>
    <w:rsid w:val="72B45F38"/>
    <w:rsid w:val="72C5782C"/>
    <w:rsid w:val="72CA61B1"/>
    <w:rsid w:val="72E62C24"/>
    <w:rsid w:val="730242D1"/>
    <w:rsid w:val="73426D24"/>
    <w:rsid w:val="73510435"/>
    <w:rsid w:val="73643325"/>
    <w:rsid w:val="739C6215"/>
    <w:rsid w:val="739E467B"/>
    <w:rsid w:val="73B10982"/>
    <w:rsid w:val="73B146F3"/>
    <w:rsid w:val="73BB15A2"/>
    <w:rsid w:val="73BC1F87"/>
    <w:rsid w:val="73BF3927"/>
    <w:rsid w:val="73C001F0"/>
    <w:rsid w:val="73E8676B"/>
    <w:rsid w:val="73F620AB"/>
    <w:rsid w:val="74064DA8"/>
    <w:rsid w:val="74180335"/>
    <w:rsid w:val="74187A8E"/>
    <w:rsid w:val="741B1827"/>
    <w:rsid w:val="741C28D9"/>
    <w:rsid w:val="742A22B9"/>
    <w:rsid w:val="74404DBF"/>
    <w:rsid w:val="745023D4"/>
    <w:rsid w:val="7455674D"/>
    <w:rsid w:val="74650560"/>
    <w:rsid w:val="747E46E9"/>
    <w:rsid w:val="74844CAB"/>
    <w:rsid w:val="74880394"/>
    <w:rsid w:val="74AD1F26"/>
    <w:rsid w:val="74BA3FCB"/>
    <w:rsid w:val="74D76776"/>
    <w:rsid w:val="750538EA"/>
    <w:rsid w:val="75202715"/>
    <w:rsid w:val="753B7244"/>
    <w:rsid w:val="7577245B"/>
    <w:rsid w:val="7587215E"/>
    <w:rsid w:val="75AD3D8E"/>
    <w:rsid w:val="75D709C9"/>
    <w:rsid w:val="76047888"/>
    <w:rsid w:val="761231CD"/>
    <w:rsid w:val="76163F35"/>
    <w:rsid w:val="76313EEE"/>
    <w:rsid w:val="76344066"/>
    <w:rsid w:val="76360DA9"/>
    <w:rsid w:val="76495595"/>
    <w:rsid w:val="764D731F"/>
    <w:rsid w:val="766B05BB"/>
    <w:rsid w:val="7688512E"/>
    <w:rsid w:val="769F58F9"/>
    <w:rsid w:val="76D24210"/>
    <w:rsid w:val="76F459ED"/>
    <w:rsid w:val="77617AAC"/>
    <w:rsid w:val="776D11A6"/>
    <w:rsid w:val="77714FE6"/>
    <w:rsid w:val="77A7177E"/>
    <w:rsid w:val="78325558"/>
    <w:rsid w:val="783E2109"/>
    <w:rsid w:val="785F6626"/>
    <w:rsid w:val="78661F65"/>
    <w:rsid w:val="786850F7"/>
    <w:rsid w:val="788269F7"/>
    <w:rsid w:val="789D5DBC"/>
    <w:rsid w:val="78EE6B97"/>
    <w:rsid w:val="79217AEE"/>
    <w:rsid w:val="793547C6"/>
    <w:rsid w:val="79472563"/>
    <w:rsid w:val="794F2AE6"/>
    <w:rsid w:val="797F3E53"/>
    <w:rsid w:val="799553FB"/>
    <w:rsid w:val="79AA71CE"/>
    <w:rsid w:val="79C64519"/>
    <w:rsid w:val="79C90089"/>
    <w:rsid w:val="79D436A6"/>
    <w:rsid w:val="79D53ABE"/>
    <w:rsid w:val="79F75550"/>
    <w:rsid w:val="7A066163"/>
    <w:rsid w:val="7A095946"/>
    <w:rsid w:val="7A282DD4"/>
    <w:rsid w:val="7A511982"/>
    <w:rsid w:val="7A7617D0"/>
    <w:rsid w:val="7A7E79A9"/>
    <w:rsid w:val="7A89434E"/>
    <w:rsid w:val="7A8E3493"/>
    <w:rsid w:val="7A9B3F66"/>
    <w:rsid w:val="7AAC0AFE"/>
    <w:rsid w:val="7AB705A7"/>
    <w:rsid w:val="7ABE4C8F"/>
    <w:rsid w:val="7AC76F94"/>
    <w:rsid w:val="7AD61FD9"/>
    <w:rsid w:val="7B1E27D7"/>
    <w:rsid w:val="7B21765B"/>
    <w:rsid w:val="7B336330"/>
    <w:rsid w:val="7B8D1179"/>
    <w:rsid w:val="7B936752"/>
    <w:rsid w:val="7BAC5980"/>
    <w:rsid w:val="7BB3231A"/>
    <w:rsid w:val="7BBD538A"/>
    <w:rsid w:val="7BEB49AE"/>
    <w:rsid w:val="7BFD1741"/>
    <w:rsid w:val="7C08053E"/>
    <w:rsid w:val="7C08366F"/>
    <w:rsid w:val="7C330393"/>
    <w:rsid w:val="7C7B13D7"/>
    <w:rsid w:val="7C9537CE"/>
    <w:rsid w:val="7C9B18F0"/>
    <w:rsid w:val="7CBA2FCF"/>
    <w:rsid w:val="7CF83773"/>
    <w:rsid w:val="7CF92125"/>
    <w:rsid w:val="7D04250C"/>
    <w:rsid w:val="7D192930"/>
    <w:rsid w:val="7D1C2921"/>
    <w:rsid w:val="7D1F3A60"/>
    <w:rsid w:val="7D343367"/>
    <w:rsid w:val="7D3C35EE"/>
    <w:rsid w:val="7D4B339D"/>
    <w:rsid w:val="7D630702"/>
    <w:rsid w:val="7D6C50A1"/>
    <w:rsid w:val="7D715FE9"/>
    <w:rsid w:val="7D811CEA"/>
    <w:rsid w:val="7D822BDD"/>
    <w:rsid w:val="7D8767DE"/>
    <w:rsid w:val="7D965A4F"/>
    <w:rsid w:val="7DB20F4A"/>
    <w:rsid w:val="7DB24D09"/>
    <w:rsid w:val="7DC9448B"/>
    <w:rsid w:val="7DEC566F"/>
    <w:rsid w:val="7DEC6718"/>
    <w:rsid w:val="7DF403A0"/>
    <w:rsid w:val="7E0A3D21"/>
    <w:rsid w:val="7E2357EF"/>
    <w:rsid w:val="7E4C6B51"/>
    <w:rsid w:val="7E4E1C37"/>
    <w:rsid w:val="7E647D97"/>
    <w:rsid w:val="7EF427EB"/>
    <w:rsid w:val="7F00489E"/>
    <w:rsid w:val="7F16081C"/>
    <w:rsid w:val="7F20170E"/>
    <w:rsid w:val="7F235900"/>
    <w:rsid w:val="7F4F4D23"/>
    <w:rsid w:val="7F600DF9"/>
    <w:rsid w:val="7F61279E"/>
    <w:rsid w:val="7F6475FA"/>
    <w:rsid w:val="7F833E55"/>
    <w:rsid w:val="7F8B3DA6"/>
    <w:rsid w:val="7FE464FE"/>
    <w:rsid w:val="7FE75E10"/>
    <w:rsid w:val="7FE767A6"/>
    <w:rsid w:val="9FEBD036"/>
    <w:rsid w:val="EB7EAF54"/>
    <w:rsid w:val="F43D0EAA"/>
    <w:rsid w:val="FDDDC0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nhideWhenUsed="0" w:uiPriority="0" w:name="toc 1"/>
    <w:lsdException w:qFormat="1" w:uiPriority="39" w:semiHidden="0" w:name="toc 2"/>
    <w:lsdException w:unhideWhenUsed="0" w:uiPriority="0" w:semiHidden="0" w:name="toc 3"/>
    <w:lsdException w:unhideWhenUsed="0" w:uiPriority="0" w:semiHidden="0" w:name="toc 4"/>
    <w:lsdException w:qFormat="1" w:unhideWhenUsed="0" w:uiPriority="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qFormat="1" w:uiPriority="99"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4">
    <w:name w:val="heading 1"/>
    <w:basedOn w:val="1"/>
    <w:next w:val="1"/>
    <w:autoRedefine/>
    <w:qFormat/>
    <w:uiPriority w:val="0"/>
    <w:pPr>
      <w:spacing w:before="340" w:after="330" w:line="360" w:lineRule="auto"/>
      <w:jc w:val="center"/>
      <w:outlineLvl w:val="0"/>
    </w:pPr>
    <w:rPr>
      <w:kern w:val="44"/>
      <w:szCs w:val="44"/>
    </w:rPr>
  </w:style>
  <w:style w:type="paragraph" w:styleId="5">
    <w:name w:val="heading 2"/>
    <w:basedOn w:val="1"/>
    <w:next w:val="1"/>
    <w:link w:val="64"/>
    <w:qFormat/>
    <w:uiPriority w:val="9"/>
    <w:pPr>
      <w:adjustRightInd w:val="0"/>
      <w:snapToGrid w:val="0"/>
      <w:spacing w:line="360" w:lineRule="auto"/>
      <w:jc w:val="center"/>
      <w:textAlignment w:val="baseline"/>
      <w:outlineLvl w:val="1"/>
    </w:pPr>
    <w:rPr>
      <w:b/>
      <w:kern w:val="0"/>
      <w:sz w:val="30"/>
      <w:szCs w:val="20"/>
    </w:rPr>
  </w:style>
  <w:style w:type="paragraph" w:styleId="6">
    <w:name w:val="heading 3"/>
    <w:basedOn w:val="7"/>
    <w:next w:val="1"/>
    <w:qFormat/>
    <w:uiPriority w:val="9"/>
    <w:pPr>
      <w:spacing w:before="260" w:after="260"/>
      <w:outlineLvl w:val="2"/>
    </w:pPr>
    <w:rPr>
      <w:rFonts w:ascii="宋体" w:hAnsi="宋体"/>
      <w:szCs w:val="32"/>
    </w:rPr>
  </w:style>
  <w:style w:type="paragraph" w:styleId="7">
    <w:name w:val="heading 4"/>
    <w:basedOn w:val="1"/>
    <w:next w:val="1"/>
    <w:qFormat/>
    <w:uiPriority w:val="9"/>
    <w:pPr>
      <w:keepNext/>
      <w:keepLines/>
      <w:spacing w:before="280" w:after="290" w:line="376" w:lineRule="auto"/>
      <w:outlineLvl w:val="3"/>
    </w:pPr>
    <w:rPr>
      <w:rFonts w:ascii="Arial" w:hAnsi="Arial" w:eastAsia="黑体"/>
      <w:b/>
      <w:bCs/>
      <w:sz w:val="28"/>
      <w:szCs w:val="28"/>
    </w:rPr>
  </w:style>
  <w:style w:type="character" w:default="1" w:styleId="31">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autoRedefine/>
    <w:qFormat/>
    <w:uiPriority w:val="0"/>
    <w:pPr>
      <w:tabs>
        <w:tab w:val="left" w:pos="360"/>
      </w:tabs>
      <w:spacing w:line="220" w:lineRule="exact"/>
      <w:ind w:left="360" w:hanging="360"/>
    </w:pPr>
    <w:rPr>
      <w:rFonts w:ascii="Times New Roman" w:hAnsi="Times New Roman"/>
      <w:kern w:val="0"/>
      <w:sz w:val="20"/>
    </w:rPr>
  </w:style>
  <w:style w:type="paragraph" w:styleId="3">
    <w:name w:val="Body Text"/>
    <w:basedOn w:val="1"/>
    <w:next w:val="1"/>
    <w:qFormat/>
    <w:uiPriority w:val="0"/>
    <w:pPr>
      <w:spacing w:line="360" w:lineRule="auto"/>
    </w:pPr>
    <w:rPr>
      <w:b/>
      <w:bCs/>
      <w:sz w:val="24"/>
    </w:rPr>
  </w:style>
  <w:style w:type="paragraph" w:styleId="8">
    <w:name w:val="index 8"/>
    <w:basedOn w:val="1"/>
    <w:next w:val="1"/>
    <w:unhideWhenUsed/>
    <w:qFormat/>
    <w:uiPriority w:val="99"/>
    <w:pPr>
      <w:ind w:left="1400" w:leftChars="1400"/>
    </w:pPr>
  </w:style>
  <w:style w:type="paragraph" w:styleId="9">
    <w:name w:val="Normal Indent"/>
    <w:basedOn w:val="1"/>
    <w:qFormat/>
    <w:uiPriority w:val="0"/>
    <w:pPr>
      <w:ind w:firstLine="420"/>
    </w:pPr>
    <w:rPr>
      <w:szCs w:val="20"/>
    </w:rPr>
  </w:style>
  <w:style w:type="paragraph" w:styleId="10">
    <w:name w:val="annotation text"/>
    <w:basedOn w:val="1"/>
    <w:next w:val="11"/>
    <w:link w:val="51"/>
    <w:autoRedefine/>
    <w:qFormat/>
    <w:uiPriority w:val="99"/>
    <w:pPr>
      <w:autoSpaceDE w:val="0"/>
      <w:autoSpaceDN w:val="0"/>
      <w:adjustRightInd w:val="0"/>
      <w:jc w:val="left"/>
      <w:textAlignment w:val="baseline"/>
    </w:pPr>
    <w:rPr>
      <w:rFonts w:ascii="宋体"/>
      <w:kern w:val="0"/>
      <w:sz w:val="34"/>
      <w:szCs w:val="20"/>
    </w:rPr>
  </w:style>
  <w:style w:type="paragraph" w:styleId="11">
    <w:name w:val="toc 5"/>
    <w:basedOn w:val="1"/>
    <w:next w:val="1"/>
    <w:autoRedefine/>
    <w:semiHidden/>
    <w:qFormat/>
    <w:uiPriority w:val="0"/>
    <w:pPr>
      <w:ind w:left="840"/>
      <w:jc w:val="left"/>
    </w:pPr>
    <w:rPr>
      <w:szCs w:val="21"/>
    </w:rPr>
  </w:style>
  <w:style w:type="paragraph" w:styleId="12">
    <w:name w:val="Body Text Indent"/>
    <w:basedOn w:val="1"/>
    <w:next w:val="13"/>
    <w:autoRedefine/>
    <w:qFormat/>
    <w:uiPriority w:val="0"/>
    <w:pPr>
      <w:spacing w:line="360" w:lineRule="auto"/>
      <w:ind w:firstLine="420" w:firstLineChars="200"/>
    </w:pPr>
  </w:style>
  <w:style w:type="paragraph" w:customStyle="1" w:styleId="13">
    <w:name w:val="Default"/>
    <w:basedOn w:val="1"/>
    <w:autoRedefine/>
    <w:qFormat/>
    <w:uiPriority w:val="0"/>
    <w:pPr>
      <w:autoSpaceDE w:val="0"/>
      <w:autoSpaceDN w:val="0"/>
      <w:adjustRightInd w:val="0"/>
      <w:jc w:val="left"/>
    </w:pPr>
    <w:rPr>
      <w:rFonts w:ascii="H Yb 2gj" w:hAnsi="H Yb 2gj" w:cs="宋体"/>
      <w:color w:val="000000"/>
      <w:kern w:val="0"/>
      <w:sz w:val="24"/>
    </w:rPr>
  </w:style>
  <w:style w:type="paragraph" w:styleId="14">
    <w:name w:val="Block Text"/>
    <w:basedOn w:val="1"/>
    <w:qFormat/>
    <w:uiPriority w:val="0"/>
    <w:pPr>
      <w:ind w:left="480" w:right="-341" w:firstLine="513"/>
    </w:pPr>
    <w:rPr>
      <w:szCs w:val="20"/>
    </w:rPr>
  </w:style>
  <w:style w:type="paragraph" w:styleId="15">
    <w:name w:val="Plain Text"/>
    <w:basedOn w:val="1"/>
    <w:next w:val="13"/>
    <w:autoRedefine/>
    <w:qFormat/>
    <w:uiPriority w:val="99"/>
    <w:rPr>
      <w:rFonts w:ascii="宋体" w:hAnsi="Courier New"/>
      <w:szCs w:val="20"/>
    </w:rPr>
  </w:style>
  <w:style w:type="paragraph" w:styleId="16">
    <w:name w:val="Body Text Indent 2"/>
    <w:basedOn w:val="1"/>
    <w:autoRedefine/>
    <w:qFormat/>
    <w:uiPriority w:val="0"/>
    <w:pPr>
      <w:spacing w:line="500" w:lineRule="exact"/>
      <w:ind w:left="397" w:firstLine="539"/>
    </w:pPr>
    <w:rPr>
      <w:rFonts w:ascii="宋体" w:hAnsi="华文中宋"/>
      <w:sz w:val="26"/>
      <w:szCs w:val="20"/>
    </w:rPr>
  </w:style>
  <w:style w:type="paragraph" w:styleId="17">
    <w:name w:val="Balloon Text"/>
    <w:basedOn w:val="1"/>
    <w:link w:val="49"/>
    <w:autoRedefine/>
    <w:qFormat/>
    <w:uiPriority w:val="0"/>
    <w:rPr>
      <w:sz w:val="18"/>
      <w:szCs w:val="18"/>
    </w:rPr>
  </w:style>
  <w:style w:type="paragraph" w:styleId="18">
    <w:name w:val="footer"/>
    <w:basedOn w:val="1"/>
    <w:autoRedefine/>
    <w:qFormat/>
    <w:uiPriority w:val="99"/>
    <w:pPr>
      <w:tabs>
        <w:tab w:val="center" w:pos="4153"/>
        <w:tab w:val="right" w:pos="8306"/>
      </w:tabs>
      <w:snapToGrid w:val="0"/>
      <w:jc w:val="left"/>
    </w:pPr>
    <w:rPr>
      <w:sz w:val="18"/>
      <w:szCs w:val="18"/>
    </w:rPr>
  </w:style>
  <w:style w:type="paragraph" w:styleId="19">
    <w:name w:val="envelope return"/>
    <w:basedOn w:val="1"/>
    <w:qFormat/>
    <w:uiPriority w:val="99"/>
    <w:rPr>
      <w:rFonts w:ascii="Arial" w:hAnsi="Arial"/>
    </w:rPr>
  </w:style>
  <w:style w:type="paragraph" w:styleId="20">
    <w:name w:val="header"/>
    <w:basedOn w:val="1"/>
    <w:link w:val="48"/>
    <w:autoRedefine/>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autoRedefine/>
    <w:semiHidden/>
    <w:qFormat/>
    <w:uiPriority w:val="0"/>
    <w:pPr>
      <w:jc w:val="left"/>
    </w:pPr>
    <w:rPr>
      <w:b/>
      <w:bCs/>
      <w:caps/>
    </w:rPr>
  </w:style>
  <w:style w:type="paragraph" w:styleId="22">
    <w:name w:val="footnote text"/>
    <w:basedOn w:val="1"/>
    <w:unhideWhenUsed/>
    <w:qFormat/>
    <w:uiPriority w:val="99"/>
    <w:pPr>
      <w:snapToGrid w:val="0"/>
      <w:jc w:val="left"/>
    </w:pPr>
    <w:rPr>
      <w:sz w:val="18"/>
      <w:szCs w:val="18"/>
    </w:rPr>
  </w:style>
  <w:style w:type="paragraph" w:styleId="23">
    <w:name w:val="toc 2"/>
    <w:basedOn w:val="1"/>
    <w:next w:val="1"/>
    <w:unhideWhenUsed/>
    <w:qFormat/>
    <w:uiPriority w:val="39"/>
    <w:pPr>
      <w:ind w:left="420" w:leftChars="200"/>
    </w:pPr>
  </w:style>
  <w:style w:type="paragraph" w:styleId="24">
    <w:name w:val="Body Text 2"/>
    <w:basedOn w:val="1"/>
    <w:autoRedefine/>
    <w:qFormat/>
    <w:uiPriority w:val="0"/>
    <w:pPr>
      <w:spacing w:line="360" w:lineRule="auto"/>
    </w:pPr>
    <w:rPr>
      <w:rFonts w:ascii="Times New Roman" w:hAnsi="Times New Roman"/>
      <w:kern w:val="0"/>
      <w:sz w:val="24"/>
    </w:rPr>
  </w:style>
  <w:style w:type="paragraph" w:styleId="25">
    <w:name w:val="Normal (Web)"/>
    <w:basedOn w:val="1"/>
    <w:autoRedefine/>
    <w:qFormat/>
    <w:uiPriority w:val="99"/>
    <w:rPr>
      <w:rFonts w:ascii="Times New Roman" w:hAnsi="Times New Roman"/>
      <w:sz w:val="24"/>
    </w:rPr>
  </w:style>
  <w:style w:type="paragraph" w:styleId="26">
    <w:name w:val="Title"/>
    <w:basedOn w:val="1"/>
    <w:next w:val="1"/>
    <w:autoRedefine/>
    <w:qFormat/>
    <w:uiPriority w:val="0"/>
    <w:pPr>
      <w:adjustRightInd w:val="0"/>
      <w:spacing w:before="240" w:after="60" w:line="420" w:lineRule="atLeast"/>
      <w:jc w:val="center"/>
      <w:textAlignment w:val="baseline"/>
      <w:outlineLvl w:val="0"/>
    </w:pPr>
    <w:rPr>
      <w:rFonts w:ascii="Arial" w:hAnsi="Arial"/>
      <w:b/>
      <w:kern w:val="0"/>
      <w:sz w:val="32"/>
      <w:szCs w:val="20"/>
    </w:rPr>
  </w:style>
  <w:style w:type="paragraph" w:styleId="27">
    <w:name w:val="annotation subject"/>
    <w:basedOn w:val="10"/>
    <w:next w:val="10"/>
    <w:link w:val="52"/>
    <w:autoRedefine/>
    <w:qFormat/>
    <w:uiPriority w:val="0"/>
    <w:pPr>
      <w:autoSpaceDE/>
      <w:autoSpaceDN/>
      <w:adjustRightInd/>
      <w:textAlignment w:val="auto"/>
    </w:pPr>
    <w:rPr>
      <w:rFonts w:ascii="Calibri"/>
      <w:b/>
      <w:bCs/>
      <w:kern w:val="2"/>
      <w:sz w:val="21"/>
      <w:szCs w:val="24"/>
    </w:rPr>
  </w:style>
  <w:style w:type="paragraph" w:styleId="28">
    <w:name w:val="Body Text First Indent 2"/>
    <w:basedOn w:val="12"/>
    <w:qFormat/>
    <w:uiPriority w:val="0"/>
    <w:pPr>
      <w:spacing w:after="120" w:line="240" w:lineRule="auto"/>
      <w:ind w:left="420" w:leftChars="200"/>
    </w:pPr>
  </w:style>
  <w:style w:type="table" w:styleId="30">
    <w:name w:val="Table Grid"/>
    <w:basedOn w:val="29"/>
    <w:autoRedefine/>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2">
    <w:name w:val="Strong"/>
    <w:basedOn w:val="31"/>
    <w:autoRedefine/>
    <w:qFormat/>
    <w:uiPriority w:val="22"/>
    <w:rPr>
      <w:b/>
      <w:bCs/>
    </w:rPr>
  </w:style>
  <w:style w:type="character" w:styleId="33">
    <w:name w:val="page number"/>
    <w:basedOn w:val="31"/>
    <w:autoRedefine/>
    <w:qFormat/>
    <w:uiPriority w:val="0"/>
  </w:style>
  <w:style w:type="character" w:styleId="34">
    <w:name w:val="Emphasis"/>
    <w:basedOn w:val="31"/>
    <w:autoRedefine/>
    <w:qFormat/>
    <w:uiPriority w:val="0"/>
    <w:rPr>
      <w:i/>
    </w:rPr>
  </w:style>
  <w:style w:type="character" w:styleId="35">
    <w:name w:val="Hyperlink"/>
    <w:basedOn w:val="31"/>
    <w:autoRedefine/>
    <w:qFormat/>
    <w:uiPriority w:val="0"/>
    <w:rPr>
      <w:color w:val="0000FF"/>
      <w:u w:val="single"/>
    </w:rPr>
  </w:style>
  <w:style w:type="character" w:styleId="36">
    <w:name w:val="annotation reference"/>
    <w:basedOn w:val="31"/>
    <w:autoRedefine/>
    <w:qFormat/>
    <w:uiPriority w:val="0"/>
    <w:rPr>
      <w:sz w:val="21"/>
      <w:szCs w:val="21"/>
    </w:rPr>
  </w:style>
  <w:style w:type="character" w:styleId="37">
    <w:name w:val="footnote reference"/>
    <w:basedOn w:val="31"/>
    <w:unhideWhenUsed/>
    <w:qFormat/>
    <w:uiPriority w:val="99"/>
    <w:rPr>
      <w:vertAlign w:val="superscript"/>
    </w:rPr>
  </w:style>
  <w:style w:type="paragraph" w:customStyle="1" w:styleId="38">
    <w:name w:val="引文目录1"/>
    <w:basedOn w:val="1"/>
    <w:next w:val="1"/>
    <w:autoRedefine/>
    <w:qFormat/>
    <w:uiPriority w:val="0"/>
    <w:pPr>
      <w:ind w:left="420" w:leftChars="200"/>
    </w:pPr>
  </w:style>
  <w:style w:type="paragraph" w:customStyle="1" w:styleId="39">
    <w:name w:val="首行缩进"/>
    <w:basedOn w:val="1"/>
    <w:autoRedefine/>
    <w:qFormat/>
    <w:uiPriority w:val="99"/>
    <w:pPr>
      <w:spacing w:line="360" w:lineRule="auto"/>
      <w:ind w:firstLine="480" w:firstLineChars="200"/>
    </w:pPr>
    <w:rPr>
      <w:rFonts w:ascii="宋体" w:hAnsi="宋体"/>
      <w:sz w:val="24"/>
    </w:rPr>
  </w:style>
  <w:style w:type="paragraph" w:customStyle="1" w:styleId="40">
    <w:name w:val="文档正文"/>
    <w:autoRedefine/>
    <w:qFormat/>
    <w:uiPriority w:val="0"/>
    <w:pPr>
      <w:widowControl w:val="0"/>
      <w:adjustRightInd w:val="0"/>
      <w:spacing w:line="500" w:lineRule="exact"/>
      <w:ind w:firstLine="567"/>
      <w:jc w:val="both"/>
      <w:textAlignment w:val="baseline"/>
    </w:pPr>
    <w:rPr>
      <w:rFonts w:ascii="仿宋_GB2312" w:hAnsi="Calibri" w:eastAsia="仿宋_GB2312" w:cs="Times New Roman"/>
      <w:kern w:val="2"/>
      <w:sz w:val="28"/>
      <w:szCs w:val="21"/>
      <w:lang w:val="en-US" w:eastAsia="zh-CN" w:bidi="ar-SA"/>
    </w:rPr>
  </w:style>
  <w:style w:type="paragraph" w:customStyle="1" w:styleId="41">
    <w:name w:val="表格文字"/>
    <w:autoRedefine/>
    <w:qFormat/>
    <w:uiPriority w:val="0"/>
    <w:pPr>
      <w:widowControl w:val="0"/>
      <w:spacing w:before="25" w:after="25"/>
    </w:pPr>
    <w:rPr>
      <w:rFonts w:ascii="Times New Roman" w:hAnsi="Times New Roman" w:eastAsia="宋体" w:cs="Times New Roman"/>
      <w:bCs/>
      <w:spacing w:val="10"/>
      <w:sz w:val="24"/>
      <w:szCs w:val="24"/>
      <w:lang w:val="en-US" w:eastAsia="zh-CN" w:bidi="ar-SA"/>
    </w:rPr>
  </w:style>
  <w:style w:type="paragraph" w:customStyle="1" w:styleId="42">
    <w:name w:val="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43">
    <w:name w:val="正文首行缩进 21"/>
    <w:basedOn w:val="44"/>
    <w:autoRedefine/>
    <w:qFormat/>
    <w:uiPriority w:val="0"/>
    <w:pPr>
      <w:spacing w:after="120" w:line="240" w:lineRule="auto"/>
      <w:ind w:left="420" w:leftChars="200"/>
    </w:pPr>
  </w:style>
  <w:style w:type="paragraph" w:customStyle="1" w:styleId="44">
    <w:name w:val="正文文本缩进1"/>
    <w:basedOn w:val="1"/>
    <w:autoRedefine/>
    <w:qFormat/>
    <w:uiPriority w:val="0"/>
    <w:pPr>
      <w:spacing w:line="360" w:lineRule="auto"/>
      <w:ind w:firstLine="420" w:firstLineChars="200"/>
    </w:pPr>
  </w:style>
  <w:style w:type="paragraph" w:customStyle="1" w:styleId="45">
    <w:name w:val="正文缩进1"/>
    <w:basedOn w:val="1"/>
    <w:autoRedefine/>
    <w:qFormat/>
    <w:uiPriority w:val="0"/>
    <w:pPr>
      <w:ind w:firstLine="420"/>
    </w:pPr>
    <w:rPr>
      <w:szCs w:val="20"/>
    </w:rPr>
  </w:style>
  <w:style w:type="paragraph" w:customStyle="1" w:styleId="46">
    <w:name w:val="_Style 586"/>
    <w:basedOn w:val="1"/>
    <w:next w:val="47"/>
    <w:autoRedefine/>
    <w:qFormat/>
    <w:uiPriority w:val="34"/>
    <w:pPr>
      <w:ind w:firstLine="420" w:firstLineChars="200"/>
    </w:pPr>
    <w:rPr>
      <w:szCs w:val="22"/>
    </w:rPr>
  </w:style>
  <w:style w:type="paragraph" w:customStyle="1" w:styleId="47">
    <w:name w:val="列表段落1"/>
    <w:basedOn w:val="1"/>
    <w:autoRedefine/>
    <w:qFormat/>
    <w:uiPriority w:val="0"/>
    <w:pPr>
      <w:ind w:firstLine="420" w:firstLineChars="200"/>
    </w:pPr>
  </w:style>
  <w:style w:type="character" w:customStyle="1" w:styleId="48">
    <w:name w:val="页眉 Char"/>
    <w:basedOn w:val="31"/>
    <w:link w:val="20"/>
    <w:autoRedefine/>
    <w:qFormat/>
    <w:uiPriority w:val="0"/>
    <w:rPr>
      <w:kern w:val="2"/>
      <w:sz w:val="18"/>
      <w:szCs w:val="18"/>
    </w:rPr>
  </w:style>
  <w:style w:type="character" w:customStyle="1" w:styleId="49">
    <w:name w:val="批注框文本 Char"/>
    <w:basedOn w:val="31"/>
    <w:link w:val="17"/>
    <w:autoRedefine/>
    <w:qFormat/>
    <w:uiPriority w:val="0"/>
    <w:rPr>
      <w:kern w:val="2"/>
      <w:sz w:val="18"/>
      <w:szCs w:val="18"/>
    </w:rPr>
  </w:style>
  <w:style w:type="paragraph" w:customStyle="1" w:styleId="50">
    <w:name w:val="列出段落1"/>
    <w:basedOn w:val="1"/>
    <w:autoRedefine/>
    <w:qFormat/>
    <w:uiPriority w:val="34"/>
    <w:pPr>
      <w:ind w:firstLine="420" w:firstLineChars="200"/>
    </w:pPr>
  </w:style>
  <w:style w:type="character" w:customStyle="1" w:styleId="51">
    <w:name w:val="批注文字 Char"/>
    <w:basedOn w:val="31"/>
    <w:link w:val="10"/>
    <w:autoRedefine/>
    <w:qFormat/>
    <w:uiPriority w:val="99"/>
    <w:rPr>
      <w:rFonts w:ascii="宋体"/>
      <w:sz w:val="34"/>
    </w:rPr>
  </w:style>
  <w:style w:type="character" w:customStyle="1" w:styleId="52">
    <w:name w:val="批注主题 Char"/>
    <w:basedOn w:val="51"/>
    <w:link w:val="27"/>
    <w:autoRedefine/>
    <w:qFormat/>
    <w:uiPriority w:val="0"/>
    <w:rPr>
      <w:rFonts w:ascii="宋体"/>
      <w:b/>
      <w:bCs/>
      <w:kern w:val="2"/>
      <w:sz w:val="21"/>
      <w:szCs w:val="24"/>
    </w:rPr>
  </w:style>
  <w:style w:type="character" w:customStyle="1" w:styleId="53">
    <w:name w:val="标题1"/>
    <w:autoRedefine/>
    <w:qFormat/>
    <w:uiPriority w:val="0"/>
  </w:style>
  <w:style w:type="paragraph" w:customStyle="1" w:styleId="54">
    <w:name w:val="USE 1"/>
    <w:basedOn w:val="1"/>
    <w:autoRedefine/>
    <w:qFormat/>
    <w:uiPriority w:val="0"/>
    <w:pPr>
      <w:spacing w:line="200" w:lineRule="atLeast"/>
      <w:jc w:val="left"/>
    </w:pPr>
    <w:rPr>
      <w:rFonts w:ascii="宋体" w:hAnsi="宋体"/>
      <w:b/>
      <w:sz w:val="24"/>
      <w:szCs w:val="28"/>
    </w:rPr>
  </w:style>
  <w:style w:type="paragraph" w:customStyle="1" w:styleId="55">
    <w:name w:val="列表段落2"/>
    <w:basedOn w:val="1"/>
    <w:autoRedefine/>
    <w:qFormat/>
    <w:uiPriority w:val="99"/>
    <w:pPr>
      <w:ind w:firstLine="420" w:firstLineChars="200"/>
    </w:pPr>
  </w:style>
  <w:style w:type="character" w:customStyle="1" w:styleId="56">
    <w:name w:val="font11"/>
    <w:basedOn w:val="31"/>
    <w:autoRedefine/>
    <w:qFormat/>
    <w:uiPriority w:val="0"/>
    <w:rPr>
      <w:rFonts w:hint="default" w:ascii="ˎ̥" w:hAnsi="ˎ̥"/>
    </w:rPr>
  </w:style>
  <w:style w:type="paragraph" w:customStyle="1" w:styleId="57">
    <w:name w:val="*正文"/>
    <w:basedOn w:val="1"/>
    <w:autoRedefine/>
    <w:qFormat/>
    <w:uiPriority w:val="0"/>
    <w:pPr>
      <w:spacing w:line="360" w:lineRule="auto"/>
      <w:ind w:firstLine="480"/>
    </w:pPr>
    <w:rPr>
      <w:rFonts w:ascii="宋体" w:hAnsi="宋体"/>
      <w:szCs w:val="22"/>
    </w:rPr>
  </w:style>
  <w:style w:type="paragraph" w:customStyle="1" w:styleId="58">
    <w:name w:val="修订1"/>
    <w:autoRedefine/>
    <w:hidden/>
    <w:semiHidden/>
    <w:qFormat/>
    <w:uiPriority w:val="99"/>
    <w:rPr>
      <w:rFonts w:ascii="Calibri" w:hAnsi="Calibri" w:eastAsia="宋体" w:cs="Times New Roman"/>
      <w:kern w:val="2"/>
      <w:sz w:val="21"/>
      <w:szCs w:val="24"/>
      <w:lang w:val="en-US" w:eastAsia="zh-CN" w:bidi="ar-SA"/>
    </w:rPr>
  </w:style>
  <w:style w:type="paragraph" w:customStyle="1" w:styleId="59">
    <w:name w:val="本文正文 Char1 Char Char Char Char Char Char Char Char Char Char Char Char Char Char Char Char Char Char Char Char Char Char Char Char"/>
    <w:basedOn w:val="1"/>
    <w:link w:val="60"/>
    <w:autoRedefine/>
    <w:qFormat/>
    <w:uiPriority w:val="0"/>
    <w:pPr>
      <w:widowControl/>
      <w:spacing w:line="480" w:lineRule="exact"/>
      <w:ind w:firstLine="200" w:firstLineChars="200"/>
      <w:jc w:val="left"/>
    </w:pPr>
    <w:rPr>
      <w:rFonts w:ascii="宋体" w:hAnsi="宋体"/>
      <w:kern w:val="0"/>
      <w:sz w:val="24"/>
    </w:rPr>
  </w:style>
  <w:style w:type="character" w:customStyle="1" w:styleId="60">
    <w:name w:val="本文正文 Char1 Char Char Char Char Char Char Char Char Char Char Char Char Char Char Char Char Char Char Char Char Char Char Char Char Char Char"/>
    <w:link w:val="59"/>
    <w:qFormat/>
    <w:uiPriority w:val="0"/>
    <w:rPr>
      <w:rFonts w:ascii="宋体" w:hAnsi="宋体" w:eastAsia="宋体" w:cs="Times New Roman"/>
      <w:kern w:val="0"/>
      <w:sz w:val="24"/>
      <w:szCs w:val="24"/>
    </w:rPr>
  </w:style>
  <w:style w:type="character" w:customStyle="1" w:styleId="61">
    <w:name w:val="标题 2 字符"/>
    <w:qFormat/>
    <w:uiPriority w:val="0"/>
    <w:rPr>
      <w:b/>
      <w:kern w:val="0"/>
      <w:sz w:val="30"/>
      <w:szCs w:val="20"/>
    </w:rPr>
  </w:style>
  <w:style w:type="paragraph" w:customStyle="1" w:styleId="62">
    <w:name w:val="Other|1"/>
    <w:basedOn w:val="1"/>
    <w:autoRedefine/>
    <w:qFormat/>
    <w:uiPriority w:val="0"/>
    <w:pPr>
      <w:spacing w:line="413" w:lineRule="auto"/>
      <w:ind w:firstLine="400"/>
    </w:pPr>
    <w:rPr>
      <w:rFonts w:ascii="宋体" w:hAnsi="宋体" w:cs="宋体"/>
      <w:lang w:val="zh-TW" w:eastAsia="zh-TW" w:bidi="zh-TW"/>
    </w:rPr>
  </w:style>
  <w:style w:type="character" w:customStyle="1" w:styleId="63">
    <w:name w:val="apple-style-span"/>
    <w:basedOn w:val="31"/>
    <w:qFormat/>
    <w:uiPriority w:val="0"/>
  </w:style>
  <w:style w:type="character" w:customStyle="1" w:styleId="64">
    <w:name w:val="标题 2 Char"/>
    <w:link w:val="5"/>
    <w:autoRedefine/>
    <w:qFormat/>
    <w:uiPriority w:val="0"/>
    <w:rPr>
      <w:rFonts w:ascii="Times New Roman" w:hAnsi="Times New Roman"/>
      <w:b/>
      <w:kern w:val="0"/>
      <w:sz w:val="30"/>
      <w:szCs w:val="20"/>
    </w:rPr>
  </w:style>
  <w:style w:type="character" w:customStyle="1" w:styleId="65">
    <w:name w:val="font31"/>
    <w:autoRedefine/>
    <w:qFormat/>
    <w:uiPriority w:val="0"/>
    <w:rPr>
      <w:rFonts w:hint="default" w:ascii="Arial" w:hAnsi="Arial" w:cs="Arial"/>
      <w:b/>
      <w:bCs/>
      <w:color w:val="000000"/>
      <w:sz w:val="22"/>
      <w:szCs w:val="22"/>
      <w:u w:val="none"/>
    </w:rPr>
  </w:style>
  <w:style w:type="paragraph" w:customStyle="1" w:styleId="66">
    <w:name w:val="p0"/>
    <w:basedOn w:val="1"/>
    <w:autoRedefine/>
    <w:qFormat/>
    <w:uiPriority w:val="0"/>
    <w:pPr>
      <w:widowControl/>
    </w:pPr>
    <w:rPr>
      <w:rFonts w:cs="黑体"/>
      <w:kern w:val="0"/>
      <w:szCs w:val="21"/>
    </w:rPr>
  </w:style>
  <w:style w:type="paragraph" w:styleId="67">
    <w:name w:val="List Paragraph"/>
    <w:basedOn w:val="1"/>
    <w:autoRedefine/>
    <w:qFormat/>
    <w:uiPriority w:val="0"/>
    <w:pPr>
      <w:ind w:firstLine="420" w:firstLineChars="200"/>
    </w:pPr>
    <w:rPr>
      <w:szCs w:val="22"/>
    </w:rPr>
  </w:style>
  <w:style w:type="paragraph" w:customStyle="1" w:styleId="68">
    <w:name w:val="_Style 32"/>
    <w:basedOn w:val="1"/>
    <w:next w:val="67"/>
    <w:autoRedefine/>
    <w:qFormat/>
    <w:uiPriority w:val="0"/>
    <w:pPr>
      <w:ind w:firstLine="420" w:firstLineChars="200"/>
    </w:pPr>
    <w:rPr>
      <w:szCs w:val="22"/>
    </w:rPr>
  </w:style>
  <w:style w:type="paragraph" w:customStyle="1" w:styleId="69">
    <w:name w:val="_Style 13"/>
    <w:basedOn w:val="1"/>
    <w:next w:val="67"/>
    <w:qFormat/>
    <w:uiPriority w:val="0"/>
    <w:pPr>
      <w:ind w:firstLine="420" w:firstLineChars="200"/>
    </w:pPr>
    <w:rPr>
      <w:szCs w:val="22"/>
    </w:rPr>
  </w:style>
  <w:style w:type="character" w:customStyle="1" w:styleId="70">
    <w:name w:val="font21"/>
    <w:basedOn w:val="31"/>
    <w:autoRedefine/>
    <w:qFormat/>
    <w:uiPriority w:val="0"/>
    <w:rPr>
      <w:rFonts w:hint="eastAsia" w:ascii="宋体" w:hAnsi="宋体" w:eastAsia="宋体" w:cs="宋体"/>
      <w:color w:val="000000"/>
      <w:sz w:val="22"/>
      <w:szCs w:val="22"/>
      <w:u w:val="none"/>
    </w:rPr>
  </w:style>
  <w:style w:type="paragraph" w:customStyle="1" w:styleId="71">
    <w:name w:val="_Style 3"/>
    <w:basedOn w:val="1"/>
    <w:qFormat/>
    <w:uiPriority w:val="34"/>
    <w:pPr>
      <w:ind w:firstLine="420" w:firstLineChars="200"/>
    </w:pPr>
    <w:rPr>
      <w:sz w:val="20"/>
    </w:rPr>
  </w:style>
  <w:style w:type="paragraph" w:customStyle="1" w:styleId="72">
    <w:name w:val="纯文本1"/>
    <w:basedOn w:val="1"/>
    <w:qFormat/>
    <w:uiPriority w:val="0"/>
    <w:rPr>
      <w:rFonts w:ascii="宋体" w:hAnsi="Courier New"/>
      <w:szCs w:val="20"/>
    </w:rPr>
  </w:style>
  <w:style w:type="paragraph" w:customStyle="1" w:styleId="73">
    <w:name w:val="长亭正文"/>
    <w:basedOn w:val="1"/>
    <w:qFormat/>
    <w:uiPriority w:val="0"/>
    <w:pPr>
      <w:spacing w:line="360" w:lineRule="auto"/>
      <w:ind w:firstLine="422"/>
    </w:pPr>
    <w:rPr>
      <w:rFonts w:ascii="Arial" w:hAnsi="Arial" w:eastAsia="黑体"/>
      <w:color w:val="4C4948"/>
    </w:rPr>
  </w:style>
  <w:style w:type="character" w:customStyle="1" w:styleId="74">
    <w:name w:val="font01"/>
    <w:basedOn w:val="31"/>
    <w:qFormat/>
    <w:uiPriority w:val="0"/>
    <w:rPr>
      <w:rFonts w:hint="eastAsia" w:ascii="宋体" w:hAnsi="宋体" w:eastAsia="宋体" w:cs="宋体"/>
      <w:color w:val="000000"/>
      <w:sz w:val="22"/>
      <w:szCs w:val="22"/>
      <w:u w:val="none"/>
    </w:rPr>
  </w:style>
  <w:style w:type="table" w:customStyle="1" w:styleId="75">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ICOS</Company>
  <Pages>98</Pages>
  <Words>1750</Words>
  <Characters>1765</Characters>
  <Lines>421</Lines>
  <Paragraphs>118</Paragraphs>
  <TotalTime>3</TotalTime>
  <ScaleCrop>false</ScaleCrop>
  <LinksUpToDate>false</LinksUpToDate>
  <CharactersWithSpaces>1778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2023-12-23T17:54:00Z</dcterms:created>
  <dc:creator>郑庆雄</dc:creator>
  <cp:lastModifiedBy>东海国际</cp:lastModifiedBy>
  <cp:lastPrinted>2024-06-07T20:50:00Z</cp:lastPrinted>
  <dcterms:modified xsi:type="dcterms:W3CDTF">2025-07-30T00:52:38Z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A3CB0836F54640129E865F618C4B08B4_13</vt:lpwstr>
  </property>
  <property fmtid="{D5CDD505-2E9C-101B-9397-08002B2CF9AE}" pid="4" name="KSOTemplateDocerSaveRecord">
    <vt:lpwstr>eyJoZGlkIjoiMWY3ZDI3ZDEwZDA0ZmRlNjY1M2I4NzFiYjc1ZTVlZTEiLCJ1c2VySWQiOiIxMTQwMDYwNTgwIn0=</vt:lpwstr>
  </property>
</Properties>
</file>