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D1234">
      <w:pPr>
        <w:jc w:val="center"/>
        <w:rPr>
          <w:rFonts w:hint="eastAsia" w:ascii="方正仿宋_GB2312" w:hAnsi="方正仿宋_GB2312" w:eastAsia="方正仿宋_GB2312" w:cs="方正仿宋_GB2312"/>
          <w:b/>
          <w:bCs/>
          <w:kern w:val="0"/>
          <w:sz w:val="44"/>
          <w:szCs w:val="44"/>
        </w:rPr>
      </w:pPr>
      <w:r>
        <w:rPr>
          <w:rFonts w:hint="eastAsia" w:ascii="方正仿宋_GB2312" w:hAnsi="方正仿宋_GB2312" w:eastAsia="方正仿宋_GB2312" w:cs="方正仿宋_GB2312"/>
          <w:b/>
          <w:bCs/>
          <w:kern w:val="0"/>
          <w:sz w:val="44"/>
          <w:szCs w:val="44"/>
        </w:rPr>
        <w:t>现场踏勘申请表</w:t>
      </w:r>
    </w:p>
    <w:p w14:paraId="0B333FB6">
      <w:pPr>
        <w:rPr>
          <w:rFonts w:hint="eastAsia" w:ascii="方正仿宋_GB2312" w:hAnsi="方正仿宋_GB2312" w:eastAsia="方正仿宋_GB2312" w:cs="方正仿宋_GB2312"/>
        </w:rPr>
      </w:pPr>
    </w:p>
    <w:tbl>
      <w:tblPr>
        <w:tblStyle w:val="88"/>
        <w:tblW w:w="0" w:type="auto"/>
        <w:jc w:val="center"/>
        <w:tblLayout w:type="fixed"/>
        <w:tblCellMar>
          <w:top w:w="0" w:type="dxa"/>
          <w:left w:w="108" w:type="dxa"/>
          <w:bottom w:w="0" w:type="dxa"/>
          <w:right w:w="108" w:type="dxa"/>
        </w:tblCellMar>
      </w:tblPr>
      <w:tblGrid>
        <w:gridCol w:w="682"/>
        <w:gridCol w:w="674"/>
        <w:gridCol w:w="1670"/>
        <w:gridCol w:w="1854"/>
        <w:gridCol w:w="1536"/>
        <w:gridCol w:w="1766"/>
      </w:tblGrid>
      <w:tr w14:paraId="312C6E8B">
        <w:tblPrEx>
          <w:tblCellMar>
            <w:top w:w="0" w:type="dxa"/>
            <w:left w:w="108" w:type="dxa"/>
            <w:bottom w:w="0" w:type="dxa"/>
            <w:right w:w="108" w:type="dxa"/>
          </w:tblCellMar>
        </w:tblPrEx>
        <w:trPr>
          <w:trHeight w:val="633" w:hRule="atLeast"/>
          <w:jc w:val="center"/>
        </w:trPr>
        <w:tc>
          <w:tcPr>
            <w:tcW w:w="1356" w:type="dxa"/>
            <w:gridSpan w:val="2"/>
            <w:tcBorders>
              <w:top w:val="single" w:color="auto" w:sz="4" w:space="0"/>
              <w:left w:val="single" w:color="auto" w:sz="4" w:space="0"/>
              <w:bottom w:val="single" w:color="auto" w:sz="4" w:space="0"/>
              <w:right w:val="single" w:color="auto" w:sz="4" w:space="0"/>
            </w:tcBorders>
            <w:noWrap w:val="0"/>
            <w:vAlign w:val="center"/>
          </w:tcPr>
          <w:p w14:paraId="6D88629D">
            <w:pPr>
              <w:widowControl/>
              <w:spacing w:line="240" w:lineRule="atLeast"/>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项目名称</w:t>
            </w:r>
          </w:p>
        </w:tc>
        <w:tc>
          <w:tcPr>
            <w:tcW w:w="6826" w:type="dxa"/>
            <w:gridSpan w:val="4"/>
            <w:tcBorders>
              <w:top w:val="single" w:color="auto" w:sz="4" w:space="0"/>
              <w:left w:val="single" w:color="auto" w:sz="4" w:space="0"/>
              <w:bottom w:val="single" w:color="auto" w:sz="4" w:space="0"/>
              <w:right w:val="single" w:color="auto" w:sz="4" w:space="0"/>
            </w:tcBorders>
            <w:noWrap w:val="0"/>
            <w:vAlign w:val="center"/>
          </w:tcPr>
          <w:p w14:paraId="4FD7DF0B">
            <w:pPr>
              <w:jc w:val="center"/>
              <w:rPr>
                <w:rFonts w:hint="default" w:ascii="方正仿宋_GB2312" w:hAnsi="方正仿宋_GB2312" w:eastAsia="方正仿宋_GB2312" w:cs="方正仿宋_GB2312"/>
                <w:sz w:val="28"/>
                <w:szCs w:val="22"/>
                <w:lang w:val="en-US" w:eastAsia="zh-CN"/>
              </w:rPr>
            </w:pPr>
            <w:r>
              <w:rPr>
                <w:rFonts w:hint="eastAsia" w:ascii="仿宋_GB2312" w:hAnsi="仿宋_GB2312" w:eastAsia="仿宋_GB2312" w:cs="仿宋_GB2312"/>
                <w:kern w:val="0"/>
                <w:sz w:val="28"/>
                <w:szCs w:val="28"/>
                <w:lang w:val="en-US" w:eastAsia="zh-CN"/>
              </w:rPr>
              <w:t>恒天海龙（潍坊）新材料有限责任公司位于淄博市、潍坊市及南通市</w:t>
            </w:r>
            <w:bookmarkStart w:id="0" w:name="_GoBack"/>
            <w:bookmarkEnd w:id="0"/>
            <w:r>
              <w:rPr>
                <w:rFonts w:hint="eastAsia" w:ascii="仿宋_GB2312" w:hAnsi="仿宋_GB2312" w:eastAsia="仿宋_GB2312" w:cs="仿宋_GB2312"/>
                <w:kern w:val="0"/>
                <w:sz w:val="28"/>
                <w:szCs w:val="28"/>
                <w:lang w:val="en-US" w:eastAsia="zh-CN"/>
              </w:rPr>
              <w:t>的闲废物资一批</w:t>
            </w:r>
          </w:p>
        </w:tc>
      </w:tr>
      <w:tr w14:paraId="274F4D4B">
        <w:tblPrEx>
          <w:tblCellMar>
            <w:top w:w="0" w:type="dxa"/>
            <w:left w:w="108" w:type="dxa"/>
            <w:bottom w:w="0" w:type="dxa"/>
            <w:right w:w="108" w:type="dxa"/>
          </w:tblCellMar>
        </w:tblPrEx>
        <w:trPr>
          <w:trHeight w:val="515" w:hRule="atLeast"/>
          <w:jc w:val="center"/>
        </w:trPr>
        <w:tc>
          <w:tcPr>
            <w:tcW w:w="135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82412B9">
            <w:pPr>
              <w:widowControl/>
              <w:spacing w:line="240" w:lineRule="atLeast"/>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意 向</w:t>
            </w:r>
          </w:p>
          <w:p w14:paraId="23EBDC35">
            <w:pPr>
              <w:widowControl/>
              <w:spacing w:line="240" w:lineRule="atLeast"/>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受让方</w:t>
            </w:r>
          </w:p>
        </w:tc>
        <w:tc>
          <w:tcPr>
            <w:tcW w:w="1670" w:type="dxa"/>
            <w:tcBorders>
              <w:top w:val="single" w:color="auto" w:sz="4" w:space="0"/>
              <w:left w:val="single" w:color="auto" w:sz="4" w:space="0"/>
              <w:bottom w:val="single" w:color="auto" w:sz="4" w:space="0"/>
              <w:right w:val="single" w:color="auto" w:sz="4" w:space="0"/>
            </w:tcBorders>
            <w:noWrap w:val="0"/>
            <w:vAlign w:val="center"/>
          </w:tcPr>
          <w:p w14:paraId="5E491672">
            <w:pPr>
              <w:widowControl/>
              <w:spacing w:line="240" w:lineRule="atLeast"/>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单位名称</w:t>
            </w:r>
          </w:p>
        </w:tc>
        <w:tc>
          <w:tcPr>
            <w:tcW w:w="5156" w:type="dxa"/>
            <w:gridSpan w:val="3"/>
            <w:tcBorders>
              <w:top w:val="single" w:color="auto" w:sz="4" w:space="0"/>
              <w:left w:val="single" w:color="auto" w:sz="4" w:space="0"/>
              <w:bottom w:val="single" w:color="auto" w:sz="4" w:space="0"/>
              <w:right w:val="single" w:color="auto" w:sz="4" w:space="0"/>
            </w:tcBorders>
            <w:noWrap w:val="0"/>
            <w:vAlign w:val="center"/>
          </w:tcPr>
          <w:p w14:paraId="14FEF0E6">
            <w:pPr>
              <w:widowControl/>
              <w:spacing w:line="240" w:lineRule="atLeast"/>
              <w:jc w:val="center"/>
              <w:rPr>
                <w:rFonts w:hint="eastAsia" w:ascii="方正仿宋_GB2312" w:hAnsi="方正仿宋_GB2312" w:eastAsia="方正仿宋_GB2312" w:cs="方正仿宋_GB2312"/>
                <w:kern w:val="0"/>
                <w:sz w:val="28"/>
                <w:szCs w:val="22"/>
              </w:rPr>
            </w:pPr>
          </w:p>
        </w:tc>
      </w:tr>
      <w:tr w14:paraId="28E4F476">
        <w:tblPrEx>
          <w:tblCellMar>
            <w:top w:w="0" w:type="dxa"/>
            <w:left w:w="108" w:type="dxa"/>
            <w:bottom w:w="0" w:type="dxa"/>
            <w:right w:w="108" w:type="dxa"/>
          </w:tblCellMar>
        </w:tblPrEx>
        <w:trPr>
          <w:trHeight w:val="515" w:hRule="atLeast"/>
          <w:jc w:val="center"/>
        </w:trPr>
        <w:tc>
          <w:tcPr>
            <w:tcW w:w="13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36B8C63">
            <w:pPr>
              <w:widowControl/>
              <w:spacing w:line="240" w:lineRule="atLeast"/>
              <w:jc w:val="center"/>
              <w:rPr>
                <w:rFonts w:hint="eastAsia" w:ascii="方正仿宋_GB2312" w:hAnsi="方正仿宋_GB2312" w:eastAsia="方正仿宋_GB2312" w:cs="方正仿宋_GB2312"/>
                <w:kern w:val="0"/>
                <w:sz w:val="28"/>
                <w:szCs w:val="22"/>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5ED83077">
            <w:pPr>
              <w:widowControl/>
              <w:spacing w:line="240" w:lineRule="atLeast"/>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联系人</w:t>
            </w:r>
          </w:p>
        </w:tc>
        <w:tc>
          <w:tcPr>
            <w:tcW w:w="1854" w:type="dxa"/>
            <w:tcBorders>
              <w:top w:val="single" w:color="auto" w:sz="4" w:space="0"/>
              <w:left w:val="single" w:color="auto" w:sz="4" w:space="0"/>
              <w:bottom w:val="single" w:color="auto" w:sz="4" w:space="0"/>
              <w:right w:val="single" w:color="auto" w:sz="4" w:space="0"/>
            </w:tcBorders>
            <w:noWrap w:val="0"/>
            <w:vAlign w:val="center"/>
          </w:tcPr>
          <w:p w14:paraId="5DC7115E">
            <w:pPr>
              <w:widowControl/>
              <w:spacing w:line="240" w:lineRule="atLeast"/>
              <w:jc w:val="center"/>
              <w:rPr>
                <w:rFonts w:hint="eastAsia" w:ascii="方正仿宋_GB2312" w:hAnsi="方正仿宋_GB2312" w:eastAsia="方正仿宋_GB2312" w:cs="方正仿宋_GB2312"/>
                <w:kern w:val="0"/>
                <w:sz w:val="28"/>
                <w:szCs w:val="22"/>
              </w:rPr>
            </w:pPr>
          </w:p>
        </w:tc>
        <w:tc>
          <w:tcPr>
            <w:tcW w:w="1536" w:type="dxa"/>
            <w:tcBorders>
              <w:top w:val="single" w:color="auto" w:sz="4" w:space="0"/>
              <w:left w:val="single" w:color="auto" w:sz="4" w:space="0"/>
              <w:bottom w:val="single" w:color="auto" w:sz="4" w:space="0"/>
              <w:right w:val="single" w:color="auto" w:sz="4" w:space="0"/>
            </w:tcBorders>
            <w:noWrap w:val="0"/>
            <w:vAlign w:val="center"/>
          </w:tcPr>
          <w:p w14:paraId="59F1C282">
            <w:pPr>
              <w:widowControl/>
              <w:spacing w:line="240" w:lineRule="atLeast"/>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电子邮件</w:t>
            </w:r>
          </w:p>
        </w:tc>
        <w:tc>
          <w:tcPr>
            <w:tcW w:w="1766" w:type="dxa"/>
            <w:tcBorders>
              <w:top w:val="single" w:color="auto" w:sz="4" w:space="0"/>
              <w:left w:val="single" w:color="auto" w:sz="4" w:space="0"/>
              <w:bottom w:val="single" w:color="auto" w:sz="4" w:space="0"/>
              <w:right w:val="single" w:color="auto" w:sz="4" w:space="0"/>
            </w:tcBorders>
            <w:noWrap w:val="0"/>
            <w:vAlign w:val="center"/>
          </w:tcPr>
          <w:p w14:paraId="770157A3">
            <w:pPr>
              <w:widowControl/>
              <w:spacing w:line="240" w:lineRule="atLeast"/>
              <w:jc w:val="center"/>
              <w:rPr>
                <w:rFonts w:hint="eastAsia" w:ascii="方正仿宋_GB2312" w:hAnsi="方正仿宋_GB2312" w:eastAsia="方正仿宋_GB2312" w:cs="方正仿宋_GB2312"/>
                <w:kern w:val="0"/>
                <w:sz w:val="28"/>
                <w:szCs w:val="22"/>
              </w:rPr>
            </w:pPr>
          </w:p>
        </w:tc>
      </w:tr>
      <w:tr w14:paraId="6FDD089B">
        <w:tblPrEx>
          <w:tblCellMar>
            <w:top w:w="0" w:type="dxa"/>
            <w:left w:w="108" w:type="dxa"/>
            <w:bottom w:w="0" w:type="dxa"/>
            <w:right w:w="108" w:type="dxa"/>
          </w:tblCellMar>
        </w:tblPrEx>
        <w:trPr>
          <w:trHeight w:val="515" w:hRule="atLeast"/>
          <w:jc w:val="center"/>
        </w:trPr>
        <w:tc>
          <w:tcPr>
            <w:tcW w:w="135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FDC846A">
            <w:pPr>
              <w:widowControl/>
              <w:spacing w:line="240" w:lineRule="atLeast"/>
              <w:jc w:val="center"/>
              <w:rPr>
                <w:rFonts w:hint="eastAsia" w:ascii="方正仿宋_GB2312" w:hAnsi="方正仿宋_GB2312" w:eastAsia="方正仿宋_GB2312" w:cs="方正仿宋_GB2312"/>
                <w:kern w:val="0"/>
                <w:sz w:val="28"/>
                <w:szCs w:val="22"/>
              </w:rPr>
            </w:pPr>
          </w:p>
        </w:tc>
        <w:tc>
          <w:tcPr>
            <w:tcW w:w="1670" w:type="dxa"/>
            <w:tcBorders>
              <w:top w:val="single" w:color="auto" w:sz="4" w:space="0"/>
              <w:left w:val="single" w:color="auto" w:sz="4" w:space="0"/>
              <w:bottom w:val="single" w:color="auto" w:sz="4" w:space="0"/>
              <w:right w:val="single" w:color="auto" w:sz="4" w:space="0"/>
            </w:tcBorders>
            <w:noWrap w:val="0"/>
            <w:vAlign w:val="center"/>
          </w:tcPr>
          <w:p w14:paraId="507EAD4A">
            <w:pPr>
              <w:widowControl/>
              <w:spacing w:line="240" w:lineRule="atLeast"/>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电  话</w:t>
            </w:r>
          </w:p>
        </w:tc>
        <w:tc>
          <w:tcPr>
            <w:tcW w:w="1854" w:type="dxa"/>
            <w:tcBorders>
              <w:top w:val="single" w:color="auto" w:sz="4" w:space="0"/>
              <w:left w:val="single" w:color="auto" w:sz="4" w:space="0"/>
              <w:bottom w:val="single" w:color="auto" w:sz="4" w:space="0"/>
              <w:right w:val="single" w:color="auto" w:sz="4" w:space="0"/>
            </w:tcBorders>
            <w:noWrap w:val="0"/>
            <w:vAlign w:val="center"/>
          </w:tcPr>
          <w:p w14:paraId="754542A9">
            <w:pPr>
              <w:widowControl/>
              <w:spacing w:line="240" w:lineRule="atLeast"/>
              <w:jc w:val="center"/>
              <w:rPr>
                <w:rFonts w:hint="eastAsia" w:ascii="方正仿宋_GB2312" w:hAnsi="方正仿宋_GB2312" w:eastAsia="方正仿宋_GB2312" w:cs="方正仿宋_GB2312"/>
                <w:kern w:val="0"/>
                <w:sz w:val="28"/>
                <w:szCs w:val="22"/>
              </w:rPr>
            </w:pPr>
          </w:p>
        </w:tc>
        <w:tc>
          <w:tcPr>
            <w:tcW w:w="1536" w:type="dxa"/>
            <w:tcBorders>
              <w:top w:val="single" w:color="auto" w:sz="4" w:space="0"/>
              <w:left w:val="single" w:color="auto" w:sz="4" w:space="0"/>
              <w:bottom w:val="single" w:color="auto" w:sz="4" w:space="0"/>
              <w:right w:val="single" w:color="auto" w:sz="4" w:space="0"/>
            </w:tcBorders>
            <w:noWrap w:val="0"/>
            <w:vAlign w:val="center"/>
          </w:tcPr>
          <w:p w14:paraId="4EE2F9F8">
            <w:pPr>
              <w:widowControl/>
              <w:spacing w:line="240" w:lineRule="atLeast"/>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 xml:space="preserve">  传   真</w:t>
            </w:r>
          </w:p>
        </w:tc>
        <w:tc>
          <w:tcPr>
            <w:tcW w:w="1766" w:type="dxa"/>
            <w:tcBorders>
              <w:top w:val="single" w:color="auto" w:sz="4" w:space="0"/>
              <w:left w:val="single" w:color="auto" w:sz="4" w:space="0"/>
              <w:bottom w:val="single" w:color="auto" w:sz="4" w:space="0"/>
              <w:right w:val="single" w:color="auto" w:sz="4" w:space="0"/>
            </w:tcBorders>
            <w:noWrap w:val="0"/>
            <w:vAlign w:val="center"/>
          </w:tcPr>
          <w:p w14:paraId="3E170C24">
            <w:pPr>
              <w:widowControl/>
              <w:spacing w:line="240" w:lineRule="atLeast"/>
              <w:jc w:val="center"/>
              <w:rPr>
                <w:rFonts w:hint="eastAsia" w:ascii="方正仿宋_GB2312" w:hAnsi="方正仿宋_GB2312" w:eastAsia="方正仿宋_GB2312" w:cs="方正仿宋_GB2312"/>
                <w:kern w:val="0"/>
                <w:sz w:val="28"/>
                <w:szCs w:val="22"/>
              </w:rPr>
            </w:pPr>
          </w:p>
        </w:tc>
      </w:tr>
      <w:tr w14:paraId="67FEEF30">
        <w:tblPrEx>
          <w:tblCellMar>
            <w:top w:w="0" w:type="dxa"/>
            <w:left w:w="108" w:type="dxa"/>
            <w:bottom w:w="0" w:type="dxa"/>
            <w:right w:w="108" w:type="dxa"/>
          </w:tblCellMar>
        </w:tblPrEx>
        <w:trPr>
          <w:trHeight w:val="1357" w:hRule="atLeast"/>
          <w:jc w:val="center"/>
        </w:trPr>
        <w:tc>
          <w:tcPr>
            <w:tcW w:w="682" w:type="dxa"/>
            <w:vMerge w:val="restart"/>
            <w:tcBorders>
              <w:top w:val="single" w:color="auto" w:sz="4" w:space="0"/>
              <w:left w:val="single" w:color="auto" w:sz="4" w:space="0"/>
              <w:bottom w:val="single" w:color="auto" w:sz="4" w:space="0"/>
              <w:right w:val="single" w:color="auto" w:sz="4" w:space="0"/>
            </w:tcBorders>
            <w:noWrap w:val="0"/>
            <w:vAlign w:val="center"/>
          </w:tcPr>
          <w:p w14:paraId="4D80ADC6">
            <w:pPr>
              <w:widowControl/>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踏</w:t>
            </w:r>
          </w:p>
          <w:p w14:paraId="6013BA67">
            <w:pPr>
              <w:widowControl/>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勘</w:t>
            </w:r>
          </w:p>
          <w:p w14:paraId="2955D9C4">
            <w:pPr>
              <w:widowControl/>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说</w:t>
            </w:r>
          </w:p>
          <w:p w14:paraId="6D1CCE9E">
            <w:pPr>
              <w:widowControl/>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明</w:t>
            </w:r>
          </w:p>
        </w:tc>
        <w:tc>
          <w:tcPr>
            <w:tcW w:w="674" w:type="dxa"/>
            <w:tcBorders>
              <w:top w:val="single" w:color="auto" w:sz="4" w:space="0"/>
              <w:left w:val="single" w:color="auto" w:sz="4" w:space="0"/>
              <w:bottom w:val="single" w:color="auto" w:sz="4" w:space="0"/>
              <w:right w:val="single" w:color="auto" w:sz="4" w:space="0"/>
            </w:tcBorders>
            <w:noWrap w:val="0"/>
            <w:vAlign w:val="center"/>
          </w:tcPr>
          <w:p w14:paraId="1343E565">
            <w:pPr>
              <w:widowControl/>
              <w:jc w:val="both"/>
              <w:rPr>
                <w:rFonts w:hint="eastAsia" w:ascii="方正仿宋_GB2312" w:hAnsi="方正仿宋_GB2312" w:eastAsia="方正仿宋_GB2312" w:cs="方正仿宋_GB2312"/>
                <w:kern w:val="0"/>
                <w:sz w:val="28"/>
                <w:szCs w:val="22"/>
                <w:lang w:val="en-US" w:eastAsia="zh-CN"/>
              </w:rPr>
            </w:pPr>
            <w:r>
              <w:rPr>
                <w:rFonts w:hint="eastAsia" w:ascii="方正仿宋_GB2312" w:hAnsi="方正仿宋_GB2312" w:eastAsia="方正仿宋_GB2312" w:cs="方正仿宋_GB2312"/>
                <w:kern w:val="0"/>
                <w:sz w:val="28"/>
                <w:szCs w:val="22"/>
                <w:lang w:val="en-US" w:eastAsia="zh-CN"/>
              </w:rPr>
              <w:t>踏勘纪律</w:t>
            </w:r>
          </w:p>
        </w:tc>
        <w:tc>
          <w:tcPr>
            <w:tcW w:w="6826" w:type="dxa"/>
            <w:gridSpan w:val="4"/>
            <w:tcBorders>
              <w:top w:val="single" w:color="auto" w:sz="4" w:space="0"/>
              <w:left w:val="single" w:color="auto" w:sz="4" w:space="0"/>
              <w:bottom w:val="single" w:color="auto" w:sz="4" w:space="0"/>
              <w:right w:val="single" w:color="auto" w:sz="4" w:space="0"/>
            </w:tcBorders>
            <w:noWrap w:val="0"/>
            <w:vAlign w:val="center"/>
          </w:tcPr>
          <w:p w14:paraId="7A3DAE82">
            <w:pP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为保障各意向受让方顺利有序到现场踏勘，同时维护转让方生产、生活正常秩序，各意向受让方须遵守以下现场踏勘纪律：</w:t>
            </w:r>
          </w:p>
          <w:p w14:paraId="01F8FF26">
            <w:pPr>
              <w:ind w:firstLine="440" w:firstLineChars="200"/>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lang w:val="en-US" w:eastAsia="zh-CN"/>
              </w:rPr>
              <w:t>1、</w:t>
            </w:r>
            <w:r>
              <w:rPr>
                <w:rFonts w:hint="eastAsia" w:ascii="方正仿宋_GB2312" w:hAnsi="方正仿宋_GB2312" w:eastAsia="方正仿宋_GB2312" w:cs="方正仿宋_GB2312"/>
                <w:sz w:val="22"/>
                <w:szCs w:val="22"/>
              </w:rPr>
              <w:t>踏勘时须按照现场人员安排的时间、地点</w:t>
            </w:r>
            <w:r>
              <w:rPr>
                <w:rFonts w:hint="eastAsia" w:ascii="方正仿宋_GB2312" w:hAnsi="方正仿宋_GB2312" w:eastAsia="方正仿宋_GB2312" w:cs="方正仿宋_GB2312"/>
                <w:sz w:val="22"/>
                <w:szCs w:val="22"/>
                <w:lang w:eastAsia="zh-CN"/>
              </w:rPr>
              <w:t>、</w:t>
            </w:r>
            <w:r>
              <w:rPr>
                <w:rFonts w:hint="eastAsia" w:ascii="方正仿宋_GB2312" w:hAnsi="方正仿宋_GB2312" w:eastAsia="方正仿宋_GB2312" w:cs="方正仿宋_GB2312"/>
                <w:sz w:val="22"/>
                <w:szCs w:val="22"/>
              </w:rPr>
              <w:t>顺序进行踏勘。</w:t>
            </w:r>
          </w:p>
          <w:p w14:paraId="137BD343">
            <w:pPr>
              <w:ind w:firstLine="440" w:firstLineChars="200"/>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lang w:val="en-US" w:eastAsia="zh-CN"/>
              </w:rPr>
              <w:t>2</w:t>
            </w:r>
            <w:r>
              <w:rPr>
                <w:rFonts w:hint="eastAsia" w:ascii="方正仿宋_GB2312" w:hAnsi="方正仿宋_GB2312" w:eastAsia="方正仿宋_GB2312" w:cs="方正仿宋_GB2312"/>
                <w:sz w:val="22"/>
                <w:szCs w:val="22"/>
              </w:rPr>
              <w:t>、踏勘时须服从转让方人员的指导和陪同，</w:t>
            </w:r>
            <w:r>
              <w:rPr>
                <w:rFonts w:hint="eastAsia" w:ascii="方正仿宋_GB2312" w:hAnsi="方正仿宋_GB2312" w:eastAsia="方正仿宋_GB2312" w:cs="方正仿宋_GB2312"/>
                <w:sz w:val="22"/>
                <w:szCs w:val="22"/>
                <w:lang w:val="en-US" w:eastAsia="zh-CN"/>
              </w:rPr>
              <w:t>安全有序踏勘。</w:t>
            </w:r>
            <w:r>
              <w:rPr>
                <w:rFonts w:hint="eastAsia" w:ascii="方正仿宋_GB2312" w:hAnsi="方正仿宋_GB2312" w:eastAsia="方正仿宋_GB2312" w:cs="方正仿宋_GB2312"/>
                <w:sz w:val="22"/>
                <w:szCs w:val="22"/>
              </w:rPr>
              <w:t>不得以踏勘为名，要求拆解或破坏设备、建/构筑物形态，更不得夹带任何现场物资出场。禁止脱离现场指导人员视线范围，私自进入其它场所或空间，否则造成的一切后果由意向受让方自行承担。</w:t>
            </w:r>
          </w:p>
          <w:p w14:paraId="010D8E3B">
            <w:pPr>
              <w:ind w:firstLine="4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22"/>
                <w:szCs w:val="22"/>
                <w:lang w:val="en-US" w:eastAsia="zh-CN"/>
              </w:rPr>
              <w:t>3、</w:t>
            </w:r>
            <w:r>
              <w:rPr>
                <w:rFonts w:hint="eastAsia" w:ascii="方正仿宋_GB2312" w:hAnsi="方正仿宋_GB2312" w:eastAsia="方正仿宋_GB2312" w:cs="方正仿宋_GB2312"/>
                <w:sz w:val="22"/>
                <w:szCs w:val="22"/>
              </w:rPr>
              <w:t>意向受让方对现场踏勘了解的情况负有保密义务</w:t>
            </w:r>
            <w:r>
              <w:rPr>
                <w:rFonts w:hint="eastAsia" w:ascii="方正仿宋_GB2312" w:hAnsi="方正仿宋_GB2312" w:eastAsia="方正仿宋_GB2312" w:cs="方正仿宋_GB2312"/>
                <w:sz w:val="22"/>
                <w:szCs w:val="22"/>
                <w:lang w:eastAsia="zh-CN"/>
              </w:rPr>
              <w:t>。</w:t>
            </w:r>
          </w:p>
        </w:tc>
      </w:tr>
      <w:tr w14:paraId="0C02C515">
        <w:tblPrEx>
          <w:tblCellMar>
            <w:top w:w="0" w:type="dxa"/>
            <w:left w:w="108" w:type="dxa"/>
            <w:bottom w:w="0" w:type="dxa"/>
            <w:right w:w="108" w:type="dxa"/>
          </w:tblCellMar>
        </w:tblPrEx>
        <w:trPr>
          <w:trHeight w:val="90" w:hRule="atLeast"/>
          <w:jc w:val="center"/>
        </w:trPr>
        <w:tc>
          <w:tcPr>
            <w:tcW w:w="682" w:type="dxa"/>
            <w:vMerge w:val="continue"/>
            <w:tcBorders>
              <w:top w:val="single" w:color="auto" w:sz="4" w:space="0"/>
              <w:left w:val="single" w:color="auto" w:sz="4" w:space="0"/>
              <w:bottom w:val="single" w:color="auto" w:sz="4" w:space="0"/>
              <w:right w:val="single" w:color="auto" w:sz="4" w:space="0"/>
            </w:tcBorders>
            <w:noWrap w:val="0"/>
            <w:vAlign w:val="center"/>
          </w:tcPr>
          <w:p w14:paraId="03F95638">
            <w:pPr>
              <w:widowControl/>
              <w:jc w:val="center"/>
              <w:rPr>
                <w:rFonts w:hint="eastAsia" w:ascii="方正仿宋_GB2312" w:hAnsi="方正仿宋_GB2312" w:eastAsia="方正仿宋_GB2312" w:cs="方正仿宋_GB2312"/>
                <w:kern w:val="0"/>
                <w:sz w:val="28"/>
                <w:szCs w:val="22"/>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71DA24CA">
            <w:pPr>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参</w:t>
            </w:r>
          </w:p>
          <w:p w14:paraId="4725DFA3">
            <w:pPr>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与</w:t>
            </w:r>
          </w:p>
          <w:p w14:paraId="1C2CE173">
            <w:pPr>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人</w:t>
            </w:r>
          </w:p>
          <w:p w14:paraId="4CE66C0E">
            <w:pPr>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员</w:t>
            </w:r>
          </w:p>
          <w:p w14:paraId="56F04D01">
            <w:pPr>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名</w:t>
            </w:r>
          </w:p>
          <w:p w14:paraId="00E9D516">
            <w:pPr>
              <w:jc w:val="center"/>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单</w:t>
            </w:r>
          </w:p>
        </w:tc>
        <w:tc>
          <w:tcPr>
            <w:tcW w:w="6826" w:type="dxa"/>
            <w:gridSpan w:val="4"/>
            <w:tcBorders>
              <w:top w:val="single" w:color="auto" w:sz="4" w:space="0"/>
              <w:left w:val="single" w:color="auto" w:sz="4" w:space="0"/>
              <w:bottom w:val="single" w:color="auto" w:sz="4" w:space="0"/>
              <w:right w:val="single" w:color="auto" w:sz="4" w:space="0"/>
            </w:tcBorders>
            <w:noWrap w:val="0"/>
            <w:vAlign w:val="top"/>
          </w:tcPr>
          <w:p w14:paraId="12E4130C">
            <w:pPr>
              <w:keepNext w:val="0"/>
              <w:keepLines w:val="0"/>
              <w:pageBreakBefore w:val="0"/>
              <w:widowControl/>
              <w:kinsoku w:val="0"/>
              <w:wordWrap/>
              <w:overflowPunct/>
              <w:topLinePunct w:val="0"/>
              <w:autoSpaceDE w:val="0"/>
              <w:autoSpaceDN w:val="0"/>
              <w:bidi w:val="0"/>
              <w:adjustRightInd w:val="0"/>
              <w:snapToGrid w:val="0"/>
              <w:ind w:right="0"/>
              <w:jc w:val="both"/>
              <w:textAlignment w:val="auto"/>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(注：人员名单须注明身份证号码</w:t>
            </w:r>
            <w:r>
              <w:rPr>
                <w:rFonts w:hint="eastAsia" w:ascii="方正仿宋_GB2312" w:hAnsi="方正仿宋_GB2312" w:eastAsia="方正仿宋_GB2312" w:cs="方正仿宋_GB2312"/>
                <w:kern w:val="0"/>
                <w:sz w:val="28"/>
                <w:szCs w:val="22"/>
                <w:lang w:eastAsia="zh-CN"/>
              </w:rPr>
              <w:t>，</w:t>
            </w:r>
            <w:r>
              <w:rPr>
                <w:rFonts w:hint="eastAsia" w:ascii="方正仿宋_GB2312" w:hAnsi="方正仿宋_GB2312" w:eastAsia="方正仿宋_GB2312" w:cs="方正仿宋_GB2312"/>
                <w:kern w:val="0"/>
                <w:sz w:val="28"/>
                <w:szCs w:val="22"/>
                <w:lang w:val="en-US" w:eastAsia="zh-CN"/>
              </w:rPr>
              <w:t>不得超过2人。</w:t>
            </w:r>
            <w:r>
              <w:rPr>
                <w:rFonts w:hint="eastAsia" w:ascii="方正仿宋_GB2312" w:hAnsi="方正仿宋_GB2312" w:eastAsia="方正仿宋_GB2312" w:cs="方正仿宋_GB2312"/>
                <w:kern w:val="0"/>
                <w:sz w:val="28"/>
                <w:szCs w:val="22"/>
              </w:rPr>
              <w:t xml:space="preserve">) </w:t>
            </w:r>
          </w:p>
          <w:p w14:paraId="5F48B070">
            <w:pPr>
              <w:widowControl/>
              <w:numPr>
                <w:ilvl w:val="0"/>
                <w:numId w:val="11"/>
              </w:numPr>
              <w:ind w:right="1800"/>
              <w:rPr>
                <w:rFonts w:hint="eastAsia" w:ascii="方正仿宋_GB2312" w:hAnsi="方正仿宋_GB2312" w:eastAsia="方正仿宋_GB2312" w:cs="方正仿宋_GB2312"/>
                <w:kern w:val="0"/>
                <w:sz w:val="28"/>
                <w:szCs w:val="22"/>
                <w:u w:val="single"/>
                <w:lang w:val="en-US" w:eastAsia="zh-CN"/>
              </w:rPr>
            </w:pPr>
            <w:r>
              <w:rPr>
                <w:rFonts w:hint="eastAsia" w:ascii="方正仿宋_GB2312" w:hAnsi="方正仿宋_GB2312" w:eastAsia="方正仿宋_GB2312" w:cs="方正仿宋_GB2312"/>
                <w:kern w:val="0"/>
                <w:sz w:val="28"/>
                <w:szCs w:val="22"/>
                <w:u w:val="single"/>
                <w:lang w:val="en-US" w:eastAsia="zh-CN"/>
              </w:rPr>
              <w:t>姓名       ；身份证号码：      。</w:t>
            </w:r>
          </w:p>
          <w:p w14:paraId="17DD4706">
            <w:pPr>
              <w:widowControl/>
              <w:numPr>
                <w:ilvl w:val="0"/>
                <w:numId w:val="11"/>
              </w:numPr>
              <w:ind w:right="1800"/>
              <w:rPr>
                <w:rFonts w:hint="eastAsia" w:ascii="方正仿宋_GB2312" w:hAnsi="方正仿宋_GB2312" w:eastAsia="方正仿宋_GB2312" w:cs="方正仿宋_GB2312"/>
                <w:kern w:val="0"/>
                <w:sz w:val="28"/>
                <w:szCs w:val="22"/>
                <w:u w:val="single"/>
                <w:lang w:val="en-US" w:eastAsia="zh-CN"/>
              </w:rPr>
            </w:pPr>
            <w:r>
              <w:rPr>
                <w:rFonts w:hint="eastAsia" w:ascii="方正仿宋_GB2312" w:hAnsi="方正仿宋_GB2312" w:eastAsia="方正仿宋_GB2312" w:cs="方正仿宋_GB2312"/>
                <w:kern w:val="0"/>
                <w:sz w:val="28"/>
                <w:szCs w:val="22"/>
                <w:u w:val="single"/>
                <w:lang w:val="en-US" w:eastAsia="zh-CN"/>
              </w:rPr>
              <w:t>姓名       ；身份证号码：      。</w:t>
            </w:r>
          </w:p>
          <w:p w14:paraId="47D2CC83">
            <w:pPr>
              <w:keepNext w:val="0"/>
              <w:keepLines w:val="0"/>
              <w:pageBreakBefore w:val="0"/>
              <w:widowControl/>
              <w:kinsoku/>
              <w:wordWrap/>
              <w:overflowPunct/>
              <w:topLinePunct w:val="0"/>
              <w:autoSpaceDE/>
              <w:autoSpaceDN/>
              <w:bidi w:val="0"/>
              <w:adjustRightInd/>
              <w:snapToGrid/>
              <w:ind w:right="0"/>
              <w:textAlignment w:val="auto"/>
              <w:rPr>
                <w:rFonts w:hint="eastAsia" w:ascii="方正仿宋_GB2312" w:hAnsi="方正仿宋_GB2312" w:eastAsia="方正仿宋_GB2312" w:cs="方正仿宋_GB2312"/>
                <w:kern w:val="0"/>
                <w:sz w:val="28"/>
                <w:szCs w:val="22"/>
                <w:lang w:eastAsia="zh-CN"/>
              </w:rPr>
            </w:pPr>
            <w:r>
              <w:rPr>
                <w:rFonts w:hint="eastAsia" w:ascii="方正仿宋_GB2312" w:hAnsi="方正仿宋_GB2312" w:eastAsia="方正仿宋_GB2312" w:cs="方正仿宋_GB2312"/>
                <w:kern w:val="0"/>
                <w:sz w:val="28"/>
                <w:szCs w:val="22"/>
              </w:rPr>
              <w:t>以上踏勘人员均已经我方法定代表人合法授权，有权代表我方参与本次项目现场踏勘，我方对上述人员在踏勘过程中的全部行为</w:t>
            </w:r>
            <w:r>
              <w:rPr>
                <w:rFonts w:hint="eastAsia" w:ascii="方正仿宋_GB2312" w:hAnsi="方正仿宋_GB2312" w:eastAsia="方正仿宋_GB2312" w:cs="方正仿宋_GB2312"/>
                <w:kern w:val="0"/>
                <w:sz w:val="28"/>
                <w:szCs w:val="22"/>
                <w:lang w:val="en-US" w:eastAsia="zh-CN"/>
              </w:rPr>
              <w:t>及签署《现场踏勘确认书》行为</w:t>
            </w:r>
            <w:r>
              <w:rPr>
                <w:rFonts w:hint="eastAsia" w:ascii="方正仿宋_GB2312" w:hAnsi="方正仿宋_GB2312" w:eastAsia="方正仿宋_GB2312" w:cs="方正仿宋_GB2312"/>
                <w:kern w:val="0"/>
                <w:sz w:val="28"/>
                <w:szCs w:val="22"/>
              </w:rPr>
              <w:t>承担全部法律责任</w:t>
            </w:r>
            <w:r>
              <w:rPr>
                <w:rFonts w:hint="eastAsia" w:ascii="方正仿宋_GB2312" w:hAnsi="方正仿宋_GB2312" w:eastAsia="方正仿宋_GB2312" w:cs="方正仿宋_GB2312"/>
                <w:kern w:val="0"/>
                <w:sz w:val="28"/>
                <w:szCs w:val="22"/>
                <w:lang w:eastAsia="zh-CN"/>
              </w:rPr>
              <w:t>。</w:t>
            </w:r>
          </w:p>
          <w:p w14:paraId="416D1541">
            <w:pPr>
              <w:widowControl/>
              <w:ind w:right="1800"/>
              <w:rPr>
                <w:rFonts w:hint="eastAsia" w:ascii="方正仿宋_GB2312" w:hAnsi="方正仿宋_GB2312" w:eastAsia="方正仿宋_GB2312" w:cs="方正仿宋_GB2312"/>
                <w:kern w:val="0"/>
                <w:sz w:val="28"/>
                <w:szCs w:val="22"/>
              </w:rPr>
            </w:pPr>
          </w:p>
          <w:p w14:paraId="20C68D7F">
            <w:pPr>
              <w:widowControl/>
              <w:ind w:right="1800"/>
              <w:rPr>
                <w:rFonts w:hint="eastAsia" w:ascii="方正仿宋_GB2312" w:hAnsi="方正仿宋_GB2312" w:eastAsia="方正仿宋_GB2312" w:cs="方正仿宋_GB2312"/>
                <w:kern w:val="0"/>
                <w:sz w:val="28"/>
                <w:szCs w:val="22"/>
              </w:rPr>
            </w:pPr>
          </w:p>
          <w:p w14:paraId="3FFAF059">
            <w:pPr>
              <w:widowControl/>
              <w:ind w:right="1800"/>
              <w:rPr>
                <w:rFonts w:hint="eastAsia" w:ascii="方正仿宋_GB2312" w:hAnsi="方正仿宋_GB2312" w:eastAsia="方正仿宋_GB2312" w:cs="方正仿宋_GB2312"/>
                <w:kern w:val="0"/>
                <w:sz w:val="28"/>
                <w:szCs w:val="22"/>
              </w:rPr>
            </w:pPr>
          </w:p>
          <w:p w14:paraId="0BDF0316">
            <w:pPr>
              <w:widowControl/>
              <w:ind w:right="1800"/>
              <w:rPr>
                <w:rFonts w:hint="eastAsia" w:ascii="方正仿宋_GB2312" w:hAnsi="方正仿宋_GB2312" w:eastAsia="方正仿宋_GB2312" w:cs="方正仿宋_GB2312"/>
                <w:kern w:val="0"/>
                <w:sz w:val="28"/>
                <w:szCs w:val="22"/>
              </w:rPr>
            </w:pPr>
          </w:p>
          <w:p w14:paraId="3806FA81">
            <w:pPr>
              <w:widowControl/>
              <w:ind w:right="1800"/>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 xml:space="preserve">                意向受让方（盖章）：</w:t>
            </w:r>
          </w:p>
          <w:p w14:paraId="7F1F715C">
            <w:pPr>
              <w:widowControl/>
              <w:ind w:right="1800"/>
              <w:rPr>
                <w:rFonts w:hint="eastAsia" w:ascii="方正仿宋_GB2312" w:hAnsi="方正仿宋_GB2312" w:eastAsia="方正仿宋_GB2312" w:cs="方正仿宋_GB2312"/>
                <w:kern w:val="0"/>
                <w:sz w:val="28"/>
                <w:szCs w:val="22"/>
              </w:rPr>
            </w:pPr>
          </w:p>
          <w:p w14:paraId="34F040FF">
            <w:pPr>
              <w:widowControl/>
              <w:ind w:right="1800"/>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 xml:space="preserve">           法人</w:t>
            </w:r>
            <w:r>
              <w:rPr>
                <w:rFonts w:hint="eastAsia" w:ascii="方正仿宋_GB2312" w:hAnsi="方正仿宋_GB2312" w:eastAsia="方正仿宋_GB2312" w:cs="方正仿宋_GB2312"/>
                <w:kern w:val="0"/>
                <w:sz w:val="28"/>
                <w:szCs w:val="22"/>
                <w:lang w:val="en-US" w:eastAsia="zh-CN"/>
              </w:rPr>
              <w:t>及踏勘人员</w:t>
            </w:r>
            <w:r>
              <w:rPr>
                <w:rFonts w:hint="eastAsia" w:ascii="方正仿宋_GB2312" w:hAnsi="方正仿宋_GB2312" w:eastAsia="方正仿宋_GB2312" w:cs="方正仿宋_GB2312"/>
                <w:kern w:val="0"/>
                <w:sz w:val="28"/>
                <w:szCs w:val="22"/>
              </w:rPr>
              <w:t>（签名）：</w:t>
            </w:r>
          </w:p>
          <w:p w14:paraId="44A4A173">
            <w:pPr>
              <w:widowControl/>
              <w:ind w:right="480"/>
              <w:rPr>
                <w:rFonts w:hint="eastAsia" w:ascii="方正仿宋_GB2312" w:hAnsi="方正仿宋_GB2312" w:eastAsia="方正仿宋_GB2312" w:cs="方正仿宋_GB2312"/>
                <w:kern w:val="0"/>
                <w:sz w:val="28"/>
                <w:szCs w:val="22"/>
              </w:rPr>
            </w:pPr>
          </w:p>
          <w:p w14:paraId="4EA77A9B">
            <w:pPr>
              <w:widowControl/>
              <w:adjustRightInd w:val="0"/>
              <w:snapToGrid w:val="0"/>
              <w:rPr>
                <w:rFonts w:hint="eastAsia" w:ascii="方正仿宋_GB2312" w:hAnsi="方正仿宋_GB2312" w:eastAsia="方正仿宋_GB2312" w:cs="方正仿宋_GB2312"/>
                <w:kern w:val="0"/>
                <w:sz w:val="28"/>
                <w:szCs w:val="22"/>
              </w:rPr>
            </w:pPr>
            <w:r>
              <w:rPr>
                <w:rFonts w:hint="eastAsia" w:ascii="方正仿宋_GB2312" w:hAnsi="方正仿宋_GB2312" w:eastAsia="方正仿宋_GB2312" w:cs="方正仿宋_GB2312"/>
                <w:kern w:val="0"/>
                <w:sz w:val="28"/>
                <w:szCs w:val="22"/>
              </w:rPr>
              <w:t xml:space="preserve">                            年    月    日</w:t>
            </w:r>
          </w:p>
        </w:tc>
      </w:tr>
    </w:tbl>
    <w:p w14:paraId="4AD69E7B">
      <w:pPr>
        <w:ind w:firstLine="420" w:firstLineChars="200"/>
        <w:rPr>
          <w:rFonts w:hint="eastAsia" w:ascii="方正仿宋_GB2312" w:hAnsi="方正仿宋_GB2312" w:eastAsia="方正仿宋_GB2312" w:cs="方正仿宋_GB2312"/>
          <w:szCs w:val="21"/>
        </w:rPr>
      </w:pPr>
    </w:p>
    <w:p w14:paraId="16995DC7">
      <w:pPr>
        <w:ind w:firstLine="4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22"/>
          <w:szCs w:val="22"/>
        </w:rPr>
        <w:t>意向受让方申请现场踏勘前，须预先了解并承诺自觉遵守</w:t>
      </w:r>
      <w:r>
        <w:rPr>
          <w:rFonts w:hint="eastAsia" w:ascii="方正仿宋_GB2312" w:hAnsi="方正仿宋_GB2312" w:eastAsia="方正仿宋_GB2312" w:cs="方正仿宋_GB2312"/>
          <w:sz w:val="22"/>
          <w:szCs w:val="22"/>
          <w:lang w:val="en-US" w:eastAsia="zh-CN"/>
        </w:rPr>
        <w:t>现场踏勘纪律要求</w:t>
      </w:r>
      <w:r>
        <w:rPr>
          <w:rFonts w:hint="eastAsia" w:ascii="方正仿宋_GB2312" w:hAnsi="方正仿宋_GB2312" w:eastAsia="方正仿宋_GB2312" w:cs="方正仿宋_GB2312"/>
          <w:sz w:val="22"/>
          <w:szCs w:val="22"/>
        </w:rPr>
        <w:t>。</w:t>
      </w:r>
    </w:p>
    <w:p w14:paraId="6E61154C">
      <w:pPr>
        <w:jc w:val="center"/>
        <w:rPr>
          <w:rFonts w:hint="eastAsia" w:ascii="仿宋_GB2312" w:hAnsi="仿宋_GB2312" w:eastAsia="仿宋_GB2312" w:cs="仿宋_GB2312"/>
          <w:b/>
          <w:bCs/>
          <w:kern w:val="0"/>
          <w:sz w:val="44"/>
          <w:szCs w:val="44"/>
        </w:rPr>
      </w:pPr>
      <w:r>
        <w:rPr>
          <w:rFonts w:hint="eastAsia" w:ascii="仿宋_GB2312" w:hAnsi="仿宋_GB2312" w:eastAsia="仿宋_GB2312" w:cs="仿宋_GB2312"/>
          <w:b/>
          <w:bCs/>
          <w:kern w:val="0"/>
          <w:sz w:val="44"/>
          <w:szCs w:val="44"/>
        </w:rPr>
        <w:t>现场踏勘确认书</w:t>
      </w:r>
    </w:p>
    <w:p w14:paraId="3EA3D44A">
      <w:pPr>
        <w:keepNext w:val="0"/>
        <w:keepLines w:val="0"/>
        <w:pageBreakBefore w:val="0"/>
        <w:widowControl w:val="0"/>
        <w:kinsoku/>
        <w:wordWrap/>
        <w:overflowPunct/>
        <w:topLinePunct w:val="0"/>
        <w:autoSpaceDE/>
        <w:autoSpaceDN/>
        <w:bidi w:val="0"/>
        <w:adjustRightInd/>
        <w:snapToGrid/>
        <w:spacing w:line="520" w:lineRule="exact"/>
        <w:ind w:left="0" w:firstLine="562" w:firstLineChars="200"/>
        <w:jc w:val="center"/>
        <w:textAlignment w:val="auto"/>
        <w:rPr>
          <w:rFonts w:hint="eastAsia" w:ascii="仿宋_GB2312" w:hAnsi="仿宋_GB2312" w:eastAsia="仿宋_GB2312" w:cs="仿宋_GB2312"/>
          <w:b/>
          <w:bCs/>
          <w:kern w:val="0"/>
          <w:sz w:val="28"/>
          <w:szCs w:val="28"/>
        </w:rPr>
      </w:pPr>
    </w:p>
    <w:p w14:paraId="1203C949">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68" w:firstLineChars="200"/>
        <w:textAlignment w:val="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u w:val="single"/>
        </w:rPr>
        <w:tab/>
      </w:r>
      <w:r>
        <w:rPr>
          <w:rFonts w:hint="eastAsia" w:ascii="仿宋_GB2312" w:hAnsi="仿宋_GB2312" w:eastAsia="仿宋_GB2312" w:cs="仿宋_GB2312"/>
          <w:spacing w:val="2"/>
          <w:sz w:val="28"/>
          <w:szCs w:val="28"/>
          <w:u w:val="single"/>
        </w:rPr>
        <w:t xml:space="preserve">             (意向受让方)</w:t>
      </w:r>
      <w:r>
        <w:rPr>
          <w:rFonts w:hint="eastAsia" w:ascii="仿宋_GB2312" w:hAnsi="仿宋_GB2312" w:eastAsia="仿宋_GB2312" w:cs="仿宋_GB2312"/>
          <w:spacing w:val="2"/>
          <w:sz w:val="28"/>
          <w:szCs w:val="28"/>
        </w:rPr>
        <w:t>于</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pacing w:val="2"/>
          <w:sz w:val="28"/>
          <w:szCs w:val="28"/>
        </w:rPr>
        <w:t>年</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pacing w:val="2"/>
          <w:sz w:val="28"/>
          <w:szCs w:val="28"/>
        </w:rPr>
        <w:t>月</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pacing w:val="2"/>
          <w:sz w:val="28"/>
          <w:szCs w:val="28"/>
        </w:rPr>
        <w:t>日，对在深圳联合产权交易所公开挂牌的</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pacing w:val="2"/>
          <w:sz w:val="28"/>
          <w:szCs w:val="28"/>
        </w:rPr>
        <w:t>项目（以下简称“项目”）进行了现场踏勘</w:t>
      </w:r>
      <w:r>
        <w:rPr>
          <w:rFonts w:hint="eastAsia" w:ascii="仿宋_GB2312" w:hAnsi="仿宋_GB2312" w:eastAsia="仿宋_GB2312" w:cs="仿宋_GB2312"/>
          <w:spacing w:val="2"/>
          <w:sz w:val="28"/>
          <w:szCs w:val="28"/>
          <w:lang w:eastAsia="zh-CN"/>
        </w:rPr>
        <w:t>，</w:t>
      </w:r>
      <w:r>
        <w:rPr>
          <w:rFonts w:hint="eastAsia" w:ascii="仿宋_GB2312" w:hAnsi="仿宋_GB2312" w:eastAsia="仿宋_GB2312" w:cs="仿宋_GB2312"/>
          <w:spacing w:val="2"/>
          <w:sz w:val="28"/>
          <w:szCs w:val="28"/>
        </w:rPr>
        <w:t>确认如下内容并承诺：</w:t>
      </w:r>
    </w:p>
    <w:p w14:paraId="39B94D54">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68" w:firstLineChars="200"/>
        <w:textAlignment w:val="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1、确认已完成了对项目标的资产的现场勘查，已完全知晓并了解项目标的资产的所有内容，完全认可项目标的资产设备、零件的用途、性能、质量、数量、规格及完整性等方面的现有状态，自愿接受项目标的资产全部现状及瑕疵，并愿承担一切责任与风险。</w:t>
      </w:r>
    </w:p>
    <w:p w14:paraId="70F94058">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68" w:firstLineChars="200"/>
        <w:textAlignment w:val="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2、 未赴项目现场踏勘</w:t>
      </w:r>
      <w:r>
        <w:rPr>
          <w:rFonts w:hint="eastAsia" w:ascii="仿宋_GB2312" w:hAnsi="仿宋_GB2312" w:eastAsia="仿宋_GB2312" w:cs="仿宋_GB2312"/>
          <w:spacing w:val="2"/>
          <w:sz w:val="28"/>
          <w:szCs w:val="28"/>
          <w:lang w:val="en-US" w:eastAsia="zh-CN"/>
        </w:rPr>
        <w:t>的部分，即</w:t>
      </w:r>
      <w:r>
        <w:rPr>
          <w:rFonts w:hint="eastAsia" w:ascii="仿宋_GB2312" w:hAnsi="仿宋_GB2312" w:eastAsia="仿宋_GB2312" w:cs="仿宋_GB2312"/>
          <w:spacing w:val="2"/>
          <w:sz w:val="28"/>
          <w:szCs w:val="28"/>
        </w:rPr>
        <w:t>自愿放弃现场踏勘相关权利，完全知悉并接受标的资产全部现状及一切瑕疵，由此产生的全部风险、损失及法律责任由</w:t>
      </w:r>
      <w:r>
        <w:rPr>
          <w:rFonts w:hint="eastAsia" w:ascii="仿宋_GB2312" w:hAnsi="仿宋_GB2312" w:eastAsia="仿宋_GB2312" w:cs="仿宋_GB2312"/>
          <w:spacing w:val="2"/>
          <w:sz w:val="28"/>
          <w:szCs w:val="28"/>
          <w:lang w:val="en-US" w:eastAsia="zh-CN"/>
        </w:rPr>
        <w:t>我</w:t>
      </w:r>
      <w:r>
        <w:rPr>
          <w:rFonts w:hint="eastAsia" w:ascii="仿宋_GB2312" w:hAnsi="仿宋_GB2312" w:eastAsia="仿宋_GB2312" w:cs="仿宋_GB2312"/>
          <w:spacing w:val="2"/>
          <w:sz w:val="28"/>
          <w:szCs w:val="28"/>
        </w:rPr>
        <w:t>方自行承担，后续不得再以未进行现场踏勘、不了解实物状况为由，向转让方和/或深圳联合产权交易所提出任何异议、索赔或主张任何权利。</w:t>
      </w:r>
    </w:p>
    <w:p w14:paraId="16E9F1F6">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68" w:firstLineChars="200"/>
        <w:textAlignment w:val="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lang w:val="en-US" w:eastAsia="zh-CN"/>
        </w:rPr>
        <w:t>3、</w:t>
      </w:r>
      <w:r>
        <w:rPr>
          <w:rFonts w:hint="eastAsia" w:ascii="仿宋_GB2312" w:hAnsi="仿宋_GB2312" w:eastAsia="仿宋_GB2312" w:cs="仿宋_GB2312"/>
          <w:spacing w:val="2"/>
          <w:sz w:val="28"/>
          <w:szCs w:val="28"/>
        </w:rPr>
        <w:t>确认已详细阅读并完全认可项目公告所披露内容并已自行完成项目的全部尽职调查，且根据该等内容以其独立判断决定自愿全部接受公告之内容，承诺办理完毕受让申请手续并且交纳交易保证金后，放弃对转让方和/或深圳联合产权交易所的所有权利主张。</w:t>
      </w:r>
    </w:p>
    <w:p w14:paraId="065273A1">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68" w:firstLineChars="200"/>
        <w:textAlignment w:val="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lang w:val="en-US" w:eastAsia="zh-CN"/>
        </w:rPr>
        <w:t>4</w:t>
      </w:r>
      <w:r>
        <w:rPr>
          <w:rFonts w:hint="eastAsia" w:ascii="仿宋_GB2312" w:hAnsi="仿宋_GB2312" w:eastAsia="仿宋_GB2312" w:cs="仿宋_GB2312"/>
          <w:spacing w:val="2"/>
          <w:sz w:val="28"/>
          <w:szCs w:val="28"/>
        </w:rPr>
        <w:t>、 确认已知悉项目标的资产以现场可见实物为准，按现状转让。资产交易合同不因标的资产结构、用途、性能、</w:t>
      </w:r>
      <w:r>
        <w:rPr>
          <w:rFonts w:hint="eastAsia" w:ascii="仿宋_GB2312" w:hAnsi="仿宋_GB2312" w:eastAsia="仿宋_GB2312" w:cs="仿宋_GB2312"/>
          <w:spacing w:val="2"/>
          <w:sz w:val="28"/>
          <w:szCs w:val="28"/>
          <w:lang w:val="en-US" w:eastAsia="zh-CN"/>
        </w:rPr>
        <w:t>重量</w:t>
      </w:r>
      <w:r>
        <w:rPr>
          <w:rFonts w:hint="eastAsia" w:ascii="仿宋_GB2312" w:hAnsi="仿宋_GB2312" w:eastAsia="仿宋_GB2312" w:cs="仿宋_GB2312"/>
          <w:spacing w:val="2"/>
          <w:sz w:val="28"/>
          <w:szCs w:val="28"/>
        </w:rPr>
        <w:t>、质量、数量、材质、税率等交易风险因素和现状（包括物理现状及产权现状等现状）等误差而变更、解除或终止，转让价款不因该等因素和现状（包括物理现状及产权现状等）等误差作调整，乙方不得要求甲方给予补偿。</w:t>
      </w:r>
    </w:p>
    <w:p w14:paraId="3897E6C7">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6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lang w:val="en-US" w:eastAsia="zh-CN"/>
        </w:rPr>
        <w:t>5</w:t>
      </w:r>
      <w:r>
        <w:rPr>
          <w:rFonts w:hint="eastAsia" w:ascii="仿宋_GB2312" w:hAnsi="仿宋_GB2312" w:eastAsia="仿宋_GB2312" w:cs="仿宋_GB2312"/>
          <w:spacing w:val="2"/>
          <w:sz w:val="28"/>
          <w:szCs w:val="28"/>
        </w:rPr>
        <w:t>、本《现场踏勘确认书》一式叁份，经意向受让方签署确认后有效。转让方、意向受让方各留存一份，意向受让方在递交受让申请时向深圳联合产权交易所提交一份作为受让申请材料之一。</w:t>
      </w:r>
    </w:p>
    <w:p w14:paraId="4E0F4595">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80" w:firstLineChars="200"/>
        <w:textAlignment w:val="auto"/>
        <w:rPr>
          <w:rFonts w:hint="eastAsia" w:ascii="仿宋_GB2312" w:hAnsi="仿宋_GB2312" w:eastAsia="仿宋_GB2312" w:cs="仿宋_GB2312"/>
          <w:spacing w:val="5"/>
          <w:sz w:val="28"/>
          <w:szCs w:val="28"/>
        </w:rPr>
      </w:pPr>
    </w:p>
    <w:p w14:paraId="5E41D5F7">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80" w:firstLineChars="200"/>
        <w:textAlignment w:val="auto"/>
        <w:rPr>
          <w:rFonts w:hint="eastAsia" w:ascii="仿宋_GB2312" w:hAnsi="仿宋_GB2312" w:eastAsia="仿宋_GB2312" w:cs="仿宋_GB2312"/>
          <w:spacing w:val="-83"/>
          <w:sz w:val="28"/>
          <w:szCs w:val="28"/>
          <w:lang w:eastAsia="zh-CN"/>
        </w:rPr>
      </w:pPr>
      <w:r>
        <w:rPr>
          <w:rFonts w:hint="eastAsia" w:ascii="仿宋_GB2312" w:hAnsi="仿宋_GB2312" w:eastAsia="仿宋_GB2312" w:cs="仿宋_GB2312"/>
          <w:spacing w:val="5"/>
          <w:sz w:val="28"/>
          <w:szCs w:val="28"/>
        </w:rPr>
        <w:t>意向受让方（盖章</w:t>
      </w:r>
      <w:r>
        <w:rPr>
          <w:rFonts w:hint="eastAsia" w:ascii="仿宋_GB2312" w:hAnsi="仿宋_GB2312" w:eastAsia="仿宋_GB2312" w:cs="仿宋_GB2312"/>
          <w:spacing w:val="-83"/>
          <w:sz w:val="28"/>
          <w:szCs w:val="28"/>
        </w:rPr>
        <w:t>）</w:t>
      </w:r>
      <w:r>
        <w:rPr>
          <w:rFonts w:hint="eastAsia" w:ascii="仿宋_GB2312" w:hAnsi="仿宋_GB2312" w:eastAsia="仿宋_GB2312" w:cs="仿宋_GB2312"/>
          <w:spacing w:val="-83"/>
          <w:sz w:val="28"/>
          <w:szCs w:val="28"/>
          <w:lang w:eastAsia="zh-CN"/>
        </w:rPr>
        <w:t>：</w:t>
      </w:r>
    </w:p>
    <w:p w14:paraId="74C81578">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584"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法定代表人或授权代表：</w:t>
      </w:r>
    </w:p>
    <w:p w14:paraId="03DBA62A">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468"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3"/>
          <w:sz w:val="28"/>
          <w:szCs w:val="28"/>
        </w:rPr>
        <w:t>（签字）</w:t>
      </w:r>
    </w:p>
    <w:p w14:paraId="477E61F1">
      <w:pPr>
        <w:pStyle w:val="34"/>
        <w:keepNext w:val="0"/>
        <w:keepLines w:val="0"/>
        <w:pageBreakBefore w:val="0"/>
        <w:widowControl w:val="0"/>
        <w:kinsoku/>
        <w:wordWrap/>
        <w:overflowPunct/>
        <w:topLinePunct w:val="0"/>
        <w:autoSpaceDE/>
        <w:autoSpaceDN/>
        <w:bidi w:val="0"/>
        <w:adjustRightInd/>
        <w:snapToGrid/>
        <w:spacing w:after="0" w:afterLines="0" w:line="520" w:lineRule="exact"/>
        <w:ind w:left="0" w:firstLine="1764" w:firstLineChars="9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42"/>
          <w:sz w:val="28"/>
          <w:szCs w:val="28"/>
        </w:rPr>
        <w:t>年</w:t>
      </w:r>
      <w:r>
        <w:rPr>
          <w:rFonts w:hint="eastAsia" w:ascii="仿宋_GB2312" w:hAnsi="仿宋_GB2312" w:eastAsia="仿宋_GB2312" w:cs="仿宋_GB2312"/>
          <w:spacing w:val="18"/>
          <w:sz w:val="28"/>
          <w:szCs w:val="28"/>
        </w:rPr>
        <w:t xml:space="preserve">   </w:t>
      </w:r>
      <w:r>
        <w:rPr>
          <w:rFonts w:hint="eastAsia" w:ascii="仿宋_GB2312" w:hAnsi="仿宋_GB2312" w:eastAsia="仿宋_GB2312" w:cs="仿宋_GB2312"/>
          <w:spacing w:val="-42"/>
          <w:sz w:val="28"/>
          <w:szCs w:val="28"/>
        </w:rPr>
        <w:t>月</w:t>
      </w:r>
      <w:r>
        <w:rPr>
          <w:rFonts w:hint="eastAsia" w:ascii="仿宋_GB2312" w:hAnsi="仿宋_GB2312" w:eastAsia="仿宋_GB2312" w:cs="仿宋_GB2312"/>
          <w:spacing w:val="34"/>
          <w:sz w:val="28"/>
          <w:szCs w:val="28"/>
        </w:rPr>
        <w:t xml:space="preserve">   </w:t>
      </w:r>
      <w:r>
        <w:rPr>
          <w:rFonts w:hint="eastAsia" w:ascii="仿宋_GB2312" w:hAnsi="仿宋_GB2312" w:eastAsia="仿宋_GB2312" w:cs="仿宋_GB2312"/>
          <w:spacing w:val="-42"/>
          <w:sz w:val="28"/>
          <w:szCs w:val="28"/>
        </w:rPr>
        <w:t>日</w:t>
      </w:r>
      <w:r>
        <w:rPr>
          <w:rFonts w:hint="eastAsia" w:ascii="仿宋_GB2312" w:hAnsi="仿宋_GB2312" w:eastAsia="仿宋_GB2312" w:cs="仿宋_GB2312"/>
          <w:spacing w:val="3"/>
          <w:sz w:val="28"/>
          <w:szCs w:val="28"/>
        </w:rPr>
        <w:t xml:space="preserve">  </w:t>
      </w:r>
    </w:p>
    <w:p w14:paraId="3B789D09">
      <w:pPr>
        <w:pStyle w:val="34"/>
        <w:kinsoku/>
        <w:topLinePunct/>
        <w:autoSpaceDE/>
        <w:autoSpaceDN/>
        <w:spacing w:before="0" w:line="360" w:lineRule="auto"/>
        <w:ind w:right="0"/>
        <w:rPr>
          <w:sz w:val="24"/>
          <w:szCs w:val="24"/>
          <w:highlight w:val="yellow"/>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1" w:fontKey="{D20FF60C-F7C1-4054-AED2-C7959DA286D1}"/>
  </w:font>
  <w:font w:name="仿宋_GB2312">
    <w:panose1 w:val="02010609030101010101"/>
    <w:charset w:val="86"/>
    <w:family w:val="auto"/>
    <w:pitch w:val="default"/>
    <w:sig w:usb0="00000001" w:usb1="080E0000" w:usb2="00000000" w:usb3="00000000" w:csb0="00040000" w:csb1="00000000"/>
    <w:embedRegular r:id="rId2" w:fontKey="{BDF1E4D8-83DD-460F-8949-251DCE7A87AF}"/>
  </w:font>
  <w:font w:name="WPSEMBED6">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D6FAFE41"/>
    <w:multiLevelType w:val="singleLevel"/>
    <w:tmpl w:val="D6FAFE41"/>
    <w:lvl w:ilvl="0" w:tentative="0">
      <w:start w:val="1"/>
      <w:numFmt w:val="decimal"/>
      <w:pStyle w:val="47"/>
      <w:lvlText w:val="%1."/>
      <w:lvlJc w:val="left"/>
      <w:pPr>
        <w:tabs>
          <w:tab w:val="left" w:pos="1620"/>
        </w:tabs>
        <w:ind w:left="1620" w:hanging="360"/>
      </w:pPr>
    </w:lvl>
  </w:abstractNum>
  <w:abstractNum w:abstractNumId="2">
    <w:nsid w:val="EC67CF0B"/>
    <w:multiLevelType w:val="singleLevel"/>
    <w:tmpl w:val="EC67CF0B"/>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3">
    <w:nsid w:val="11C9FD2B"/>
    <w:multiLevelType w:val="singleLevel"/>
    <w:tmpl w:val="11C9FD2B"/>
    <w:lvl w:ilvl="0" w:tentative="0">
      <w:start w:val="1"/>
      <w:numFmt w:val="decimal"/>
      <w:lvlText w:val="%1."/>
      <w:lvlJc w:val="left"/>
      <w:pPr>
        <w:tabs>
          <w:tab w:val="left" w:pos="312"/>
        </w:tabs>
      </w:pPr>
    </w:lvl>
  </w:abstractNum>
  <w:abstractNum w:abstractNumId="4">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5">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6">
    <w:nsid w:val="3F3DD94F"/>
    <w:multiLevelType w:val="singleLevel"/>
    <w:tmpl w:val="3F3DD94F"/>
    <w:lvl w:ilvl="0" w:tentative="0">
      <w:start w:val="1"/>
      <w:numFmt w:val="decimal"/>
      <w:pStyle w:val="36"/>
      <w:lvlText w:val="%1."/>
      <w:lvlJc w:val="left"/>
      <w:pPr>
        <w:tabs>
          <w:tab w:val="left" w:pos="1200"/>
        </w:tabs>
        <w:ind w:left="1200" w:hanging="360"/>
      </w:pPr>
    </w:lvl>
  </w:abstractNum>
  <w:abstractNum w:abstractNumId="7">
    <w:nsid w:val="417E679F"/>
    <w:multiLevelType w:val="singleLevel"/>
    <w:tmpl w:val="417E679F"/>
    <w:lvl w:ilvl="0" w:tentative="0">
      <w:start w:val="1"/>
      <w:numFmt w:val="decimal"/>
      <w:pStyle w:val="65"/>
      <w:lvlText w:val="%1."/>
      <w:lvlJc w:val="left"/>
      <w:pPr>
        <w:tabs>
          <w:tab w:val="left" w:pos="2040"/>
        </w:tabs>
        <w:ind w:left="2040" w:hanging="360"/>
      </w:pPr>
    </w:lvl>
  </w:abstractNum>
  <w:abstractNum w:abstractNumId="8">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9">
    <w:nsid w:val="793FF840"/>
    <w:multiLevelType w:val="singleLevel"/>
    <w:tmpl w:val="793FF840"/>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10">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4"/>
  </w:num>
  <w:num w:numId="2">
    <w:abstractNumId w:val="0"/>
  </w:num>
  <w:num w:numId="3">
    <w:abstractNumId w:val="5"/>
  </w:num>
  <w:num w:numId="4">
    <w:abstractNumId w:val="8"/>
  </w:num>
  <w:num w:numId="5">
    <w:abstractNumId w:val="10"/>
  </w:num>
  <w:num w:numId="6">
    <w:abstractNumId w:val="6"/>
  </w:num>
  <w:num w:numId="7">
    <w:abstractNumId w:val="9"/>
  </w:num>
  <w:num w:numId="8">
    <w:abstractNumId w:val="2"/>
  </w:num>
  <w:num w:numId="9">
    <w:abstractNumId w:val="1"/>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000000"/>
    <w:rsid w:val="053677D8"/>
    <w:rsid w:val="062E4A77"/>
    <w:rsid w:val="09042391"/>
    <w:rsid w:val="0CC3307B"/>
    <w:rsid w:val="0F3E0B85"/>
    <w:rsid w:val="0F76123D"/>
    <w:rsid w:val="14D40957"/>
    <w:rsid w:val="17215F32"/>
    <w:rsid w:val="1D740FDF"/>
    <w:rsid w:val="287B7B98"/>
    <w:rsid w:val="28C52BC1"/>
    <w:rsid w:val="2E224D96"/>
    <w:rsid w:val="36643476"/>
    <w:rsid w:val="3D40721F"/>
    <w:rsid w:val="3FC512A1"/>
    <w:rsid w:val="401D2E8B"/>
    <w:rsid w:val="40913732"/>
    <w:rsid w:val="45C06792"/>
    <w:rsid w:val="4D291727"/>
    <w:rsid w:val="4FE97533"/>
    <w:rsid w:val="50BB2231"/>
    <w:rsid w:val="515E1CC7"/>
    <w:rsid w:val="51A056CA"/>
    <w:rsid w:val="52A02093"/>
    <w:rsid w:val="5A731BCE"/>
    <w:rsid w:val="5BB50641"/>
    <w:rsid w:val="5F5875E4"/>
    <w:rsid w:val="65E971E8"/>
    <w:rsid w:val="66C537B1"/>
    <w:rsid w:val="69281B96"/>
    <w:rsid w:val="6C004A36"/>
    <w:rsid w:val="6D407276"/>
    <w:rsid w:val="74B60BDD"/>
    <w:rsid w:val="74CB7D3E"/>
    <w:rsid w:val="7A6B4218"/>
    <w:rsid w:val="7C5331B5"/>
    <w:rsid w:val="7D1110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99" w:semiHidden="0" w:name="Hyperlink"/>
    <w:lsdException w:unhideWhenUsed="0" w:uiPriority="99" w:semiHidden="0" w:name="FollowedHyperlink"/>
    <w:lsdException w:qFormat="1" w:unhideWhenUsed="0" w:uiPriority="99" w:semiHidden="0" w:name="Strong"/>
    <w:lsdException w:unhideWhenUsed="0" w:uiPriority="99"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99" w:semiHidden="0" w:name="HTML Acronym"/>
    <w:lsdException w:qFormat="1" w:unhideWhenUsed="0" w:uiPriority="0"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qFormat="1" w:unhideWhenUsed="0" w:uiPriority="0"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qFormat="1" w:unhideWhenUsed="0" w:uiPriority="0"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qFormat="1" w:unhideWhenUsed="0" w:uiPriority="0"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89">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qFormat/>
    <w:uiPriority w:val="0"/>
    <w:pPr>
      <w:spacing w:after="120" w:afterLines="0" w:afterAutospacing="0"/>
    </w:pPr>
  </w:style>
  <w:style w:type="paragraph" w:styleId="35">
    <w:name w:val="Body Text Indent"/>
    <w:basedOn w:val="1"/>
    <w:qFormat/>
    <w:uiPriority w:val="0"/>
    <w:pPr>
      <w:spacing w:after="120" w:afterLines="0" w:afterAutospacing="0"/>
      <w:ind w:left="420" w:leftChars="200"/>
    </w:pPr>
  </w:style>
  <w:style w:type="paragraph" w:styleId="36">
    <w:name w:val="List Number 3"/>
    <w:basedOn w:val="1"/>
    <w:qFormat/>
    <w:uiPriority w:val="0"/>
    <w:pPr>
      <w:numPr>
        <w:ilvl w:val="0"/>
        <w:numId w:val="6"/>
      </w:numPr>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afterLines="0" w:afterAutospacing="0"/>
      <w:ind w:left="420" w:leftChars="200"/>
    </w:pPr>
  </w:style>
  <w:style w:type="paragraph" w:styleId="39">
    <w:name w:val="Block Text"/>
    <w:basedOn w:val="1"/>
    <w:qFormat/>
    <w:uiPriority w:val="0"/>
    <w:pPr>
      <w:spacing w:after="120" w:afterLines="0" w:afterAutospacing="0"/>
      <w:ind w:left="1440" w:leftChars="700" w:rightChars="700"/>
    </w:pPr>
  </w:style>
  <w:style w:type="paragraph" w:styleId="40">
    <w:name w:val="List Bullet 2"/>
    <w:basedOn w:val="1"/>
    <w:qFormat/>
    <w:uiPriority w:val="0"/>
    <w:pPr>
      <w:numPr>
        <w:ilvl w:val="0"/>
        <w:numId w:val="7"/>
      </w:numPr>
    </w:pPr>
  </w:style>
  <w:style w:type="paragraph" w:styleId="41">
    <w:name w:val="HTML Address"/>
    <w:basedOn w:val="1"/>
    <w:qFormat/>
    <w:uiPriority w:val="0"/>
    <w:rPr>
      <w:i/>
    </w:rPr>
  </w:style>
  <w:style w:type="paragraph" w:styleId="42">
    <w:name w:val="index 4"/>
    <w:basedOn w:val="1"/>
    <w:next w:val="1"/>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qFormat/>
    <w:uiPriority w:val="0"/>
    <w:rPr>
      <w:rFonts w:ascii="宋体" w:hAnsi="Courier New"/>
    </w:rPr>
  </w:style>
  <w:style w:type="paragraph" w:styleId="46">
    <w:name w:val="List Bullet 5"/>
    <w:basedOn w:val="1"/>
    <w:qFormat/>
    <w:uiPriority w:val="0"/>
    <w:pPr>
      <w:numPr>
        <w:ilvl w:val="0"/>
        <w:numId w:val="8"/>
      </w:numPr>
    </w:pPr>
  </w:style>
  <w:style w:type="paragraph" w:styleId="47">
    <w:name w:val="List Number 4"/>
    <w:basedOn w:val="1"/>
    <w:qFormat/>
    <w:uiPriority w:val="0"/>
    <w:pPr>
      <w:numPr>
        <w:ilvl w:val="0"/>
        <w:numId w:val="9"/>
      </w:numPr>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qFormat/>
    <w:uiPriority w:val="0"/>
    <w:pPr>
      <w:ind w:left="100" w:leftChars="2500"/>
    </w:pPr>
  </w:style>
  <w:style w:type="paragraph" w:styleId="51">
    <w:name w:val="Body Text Indent 2"/>
    <w:basedOn w:val="1"/>
    <w:qFormat/>
    <w:uiPriority w:val="0"/>
    <w:pPr>
      <w:spacing w:after="120" w:afterLines="0" w:afterAutospacing="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afterLines="0" w:afterAutospacing="0"/>
      <w:ind w:left="2100" w:leftChars="1000"/>
    </w:pPr>
  </w:style>
  <w:style w:type="paragraph" w:styleId="54">
    <w:name w:val="Balloon Text"/>
    <w:basedOn w:val="1"/>
    <w:qFormat/>
    <w:uiPriority w:val="0"/>
    <w:rPr>
      <w:sz w:val="18"/>
    </w:rPr>
  </w:style>
  <w:style w:type="paragraph" w:styleId="55">
    <w:name w:val="footer"/>
    <w:basedOn w:val="1"/>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afterLines="0" w:afterAutospacing="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5">
    <w:name w:val="List Number 5"/>
    <w:basedOn w:val="1"/>
    <w:qFormat/>
    <w:uiPriority w:val="0"/>
    <w:pPr>
      <w:numPr>
        <w:ilvl w:val="0"/>
        <w:numId w:val="10"/>
      </w:numPr>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qFormat/>
    <w:uiPriority w:val="0"/>
    <w:pPr>
      <w:spacing w:after="120" w:afterLines="0" w:afterAutospacing="0"/>
      <w:ind w:left="420" w:leftChars="200"/>
    </w:pPr>
    <w:rPr>
      <w:sz w:val="16"/>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qFormat/>
    <w:uiPriority w:val="0"/>
    <w:pPr>
      <w:spacing w:after="120" w:afterLines="0" w:afterAutospacing="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afterLines="0" w:afterAutospacing="0"/>
      <w:ind w:left="840" w:leftChars="400"/>
    </w:pPr>
  </w:style>
  <w:style w:type="paragraph" w:styleId="79">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qFormat/>
    <w:uiPriority w:val="0"/>
    <w:rPr>
      <w:rFonts w:ascii="Courier New" w:hAnsi="Courier New"/>
      <w:sz w:val="20"/>
    </w:rPr>
  </w:style>
  <w:style w:type="paragraph" w:styleId="81">
    <w:name w:val="Normal (Web)"/>
    <w:basedOn w:val="1"/>
    <w:qFormat/>
    <w:uiPriority w:val="0"/>
    <w:rPr>
      <w:sz w:val="24"/>
    </w:rPr>
  </w:style>
  <w:style w:type="paragraph" w:styleId="82">
    <w:name w:val="List Continue 3"/>
    <w:basedOn w:val="1"/>
    <w:qFormat/>
    <w:uiPriority w:val="0"/>
    <w:pPr>
      <w:spacing w:after="120" w:afterLines="0" w:afterAutospacing="0"/>
      <w:ind w:left="1260" w:leftChars="600"/>
    </w:pPr>
  </w:style>
  <w:style w:type="paragraph" w:styleId="83">
    <w:name w:val="index 2"/>
    <w:basedOn w:val="1"/>
    <w:next w:val="1"/>
    <w:qFormat/>
    <w:uiPriority w:val="0"/>
    <w:pPr>
      <w:ind w:left="200" w:leftChars="200"/>
    </w:pPr>
  </w:style>
  <w:style w:type="paragraph" w:styleId="8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qFormat/>
    <w:uiPriority w:val="0"/>
    <w:pPr>
      <w:ind w:firstLine="420" w:firstLineChars="100"/>
    </w:pPr>
  </w:style>
  <w:style w:type="paragraph" w:styleId="87">
    <w:name w:val="Body Text First Indent 2"/>
    <w:basedOn w:val="35"/>
    <w:qFormat/>
    <w:uiPriority w:val="0"/>
    <w:pPr>
      <w:ind w:firstLine="420" w:firstLineChars="200"/>
    </w:pPr>
  </w:style>
  <w:style w:type="character" w:styleId="90">
    <w:name w:val="Strong"/>
    <w:basedOn w:val="89"/>
    <w:qFormat/>
    <w:uiPriority w:val="99"/>
    <w:rPr>
      <w:b/>
    </w:rPr>
  </w:style>
  <w:style w:type="table" w:customStyle="1" w:styleId="9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1147</Words>
  <Characters>1147</Characters>
  <Lines>0</Lines>
  <Paragraphs>0</Paragraphs>
  <TotalTime>11</TotalTime>
  <ScaleCrop>false</ScaleCrop>
  <LinksUpToDate>false</LinksUpToDate>
  <CharactersWithSpaces>1287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2023-02-17T11:45:00Z</dcterms:created>
  <dc:creator>.</dc:creator>
  <cp:lastModifiedBy>zgm</cp:lastModifiedBy>
  <dcterms:modified xsi:type="dcterms:W3CDTF">2026-10-12T07:22:29Z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2023-07-26T10:44:50Z</vt:filetime>
  </property>
  <property fmtid="{D5CDD505-2E9C-101B-9397-08002B2CF9AE}" pid="4" name="KSOProductBuildVer">
    <vt:lpwstr>2052-12.1.0.28505</vt:lpwstr>
  </property>
  <property fmtid="{D5CDD505-2E9C-101B-9397-08002B2CF9AE}" pid="5" name="ICV">
    <vt:lpwstr>D5DB2EBA4C8B46EDA8BD436D3947138D_13</vt:lpwstr>
  </property>
  <property fmtid="{D5CDD505-2E9C-101B-9397-08002B2CF9AE}" pid="6" name="KSOTemplateDocerSaveRecord">
    <vt:lpwstr>eyJoZGlkIjoiYzM2ZjlkZDlmMDQzYjNjMTg2YWU1ZDcwZjM2NDMwMGIiLCJ1c2VySWQiOiIyMTQ4Mjc0NTkifQ==</vt:lpwstr>
  </property>
</Properties>
</file>