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5C3C4">
      <w:pPr>
        <w:wordWrap w:val="0"/>
        <w:spacing w:after="60"/>
        <w:jc w:val="right"/>
        <w:rPr>
          <w:rFonts w:hint="eastAsia" w:ascii="宋体" w:hAnsi="宋体"/>
          <w:color w:val="000000" w:themeColor="text1"/>
          <w14:textFill>
            <w14:solidFill>
              <w14:schemeClr w14:val="tx1"/>
            </w14:solidFill>
          </w14:textFill>
        </w:rPr>
      </w:pPr>
    </w:p>
    <w:p w14:paraId="03A3F2D3">
      <w:pPr>
        <w:spacing w:after="60"/>
        <w:jc w:val="right"/>
        <w:rPr>
          <w:rFonts w:hint="eastAsia" w:ascii="宋体" w:hAnsi="宋体"/>
          <w:color w:val="000000" w:themeColor="text1"/>
          <w14:textFill>
            <w14:solidFill>
              <w14:schemeClr w14:val="tx1"/>
            </w14:solidFill>
          </w14:textFill>
        </w:rPr>
      </w:pPr>
    </w:p>
    <w:p w14:paraId="43A73A1B">
      <w:pPr>
        <w:spacing w:after="60"/>
        <w:jc w:val="right"/>
        <w:rPr>
          <w:rFonts w:hint="eastAsia" w:ascii="宋体" w:hAnsi="宋体"/>
          <w:color w:val="000000" w:themeColor="text1"/>
          <w14:textFill>
            <w14:solidFill>
              <w14:schemeClr w14:val="tx1"/>
            </w14:solidFill>
          </w14:textFill>
        </w:rPr>
      </w:pPr>
    </w:p>
    <w:p w14:paraId="016CF328">
      <w:pPr>
        <w:spacing w:after="60"/>
        <w:jc w:val="right"/>
        <w:rPr>
          <w:rFonts w:hint="eastAsia" w:ascii="宋体" w:hAnsi="宋体"/>
          <w:color w:val="000000" w:themeColor="text1"/>
          <w14:textFill>
            <w14:solidFill>
              <w14:schemeClr w14:val="tx1"/>
            </w14:solidFill>
          </w14:textFill>
        </w:rPr>
      </w:pPr>
    </w:p>
    <w:p w14:paraId="4BB8F4BC">
      <w:pPr>
        <w:spacing w:after="60"/>
        <w:rPr>
          <w:rFonts w:hint="eastAsia" w:ascii="宋体" w:hAnsi="宋体"/>
          <w:color w:val="000000" w:themeColor="text1"/>
          <w14:textFill>
            <w14:solidFill>
              <w14:schemeClr w14:val="tx1"/>
            </w14:solidFill>
          </w14:textFill>
        </w:rPr>
      </w:pPr>
    </w:p>
    <w:p w14:paraId="1191BAC6">
      <w:pPr>
        <w:spacing w:after="60"/>
        <w:jc w:val="center"/>
        <w:rPr>
          <w:rFonts w:hint="eastAsia" w:ascii="宋体" w:hAnsi="宋体"/>
          <w:b/>
          <w:color w:val="000000" w:themeColor="text1"/>
          <w:sz w:val="100"/>
          <w:szCs w:val="100"/>
          <w14:textFill>
            <w14:solidFill>
              <w14:schemeClr w14:val="tx1"/>
            </w14:solidFill>
          </w14:textFill>
        </w:rPr>
      </w:pPr>
      <w:r>
        <w:rPr>
          <w:rFonts w:hint="eastAsia" w:ascii="宋体" w:hAnsi="宋体"/>
          <w:b/>
          <w:color w:val="000000" w:themeColor="text1"/>
          <w:sz w:val="100"/>
          <w:szCs w:val="100"/>
          <w14:textFill>
            <w14:solidFill>
              <w14:schemeClr w14:val="tx1"/>
            </w14:solidFill>
          </w14:textFill>
        </w:rPr>
        <w:t>政府采购招标文件</w:t>
      </w:r>
    </w:p>
    <w:p w14:paraId="1EB70125">
      <w:pPr>
        <w:spacing w:after="60"/>
        <w:jc w:val="center"/>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【服务类】</w:t>
      </w:r>
    </w:p>
    <w:p w14:paraId="6DB3994B">
      <w:pPr>
        <w:spacing w:after="60"/>
        <w:rPr>
          <w:rFonts w:hint="eastAsia" w:ascii="宋体" w:hAnsi="宋体"/>
          <w:color w:val="000000" w:themeColor="text1"/>
          <w14:textFill>
            <w14:solidFill>
              <w14:schemeClr w14:val="tx1"/>
            </w14:solidFill>
          </w14:textFill>
        </w:rPr>
      </w:pPr>
    </w:p>
    <w:p w14:paraId="1E0CBC92">
      <w:pPr>
        <w:spacing w:after="60"/>
        <w:rPr>
          <w:rFonts w:hint="eastAsia" w:ascii="宋体" w:hAnsi="宋体"/>
          <w:color w:val="000000" w:themeColor="text1"/>
          <w14:textFill>
            <w14:solidFill>
              <w14:schemeClr w14:val="tx1"/>
            </w14:solidFill>
          </w14:textFill>
        </w:rPr>
      </w:pPr>
    </w:p>
    <w:p w14:paraId="69AAFD49">
      <w:pPr>
        <w:spacing w:after="60"/>
        <w:rPr>
          <w:rFonts w:hint="eastAsia" w:ascii="宋体" w:hAnsi="宋体"/>
          <w:color w:val="000000" w:themeColor="text1"/>
          <w14:textFill>
            <w14:solidFill>
              <w14:schemeClr w14:val="tx1"/>
            </w14:solidFill>
          </w14:textFill>
        </w:rPr>
      </w:pPr>
    </w:p>
    <w:p w14:paraId="5FC3C7F6">
      <w:pPr>
        <w:spacing w:after="60"/>
        <w:rPr>
          <w:rFonts w:hint="eastAsia" w:ascii="宋体" w:hAnsi="宋体"/>
          <w:color w:val="000000" w:themeColor="text1"/>
          <w14:textFill>
            <w14:solidFill>
              <w14:schemeClr w14:val="tx1"/>
            </w14:solidFill>
          </w14:textFill>
        </w:rPr>
      </w:pPr>
    </w:p>
    <w:p w14:paraId="74DB1E87">
      <w:pPr>
        <w:spacing w:after="60"/>
        <w:rPr>
          <w:rFonts w:hint="eastAsia" w:ascii="宋体" w:hAnsi="宋体"/>
          <w:color w:val="000000" w:themeColor="text1"/>
          <w14:textFill>
            <w14:solidFill>
              <w14:schemeClr w14:val="tx1"/>
            </w14:solidFill>
          </w14:textFill>
        </w:rPr>
      </w:pPr>
    </w:p>
    <w:p w14:paraId="152F0C0B">
      <w:pPr>
        <w:spacing w:after="60"/>
        <w:jc w:val="center"/>
        <w:rPr>
          <w:rFonts w:hint="default" w:ascii="宋体" w:hAnsi="宋体" w:eastAsia="宋体"/>
          <w:b/>
          <w:color w:val="000000" w:themeColor="text1"/>
          <w:sz w:val="40"/>
          <w:szCs w:val="40"/>
          <w:lang w:val="en-US" w:eastAsia="zh-CN"/>
          <w14:textFill>
            <w14:solidFill>
              <w14:schemeClr w14:val="tx1"/>
            </w14:solidFill>
          </w14:textFill>
        </w:rPr>
      </w:pPr>
      <w:r>
        <w:rPr>
          <w:rFonts w:hint="eastAsia" w:ascii="宋体" w:hAnsi="宋体"/>
          <w:b/>
          <w:color w:val="000000" w:themeColor="text1"/>
          <w:sz w:val="40"/>
          <w:szCs w:val="40"/>
          <w14:textFill>
            <w14:solidFill>
              <w14:schemeClr w14:val="tx1"/>
            </w14:solidFill>
          </w14:textFill>
        </w:rPr>
        <w:t>项目编号：</w:t>
      </w:r>
      <w:r>
        <w:rPr>
          <w:rFonts w:ascii="宋体" w:hAnsi="宋体"/>
          <w:b/>
          <w:color w:val="000000" w:themeColor="text1"/>
          <w:sz w:val="40"/>
          <w:szCs w:val="40"/>
          <w14:textFill>
            <w14:solidFill>
              <w14:schemeClr w14:val="tx1"/>
            </w14:solidFill>
          </w14:textFill>
        </w:rPr>
        <w:t>SZHZ202</w:t>
      </w:r>
      <w:r>
        <w:rPr>
          <w:rFonts w:hint="eastAsia" w:ascii="宋体" w:hAnsi="宋体"/>
          <w:b/>
          <w:color w:val="000000" w:themeColor="text1"/>
          <w:sz w:val="40"/>
          <w:szCs w:val="40"/>
          <w:lang w:val="en-US" w:eastAsia="zh-CN"/>
          <w14:textFill>
            <w14:solidFill>
              <w14:schemeClr w14:val="tx1"/>
            </w14:solidFill>
          </w14:textFill>
        </w:rPr>
        <w:t>5</w:t>
      </w:r>
      <w:r>
        <w:rPr>
          <w:rFonts w:ascii="宋体" w:hAnsi="宋体"/>
          <w:b/>
          <w:color w:val="000000" w:themeColor="text1"/>
          <w:sz w:val="40"/>
          <w:szCs w:val="40"/>
          <w14:textFill>
            <w14:solidFill>
              <w14:schemeClr w14:val="tx1"/>
            </w14:solidFill>
          </w14:textFill>
        </w:rPr>
        <w:t>-QB00</w:t>
      </w:r>
      <w:r>
        <w:rPr>
          <w:rFonts w:hint="eastAsia" w:ascii="宋体" w:hAnsi="宋体"/>
          <w:b/>
          <w:color w:val="000000" w:themeColor="text1"/>
          <w:sz w:val="40"/>
          <w:szCs w:val="40"/>
          <w:lang w:val="en-US" w:eastAsia="zh-CN"/>
          <w14:textFill>
            <w14:solidFill>
              <w14:schemeClr w14:val="tx1"/>
            </w14:solidFill>
          </w14:textFill>
        </w:rPr>
        <w:t>27</w:t>
      </w:r>
    </w:p>
    <w:p w14:paraId="48EDC428">
      <w:pPr>
        <w:spacing w:after="60"/>
        <w:jc w:val="center"/>
        <w:rPr>
          <w:rFonts w:hint="eastAsia" w:ascii="宋体" w:hAnsi="宋体"/>
          <w:b/>
          <w:color w:val="000000" w:themeColor="text1"/>
          <w:sz w:val="40"/>
          <w:szCs w:val="40"/>
          <w14:textFill>
            <w14:solidFill>
              <w14:schemeClr w14:val="tx1"/>
            </w14:solidFill>
          </w14:textFill>
        </w:rPr>
      </w:pPr>
      <w:r>
        <w:rPr>
          <w:rFonts w:hint="eastAsia" w:ascii="宋体" w:hAnsi="宋体"/>
          <w:b/>
          <w:color w:val="000000" w:themeColor="text1"/>
          <w:sz w:val="40"/>
          <w:szCs w:val="40"/>
          <w14:textFill>
            <w14:solidFill>
              <w14:schemeClr w14:val="tx1"/>
            </w14:solidFill>
          </w14:textFill>
        </w:rPr>
        <w:t>项目名称：深圳市第七幼儿园2026年1月-2026年12月年度保安服务项目</w:t>
      </w:r>
    </w:p>
    <w:p w14:paraId="648B1B47">
      <w:pPr>
        <w:spacing w:after="60"/>
        <w:rPr>
          <w:rFonts w:hint="eastAsia" w:ascii="宋体" w:hAnsi="宋体"/>
          <w:color w:val="000000" w:themeColor="text1"/>
          <w14:textFill>
            <w14:solidFill>
              <w14:schemeClr w14:val="tx1"/>
            </w14:solidFill>
          </w14:textFill>
        </w:rPr>
      </w:pPr>
    </w:p>
    <w:p w14:paraId="47A27073">
      <w:pPr>
        <w:spacing w:after="60"/>
        <w:rPr>
          <w:rFonts w:hint="eastAsia" w:ascii="宋体" w:hAnsi="宋体"/>
          <w:color w:val="000000" w:themeColor="text1"/>
          <w14:textFill>
            <w14:solidFill>
              <w14:schemeClr w14:val="tx1"/>
            </w14:solidFill>
          </w14:textFill>
        </w:rPr>
      </w:pPr>
    </w:p>
    <w:p w14:paraId="3DC0B6B5">
      <w:pPr>
        <w:spacing w:after="60"/>
        <w:jc w:val="center"/>
        <w:rPr>
          <w:rFonts w:hint="eastAsia" w:ascii="宋体" w:hAnsi="宋体"/>
          <w:color w:val="000000" w:themeColor="text1"/>
          <w14:textFill>
            <w14:solidFill>
              <w14:schemeClr w14:val="tx1"/>
            </w14:solidFill>
          </w14:textFill>
        </w:rPr>
      </w:pPr>
    </w:p>
    <w:p w14:paraId="252E09CF">
      <w:pPr>
        <w:spacing w:after="60"/>
        <w:jc w:val="center"/>
        <w:rPr>
          <w:rFonts w:hint="eastAsia" w:ascii="宋体" w:hAnsi="宋体"/>
          <w:color w:val="000000" w:themeColor="text1"/>
          <w14:textFill>
            <w14:solidFill>
              <w14:schemeClr w14:val="tx1"/>
            </w14:solidFill>
          </w14:textFill>
        </w:rPr>
      </w:pPr>
    </w:p>
    <w:p w14:paraId="723B0BAF">
      <w:pPr>
        <w:spacing w:after="60"/>
        <w:jc w:val="center"/>
        <w:rPr>
          <w:rFonts w:hint="eastAsia" w:ascii="宋体" w:hAnsi="宋体"/>
          <w:color w:val="000000" w:themeColor="text1"/>
          <w14:textFill>
            <w14:solidFill>
              <w14:schemeClr w14:val="tx1"/>
            </w14:solidFill>
          </w14:textFill>
        </w:rPr>
      </w:pPr>
    </w:p>
    <w:p w14:paraId="5E3C2F56">
      <w:pPr>
        <w:spacing w:after="60"/>
        <w:rPr>
          <w:rFonts w:hint="eastAsia" w:ascii="宋体" w:hAnsi="宋体"/>
          <w:color w:val="000000" w:themeColor="text1"/>
          <w14:textFill>
            <w14:solidFill>
              <w14:schemeClr w14:val="tx1"/>
            </w14:solidFill>
          </w14:textFill>
        </w:rPr>
      </w:pPr>
    </w:p>
    <w:p w14:paraId="45F0CC56">
      <w:pPr>
        <w:spacing w:after="60"/>
        <w:rPr>
          <w:rFonts w:hint="eastAsia" w:ascii="宋体" w:hAnsi="宋体"/>
          <w:color w:val="000000" w:themeColor="text1"/>
          <w14:textFill>
            <w14:solidFill>
              <w14:schemeClr w14:val="tx1"/>
            </w14:solidFill>
          </w14:textFill>
        </w:rPr>
      </w:pPr>
    </w:p>
    <w:p w14:paraId="41DBCDC4">
      <w:pPr>
        <w:spacing w:after="60"/>
        <w:ind w:left="2409" w:hanging="2409" w:hangingChars="500"/>
        <w:jc w:val="center"/>
        <w:rPr>
          <w:rFonts w:hint="eastAsia"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深圳市慧智工程顾问有限公司</w:t>
      </w:r>
    </w:p>
    <w:p w14:paraId="2871BFD5">
      <w:pPr>
        <w:spacing w:after="60"/>
        <w:ind w:left="2409" w:hanging="2409" w:hangingChars="500"/>
        <w:jc w:val="center"/>
        <w:rPr>
          <w:rFonts w:hint="eastAsia" w:ascii="宋体" w:hAnsi="宋体"/>
          <w:color w:val="000000" w:themeColor="text1"/>
          <w:sz w:val="40"/>
          <w:szCs w:val="40"/>
          <w14:textFill>
            <w14:solidFill>
              <w14:schemeClr w14:val="tx1"/>
            </w14:solidFill>
          </w14:textFill>
        </w:rPr>
      </w:pPr>
      <w:r>
        <w:rPr>
          <w:rFonts w:ascii="宋体" w:hAnsi="宋体"/>
          <w:b/>
          <w:color w:val="000000" w:themeColor="text1"/>
          <w:sz w:val="48"/>
          <w:szCs w:val="48"/>
          <w14:textFill>
            <w14:solidFill>
              <w14:schemeClr w14:val="tx1"/>
            </w14:solidFill>
          </w14:textFill>
        </w:rPr>
        <w:t>202</w:t>
      </w:r>
      <w:r>
        <w:rPr>
          <w:rFonts w:hint="eastAsia" w:ascii="宋体" w:hAnsi="宋体"/>
          <w:b/>
          <w:color w:val="000000" w:themeColor="text1"/>
          <w:sz w:val="48"/>
          <w:szCs w:val="48"/>
          <w:lang w:val="en-US" w:eastAsia="zh-CN"/>
          <w14:textFill>
            <w14:solidFill>
              <w14:schemeClr w14:val="tx1"/>
            </w14:solidFill>
          </w14:textFill>
        </w:rPr>
        <w:t>5</w:t>
      </w:r>
      <w:r>
        <w:rPr>
          <w:rFonts w:hint="eastAsia" w:ascii="宋体" w:hAnsi="宋体"/>
          <w:b/>
          <w:color w:val="000000" w:themeColor="text1"/>
          <w:sz w:val="48"/>
          <w:szCs w:val="48"/>
          <w14:textFill>
            <w14:solidFill>
              <w14:schemeClr w14:val="tx1"/>
            </w14:solidFill>
          </w14:textFill>
        </w:rPr>
        <w:t>年•中国•深圳</w:t>
      </w:r>
      <w:r>
        <w:rPr>
          <w:rFonts w:ascii="宋体" w:hAnsi="宋体"/>
          <w:color w:val="000000" w:themeColor="text1"/>
          <w:sz w:val="40"/>
          <w:szCs w:val="40"/>
          <w14:textFill>
            <w14:solidFill>
              <w14:schemeClr w14:val="tx1"/>
            </w14:solidFill>
          </w14:textFill>
        </w:rPr>
        <w:br w:type="page"/>
      </w:r>
    </w:p>
    <w:p w14:paraId="43E37A54">
      <w:pPr>
        <w:spacing w:after="78"/>
        <w:ind w:firstLine="3654" w:firstLineChars="1300"/>
        <w:rPr>
          <w:rFonts w:hint="eastAsia" w:ascii="宋体" w:hAnsi="宋体"/>
          <w:color w:val="FF0000"/>
          <w:szCs w:val="21"/>
        </w:rPr>
      </w:pPr>
      <w:bookmarkStart w:id="0" w:name="_Hlk190962251"/>
      <w:r>
        <w:rPr>
          <w:rFonts w:hint="eastAsia" w:ascii="宋体" w:hAnsi="宋体"/>
          <w:b/>
          <w:bCs/>
          <w:color w:val="FF0000"/>
          <w:kern w:val="44"/>
          <w:sz w:val="28"/>
          <w:szCs w:val="44"/>
        </w:rPr>
        <w:t>特别警示条款</w:t>
      </w:r>
    </w:p>
    <w:p w14:paraId="08D8BF83">
      <w:pPr>
        <w:spacing w:after="312" w:afterLines="100" w:line="400" w:lineRule="exact"/>
        <w:ind w:firstLine="422" w:firstLineChars="200"/>
        <w:rPr>
          <w:rFonts w:hint="eastAsia"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1ED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7E37B3A4">
            <w:pPr>
              <w:spacing w:after="78" w:line="400" w:lineRule="exact"/>
              <w:jc w:val="center"/>
              <w:rPr>
                <w:rFonts w:hint="eastAsia"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39F39D7B">
            <w:pPr>
              <w:spacing w:after="78" w:line="400" w:lineRule="exact"/>
              <w:jc w:val="center"/>
              <w:rPr>
                <w:rFonts w:hint="eastAsia" w:ascii="宋体" w:hAnsi="宋体" w:cs="宋体"/>
                <w:color w:val="FF0000"/>
                <w:szCs w:val="21"/>
              </w:rPr>
            </w:pPr>
            <w:r>
              <w:rPr>
                <w:rFonts w:hint="eastAsia" w:ascii="宋体" w:hAnsi="宋体" w:cs="宋体"/>
                <w:b/>
                <w:bCs/>
                <w:color w:val="FF0000"/>
                <w:szCs w:val="21"/>
              </w:rPr>
              <w:t>供应商参与投标禁止情形</w:t>
            </w:r>
          </w:p>
        </w:tc>
      </w:tr>
      <w:tr w14:paraId="6266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14807FD8">
            <w:pPr>
              <w:spacing w:after="78" w:line="400" w:lineRule="exact"/>
              <w:jc w:val="center"/>
              <w:rPr>
                <w:rFonts w:hint="eastAsia"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20B532B3">
            <w:pPr>
              <w:spacing w:after="78" w:line="400" w:lineRule="exact"/>
              <w:jc w:val="left"/>
              <w:rPr>
                <w:rFonts w:hint="eastAsia"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3CF8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1A7F602A">
            <w:pPr>
              <w:spacing w:after="78" w:line="400" w:lineRule="exact"/>
              <w:jc w:val="center"/>
              <w:rPr>
                <w:rFonts w:hint="eastAsia"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2398EE3F">
            <w:pPr>
              <w:spacing w:after="78" w:line="400" w:lineRule="exact"/>
              <w:jc w:val="left"/>
              <w:rPr>
                <w:rFonts w:hint="eastAsia"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634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A7FD9DA">
            <w:pPr>
              <w:spacing w:after="78" w:line="400" w:lineRule="exact"/>
              <w:jc w:val="center"/>
              <w:rPr>
                <w:rFonts w:hint="eastAsia"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05D54F40">
            <w:pPr>
              <w:spacing w:after="78"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1DE3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3FEC52AF">
            <w:pPr>
              <w:spacing w:after="78" w:line="400" w:lineRule="exact"/>
              <w:jc w:val="center"/>
              <w:rPr>
                <w:rFonts w:hint="eastAsia"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682CE893">
            <w:pPr>
              <w:spacing w:after="78"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67E8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39748CF">
            <w:pPr>
              <w:spacing w:after="78" w:line="400" w:lineRule="exact"/>
              <w:jc w:val="center"/>
              <w:rPr>
                <w:rFonts w:hint="eastAsia"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4DD10CE2">
            <w:pPr>
              <w:spacing w:after="78" w:line="400" w:lineRule="exact"/>
              <w:jc w:val="left"/>
              <w:rPr>
                <w:rFonts w:hint="eastAsia"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1D11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4D0FB932">
            <w:pPr>
              <w:spacing w:after="78" w:line="400" w:lineRule="exact"/>
              <w:jc w:val="center"/>
              <w:rPr>
                <w:rFonts w:hint="eastAsia"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6F409E9C">
            <w:pPr>
              <w:spacing w:after="78" w:line="400" w:lineRule="exact"/>
              <w:jc w:val="left"/>
              <w:rPr>
                <w:rFonts w:hint="eastAsia"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4AFF340A">
      <w:pPr>
        <w:spacing w:after="78"/>
        <w:ind w:firstLine="400" w:firstLineChars="200"/>
        <w:rPr>
          <w:rFonts w:hint="eastAsia" w:ascii="宋体" w:hAnsi="宋体"/>
          <w:color w:val="FF0000"/>
          <w:sz w:val="20"/>
          <w:szCs w:val="20"/>
        </w:rPr>
      </w:pPr>
    </w:p>
    <w:p w14:paraId="3B7C4424">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94EF11F">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5484F625">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0BE3D903">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3F090D53">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5950FCB2">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12FB26D0">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480CAD7D">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29686988">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25A54712">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50A44E03">
      <w:pPr>
        <w:spacing w:after="78" w:line="240" w:lineRule="auto"/>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A51A613">
      <w:pPr>
        <w:spacing w:after="78" w:line="240" w:lineRule="auto"/>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95D10B4">
      <w:pPr>
        <w:spacing w:after="78" w:line="240" w:lineRule="auto"/>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2568F26">
      <w:pPr>
        <w:spacing w:after="78" w:line="240" w:lineRule="auto"/>
        <w:ind w:firstLine="400" w:firstLineChars="200"/>
        <w:rPr>
          <w:rFonts w:hint="eastAsia" w:ascii="宋体" w:hAnsi="宋体"/>
          <w:bCs/>
          <w:color w:val="FF0000"/>
          <w:sz w:val="20"/>
          <w:szCs w:val="20"/>
        </w:rPr>
      </w:pPr>
      <w:r>
        <w:rPr>
          <w:rFonts w:hint="eastAsia" w:ascii="宋体" w:hAnsi="宋体"/>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0DBE82C5">
      <w:pPr>
        <w:spacing w:after="78" w:line="240" w:lineRule="auto"/>
        <w:ind w:firstLine="400" w:firstLineChars="200"/>
        <w:rPr>
          <w:rFonts w:hint="eastAsia" w:ascii="宋体" w:hAnsi="宋体"/>
          <w:bCs/>
          <w:color w:val="FF0000"/>
          <w:sz w:val="20"/>
          <w:szCs w:val="20"/>
        </w:rPr>
      </w:pPr>
      <w:r>
        <w:rPr>
          <w:rFonts w:hint="eastAsia" w:ascii="宋体" w:hAnsi="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60AB6A80">
      <w:pPr>
        <w:spacing w:after="78" w:line="240" w:lineRule="auto"/>
        <w:ind w:firstLine="400" w:firstLineChars="200"/>
        <w:rPr>
          <w:rFonts w:hint="eastAsia" w:ascii="宋体" w:hAnsi="宋体"/>
          <w:bCs/>
          <w:color w:val="FF0000"/>
          <w:sz w:val="20"/>
          <w:szCs w:val="20"/>
        </w:rPr>
      </w:pPr>
      <w:r>
        <w:rPr>
          <w:rFonts w:hint="eastAsia" w:ascii="宋体" w:hAnsi="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取消参与本市政府采购资格、依法吊销其营业执照等行政处罚，构成犯罪的，依法追究刑事责任</w:t>
      </w:r>
      <w:r>
        <w:rPr>
          <w:rFonts w:hint="eastAsia" w:ascii="宋体" w:hAnsi="宋体"/>
          <w:bCs/>
          <w:color w:val="FF0000"/>
          <w:sz w:val="20"/>
          <w:szCs w:val="20"/>
        </w:rPr>
        <w:t>，请各供应商独立编制、上传投标文件，妥善保管和使用电子秘钥。</w:t>
      </w:r>
    </w:p>
    <w:p w14:paraId="2B218D6A">
      <w:pPr>
        <w:spacing w:after="78" w:line="240" w:lineRule="auto"/>
        <w:ind w:firstLine="422" w:firstLineChars="200"/>
        <w:rPr>
          <w:rFonts w:hint="eastAsia" w:ascii="宋体" w:hAnsi="宋体"/>
          <w:b/>
          <w:color w:val="FF0000"/>
        </w:rPr>
      </w:pPr>
      <w:r>
        <w:rPr>
          <w:rFonts w:hint="eastAsia" w:ascii="宋体" w:hAnsi="宋体"/>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413AD7FA">
      <w:pPr>
        <w:spacing w:after="78" w:line="240" w:lineRule="auto"/>
        <w:rPr>
          <w:rFonts w:hint="eastAsia" w:ascii="宋体" w:hAnsi="宋体"/>
          <w:szCs w:val="22"/>
        </w:rPr>
      </w:pPr>
    </w:p>
    <w:p w14:paraId="097C5BB4">
      <w:pPr>
        <w:spacing w:after="78" w:line="240" w:lineRule="auto"/>
        <w:ind w:firstLine="422" w:firstLineChars="200"/>
        <w:rPr>
          <w:rFonts w:hint="eastAsia" w:ascii="宋体" w:hAnsi="宋体"/>
          <w:b/>
          <w:color w:val="FF0000"/>
        </w:rPr>
      </w:pPr>
      <w:r>
        <w:rPr>
          <w:rFonts w:hint="eastAsia" w:ascii="宋体" w:hAnsi="宋体"/>
          <w:b/>
          <w:color w:val="FF0000"/>
        </w:rPr>
        <w:t>注：“特别警示条款”和《政府采购违法行为风险知悉确认书》用于对供应商违法行为的提醒，不作为供应商资格性审查及符合性审查条件。</w:t>
      </w:r>
    </w:p>
    <w:bookmarkEnd w:id="0"/>
    <w:p w14:paraId="02D6BF9E">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79C6A6C">
      <w:pPr>
        <w:widowControl/>
        <w:spacing w:afterLines="0" w:line="240" w:lineRule="auto"/>
        <w:jc w:val="left"/>
        <w:rPr>
          <w:rFonts w:hint="eastAsia" w:ascii="宋体" w:hAnsi="宋体"/>
          <w:color w:val="000000" w:themeColor="text1"/>
          <w14:textFill>
            <w14:solidFill>
              <w14:schemeClr w14:val="tx1"/>
            </w14:solidFill>
          </w14:textFill>
        </w:rPr>
      </w:pPr>
    </w:p>
    <w:p w14:paraId="36AB7DE3">
      <w:pPr>
        <w:pStyle w:val="2"/>
        <w:spacing w:before="0" w:after="360" w:afterLines="150" w:line="720" w:lineRule="exact"/>
        <w:jc w:val="center"/>
        <w:rPr>
          <w:rFonts w:hint="eastAsia" w:ascii="宋体" w:hAnsi="宋体"/>
          <w:b/>
          <w:color w:val="000000" w:themeColor="text1"/>
          <w:sz w:val="36"/>
          <w:szCs w:val="36"/>
          <w14:textFill>
            <w14:solidFill>
              <w14:schemeClr w14:val="tx1"/>
            </w14:solidFill>
          </w14:textFill>
        </w:rPr>
      </w:pPr>
      <w:bookmarkStart w:id="1" w:name="_Toc61447441"/>
      <w:r>
        <w:rPr>
          <w:rFonts w:ascii="宋体" w:hAnsi="宋体"/>
          <w:b/>
          <w:color w:val="000000" w:themeColor="text1"/>
          <w:sz w:val="36"/>
          <w:szCs w:val="36"/>
          <w14:textFill>
            <w14:solidFill>
              <w14:schemeClr w14:val="tx1"/>
            </w14:solidFill>
          </w14:textFill>
        </w:rPr>
        <w:t>关键信息</w:t>
      </w:r>
      <w:bookmarkEnd w:id="1"/>
    </w:p>
    <w:p w14:paraId="6C094055">
      <w:pPr>
        <w:pStyle w:val="40"/>
        <w:spacing w:before="120" w:beforeLines="50" w:beforeAutospacing="0" w:after="240" w:afterLines="100" w:afterAutospacing="0" w:line="720" w:lineRule="exact"/>
        <w:jc w:val="center"/>
        <w:outlineLvl w:val="1"/>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项目信息</w:t>
      </w:r>
    </w:p>
    <w:p w14:paraId="39F5F909">
      <w:pPr>
        <w:spacing w:after="60"/>
        <w:rPr>
          <w:rFonts w:hint="eastAsia" w:ascii="宋体" w:hAnsi="宋体"/>
          <w:color w:val="000000" w:themeColor="text1"/>
          <w14:textFill>
            <w14:solidFill>
              <w14:schemeClr w14:val="tx1"/>
            </w14:solidFill>
          </w14:textFill>
        </w:rPr>
      </w:pPr>
    </w:p>
    <w:p w14:paraId="2C5FA75C">
      <w:pPr>
        <w:spacing w:after="60"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项目编号：SZHZ202</w:t>
      </w:r>
      <w:r>
        <w:rPr>
          <w:rFonts w:hint="eastAsia" w:ascii="宋体" w:hAnsi="宋体"/>
          <w:color w:val="000000" w:themeColor="text1"/>
          <w:sz w:val="24"/>
          <w:lang w:val="en-US" w:eastAsia="zh-CN"/>
          <w14:textFill>
            <w14:solidFill>
              <w14:schemeClr w14:val="tx1"/>
            </w14:solidFill>
          </w14:textFill>
        </w:rPr>
        <w:t>5</w:t>
      </w:r>
      <w:r>
        <w:rPr>
          <w:rFonts w:ascii="宋体" w:hAnsi="宋体"/>
          <w:color w:val="000000" w:themeColor="text1"/>
          <w:sz w:val="24"/>
          <w14:textFill>
            <w14:solidFill>
              <w14:schemeClr w14:val="tx1"/>
            </w14:solidFill>
          </w14:textFill>
        </w:rPr>
        <w:t>-QB00</w:t>
      </w:r>
      <w:r>
        <w:rPr>
          <w:rFonts w:hint="eastAsia" w:ascii="宋体" w:hAnsi="宋体"/>
          <w:color w:val="000000" w:themeColor="text1"/>
          <w:sz w:val="24"/>
          <w:lang w:val="en-US" w:eastAsia="zh-CN"/>
          <w14:textFill>
            <w14:solidFill>
              <w14:schemeClr w14:val="tx1"/>
            </w14:solidFill>
          </w14:textFill>
        </w:rPr>
        <w:t>27</w:t>
      </w:r>
    </w:p>
    <w:p w14:paraId="627BCB6D">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深圳市第七幼儿园2026年1月-2026年12月年度保安服务项目</w:t>
      </w:r>
    </w:p>
    <w:p w14:paraId="763013F3">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包    号</w:t>
      </w:r>
      <w:r>
        <w:rPr>
          <w:rFonts w:hint="eastAsia" w:ascii="宋体" w:hAnsi="宋体"/>
          <w:color w:val="000000" w:themeColor="text1"/>
          <w:sz w:val="24"/>
          <w14:textFill>
            <w14:solidFill>
              <w14:schemeClr w14:val="tx1"/>
            </w14:solidFill>
          </w14:textFill>
        </w:rPr>
        <w:t>：A</w:t>
      </w:r>
    </w:p>
    <w:p w14:paraId="2D7A4232">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项目类型：</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类</w:t>
      </w:r>
    </w:p>
    <w:p w14:paraId="464A47D0">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采购方式：公开招标</w:t>
      </w:r>
    </w:p>
    <w:p w14:paraId="2AB1D3A0">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货币类型：人民币</w:t>
      </w:r>
    </w:p>
    <w:p w14:paraId="03106B88">
      <w:pPr>
        <w:spacing w:after="60" w:line="360" w:lineRule="auto"/>
        <w:rPr>
          <w:rFonts w:hint="eastAsia" w:ascii="宋体" w:hAnsi="宋体"/>
          <w:color w:val="000000" w:themeColor="text1"/>
          <w:sz w:val="30"/>
          <w:szCs w:val="30"/>
          <w14:textFill>
            <w14:solidFill>
              <w14:schemeClr w14:val="tx1"/>
            </w14:solidFill>
          </w14:textFill>
        </w:rPr>
      </w:pPr>
    </w:p>
    <w:p w14:paraId="27FA020C">
      <w:pPr>
        <w:spacing w:after="60"/>
        <w:rPr>
          <w:rFonts w:hint="eastAsia" w:ascii="宋体" w:hAnsi="宋体"/>
          <w:color w:val="000000" w:themeColor="text1"/>
          <w14:textFill>
            <w14:solidFill>
              <w14:schemeClr w14:val="tx1"/>
            </w14:solidFill>
          </w14:textFill>
        </w:rPr>
      </w:pPr>
    </w:p>
    <w:p w14:paraId="3D2D3E55">
      <w:pPr>
        <w:pStyle w:val="40"/>
        <w:spacing w:before="120" w:beforeLines="50" w:beforeAutospacing="0" w:after="240" w:afterLines="100" w:afterAutospacing="0" w:line="720" w:lineRule="exact"/>
        <w:jc w:val="center"/>
        <w:outlineLvl w:val="1"/>
        <w:rPr>
          <w:rFonts w:hint="eastAsia"/>
          <w:b/>
          <w:color w:val="000000" w:themeColor="text1"/>
          <w:sz w:val="32"/>
          <w:szCs w:val="32"/>
          <w14:textFill>
            <w14:solidFill>
              <w14:schemeClr w14:val="tx1"/>
            </w14:solidFill>
          </w14:textFill>
        </w:rPr>
      </w:pPr>
      <w:r>
        <w:rPr>
          <w:color w:val="000000" w:themeColor="text1"/>
          <w:sz w:val="40"/>
          <w:szCs w:val="40"/>
          <w14:textFill>
            <w14:solidFill>
              <w14:schemeClr w14:val="tx1"/>
            </w14:solidFill>
          </w14:textFill>
        </w:rPr>
        <w:br w:type="page"/>
      </w:r>
      <w:r>
        <w:rPr>
          <w:rFonts w:hint="eastAsia"/>
          <w:b/>
          <w:color w:val="000000" w:themeColor="text1"/>
          <w:sz w:val="32"/>
          <w:szCs w:val="32"/>
          <w14:textFill>
            <w14:solidFill>
              <w14:schemeClr w14:val="tx1"/>
            </w14:solidFill>
          </w14:textFill>
        </w:rPr>
        <w:t>投标文件初审表</w:t>
      </w:r>
    </w:p>
    <w:p w14:paraId="0BBD27A9">
      <w:pPr>
        <w:spacing w:after="60" w:line="36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（凡有下列情形之一的，初审不通过，投标无效）</w:t>
      </w:r>
    </w:p>
    <w:tbl>
      <w:tblPr>
        <w:tblStyle w:val="46"/>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734"/>
      </w:tblGrid>
      <w:tr w14:paraId="14F4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2"/>
            <w:vAlign w:val="center"/>
          </w:tcPr>
          <w:p w14:paraId="72A73DA2">
            <w:pPr>
              <w:spacing w:afterLines="0" w:line="400" w:lineRule="exact"/>
              <w:jc w:val="center"/>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资格性检查表</w:t>
            </w:r>
          </w:p>
        </w:tc>
      </w:tr>
      <w:tr w14:paraId="122F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C7C48DF">
            <w:pPr>
              <w:spacing w:afterLines="0"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7734" w:type="dxa"/>
            <w:vAlign w:val="center"/>
          </w:tcPr>
          <w:p w14:paraId="47047CA9">
            <w:pPr>
              <w:spacing w:afterLines="0" w:line="40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投标人不具备招标文件所列的资格要求，或未提交相应的资格证明资料（详见招标公告 </w:t>
            </w:r>
            <w:r>
              <w:rPr>
                <w:rFonts w:hint="eastAsia" w:ascii="宋体" w:hAnsi="宋体"/>
                <w:color w:val="000000" w:themeColor="text1"/>
                <w:sz w:val="24"/>
                <w14:textFill>
                  <w14:solidFill>
                    <w14:schemeClr w14:val="tx1"/>
                  </w14:solidFill>
                </w14:textFill>
              </w:rPr>
              <w:t>申请人的</w:t>
            </w:r>
            <w:r>
              <w:rPr>
                <w:rFonts w:ascii="宋体" w:hAnsi="宋体"/>
                <w:color w:val="000000" w:themeColor="text1"/>
                <w:sz w:val="24"/>
                <w14:textFill>
                  <w14:solidFill>
                    <w14:schemeClr w14:val="tx1"/>
                  </w14:solidFill>
                </w14:textFill>
              </w:rPr>
              <w:t>资格要求）；</w:t>
            </w:r>
          </w:p>
        </w:tc>
      </w:tr>
      <w:tr w14:paraId="326E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2"/>
            <w:vAlign w:val="center"/>
          </w:tcPr>
          <w:p w14:paraId="395FFCB6">
            <w:pPr>
              <w:spacing w:afterLines="0" w:line="400" w:lineRule="exact"/>
              <w:jc w:val="center"/>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符合性检查表</w:t>
            </w:r>
          </w:p>
        </w:tc>
      </w:tr>
      <w:tr w14:paraId="7BDB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82705F0">
            <w:pPr>
              <w:spacing w:afterLines="0"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7734" w:type="dxa"/>
            <w:vAlign w:val="center"/>
          </w:tcPr>
          <w:p w14:paraId="6C1BA6D2">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将一个包或一个标段的内容拆开投标；</w:t>
            </w:r>
          </w:p>
        </w:tc>
      </w:tr>
      <w:tr w14:paraId="7239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5F96886">
            <w:pPr>
              <w:spacing w:afterLines="0"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7734" w:type="dxa"/>
            <w:vAlign w:val="center"/>
          </w:tcPr>
          <w:p w14:paraId="3C2BAA88">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对同一项目投标时，提供两套以上的投标方案（招标文件另有规定的除外）；</w:t>
            </w:r>
          </w:p>
        </w:tc>
      </w:tr>
      <w:tr w14:paraId="3D10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41FDDCB">
            <w:pPr>
              <w:spacing w:afterLines="0"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7734" w:type="dxa"/>
            <w:vAlign w:val="center"/>
          </w:tcPr>
          <w:p w14:paraId="458C93D5">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投标报价高于财政预算限额或最高投标限价的；</w:t>
            </w:r>
          </w:p>
        </w:tc>
      </w:tr>
      <w:tr w14:paraId="732D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DA032FF">
            <w:pPr>
              <w:spacing w:afterLines="0" w:line="40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7734" w:type="dxa"/>
            <w:vAlign w:val="center"/>
          </w:tcPr>
          <w:p w14:paraId="75D122B8">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委员会认为投标人的报价明显低于其他通过符合性审查投标人的报价，有可能影响产品质量或者不能诚信履约的，投标人在合理的时间内不能提供书面说明，或无法提交相关证明材料，投标人不能证明其报价合理性的。（评审委员会成员对是否须由投标人作出报价合理性说明，以及提供的书面说明材料判断不一致的，按照“少数服从多数”的原则确定评审委员会的意见）；</w:t>
            </w:r>
          </w:p>
        </w:tc>
      </w:tr>
      <w:tr w14:paraId="340A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51C6966">
            <w:pPr>
              <w:spacing w:afterLines="0" w:line="40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7734" w:type="dxa"/>
            <w:vAlign w:val="center"/>
          </w:tcPr>
          <w:p w14:paraId="6E043FA6">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投标报价有严重缺漏项目</w:t>
            </w:r>
          </w:p>
        </w:tc>
      </w:tr>
      <w:tr w14:paraId="38C3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ADE90B4">
            <w:pPr>
              <w:spacing w:afterLines="0" w:line="40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p>
        </w:tc>
        <w:tc>
          <w:tcPr>
            <w:tcW w:w="7734" w:type="dxa"/>
            <w:vAlign w:val="center"/>
          </w:tcPr>
          <w:p w14:paraId="676214C4">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投标文件载明的交货期超过招标文件规定的期限</w:t>
            </w:r>
          </w:p>
        </w:tc>
      </w:tr>
      <w:tr w14:paraId="113D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2D3F04D">
            <w:pPr>
              <w:spacing w:afterLines="0" w:line="40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p>
        </w:tc>
        <w:tc>
          <w:tcPr>
            <w:tcW w:w="7734" w:type="dxa"/>
            <w:vAlign w:val="center"/>
          </w:tcPr>
          <w:p w14:paraId="57B68C9E">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投标文件载明的免费保修期低于招标文件规定的期限</w:t>
            </w:r>
          </w:p>
        </w:tc>
      </w:tr>
      <w:tr w14:paraId="178A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D1775AE">
            <w:pPr>
              <w:spacing w:afterLines="0" w:line="40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p>
        </w:tc>
        <w:tc>
          <w:tcPr>
            <w:tcW w:w="7734" w:type="dxa"/>
            <w:vAlign w:val="center"/>
          </w:tcPr>
          <w:p w14:paraId="080A8B33">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所投产品或服务在商务、技术等方面没有实质性满足招标文件要求的（招标文件标注★的均为实质性条款）；</w:t>
            </w:r>
          </w:p>
        </w:tc>
      </w:tr>
      <w:tr w14:paraId="75A6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6F6758C">
            <w:pPr>
              <w:spacing w:afterLines="0" w:line="40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p>
        </w:tc>
        <w:tc>
          <w:tcPr>
            <w:tcW w:w="7734" w:type="dxa"/>
            <w:vAlign w:val="center"/>
          </w:tcPr>
          <w:p w14:paraId="780868BA">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未按招标文件所提供的样式填写</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投标函》；未按招标文件所提供的《政府采购投标及履约承诺函》进行承诺；未按招标文件对投标文件组成的要求提供投标文件的（投标文件组成不完整）；</w:t>
            </w:r>
          </w:p>
        </w:tc>
      </w:tr>
      <w:tr w14:paraId="6515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0F0DA6">
            <w:pPr>
              <w:spacing w:afterLines="0" w:line="40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p>
        </w:tc>
        <w:tc>
          <w:tcPr>
            <w:tcW w:w="7734" w:type="dxa"/>
            <w:vAlign w:val="center"/>
          </w:tcPr>
          <w:p w14:paraId="7D8B53AC">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未提供法定代表人证明书及法定代表人授权书；</w:t>
            </w:r>
          </w:p>
        </w:tc>
      </w:tr>
      <w:tr w14:paraId="264C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2698C00">
            <w:pPr>
              <w:spacing w:afterLines="0" w:line="40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p>
        </w:tc>
        <w:tc>
          <w:tcPr>
            <w:tcW w:w="7734" w:type="dxa"/>
            <w:vAlign w:val="center"/>
          </w:tcPr>
          <w:p w14:paraId="762C8DE6">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不具有招标文件中列明导致投标无效的其他因素</w:t>
            </w:r>
          </w:p>
        </w:tc>
      </w:tr>
      <w:tr w14:paraId="07C4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6FD9608">
            <w:pPr>
              <w:spacing w:afterLines="0" w:line="40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p>
        </w:tc>
        <w:tc>
          <w:tcPr>
            <w:tcW w:w="7734" w:type="dxa"/>
            <w:vAlign w:val="center"/>
          </w:tcPr>
          <w:p w14:paraId="2971A499">
            <w:pPr>
              <w:spacing w:afterLines="0" w:line="40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法律、法规规定的其他情形；</w:t>
            </w:r>
          </w:p>
        </w:tc>
      </w:tr>
    </w:tbl>
    <w:p w14:paraId="0FCF341F">
      <w:pPr>
        <w:spacing w:after="60"/>
        <w:rPr>
          <w:rFonts w:hint="eastAsia" w:ascii="宋体" w:hAnsi="宋体"/>
          <w:color w:val="000000" w:themeColor="text1"/>
          <w14:textFill>
            <w14:solidFill>
              <w14:schemeClr w14:val="tx1"/>
            </w14:solidFill>
          </w14:textFill>
        </w:rPr>
      </w:pPr>
    </w:p>
    <w:p w14:paraId="1B0F3F4A">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32FBABF0">
      <w:pPr>
        <w:pStyle w:val="40"/>
        <w:spacing w:before="120" w:beforeLines="50" w:beforeAutospacing="0" w:after="240" w:afterLines="100" w:afterAutospacing="0" w:line="720" w:lineRule="exact"/>
        <w:jc w:val="center"/>
        <w:outlineLvl w:val="1"/>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评标信息</w:t>
      </w:r>
    </w:p>
    <w:p w14:paraId="7BFFD68C">
      <w:pPr>
        <w:snapToGrid w:val="0"/>
        <w:spacing w:afterLines="0" w:line="360" w:lineRule="auto"/>
        <w:rPr>
          <w:rStyle w:val="66"/>
          <w:rFonts w:hint="default" w:eastAsia="宋体"/>
          <w:bCs w:val="0"/>
          <w:color w:val="000000" w:themeColor="text1"/>
          <w:sz w:val="24"/>
          <w:szCs w:val="24"/>
          <w14:textFill>
            <w14:solidFill>
              <w14:schemeClr w14:val="tx1"/>
            </w14:solidFill>
          </w14:textFill>
        </w:rPr>
      </w:pPr>
      <w:r>
        <w:rPr>
          <w:rStyle w:val="66"/>
          <w:rFonts w:hint="default" w:eastAsia="宋体"/>
          <w:bCs w:val="0"/>
          <w:color w:val="000000" w:themeColor="text1"/>
          <w:sz w:val="24"/>
          <w:szCs w:val="24"/>
          <w14:textFill>
            <w14:solidFill>
              <w14:schemeClr w14:val="tx1"/>
            </w14:solidFill>
          </w14:textFill>
        </w:rPr>
        <w:t xml:space="preserve">一、评标方法： 综合评分法 </w:t>
      </w:r>
    </w:p>
    <w:p w14:paraId="20D6BA30">
      <w:pPr>
        <w:spacing w:afterLines="0" w:line="360" w:lineRule="auto"/>
        <w:ind w:firstLine="480" w:firstLineChars="200"/>
        <w:rPr>
          <w:rStyle w:val="66"/>
          <w:rFonts w:hint="default" w:eastAsia="宋体"/>
          <w:b w:val="0"/>
          <w:bCs w:val="0"/>
          <w:color w:val="000000" w:themeColor="text1"/>
          <w:sz w:val="24"/>
          <w:szCs w:val="24"/>
          <w14:textFill>
            <w14:solidFill>
              <w14:schemeClr w14:val="tx1"/>
            </w14:solidFill>
          </w14:textFill>
        </w:rPr>
      </w:pPr>
      <w:r>
        <w:rPr>
          <w:rStyle w:val="66"/>
          <w:rFonts w:hint="default" w:eastAsia="宋体"/>
          <w:b w:val="0"/>
          <w:bCs w:val="0"/>
          <w:color w:val="000000" w:themeColor="text1"/>
          <w:sz w:val="24"/>
          <w:szCs w:val="24"/>
          <w14:textFill>
            <w14:solidFill>
              <w14:schemeClr w14:val="tx1"/>
            </w14:solidFill>
          </w14:textFill>
        </w:rPr>
        <w:t>综合评分法，是指投标文件满足招标文件全部实质性要求，且按照评审因素的量化指标评审得分最高的投标人为中标候选人的评标方法</w:t>
      </w:r>
      <w:r>
        <w:rPr>
          <w:rFonts w:hint="eastAsia" w:ascii="宋体" w:hAnsi="宋体"/>
          <w:color w:val="000000" w:themeColor="text1"/>
          <w:sz w:val="24"/>
          <w14:textFill>
            <w14:solidFill>
              <w14:schemeClr w14:val="tx1"/>
            </w14:solidFill>
          </w14:textFill>
        </w:rPr>
        <w:t>。</w:t>
      </w:r>
    </w:p>
    <w:p w14:paraId="68B18AB1">
      <w:pPr>
        <w:spacing w:afterLines="0" w:line="360" w:lineRule="auto"/>
        <w:rPr>
          <w:rStyle w:val="66"/>
          <w:rFonts w:hint="default" w:eastAsia="宋体"/>
          <w:b w:val="0"/>
          <w:bCs w:val="0"/>
          <w:color w:val="000000" w:themeColor="text1"/>
          <w:sz w:val="24"/>
          <w:szCs w:val="24"/>
          <w14:textFill>
            <w14:solidFill>
              <w14:schemeClr w14:val="tx1"/>
            </w14:solidFill>
          </w14:textFill>
        </w:rPr>
      </w:pPr>
      <w:r>
        <w:rPr>
          <w:rStyle w:val="66"/>
          <w:rFonts w:hint="default" w:eastAsia="宋体"/>
          <w:b w:val="0"/>
          <w:bCs w:val="0"/>
          <w:color w:val="000000" w:themeColor="text1"/>
          <w:sz w:val="24"/>
          <w:szCs w:val="24"/>
          <w14:textFill>
            <w14:solidFill>
              <w14:schemeClr w14:val="tx1"/>
            </w14:solidFill>
          </w14:textFill>
        </w:rPr>
        <w:t>　  价格分计算方法：</w:t>
      </w:r>
    </w:p>
    <w:p w14:paraId="7E229E89">
      <w:pPr>
        <w:spacing w:afterLines="0" w:line="360" w:lineRule="auto"/>
        <w:ind w:firstLine="480" w:firstLineChars="200"/>
        <w:rPr>
          <w:rStyle w:val="66"/>
          <w:rFonts w:hint="default" w:eastAsia="宋体"/>
          <w:b w:val="0"/>
          <w:bCs w:val="0"/>
          <w:color w:val="000000" w:themeColor="text1"/>
          <w:sz w:val="24"/>
          <w:szCs w:val="24"/>
          <w14:textFill>
            <w14:solidFill>
              <w14:schemeClr w14:val="tx1"/>
            </w14:solidFill>
          </w14:textFill>
        </w:rPr>
      </w:pPr>
      <w:r>
        <w:rPr>
          <w:rStyle w:val="66"/>
          <w:rFonts w:hint="default" w:eastAsia="宋体"/>
          <w:b w:val="0"/>
          <w:bCs w:val="0"/>
          <w:color w:val="000000" w:themeColor="text1"/>
          <w:sz w:val="24"/>
          <w:szCs w:val="24"/>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14:paraId="1128DFBD">
      <w:pPr>
        <w:spacing w:afterLines="0" w:line="360" w:lineRule="auto"/>
        <w:ind w:firstLine="490"/>
        <w:rPr>
          <w:rStyle w:val="66"/>
          <w:rFonts w:hint="default" w:eastAsia="宋体"/>
          <w:b w:val="0"/>
          <w:bCs w:val="0"/>
          <w:color w:val="000000" w:themeColor="text1"/>
          <w:sz w:val="24"/>
          <w:szCs w:val="24"/>
          <w14:textFill>
            <w14:solidFill>
              <w14:schemeClr w14:val="tx1"/>
            </w14:solidFill>
          </w14:textFill>
        </w:rPr>
      </w:pPr>
      <w:r>
        <w:rPr>
          <w:rStyle w:val="66"/>
          <w:rFonts w:hint="default" w:eastAsia="宋体"/>
          <w:b w:val="0"/>
          <w:bCs w:val="0"/>
          <w:color w:val="000000" w:themeColor="text1"/>
          <w:sz w:val="24"/>
          <w:szCs w:val="24"/>
          <w14:textFill>
            <w14:solidFill>
              <w14:schemeClr w14:val="tx1"/>
            </w14:solidFill>
          </w14:textFill>
        </w:rPr>
        <w:t>投标报价得分=(评标基准价／投标报价)×100</w:t>
      </w:r>
    </w:p>
    <w:p w14:paraId="681C13C6">
      <w:pPr>
        <w:spacing w:afterLines="0" w:line="360" w:lineRule="auto"/>
        <w:rPr>
          <w:rStyle w:val="66"/>
          <w:rFonts w:hint="default" w:eastAsia="宋体"/>
          <w:b w:val="0"/>
          <w:bCs w:val="0"/>
          <w:color w:val="000000" w:themeColor="text1"/>
          <w:sz w:val="24"/>
          <w:szCs w:val="24"/>
          <w14:textFill>
            <w14:solidFill>
              <w14:schemeClr w14:val="tx1"/>
            </w14:solidFill>
          </w14:textFill>
        </w:rPr>
      </w:pPr>
      <w:r>
        <w:rPr>
          <w:rStyle w:val="66"/>
          <w:rFonts w:hint="default" w:eastAsia="宋体"/>
          <w:b w:val="0"/>
          <w:bCs w:val="0"/>
          <w:color w:val="000000" w:themeColor="text1"/>
          <w:sz w:val="24"/>
          <w:szCs w:val="24"/>
          <w14:textFill>
            <w14:solidFill>
              <w14:schemeClr w14:val="tx1"/>
            </w14:solidFill>
          </w14:textFill>
        </w:rPr>
        <w:t>　　评标总得分＝F1×A1＋F2×A2＋……＋Fn×An</w:t>
      </w:r>
    </w:p>
    <w:p w14:paraId="182F8306">
      <w:pPr>
        <w:spacing w:afterLines="0" w:line="360" w:lineRule="auto"/>
        <w:rPr>
          <w:rStyle w:val="66"/>
          <w:rFonts w:hint="default" w:eastAsia="宋体"/>
          <w:b w:val="0"/>
          <w:bCs w:val="0"/>
          <w:color w:val="000000" w:themeColor="text1"/>
          <w:sz w:val="24"/>
          <w:szCs w:val="24"/>
          <w14:textFill>
            <w14:solidFill>
              <w14:schemeClr w14:val="tx1"/>
            </w14:solidFill>
          </w14:textFill>
        </w:rPr>
      </w:pPr>
      <w:r>
        <w:rPr>
          <w:rStyle w:val="66"/>
          <w:rFonts w:hint="default" w:eastAsia="宋体"/>
          <w:b w:val="0"/>
          <w:bCs w:val="0"/>
          <w:color w:val="000000" w:themeColor="text1"/>
          <w:sz w:val="24"/>
          <w:szCs w:val="24"/>
          <w14:textFill>
            <w14:solidFill>
              <w14:schemeClr w14:val="tx1"/>
            </w14:solidFill>
          </w14:textFill>
        </w:rPr>
        <w:t>　　F1、F2……Fn分别为各项评审因素的得分；</w:t>
      </w:r>
    </w:p>
    <w:p w14:paraId="71C24CD3">
      <w:pPr>
        <w:spacing w:afterLines="0" w:line="360" w:lineRule="auto"/>
        <w:ind w:firstLine="480"/>
        <w:rPr>
          <w:rStyle w:val="66"/>
          <w:rFonts w:hint="default" w:eastAsia="宋体"/>
          <w:b w:val="0"/>
          <w:bCs w:val="0"/>
          <w:color w:val="000000" w:themeColor="text1"/>
          <w:sz w:val="24"/>
          <w:szCs w:val="24"/>
          <w14:textFill>
            <w14:solidFill>
              <w14:schemeClr w14:val="tx1"/>
            </w14:solidFill>
          </w14:textFill>
        </w:rPr>
      </w:pPr>
      <w:r>
        <w:rPr>
          <w:rStyle w:val="66"/>
          <w:rFonts w:hint="default" w:eastAsia="宋体"/>
          <w:b w:val="0"/>
          <w:bCs w:val="0"/>
          <w:color w:val="000000" w:themeColor="text1"/>
          <w:sz w:val="24"/>
          <w:szCs w:val="24"/>
          <w14:textFill>
            <w14:solidFill>
              <w14:schemeClr w14:val="tx1"/>
            </w14:solidFill>
          </w14:textFill>
        </w:rPr>
        <w:t>A1、A2、……An 分别为各项评审因素所占的权重(A1＋A2＋……＋An＝1)。</w:t>
      </w:r>
    </w:p>
    <w:p w14:paraId="460A3E14">
      <w:pPr>
        <w:spacing w:afterLines="0" w:line="360" w:lineRule="auto"/>
        <w:ind w:firstLine="480"/>
        <w:rPr>
          <w:rStyle w:val="66"/>
          <w:rFonts w:hint="default" w:eastAsia="宋体"/>
          <w:b w:val="0"/>
          <w:bCs w:val="0"/>
          <w:color w:val="000000" w:themeColor="text1"/>
          <w:sz w:val="24"/>
          <w:szCs w:val="24"/>
          <w14:textFill>
            <w14:solidFill>
              <w14:schemeClr w14:val="tx1"/>
            </w14:solidFill>
          </w14:textFill>
        </w:rPr>
      </w:pPr>
      <w:r>
        <w:rPr>
          <w:rStyle w:val="66"/>
          <w:rFonts w:hint="default" w:eastAsia="宋体"/>
          <w:b w:val="0"/>
          <w:bCs w:val="0"/>
          <w:color w:val="000000" w:themeColor="text1"/>
          <w:sz w:val="24"/>
          <w:szCs w:val="24"/>
          <w14:textFill>
            <w14:solidFill>
              <w14:schemeClr w14:val="tx1"/>
            </w14:solidFill>
          </w14:textFill>
        </w:rPr>
        <w:t>评标过程中，不得去掉报价中的最高报价和最低报价。</w:t>
      </w:r>
    </w:p>
    <w:p w14:paraId="11FC4FD3">
      <w:pPr>
        <w:spacing w:afterLines="0" w:line="360" w:lineRule="auto"/>
        <w:ind w:firstLine="480"/>
        <w:rPr>
          <w:rStyle w:val="66"/>
          <w:rFonts w:hint="default" w:eastAsia="宋体"/>
          <w:b w:val="0"/>
          <w:bCs w:val="0"/>
          <w:color w:val="000000" w:themeColor="text1"/>
          <w:sz w:val="24"/>
          <w:szCs w:val="24"/>
          <w14:textFill>
            <w14:solidFill>
              <w14:schemeClr w14:val="tx1"/>
            </w14:solidFill>
          </w14:textFill>
        </w:rPr>
      </w:pPr>
      <w:r>
        <w:rPr>
          <w:rStyle w:val="66"/>
          <w:rFonts w:hint="default" w:eastAsia="宋体"/>
          <w:b w:val="0"/>
          <w:bCs w:val="0"/>
          <w:color w:val="000000" w:themeColor="text1"/>
          <w:sz w:val="24"/>
          <w:szCs w:val="24"/>
          <w14:textFill>
            <w14:solidFill>
              <w14:schemeClr w14:val="tx1"/>
            </w14:solidFill>
          </w14:textFill>
        </w:rPr>
        <w:t>此方法适用于货物类、服务类、工程类项目。</w:t>
      </w:r>
    </w:p>
    <w:p w14:paraId="178EFADE">
      <w:pPr>
        <w:snapToGrid w:val="0"/>
        <w:spacing w:afterLines="0" w:line="360" w:lineRule="auto"/>
        <w:rPr>
          <w:rFonts w:hint="eastAsia" w:ascii="宋体" w:hAnsi="宋体"/>
          <w:b/>
          <w:color w:val="000000" w:themeColor="text1"/>
          <w:kern w:val="44"/>
          <w:sz w:val="24"/>
          <w14:textFill>
            <w14:solidFill>
              <w14:schemeClr w14:val="tx1"/>
            </w14:solidFill>
          </w14:textFill>
        </w:rPr>
      </w:pPr>
      <w:r>
        <w:rPr>
          <w:rStyle w:val="66"/>
          <w:rFonts w:hint="default" w:eastAsia="宋体"/>
          <w:bCs w:val="0"/>
          <w:color w:val="000000" w:themeColor="text1"/>
          <w:sz w:val="24"/>
          <w:szCs w:val="24"/>
          <w14:textFill>
            <w14:solidFill>
              <w14:schemeClr w14:val="tx1"/>
            </w14:solidFill>
          </w14:textFill>
        </w:rPr>
        <w:t>二、关于享受优惠政策的主体及价格扣除比例</w:t>
      </w:r>
    </w:p>
    <w:p w14:paraId="633AC660">
      <w:pPr>
        <w:spacing w:after="60"/>
        <w:ind w:firstLine="420" w:firstLineChars="200"/>
        <w:rPr>
          <w:szCs w:val="21"/>
        </w:rPr>
      </w:pPr>
      <w:r>
        <w:rPr>
          <w:rFonts w:hint="eastAsia"/>
          <w:szCs w:val="21"/>
        </w:rPr>
        <w:t>（一）小型企业、微型企业、监狱企业、残疾人福利性单位提供本企业制造的货物，承担的工程或服务，或者提供其他符合优惠主体资格条件企业制造的货物，对其所投产品的价格给予</w:t>
      </w:r>
      <w:r>
        <w:rPr>
          <w:szCs w:val="21"/>
          <w:u w:val="single"/>
        </w:rPr>
        <w:t>__</w:t>
      </w:r>
      <w:r>
        <w:rPr>
          <w:b/>
          <w:bCs/>
          <w:szCs w:val="21"/>
          <w:highlight w:val="yellow"/>
          <w:u w:val="single"/>
        </w:rPr>
        <w:t>10%</w:t>
      </w:r>
      <w:r>
        <w:rPr>
          <w:b/>
          <w:bCs/>
          <w:szCs w:val="21"/>
          <w:u w:val="single"/>
        </w:rPr>
        <w:t>__</w:t>
      </w:r>
      <w:r>
        <w:rPr>
          <w:szCs w:val="21"/>
        </w:rPr>
        <w:t>的扣除，用扣除后的价格参与评审，具体扣除比例由采购人或者招标机构确定。满足多项优惠政策的企业，不重复享受多项价格扣除政策。</w:t>
      </w:r>
    </w:p>
    <w:p w14:paraId="60D945C3">
      <w:pPr>
        <w:tabs>
          <w:tab w:val="left" w:pos="426"/>
        </w:tabs>
        <w:spacing w:after="60" w:line="320" w:lineRule="exact"/>
        <w:ind w:firstLine="420" w:firstLineChars="200"/>
        <w:rPr>
          <w:szCs w:val="21"/>
        </w:rPr>
      </w:pPr>
      <w:r>
        <w:rPr>
          <w:szCs w:val="21"/>
          <w:highlight w:val="yellow"/>
        </w:rPr>
        <w:t>（二）</w:t>
      </w:r>
      <w:r>
        <w:rPr>
          <w:szCs w:val="21"/>
        </w:rPr>
        <w:t>根据《工业和信息化部、国家统计局、国家发展和改革委员会、财政部关于印发中小企业划型标准规定的通知》（工信部联企业〔2011〕300 号），</w:t>
      </w:r>
      <w:bookmarkStart w:id="2" w:name="_Hlk71970739"/>
      <w:r>
        <w:rPr>
          <w:szCs w:val="21"/>
        </w:rPr>
        <w:t>本项目</w:t>
      </w:r>
      <w:bookmarkStart w:id="3" w:name="_Hlk71924718"/>
      <w:r>
        <w:rPr>
          <w:szCs w:val="21"/>
        </w:rPr>
        <w:t>采购标的（服务需求）对应的中小企业划分标准所属行业</w:t>
      </w:r>
      <w:bookmarkEnd w:id="3"/>
      <w:r>
        <w:rPr>
          <w:szCs w:val="21"/>
        </w:rPr>
        <w:t>为</w:t>
      </w:r>
      <w:r>
        <w:rPr>
          <w:b/>
          <w:color w:val="FF0000"/>
          <w:szCs w:val="21"/>
          <w:u w:val="single"/>
        </w:rPr>
        <w:t>其它未列明行业</w:t>
      </w:r>
      <w:r>
        <w:rPr>
          <w:szCs w:val="21"/>
        </w:rPr>
        <w:t>。</w:t>
      </w:r>
      <w:bookmarkEnd w:id="2"/>
    </w:p>
    <w:p w14:paraId="0A563178">
      <w:pPr>
        <w:spacing w:after="60"/>
        <w:ind w:firstLine="420" w:firstLineChars="200"/>
        <w:rPr>
          <w:szCs w:val="21"/>
        </w:rPr>
      </w:pPr>
      <w:r>
        <w:rPr>
          <w:rFonts w:hint="eastAsia"/>
          <w:szCs w:val="21"/>
        </w:rPr>
        <w:t>（三）优惠主体资格的认定资料为《中小企业声明函》《残疾人福利性单位声明函》《监狱企业声明函》以及《含有小型、微型企业的联合体声明函》等承诺性质的资料（声明函样式见“第五章</w:t>
      </w:r>
      <w:r>
        <w:rPr>
          <w:szCs w:val="21"/>
        </w:rPr>
        <w:t xml:space="preserve"> 投标文件格式、附件”“</w:t>
      </w:r>
      <w:r>
        <w:rPr>
          <w:rFonts w:hint="eastAsia"/>
          <w:szCs w:val="21"/>
        </w:rPr>
        <w:t>优惠政策声明函等证明文件</w:t>
      </w:r>
      <w:r>
        <w:rPr>
          <w:szCs w:val="21"/>
        </w:rPr>
        <w:t>”）；监狱企业或者代理提供监狱企业货物的供应商如须享受优惠政策，除上述资料外，还须提供省级以上监狱管理局、戒毒管理局出具的监狱企业证明文件。</w:t>
      </w:r>
    </w:p>
    <w:p w14:paraId="27B48417">
      <w:pPr>
        <w:spacing w:afterLines="0"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（四）享受价格扣除获得政府采购合同的，小微企业不得将合同分包给大中型企业。</w:t>
      </w:r>
    </w:p>
    <w:p w14:paraId="533C225F">
      <w:pPr>
        <w:snapToGrid w:val="0"/>
        <w:spacing w:afterLines="0" w:line="360" w:lineRule="auto"/>
        <w:rPr>
          <w:rFonts w:hint="eastAsia" w:ascii="宋体" w:hAnsi="宋体"/>
          <w:b/>
          <w:bCs/>
          <w:color w:val="000000" w:themeColor="text1"/>
          <w:kern w:val="44"/>
          <w:sz w:val="24"/>
          <w14:textFill>
            <w14:solidFill>
              <w14:schemeClr w14:val="tx1"/>
            </w14:solidFill>
          </w14:textFill>
        </w:rPr>
      </w:pPr>
      <w:r>
        <w:rPr>
          <w:rFonts w:ascii="宋体" w:hAnsi="宋体"/>
          <w:b/>
          <w:color w:val="000000" w:themeColor="text1"/>
          <w:kern w:val="44"/>
          <w:sz w:val="24"/>
          <w14:textFill>
            <w14:solidFill>
              <w14:schemeClr w14:val="tx1"/>
            </w14:solidFill>
          </w14:textFill>
        </w:rPr>
        <w:t>三、</w:t>
      </w:r>
      <w:r>
        <w:rPr>
          <w:rFonts w:ascii="宋体" w:hAnsi="宋体"/>
          <w:b/>
          <w:bCs/>
          <w:color w:val="000000" w:themeColor="text1"/>
          <w:kern w:val="44"/>
          <w:sz w:val="24"/>
          <w14:textFill>
            <w14:solidFill>
              <w14:schemeClr w14:val="tx1"/>
            </w14:solidFill>
          </w14:textFill>
        </w:rPr>
        <w:t>其他说明</w:t>
      </w:r>
    </w:p>
    <w:p w14:paraId="44FF834F">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根据《深圳市财政局深圳市政府采购中心关于印发</w:t>
      </w:r>
      <w:r>
        <w:rPr>
          <w:rFonts w:ascii="宋体" w:hAnsi="宋体"/>
          <w:color w:val="000000" w:themeColor="text1"/>
          <w:sz w:val="24"/>
          <w14:textFill>
            <w14:solidFill>
              <w14:schemeClr w14:val="tx1"/>
            </w14:solidFill>
          </w14:textFill>
        </w:rPr>
        <w:t>&lt;</w:t>
      </w:r>
      <w:r>
        <w:rPr>
          <w:rFonts w:hint="eastAsia" w:ascii="宋体" w:hAnsi="宋体"/>
          <w:color w:val="000000" w:themeColor="text1"/>
          <w:sz w:val="24"/>
          <w14:textFill>
            <w14:solidFill>
              <w14:schemeClr w14:val="tx1"/>
            </w14:solidFill>
          </w14:textFill>
        </w:rPr>
        <w:t>深圳市政府采购落实支持企业复工复产政策的实施细则</w:t>
      </w:r>
      <w:r>
        <w:rPr>
          <w:rFonts w:ascii="宋体" w:hAnsi="宋体"/>
          <w:color w:val="000000" w:themeColor="text1"/>
          <w:sz w:val="24"/>
          <w14:textFill>
            <w14:solidFill>
              <w14:schemeClr w14:val="tx1"/>
            </w14:solidFill>
          </w14:textFill>
        </w:rPr>
        <w:t>&gt;</w:t>
      </w:r>
      <w:r>
        <w:rPr>
          <w:rFonts w:hint="eastAsia" w:ascii="宋体" w:hAnsi="宋体"/>
          <w:color w:val="000000" w:themeColor="text1"/>
          <w:sz w:val="24"/>
          <w14:textFill>
            <w14:solidFill>
              <w14:schemeClr w14:val="tx1"/>
            </w14:solidFill>
          </w14:textFill>
        </w:rPr>
        <w:t>的通知》（深府购〔</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24</w:t>
      </w:r>
      <w:r>
        <w:rPr>
          <w:rFonts w:hint="eastAsia" w:ascii="宋体" w:hAnsi="宋体"/>
          <w:color w:val="000000" w:themeColor="text1"/>
          <w:sz w:val="24"/>
          <w14:textFill>
            <w14:solidFill>
              <w14:schemeClr w14:val="tx1"/>
            </w14:solidFill>
          </w14:textFill>
        </w:rPr>
        <w:t>号）的规定，鼓励采购人积极运用公共信用信息，明确对信用记录良好的投标人（特别是中小微企业）免收履约保证金，确需收取履约保证金的，列明通过保函等非现金方式收取；在采购合同中明确对上述企业加大首付款或预付款比例，具体由采购人根据项目实际情况确定。</w:t>
      </w:r>
    </w:p>
    <w:p w14:paraId="195D3DA7">
      <w:pPr>
        <w:spacing w:afterLines="0" w:line="360" w:lineRule="auto"/>
        <w:ind w:firstLine="480" w:firstLineChars="200"/>
        <w:rPr>
          <w:rStyle w:val="66"/>
          <w:rFonts w:hint="default" w:eastAsia="宋体"/>
          <w:b w:val="0"/>
          <w:bCs w:val="0"/>
          <w:color w:val="000000" w:themeColor="text1"/>
          <w:kern w:val="2"/>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采购人拟采购的产品属于《关于调整优化节能产品环境标志产品政府采购执行机制的通知》（财库〔</w:t>
      </w:r>
      <w:r>
        <w:rPr>
          <w:rFonts w:ascii="宋体" w:hAnsi="宋体"/>
          <w:color w:val="000000" w:themeColor="text1"/>
          <w:sz w:val="24"/>
          <w14:textFill>
            <w14:solidFill>
              <w14:schemeClr w14:val="tx1"/>
            </w14:solidFill>
          </w14:textFill>
        </w:rPr>
        <w:t>2019</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14:paraId="2912DBE1">
      <w:pPr>
        <w:widowControl/>
        <w:spacing w:afterLines="0" w:line="240" w:lineRule="auto"/>
        <w:jc w:val="left"/>
        <w:rPr>
          <w:rStyle w:val="66"/>
          <w:rFonts w:hint="default" w:eastAsia="宋体"/>
          <w:bCs w:val="0"/>
          <w:color w:val="000000" w:themeColor="text1"/>
          <w:sz w:val="24"/>
          <w:szCs w:val="24"/>
          <w14:textFill>
            <w14:solidFill>
              <w14:schemeClr w14:val="tx1"/>
            </w14:solidFill>
          </w14:textFill>
        </w:rPr>
      </w:pPr>
      <w:r>
        <w:rPr>
          <w:rStyle w:val="66"/>
          <w:rFonts w:hint="default" w:eastAsia="宋体"/>
          <w:bCs w:val="0"/>
          <w:color w:val="000000" w:themeColor="text1"/>
          <w:sz w:val="24"/>
          <w:szCs w:val="24"/>
          <w14:textFill>
            <w14:solidFill>
              <w14:schemeClr w14:val="tx1"/>
            </w14:solidFill>
          </w14:textFill>
        </w:rPr>
        <w:br w:type="page"/>
      </w:r>
    </w:p>
    <w:tbl>
      <w:tblPr>
        <w:tblStyle w:val="4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0"/>
        <w:gridCol w:w="680"/>
        <w:gridCol w:w="1924"/>
        <w:gridCol w:w="795"/>
        <w:gridCol w:w="4993"/>
      </w:tblGrid>
      <w:tr w14:paraId="24FC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shd w:val="clear" w:color="auto" w:fill="E6EFFA"/>
            <w:vAlign w:val="center"/>
          </w:tcPr>
          <w:p w14:paraId="27DE0212">
            <w:pPr>
              <w:spacing w:after="0" w:afterLines="0" w:line="400" w:lineRule="exact"/>
              <w:jc w:val="center"/>
              <w:rPr>
                <w:rFonts w:ascii="宋体" w:hAnsi="宋体" w:cs="宋体"/>
                <w:b/>
                <w:bCs/>
                <w:szCs w:val="21"/>
              </w:rPr>
            </w:pPr>
            <w:r>
              <w:rPr>
                <w:rFonts w:hint="eastAsia" w:ascii="宋体" w:hAnsi="宋体" w:cs="宋体"/>
                <w:b/>
                <w:bCs/>
                <w:szCs w:val="21"/>
              </w:rPr>
              <w:t>序号</w:t>
            </w:r>
          </w:p>
        </w:tc>
        <w:tc>
          <w:tcPr>
            <w:tcW w:w="3399" w:type="dxa"/>
            <w:gridSpan w:val="3"/>
            <w:shd w:val="clear" w:color="auto" w:fill="E6EFFA"/>
            <w:vAlign w:val="center"/>
          </w:tcPr>
          <w:p w14:paraId="5D77D427">
            <w:pPr>
              <w:spacing w:after="0" w:afterLines="0" w:line="400" w:lineRule="exact"/>
              <w:jc w:val="center"/>
              <w:rPr>
                <w:rFonts w:ascii="宋体" w:hAnsi="宋体" w:cs="宋体"/>
                <w:b/>
                <w:bCs/>
                <w:szCs w:val="21"/>
              </w:rPr>
            </w:pPr>
            <w:r>
              <w:rPr>
                <w:rFonts w:hint="eastAsia" w:ascii="宋体" w:hAnsi="宋体" w:cs="宋体"/>
                <w:b/>
                <w:bCs/>
                <w:szCs w:val="21"/>
              </w:rPr>
              <w:t>评分项</w:t>
            </w:r>
          </w:p>
        </w:tc>
        <w:tc>
          <w:tcPr>
            <w:tcW w:w="4993" w:type="dxa"/>
            <w:shd w:val="clear" w:color="auto" w:fill="E6EFFA"/>
            <w:vAlign w:val="center"/>
          </w:tcPr>
          <w:p w14:paraId="0E94E914">
            <w:pPr>
              <w:spacing w:after="0" w:afterLines="0" w:line="400" w:lineRule="exact"/>
              <w:jc w:val="center"/>
              <w:rPr>
                <w:rFonts w:ascii="宋体" w:hAnsi="宋体" w:cs="宋体"/>
                <w:b/>
                <w:bCs/>
                <w:szCs w:val="21"/>
              </w:rPr>
            </w:pPr>
            <w:r>
              <w:rPr>
                <w:rFonts w:hint="eastAsia" w:ascii="宋体" w:hAnsi="宋体" w:cs="宋体"/>
                <w:b/>
                <w:bCs/>
                <w:szCs w:val="21"/>
              </w:rPr>
              <w:t>权重(%)</w:t>
            </w:r>
          </w:p>
        </w:tc>
      </w:tr>
      <w:tr w14:paraId="49A6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Align w:val="center"/>
          </w:tcPr>
          <w:p w14:paraId="62A90E58">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1</w:t>
            </w:r>
          </w:p>
        </w:tc>
        <w:tc>
          <w:tcPr>
            <w:tcW w:w="3399" w:type="dxa"/>
            <w:gridSpan w:val="3"/>
            <w:vAlign w:val="center"/>
          </w:tcPr>
          <w:p w14:paraId="296A818B">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价格部分</w:t>
            </w:r>
          </w:p>
        </w:tc>
        <w:tc>
          <w:tcPr>
            <w:tcW w:w="4993" w:type="dxa"/>
            <w:vAlign w:val="center"/>
          </w:tcPr>
          <w:p w14:paraId="078C1BB7">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10</w:t>
            </w:r>
          </w:p>
        </w:tc>
      </w:tr>
      <w:tr w14:paraId="66B1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restart"/>
            <w:vAlign w:val="center"/>
          </w:tcPr>
          <w:p w14:paraId="78D6282E">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2</w:t>
            </w:r>
          </w:p>
        </w:tc>
        <w:tc>
          <w:tcPr>
            <w:tcW w:w="3399" w:type="dxa"/>
            <w:gridSpan w:val="3"/>
            <w:vAlign w:val="center"/>
          </w:tcPr>
          <w:p w14:paraId="7ECC52A6">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技术部分</w:t>
            </w:r>
          </w:p>
        </w:tc>
        <w:tc>
          <w:tcPr>
            <w:tcW w:w="4993" w:type="dxa"/>
            <w:vAlign w:val="center"/>
          </w:tcPr>
          <w:p w14:paraId="64C5AD6F">
            <w:pPr>
              <w:spacing w:after="0" w:afterLines="0" w:line="400" w:lineRule="exact"/>
              <w:jc w:val="center"/>
              <w:rPr>
                <w:rFonts w:hint="default" w:ascii="宋体" w:hAnsi="宋体" w:eastAsia="宋体" w:cs="宋体"/>
                <w:b/>
                <w:bCs/>
                <w:color w:val="0000FF"/>
                <w:szCs w:val="21"/>
                <w:lang w:val="en-US" w:eastAsia="zh-CN"/>
              </w:rPr>
            </w:pPr>
            <w:r>
              <w:rPr>
                <w:rFonts w:hint="eastAsia" w:ascii="宋体" w:hAnsi="宋体" w:cs="宋体"/>
                <w:b/>
                <w:bCs/>
                <w:color w:val="0000FF"/>
                <w:szCs w:val="21"/>
                <w:lang w:val="en-US" w:eastAsia="zh-CN"/>
              </w:rPr>
              <w:t>50</w:t>
            </w:r>
          </w:p>
        </w:tc>
      </w:tr>
      <w:tr w14:paraId="47DB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shd w:val="clear" w:color="auto" w:fill="E6EFFA"/>
            <w:vAlign w:val="center"/>
          </w:tcPr>
          <w:p w14:paraId="5B286BE9">
            <w:pPr>
              <w:spacing w:after="0" w:afterLines="0" w:line="400" w:lineRule="exact"/>
              <w:jc w:val="center"/>
              <w:rPr>
                <w:rFonts w:ascii="宋体" w:hAnsi="宋体" w:cs="宋体"/>
                <w:b/>
                <w:bCs/>
                <w:color w:val="0000FF"/>
                <w:szCs w:val="21"/>
              </w:rPr>
            </w:pPr>
          </w:p>
        </w:tc>
        <w:tc>
          <w:tcPr>
            <w:tcW w:w="680" w:type="dxa"/>
            <w:shd w:val="clear" w:color="auto" w:fill="E6EFFA"/>
            <w:vAlign w:val="center"/>
          </w:tcPr>
          <w:p w14:paraId="7FBA7CA3">
            <w:pPr>
              <w:spacing w:after="0" w:afterLines="0" w:line="400" w:lineRule="exact"/>
              <w:jc w:val="center"/>
              <w:rPr>
                <w:rFonts w:ascii="宋体" w:hAnsi="宋体" w:cs="宋体"/>
                <w:szCs w:val="21"/>
              </w:rPr>
            </w:pPr>
            <w:r>
              <w:rPr>
                <w:rFonts w:hint="eastAsia" w:ascii="宋体" w:hAnsi="宋体" w:cs="宋体"/>
                <w:szCs w:val="21"/>
              </w:rPr>
              <w:t>序号</w:t>
            </w:r>
          </w:p>
        </w:tc>
        <w:tc>
          <w:tcPr>
            <w:tcW w:w="1924" w:type="dxa"/>
            <w:shd w:val="clear" w:color="auto" w:fill="E6EFFA"/>
            <w:vAlign w:val="center"/>
          </w:tcPr>
          <w:p w14:paraId="73CBF0CC">
            <w:pPr>
              <w:spacing w:after="0" w:afterLines="0" w:line="400" w:lineRule="exact"/>
              <w:jc w:val="center"/>
              <w:rPr>
                <w:rFonts w:ascii="宋体" w:hAnsi="宋体" w:cs="宋体"/>
                <w:szCs w:val="21"/>
              </w:rPr>
            </w:pPr>
            <w:r>
              <w:rPr>
                <w:rFonts w:hint="eastAsia" w:ascii="宋体" w:hAnsi="宋体" w:cs="宋体"/>
                <w:szCs w:val="21"/>
              </w:rPr>
              <w:t>评分因素</w:t>
            </w:r>
          </w:p>
        </w:tc>
        <w:tc>
          <w:tcPr>
            <w:tcW w:w="795" w:type="dxa"/>
            <w:shd w:val="clear" w:color="auto" w:fill="E6EFFA"/>
            <w:vAlign w:val="center"/>
          </w:tcPr>
          <w:p w14:paraId="32FAADCE">
            <w:pPr>
              <w:spacing w:after="0" w:afterLines="0" w:line="400" w:lineRule="exact"/>
              <w:jc w:val="center"/>
              <w:rPr>
                <w:rFonts w:ascii="宋体" w:hAnsi="宋体" w:cs="宋体"/>
                <w:szCs w:val="21"/>
              </w:rPr>
            </w:pPr>
            <w:r>
              <w:rPr>
                <w:rFonts w:hint="eastAsia" w:ascii="宋体" w:hAnsi="宋体" w:cs="宋体"/>
                <w:szCs w:val="21"/>
              </w:rPr>
              <w:t>分值</w:t>
            </w:r>
          </w:p>
        </w:tc>
        <w:tc>
          <w:tcPr>
            <w:tcW w:w="4993" w:type="dxa"/>
            <w:shd w:val="clear" w:color="auto" w:fill="E6EFFA"/>
            <w:vAlign w:val="center"/>
          </w:tcPr>
          <w:p w14:paraId="031BA5B9">
            <w:pPr>
              <w:spacing w:after="0" w:afterLines="0" w:line="400" w:lineRule="exact"/>
              <w:jc w:val="center"/>
              <w:rPr>
                <w:rFonts w:ascii="宋体" w:hAnsi="宋体" w:cs="宋体"/>
                <w:szCs w:val="21"/>
              </w:rPr>
            </w:pPr>
            <w:r>
              <w:rPr>
                <w:rFonts w:hint="eastAsia" w:ascii="宋体" w:hAnsi="宋体" w:cs="宋体"/>
                <w:szCs w:val="21"/>
              </w:rPr>
              <w:t>评分准则</w:t>
            </w:r>
          </w:p>
        </w:tc>
      </w:tr>
      <w:tr w14:paraId="0E3F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38E9FDA4">
            <w:pPr>
              <w:spacing w:after="0" w:afterLines="0" w:line="400" w:lineRule="exact"/>
              <w:jc w:val="center"/>
              <w:rPr>
                <w:rFonts w:ascii="宋体" w:hAnsi="宋体" w:cs="宋体"/>
                <w:b/>
                <w:bCs/>
                <w:color w:val="0000FF"/>
                <w:szCs w:val="21"/>
              </w:rPr>
            </w:pPr>
          </w:p>
        </w:tc>
        <w:tc>
          <w:tcPr>
            <w:tcW w:w="680" w:type="dxa"/>
            <w:vAlign w:val="center"/>
          </w:tcPr>
          <w:p w14:paraId="5D899A4E">
            <w:pPr>
              <w:spacing w:after="0" w:afterLines="0" w:line="400" w:lineRule="exact"/>
              <w:jc w:val="center"/>
              <w:rPr>
                <w:rFonts w:ascii="宋体" w:hAnsi="宋体" w:cs="宋体"/>
                <w:szCs w:val="21"/>
              </w:rPr>
            </w:pPr>
            <w:r>
              <w:rPr>
                <w:rFonts w:hint="eastAsia" w:ascii="宋体" w:hAnsi="宋体" w:cs="宋体"/>
                <w:szCs w:val="21"/>
              </w:rPr>
              <w:t>1</w:t>
            </w:r>
          </w:p>
        </w:tc>
        <w:tc>
          <w:tcPr>
            <w:tcW w:w="1924" w:type="dxa"/>
            <w:vAlign w:val="center"/>
          </w:tcPr>
          <w:p w14:paraId="23F8B73A">
            <w:pPr>
              <w:spacing w:after="0" w:afterLines="0" w:line="400" w:lineRule="exact"/>
              <w:jc w:val="center"/>
              <w:rPr>
                <w:rFonts w:ascii="宋体" w:hAnsi="宋体" w:cs="宋体"/>
                <w:szCs w:val="21"/>
              </w:rPr>
            </w:pPr>
            <w:r>
              <w:rPr>
                <w:rFonts w:hint="eastAsia" w:ascii="宋体" w:hAnsi="宋体" w:cs="宋体"/>
                <w:szCs w:val="21"/>
              </w:rPr>
              <w:t>实施方案</w:t>
            </w:r>
          </w:p>
        </w:tc>
        <w:tc>
          <w:tcPr>
            <w:tcW w:w="795" w:type="dxa"/>
            <w:vAlign w:val="center"/>
          </w:tcPr>
          <w:p w14:paraId="350C9385">
            <w:pPr>
              <w:spacing w:after="0" w:afterLines="0"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993" w:type="dxa"/>
            <w:vAlign w:val="center"/>
          </w:tcPr>
          <w:p w14:paraId="70121DA3">
            <w:pPr>
              <w:spacing w:after="0" w:afterLines="0" w:line="400" w:lineRule="exact"/>
              <w:rPr>
                <w:rFonts w:ascii="宋体" w:hAnsi="宋体" w:cs="宋体"/>
                <w:b/>
                <w:bCs/>
                <w:szCs w:val="21"/>
              </w:rPr>
            </w:pPr>
            <w:r>
              <w:rPr>
                <w:rFonts w:hint="eastAsia" w:ascii="宋体" w:hAnsi="宋体" w:cs="宋体"/>
                <w:b/>
                <w:bCs/>
                <w:szCs w:val="21"/>
              </w:rPr>
              <w:t>（一）评审内容：</w:t>
            </w:r>
          </w:p>
          <w:p w14:paraId="2975511F">
            <w:pPr>
              <w:spacing w:after="60" w:line="400" w:lineRule="exact"/>
              <w:rPr>
                <w:rFonts w:ascii="宋体" w:hAnsi="宋体" w:cs="宋体"/>
                <w:szCs w:val="21"/>
              </w:rPr>
            </w:pPr>
            <w:r>
              <w:rPr>
                <w:rFonts w:hint="eastAsia" w:ascii="宋体" w:hAnsi="宋体" w:cs="宋体"/>
                <w:szCs w:val="21"/>
              </w:rPr>
              <w:t>考察投标人提供的项目实施方案，包含以下几项：</w:t>
            </w:r>
          </w:p>
          <w:p w14:paraId="05A6CBFE">
            <w:pPr>
              <w:spacing w:after="60" w:line="400" w:lineRule="exact"/>
              <w:rPr>
                <w:rFonts w:ascii="宋体" w:hAnsi="宋体" w:cs="宋体"/>
                <w:szCs w:val="21"/>
              </w:rPr>
            </w:pPr>
            <w:r>
              <w:rPr>
                <w:rFonts w:hint="eastAsia" w:ascii="宋体" w:hAnsi="宋体" w:cs="宋体"/>
                <w:szCs w:val="21"/>
              </w:rPr>
              <w:t>1.提供人员招聘和培训方案；</w:t>
            </w:r>
          </w:p>
          <w:p w14:paraId="29C6F400">
            <w:pPr>
              <w:spacing w:after="60" w:line="400" w:lineRule="exact"/>
              <w:rPr>
                <w:rFonts w:ascii="宋体" w:hAnsi="宋体" w:cs="宋体"/>
                <w:szCs w:val="21"/>
              </w:rPr>
            </w:pPr>
            <w:r>
              <w:rPr>
                <w:rFonts w:hint="eastAsia" w:ascii="宋体" w:hAnsi="宋体" w:cs="宋体"/>
                <w:szCs w:val="21"/>
              </w:rPr>
              <w:t>2.提供队伍日常管理制度方案；</w:t>
            </w:r>
          </w:p>
          <w:p w14:paraId="3237E756">
            <w:pPr>
              <w:spacing w:after="60" w:line="400" w:lineRule="exact"/>
              <w:rPr>
                <w:rFonts w:ascii="宋体" w:hAnsi="宋体" w:cs="宋体"/>
                <w:szCs w:val="21"/>
              </w:rPr>
            </w:pPr>
            <w:r>
              <w:rPr>
                <w:rFonts w:hint="eastAsia" w:ascii="宋体" w:hAnsi="宋体" w:cs="宋体"/>
                <w:szCs w:val="21"/>
              </w:rPr>
              <w:t>3.提供管理组织架构方案；</w:t>
            </w:r>
          </w:p>
          <w:p w14:paraId="0642CED1">
            <w:pPr>
              <w:spacing w:after="60" w:line="400" w:lineRule="exact"/>
              <w:rPr>
                <w:rFonts w:ascii="宋体" w:hAnsi="宋体" w:cs="宋体"/>
                <w:szCs w:val="21"/>
              </w:rPr>
            </w:pPr>
            <w:r>
              <w:rPr>
                <w:rFonts w:hint="eastAsia" w:ascii="宋体" w:hAnsi="宋体" w:cs="宋体"/>
                <w:szCs w:val="21"/>
              </w:rPr>
              <w:t>4.提供工作措施并运作良好方案；</w:t>
            </w:r>
          </w:p>
          <w:p w14:paraId="0F439D32">
            <w:pPr>
              <w:spacing w:after="60" w:line="400" w:lineRule="exact"/>
              <w:rPr>
                <w:rFonts w:ascii="宋体" w:hAnsi="宋体" w:cs="宋体"/>
                <w:szCs w:val="21"/>
              </w:rPr>
            </w:pPr>
            <w:r>
              <w:rPr>
                <w:rFonts w:hint="eastAsia" w:ascii="宋体" w:hAnsi="宋体" w:cs="宋体"/>
                <w:szCs w:val="21"/>
              </w:rPr>
              <w:t>5.提供与采购单位沟通联系制度方案。</w:t>
            </w:r>
          </w:p>
          <w:p w14:paraId="1C40AA27">
            <w:pPr>
              <w:spacing w:after="60" w:line="400" w:lineRule="exact"/>
              <w:rPr>
                <w:rFonts w:ascii="宋体" w:hAnsi="宋体" w:cs="宋体"/>
                <w:szCs w:val="21"/>
              </w:rPr>
            </w:pPr>
            <w:r>
              <w:rPr>
                <w:rFonts w:hint="eastAsia" w:ascii="宋体" w:hAnsi="宋体" w:cs="宋体"/>
                <w:szCs w:val="21"/>
              </w:rPr>
              <w:t>以上方案提供齐全得</w:t>
            </w:r>
            <w:r>
              <w:rPr>
                <w:rFonts w:hint="eastAsia" w:ascii="宋体" w:hAnsi="宋体" w:cs="宋体"/>
                <w:szCs w:val="21"/>
                <w:lang w:val="en-US" w:eastAsia="zh-CN"/>
              </w:rPr>
              <w:t>4</w:t>
            </w:r>
            <w:r>
              <w:rPr>
                <w:rFonts w:hint="eastAsia" w:ascii="宋体" w:hAnsi="宋体" w:cs="宋体"/>
                <w:szCs w:val="21"/>
              </w:rPr>
              <w:t>分，每缺少一项扣</w:t>
            </w:r>
            <w:r>
              <w:rPr>
                <w:rFonts w:hint="eastAsia" w:ascii="宋体" w:hAnsi="宋体" w:cs="宋体"/>
                <w:szCs w:val="21"/>
                <w:lang w:val="en-US" w:eastAsia="zh-CN"/>
              </w:rPr>
              <w:t>1</w:t>
            </w:r>
            <w:r>
              <w:rPr>
                <w:rFonts w:hint="eastAsia" w:ascii="宋体" w:hAnsi="宋体" w:cs="宋体"/>
                <w:szCs w:val="21"/>
              </w:rPr>
              <w:t>分，</w:t>
            </w:r>
            <w:bookmarkStart w:id="43" w:name="_GoBack"/>
            <w:bookmarkEnd w:id="43"/>
            <w:r>
              <w:rPr>
                <w:rFonts w:hint="eastAsia" w:ascii="宋体" w:hAnsi="宋体" w:cs="宋体"/>
                <w:szCs w:val="21"/>
              </w:rPr>
              <w:t>扣完为止，未提供相应的方案不得分。</w:t>
            </w:r>
          </w:p>
          <w:p w14:paraId="52C440B2">
            <w:pPr>
              <w:spacing w:after="0" w:afterLines="0" w:line="400" w:lineRule="exact"/>
              <w:rPr>
                <w:rFonts w:ascii="宋体" w:hAnsi="宋体" w:cs="宋体"/>
                <w:b/>
                <w:bCs/>
                <w:szCs w:val="21"/>
              </w:rPr>
            </w:pPr>
            <w:r>
              <w:rPr>
                <w:rFonts w:hint="eastAsia" w:ascii="宋体" w:hAnsi="宋体" w:cs="宋体"/>
                <w:b/>
                <w:bCs/>
                <w:szCs w:val="21"/>
              </w:rPr>
              <w:t>（二）评审标准：</w:t>
            </w:r>
          </w:p>
          <w:p w14:paraId="238D24F2">
            <w:pPr>
              <w:spacing w:after="60" w:line="400" w:lineRule="exact"/>
              <w:rPr>
                <w:rFonts w:ascii="宋体" w:hAnsi="宋体" w:cs="宋体"/>
                <w:szCs w:val="21"/>
              </w:rPr>
            </w:pPr>
            <w:r>
              <w:rPr>
                <w:rFonts w:hint="eastAsia" w:ascii="宋体" w:hAnsi="宋体" w:cs="宋体"/>
                <w:szCs w:val="21"/>
              </w:rPr>
              <w:t>在此基础上，专家根据实施方案的具体响应内容进一步评审，评审标准如下：</w:t>
            </w:r>
          </w:p>
          <w:p w14:paraId="288DB8FB">
            <w:pPr>
              <w:spacing w:after="60" w:line="400" w:lineRule="exact"/>
              <w:rPr>
                <w:rFonts w:ascii="宋体" w:hAnsi="宋体" w:cs="宋体"/>
                <w:szCs w:val="21"/>
              </w:rPr>
            </w:pPr>
            <w:r>
              <w:rPr>
                <w:rFonts w:hint="eastAsia" w:ascii="宋体" w:hAnsi="宋体" w:cs="宋体"/>
                <w:szCs w:val="21"/>
              </w:rPr>
              <w:t>（1）实施方案响应内容全面；</w:t>
            </w:r>
          </w:p>
          <w:p w14:paraId="71665878">
            <w:pPr>
              <w:spacing w:after="60" w:line="400" w:lineRule="exact"/>
              <w:rPr>
                <w:rFonts w:ascii="宋体" w:hAnsi="宋体" w:cs="宋体"/>
                <w:szCs w:val="21"/>
              </w:rPr>
            </w:pPr>
            <w:r>
              <w:rPr>
                <w:rFonts w:hint="eastAsia" w:ascii="宋体" w:hAnsi="宋体" w:cs="宋体"/>
                <w:szCs w:val="21"/>
              </w:rPr>
              <w:t>（2）实施方案响应内容具体；</w:t>
            </w:r>
          </w:p>
          <w:p w14:paraId="6236A32A">
            <w:pPr>
              <w:spacing w:after="60" w:line="400" w:lineRule="exact"/>
              <w:rPr>
                <w:rFonts w:ascii="宋体" w:hAnsi="宋体" w:cs="宋体"/>
                <w:szCs w:val="21"/>
              </w:rPr>
            </w:pPr>
            <w:r>
              <w:rPr>
                <w:rFonts w:hint="eastAsia" w:ascii="宋体" w:hAnsi="宋体" w:cs="宋体"/>
                <w:szCs w:val="21"/>
              </w:rPr>
              <w:t>（3）实施方案响应内容针对性强；</w:t>
            </w:r>
          </w:p>
          <w:p w14:paraId="5781F49D">
            <w:pPr>
              <w:spacing w:after="60" w:line="400" w:lineRule="exact"/>
              <w:rPr>
                <w:rFonts w:ascii="宋体" w:hAnsi="宋体" w:cs="宋体"/>
                <w:szCs w:val="21"/>
              </w:rPr>
            </w:pPr>
            <w:r>
              <w:rPr>
                <w:rFonts w:hint="eastAsia" w:ascii="宋体" w:hAnsi="宋体" w:cs="宋体"/>
                <w:szCs w:val="21"/>
              </w:rPr>
              <w:t>（4）实施方案响应内容科学合理；</w:t>
            </w:r>
          </w:p>
          <w:p w14:paraId="0EA7C3F0">
            <w:pPr>
              <w:spacing w:after="60" w:line="400" w:lineRule="exact"/>
              <w:rPr>
                <w:rFonts w:ascii="宋体" w:hAnsi="宋体" w:cs="宋体"/>
                <w:szCs w:val="21"/>
              </w:rPr>
            </w:pPr>
            <w:r>
              <w:rPr>
                <w:rFonts w:hint="eastAsia" w:ascii="宋体" w:hAnsi="宋体" w:cs="宋体"/>
                <w:szCs w:val="21"/>
              </w:rPr>
              <w:t>（5）实施方案响应内容可操作性强。</w:t>
            </w:r>
          </w:p>
          <w:p w14:paraId="3AC95A5E">
            <w:pPr>
              <w:spacing w:after="60" w:line="400" w:lineRule="exact"/>
              <w:rPr>
                <w:rFonts w:ascii="宋体" w:hAnsi="宋体" w:cs="宋体"/>
                <w:szCs w:val="21"/>
              </w:rPr>
            </w:pPr>
            <w:r>
              <w:rPr>
                <w:rFonts w:hint="eastAsia" w:ascii="宋体" w:hAnsi="宋体" w:cs="宋体"/>
                <w:szCs w:val="21"/>
              </w:rPr>
              <w:t>满足以上五项要求的评价为优，加</w:t>
            </w:r>
            <w:r>
              <w:rPr>
                <w:rFonts w:hint="eastAsia" w:ascii="宋体" w:hAnsi="宋体" w:cs="宋体"/>
                <w:szCs w:val="21"/>
                <w:lang w:val="en-US" w:eastAsia="zh-CN"/>
              </w:rPr>
              <w:t>6</w:t>
            </w:r>
            <w:r>
              <w:rPr>
                <w:rFonts w:hint="eastAsia" w:ascii="宋体" w:hAnsi="宋体" w:cs="宋体"/>
                <w:szCs w:val="21"/>
              </w:rPr>
              <w:t>分；</w:t>
            </w:r>
          </w:p>
          <w:p w14:paraId="29992D0D">
            <w:pPr>
              <w:spacing w:after="60" w:line="400" w:lineRule="exact"/>
              <w:rPr>
                <w:rFonts w:ascii="宋体" w:hAnsi="宋体" w:cs="宋体"/>
                <w:szCs w:val="21"/>
              </w:rPr>
            </w:pPr>
            <w:r>
              <w:rPr>
                <w:rFonts w:hint="eastAsia" w:ascii="宋体" w:hAnsi="宋体" w:cs="宋体"/>
                <w:szCs w:val="21"/>
              </w:rPr>
              <w:t>满足以上四项要求的评价为良，加</w:t>
            </w:r>
            <w:r>
              <w:rPr>
                <w:rFonts w:hint="eastAsia" w:ascii="宋体" w:hAnsi="宋体" w:cs="宋体"/>
                <w:szCs w:val="21"/>
                <w:lang w:val="en-US" w:eastAsia="zh-CN"/>
              </w:rPr>
              <w:t>3</w:t>
            </w:r>
            <w:r>
              <w:rPr>
                <w:rFonts w:hint="eastAsia" w:ascii="宋体" w:hAnsi="宋体" w:cs="宋体"/>
                <w:szCs w:val="21"/>
              </w:rPr>
              <w:t>分；</w:t>
            </w:r>
          </w:p>
          <w:p w14:paraId="4DBF60CB">
            <w:pPr>
              <w:spacing w:after="60" w:line="400" w:lineRule="exact"/>
              <w:rPr>
                <w:rFonts w:ascii="宋体" w:hAnsi="宋体" w:cs="宋体"/>
                <w:szCs w:val="21"/>
              </w:rPr>
            </w:pPr>
            <w:r>
              <w:rPr>
                <w:rFonts w:hint="eastAsia" w:ascii="宋体" w:hAnsi="宋体" w:cs="宋体"/>
                <w:szCs w:val="21"/>
              </w:rPr>
              <w:t>满足以上三项要求的评价为中，加</w:t>
            </w:r>
            <w:r>
              <w:rPr>
                <w:rFonts w:hint="eastAsia" w:ascii="宋体" w:hAnsi="宋体" w:cs="宋体"/>
                <w:szCs w:val="21"/>
                <w:lang w:val="en-US" w:eastAsia="zh-CN"/>
              </w:rPr>
              <w:t>1</w:t>
            </w:r>
            <w:r>
              <w:rPr>
                <w:rFonts w:hint="eastAsia" w:ascii="宋体" w:hAnsi="宋体" w:cs="宋体"/>
                <w:szCs w:val="21"/>
              </w:rPr>
              <w:t>分；</w:t>
            </w:r>
          </w:p>
          <w:p w14:paraId="46EE684C">
            <w:pPr>
              <w:spacing w:after="0" w:afterLines="0" w:line="400" w:lineRule="exact"/>
              <w:rPr>
                <w:rFonts w:ascii="宋体" w:hAnsi="宋体" w:cs="宋体"/>
                <w:szCs w:val="21"/>
              </w:rPr>
            </w:pPr>
            <w:r>
              <w:rPr>
                <w:rFonts w:hint="eastAsia" w:ascii="宋体" w:hAnsi="宋体" w:cs="宋体"/>
                <w:szCs w:val="21"/>
              </w:rPr>
              <w:t>其它情况的评价为差，不加分。</w:t>
            </w:r>
          </w:p>
        </w:tc>
      </w:tr>
      <w:tr w14:paraId="7060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7F3326E5">
            <w:pPr>
              <w:spacing w:after="0" w:afterLines="0" w:line="400" w:lineRule="exact"/>
              <w:jc w:val="center"/>
              <w:rPr>
                <w:rFonts w:ascii="宋体" w:hAnsi="宋体" w:cs="宋体"/>
                <w:b/>
                <w:bCs/>
                <w:color w:val="0000FF"/>
                <w:szCs w:val="21"/>
              </w:rPr>
            </w:pPr>
          </w:p>
        </w:tc>
        <w:tc>
          <w:tcPr>
            <w:tcW w:w="680" w:type="dxa"/>
            <w:vAlign w:val="center"/>
          </w:tcPr>
          <w:p w14:paraId="7AEF843D">
            <w:pPr>
              <w:spacing w:after="0" w:afterLines="0" w:line="400" w:lineRule="exact"/>
              <w:jc w:val="center"/>
              <w:rPr>
                <w:rFonts w:ascii="宋体" w:hAnsi="宋体" w:cs="宋体"/>
                <w:szCs w:val="21"/>
              </w:rPr>
            </w:pPr>
            <w:r>
              <w:rPr>
                <w:rFonts w:hint="eastAsia" w:ascii="宋体" w:hAnsi="宋体" w:cs="宋体"/>
                <w:szCs w:val="21"/>
              </w:rPr>
              <w:t>2</w:t>
            </w:r>
          </w:p>
        </w:tc>
        <w:tc>
          <w:tcPr>
            <w:tcW w:w="1924" w:type="dxa"/>
            <w:vAlign w:val="center"/>
          </w:tcPr>
          <w:p w14:paraId="08201E7F">
            <w:pPr>
              <w:spacing w:after="0" w:afterLines="0" w:line="400" w:lineRule="exact"/>
              <w:jc w:val="center"/>
              <w:rPr>
                <w:rFonts w:ascii="宋体" w:hAnsi="宋体" w:cs="宋体"/>
                <w:szCs w:val="21"/>
              </w:rPr>
            </w:pPr>
            <w:r>
              <w:rPr>
                <w:rFonts w:hint="eastAsia" w:ascii="宋体" w:hAnsi="宋体" w:cs="宋体"/>
                <w:szCs w:val="21"/>
              </w:rPr>
              <w:t>制度管理措施</w:t>
            </w:r>
          </w:p>
        </w:tc>
        <w:tc>
          <w:tcPr>
            <w:tcW w:w="795" w:type="dxa"/>
            <w:vAlign w:val="center"/>
          </w:tcPr>
          <w:p w14:paraId="5C5A3B2F">
            <w:pPr>
              <w:spacing w:after="0" w:afterLines="0"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993" w:type="dxa"/>
            <w:vAlign w:val="center"/>
          </w:tcPr>
          <w:p w14:paraId="5E1CB026">
            <w:pPr>
              <w:spacing w:after="60" w:line="400" w:lineRule="exact"/>
              <w:rPr>
                <w:rFonts w:ascii="宋体" w:hAnsi="宋体" w:cs="宋体"/>
                <w:b/>
                <w:bCs/>
                <w:szCs w:val="21"/>
              </w:rPr>
            </w:pPr>
            <w:r>
              <w:rPr>
                <w:rFonts w:hint="eastAsia" w:ascii="宋体" w:hAnsi="宋体" w:cs="宋体"/>
                <w:b/>
                <w:bCs/>
                <w:szCs w:val="21"/>
              </w:rPr>
              <w:t>（一）评审内容：</w:t>
            </w:r>
          </w:p>
          <w:p w14:paraId="68DEFC94">
            <w:pPr>
              <w:spacing w:after="60" w:line="400" w:lineRule="exact"/>
              <w:rPr>
                <w:rFonts w:ascii="宋体" w:hAnsi="宋体" w:cs="宋体"/>
                <w:szCs w:val="21"/>
              </w:rPr>
            </w:pPr>
            <w:r>
              <w:rPr>
                <w:rFonts w:hint="eastAsia" w:ascii="宋体" w:hAnsi="宋体" w:cs="宋体"/>
                <w:szCs w:val="21"/>
              </w:rPr>
              <w:t xml:space="preserve">考察投标人提供的制度管理措施，包含以下几项： </w:t>
            </w:r>
          </w:p>
          <w:p w14:paraId="2F9CC17E">
            <w:pPr>
              <w:spacing w:after="60" w:line="400" w:lineRule="exact"/>
              <w:rPr>
                <w:rFonts w:ascii="宋体" w:hAnsi="宋体" w:cs="宋体"/>
                <w:szCs w:val="21"/>
              </w:rPr>
            </w:pPr>
            <w:r>
              <w:rPr>
                <w:rFonts w:hint="eastAsia" w:ascii="宋体" w:hAnsi="宋体" w:cs="宋体"/>
                <w:szCs w:val="21"/>
              </w:rPr>
              <w:t xml:space="preserve">1、岗位责任制度； </w:t>
            </w:r>
          </w:p>
          <w:p w14:paraId="3348874C">
            <w:pPr>
              <w:spacing w:after="60" w:line="400" w:lineRule="exact"/>
              <w:rPr>
                <w:rFonts w:ascii="宋体" w:hAnsi="宋体" w:cs="宋体"/>
                <w:szCs w:val="21"/>
              </w:rPr>
            </w:pPr>
            <w:r>
              <w:rPr>
                <w:rFonts w:hint="eastAsia" w:ascii="宋体" w:hAnsi="宋体" w:cs="宋体"/>
                <w:szCs w:val="21"/>
              </w:rPr>
              <w:t xml:space="preserve">2、廉政管理制度； </w:t>
            </w:r>
          </w:p>
          <w:p w14:paraId="3F3D8CF2">
            <w:pPr>
              <w:spacing w:after="60" w:line="400" w:lineRule="exact"/>
              <w:rPr>
                <w:rFonts w:ascii="宋体" w:hAnsi="宋体" w:cs="宋体"/>
                <w:szCs w:val="21"/>
              </w:rPr>
            </w:pPr>
            <w:r>
              <w:rPr>
                <w:rFonts w:hint="eastAsia" w:ascii="宋体" w:hAnsi="宋体" w:cs="宋体"/>
                <w:szCs w:val="21"/>
              </w:rPr>
              <w:t xml:space="preserve">3、考勤制度； </w:t>
            </w:r>
          </w:p>
          <w:p w14:paraId="0328DBDA">
            <w:pPr>
              <w:spacing w:after="60" w:line="400" w:lineRule="exact"/>
              <w:rPr>
                <w:rFonts w:ascii="宋体" w:hAnsi="宋体" w:cs="宋体"/>
                <w:szCs w:val="21"/>
              </w:rPr>
            </w:pPr>
            <w:r>
              <w:rPr>
                <w:rFonts w:hint="eastAsia" w:ascii="宋体" w:hAnsi="宋体" w:cs="宋体"/>
                <w:szCs w:val="21"/>
              </w:rPr>
              <w:t>4、物资管理制度。</w:t>
            </w:r>
          </w:p>
          <w:p w14:paraId="598DAE78">
            <w:pPr>
              <w:spacing w:after="60" w:line="400" w:lineRule="exact"/>
              <w:rPr>
                <w:rFonts w:ascii="宋体" w:hAnsi="宋体" w:cs="宋体"/>
                <w:szCs w:val="21"/>
              </w:rPr>
            </w:pPr>
            <w:r>
              <w:rPr>
                <w:rFonts w:hint="eastAsia" w:ascii="宋体" w:hAnsi="宋体" w:cs="宋体"/>
                <w:szCs w:val="21"/>
              </w:rPr>
              <w:t>以上制度提供齐全得</w:t>
            </w:r>
            <w:r>
              <w:rPr>
                <w:rFonts w:hint="eastAsia" w:ascii="宋体" w:hAnsi="宋体" w:cs="宋体"/>
                <w:szCs w:val="21"/>
                <w:lang w:val="en-US" w:eastAsia="zh-CN"/>
              </w:rPr>
              <w:t>4</w:t>
            </w:r>
            <w:r>
              <w:rPr>
                <w:rFonts w:hint="eastAsia" w:ascii="宋体" w:hAnsi="宋体" w:cs="宋体"/>
                <w:szCs w:val="21"/>
              </w:rPr>
              <w:t>分，每缺少一项扣</w:t>
            </w:r>
            <w:r>
              <w:rPr>
                <w:rFonts w:hint="eastAsia" w:ascii="宋体" w:hAnsi="宋体" w:cs="宋体"/>
                <w:szCs w:val="21"/>
                <w:lang w:val="en-US" w:eastAsia="zh-CN"/>
              </w:rPr>
              <w:t>1</w:t>
            </w:r>
            <w:r>
              <w:rPr>
                <w:rFonts w:hint="eastAsia" w:ascii="宋体" w:hAnsi="宋体" w:cs="宋体"/>
                <w:szCs w:val="21"/>
              </w:rPr>
              <w:t>分，扣完为止，未提供相应的制度不得分。</w:t>
            </w:r>
          </w:p>
          <w:p w14:paraId="457032C7">
            <w:pPr>
              <w:spacing w:after="60" w:line="400" w:lineRule="exact"/>
              <w:rPr>
                <w:rFonts w:ascii="宋体" w:hAnsi="宋体" w:cs="宋体"/>
                <w:b/>
                <w:bCs/>
                <w:szCs w:val="21"/>
              </w:rPr>
            </w:pPr>
            <w:r>
              <w:rPr>
                <w:rFonts w:hint="eastAsia" w:ascii="宋体" w:hAnsi="宋体" w:cs="宋体"/>
                <w:b/>
                <w:bCs/>
                <w:szCs w:val="21"/>
              </w:rPr>
              <w:t>（二）评审标准：</w:t>
            </w:r>
          </w:p>
          <w:p w14:paraId="67FD9261">
            <w:pPr>
              <w:spacing w:after="60" w:line="400" w:lineRule="exact"/>
              <w:rPr>
                <w:rFonts w:ascii="宋体" w:hAnsi="宋体" w:cs="宋体"/>
                <w:szCs w:val="21"/>
              </w:rPr>
            </w:pPr>
            <w:r>
              <w:rPr>
                <w:rFonts w:hint="eastAsia" w:ascii="宋体" w:hAnsi="宋体" w:cs="宋体"/>
                <w:szCs w:val="21"/>
              </w:rPr>
              <w:t>在此基础上，专家根据制度管理措施的具体响应内容进一步评审，评审标准如下：</w:t>
            </w:r>
          </w:p>
          <w:p w14:paraId="23ED2A7B">
            <w:pPr>
              <w:spacing w:after="60" w:line="400" w:lineRule="exact"/>
              <w:rPr>
                <w:rFonts w:ascii="宋体" w:hAnsi="宋体" w:cs="宋体"/>
                <w:szCs w:val="21"/>
              </w:rPr>
            </w:pPr>
            <w:r>
              <w:rPr>
                <w:rFonts w:hint="eastAsia" w:ascii="宋体" w:hAnsi="宋体" w:cs="宋体"/>
                <w:szCs w:val="21"/>
              </w:rPr>
              <w:t>（1）制度管理措施响应内容全面；</w:t>
            </w:r>
          </w:p>
          <w:p w14:paraId="4EEB660A">
            <w:pPr>
              <w:spacing w:after="60" w:line="400" w:lineRule="exact"/>
              <w:rPr>
                <w:rFonts w:ascii="宋体" w:hAnsi="宋体" w:cs="宋体"/>
                <w:szCs w:val="21"/>
              </w:rPr>
            </w:pPr>
            <w:r>
              <w:rPr>
                <w:rFonts w:hint="eastAsia" w:ascii="宋体" w:hAnsi="宋体" w:cs="宋体"/>
                <w:szCs w:val="21"/>
              </w:rPr>
              <w:t>（2）制度管理措施响应内容具体；</w:t>
            </w:r>
          </w:p>
          <w:p w14:paraId="00382290">
            <w:pPr>
              <w:spacing w:after="60" w:line="400" w:lineRule="exact"/>
              <w:rPr>
                <w:rFonts w:hint="eastAsia" w:ascii="宋体" w:hAnsi="宋体" w:cs="宋体"/>
                <w:szCs w:val="21"/>
              </w:rPr>
            </w:pPr>
            <w:r>
              <w:rPr>
                <w:rFonts w:hint="eastAsia" w:ascii="宋体" w:hAnsi="宋体" w:cs="宋体"/>
                <w:szCs w:val="21"/>
              </w:rPr>
              <w:t>（3）制度管理措施响应内容针对性强；</w:t>
            </w:r>
          </w:p>
          <w:p w14:paraId="14A7169E">
            <w:pPr>
              <w:spacing w:after="60" w:line="400" w:lineRule="exact"/>
              <w:rPr>
                <w:rFonts w:ascii="宋体" w:hAnsi="宋体" w:cs="宋体"/>
                <w:szCs w:val="21"/>
              </w:rPr>
            </w:pPr>
            <w:r>
              <w:rPr>
                <w:rFonts w:hint="eastAsia" w:ascii="宋体" w:hAnsi="宋体" w:cs="宋体"/>
                <w:szCs w:val="21"/>
              </w:rPr>
              <w:t xml:space="preserve"> （4）制度管理措施响应内容科学合理；</w:t>
            </w:r>
          </w:p>
          <w:p w14:paraId="48890593">
            <w:pPr>
              <w:spacing w:after="60" w:line="400" w:lineRule="exact"/>
              <w:rPr>
                <w:rFonts w:ascii="宋体" w:hAnsi="宋体" w:cs="宋体"/>
                <w:szCs w:val="21"/>
              </w:rPr>
            </w:pPr>
            <w:r>
              <w:rPr>
                <w:rFonts w:hint="eastAsia" w:ascii="宋体" w:hAnsi="宋体" w:cs="宋体"/>
                <w:szCs w:val="21"/>
              </w:rPr>
              <w:t>（5）制度管理措施响应内容可操作性强。</w:t>
            </w:r>
          </w:p>
          <w:p w14:paraId="7FFCEBA1">
            <w:pPr>
              <w:spacing w:after="60" w:line="400" w:lineRule="exact"/>
              <w:rPr>
                <w:rFonts w:ascii="宋体" w:hAnsi="宋体" w:cs="宋体"/>
                <w:szCs w:val="21"/>
              </w:rPr>
            </w:pPr>
            <w:r>
              <w:rPr>
                <w:rFonts w:hint="eastAsia" w:ascii="宋体" w:hAnsi="宋体" w:cs="宋体"/>
                <w:szCs w:val="21"/>
              </w:rPr>
              <w:t>满足以上五项要求的评价为优，加</w:t>
            </w:r>
            <w:r>
              <w:rPr>
                <w:rFonts w:hint="eastAsia" w:ascii="宋体" w:hAnsi="宋体" w:cs="宋体"/>
                <w:szCs w:val="21"/>
                <w:lang w:val="en-US" w:eastAsia="zh-CN"/>
              </w:rPr>
              <w:t>6</w:t>
            </w:r>
            <w:r>
              <w:rPr>
                <w:rFonts w:hint="eastAsia" w:ascii="宋体" w:hAnsi="宋体" w:cs="宋体"/>
                <w:szCs w:val="21"/>
              </w:rPr>
              <w:t>分；</w:t>
            </w:r>
          </w:p>
          <w:p w14:paraId="4F6A08C0">
            <w:pPr>
              <w:spacing w:after="60" w:line="400" w:lineRule="exact"/>
              <w:rPr>
                <w:rFonts w:ascii="宋体" w:hAnsi="宋体" w:cs="宋体"/>
                <w:szCs w:val="21"/>
              </w:rPr>
            </w:pPr>
            <w:r>
              <w:rPr>
                <w:rFonts w:hint="eastAsia" w:ascii="宋体" w:hAnsi="宋体" w:cs="宋体"/>
                <w:szCs w:val="21"/>
              </w:rPr>
              <w:t>满足以上四项要求的评价为良，加</w:t>
            </w:r>
            <w:r>
              <w:rPr>
                <w:rFonts w:hint="eastAsia" w:ascii="宋体" w:hAnsi="宋体" w:cs="宋体"/>
                <w:szCs w:val="21"/>
                <w:lang w:val="en-US" w:eastAsia="zh-CN"/>
              </w:rPr>
              <w:t>3</w:t>
            </w:r>
            <w:r>
              <w:rPr>
                <w:rFonts w:hint="eastAsia" w:ascii="宋体" w:hAnsi="宋体" w:cs="宋体"/>
                <w:szCs w:val="21"/>
              </w:rPr>
              <w:t>分；</w:t>
            </w:r>
          </w:p>
          <w:p w14:paraId="06F398C1">
            <w:pPr>
              <w:spacing w:after="60" w:line="400" w:lineRule="exact"/>
              <w:rPr>
                <w:rFonts w:ascii="宋体" w:hAnsi="宋体" w:cs="宋体"/>
                <w:szCs w:val="21"/>
              </w:rPr>
            </w:pPr>
            <w:r>
              <w:rPr>
                <w:rFonts w:hint="eastAsia" w:ascii="宋体" w:hAnsi="宋体" w:cs="宋体"/>
                <w:szCs w:val="21"/>
              </w:rPr>
              <w:t>满足以上三项要求的评价为中，加</w:t>
            </w:r>
            <w:r>
              <w:rPr>
                <w:rFonts w:hint="eastAsia" w:ascii="宋体" w:hAnsi="宋体" w:cs="宋体"/>
                <w:szCs w:val="21"/>
                <w:lang w:val="en-US" w:eastAsia="zh-CN"/>
              </w:rPr>
              <w:t>1</w:t>
            </w:r>
            <w:r>
              <w:rPr>
                <w:rFonts w:hint="eastAsia" w:ascii="宋体" w:hAnsi="宋体" w:cs="宋体"/>
                <w:szCs w:val="21"/>
              </w:rPr>
              <w:t>分；</w:t>
            </w:r>
          </w:p>
          <w:p w14:paraId="7429AB3C">
            <w:pPr>
              <w:spacing w:after="0" w:afterLines="0" w:line="400" w:lineRule="exact"/>
              <w:rPr>
                <w:rFonts w:ascii="宋体" w:hAnsi="宋体" w:cs="宋体"/>
                <w:szCs w:val="21"/>
              </w:rPr>
            </w:pPr>
            <w:r>
              <w:rPr>
                <w:rFonts w:hint="eastAsia" w:ascii="宋体" w:hAnsi="宋体" w:cs="宋体"/>
                <w:szCs w:val="21"/>
              </w:rPr>
              <w:t>其它情况的评价为差，不加分。</w:t>
            </w:r>
          </w:p>
        </w:tc>
      </w:tr>
      <w:tr w14:paraId="2B35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2510F2A2">
            <w:pPr>
              <w:spacing w:after="0" w:afterLines="0" w:line="400" w:lineRule="exact"/>
              <w:jc w:val="center"/>
              <w:rPr>
                <w:rFonts w:ascii="宋体" w:hAnsi="宋体" w:cs="宋体"/>
                <w:b/>
                <w:bCs/>
                <w:color w:val="0000FF"/>
                <w:szCs w:val="21"/>
              </w:rPr>
            </w:pPr>
          </w:p>
        </w:tc>
        <w:tc>
          <w:tcPr>
            <w:tcW w:w="680" w:type="dxa"/>
            <w:vAlign w:val="center"/>
          </w:tcPr>
          <w:p w14:paraId="70ACF842">
            <w:pPr>
              <w:spacing w:after="0" w:afterLines="0" w:line="400" w:lineRule="exact"/>
              <w:jc w:val="center"/>
              <w:rPr>
                <w:rFonts w:ascii="宋体" w:hAnsi="宋体" w:cs="宋体"/>
                <w:szCs w:val="21"/>
              </w:rPr>
            </w:pPr>
            <w:r>
              <w:rPr>
                <w:rFonts w:hint="eastAsia" w:ascii="宋体" w:hAnsi="宋体" w:cs="宋体"/>
                <w:szCs w:val="21"/>
              </w:rPr>
              <w:t>3</w:t>
            </w:r>
          </w:p>
        </w:tc>
        <w:tc>
          <w:tcPr>
            <w:tcW w:w="1924" w:type="dxa"/>
            <w:vAlign w:val="center"/>
          </w:tcPr>
          <w:p w14:paraId="62596AF7">
            <w:pPr>
              <w:spacing w:after="0" w:afterLines="0" w:line="400" w:lineRule="exact"/>
              <w:jc w:val="center"/>
              <w:rPr>
                <w:rFonts w:ascii="宋体" w:hAnsi="宋体" w:cs="宋体"/>
                <w:szCs w:val="21"/>
              </w:rPr>
            </w:pPr>
            <w:r>
              <w:rPr>
                <w:rFonts w:hint="eastAsia" w:ascii="宋体" w:hAnsi="宋体" w:cs="宋体"/>
                <w:szCs w:val="21"/>
              </w:rPr>
              <w:t>项目重点难点分析、应对措施及相关的合理化建议</w:t>
            </w:r>
          </w:p>
        </w:tc>
        <w:tc>
          <w:tcPr>
            <w:tcW w:w="795" w:type="dxa"/>
            <w:vAlign w:val="center"/>
          </w:tcPr>
          <w:p w14:paraId="04DEADA2">
            <w:pPr>
              <w:spacing w:after="0" w:afterLines="0"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993" w:type="dxa"/>
            <w:vAlign w:val="center"/>
          </w:tcPr>
          <w:p w14:paraId="2F32A69B">
            <w:pPr>
              <w:spacing w:after="60" w:line="400" w:lineRule="exact"/>
              <w:rPr>
                <w:rFonts w:ascii="宋体" w:hAnsi="宋体" w:cs="宋体"/>
                <w:b/>
                <w:bCs/>
                <w:szCs w:val="21"/>
              </w:rPr>
            </w:pPr>
            <w:r>
              <w:rPr>
                <w:rFonts w:hint="eastAsia" w:ascii="宋体" w:hAnsi="宋体" w:cs="宋体"/>
                <w:b/>
                <w:bCs/>
                <w:szCs w:val="21"/>
              </w:rPr>
              <w:t>（一）评审内容：</w:t>
            </w:r>
          </w:p>
          <w:p w14:paraId="3724E0A1">
            <w:pPr>
              <w:spacing w:after="60" w:line="400" w:lineRule="exact"/>
              <w:rPr>
                <w:rFonts w:ascii="宋体" w:hAnsi="宋体" w:cs="宋体"/>
                <w:szCs w:val="21"/>
              </w:rPr>
            </w:pPr>
            <w:r>
              <w:rPr>
                <w:rFonts w:hint="eastAsia" w:ascii="宋体" w:hAnsi="宋体" w:cs="宋体"/>
                <w:szCs w:val="21"/>
              </w:rPr>
              <w:t>考察投标人提供的项目重点难点分析、应对措施及相关的合理化建议，包含以下几项：</w:t>
            </w:r>
          </w:p>
          <w:p w14:paraId="2E3929A8">
            <w:pPr>
              <w:spacing w:after="60" w:line="400" w:lineRule="exact"/>
              <w:rPr>
                <w:rFonts w:ascii="宋体" w:hAnsi="宋体" w:cs="宋体"/>
                <w:szCs w:val="21"/>
              </w:rPr>
            </w:pPr>
            <w:r>
              <w:rPr>
                <w:rFonts w:hint="eastAsia" w:ascii="宋体" w:hAnsi="宋体" w:cs="宋体"/>
                <w:szCs w:val="21"/>
              </w:rPr>
              <w:t>1.提供人员工作风险防控和劳动争议处理方案；</w:t>
            </w:r>
          </w:p>
          <w:p w14:paraId="79CD4EC7">
            <w:pPr>
              <w:spacing w:after="60" w:line="400" w:lineRule="exact"/>
              <w:rPr>
                <w:rFonts w:ascii="宋体" w:hAnsi="宋体" w:cs="宋体"/>
                <w:szCs w:val="21"/>
              </w:rPr>
            </w:pPr>
            <w:r>
              <w:rPr>
                <w:rFonts w:hint="eastAsia" w:ascii="宋体" w:hAnsi="宋体" w:cs="宋体"/>
                <w:szCs w:val="21"/>
              </w:rPr>
              <w:t>2.提供突发事件处置方案；</w:t>
            </w:r>
          </w:p>
          <w:p w14:paraId="5FA81BD3">
            <w:pPr>
              <w:spacing w:after="60" w:line="400" w:lineRule="exact"/>
              <w:rPr>
                <w:rFonts w:ascii="宋体" w:hAnsi="宋体" w:cs="宋体"/>
                <w:szCs w:val="21"/>
              </w:rPr>
            </w:pPr>
            <w:r>
              <w:rPr>
                <w:rFonts w:hint="eastAsia" w:ascii="宋体" w:hAnsi="宋体" w:cs="宋体"/>
                <w:szCs w:val="21"/>
              </w:rPr>
              <w:t>以上方案提供齐全得</w:t>
            </w:r>
            <w:r>
              <w:rPr>
                <w:rFonts w:hint="eastAsia" w:ascii="宋体" w:hAnsi="宋体" w:cs="宋体"/>
                <w:szCs w:val="21"/>
                <w:lang w:val="en-US" w:eastAsia="zh-CN"/>
              </w:rPr>
              <w:t>4</w:t>
            </w:r>
            <w:r>
              <w:rPr>
                <w:rFonts w:hint="eastAsia" w:ascii="宋体" w:hAnsi="宋体" w:cs="宋体"/>
                <w:szCs w:val="21"/>
              </w:rPr>
              <w:t>分，每缺少一项扣</w:t>
            </w:r>
            <w:r>
              <w:rPr>
                <w:rFonts w:hint="eastAsia" w:ascii="宋体" w:hAnsi="宋体" w:cs="宋体"/>
                <w:szCs w:val="21"/>
                <w:lang w:val="en-US" w:eastAsia="zh-CN"/>
              </w:rPr>
              <w:t>2</w:t>
            </w:r>
            <w:r>
              <w:rPr>
                <w:rFonts w:hint="eastAsia" w:ascii="宋体" w:hAnsi="宋体" w:cs="宋体"/>
                <w:szCs w:val="21"/>
              </w:rPr>
              <w:t>分，扣完为止，未提供相应的方案不得分。</w:t>
            </w:r>
          </w:p>
          <w:p w14:paraId="01BA42A5">
            <w:pPr>
              <w:spacing w:after="60" w:line="400" w:lineRule="exact"/>
              <w:rPr>
                <w:rFonts w:ascii="宋体" w:hAnsi="宋体" w:cs="宋体"/>
                <w:szCs w:val="21"/>
              </w:rPr>
            </w:pPr>
            <w:r>
              <w:rPr>
                <w:rFonts w:hint="eastAsia" w:ascii="宋体" w:hAnsi="宋体" w:cs="宋体"/>
                <w:b/>
                <w:bCs/>
                <w:szCs w:val="21"/>
              </w:rPr>
              <w:t>（二）评审标准</w:t>
            </w:r>
            <w:r>
              <w:rPr>
                <w:rFonts w:hint="eastAsia" w:ascii="宋体" w:hAnsi="宋体" w:cs="宋体"/>
                <w:szCs w:val="21"/>
              </w:rPr>
              <w:t>：</w:t>
            </w:r>
          </w:p>
          <w:p w14:paraId="2512C119">
            <w:pPr>
              <w:spacing w:after="60" w:line="400" w:lineRule="exact"/>
              <w:rPr>
                <w:rFonts w:ascii="宋体" w:hAnsi="宋体" w:cs="宋体"/>
                <w:szCs w:val="21"/>
              </w:rPr>
            </w:pPr>
            <w:r>
              <w:rPr>
                <w:rFonts w:hint="eastAsia" w:ascii="宋体" w:hAnsi="宋体" w:cs="宋体"/>
                <w:szCs w:val="21"/>
              </w:rPr>
              <w:t>在此基础上，专家根据项目重点难点分析、应对措施及相关的合理化建议的具体响应内容进一步评审，评审标准如下：</w:t>
            </w:r>
          </w:p>
          <w:p w14:paraId="539602CD">
            <w:pPr>
              <w:spacing w:after="60" w:line="400" w:lineRule="exact"/>
              <w:rPr>
                <w:rFonts w:ascii="宋体" w:hAnsi="宋体" w:cs="宋体"/>
                <w:szCs w:val="21"/>
              </w:rPr>
            </w:pPr>
            <w:r>
              <w:rPr>
                <w:rFonts w:hint="eastAsia" w:ascii="宋体" w:hAnsi="宋体" w:cs="宋体"/>
                <w:szCs w:val="21"/>
              </w:rPr>
              <w:t>（1）项目重点难点分析、应对措施及相关的合理化建议响应内容全面；</w:t>
            </w:r>
          </w:p>
          <w:p w14:paraId="668FC796">
            <w:pPr>
              <w:spacing w:after="60" w:line="400" w:lineRule="exact"/>
              <w:rPr>
                <w:rFonts w:ascii="宋体" w:hAnsi="宋体" w:cs="宋体"/>
                <w:szCs w:val="21"/>
              </w:rPr>
            </w:pPr>
            <w:r>
              <w:rPr>
                <w:rFonts w:hint="eastAsia" w:ascii="宋体" w:hAnsi="宋体" w:cs="宋体"/>
                <w:szCs w:val="21"/>
              </w:rPr>
              <w:t>（2）项目重点难点分析、应对措施及相关的合理化建议响应内容具体；</w:t>
            </w:r>
          </w:p>
          <w:p w14:paraId="3FB61FE1">
            <w:pPr>
              <w:spacing w:after="60" w:line="400" w:lineRule="exact"/>
              <w:rPr>
                <w:rFonts w:ascii="宋体" w:hAnsi="宋体" w:cs="宋体"/>
                <w:szCs w:val="21"/>
              </w:rPr>
            </w:pPr>
            <w:r>
              <w:rPr>
                <w:rFonts w:hint="eastAsia" w:ascii="宋体" w:hAnsi="宋体" w:cs="宋体"/>
                <w:szCs w:val="21"/>
              </w:rPr>
              <w:t>（3）项目重点难点分析、应对措施及相关的合理化建议响应内容针对性强；</w:t>
            </w:r>
          </w:p>
          <w:p w14:paraId="216B551D">
            <w:pPr>
              <w:spacing w:after="60" w:line="400" w:lineRule="exact"/>
              <w:rPr>
                <w:rFonts w:ascii="宋体" w:hAnsi="宋体" w:cs="宋体"/>
                <w:szCs w:val="21"/>
              </w:rPr>
            </w:pPr>
            <w:r>
              <w:rPr>
                <w:rFonts w:hint="eastAsia" w:ascii="宋体" w:hAnsi="宋体" w:cs="宋体"/>
                <w:szCs w:val="21"/>
              </w:rPr>
              <w:t>（4）项目重点难点分析、应对措施及相关的合理化建议响应内容科学合理；</w:t>
            </w:r>
          </w:p>
          <w:p w14:paraId="307B5D01">
            <w:pPr>
              <w:spacing w:after="60" w:line="400" w:lineRule="exact"/>
              <w:rPr>
                <w:rFonts w:ascii="宋体" w:hAnsi="宋体" w:cs="宋体"/>
                <w:szCs w:val="21"/>
              </w:rPr>
            </w:pPr>
            <w:r>
              <w:rPr>
                <w:rFonts w:hint="eastAsia" w:ascii="宋体" w:hAnsi="宋体" w:cs="宋体"/>
                <w:szCs w:val="21"/>
              </w:rPr>
              <w:t>（5）项目重点难点分析、应对措施及相关的合理化建议响应内容可操作性强。</w:t>
            </w:r>
          </w:p>
          <w:p w14:paraId="625F28A2">
            <w:pPr>
              <w:spacing w:after="60" w:line="400" w:lineRule="exact"/>
              <w:rPr>
                <w:rFonts w:ascii="宋体" w:hAnsi="宋体" w:cs="宋体"/>
                <w:szCs w:val="21"/>
              </w:rPr>
            </w:pPr>
            <w:r>
              <w:rPr>
                <w:rFonts w:hint="eastAsia" w:ascii="宋体" w:hAnsi="宋体" w:cs="宋体"/>
                <w:szCs w:val="21"/>
              </w:rPr>
              <w:t>满足以上五项要求的评价为优，加</w:t>
            </w:r>
            <w:r>
              <w:rPr>
                <w:rFonts w:hint="eastAsia" w:ascii="宋体" w:hAnsi="宋体" w:cs="宋体"/>
                <w:szCs w:val="21"/>
                <w:lang w:val="en-US" w:eastAsia="zh-CN"/>
              </w:rPr>
              <w:t>6</w:t>
            </w:r>
            <w:r>
              <w:rPr>
                <w:rFonts w:hint="eastAsia" w:ascii="宋体" w:hAnsi="宋体" w:cs="宋体"/>
                <w:szCs w:val="21"/>
              </w:rPr>
              <w:t>分；</w:t>
            </w:r>
          </w:p>
          <w:p w14:paraId="5B5D23E6">
            <w:pPr>
              <w:spacing w:after="60" w:line="400" w:lineRule="exact"/>
              <w:rPr>
                <w:rFonts w:ascii="宋体" w:hAnsi="宋体" w:cs="宋体"/>
                <w:szCs w:val="21"/>
              </w:rPr>
            </w:pPr>
            <w:r>
              <w:rPr>
                <w:rFonts w:hint="eastAsia" w:ascii="宋体" w:hAnsi="宋体" w:cs="宋体"/>
                <w:szCs w:val="21"/>
              </w:rPr>
              <w:t>满足以上四项要求的评价为良，加</w:t>
            </w:r>
            <w:r>
              <w:rPr>
                <w:rFonts w:hint="eastAsia" w:ascii="宋体" w:hAnsi="宋体" w:cs="宋体"/>
                <w:szCs w:val="21"/>
                <w:lang w:val="en-US" w:eastAsia="zh-CN"/>
              </w:rPr>
              <w:t>3</w:t>
            </w:r>
            <w:r>
              <w:rPr>
                <w:rFonts w:hint="eastAsia" w:ascii="宋体" w:hAnsi="宋体" w:cs="宋体"/>
                <w:szCs w:val="21"/>
              </w:rPr>
              <w:t>分；</w:t>
            </w:r>
          </w:p>
          <w:p w14:paraId="18E0F21C">
            <w:pPr>
              <w:spacing w:after="60" w:line="400" w:lineRule="exact"/>
              <w:rPr>
                <w:rFonts w:ascii="宋体" w:hAnsi="宋体" w:cs="宋体"/>
                <w:szCs w:val="21"/>
              </w:rPr>
            </w:pPr>
            <w:r>
              <w:rPr>
                <w:rFonts w:hint="eastAsia" w:ascii="宋体" w:hAnsi="宋体" w:cs="宋体"/>
                <w:szCs w:val="21"/>
              </w:rPr>
              <w:t>满足以上三项要求的评价为中，加</w:t>
            </w:r>
            <w:r>
              <w:rPr>
                <w:rFonts w:hint="eastAsia" w:ascii="宋体" w:hAnsi="宋体" w:cs="宋体"/>
                <w:szCs w:val="21"/>
                <w:lang w:val="en-US" w:eastAsia="zh-CN"/>
              </w:rPr>
              <w:t>1</w:t>
            </w:r>
            <w:r>
              <w:rPr>
                <w:rFonts w:hint="eastAsia" w:ascii="宋体" w:hAnsi="宋体" w:cs="宋体"/>
                <w:szCs w:val="21"/>
              </w:rPr>
              <w:t>分；</w:t>
            </w:r>
          </w:p>
          <w:p w14:paraId="31FF61E2">
            <w:pPr>
              <w:spacing w:after="0" w:afterLines="0" w:line="400" w:lineRule="exact"/>
              <w:rPr>
                <w:rFonts w:ascii="宋体" w:hAnsi="宋体" w:cs="宋体"/>
                <w:szCs w:val="21"/>
              </w:rPr>
            </w:pPr>
            <w:r>
              <w:rPr>
                <w:rFonts w:hint="eastAsia" w:ascii="宋体" w:hAnsi="宋体" w:cs="宋体"/>
                <w:szCs w:val="21"/>
              </w:rPr>
              <w:t>其它情况的评价为差，不加分。</w:t>
            </w:r>
          </w:p>
        </w:tc>
      </w:tr>
      <w:tr w14:paraId="1505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62B1D86E">
            <w:pPr>
              <w:spacing w:after="0" w:afterLines="0" w:line="400" w:lineRule="exact"/>
              <w:jc w:val="center"/>
              <w:rPr>
                <w:rFonts w:ascii="宋体" w:hAnsi="宋体" w:cs="宋体"/>
                <w:b/>
                <w:bCs/>
                <w:color w:val="0000FF"/>
                <w:szCs w:val="21"/>
              </w:rPr>
            </w:pPr>
          </w:p>
        </w:tc>
        <w:tc>
          <w:tcPr>
            <w:tcW w:w="680" w:type="dxa"/>
            <w:vAlign w:val="center"/>
          </w:tcPr>
          <w:p w14:paraId="54186AC8">
            <w:pPr>
              <w:spacing w:after="0" w:afterLines="0" w:line="400" w:lineRule="exact"/>
              <w:jc w:val="center"/>
              <w:rPr>
                <w:rFonts w:ascii="宋体" w:hAnsi="宋体" w:cs="宋体"/>
                <w:szCs w:val="21"/>
              </w:rPr>
            </w:pPr>
            <w:r>
              <w:rPr>
                <w:rFonts w:hint="eastAsia" w:ascii="宋体" w:hAnsi="宋体" w:cs="宋体"/>
                <w:szCs w:val="21"/>
              </w:rPr>
              <w:t>4</w:t>
            </w:r>
          </w:p>
        </w:tc>
        <w:tc>
          <w:tcPr>
            <w:tcW w:w="1924" w:type="dxa"/>
            <w:vAlign w:val="center"/>
          </w:tcPr>
          <w:p w14:paraId="04A03DA9">
            <w:pPr>
              <w:spacing w:after="0" w:afterLines="0" w:line="400" w:lineRule="exact"/>
              <w:jc w:val="center"/>
              <w:rPr>
                <w:rFonts w:ascii="宋体" w:hAnsi="宋体" w:cs="宋体"/>
                <w:szCs w:val="21"/>
              </w:rPr>
            </w:pPr>
            <w:r>
              <w:rPr>
                <w:rFonts w:hint="eastAsia" w:ascii="宋体" w:hAnsi="宋体" w:cs="宋体"/>
                <w:szCs w:val="21"/>
              </w:rPr>
              <w:t>拟安排的保安队长情况（仅限一人）</w:t>
            </w:r>
          </w:p>
        </w:tc>
        <w:tc>
          <w:tcPr>
            <w:tcW w:w="795" w:type="dxa"/>
            <w:vAlign w:val="center"/>
          </w:tcPr>
          <w:p w14:paraId="0E7EAF44">
            <w:pPr>
              <w:spacing w:after="0" w:afterLines="0" w:line="400" w:lineRule="exact"/>
              <w:jc w:val="center"/>
              <w:rPr>
                <w:rFonts w:ascii="宋体" w:hAnsi="宋体" w:cs="宋体"/>
                <w:szCs w:val="21"/>
              </w:rPr>
            </w:pPr>
            <w:r>
              <w:rPr>
                <w:rFonts w:hint="eastAsia" w:ascii="宋体" w:hAnsi="宋体" w:cs="宋体"/>
                <w:szCs w:val="21"/>
              </w:rPr>
              <w:t>5</w:t>
            </w:r>
          </w:p>
        </w:tc>
        <w:tc>
          <w:tcPr>
            <w:tcW w:w="4993" w:type="dxa"/>
            <w:vAlign w:val="center"/>
          </w:tcPr>
          <w:p w14:paraId="5B2390D8">
            <w:pPr>
              <w:spacing w:after="0" w:afterLines="0" w:line="400" w:lineRule="exact"/>
              <w:rPr>
                <w:rFonts w:ascii="宋体" w:hAnsi="宋体" w:cs="宋体"/>
                <w:b/>
                <w:szCs w:val="21"/>
              </w:rPr>
            </w:pPr>
            <w:r>
              <w:rPr>
                <w:rFonts w:hint="eastAsia" w:ascii="宋体" w:hAnsi="宋体" w:cs="宋体"/>
                <w:b/>
                <w:szCs w:val="21"/>
              </w:rPr>
              <w:t>（一）评审内容：</w:t>
            </w:r>
          </w:p>
          <w:p w14:paraId="59491B5B">
            <w:pPr>
              <w:spacing w:after="0" w:afterLines="0" w:line="400" w:lineRule="exact"/>
              <w:rPr>
                <w:rFonts w:ascii="宋体" w:hAnsi="宋体" w:cs="宋体"/>
                <w:szCs w:val="21"/>
              </w:rPr>
            </w:pPr>
            <w:r>
              <w:rPr>
                <w:rFonts w:hint="eastAsia" w:ascii="宋体" w:hAnsi="宋体" w:cs="宋体"/>
                <w:szCs w:val="21"/>
              </w:rPr>
              <w:t>投标人拟安排的保安队长需为投标人自有员工（根据所提供的社保进行判断），否则该项不得分，在此基础上，拟安排的保安队长（仅限1人）情况：</w:t>
            </w:r>
          </w:p>
          <w:p w14:paraId="054A89D3">
            <w:pPr>
              <w:spacing w:after="0" w:afterLines="0" w:line="400" w:lineRule="exact"/>
              <w:rPr>
                <w:rFonts w:ascii="宋体" w:hAnsi="宋体" w:cs="宋体"/>
                <w:szCs w:val="21"/>
              </w:rPr>
            </w:pPr>
            <w:r>
              <w:rPr>
                <w:rFonts w:hint="eastAsia" w:ascii="宋体" w:hAnsi="宋体" w:cs="宋体"/>
                <w:szCs w:val="21"/>
              </w:rPr>
              <w:t>1.具有管理类学士或以上学位，得3分；</w:t>
            </w:r>
          </w:p>
          <w:p w14:paraId="554070EA">
            <w:pPr>
              <w:spacing w:after="0" w:afterLines="0" w:line="400" w:lineRule="exact"/>
              <w:rPr>
                <w:rFonts w:ascii="宋体" w:hAnsi="宋体" w:cs="宋体"/>
                <w:szCs w:val="21"/>
              </w:rPr>
            </w:pPr>
            <w:r>
              <w:rPr>
                <w:rFonts w:hint="eastAsia" w:ascii="宋体" w:hAnsi="宋体" w:cs="宋体"/>
                <w:szCs w:val="21"/>
              </w:rPr>
              <w:t>2.获得副省级城市或以上政府部门保安类荣誉，得1分；</w:t>
            </w:r>
          </w:p>
          <w:p w14:paraId="699617D7">
            <w:pPr>
              <w:spacing w:after="0" w:afterLines="0" w:line="400" w:lineRule="exact"/>
              <w:rPr>
                <w:rFonts w:ascii="宋体" w:hAnsi="宋体" w:cs="宋体"/>
                <w:szCs w:val="21"/>
              </w:rPr>
            </w:pPr>
            <w:r>
              <w:rPr>
                <w:rFonts w:hint="eastAsia" w:ascii="宋体" w:hAnsi="宋体" w:cs="宋体"/>
                <w:szCs w:val="21"/>
              </w:rPr>
              <w:t>3.具有3年或以上安保工作经验，得1分。</w:t>
            </w:r>
          </w:p>
          <w:p w14:paraId="070DF5BD">
            <w:pPr>
              <w:spacing w:after="0" w:afterLines="0" w:line="400" w:lineRule="exact"/>
              <w:rPr>
                <w:rFonts w:ascii="宋体" w:hAnsi="宋体" w:cs="宋体"/>
                <w:szCs w:val="21"/>
              </w:rPr>
            </w:pPr>
            <w:r>
              <w:rPr>
                <w:rFonts w:hint="eastAsia" w:ascii="宋体" w:hAnsi="宋体" w:cs="宋体"/>
                <w:szCs w:val="21"/>
              </w:rPr>
              <w:t>以上累计得分，最高得5分，未提供不得分。</w:t>
            </w:r>
          </w:p>
          <w:p w14:paraId="1C175A7D">
            <w:pPr>
              <w:spacing w:after="0" w:afterLines="0" w:line="400" w:lineRule="exact"/>
              <w:rPr>
                <w:rFonts w:ascii="宋体" w:hAnsi="宋体" w:cs="宋体"/>
                <w:b/>
                <w:szCs w:val="21"/>
              </w:rPr>
            </w:pPr>
            <w:r>
              <w:rPr>
                <w:rFonts w:hint="eastAsia" w:ascii="宋体" w:hAnsi="宋体" w:cs="宋体"/>
                <w:b/>
                <w:szCs w:val="21"/>
              </w:rPr>
              <w:t>（二）证明文件：</w:t>
            </w:r>
          </w:p>
          <w:p w14:paraId="2DA7310B">
            <w:pPr>
              <w:spacing w:after="0" w:afterLines="0" w:line="400" w:lineRule="exact"/>
              <w:rPr>
                <w:rFonts w:ascii="宋体" w:hAnsi="宋体" w:cs="宋体"/>
                <w:szCs w:val="21"/>
              </w:rPr>
            </w:pPr>
            <w:r>
              <w:rPr>
                <w:rFonts w:hint="eastAsia" w:ascii="宋体" w:hAnsi="宋体" w:cs="宋体"/>
                <w:szCs w:val="21"/>
              </w:rPr>
              <w:t>1.投标人需同时提供学位证书扫描件以及学信网（https://www.chsi.com.cn/）查询记录。对于较早颁发的学历证书，学信网无法查询的，除要求提供证书扫描件，需要提供其他佐证材料（如毕业院校或人力资源和社会保障部门等颁发机构或监管机构等单位出具的证明），在海外留学并取得学历的，学信网无法查询的，可提供教育部留学服务中心出具的国外学历认证证书扫描件以及教育部留学服务中心官网查询截图作为可以得分的依据。</w:t>
            </w:r>
          </w:p>
          <w:p w14:paraId="5FC4935C">
            <w:pPr>
              <w:spacing w:after="0" w:afterLines="0" w:line="400" w:lineRule="exact"/>
              <w:rPr>
                <w:rFonts w:ascii="宋体" w:hAnsi="宋体" w:cs="宋体"/>
                <w:szCs w:val="21"/>
              </w:rPr>
            </w:pPr>
            <w:r>
              <w:rPr>
                <w:rFonts w:hint="eastAsia" w:ascii="宋体" w:hAnsi="宋体" w:cs="宋体"/>
                <w:szCs w:val="21"/>
              </w:rPr>
              <w:t>2.第2项提供荣誉证书扫描件，第3项涉及人员经验提供项目合同关键页扫描件，通过合同关键信息无法判断是否得分的，还须同时提供能证明得分的其它证明资料，如项目报告或合同甲方出具的证明文件等。</w:t>
            </w:r>
          </w:p>
          <w:p w14:paraId="756F2889">
            <w:pPr>
              <w:spacing w:after="0" w:afterLines="0" w:line="400" w:lineRule="exact"/>
              <w:rPr>
                <w:rFonts w:ascii="宋体" w:hAnsi="宋体" w:cs="宋体"/>
                <w:szCs w:val="21"/>
              </w:rPr>
            </w:pPr>
            <w:r>
              <w:rPr>
                <w:rFonts w:hint="eastAsia" w:ascii="宋体" w:hAnsi="宋体" w:cs="宋体"/>
                <w:szCs w:val="21"/>
              </w:rPr>
              <w:t>3.</w:t>
            </w:r>
            <w:r>
              <w:rPr>
                <w:rFonts w:hint="eastAsia" w:ascii="宋体" w:hAnsi="宋体" w:cs="宋体"/>
                <w:b/>
                <w:bCs/>
                <w:color w:val="0000FF"/>
                <w:szCs w:val="21"/>
              </w:rPr>
              <w:t>提供社保部门出具的投标企业为其缴纳的开标前1个月（具体是指202</w:t>
            </w:r>
            <w:r>
              <w:rPr>
                <w:rFonts w:hint="eastAsia" w:ascii="宋体" w:hAnsi="宋体" w:cs="宋体"/>
                <w:b/>
                <w:bCs/>
                <w:color w:val="0000FF"/>
                <w:szCs w:val="21"/>
                <w:lang w:val="en-US" w:eastAsia="zh-CN"/>
              </w:rPr>
              <w:t>5</w:t>
            </w:r>
            <w:r>
              <w:rPr>
                <w:rFonts w:hint="eastAsia" w:ascii="宋体" w:hAnsi="宋体" w:cs="宋体"/>
                <w:b/>
                <w:bCs/>
                <w:color w:val="0000FF"/>
                <w:szCs w:val="21"/>
              </w:rPr>
              <w:t>年</w:t>
            </w:r>
            <w:r>
              <w:rPr>
                <w:rFonts w:hint="eastAsia" w:ascii="宋体" w:hAnsi="宋体" w:cs="宋体"/>
                <w:b/>
                <w:bCs/>
                <w:color w:val="0000FF"/>
                <w:szCs w:val="21"/>
                <w:lang w:val="en-US" w:eastAsia="zh-CN"/>
              </w:rPr>
              <w:t>11</w:t>
            </w:r>
            <w:r>
              <w:rPr>
                <w:rFonts w:hint="eastAsia" w:ascii="宋体" w:hAnsi="宋体" w:cs="宋体"/>
                <w:b/>
                <w:bCs/>
                <w:color w:val="0000FF"/>
                <w:szCs w:val="21"/>
              </w:rPr>
              <w:t>月）社保证明文件扫描件，</w:t>
            </w:r>
            <w:r>
              <w:rPr>
                <w:rFonts w:hint="eastAsia" w:ascii="宋体" w:hAnsi="宋体" w:cs="宋体"/>
                <w:szCs w:val="21"/>
              </w:rPr>
              <w:t>由于社保部门原因（提供社保局无法出具的证明文件）最近一个月的社保证明无法提供的，则可以往前顺延一个月；如投标人注册成立时间不足1个月的，可提供加盖投标人公章的说明函（格式自拟）或其他相关证明材料亦可。</w:t>
            </w:r>
          </w:p>
          <w:p w14:paraId="56F102BD">
            <w:pPr>
              <w:spacing w:after="0" w:afterLines="0" w:line="400" w:lineRule="exact"/>
              <w:rPr>
                <w:rFonts w:ascii="宋体" w:hAnsi="宋体" w:cs="宋体"/>
                <w:szCs w:val="21"/>
              </w:rPr>
            </w:pPr>
            <w:r>
              <w:rPr>
                <w:rFonts w:hint="eastAsia" w:ascii="宋体" w:hAnsi="宋体" w:cs="宋体"/>
                <w:szCs w:val="21"/>
              </w:rPr>
              <w:t>4.以上证明资料原件备查，原件备查，未按要求提供或资料不清晰导致专家无法判断的不得分。</w:t>
            </w:r>
          </w:p>
        </w:tc>
      </w:tr>
      <w:tr w14:paraId="2911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54C77E16">
            <w:pPr>
              <w:spacing w:after="0" w:afterLines="0" w:line="400" w:lineRule="exact"/>
              <w:jc w:val="center"/>
              <w:rPr>
                <w:rFonts w:ascii="宋体" w:hAnsi="宋体" w:cs="宋体"/>
                <w:b/>
                <w:bCs/>
                <w:color w:val="0000FF"/>
                <w:szCs w:val="21"/>
              </w:rPr>
            </w:pPr>
          </w:p>
        </w:tc>
        <w:tc>
          <w:tcPr>
            <w:tcW w:w="680" w:type="dxa"/>
            <w:vAlign w:val="center"/>
          </w:tcPr>
          <w:p w14:paraId="47E96353">
            <w:pPr>
              <w:spacing w:after="0" w:afterLines="0" w:line="400" w:lineRule="exact"/>
              <w:jc w:val="center"/>
              <w:rPr>
                <w:rFonts w:ascii="宋体" w:hAnsi="宋体" w:cs="宋体"/>
                <w:szCs w:val="21"/>
              </w:rPr>
            </w:pPr>
            <w:r>
              <w:rPr>
                <w:rFonts w:hint="eastAsia" w:ascii="宋体" w:hAnsi="宋体" w:cs="宋体"/>
                <w:szCs w:val="21"/>
              </w:rPr>
              <w:t>5</w:t>
            </w:r>
          </w:p>
        </w:tc>
        <w:tc>
          <w:tcPr>
            <w:tcW w:w="1924" w:type="dxa"/>
            <w:vAlign w:val="center"/>
          </w:tcPr>
          <w:p w14:paraId="14988697">
            <w:pPr>
              <w:spacing w:after="0" w:afterLines="0" w:line="400" w:lineRule="exact"/>
              <w:jc w:val="center"/>
              <w:rPr>
                <w:rFonts w:ascii="宋体" w:hAnsi="宋体" w:cs="宋体"/>
                <w:szCs w:val="21"/>
              </w:rPr>
            </w:pPr>
            <w:r>
              <w:rPr>
                <w:rFonts w:hint="eastAsia" w:ascii="宋体" w:hAnsi="宋体" w:cs="宋体"/>
                <w:szCs w:val="21"/>
              </w:rPr>
              <w:t>拟安排的保安班长情况（保安队长除外）</w:t>
            </w:r>
          </w:p>
        </w:tc>
        <w:tc>
          <w:tcPr>
            <w:tcW w:w="795" w:type="dxa"/>
            <w:vAlign w:val="center"/>
          </w:tcPr>
          <w:p w14:paraId="022C385B">
            <w:pPr>
              <w:spacing w:after="0" w:afterLines="0" w:line="400" w:lineRule="exact"/>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4993" w:type="dxa"/>
            <w:vAlign w:val="center"/>
          </w:tcPr>
          <w:p w14:paraId="4AD4A237">
            <w:pPr>
              <w:spacing w:after="0" w:afterLines="0" w:line="400" w:lineRule="exact"/>
              <w:rPr>
                <w:rFonts w:ascii="宋体" w:hAnsi="宋体" w:cs="宋体"/>
                <w:b/>
                <w:szCs w:val="21"/>
              </w:rPr>
            </w:pPr>
            <w:r>
              <w:rPr>
                <w:rFonts w:hint="eastAsia" w:ascii="宋体" w:hAnsi="宋体" w:cs="宋体"/>
                <w:b/>
                <w:szCs w:val="21"/>
              </w:rPr>
              <w:t>（一）评审内容：</w:t>
            </w:r>
          </w:p>
          <w:p w14:paraId="14167D2D">
            <w:pPr>
              <w:spacing w:after="0" w:afterLines="0" w:line="400" w:lineRule="exact"/>
              <w:rPr>
                <w:rFonts w:ascii="宋体" w:hAnsi="宋体" w:cs="宋体"/>
                <w:szCs w:val="21"/>
              </w:rPr>
            </w:pPr>
            <w:r>
              <w:rPr>
                <w:rFonts w:hint="eastAsia" w:ascii="宋体" w:hAnsi="宋体" w:cs="宋体"/>
                <w:szCs w:val="21"/>
              </w:rPr>
              <w:t>除保安队长以外，要求配备2名保安班长（限2人），且均需为投标人自有员工（根据所提供的社保进行判断），否则该项不得分，在此基础上：</w:t>
            </w:r>
          </w:p>
          <w:p w14:paraId="7BFF2460">
            <w:pPr>
              <w:spacing w:after="0" w:afterLines="0" w:line="400" w:lineRule="exact"/>
              <w:rPr>
                <w:rFonts w:ascii="宋体" w:hAnsi="宋体" w:cs="宋体"/>
                <w:szCs w:val="21"/>
              </w:rPr>
            </w:pPr>
            <w:r>
              <w:rPr>
                <w:rFonts w:hint="eastAsia" w:ascii="宋体" w:hAnsi="宋体" w:cs="宋体"/>
                <w:szCs w:val="21"/>
              </w:rPr>
              <w:t>1.具有大专或以上学历，每人得</w:t>
            </w:r>
            <w:r>
              <w:rPr>
                <w:rFonts w:hint="eastAsia" w:ascii="宋体" w:hAnsi="宋体" w:cs="宋体"/>
                <w:szCs w:val="21"/>
                <w:lang w:val="en-US" w:eastAsia="zh-CN"/>
              </w:rPr>
              <w:t>1</w:t>
            </w:r>
            <w:r>
              <w:rPr>
                <w:rFonts w:hint="eastAsia" w:ascii="宋体" w:hAnsi="宋体" w:cs="宋体"/>
                <w:szCs w:val="21"/>
              </w:rPr>
              <w:t>分，此项最高得</w:t>
            </w:r>
            <w:r>
              <w:rPr>
                <w:rFonts w:hint="eastAsia" w:ascii="宋体" w:hAnsi="宋体" w:cs="宋体"/>
                <w:szCs w:val="21"/>
                <w:lang w:val="en-US" w:eastAsia="zh-CN"/>
              </w:rPr>
              <w:t>2</w:t>
            </w:r>
            <w:r>
              <w:rPr>
                <w:rFonts w:hint="eastAsia" w:ascii="宋体" w:hAnsi="宋体" w:cs="宋体"/>
                <w:szCs w:val="21"/>
              </w:rPr>
              <w:t>分；</w:t>
            </w:r>
          </w:p>
          <w:p w14:paraId="304FD200">
            <w:pPr>
              <w:spacing w:after="0" w:afterLines="0" w:line="400" w:lineRule="exact"/>
              <w:rPr>
                <w:rFonts w:ascii="宋体" w:hAnsi="宋体" w:cs="宋体"/>
                <w:szCs w:val="21"/>
              </w:rPr>
            </w:pPr>
            <w:r>
              <w:rPr>
                <w:rFonts w:hint="eastAsia" w:ascii="宋体" w:hAnsi="宋体" w:cs="宋体"/>
                <w:szCs w:val="21"/>
              </w:rPr>
              <w:t>2.具有2年或以上安保工作经验，每人得</w:t>
            </w:r>
            <w:r>
              <w:rPr>
                <w:rFonts w:hint="eastAsia" w:ascii="宋体" w:hAnsi="宋体" w:cs="宋体"/>
                <w:szCs w:val="21"/>
                <w:lang w:val="en-US" w:eastAsia="zh-CN"/>
              </w:rPr>
              <w:t>1.5</w:t>
            </w:r>
            <w:r>
              <w:rPr>
                <w:rFonts w:hint="eastAsia" w:ascii="宋体" w:hAnsi="宋体" w:cs="宋体"/>
                <w:szCs w:val="21"/>
              </w:rPr>
              <w:t>分，此项最高得</w:t>
            </w:r>
            <w:r>
              <w:rPr>
                <w:rFonts w:hint="eastAsia" w:ascii="宋体" w:hAnsi="宋体" w:cs="宋体"/>
                <w:szCs w:val="21"/>
                <w:lang w:val="en-US" w:eastAsia="zh-CN"/>
              </w:rPr>
              <w:t>3</w:t>
            </w:r>
            <w:r>
              <w:rPr>
                <w:rFonts w:hint="eastAsia" w:ascii="宋体" w:hAnsi="宋体" w:cs="宋体"/>
                <w:szCs w:val="21"/>
              </w:rPr>
              <w:t>分。</w:t>
            </w:r>
          </w:p>
          <w:p w14:paraId="32E890AF">
            <w:pPr>
              <w:spacing w:after="0" w:afterLines="0" w:line="400" w:lineRule="exact"/>
              <w:rPr>
                <w:rFonts w:ascii="宋体" w:hAnsi="宋体" w:cs="宋体"/>
                <w:b/>
                <w:szCs w:val="21"/>
              </w:rPr>
            </w:pPr>
            <w:r>
              <w:rPr>
                <w:rFonts w:hint="eastAsia" w:ascii="宋体" w:hAnsi="宋体" w:cs="宋体"/>
                <w:b/>
                <w:szCs w:val="21"/>
              </w:rPr>
              <w:t>（二）证明文件：</w:t>
            </w:r>
          </w:p>
          <w:p w14:paraId="71806ED4">
            <w:pPr>
              <w:spacing w:after="0" w:afterLines="0" w:line="400" w:lineRule="exact"/>
              <w:rPr>
                <w:rFonts w:ascii="宋体" w:hAnsi="宋体" w:cs="宋体"/>
                <w:szCs w:val="21"/>
              </w:rPr>
            </w:pPr>
            <w:r>
              <w:rPr>
                <w:rFonts w:hint="eastAsia" w:ascii="宋体" w:hAnsi="宋体" w:cs="宋体"/>
                <w:szCs w:val="21"/>
              </w:rPr>
              <w:t>1.投标人需同时提供学历证书扫描件以及学信网（https://www.chsi.com.cn/）查询记录。对于较早颁发的学历证书，学信网无法查询的，除要求提供证书扫描件，需要提供其他佐证材料（如毕业院校或人力资源和社会保障部门等颁发机构或监管机构等单位出具的证明），在海外留学并取得学历的，学信网无法查询的，可提供教育部留学服务中心出具的国外学历认证证书扫描件以及教育部留学服务中心官网查询截图作为可以得分的依据。</w:t>
            </w:r>
          </w:p>
          <w:p w14:paraId="3BE3136A">
            <w:pPr>
              <w:spacing w:after="0" w:afterLines="0" w:line="400" w:lineRule="exact"/>
              <w:rPr>
                <w:rFonts w:ascii="宋体" w:hAnsi="宋体" w:cs="宋体"/>
                <w:szCs w:val="21"/>
              </w:rPr>
            </w:pPr>
            <w:r>
              <w:rPr>
                <w:rFonts w:hint="eastAsia" w:ascii="宋体" w:hAnsi="宋体" w:cs="宋体"/>
                <w:szCs w:val="21"/>
              </w:rPr>
              <w:t>2.第2项涉及人员经验提供项目合同关键页扫描件，通过合同关键信息无法判断是否得分的，还须同时提供能证明得分的其它证明资料，如项目报告或合同甲方出具的证明文件等。</w:t>
            </w:r>
          </w:p>
          <w:p w14:paraId="53D31515">
            <w:pPr>
              <w:spacing w:after="0" w:afterLines="0" w:line="400" w:lineRule="exact"/>
              <w:rPr>
                <w:rFonts w:ascii="宋体" w:hAnsi="宋体" w:cs="宋体"/>
                <w:szCs w:val="21"/>
              </w:rPr>
            </w:pPr>
            <w:r>
              <w:rPr>
                <w:rFonts w:hint="eastAsia" w:ascii="宋体" w:hAnsi="宋体" w:cs="宋体"/>
                <w:szCs w:val="21"/>
              </w:rPr>
              <w:t>3.提供社保部门出具的投标企业为其缴纳的开标前1个月（具体是指202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社保证明文件扫描件，由于社保部门原因（提供社保局无法出具的证明文件）最近一个月的社保证明无法提供的，则可以往前顺延一个月；如投标人注册成立时间不足1个月的，可提供加盖投标人公章的说明函（格式自拟）或其他相关证明材料亦可。</w:t>
            </w:r>
          </w:p>
          <w:p w14:paraId="7036AC47">
            <w:pPr>
              <w:spacing w:after="0" w:afterLines="0" w:line="400" w:lineRule="exact"/>
              <w:rPr>
                <w:rFonts w:ascii="宋体" w:hAnsi="宋体" w:cs="宋体"/>
                <w:szCs w:val="21"/>
              </w:rPr>
            </w:pPr>
            <w:r>
              <w:rPr>
                <w:rFonts w:hint="eastAsia" w:ascii="宋体" w:hAnsi="宋体" w:cs="宋体"/>
                <w:szCs w:val="21"/>
              </w:rPr>
              <w:t>4.以上证明资料原件备查，原件备查，未按要求提供或资料不清晰导致专家无法判断的不得分。</w:t>
            </w:r>
          </w:p>
        </w:tc>
      </w:tr>
      <w:tr w14:paraId="0C6B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03562AF9">
            <w:pPr>
              <w:spacing w:after="0" w:afterLines="0" w:line="400" w:lineRule="exact"/>
              <w:jc w:val="center"/>
              <w:rPr>
                <w:rFonts w:ascii="宋体" w:hAnsi="宋体" w:cs="宋体"/>
                <w:b/>
                <w:bCs/>
                <w:color w:val="0000FF"/>
                <w:szCs w:val="21"/>
              </w:rPr>
            </w:pPr>
          </w:p>
        </w:tc>
        <w:tc>
          <w:tcPr>
            <w:tcW w:w="680" w:type="dxa"/>
            <w:vAlign w:val="center"/>
          </w:tcPr>
          <w:p w14:paraId="5696DECC">
            <w:pPr>
              <w:spacing w:after="0" w:afterLines="0" w:line="400" w:lineRule="exact"/>
              <w:jc w:val="center"/>
              <w:rPr>
                <w:rFonts w:ascii="宋体" w:hAnsi="宋体" w:cs="宋体"/>
                <w:szCs w:val="21"/>
              </w:rPr>
            </w:pPr>
            <w:r>
              <w:rPr>
                <w:rFonts w:hint="eastAsia" w:ascii="宋体" w:hAnsi="宋体" w:cs="宋体"/>
                <w:szCs w:val="21"/>
              </w:rPr>
              <w:t>6</w:t>
            </w:r>
          </w:p>
        </w:tc>
        <w:tc>
          <w:tcPr>
            <w:tcW w:w="1924" w:type="dxa"/>
            <w:vAlign w:val="center"/>
          </w:tcPr>
          <w:p w14:paraId="576606CF">
            <w:pPr>
              <w:spacing w:after="0" w:afterLines="0" w:line="400" w:lineRule="exact"/>
              <w:jc w:val="center"/>
              <w:rPr>
                <w:rFonts w:ascii="宋体" w:hAnsi="宋体" w:cs="宋体"/>
                <w:szCs w:val="21"/>
              </w:rPr>
            </w:pPr>
            <w:r>
              <w:rPr>
                <w:rFonts w:hint="eastAsia" w:ascii="宋体" w:hAnsi="宋体" w:cs="宋体"/>
                <w:szCs w:val="21"/>
              </w:rPr>
              <w:t>违约承诺</w:t>
            </w:r>
          </w:p>
        </w:tc>
        <w:tc>
          <w:tcPr>
            <w:tcW w:w="795" w:type="dxa"/>
            <w:vAlign w:val="center"/>
          </w:tcPr>
          <w:p w14:paraId="426E54FD">
            <w:pPr>
              <w:spacing w:after="0" w:afterLines="0" w:line="400" w:lineRule="exact"/>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4993" w:type="dxa"/>
            <w:vAlign w:val="center"/>
          </w:tcPr>
          <w:p w14:paraId="4F3AA1AD">
            <w:pPr>
              <w:spacing w:after="0" w:afterLines="0" w:line="400" w:lineRule="exact"/>
              <w:rPr>
                <w:rFonts w:ascii="宋体" w:hAnsi="宋体" w:cs="宋体"/>
                <w:b/>
                <w:bCs/>
                <w:szCs w:val="21"/>
              </w:rPr>
            </w:pPr>
            <w:r>
              <w:rPr>
                <w:rFonts w:hint="eastAsia" w:ascii="宋体" w:hAnsi="宋体" w:cs="宋体"/>
                <w:b/>
                <w:bCs/>
                <w:szCs w:val="21"/>
              </w:rPr>
              <w:t>（一）评审内容：</w:t>
            </w:r>
          </w:p>
          <w:p w14:paraId="2DC040C7">
            <w:pPr>
              <w:spacing w:after="0" w:afterLines="0" w:line="400" w:lineRule="exact"/>
              <w:rPr>
                <w:rFonts w:ascii="宋体" w:hAnsi="宋体" w:cs="宋体"/>
                <w:szCs w:val="21"/>
              </w:rPr>
            </w:pPr>
            <w:r>
              <w:rPr>
                <w:rFonts w:hint="eastAsia" w:ascii="宋体" w:hAnsi="宋体" w:cs="宋体"/>
                <w:szCs w:val="21"/>
              </w:rPr>
              <w:t>投标人承诺中标后，需在合同签订后5个工作日内，按时开展该合同服务全部内容。如未能按时开展，将视为根本违约，采购单位有权依法解除与其签订的采购合同。承诺文件有上述内容的，得</w:t>
            </w:r>
            <w:r>
              <w:rPr>
                <w:rFonts w:hint="eastAsia" w:ascii="宋体" w:hAnsi="宋体" w:cs="宋体"/>
                <w:szCs w:val="21"/>
                <w:lang w:val="en-US" w:eastAsia="zh-CN"/>
              </w:rPr>
              <w:t>5</w:t>
            </w:r>
            <w:r>
              <w:rPr>
                <w:rFonts w:hint="eastAsia" w:ascii="宋体" w:hAnsi="宋体" w:cs="宋体"/>
                <w:szCs w:val="21"/>
              </w:rPr>
              <w:t>分，否则不得分。</w:t>
            </w:r>
          </w:p>
          <w:p w14:paraId="18E90D8F">
            <w:pPr>
              <w:spacing w:after="0" w:afterLines="0" w:line="400" w:lineRule="exact"/>
              <w:rPr>
                <w:rFonts w:ascii="宋体" w:hAnsi="宋体" w:cs="宋体"/>
                <w:b/>
                <w:bCs/>
                <w:szCs w:val="21"/>
              </w:rPr>
            </w:pPr>
            <w:r>
              <w:rPr>
                <w:rFonts w:hint="eastAsia" w:ascii="宋体" w:hAnsi="宋体" w:cs="宋体"/>
                <w:b/>
                <w:bCs/>
                <w:szCs w:val="21"/>
              </w:rPr>
              <w:t>（二）证明文件：</w:t>
            </w:r>
          </w:p>
          <w:p w14:paraId="3C81D8E3">
            <w:pPr>
              <w:spacing w:after="0" w:afterLines="0" w:line="400" w:lineRule="exact"/>
              <w:rPr>
                <w:rFonts w:ascii="宋体" w:hAnsi="宋体" w:cs="宋体"/>
                <w:szCs w:val="21"/>
              </w:rPr>
            </w:pPr>
            <w:r>
              <w:rPr>
                <w:rFonts w:hint="eastAsia" w:ascii="宋体" w:hAnsi="宋体" w:cs="宋体"/>
                <w:szCs w:val="21"/>
              </w:rPr>
              <w:t>投标人提供承诺文件并加盖投标人公章（格式自拟），原件备查，未按要求提供或资料不清晰导致专家无法判断的不得分。</w:t>
            </w:r>
          </w:p>
        </w:tc>
      </w:tr>
      <w:tr w14:paraId="43D1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0793B5B4">
            <w:pPr>
              <w:spacing w:after="0" w:afterLines="0" w:line="400" w:lineRule="exact"/>
              <w:jc w:val="center"/>
              <w:rPr>
                <w:rFonts w:ascii="宋体" w:hAnsi="宋体" w:cs="宋体"/>
                <w:b/>
                <w:bCs/>
                <w:color w:val="0000FF"/>
                <w:szCs w:val="21"/>
              </w:rPr>
            </w:pPr>
          </w:p>
        </w:tc>
        <w:tc>
          <w:tcPr>
            <w:tcW w:w="680" w:type="dxa"/>
            <w:vAlign w:val="center"/>
          </w:tcPr>
          <w:p w14:paraId="06302D4A">
            <w:pPr>
              <w:spacing w:after="0" w:afterLines="0" w:line="400" w:lineRule="exact"/>
              <w:jc w:val="center"/>
              <w:rPr>
                <w:rFonts w:ascii="宋体" w:hAnsi="宋体" w:cs="宋体"/>
                <w:szCs w:val="21"/>
              </w:rPr>
            </w:pPr>
            <w:r>
              <w:rPr>
                <w:rFonts w:hint="eastAsia" w:ascii="宋体" w:hAnsi="宋体" w:cs="宋体"/>
                <w:szCs w:val="21"/>
              </w:rPr>
              <w:t>7</w:t>
            </w:r>
          </w:p>
        </w:tc>
        <w:tc>
          <w:tcPr>
            <w:tcW w:w="1924" w:type="dxa"/>
            <w:vAlign w:val="center"/>
          </w:tcPr>
          <w:p w14:paraId="7763B266">
            <w:pPr>
              <w:spacing w:after="0" w:afterLines="0" w:line="400" w:lineRule="exact"/>
              <w:jc w:val="center"/>
              <w:rPr>
                <w:rFonts w:ascii="宋体" w:hAnsi="宋体" w:cs="宋体"/>
                <w:szCs w:val="21"/>
              </w:rPr>
            </w:pPr>
            <w:r>
              <w:rPr>
                <w:rFonts w:hint="eastAsia" w:ascii="宋体" w:hAnsi="宋体" w:cstheme="minorEastAsia"/>
                <w:bCs/>
                <w:szCs w:val="21"/>
              </w:rPr>
              <w:t>项目服务期满后的服务承诺</w:t>
            </w:r>
          </w:p>
        </w:tc>
        <w:tc>
          <w:tcPr>
            <w:tcW w:w="795" w:type="dxa"/>
            <w:vAlign w:val="center"/>
          </w:tcPr>
          <w:p w14:paraId="0AA31A9A">
            <w:pPr>
              <w:spacing w:after="0" w:afterLines="0" w:line="400" w:lineRule="exact"/>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4993" w:type="dxa"/>
            <w:vAlign w:val="center"/>
          </w:tcPr>
          <w:p w14:paraId="0BE880A7">
            <w:pPr>
              <w:spacing w:after="0" w:afterLines="0" w:line="400" w:lineRule="exact"/>
              <w:rPr>
                <w:rFonts w:ascii="宋体" w:hAnsi="宋体" w:cs="宋体"/>
                <w:b/>
                <w:bCs/>
                <w:szCs w:val="21"/>
              </w:rPr>
            </w:pPr>
            <w:r>
              <w:rPr>
                <w:rFonts w:hint="eastAsia" w:ascii="宋体" w:hAnsi="宋体" w:cs="宋体"/>
                <w:b/>
                <w:bCs/>
                <w:szCs w:val="21"/>
              </w:rPr>
              <w:t>（一）评审内容：</w:t>
            </w:r>
          </w:p>
          <w:p w14:paraId="1B75E6CB">
            <w:pPr>
              <w:tabs>
                <w:tab w:val="left" w:pos="1774"/>
              </w:tabs>
              <w:spacing w:after="60" w:line="400" w:lineRule="exact"/>
              <w:rPr>
                <w:rFonts w:ascii="宋体" w:hAnsi="宋体" w:cstheme="minorEastAsia"/>
                <w:szCs w:val="21"/>
              </w:rPr>
            </w:pPr>
            <w:r>
              <w:rPr>
                <w:rFonts w:hint="eastAsia" w:ascii="宋体" w:hAnsi="宋体" w:cstheme="minorEastAsia"/>
                <w:szCs w:val="21"/>
              </w:rPr>
              <w:t>投标单位承诺以下内容得</w:t>
            </w:r>
            <w:r>
              <w:rPr>
                <w:rFonts w:hint="eastAsia" w:ascii="宋体" w:hAnsi="宋体" w:cstheme="minorEastAsia"/>
                <w:szCs w:val="21"/>
                <w:lang w:val="en-US" w:eastAsia="zh-CN"/>
              </w:rPr>
              <w:t>5</w:t>
            </w:r>
            <w:r>
              <w:rPr>
                <w:rFonts w:hint="eastAsia" w:ascii="宋体" w:hAnsi="宋体" w:cstheme="minorEastAsia"/>
                <w:szCs w:val="21"/>
              </w:rPr>
              <w:t>分：</w:t>
            </w:r>
          </w:p>
          <w:p w14:paraId="33A018DC">
            <w:pPr>
              <w:tabs>
                <w:tab w:val="left" w:pos="1774"/>
              </w:tabs>
              <w:spacing w:after="60" w:line="400" w:lineRule="exact"/>
              <w:rPr>
                <w:rFonts w:ascii="宋体" w:hAnsi="宋体" w:cstheme="minorEastAsia"/>
                <w:szCs w:val="21"/>
              </w:rPr>
            </w:pPr>
            <w:r>
              <w:rPr>
                <w:rFonts w:hint="eastAsia" w:ascii="宋体" w:hAnsi="宋体" w:cstheme="minorEastAsia"/>
                <w:szCs w:val="21"/>
              </w:rPr>
              <w:t>1、本项目服务期满后，主动安排作业人员撤离场地，并妥当处理服务期内尚未解决的人工工伤劳资纠纷等；</w:t>
            </w:r>
          </w:p>
          <w:p w14:paraId="64650AEB">
            <w:pPr>
              <w:tabs>
                <w:tab w:val="left" w:pos="1774"/>
              </w:tabs>
              <w:spacing w:after="60" w:line="400" w:lineRule="exact"/>
              <w:rPr>
                <w:rFonts w:ascii="宋体" w:hAnsi="宋体" w:cstheme="minorEastAsia"/>
                <w:szCs w:val="21"/>
              </w:rPr>
            </w:pPr>
            <w:r>
              <w:rPr>
                <w:rFonts w:hint="eastAsia" w:ascii="宋体" w:hAnsi="宋体" w:cstheme="minorEastAsia"/>
                <w:szCs w:val="21"/>
              </w:rPr>
              <w:t>2、本项目服务期满后，与后续服务公司的有序交接；</w:t>
            </w:r>
          </w:p>
          <w:p w14:paraId="2B02A46A">
            <w:pPr>
              <w:tabs>
                <w:tab w:val="left" w:pos="1774"/>
              </w:tabs>
              <w:spacing w:after="60" w:line="400" w:lineRule="exact"/>
              <w:rPr>
                <w:rFonts w:ascii="宋体" w:hAnsi="宋体" w:cstheme="minorEastAsia"/>
                <w:szCs w:val="21"/>
              </w:rPr>
            </w:pPr>
            <w:r>
              <w:rPr>
                <w:rFonts w:hint="eastAsia" w:ascii="宋体" w:hAnsi="宋体" w:cstheme="minorEastAsia"/>
                <w:szCs w:val="21"/>
              </w:rPr>
              <w:t>3、本项目服务期满后，后续服务公司未到位前仍按原合同提供服务。</w:t>
            </w:r>
          </w:p>
          <w:p w14:paraId="630096C9">
            <w:pPr>
              <w:spacing w:after="0" w:afterLines="0" w:line="400" w:lineRule="exact"/>
              <w:rPr>
                <w:rFonts w:ascii="宋体" w:hAnsi="宋体" w:cs="宋体"/>
                <w:b/>
                <w:bCs/>
                <w:szCs w:val="21"/>
              </w:rPr>
            </w:pPr>
            <w:r>
              <w:rPr>
                <w:rFonts w:hint="eastAsia" w:ascii="宋体" w:hAnsi="宋体" w:cs="宋体"/>
                <w:b/>
                <w:bCs/>
                <w:szCs w:val="21"/>
              </w:rPr>
              <w:t>（二）证明文件：</w:t>
            </w:r>
          </w:p>
          <w:p w14:paraId="208356F3">
            <w:pPr>
              <w:spacing w:after="0" w:afterLines="0" w:line="400" w:lineRule="exact"/>
              <w:rPr>
                <w:rFonts w:ascii="宋体" w:hAnsi="宋体" w:cs="宋体"/>
                <w:szCs w:val="21"/>
              </w:rPr>
            </w:pPr>
            <w:r>
              <w:rPr>
                <w:rFonts w:hint="eastAsia" w:ascii="宋体" w:hAnsi="宋体" w:cstheme="minorEastAsia"/>
                <w:szCs w:val="21"/>
              </w:rPr>
              <w:t>提供承诺函（格式自拟），未提供承诺函或承诺函内容不满足要求的不得分。</w:t>
            </w:r>
          </w:p>
        </w:tc>
      </w:tr>
      <w:tr w14:paraId="3DB6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restart"/>
            <w:vAlign w:val="center"/>
          </w:tcPr>
          <w:p w14:paraId="6F8C2521">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3</w:t>
            </w:r>
          </w:p>
        </w:tc>
        <w:tc>
          <w:tcPr>
            <w:tcW w:w="3399" w:type="dxa"/>
            <w:gridSpan w:val="3"/>
            <w:vAlign w:val="center"/>
          </w:tcPr>
          <w:p w14:paraId="5A4C51ED">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商务部分</w:t>
            </w:r>
          </w:p>
        </w:tc>
        <w:tc>
          <w:tcPr>
            <w:tcW w:w="4993" w:type="dxa"/>
            <w:vAlign w:val="center"/>
          </w:tcPr>
          <w:p w14:paraId="60EE5F14">
            <w:pPr>
              <w:spacing w:after="0" w:afterLines="0" w:line="400" w:lineRule="exact"/>
              <w:jc w:val="center"/>
              <w:rPr>
                <w:rFonts w:hint="default" w:ascii="宋体" w:hAnsi="宋体" w:eastAsia="宋体" w:cs="宋体"/>
                <w:b/>
                <w:bCs/>
                <w:color w:val="0000FF"/>
                <w:szCs w:val="21"/>
                <w:lang w:val="en-US" w:eastAsia="zh-CN"/>
              </w:rPr>
            </w:pPr>
            <w:r>
              <w:rPr>
                <w:rFonts w:hint="eastAsia" w:ascii="宋体" w:hAnsi="宋体" w:cs="宋体"/>
                <w:b/>
                <w:bCs/>
                <w:color w:val="0000FF"/>
                <w:szCs w:val="21"/>
                <w:lang w:val="en-US" w:eastAsia="zh-CN"/>
              </w:rPr>
              <w:t>35</w:t>
            </w:r>
          </w:p>
        </w:tc>
      </w:tr>
      <w:tr w14:paraId="1326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75B83E49">
            <w:pPr>
              <w:spacing w:after="0" w:afterLines="0" w:line="400" w:lineRule="exact"/>
              <w:jc w:val="center"/>
              <w:rPr>
                <w:rFonts w:ascii="宋体" w:hAnsi="宋体" w:cs="宋体"/>
                <w:b/>
                <w:bCs/>
                <w:color w:val="0000FF"/>
                <w:szCs w:val="21"/>
              </w:rPr>
            </w:pPr>
          </w:p>
        </w:tc>
        <w:tc>
          <w:tcPr>
            <w:tcW w:w="8392" w:type="dxa"/>
            <w:gridSpan w:val="4"/>
            <w:vAlign w:val="center"/>
          </w:tcPr>
          <w:p w14:paraId="65651708">
            <w:pPr>
              <w:spacing w:after="0" w:afterLines="0" w:line="400" w:lineRule="exact"/>
              <w:jc w:val="center"/>
              <w:rPr>
                <w:rFonts w:ascii="宋体" w:hAnsi="宋体" w:cs="宋体"/>
                <w:szCs w:val="21"/>
              </w:rPr>
            </w:pPr>
          </w:p>
        </w:tc>
      </w:tr>
      <w:tr w14:paraId="33FE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shd w:val="clear" w:color="auto" w:fill="E6EFFA"/>
            <w:vAlign w:val="center"/>
          </w:tcPr>
          <w:p w14:paraId="06A450B1">
            <w:pPr>
              <w:spacing w:after="0" w:afterLines="0" w:line="400" w:lineRule="exact"/>
              <w:jc w:val="center"/>
              <w:rPr>
                <w:rFonts w:ascii="宋体" w:hAnsi="宋体" w:cs="宋体"/>
                <w:b/>
                <w:bCs/>
                <w:color w:val="0000FF"/>
                <w:szCs w:val="21"/>
              </w:rPr>
            </w:pPr>
          </w:p>
        </w:tc>
        <w:tc>
          <w:tcPr>
            <w:tcW w:w="680" w:type="dxa"/>
            <w:shd w:val="clear" w:color="auto" w:fill="E6EFFA"/>
            <w:vAlign w:val="center"/>
          </w:tcPr>
          <w:p w14:paraId="1DCEE4CD">
            <w:pPr>
              <w:spacing w:after="0" w:afterLines="0" w:line="400" w:lineRule="exact"/>
              <w:jc w:val="center"/>
              <w:rPr>
                <w:rFonts w:ascii="宋体" w:hAnsi="宋体" w:cs="宋体"/>
                <w:szCs w:val="21"/>
              </w:rPr>
            </w:pPr>
            <w:r>
              <w:rPr>
                <w:rFonts w:hint="eastAsia" w:ascii="宋体" w:hAnsi="宋体" w:cs="宋体"/>
                <w:szCs w:val="21"/>
              </w:rPr>
              <w:t>序号</w:t>
            </w:r>
          </w:p>
        </w:tc>
        <w:tc>
          <w:tcPr>
            <w:tcW w:w="1924" w:type="dxa"/>
            <w:shd w:val="clear" w:color="auto" w:fill="E6EFFA"/>
            <w:vAlign w:val="center"/>
          </w:tcPr>
          <w:p w14:paraId="029E5F93">
            <w:pPr>
              <w:spacing w:after="0" w:afterLines="0" w:line="400" w:lineRule="exact"/>
              <w:jc w:val="center"/>
              <w:rPr>
                <w:rFonts w:ascii="宋体" w:hAnsi="宋体" w:cs="宋体"/>
                <w:szCs w:val="21"/>
              </w:rPr>
            </w:pPr>
            <w:r>
              <w:rPr>
                <w:rFonts w:hint="eastAsia" w:ascii="宋体" w:hAnsi="宋体" w:cs="宋体"/>
                <w:szCs w:val="21"/>
              </w:rPr>
              <w:t>评分因素</w:t>
            </w:r>
          </w:p>
        </w:tc>
        <w:tc>
          <w:tcPr>
            <w:tcW w:w="795" w:type="dxa"/>
            <w:shd w:val="clear" w:color="auto" w:fill="E6EFFA"/>
            <w:vAlign w:val="center"/>
          </w:tcPr>
          <w:p w14:paraId="16444562">
            <w:pPr>
              <w:spacing w:after="0" w:afterLines="0" w:line="400" w:lineRule="exact"/>
              <w:jc w:val="center"/>
              <w:rPr>
                <w:rFonts w:ascii="宋体" w:hAnsi="宋体" w:cs="宋体"/>
                <w:szCs w:val="21"/>
              </w:rPr>
            </w:pPr>
            <w:r>
              <w:rPr>
                <w:rFonts w:hint="eastAsia" w:ascii="宋体" w:hAnsi="宋体" w:cs="宋体"/>
                <w:szCs w:val="21"/>
              </w:rPr>
              <w:t>分值</w:t>
            </w:r>
          </w:p>
        </w:tc>
        <w:tc>
          <w:tcPr>
            <w:tcW w:w="4993" w:type="dxa"/>
            <w:shd w:val="clear" w:color="auto" w:fill="E6EFFA"/>
            <w:vAlign w:val="center"/>
          </w:tcPr>
          <w:p w14:paraId="348E366E">
            <w:pPr>
              <w:spacing w:after="0" w:afterLines="0" w:line="400" w:lineRule="exact"/>
              <w:jc w:val="center"/>
              <w:rPr>
                <w:rFonts w:ascii="宋体" w:hAnsi="宋体" w:cs="宋体"/>
                <w:szCs w:val="21"/>
              </w:rPr>
            </w:pPr>
            <w:r>
              <w:rPr>
                <w:rFonts w:hint="eastAsia" w:ascii="宋体" w:hAnsi="宋体" w:cs="宋体"/>
                <w:szCs w:val="21"/>
              </w:rPr>
              <w:t>评分准则</w:t>
            </w:r>
          </w:p>
        </w:tc>
      </w:tr>
      <w:tr w14:paraId="7473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79012FC8">
            <w:pPr>
              <w:spacing w:after="0" w:afterLines="0" w:line="400" w:lineRule="exact"/>
              <w:jc w:val="center"/>
              <w:rPr>
                <w:rFonts w:ascii="宋体" w:hAnsi="宋体" w:cs="宋体"/>
                <w:b/>
                <w:bCs/>
                <w:color w:val="0000FF"/>
                <w:szCs w:val="21"/>
              </w:rPr>
            </w:pPr>
          </w:p>
        </w:tc>
        <w:tc>
          <w:tcPr>
            <w:tcW w:w="680" w:type="dxa"/>
            <w:vAlign w:val="center"/>
          </w:tcPr>
          <w:p w14:paraId="3B777DFA">
            <w:pPr>
              <w:spacing w:after="0" w:afterLines="0" w:line="400" w:lineRule="exact"/>
              <w:jc w:val="center"/>
              <w:rPr>
                <w:rFonts w:ascii="宋体" w:hAnsi="宋体" w:cs="宋体"/>
                <w:szCs w:val="21"/>
              </w:rPr>
            </w:pPr>
            <w:r>
              <w:rPr>
                <w:rFonts w:hint="eastAsia" w:ascii="宋体" w:hAnsi="宋体" w:cs="宋体"/>
                <w:szCs w:val="21"/>
              </w:rPr>
              <w:t>1</w:t>
            </w:r>
          </w:p>
        </w:tc>
        <w:tc>
          <w:tcPr>
            <w:tcW w:w="1924" w:type="dxa"/>
            <w:vAlign w:val="center"/>
          </w:tcPr>
          <w:p w14:paraId="5F8F80C4">
            <w:pPr>
              <w:spacing w:after="0" w:afterLines="0" w:line="400" w:lineRule="exact"/>
              <w:jc w:val="center"/>
              <w:rPr>
                <w:rFonts w:ascii="宋体" w:hAnsi="宋体" w:cs="宋体"/>
                <w:szCs w:val="21"/>
              </w:rPr>
            </w:pPr>
            <w:r>
              <w:rPr>
                <w:rFonts w:hint="eastAsia" w:ascii="宋体" w:hAnsi="宋体" w:cs="宋体"/>
                <w:szCs w:val="21"/>
              </w:rPr>
              <w:t>同类项目业绩</w:t>
            </w:r>
          </w:p>
        </w:tc>
        <w:tc>
          <w:tcPr>
            <w:tcW w:w="795" w:type="dxa"/>
            <w:vAlign w:val="center"/>
          </w:tcPr>
          <w:p w14:paraId="44C33707">
            <w:pPr>
              <w:spacing w:after="0" w:afterLines="0" w:line="400" w:lineRule="exact"/>
              <w:jc w:val="center"/>
              <w:rPr>
                <w:rFonts w:ascii="宋体" w:hAnsi="宋体" w:cs="宋体"/>
                <w:szCs w:val="21"/>
              </w:rPr>
            </w:pPr>
            <w:r>
              <w:rPr>
                <w:rFonts w:hint="eastAsia" w:ascii="宋体" w:hAnsi="宋体" w:cs="宋体"/>
                <w:szCs w:val="21"/>
              </w:rPr>
              <w:t>10</w:t>
            </w:r>
          </w:p>
        </w:tc>
        <w:tc>
          <w:tcPr>
            <w:tcW w:w="4993" w:type="dxa"/>
            <w:vAlign w:val="center"/>
          </w:tcPr>
          <w:p w14:paraId="26BD519B">
            <w:pPr>
              <w:spacing w:after="0" w:afterLines="0" w:line="400" w:lineRule="exact"/>
              <w:rPr>
                <w:rFonts w:ascii="宋体" w:hAnsi="宋体" w:cs="宋体"/>
                <w:b/>
                <w:szCs w:val="21"/>
              </w:rPr>
            </w:pPr>
            <w:r>
              <w:rPr>
                <w:rFonts w:hint="eastAsia" w:ascii="宋体" w:hAnsi="宋体" w:cs="宋体"/>
                <w:b/>
                <w:szCs w:val="21"/>
              </w:rPr>
              <w:t>（一）评审内容：</w:t>
            </w:r>
          </w:p>
          <w:p w14:paraId="37BE39F6">
            <w:pPr>
              <w:spacing w:after="0" w:afterLines="0" w:line="400" w:lineRule="exact"/>
              <w:rPr>
                <w:rFonts w:ascii="宋体" w:hAnsi="宋体" w:cs="宋体"/>
                <w:szCs w:val="21"/>
              </w:rPr>
            </w:pPr>
            <w:r>
              <w:rPr>
                <w:rFonts w:hint="eastAsia" w:ascii="宋体" w:hAnsi="宋体" w:cs="宋体"/>
                <w:szCs w:val="21"/>
              </w:rPr>
              <w:t>投标人自202</w:t>
            </w:r>
            <w:r>
              <w:rPr>
                <w:rFonts w:hint="eastAsia" w:ascii="宋体" w:hAnsi="宋体" w:cs="宋体"/>
                <w:szCs w:val="21"/>
                <w:lang w:val="en-US" w:eastAsia="zh-CN"/>
              </w:rPr>
              <w:t>2</w:t>
            </w:r>
            <w:r>
              <w:rPr>
                <w:rFonts w:hint="eastAsia" w:ascii="宋体" w:hAnsi="宋体" w:cs="宋体"/>
                <w:szCs w:val="21"/>
              </w:rPr>
              <w:t>年1月1日至本项目投标截止时间前(以合同签订时间为准)，完成政府机关或事业单位安保服务或秩序维护项目，每提供一项业绩得2.5分，本项最高得10分。同一项目续签合同不重复计分。</w:t>
            </w:r>
          </w:p>
          <w:p w14:paraId="5E398BFE">
            <w:pPr>
              <w:spacing w:after="0" w:afterLines="0" w:line="400" w:lineRule="exact"/>
              <w:rPr>
                <w:rFonts w:ascii="宋体" w:hAnsi="宋体" w:cs="宋体"/>
                <w:b/>
                <w:szCs w:val="21"/>
              </w:rPr>
            </w:pPr>
            <w:r>
              <w:rPr>
                <w:rFonts w:hint="eastAsia" w:ascii="宋体" w:hAnsi="宋体" w:cs="宋体"/>
                <w:b/>
                <w:szCs w:val="21"/>
              </w:rPr>
              <w:t>（二）证明文件：</w:t>
            </w:r>
          </w:p>
          <w:p w14:paraId="3BF749D7">
            <w:pPr>
              <w:spacing w:after="0" w:afterLines="0" w:line="400" w:lineRule="exact"/>
              <w:rPr>
                <w:rFonts w:ascii="宋体" w:hAnsi="宋体" w:cs="宋体"/>
                <w:szCs w:val="21"/>
              </w:rPr>
            </w:pPr>
            <w:r>
              <w:rPr>
                <w:rFonts w:hint="eastAsia" w:ascii="宋体" w:hAnsi="宋体" w:cs="宋体"/>
                <w:szCs w:val="21"/>
              </w:rPr>
              <w:t>投标人提供中标通知书和项目合同关键页扫描件，原件备查，未按要求提供或资料不清晰导致专家无法判断的不得分。</w:t>
            </w:r>
          </w:p>
        </w:tc>
      </w:tr>
      <w:tr w14:paraId="2129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5A15A3F3">
            <w:pPr>
              <w:spacing w:after="0" w:afterLines="0" w:line="400" w:lineRule="exact"/>
              <w:jc w:val="center"/>
              <w:rPr>
                <w:rFonts w:ascii="宋体" w:hAnsi="宋体" w:cs="宋体"/>
                <w:b/>
                <w:bCs/>
                <w:color w:val="0000FF"/>
                <w:szCs w:val="21"/>
              </w:rPr>
            </w:pPr>
          </w:p>
        </w:tc>
        <w:tc>
          <w:tcPr>
            <w:tcW w:w="680" w:type="dxa"/>
            <w:vAlign w:val="center"/>
          </w:tcPr>
          <w:p w14:paraId="168440AD">
            <w:pPr>
              <w:spacing w:after="0" w:afterLines="0" w:line="400" w:lineRule="exact"/>
              <w:jc w:val="center"/>
              <w:rPr>
                <w:rFonts w:ascii="宋体" w:hAnsi="宋体" w:cs="宋体"/>
                <w:szCs w:val="21"/>
              </w:rPr>
            </w:pPr>
            <w:r>
              <w:rPr>
                <w:rFonts w:hint="eastAsia" w:ascii="宋体" w:hAnsi="宋体" w:cs="宋体"/>
                <w:szCs w:val="21"/>
              </w:rPr>
              <w:t>2</w:t>
            </w:r>
          </w:p>
        </w:tc>
        <w:tc>
          <w:tcPr>
            <w:tcW w:w="1924" w:type="dxa"/>
            <w:vAlign w:val="center"/>
          </w:tcPr>
          <w:p w14:paraId="589D78FC">
            <w:pPr>
              <w:spacing w:after="0" w:afterLines="0" w:line="400" w:lineRule="exact"/>
              <w:jc w:val="center"/>
              <w:rPr>
                <w:rFonts w:ascii="宋体" w:hAnsi="宋体" w:cs="宋体"/>
                <w:szCs w:val="21"/>
              </w:rPr>
            </w:pPr>
            <w:r>
              <w:rPr>
                <w:rFonts w:hint="eastAsia" w:ascii="宋体" w:hAnsi="宋体" w:cs="宋体"/>
                <w:szCs w:val="21"/>
              </w:rPr>
              <w:t>履约评价</w:t>
            </w:r>
          </w:p>
        </w:tc>
        <w:tc>
          <w:tcPr>
            <w:tcW w:w="795" w:type="dxa"/>
            <w:vAlign w:val="center"/>
          </w:tcPr>
          <w:p w14:paraId="10D4C090">
            <w:pPr>
              <w:spacing w:after="0" w:afterLines="0" w:line="400" w:lineRule="exact"/>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4993" w:type="dxa"/>
            <w:vAlign w:val="center"/>
          </w:tcPr>
          <w:p w14:paraId="3CC0DD75">
            <w:pPr>
              <w:spacing w:after="0" w:afterLines="0" w:line="400" w:lineRule="exact"/>
              <w:rPr>
                <w:rFonts w:ascii="宋体" w:hAnsi="宋体" w:cs="宋体"/>
                <w:b/>
                <w:szCs w:val="21"/>
              </w:rPr>
            </w:pPr>
            <w:r>
              <w:rPr>
                <w:rFonts w:hint="eastAsia" w:ascii="宋体" w:hAnsi="宋体" w:cs="宋体"/>
                <w:b/>
                <w:szCs w:val="21"/>
              </w:rPr>
              <w:t>（一）评审内容：</w:t>
            </w:r>
          </w:p>
          <w:p w14:paraId="53914F28">
            <w:pPr>
              <w:spacing w:after="0" w:afterLines="0" w:line="400" w:lineRule="exact"/>
              <w:rPr>
                <w:rFonts w:ascii="宋体" w:hAnsi="宋体" w:cs="宋体"/>
                <w:szCs w:val="21"/>
              </w:rPr>
            </w:pPr>
            <w:r>
              <w:rPr>
                <w:rFonts w:hint="eastAsia" w:ascii="宋体" w:hAnsi="宋体" w:cs="宋体"/>
                <w:szCs w:val="21"/>
              </w:rPr>
              <w:t>投标人在上述“同类项目业绩”评审项中参加评审并被认定有效的业绩中，履约评价为满意或优秀或优或良好或良的(或同等及以上评价的，如服务评价证明不能反映上述评价内容的不得分)，每提供一个履约评价证明得</w:t>
            </w:r>
            <w:r>
              <w:rPr>
                <w:rFonts w:hint="eastAsia" w:ascii="宋体" w:hAnsi="宋体" w:cs="宋体"/>
                <w:szCs w:val="21"/>
                <w:lang w:val="en-US" w:eastAsia="zh-CN"/>
              </w:rPr>
              <w:t>2.5</w:t>
            </w:r>
            <w:r>
              <w:rPr>
                <w:rFonts w:hint="eastAsia" w:ascii="宋体" w:hAnsi="宋体" w:cs="宋体"/>
                <w:szCs w:val="21"/>
              </w:rPr>
              <w:t>分，本项最高得</w:t>
            </w:r>
            <w:r>
              <w:rPr>
                <w:rFonts w:hint="eastAsia" w:ascii="宋体" w:hAnsi="宋体" w:cs="宋体"/>
                <w:szCs w:val="21"/>
                <w:lang w:val="en-US" w:eastAsia="zh-CN"/>
              </w:rPr>
              <w:t>5</w:t>
            </w:r>
            <w:r>
              <w:rPr>
                <w:rFonts w:hint="eastAsia" w:ascii="宋体" w:hAnsi="宋体" w:cs="宋体"/>
                <w:szCs w:val="21"/>
              </w:rPr>
              <w:t>分。</w:t>
            </w:r>
          </w:p>
          <w:p w14:paraId="522150B1">
            <w:pPr>
              <w:spacing w:after="0" w:afterLines="0" w:line="400" w:lineRule="exact"/>
              <w:rPr>
                <w:rFonts w:ascii="宋体" w:hAnsi="宋体" w:cs="宋体"/>
                <w:b/>
                <w:szCs w:val="21"/>
              </w:rPr>
            </w:pPr>
            <w:r>
              <w:rPr>
                <w:rFonts w:hint="eastAsia" w:ascii="宋体" w:hAnsi="宋体" w:cs="宋体"/>
                <w:b/>
                <w:szCs w:val="21"/>
              </w:rPr>
              <w:t>（二）证明文件：</w:t>
            </w:r>
          </w:p>
          <w:p w14:paraId="74FAC779">
            <w:pPr>
              <w:spacing w:after="0" w:afterLines="0" w:line="400" w:lineRule="exact"/>
              <w:rPr>
                <w:rFonts w:ascii="宋体" w:hAnsi="宋体" w:cs="宋体"/>
                <w:szCs w:val="21"/>
              </w:rPr>
            </w:pPr>
            <w:r>
              <w:rPr>
                <w:rFonts w:hint="eastAsia" w:ascii="宋体" w:hAnsi="宋体" w:cs="宋体"/>
                <w:szCs w:val="21"/>
              </w:rPr>
              <w:t>投标人提供由合同甲方出具的履约评价（加盖合同甲方公章或甲方业务章）扫描件，原件备查，未按要求提供或资料不清晰导致专家无法判断的不得分。</w:t>
            </w:r>
          </w:p>
        </w:tc>
      </w:tr>
      <w:tr w14:paraId="2390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5BFB7259">
            <w:pPr>
              <w:spacing w:after="0" w:afterLines="0" w:line="400" w:lineRule="exact"/>
              <w:jc w:val="center"/>
              <w:rPr>
                <w:rFonts w:ascii="宋体" w:hAnsi="宋体" w:cs="宋体"/>
                <w:b/>
                <w:bCs/>
                <w:color w:val="0000FF"/>
                <w:szCs w:val="21"/>
              </w:rPr>
            </w:pPr>
          </w:p>
        </w:tc>
        <w:tc>
          <w:tcPr>
            <w:tcW w:w="680" w:type="dxa"/>
            <w:vAlign w:val="center"/>
          </w:tcPr>
          <w:p w14:paraId="3866D8A2">
            <w:pPr>
              <w:spacing w:after="0" w:afterLines="0" w:line="400" w:lineRule="exact"/>
              <w:jc w:val="center"/>
              <w:rPr>
                <w:rFonts w:ascii="宋体" w:hAnsi="宋体" w:cs="宋体"/>
                <w:szCs w:val="21"/>
              </w:rPr>
            </w:pPr>
            <w:r>
              <w:rPr>
                <w:rFonts w:hint="eastAsia" w:ascii="宋体" w:hAnsi="宋体" w:cs="宋体"/>
                <w:szCs w:val="21"/>
              </w:rPr>
              <w:t>3</w:t>
            </w:r>
          </w:p>
        </w:tc>
        <w:tc>
          <w:tcPr>
            <w:tcW w:w="1924" w:type="dxa"/>
            <w:vAlign w:val="center"/>
          </w:tcPr>
          <w:p w14:paraId="31CDF87E">
            <w:pPr>
              <w:spacing w:after="0" w:afterLines="0" w:line="400" w:lineRule="exact"/>
              <w:jc w:val="center"/>
              <w:rPr>
                <w:rFonts w:ascii="宋体" w:hAnsi="宋体" w:cs="宋体"/>
                <w:szCs w:val="21"/>
              </w:rPr>
            </w:pPr>
            <w:r>
              <w:rPr>
                <w:rFonts w:hint="eastAsia" w:ascii="宋体" w:hAnsi="宋体" w:cs="宋体"/>
                <w:szCs w:val="21"/>
              </w:rPr>
              <w:t>企业荣誉</w:t>
            </w:r>
          </w:p>
        </w:tc>
        <w:tc>
          <w:tcPr>
            <w:tcW w:w="795" w:type="dxa"/>
            <w:vAlign w:val="center"/>
          </w:tcPr>
          <w:p w14:paraId="5D9CA1B7">
            <w:pPr>
              <w:spacing w:after="0" w:afterLines="0" w:line="400" w:lineRule="exact"/>
              <w:jc w:val="center"/>
              <w:rPr>
                <w:rFonts w:ascii="宋体" w:hAnsi="宋体" w:cs="宋体"/>
                <w:szCs w:val="21"/>
              </w:rPr>
            </w:pPr>
            <w:r>
              <w:rPr>
                <w:rFonts w:hint="eastAsia" w:ascii="宋体" w:hAnsi="宋体" w:cs="宋体"/>
                <w:szCs w:val="21"/>
              </w:rPr>
              <w:t>10</w:t>
            </w:r>
          </w:p>
        </w:tc>
        <w:tc>
          <w:tcPr>
            <w:tcW w:w="4993" w:type="dxa"/>
            <w:vAlign w:val="center"/>
          </w:tcPr>
          <w:p w14:paraId="6A1FF04E">
            <w:pPr>
              <w:spacing w:after="0" w:afterLines="0" w:line="400" w:lineRule="exact"/>
              <w:rPr>
                <w:rFonts w:ascii="宋体" w:hAnsi="宋体" w:cs="宋体"/>
                <w:b/>
                <w:szCs w:val="21"/>
              </w:rPr>
            </w:pPr>
            <w:r>
              <w:rPr>
                <w:rFonts w:hint="eastAsia" w:ascii="宋体" w:hAnsi="宋体" w:cs="宋体"/>
                <w:b/>
                <w:szCs w:val="21"/>
              </w:rPr>
              <w:t>（一）评审内容：</w:t>
            </w:r>
          </w:p>
          <w:p w14:paraId="35833079">
            <w:pPr>
              <w:spacing w:after="0" w:afterLines="0" w:line="400" w:lineRule="exact"/>
              <w:rPr>
                <w:rFonts w:ascii="宋体" w:hAnsi="宋体" w:cs="宋体"/>
                <w:szCs w:val="21"/>
              </w:rPr>
            </w:pPr>
            <w:r>
              <w:rPr>
                <w:rFonts w:hint="eastAsia" w:ascii="宋体" w:hAnsi="宋体" w:cs="宋体"/>
                <w:szCs w:val="21"/>
              </w:rPr>
              <w:t>投标人自202</w:t>
            </w:r>
            <w:r>
              <w:rPr>
                <w:rFonts w:hint="eastAsia" w:ascii="宋体" w:hAnsi="宋体" w:cs="宋体"/>
                <w:szCs w:val="21"/>
                <w:lang w:val="en-US" w:eastAsia="zh-CN"/>
              </w:rPr>
              <w:t>2</w:t>
            </w:r>
            <w:r>
              <w:rPr>
                <w:rFonts w:hint="eastAsia" w:ascii="宋体" w:hAnsi="宋体" w:cs="宋体"/>
                <w:szCs w:val="21"/>
              </w:rPr>
              <w:t>年1月1日至本项目投标截止时间前获得荣誉情况（以获奖或通知时间为准）：</w:t>
            </w:r>
          </w:p>
          <w:p w14:paraId="7E50BE23">
            <w:pPr>
              <w:spacing w:after="0" w:afterLines="0" w:line="400" w:lineRule="exact"/>
              <w:rPr>
                <w:rFonts w:ascii="宋体" w:hAnsi="宋体" w:cs="宋体"/>
                <w:szCs w:val="21"/>
              </w:rPr>
            </w:pPr>
            <w:r>
              <w:rPr>
                <w:rFonts w:hint="eastAsia" w:ascii="宋体" w:hAnsi="宋体" w:cs="宋体"/>
                <w:szCs w:val="21"/>
              </w:rPr>
              <w:t>1.具有副省级城市或以上政府部门颁发的安保相关荣誉，得5分；</w:t>
            </w:r>
          </w:p>
          <w:p w14:paraId="44D5734F">
            <w:pPr>
              <w:spacing w:after="0" w:afterLines="0" w:line="400" w:lineRule="exact"/>
              <w:rPr>
                <w:rFonts w:ascii="宋体" w:hAnsi="宋体" w:cs="宋体"/>
                <w:szCs w:val="21"/>
              </w:rPr>
            </w:pPr>
            <w:r>
              <w:rPr>
                <w:rFonts w:hint="eastAsia" w:ascii="宋体" w:hAnsi="宋体" w:cs="宋体"/>
                <w:szCs w:val="21"/>
              </w:rPr>
              <w:t>2.具有副省级城市或以上政府部门颁发的群防群治相关荣誉，得5分。</w:t>
            </w:r>
          </w:p>
          <w:p w14:paraId="1495C283">
            <w:pPr>
              <w:spacing w:after="0" w:afterLines="0" w:line="400" w:lineRule="exact"/>
              <w:rPr>
                <w:rFonts w:ascii="宋体" w:hAnsi="宋体" w:cs="宋体"/>
                <w:szCs w:val="21"/>
              </w:rPr>
            </w:pPr>
            <w:r>
              <w:rPr>
                <w:rFonts w:hint="eastAsia" w:ascii="宋体" w:hAnsi="宋体" w:cs="宋体"/>
                <w:szCs w:val="21"/>
              </w:rPr>
              <w:t>以上荣誉获得主体为投标人，不包含分公司、部门或个人荣誉。</w:t>
            </w:r>
          </w:p>
          <w:p w14:paraId="3E0C869B">
            <w:pPr>
              <w:spacing w:after="0" w:afterLines="0" w:line="400" w:lineRule="exact"/>
              <w:rPr>
                <w:rFonts w:ascii="宋体" w:hAnsi="宋体" w:cs="宋体"/>
                <w:b/>
                <w:szCs w:val="21"/>
              </w:rPr>
            </w:pPr>
            <w:r>
              <w:rPr>
                <w:rFonts w:hint="eastAsia" w:ascii="宋体" w:hAnsi="宋体" w:cs="宋体"/>
                <w:b/>
                <w:szCs w:val="21"/>
              </w:rPr>
              <w:t>（二）证明文件：</w:t>
            </w:r>
          </w:p>
          <w:p w14:paraId="6DDA0110">
            <w:pPr>
              <w:spacing w:after="0" w:afterLines="0" w:line="400" w:lineRule="exact"/>
              <w:rPr>
                <w:rFonts w:ascii="宋体" w:hAnsi="宋体" w:cs="宋体"/>
                <w:szCs w:val="21"/>
              </w:rPr>
            </w:pPr>
            <w:r>
              <w:rPr>
                <w:rFonts w:hint="eastAsia" w:ascii="宋体" w:hAnsi="宋体" w:cs="宋体"/>
                <w:szCs w:val="21"/>
              </w:rPr>
              <w:t>投标人提供荣誉扫描件，原件备查，未按要求提供或资料不清晰导致专家无法判断的不得分。</w:t>
            </w:r>
          </w:p>
          <w:p w14:paraId="46FCBFE3">
            <w:pPr>
              <w:spacing w:after="0" w:afterLines="0" w:line="400" w:lineRule="exact"/>
              <w:rPr>
                <w:rFonts w:ascii="宋体" w:hAnsi="宋体" w:cs="宋体"/>
                <w:b/>
                <w:szCs w:val="21"/>
              </w:rPr>
            </w:pPr>
            <w:r>
              <w:rPr>
                <w:rFonts w:hint="eastAsia" w:ascii="宋体" w:hAnsi="宋体" w:cs="宋体"/>
                <w:szCs w:val="21"/>
              </w:rPr>
              <w:t>注：副省级城市或以上荣誉要求颁发单位包含国务院、国家部委、省政府（或自治区）、直辖市政府、副省级城市及其直属的国家机关（或事业单位）。</w:t>
            </w:r>
          </w:p>
        </w:tc>
      </w:tr>
      <w:tr w14:paraId="1CD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548FAB00">
            <w:pPr>
              <w:spacing w:after="0" w:afterLines="0" w:line="400" w:lineRule="exact"/>
              <w:jc w:val="center"/>
              <w:rPr>
                <w:rFonts w:ascii="宋体" w:hAnsi="宋体" w:cs="宋体"/>
                <w:b/>
                <w:bCs/>
                <w:color w:val="0000FF"/>
                <w:szCs w:val="21"/>
              </w:rPr>
            </w:pPr>
          </w:p>
        </w:tc>
        <w:tc>
          <w:tcPr>
            <w:tcW w:w="680" w:type="dxa"/>
            <w:vAlign w:val="center"/>
          </w:tcPr>
          <w:p w14:paraId="5B19D9DF">
            <w:pPr>
              <w:spacing w:after="0" w:afterLines="0" w:line="400" w:lineRule="exact"/>
              <w:jc w:val="center"/>
              <w:rPr>
                <w:rFonts w:ascii="宋体" w:hAnsi="宋体" w:cs="宋体"/>
                <w:szCs w:val="21"/>
              </w:rPr>
            </w:pPr>
            <w:r>
              <w:rPr>
                <w:rFonts w:hint="eastAsia" w:ascii="宋体" w:hAnsi="宋体" w:cs="宋体"/>
                <w:szCs w:val="21"/>
              </w:rPr>
              <w:t>3</w:t>
            </w:r>
          </w:p>
        </w:tc>
        <w:tc>
          <w:tcPr>
            <w:tcW w:w="1924" w:type="dxa"/>
            <w:vAlign w:val="center"/>
          </w:tcPr>
          <w:p w14:paraId="3636B24F">
            <w:pPr>
              <w:spacing w:after="0" w:afterLines="0" w:line="400" w:lineRule="exact"/>
              <w:jc w:val="center"/>
              <w:rPr>
                <w:rFonts w:ascii="宋体" w:hAnsi="宋体" w:cs="宋体"/>
                <w:szCs w:val="21"/>
              </w:rPr>
            </w:pPr>
            <w:r>
              <w:rPr>
                <w:rFonts w:hint="eastAsia" w:ascii="宋体" w:hAnsi="宋体" w:cs="宋体"/>
                <w:szCs w:val="21"/>
              </w:rPr>
              <w:t>管理体系认证</w:t>
            </w:r>
          </w:p>
        </w:tc>
        <w:tc>
          <w:tcPr>
            <w:tcW w:w="795" w:type="dxa"/>
            <w:vAlign w:val="center"/>
          </w:tcPr>
          <w:p w14:paraId="185FBC84">
            <w:pPr>
              <w:spacing w:after="0" w:afterLines="0" w:line="400" w:lineRule="exact"/>
              <w:jc w:val="center"/>
              <w:rPr>
                <w:rFonts w:ascii="宋体" w:hAnsi="宋体" w:cs="宋体"/>
                <w:szCs w:val="21"/>
              </w:rPr>
            </w:pPr>
            <w:r>
              <w:rPr>
                <w:rFonts w:hint="eastAsia" w:ascii="宋体" w:hAnsi="宋体" w:cs="宋体"/>
                <w:szCs w:val="21"/>
              </w:rPr>
              <w:t>10</w:t>
            </w:r>
          </w:p>
        </w:tc>
        <w:tc>
          <w:tcPr>
            <w:tcW w:w="4993" w:type="dxa"/>
            <w:vAlign w:val="center"/>
          </w:tcPr>
          <w:p w14:paraId="172A2624">
            <w:pPr>
              <w:spacing w:after="0" w:afterLines="0" w:line="400" w:lineRule="exact"/>
              <w:rPr>
                <w:rFonts w:ascii="宋体" w:hAnsi="宋体" w:cs="宋体"/>
                <w:b/>
                <w:szCs w:val="21"/>
              </w:rPr>
            </w:pPr>
            <w:r>
              <w:rPr>
                <w:rFonts w:hint="eastAsia" w:ascii="宋体" w:hAnsi="宋体" w:cs="宋体"/>
                <w:b/>
                <w:szCs w:val="21"/>
              </w:rPr>
              <w:t>（一）评审内容：</w:t>
            </w:r>
          </w:p>
          <w:p w14:paraId="5B73D747">
            <w:pPr>
              <w:spacing w:after="0" w:afterLines="0" w:line="400" w:lineRule="exact"/>
              <w:rPr>
                <w:rFonts w:ascii="宋体" w:hAnsi="宋体" w:cs="宋体"/>
                <w:szCs w:val="21"/>
              </w:rPr>
            </w:pPr>
            <w:r>
              <w:rPr>
                <w:rFonts w:hint="eastAsia" w:ascii="宋体" w:hAnsi="宋体" w:cs="宋体"/>
                <w:szCs w:val="21"/>
              </w:rPr>
              <w:t>投标人获得保安服务认证证书、企业诚信管理体系认证证书、企业社会责任管理体系认证证书、履约能力评价证书、顾客满意度测评服务证书、标准化等级认证证书、应急预案管理能力评价认证证书的得10分，每少一个扣2分，扣完为止。</w:t>
            </w:r>
          </w:p>
          <w:p w14:paraId="77DC8B6F">
            <w:pPr>
              <w:spacing w:after="0" w:afterLines="0" w:line="400" w:lineRule="exact"/>
              <w:rPr>
                <w:rFonts w:ascii="宋体" w:hAnsi="宋体" w:cs="宋体"/>
                <w:b/>
                <w:szCs w:val="21"/>
              </w:rPr>
            </w:pPr>
            <w:r>
              <w:rPr>
                <w:rFonts w:hint="eastAsia" w:ascii="宋体" w:hAnsi="宋体" w:cs="宋体"/>
                <w:b/>
                <w:szCs w:val="21"/>
              </w:rPr>
              <w:t>（二）证明文件：</w:t>
            </w:r>
          </w:p>
          <w:p w14:paraId="072A1DC1">
            <w:pPr>
              <w:spacing w:after="0" w:afterLines="0" w:line="400" w:lineRule="exact"/>
              <w:rPr>
                <w:rFonts w:ascii="宋体" w:hAnsi="宋体" w:cs="宋体"/>
                <w:szCs w:val="21"/>
              </w:rPr>
            </w:pPr>
            <w:r>
              <w:rPr>
                <w:rFonts w:hint="eastAsia" w:ascii="宋体" w:hAnsi="宋体" w:cs="宋体"/>
                <w:szCs w:val="21"/>
              </w:rPr>
              <w:t>投标人提供以上有效期内的证书扫描件，认证证书还需提供在全国认证认可信息公共服务平台（认e云）（http://cx.cnca.cn/）的认证信息截图（须体现网站信息），原件备查，未按要求提供或提供不清晰导致专家无法判断的不得分。</w:t>
            </w:r>
          </w:p>
        </w:tc>
      </w:tr>
      <w:tr w14:paraId="2D04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restart"/>
            <w:vAlign w:val="center"/>
          </w:tcPr>
          <w:p w14:paraId="59B8532C">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4</w:t>
            </w:r>
          </w:p>
        </w:tc>
        <w:tc>
          <w:tcPr>
            <w:tcW w:w="3399" w:type="dxa"/>
            <w:gridSpan w:val="3"/>
            <w:vAlign w:val="center"/>
          </w:tcPr>
          <w:p w14:paraId="58B4C486">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诚信部分</w:t>
            </w:r>
          </w:p>
        </w:tc>
        <w:tc>
          <w:tcPr>
            <w:tcW w:w="4993" w:type="dxa"/>
            <w:vAlign w:val="center"/>
          </w:tcPr>
          <w:p w14:paraId="2656EA73">
            <w:pPr>
              <w:spacing w:after="0" w:afterLines="0" w:line="400" w:lineRule="exact"/>
              <w:jc w:val="center"/>
              <w:rPr>
                <w:rFonts w:ascii="宋体" w:hAnsi="宋体" w:cs="宋体"/>
                <w:b/>
                <w:bCs/>
                <w:color w:val="0000FF"/>
                <w:szCs w:val="21"/>
              </w:rPr>
            </w:pPr>
            <w:r>
              <w:rPr>
                <w:rFonts w:hint="eastAsia" w:ascii="宋体" w:hAnsi="宋体" w:cs="宋体"/>
                <w:b/>
                <w:bCs/>
                <w:color w:val="0000FF"/>
                <w:szCs w:val="21"/>
              </w:rPr>
              <w:t>5</w:t>
            </w:r>
          </w:p>
        </w:tc>
      </w:tr>
      <w:tr w14:paraId="4E30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1CA95988">
            <w:pPr>
              <w:spacing w:after="0" w:afterLines="0" w:line="400" w:lineRule="exact"/>
              <w:jc w:val="center"/>
              <w:rPr>
                <w:rFonts w:ascii="宋体" w:hAnsi="宋体" w:cs="宋体"/>
                <w:b/>
                <w:bCs/>
                <w:color w:val="0000FF"/>
                <w:szCs w:val="21"/>
              </w:rPr>
            </w:pPr>
          </w:p>
        </w:tc>
        <w:tc>
          <w:tcPr>
            <w:tcW w:w="8392" w:type="dxa"/>
            <w:gridSpan w:val="4"/>
            <w:vAlign w:val="center"/>
          </w:tcPr>
          <w:p w14:paraId="49B4B2D0">
            <w:pPr>
              <w:spacing w:after="0" w:afterLines="0" w:line="400" w:lineRule="exact"/>
              <w:jc w:val="center"/>
              <w:rPr>
                <w:rFonts w:ascii="宋体" w:hAnsi="宋体" w:cs="宋体"/>
                <w:szCs w:val="21"/>
              </w:rPr>
            </w:pPr>
          </w:p>
        </w:tc>
      </w:tr>
      <w:tr w14:paraId="6FBD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shd w:val="clear" w:color="auto" w:fill="E6EFFA"/>
            <w:vAlign w:val="center"/>
          </w:tcPr>
          <w:p w14:paraId="101F2A04">
            <w:pPr>
              <w:spacing w:after="0" w:afterLines="0" w:line="400" w:lineRule="exact"/>
              <w:jc w:val="center"/>
              <w:rPr>
                <w:rFonts w:ascii="宋体" w:hAnsi="宋体" w:cs="宋体"/>
                <w:b/>
                <w:bCs/>
                <w:color w:val="0000FF"/>
                <w:szCs w:val="21"/>
              </w:rPr>
            </w:pPr>
          </w:p>
        </w:tc>
        <w:tc>
          <w:tcPr>
            <w:tcW w:w="680" w:type="dxa"/>
            <w:shd w:val="clear" w:color="auto" w:fill="E6EFFA"/>
            <w:vAlign w:val="center"/>
          </w:tcPr>
          <w:p w14:paraId="6E6800C0">
            <w:pPr>
              <w:spacing w:after="0" w:afterLines="0" w:line="400" w:lineRule="exact"/>
              <w:jc w:val="center"/>
              <w:rPr>
                <w:rFonts w:ascii="宋体" w:hAnsi="宋体" w:cs="宋体"/>
                <w:szCs w:val="21"/>
              </w:rPr>
            </w:pPr>
            <w:r>
              <w:rPr>
                <w:rFonts w:hint="eastAsia" w:ascii="宋体" w:hAnsi="宋体" w:cs="宋体"/>
                <w:szCs w:val="21"/>
              </w:rPr>
              <w:t>序号</w:t>
            </w:r>
          </w:p>
        </w:tc>
        <w:tc>
          <w:tcPr>
            <w:tcW w:w="1924" w:type="dxa"/>
            <w:shd w:val="clear" w:color="auto" w:fill="E6EFFA"/>
            <w:vAlign w:val="center"/>
          </w:tcPr>
          <w:p w14:paraId="3D19AE29">
            <w:pPr>
              <w:spacing w:after="0" w:afterLines="0" w:line="400" w:lineRule="exact"/>
              <w:jc w:val="center"/>
              <w:rPr>
                <w:rFonts w:ascii="宋体" w:hAnsi="宋体" w:cs="宋体"/>
                <w:szCs w:val="21"/>
              </w:rPr>
            </w:pPr>
            <w:r>
              <w:rPr>
                <w:rFonts w:hint="eastAsia" w:ascii="宋体" w:hAnsi="宋体" w:cs="宋体"/>
                <w:szCs w:val="21"/>
              </w:rPr>
              <w:t>评分因素</w:t>
            </w:r>
          </w:p>
        </w:tc>
        <w:tc>
          <w:tcPr>
            <w:tcW w:w="795" w:type="dxa"/>
            <w:shd w:val="clear" w:color="auto" w:fill="E6EFFA"/>
            <w:vAlign w:val="center"/>
          </w:tcPr>
          <w:p w14:paraId="77FFBE91">
            <w:pPr>
              <w:spacing w:after="0" w:afterLines="0" w:line="400" w:lineRule="exact"/>
              <w:jc w:val="center"/>
              <w:rPr>
                <w:rFonts w:ascii="宋体" w:hAnsi="宋体" w:cs="宋体"/>
                <w:szCs w:val="21"/>
              </w:rPr>
            </w:pPr>
            <w:r>
              <w:rPr>
                <w:rFonts w:hint="eastAsia" w:ascii="宋体" w:hAnsi="宋体" w:cs="宋体"/>
                <w:szCs w:val="21"/>
              </w:rPr>
              <w:t>分值</w:t>
            </w:r>
          </w:p>
        </w:tc>
        <w:tc>
          <w:tcPr>
            <w:tcW w:w="4993" w:type="dxa"/>
            <w:shd w:val="clear" w:color="auto" w:fill="E6EFFA"/>
            <w:vAlign w:val="center"/>
          </w:tcPr>
          <w:p w14:paraId="1C999C51">
            <w:pPr>
              <w:spacing w:after="0" w:afterLines="0" w:line="400" w:lineRule="exact"/>
              <w:jc w:val="center"/>
              <w:rPr>
                <w:rFonts w:ascii="宋体" w:hAnsi="宋体" w:cs="宋体"/>
                <w:szCs w:val="21"/>
              </w:rPr>
            </w:pPr>
            <w:r>
              <w:rPr>
                <w:rFonts w:hint="eastAsia" w:ascii="宋体" w:hAnsi="宋体" w:cs="宋体"/>
                <w:szCs w:val="21"/>
              </w:rPr>
              <w:t>评分准则</w:t>
            </w:r>
          </w:p>
        </w:tc>
      </w:tr>
      <w:tr w14:paraId="0F94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0" w:type="auto"/>
            <w:vMerge w:val="continue"/>
            <w:vAlign w:val="center"/>
          </w:tcPr>
          <w:p w14:paraId="75D0C609">
            <w:pPr>
              <w:spacing w:after="0" w:afterLines="0" w:line="400" w:lineRule="exact"/>
              <w:jc w:val="center"/>
              <w:rPr>
                <w:rFonts w:ascii="宋体" w:hAnsi="宋体" w:cs="宋体"/>
                <w:b/>
                <w:bCs/>
                <w:color w:val="0000FF"/>
                <w:szCs w:val="21"/>
              </w:rPr>
            </w:pPr>
          </w:p>
        </w:tc>
        <w:tc>
          <w:tcPr>
            <w:tcW w:w="680" w:type="dxa"/>
            <w:vAlign w:val="center"/>
          </w:tcPr>
          <w:p w14:paraId="5FE1E769">
            <w:pPr>
              <w:spacing w:after="0" w:afterLines="0" w:line="400" w:lineRule="exact"/>
              <w:jc w:val="center"/>
              <w:rPr>
                <w:rFonts w:ascii="宋体" w:hAnsi="宋体" w:cs="宋体"/>
                <w:szCs w:val="21"/>
              </w:rPr>
            </w:pPr>
            <w:r>
              <w:rPr>
                <w:rFonts w:hint="eastAsia" w:ascii="宋体" w:hAnsi="宋体" w:cs="宋体"/>
                <w:szCs w:val="21"/>
              </w:rPr>
              <w:t>1</w:t>
            </w:r>
          </w:p>
        </w:tc>
        <w:tc>
          <w:tcPr>
            <w:tcW w:w="1924" w:type="dxa"/>
            <w:vAlign w:val="center"/>
          </w:tcPr>
          <w:p w14:paraId="765C7E87">
            <w:pPr>
              <w:spacing w:after="0" w:afterLines="0" w:line="400" w:lineRule="exact"/>
              <w:jc w:val="center"/>
              <w:rPr>
                <w:rFonts w:ascii="宋体" w:hAnsi="宋体" w:cs="宋体"/>
                <w:szCs w:val="21"/>
              </w:rPr>
            </w:pPr>
            <w:r>
              <w:rPr>
                <w:rFonts w:hint="eastAsia" w:ascii="宋体" w:hAnsi="宋体" w:cs="宋体"/>
                <w:szCs w:val="21"/>
              </w:rPr>
              <w:t>诚信评价</w:t>
            </w:r>
          </w:p>
        </w:tc>
        <w:tc>
          <w:tcPr>
            <w:tcW w:w="795" w:type="dxa"/>
            <w:vAlign w:val="center"/>
          </w:tcPr>
          <w:p w14:paraId="6FE50351">
            <w:pPr>
              <w:spacing w:after="0" w:afterLines="0" w:line="400" w:lineRule="exact"/>
              <w:jc w:val="center"/>
              <w:rPr>
                <w:rFonts w:ascii="宋体" w:hAnsi="宋体" w:cs="宋体"/>
                <w:szCs w:val="21"/>
              </w:rPr>
            </w:pPr>
            <w:r>
              <w:rPr>
                <w:rFonts w:hint="eastAsia" w:ascii="宋体" w:hAnsi="宋体" w:cs="宋体"/>
                <w:szCs w:val="21"/>
              </w:rPr>
              <w:t>5</w:t>
            </w:r>
          </w:p>
        </w:tc>
        <w:tc>
          <w:tcPr>
            <w:tcW w:w="4993" w:type="dxa"/>
            <w:vAlign w:val="center"/>
          </w:tcPr>
          <w:p w14:paraId="3D9306B2">
            <w:pPr>
              <w:spacing w:after="0" w:afterLines="0" w:line="400" w:lineRule="exact"/>
              <w:rPr>
                <w:rFonts w:ascii="宋体" w:hAnsi="宋体" w:cs="宋体"/>
                <w:szCs w:val="21"/>
              </w:rPr>
            </w:pPr>
            <w:r>
              <w:rPr>
                <w:rFonts w:hint="eastAsia" w:ascii="宋体" w:hAnsi="宋体" w:cs="宋体"/>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7B6979AA">
      <w:pPr>
        <w:pStyle w:val="19"/>
        <w:rPr>
          <w:rFonts w:hint="eastAsia"/>
        </w:rPr>
      </w:pPr>
    </w:p>
    <w:p w14:paraId="0CFE9B63">
      <w:pPr>
        <w:widowControl/>
        <w:spacing w:afterLines="0" w:line="240" w:lineRule="auto"/>
        <w:jc w:val="left"/>
        <w:rPr>
          <w:rFonts w:hint="eastAsia" w:ascii="宋体" w:hAnsi="宋体"/>
          <w:color w:val="000000" w:themeColor="text1"/>
          <w14:textFill>
            <w14:solidFill>
              <w14:schemeClr w14:val="tx1"/>
            </w14:solidFill>
          </w14:textFill>
        </w:rPr>
      </w:pPr>
    </w:p>
    <w:p w14:paraId="1E9BECC0">
      <w:pPr>
        <w:pStyle w:val="19"/>
        <w:spacing w:after="60"/>
        <w:rPr>
          <w:rFonts w:hint="eastAsia" w:ascii="宋体" w:hAnsi="宋体"/>
          <w:color w:val="000000" w:themeColor="text1"/>
          <w14:textFill>
            <w14:solidFill>
              <w14:schemeClr w14:val="tx1"/>
            </w14:solidFill>
          </w14:textFill>
        </w:rPr>
      </w:pPr>
    </w:p>
    <w:p w14:paraId="5ED635AC">
      <w:pPr>
        <w:spacing w:after="60"/>
        <w:rPr>
          <w:rFonts w:hint="eastAsia" w:ascii="宋体" w:hAnsi="宋体"/>
          <w:color w:val="000000" w:themeColor="text1"/>
          <w14:textFill>
            <w14:solidFill>
              <w14:schemeClr w14:val="tx1"/>
            </w14:solidFill>
          </w14:textFill>
        </w:rPr>
      </w:pPr>
    </w:p>
    <w:p w14:paraId="5AD602F7">
      <w:pPr>
        <w:spacing w:after="60"/>
        <w:rPr>
          <w:rFonts w:hint="eastAsia" w:ascii="宋体" w:hAnsi="宋体"/>
          <w:color w:val="000000" w:themeColor="text1"/>
          <w14:textFill>
            <w14:solidFill>
              <w14:schemeClr w14:val="tx1"/>
            </w14:solidFill>
          </w14:textFill>
        </w:rPr>
      </w:pPr>
    </w:p>
    <w:p w14:paraId="5F3CA4C1">
      <w:pPr>
        <w:spacing w:after="60"/>
        <w:rPr>
          <w:rFonts w:hint="eastAsia" w:ascii="宋体" w:hAnsi="宋体"/>
          <w:color w:val="000000" w:themeColor="text1"/>
          <w14:textFill>
            <w14:solidFill>
              <w14:schemeClr w14:val="tx1"/>
            </w14:solidFill>
          </w14:textFill>
        </w:rPr>
      </w:pPr>
    </w:p>
    <w:p w14:paraId="348976F3">
      <w:pPr>
        <w:pStyle w:val="40"/>
        <w:spacing w:before="120" w:beforeLines="50" w:beforeAutospacing="0" w:after="240" w:afterLines="100" w:afterAutospacing="0" w:line="720" w:lineRule="exact"/>
        <w:jc w:val="center"/>
        <w:outlineLvl w:val="1"/>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定标方法</w:t>
      </w:r>
    </w:p>
    <w:p w14:paraId="18A52544">
      <w:pPr>
        <w:spacing w:afterLines="0" w:line="360" w:lineRule="auto"/>
        <w:ind w:firstLine="480" w:firstLineChars="200"/>
        <w:rPr>
          <w:rStyle w:val="66"/>
          <w:rFonts w:hint="default" w:eastAsia="宋体"/>
          <w:b w:val="0"/>
          <w:color w:val="000000" w:themeColor="text1"/>
          <w:sz w:val="24"/>
          <w:szCs w:val="24"/>
          <w14:textFill>
            <w14:solidFill>
              <w14:schemeClr w14:val="tx1"/>
            </w14:solidFill>
          </w14:textFill>
        </w:rPr>
      </w:pPr>
      <w:r>
        <w:rPr>
          <w:rStyle w:val="66"/>
          <w:rFonts w:hint="default" w:eastAsia="宋体"/>
          <w:b w:val="0"/>
          <w:color w:val="000000" w:themeColor="text1"/>
          <w:sz w:val="24"/>
          <w:szCs w:val="24"/>
          <w14:textFill>
            <w14:solidFill>
              <w14:schemeClr w14:val="tx1"/>
            </w14:solidFill>
          </w14:textFill>
        </w:rPr>
        <w:t>定标方法：综合评分法。按照采购文件中规定的各项因素进行量化打分，以评标总得分的平均分最高的投标人为第一候选中标供应商，次高者为第二候选中标供应商；采购人授权评标委员会直接确定第一候选中标供应商为中标人。</w:t>
      </w:r>
    </w:p>
    <w:p w14:paraId="12936524">
      <w:pPr>
        <w:spacing w:afterLines="0" w:line="360" w:lineRule="auto"/>
        <w:ind w:firstLine="480" w:firstLineChars="200"/>
        <w:rPr>
          <w:rStyle w:val="66"/>
          <w:rFonts w:hint="default" w:eastAsia="宋体"/>
          <w:b w:val="0"/>
          <w:color w:val="000000" w:themeColor="text1"/>
          <w:sz w:val="24"/>
          <w:szCs w:val="24"/>
          <w14:textFill>
            <w14:solidFill>
              <w14:schemeClr w14:val="tx1"/>
            </w14:solidFill>
          </w14:textFill>
        </w:rPr>
      </w:pPr>
      <w:r>
        <w:rPr>
          <w:rStyle w:val="66"/>
          <w:rFonts w:hint="default" w:eastAsia="宋体"/>
          <w:b w:val="0"/>
          <w:color w:val="000000" w:themeColor="text1"/>
          <w:sz w:val="24"/>
          <w:szCs w:val="24"/>
          <w14:textFill>
            <w14:solidFill>
              <w14:schemeClr w14:val="tx1"/>
            </w14:solidFill>
          </w14:textFill>
        </w:rPr>
        <w:t>得分相同的，按投标报价由低到高顺序排列。得分且投标报价相同的，按技术指标优劣顺序排列。</w:t>
      </w:r>
    </w:p>
    <w:p w14:paraId="3B9BDBD6">
      <w:pPr>
        <w:widowControl/>
        <w:spacing w:afterLines="0" w:line="240" w:lineRule="auto"/>
        <w:jc w:val="left"/>
        <w:rPr>
          <w:rFonts w:hint="eastAsia" w:ascii="宋体" w:hAnsi="宋体" w:cs="宋体"/>
          <w:b/>
          <w:color w:val="000000" w:themeColor="text1"/>
          <w:kern w:val="0"/>
          <w:sz w:val="28"/>
          <w:szCs w:val="28"/>
          <w14:textFill>
            <w14:solidFill>
              <w14:schemeClr w14:val="tx1"/>
            </w14:solidFill>
          </w14:textFill>
        </w:rPr>
      </w:pPr>
      <w:r>
        <w:rPr>
          <w:rFonts w:ascii="宋体" w:hAnsi="宋体" w:cs="宋体"/>
          <w:b/>
          <w:color w:val="000000" w:themeColor="text1"/>
          <w:kern w:val="0"/>
          <w:sz w:val="28"/>
          <w:szCs w:val="28"/>
          <w14:textFill>
            <w14:solidFill>
              <w14:schemeClr w14:val="tx1"/>
            </w14:solidFill>
          </w14:textFill>
        </w:rPr>
        <w:br w:type="page"/>
      </w:r>
    </w:p>
    <w:p w14:paraId="654D7EB3">
      <w:pPr>
        <w:pStyle w:val="2"/>
        <w:spacing w:before="0" w:after="360" w:afterLines="150" w:line="720" w:lineRule="exact"/>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目 录</w:t>
      </w:r>
    </w:p>
    <w:p w14:paraId="690290B0">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第一册  专用条款</w:t>
      </w:r>
    </w:p>
    <w:p w14:paraId="22758CDA">
      <w:pPr>
        <w:spacing w:afterLines="0"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关键信息</w:t>
      </w:r>
    </w:p>
    <w:p w14:paraId="12A943AA">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第一章  招标公告</w:t>
      </w:r>
    </w:p>
    <w:p w14:paraId="02959AA4">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第二章  招标项目需求</w:t>
      </w:r>
    </w:p>
    <w:p w14:paraId="405A3CCD">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第三章  投标文件组成、格式</w:t>
      </w:r>
    </w:p>
    <w:p w14:paraId="60DB594B">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第四章  政府采购合同的签订、履行及验收</w:t>
      </w:r>
    </w:p>
    <w:p w14:paraId="59FD7467">
      <w:pPr>
        <w:spacing w:after="60"/>
        <w:rPr>
          <w:rFonts w:hint="eastAsia" w:ascii="宋体" w:hAnsi="宋体"/>
          <w:color w:val="000000" w:themeColor="text1"/>
          <w14:textFill>
            <w14:solidFill>
              <w14:schemeClr w14:val="tx1"/>
            </w14:solidFill>
          </w14:textFill>
        </w:rPr>
      </w:pPr>
    </w:p>
    <w:p w14:paraId="6B676B4E">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第二册  通用条款</w:t>
      </w:r>
    </w:p>
    <w:p w14:paraId="798C9202">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第一章总则</w:t>
      </w:r>
    </w:p>
    <w:p w14:paraId="20CA4E8A">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第二章招标文件</w:t>
      </w:r>
    </w:p>
    <w:p w14:paraId="0C33C8B2">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第三章投标文件的编制</w:t>
      </w:r>
    </w:p>
    <w:p w14:paraId="39A70FDC">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第四章投标文件的递交</w:t>
      </w:r>
    </w:p>
    <w:p w14:paraId="5918316E">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第五章开标</w:t>
      </w:r>
    </w:p>
    <w:p w14:paraId="102D1FE2">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第六章评标要求</w:t>
      </w:r>
    </w:p>
    <w:p w14:paraId="2E2CC931">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第七章评标程序及评标方法</w:t>
      </w:r>
    </w:p>
    <w:p w14:paraId="072F1719">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第八章定标及公示</w:t>
      </w:r>
    </w:p>
    <w:p w14:paraId="3495D9B2">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第九章公开招标失败的后续处理</w:t>
      </w:r>
    </w:p>
    <w:p w14:paraId="73CD63AB">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第十章合同的授予与备案</w:t>
      </w:r>
    </w:p>
    <w:p w14:paraId="29758771">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第十一章质疑处理</w:t>
      </w:r>
    </w:p>
    <w:p w14:paraId="1CD9B852">
      <w:pPr>
        <w:spacing w:afterLines="0" w:line="360" w:lineRule="auto"/>
        <w:ind w:left="630" w:leftChars="30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第十二章中标服务费</w:t>
      </w:r>
    </w:p>
    <w:p w14:paraId="6780D317">
      <w:pPr>
        <w:spacing w:after="60"/>
        <w:rPr>
          <w:rFonts w:hint="eastAsia" w:ascii="宋体" w:hAnsi="宋体"/>
          <w:color w:val="000000" w:themeColor="text1"/>
          <w14:textFill>
            <w14:solidFill>
              <w14:schemeClr w14:val="tx1"/>
            </w14:solidFill>
          </w14:textFill>
        </w:rPr>
      </w:pPr>
    </w:p>
    <w:p w14:paraId="542F0720">
      <w:pPr>
        <w:spacing w:afterLines="0"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p w14:paraId="2B313470">
      <w:pPr>
        <w:spacing w:afterLines="0"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1.本招标文件分为第一册“专用条款”和第二册“通用条款”。</w:t>
      </w:r>
    </w:p>
    <w:p w14:paraId="19B5700D">
      <w:pPr>
        <w:spacing w:afterLines="0"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2.“专用条款”是对本次采购项目的具体要求，包含招标公告、招标项目需求、合同条款及格式、投标文件格式、附件等内容。</w:t>
      </w:r>
    </w:p>
    <w:p w14:paraId="60986183">
      <w:pPr>
        <w:spacing w:afterLines="0"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3.“通用条款”是通用于政府采购项目的基础性条款，具有普遍性和通用性。</w:t>
      </w:r>
    </w:p>
    <w:p w14:paraId="50E1C0AC">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4.当出现“专用条款”和“通用条款”表述不一致或有冲突时，以“专用条款”为准。</w:t>
      </w:r>
    </w:p>
    <w:p w14:paraId="7FA95767">
      <w:pPr>
        <w:pStyle w:val="2"/>
        <w:spacing w:before="0" w:after="360" w:afterLines="150" w:line="720" w:lineRule="exact"/>
        <w:jc w:val="center"/>
        <w:rPr>
          <w:rFonts w:hint="eastAsia" w:ascii="宋体" w:hAnsi="宋体"/>
          <w:b/>
          <w:color w:val="000000" w:themeColor="text1"/>
          <w:sz w:val="36"/>
          <w:szCs w:val="36"/>
          <w14:textFill>
            <w14:solidFill>
              <w14:schemeClr w14:val="tx1"/>
            </w14:solidFill>
          </w14:textFill>
        </w:rPr>
      </w:pPr>
      <w:bookmarkStart w:id="4" w:name="bt其他资料由投标人自定"/>
      <w:bookmarkEnd w:id="4"/>
      <w:bookmarkStart w:id="5" w:name="bt项目管理班子配备情况"/>
      <w:bookmarkEnd w:id="5"/>
      <w:bookmarkStart w:id="6" w:name="bt合同格式"/>
      <w:bookmarkEnd w:id="6"/>
      <w:bookmarkStart w:id="7" w:name="bt合同条款"/>
      <w:bookmarkEnd w:id="7"/>
      <w:bookmarkStart w:id="8" w:name="合同格式"/>
      <w:bookmarkEnd w:id="8"/>
      <w:bookmarkStart w:id="9" w:name="bt本工程承诺书"/>
      <w:bookmarkEnd w:id="9"/>
      <w:bookmarkStart w:id="10" w:name="bt其他资料2"/>
      <w:bookmarkEnd w:id="10"/>
      <w:bookmarkStart w:id="11" w:name="bt技术标投标文件格式"/>
      <w:bookmarkEnd w:id="11"/>
      <w:bookmarkStart w:id="12" w:name="bt投标人须知"/>
      <w:bookmarkEnd w:id="12"/>
      <w:bookmarkStart w:id="13" w:name="bt说明"/>
      <w:bookmarkEnd w:id="13"/>
      <w:bookmarkStart w:id="14" w:name="bt投标文件签署授权委托书"/>
      <w:bookmarkEnd w:id="14"/>
      <w:bookmarkStart w:id="15" w:name="bt合同条款及格式"/>
      <w:bookmarkEnd w:id="15"/>
      <w:bookmarkStart w:id="16" w:name="bt投标报价汇总表"/>
      <w:bookmarkEnd w:id="16"/>
      <w:bookmarkStart w:id="17" w:name="bt开标一览表"/>
      <w:bookmarkEnd w:id="17"/>
      <w:bookmarkStart w:id="18" w:name="bt商务标投标文件格式"/>
      <w:bookmarkEnd w:id="18"/>
      <w:bookmarkStart w:id="19" w:name="bt投标人情况介绍"/>
      <w:bookmarkEnd w:id="19"/>
      <w:bookmarkStart w:id="20" w:name="bt投标函"/>
      <w:bookmarkEnd w:id="20"/>
      <w:r>
        <w:rPr>
          <w:rFonts w:hint="eastAsia" w:ascii="宋体" w:hAnsi="宋体"/>
          <w:b/>
          <w:color w:val="000000" w:themeColor="text1"/>
          <w:sz w:val="36"/>
          <w:szCs w:val="36"/>
          <w14:textFill>
            <w14:solidFill>
              <w14:schemeClr w14:val="tx1"/>
            </w14:solidFill>
          </w14:textFill>
        </w:rPr>
        <w:t>第一册  专用条款</w:t>
      </w:r>
    </w:p>
    <w:p w14:paraId="1E8B1137">
      <w:pPr>
        <w:pStyle w:val="3"/>
        <w:keepNext w:val="0"/>
        <w:keepLines w:val="0"/>
        <w:numPr>
          <w:ilvl w:val="0"/>
          <w:numId w:val="9"/>
        </w:numPr>
        <w:adjustRightInd w:val="0"/>
        <w:spacing w:before="0" w:afterLines="0" w:line="240" w:lineRule="auto"/>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招标公告</w:t>
      </w:r>
    </w:p>
    <w:p w14:paraId="58203C20">
      <w:pPr>
        <w:spacing w:after="60"/>
        <w:rPr>
          <w:rFonts w:hint="eastAsia" w:ascii="宋体" w:hAnsi="宋体"/>
          <w:color w:val="000000" w:themeColor="text1"/>
          <w14:textFill>
            <w14:solidFill>
              <w14:schemeClr w14:val="tx1"/>
            </w14:solidFill>
          </w14:textFill>
        </w:rPr>
      </w:pPr>
    </w:p>
    <w:p w14:paraId="67AF8CF6">
      <w:pPr>
        <w:widowControl/>
        <w:autoSpaceDE w:val="0"/>
        <w:autoSpaceDN w:val="0"/>
        <w:snapToGrid w:val="0"/>
        <w:spacing w:after="60" w:line="360" w:lineRule="auto"/>
        <w:ind w:right="-26" w:firstLine="420"/>
        <w:textAlignment w:val="bottom"/>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深圳市慧智工程顾问有限公司（以下简称“采购代理机构”）受采购人的委托，就</w:t>
      </w:r>
      <w:r>
        <w:rPr>
          <w:rFonts w:hint="eastAsia" w:ascii="宋体" w:hAnsi="宋体" w:cs="宋体"/>
          <w:color w:val="000000" w:themeColor="text1"/>
          <w:kern w:val="0"/>
          <w:sz w:val="24"/>
          <w:u w:val="single"/>
          <w:lang w:val="zh-CN"/>
          <w14:textFill>
            <w14:solidFill>
              <w14:schemeClr w14:val="tx1"/>
            </w14:solidFill>
          </w14:textFill>
        </w:rPr>
        <w:t>深圳市第七幼儿园2026年1月-2026年12月年度保安服务项目</w:t>
      </w:r>
      <w:r>
        <w:rPr>
          <w:rFonts w:hint="eastAsia" w:ascii="宋体" w:hAnsi="宋体" w:cs="宋体"/>
          <w:color w:val="000000" w:themeColor="text1"/>
          <w:kern w:val="0"/>
          <w:sz w:val="24"/>
          <w:lang w:val="zh-CN"/>
          <w14:textFill>
            <w14:solidFill>
              <w14:schemeClr w14:val="tx1"/>
            </w14:solidFill>
          </w14:textFill>
        </w:rPr>
        <w:t>进行国内公开招标，现予以公告，欢迎潜在的投标人参加本次采购活动。具体事项如下：</w:t>
      </w:r>
    </w:p>
    <w:p w14:paraId="54BFA470">
      <w:pPr>
        <w:pStyle w:val="4"/>
        <w:spacing w:before="0" w:afterLines="0"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一、项目基本情况</w:t>
      </w:r>
    </w:p>
    <w:p w14:paraId="57144C2E">
      <w:pPr>
        <w:spacing w:after="60"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项目编号：</w:t>
      </w:r>
      <w:r>
        <w:rPr>
          <w:rFonts w:ascii="宋体" w:hAnsi="宋体"/>
          <w:color w:val="000000" w:themeColor="text1"/>
          <w:sz w:val="24"/>
          <w14:textFill>
            <w14:solidFill>
              <w14:schemeClr w14:val="tx1"/>
            </w14:solidFill>
          </w14:textFill>
        </w:rPr>
        <w:t>SZHZ202</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-QB00</w:t>
      </w:r>
      <w:r>
        <w:rPr>
          <w:rFonts w:hint="eastAsia" w:ascii="宋体" w:hAnsi="宋体"/>
          <w:color w:val="000000" w:themeColor="text1"/>
          <w:sz w:val="24"/>
          <w:lang w:val="en-US" w:eastAsia="zh-CN"/>
          <w14:textFill>
            <w14:solidFill>
              <w14:schemeClr w14:val="tx1"/>
            </w14:solidFill>
          </w14:textFill>
        </w:rPr>
        <w:t>27</w:t>
      </w:r>
    </w:p>
    <w:p w14:paraId="16B57020">
      <w:pPr>
        <w:spacing w:after="60" w:line="360" w:lineRule="auto"/>
        <w:ind w:firstLine="480" w:firstLineChars="200"/>
        <w:rPr>
          <w:rFonts w:hint="eastAsia"/>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项目名称：</w:t>
      </w:r>
      <w:r>
        <w:rPr>
          <w:rFonts w:hint="eastAsia"/>
        </w:rPr>
        <w:t>深圳市第七幼儿园2026年1月-2026年12月年度保安服务项目</w:t>
      </w:r>
    </w:p>
    <w:p w14:paraId="702B9245">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预算金额：人民币</w:t>
      </w:r>
      <w:r>
        <w:rPr>
          <w:rFonts w:hint="eastAsia" w:ascii="宋体" w:hAnsi="宋体"/>
          <w:color w:val="000000" w:themeColor="text1"/>
          <w:sz w:val="24"/>
          <w:lang w:val="en-US" w:eastAsia="zh-CN"/>
          <w14:textFill>
            <w14:solidFill>
              <w14:schemeClr w14:val="tx1"/>
            </w14:solidFill>
          </w14:textFill>
        </w:rPr>
        <w:t>305988</w:t>
      </w:r>
      <w:r>
        <w:rPr>
          <w:rFonts w:hint="eastAsia" w:ascii="宋体" w:hAnsi="宋体"/>
          <w:color w:val="000000" w:themeColor="text1"/>
          <w:sz w:val="24"/>
          <w14:textFill>
            <w14:solidFill>
              <w14:schemeClr w14:val="tx1"/>
            </w14:solidFill>
          </w14:textFill>
        </w:rPr>
        <w:t>.00 元</w:t>
      </w:r>
    </w:p>
    <w:p w14:paraId="52974ED6">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最高限价：人民币</w:t>
      </w:r>
      <w:r>
        <w:rPr>
          <w:rFonts w:hint="eastAsia" w:ascii="宋体" w:hAnsi="宋体"/>
          <w:color w:val="000000" w:themeColor="text1"/>
          <w:sz w:val="24"/>
          <w:lang w:val="en-US" w:eastAsia="zh-CN"/>
          <w14:textFill>
            <w14:solidFill>
              <w14:schemeClr w14:val="tx1"/>
            </w14:solidFill>
          </w14:textFill>
        </w:rPr>
        <w:t>305988</w:t>
      </w:r>
      <w:r>
        <w:rPr>
          <w:rFonts w:hint="eastAsia" w:ascii="宋体" w:hAnsi="宋体"/>
          <w:color w:val="000000" w:themeColor="text1"/>
          <w:sz w:val="24"/>
          <w14:textFill>
            <w14:solidFill>
              <w14:schemeClr w14:val="tx1"/>
            </w14:solidFill>
          </w14:textFill>
        </w:rPr>
        <w:t>.00 元</w:t>
      </w:r>
    </w:p>
    <w:p w14:paraId="11B845A1">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采购需求：</w:t>
      </w:r>
      <w:r>
        <w:rPr>
          <w:rFonts w:ascii="宋体" w:hAnsi="宋体"/>
          <w:color w:val="000000" w:themeColor="text1"/>
          <w:sz w:val="24"/>
          <w14:textFill>
            <w14:solidFill>
              <w14:schemeClr w14:val="tx1"/>
            </w14:solidFill>
          </w14:textFill>
        </w:rPr>
        <w:t>具体内容详见《招标文件》。</w:t>
      </w:r>
    </w:p>
    <w:p w14:paraId="6553FBD1">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.商务</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服务要求等关键信息</w:t>
      </w:r>
      <w:r>
        <w:rPr>
          <w:rFonts w:hint="eastAsia" w:ascii="宋体" w:hAnsi="宋体"/>
          <w:color w:val="000000" w:themeColor="text1"/>
          <w:sz w:val="24"/>
          <w14:textFill>
            <w14:solidFill>
              <w14:schemeClr w14:val="tx1"/>
            </w14:solidFill>
          </w14:textFill>
        </w:rPr>
        <w:t>：具体内容详见《招标文件》。</w:t>
      </w:r>
    </w:p>
    <w:p w14:paraId="61F061F5">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合同履行期限：详见招标文件。</w:t>
      </w:r>
    </w:p>
    <w:p w14:paraId="5DEAD675">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本项目不接受联合体投标。</w:t>
      </w:r>
    </w:p>
    <w:p w14:paraId="15323A45">
      <w:pPr>
        <w:pStyle w:val="4"/>
        <w:spacing w:before="0" w:afterLines="0"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二、申请人的资格要求</w:t>
      </w:r>
    </w:p>
    <w:p w14:paraId="42F234E5">
      <w:pPr>
        <w:spacing w:after="60"/>
        <w:ind w:firstLine="424" w:firstLineChars="202"/>
        <w:rPr>
          <w:rFonts w:ascii="Times New Roman" w:hAnsi="Times New Roman"/>
          <w:szCs w:val="20"/>
        </w:rPr>
      </w:pPr>
      <w:r>
        <w:rPr>
          <w:rFonts w:ascii="Times New Roman" w:hAnsi="Times New Roman"/>
          <w:szCs w:val="20"/>
        </w:rPr>
        <w:t xml:space="preserve">1. </w:t>
      </w:r>
      <w:r>
        <w:rPr>
          <w:rFonts w:hint="eastAsia" w:ascii="Times New Roman" w:hAnsi="Times New Roman"/>
          <w:szCs w:val="20"/>
        </w:rPr>
        <w:t>投标人须具有独立法人资格或具有独立承担民事责任的能力的其它组织（证明文件：须提供营业执照或法人证书或其他证明文件的复印件并加盖投标人公章，原件中标备查）</w:t>
      </w:r>
      <w:r>
        <w:rPr>
          <w:rFonts w:ascii="Times New Roman" w:hAnsi="Times New Roman"/>
          <w:szCs w:val="20"/>
        </w:rPr>
        <w:t>。</w:t>
      </w:r>
    </w:p>
    <w:p w14:paraId="60E40823">
      <w:pPr>
        <w:spacing w:after="60"/>
        <w:ind w:firstLine="424" w:firstLineChars="202"/>
        <w:rPr>
          <w:rFonts w:ascii="Times New Roman" w:hAnsi="Times New Roman"/>
          <w:szCs w:val="20"/>
        </w:rPr>
      </w:pPr>
      <w:r>
        <w:rPr>
          <w:rFonts w:hint="eastAsia" w:ascii="Times New Roman" w:hAnsi="Times New Roman"/>
          <w:szCs w:val="20"/>
        </w:rPr>
        <w:t>2</w:t>
      </w:r>
      <w:r>
        <w:rPr>
          <w:rFonts w:ascii="Times New Roman" w:hAnsi="Times New Roman"/>
          <w:szCs w:val="20"/>
        </w:rPr>
        <w:t>.具有公安机关颁发的《保安服务许可证》，且《营业执照》与《保安服务许可证》上的法人必须一致，提供《保安服务许可证》扫描件</w:t>
      </w:r>
    </w:p>
    <w:p w14:paraId="2719037A">
      <w:pPr>
        <w:spacing w:after="60"/>
        <w:ind w:firstLine="424" w:firstLineChars="202"/>
        <w:rPr>
          <w:rFonts w:ascii="Times New Roman" w:hAnsi="Times New Roman"/>
          <w:szCs w:val="20"/>
        </w:rPr>
      </w:pPr>
      <w:r>
        <w:rPr>
          <w:rFonts w:hint="eastAsia" w:ascii="Times New Roman" w:hAnsi="Times New Roman"/>
          <w:szCs w:val="20"/>
        </w:rPr>
        <w:t>3</w:t>
      </w:r>
      <w:r>
        <w:rPr>
          <w:rFonts w:ascii="Times New Roman" w:hAnsi="Times New Roman"/>
          <w:szCs w:val="20"/>
        </w:rPr>
        <w:t>.本项目不接受联合体投标，不接受投标人选用进口产品参与投标，中标后不允许转包、分包。</w:t>
      </w:r>
    </w:p>
    <w:p w14:paraId="72DA3BD3">
      <w:pPr>
        <w:spacing w:after="60" w:line="360" w:lineRule="auto"/>
        <w:ind w:firstLine="420" w:firstLineChars="200"/>
        <w:rPr>
          <w:rFonts w:ascii="Times New Roman" w:hAnsi="Times New Roman"/>
          <w:szCs w:val="20"/>
        </w:rPr>
      </w:pPr>
      <w:r>
        <w:rPr>
          <w:rFonts w:hint="eastAsia" w:ascii="Times New Roman" w:hAnsi="Times New Roman"/>
          <w:szCs w:val="20"/>
        </w:rPr>
        <w:t>4</w:t>
      </w:r>
      <w:r>
        <w:rPr>
          <w:rFonts w:ascii="Times New Roman" w:hAnsi="Times New Roman"/>
          <w:szCs w:val="20"/>
        </w:rPr>
        <w:t xml:space="preserve">. </w:t>
      </w:r>
      <w:r>
        <w:rPr>
          <w:rFonts w:hint="eastAsia" w:ascii="宋体" w:hAnsi="宋体" w:cs="Arial Unicode MS"/>
          <w:snapToGrid w:val="0"/>
          <w:kern w:val="0"/>
          <w:szCs w:val="18"/>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Arial Unicode MS"/>
          <w:b/>
          <w:bCs/>
          <w:snapToGrid w:val="0"/>
          <w:kern w:val="0"/>
          <w:szCs w:val="18"/>
        </w:rPr>
        <w:t>由供应商填写《供应商基本情况表》相关信息</w:t>
      </w:r>
      <w:r>
        <w:rPr>
          <w:rFonts w:hint="eastAsia" w:ascii="宋体" w:hAnsi="宋体" w:cs="Arial Unicode MS"/>
          <w:snapToGrid w:val="0"/>
          <w:kern w:val="0"/>
          <w:szCs w:val="18"/>
        </w:rPr>
        <w:t>），投标人须提供国家企业信用信息公示系统（https://www.gsxt.gov.cn/index.html）或机关赋码和事业单位登记管理网（http://www.gjsy.gov.cn/sydwfrxxcx/）或全国社会组织信用信息公示平台（https://xxgs.chinanpo.mca.gov.cn/gsxt/newList）网站供应商信息查询截图，并按本项目投标文件格式要求提供《政府采购投标及履约承诺函》加盖投标人公章</w:t>
      </w: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highlight w:val="red"/>
          <w14:textFill>
            <w14:solidFill>
              <w14:schemeClr w14:val="tx1"/>
            </w14:solidFill>
          </w14:textFill>
        </w:rPr>
        <w:t>招标单位将进行检查核实（在截标时间节点和开标过程中对有效投标人进入核实，如发现相关投标人有任何关联，将对有关联单位全部作无效投标，报名费和投标保证金不予退还，保留追究进一步相关责任的权利）</w:t>
      </w:r>
      <w:r>
        <w:rPr>
          <w:rFonts w:hint="eastAsia" w:ascii="宋体" w:hAnsi="宋体"/>
          <w:color w:val="000000" w:themeColor="text1"/>
          <w:szCs w:val="21"/>
          <w:highlight w:val="red"/>
          <w14:textFill>
            <w14:solidFill>
              <w14:schemeClr w14:val="tx1"/>
            </w14:solidFill>
          </w14:textFill>
        </w:rPr>
        <w:t>；</w:t>
      </w:r>
    </w:p>
    <w:p w14:paraId="7A8AF419">
      <w:pPr>
        <w:spacing w:after="60"/>
        <w:ind w:firstLine="424" w:firstLineChars="202"/>
        <w:rPr>
          <w:rFonts w:ascii="Times New Roman" w:hAnsi="Times New Roman"/>
          <w:szCs w:val="20"/>
        </w:rPr>
      </w:pPr>
      <w:r>
        <w:rPr>
          <w:rFonts w:hint="eastAsia" w:ascii="Times New Roman" w:hAnsi="Times New Roman"/>
          <w:szCs w:val="20"/>
        </w:rPr>
        <w:t>5</w:t>
      </w:r>
      <w:r>
        <w:rPr>
          <w:rFonts w:ascii="Times New Roman" w:hAnsi="Times New Roman"/>
          <w:szCs w:val="20"/>
        </w:rPr>
        <w:t>. 参与本项目政府采购活动时不存在被有关部门禁止参与政府采购活动且在有效期内的情况（由供应商在《政府采购投标及履约承诺函》中作出声明）。</w:t>
      </w:r>
    </w:p>
    <w:p w14:paraId="3FC36648">
      <w:pPr>
        <w:spacing w:after="60"/>
        <w:ind w:firstLine="424" w:firstLineChars="202"/>
        <w:rPr>
          <w:rFonts w:ascii="Times New Roman" w:hAnsi="Times New Roman"/>
          <w:szCs w:val="20"/>
        </w:rPr>
      </w:pPr>
      <w:r>
        <w:rPr>
          <w:rFonts w:hint="eastAsia" w:ascii="Times New Roman" w:hAnsi="Times New Roman"/>
          <w:szCs w:val="20"/>
        </w:rPr>
        <w:t>6</w:t>
      </w:r>
      <w:r>
        <w:rPr>
          <w:rFonts w:ascii="Times New Roman" w:hAnsi="Times New Roman"/>
          <w:szCs w:val="20"/>
        </w:rPr>
        <w:t>. 我公司具备《中华人民共和国政府采购法》第二十二条第一款的条件（由供应商在《政府采购投标及履约承诺函》中作出声明）。</w:t>
      </w:r>
    </w:p>
    <w:p w14:paraId="4637B418">
      <w:pPr>
        <w:spacing w:after="60"/>
        <w:ind w:firstLine="424" w:firstLineChars="202"/>
        <w:rPr>
          <w:rFonts w:ascii="Times New Roman" w:hAnsi="Times New Roman"/>
          <w:szCs w:val="20"/>
        </w:rPr>
      </w:pPr>
      <w:r>
        <w:rPr>
          <w:rFonts w:hint="eastAsia" w:ascii="Times New Roman" w:hAnsi="Times New Roman"/>
          <w:szCs w:val="20"/>
        </w:rPr>
        <w:t>7</w:t>
      </w:r>
      <w:r>
        <w:rPr>
          <w:rFonts w:ascii="Times New Roman" w:hAnsi="Times New Roman"/>
          <w:szCs w:val="20"/>
        </w:rPr>
        <w:t>. 参与政府采购项目投标的供应商未被列入失信被执行人、重大税收违法案件当事人名单、政府采购严重违法失信行为记录名单（由供应商在《政府采购投标及履约承诺函》中作出声明）。</w:t>
      </w:r>
    </w:p>
    <w:p w14:paraId="6204D1B0">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8.本项目不接受联合体投标；不允许分包、转包。</w:t>
      </w:r>
    </w:p>
    <w:p w14:paraId="6DED2606">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9.落实政府采购政策需满足的资格要求：无。</w:t>
      </w:r>
    </w:p>
    <w:p w14:paraId="3DD8B342">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10.本项目的特定资格要求：无。</w:t>
      </w:r>
    </w:p>
    <w:p w14:paraId="3D61C737">
      <w:pPr>
        <w:pStyle w:val="4"/>
        <w:spacing w:before="0" w:afterLines="0"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三、获取招标文件</w:t>
      </w:r>
    </w:p>
    <w:p w14:paraId="6B245375">
      <w:pPr>
        <w:spacing w:afterLines="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时间：</w:t>
      </w:r>
      <w:r>
        <w:rPr>
          <w:rFonts w:ascii="宋体" w:hAnsi="宋体" w:cs="宋体"/>
          <w:color w:val="000000" w:themeColor="text1"/>
          <w:sz w:val="24"/>
          <w:highlight w:val="green"/>
          <w:u w:val="single"/>
          <w14:textFill>
            <w14:solidFill>
              <w14:schemeClr w14:val="tx1"/>
            </w14:solidFill>
          </w14:textFill>
        </w:rPr>
        <w:t>202</w:t>
      </w:r>
      <w:r>
        <w:rPr>
          <w:rFonts w:hint="eastAsia" w:ascii="宋体" w:hAnsi="宋体" w:cs="宋体"/>
          <w:color w:val="000000" w:themeColor="text1"/>
          <w:sz w:val="24"/>
          <w:highlight w:val="green"/>
          <w:u w:val="single"/>
          <w:lang w:val="en-US" w:eastAsia="zh-CN"/>
          <w14:textFill>
            <w14:solidFill>
              <w14:schemeClr w14:val="tx1"/>
            </w14:solidFill>
          </w14:textFill>
        </w:rPr>
        <w:t>5</w:t>
      </w:r>
      <w:r>
        <w:rPr>
          <w:rFonts w:ascii="宋体" w:hAnsi="宋体" w:cs="宋体"/>
          <w:color w:val="000000" w:themeColor="text1"/>
          <w:sz w:val="24"/>
          <w:highlight w:val="green"/>
          <w:u w:val="single"/>
          <w14:textFill>
            <w14:solidFill>
              <w14:schemeClr w14:val="tx1"/>
            </w14:solidFill>
          </w14:textFill>
        </w:rPr>
        <w:t xml:space="preserve">年 </w:t>
      </w:r>
      <w:r>
        <w:rPr>
          <w:rFonts w:hint="eastAsia" w:ascii="宋体" w:hAnsi="宋体" w:cs="宋体"/>
          <w:color w:val="000000" w:themeColor="text1"/>
          <w:sz w:val="24"/>
          <w:highlight w:val="green"/>
          <w:u w:val="single"/>
          <w14:textFill>
            <w14:solidFill>
              <w14:schemeClr w14:val="tx1"/>
            </w14:solidFill>
          </w14:textFill>
        </w:rPr>
        <w:t>1</w:t>
      </w:r>
      <w:r>
        <w:rPr>
          <w:rFonts w:hint="eastAsia" w:ascii="宋体" w:hAnsi="宋体" w:cs="宋体"/>
          <w:color w:val="000000" w:themeColor="text1"/>
          <w:sz w:val="24"/>
          <w:highlight w:val="green"/>
          <w:u w:val="single"/>
          <w:lang w:val="en-US" w:eastAsia="zh-CN"/>
          <w14:textFill>
            <w14:solidFill>
              <w14:schemeClr w14:val="tx1"/>
            </w14:solidFill>
          </w14:textFill>
        </w:rPr>
        <w:t>2</w:t>
      </w:r>
      <w:r>
        <w:rPr>
          <w:rFonts w:ascii="宋体" w:hAnsi="宋体" w:cs="宋体"/>
          <w:color w:val="000000" w:themeColor="text1"/>
          <w:sz w:val="24"/>
          <w:highlight w:val="green"/>
          <w:u w:val="single"/>
          <w14:textFill>
            <w14:solidFill>
              <w14:schemeClr w14:val="tx1"/>
            </w14:solidFill>
          </w14:textFill>
        </w:rPr>
        <w:t>月</w:t>
      </w:r>
      <w:r>
        <w:rPr>
          <w:rFonts w:hint="eastAsia" w:ascii="宋体" w:hAnsi="宋体" w:cs="宋体"/>
          <w:color w:val="000000" w:themeColor="text1"/>
          <w:sz w:val="24"/>
          <w:highlight w:val="green"/>
          <w:u w:val="single"/>
          <w:lang w:val="en-US" w:eastAsia="zh-CN"/>
          <w14:textFill>
            <w14:solidFill>
              <w14:schemeClr w14:val="tx1"/>
            </w14:solidFill>
          </w14:textFill>
        </w:rPr>
        <w:t>8</w:t>
      </w:r>
      <w:r>
        <w:rPr>
          <w:rFonts w:ascii="宋体" w:hAnsi="宋体" w:cs="宋体"/>
          <w:color w:val="000000" w:themeColor="text1"/>
          <w:sz w:val="24"/>
          <w:highlight w:val="green"/>
          <w:u w:val="single"/>
          <w14:textFill>
            <w14:solidFill>
              <w14:schemeClr w14:val="tx1"/>
            </w14:solidFill>
          </w14:textFill>
        </w:rPr>
        <w:t>日</w:t>
      </w:r>
      <w:r>
        <w:rPr>
          <w:rFonts w:hint="eastAsia" w:ascii="宋体" w:hAnsi="宋体" w:cs="宋体"/>
          <w:color w:val="000000" w:themeColor="text1"/>
          <w:sz w:val="24"/>
          <w:highlight w:val="green"/>
          <w14:textFill>
            <w14:solidFill>
              <w14:schemeClr w14:val="tx1"/>
            </w14:solidFill>
          </w14:textFill>
        </w:rPr>
        <w:t>至</w:t>
      </w:r>
      <w:r>
        <w:rPr>
          <w:rFonts w:ascii="宋体" w:hAnsi="宋体" w:cs="宋体"/>
          <w:color w:val="000000" w:themeColor="text1"/>
          <w:sz w:val="24"/>
          <w:highlight w:val="green"/>
          <w:u w:val="single"/>
          <w14:textFill>
            <w14:solidFill>
              <w14:schemeClr w14:val="tx1"/>
            </w14:solidFill>
          </w14:textFill>
        </w:rPr>
        <w:t>202</w:t>
      </w:r>
      <w:r>
        <w:rPr>
          <w:rFonts w:hint="eastAsia" w:ascii="宋体" w:hAnsi="宋体" w:cs="宋体"/>
          <w:color w:val="000000" w:themeColor="text1"/>
          <w:sz w:val="24"/>
          <w:highlight w:val="green"/>
          <w:u w:val="single"/>
          <w:lang w:val="en-US" w:eastAsia="zh-CN"/>
          <w14:textFill>
            <w14:solidFill>
              <w14:schemeClr w14:val="tx1"/>
            </w14:solidFill>
          </w14:textFill>
        </w:rPr>
        <w:t>5</w:t>
      </w:r>
      <w:r>
        <w:rPr>
          <w:rFonts w:ascii="宋体" w:hAnsi="宋体" w:cs="宋体"/>
          <w:color w:val="000000" w:themeColor="text1"/>
          <w:sz w:val="24"/>
          <w:highlight w:val="green"/>
          <w:u w:val="single"/>
          <w14:textFill>
            <w14:solidFill>
              <w14:schemeClr w14:val="tx1"/>
            </w14:solidFill>
          </w14:textFill>
        </w:rPr>
        <w:t>年</w:t>
      </w:r>
      <w:r>
        <w:rPr>
          <w:rFonts w:hint="eastAsia" w:ascii="宋体" w:hAnsi="宋体" w:cs="宋体"/>
          <w:color w:val="000000" w:themeColor="text1"/>
          <w:sz w:val="24"/>
          <w:highlight w:val="green"/>
          <w:u w:val="single"/>
          <w14:textFill>
            <w14:solidFill>
              <w14:schemeClr w14:val="tx1"/>
            </w14:solidFill>
          </w14:textFill>
        </w:rPr>
        <w:t>1</w:t>
      </w:r>
      <w:r>
        <w:rPr>
          <w:rFonts w:hint="eastAsia" w:ascii="宋体" w:hAnsi="宋体" w:cs="宋体"/>
          <w:color w:val="000000" w:themeColor="text1"/>
          <w:sz w:val="24"/>
          <w:highlight w:val="green"/>
          <w:u w:val="single"/>
          <w:lang w:val="en-US" w:eastAsia="zh-CN"/>
          <w14:textFill>
            <w14:solidFill>
              <w14:schemeClr w14:val="tx1"/>
            </w14:solidFill>
          </w14:textFill>
        </w:rPr>
        <w:t>2</w:t>
      </w:r>
      <w:r>
        <w:rPr>
          <w:rFonts w:ascii="宋体" w:hAnsi="宋体" w:cs="宋体"/>
          <w:color w:val="000000" w:themeColor="text1"/>
          <w:sz w:val="24"/>
          <w:highlight w:val="green"/>
          <w:u w:val="single"/>
          <w14:textFill>
            <w14:solidFill>
              <w14:schemeClr w14:val="tx1"/>
            </w14:solidFill>
          </w14:textFill>
        </w:rPr>
        <w:t>月</w:t>
      </w:r>
      <w:r>
        <w:rPr>
          <w:rFonts w:hint="eastAsia" w:ascii="宋体" w:hAnsi="宋体" w:cs="宋体"/>
          <w:color w:val="000000" w:themeColor="text1"/>
          <w:sz w:val="24"/>
          <w:highlight w:val="green"/>
          <w:u w:val="single"/>
          <w:lang w:val="en-US" w:eastAsia="zh-CN"/>
          <w14:textFill>
            <w14:solidFill>
              <w14:schemeClr w14:val="tx1"/>
            </w14:solidFill>
          </w14:textFill>
        </w:rPr>
        <w:t>12</w:t>
      </w:r>
      <w:r>
        <w:rPr>
          <w:rFonts w:ascii="宋体" w:hAnsi="宋体" w:cs="宋体"/>
          <w:color w:val="000000" w:themeColor="text1"/>
          <w:sz w:val="24"/>
          <w:highlight w:val="green"/>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每天上午09:00至12:00，下午14：30至1</w:t>
      </w: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0</w:t>
      </w:r>
      <w:r>
        <w:rPr>
          <w:rFonts w:ascii="宋体" w:hAnsi="宋体" w:cs="宋体"/>
          <w:color w:val="000000" w:themeColor="text1"/>
          <w:sz w:val="24"/>
          <w14:textFill>
            <w14:solidFill>
              <w14:schemeClr w14:val="tx1"/>
            </w14:solidFill>
          </w14:textFill>
        </w:rPr>
        <w:t>0（北京时间，法定节假日除外）</w:t>
      </w:r>
    </w:p>
    <w:p w14:paraId="6BA29E78">
      <w:pPr>
        <w:spacing w:afterLines="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地点：</w:t>
      </w:r>
      <w:r>
        <w:rPr>
          <w:rFonts w:hint="eastAsia" w:ascii="宋体" w:hAnsi="宋体"/>
          <w:snapToGrid w:val="0"/>
          <w:color w:val="000000" w:themeColor="text1"/>
          <w:sz w:val="24"/>
          <w14:textFill>
            <w14:solidFill>
              <w14:schemeClr w14:val="tx1"/>
            </w14:solidFill>
          </w14:textFill>
        </w:rPr>
        <w:t>深圳市罗湖区清水河三路7号中海慧智大厦2A栋415-416</w:t>
      </w:r>
    </w:p>
    <w:p w14:paraId="58A6623F">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3.方式：现场报名或</w:t>
      </w:r>
      <w:r>
        <w:rPr>
          <w:rFonts w:hint="eastAsia" w:ascii="宋体" w:hAnsi="宋体"/>
          <w:color w:val="000000" w:themeColor="text1"/>
          <w:sz w:val="24"/>
          <w14:textFill>
            <w14:solidFill>
              <w14:schemeClr w14:val="tx1"/>
            </w14:solidFill>
          </w14:textFill>
        </w:rPr>
        <w:t>网上</w:t>
      </w:r>
      <w:r>
        <w:rPr>
          <w:rFonts w:ascii="宋体" w:hAnsi="宋体"/>
          <w:color w:val="000000" w:themeColor="text1"/>
          <w:sz w:val="24"/>
          <w14:textFill>
            <w14:solidFill>
              <w14:schemeClr w14:val="tx1"/>
            </w14:solidFill>
          </w14:textFill>
        </w:rPr>
        <w:t>报名</w:t>
      </w:r>
    </w:p>
    <w:p w14:paraId="0213E016">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.1.现场报名</w:t>
      </w:r>
      <w:r>
        <w:rPr>
          <w:rFonts w:hint="eastAsia" w:ascii="宋体" w:hAnsi="宋体"/>
          <w:color w:val="000000" w:themeColor="text1"/>
          <w:sz w:val="24"/>
          <w14:textFill>
            <w14:solidFill>
              <w14:schemeClr w14:val="tx1"/>
            </w14:solidFill>
          </w14:textFill>
        </w:rPr>
        <w:t>，供应商代表需现场提供以下资料</w:t>
      </w:r>
      <w:r>
        <w:rPr>
          <w:rFonts w:ascii="宋体" w:hAnsi="宋体"/>
          <w:color w:val="000000" w:themeColor="text1"/>
          <w:sz w:val="24"/>
          <w14:textFill>
            <w14:solidFill>
              <w14:schemeClr w14:val="tx1"/>
            </w14:solidFill>
          </w14:textFill>
        </w:rPr>
        <w:t>：</w:t>
      </w:r>
    </w:p>
    <w:p w14:paraId="4F884D42">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（1）《投标报名登记表》，</w:t>
      </w:r>
      <w:r>
        <w:rPr>
          <w:rFonts w:ascii="宋体" w:hAnsi="宋体"/>
          <w:color w:val="000000" w:themeColor="text1"/>
          <w:sz w:val="24"/>
          <w14:textFill>
            <w14:solidFill>
              <w14:schemeClr w14:val="tx1"/>
            </w14:solidFill>
          </w14:textFill>
        </w:rPr>
        <w:t>供应商登录www.hzgcgw.com /</w:t>
      </w:r>
      <w:r>
        <w:rPr>
          <w:rFonts w:hint="eastAsia" w:ascii="宋体" w:hAnsi="宋体"/>
          <w:color w:val="000000" w:themeColor="text1"/>
          <w:sz w:val="24"/>
          <w14:textFill>
            <w14:solidFill>
              <w14:schemeClr w14:val="tx1"/>
            </w14:solidFill>
          </w14:textFill>
        </w:rPr>
        <w:t>【资料下载】栏目可下载；</w:t>
      </w:r>
    </w:p>
    <w:p w14:paraId="3B08CFB2">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法定代表人证明书及授权委托书，附上法定代表人身份证复印件及授权代表身份证复印件；</w:t>
      </w:r>
    </w:p>
    <w:p w14:paraId="5C14ADAA">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申请人的资格要求</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中其他资质证明文件</w:t>
      </w:r>
      <w:r>
        <w:rPr>
          <w:rFonts w:hint="eastAsia" w:ascii="宋体" w:hAnsi="宋体"/>
          <w:color w:val="000000" w:themeColor="text1"/>
          <w:sz w:val="24"/>
          <w14:textFill>
            <w14:solidFill>
              <w14:schemeClr w14:val="tx1"/>
            </w14:solidFill>
          </w14:textFill>
        </w:rPr>
        <w:t>。</w:t>
      </w:r>
    </w:p>
    <w:p w14:paraId="20572FF9">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注：以上资料均需加盖公章。</w:t>
      </w:r>
    </w:p>
    <w:p w14:paraId="4BD8156F">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网上投标报名：发送报名资料至我司邮箱进行报名登记及获取招标文件，邮箱地址：</w:t>
      </w:r>
      <w:r>
        <w:rPr>
          <w:rFonts w:ascii="宋体" w:hAnsi="宋体"/>
          <w:color w:val="000000" w:themeColor="text1"/>
          <w:sz w:val="24"/>
          <w14:textFill>
            <w14:solidFill>
              <w14:schemeClr w14:val="tx1"/>
            </w14:solidFill>
          </w14:textFill>
        </w:rPr>
        <w:t>szhzgcgw@aliyun.com</w:t>
      </w:r>
      <w:r>
        <w:rPr>
          <w:rFonts w:hint="eastAsia" w:ascii="宋体" w:hAnsi="宋体"/>
          <w:color w:val="000000" w:themeColor="text1"/>
          <w:sz w:val="24"/>
          <w14:textFill>
            <w14:solidFill>
              <w14:schemeClr w14:val="tx1"/>
            </w14:solidFill>
          </w14:textFill>
        </w:rPr>
        <w:t>。报名邮件需提供以下资料：</w:t>
      </w:r>
    </w:p>
    <w:p w14:paraId="3BBB2315">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（1）《投标报名登记表》，</w:t>
      </w:r>
      <w:r>
        <w:rPr>
          <w:rFonts w:ascii="宋体" w:hAnsi="宋体"/>
          <w:color w:val="000000" w:themeColor="text1"/>
          <w:sz w:val="24"/>
          <w14:textFill>
            <w14:solidFill>
              <w14:schemeClr w14:val="tx1"/>
            </w14:solidFill>
          </w14:textFill>
        </w:rPr>
        <w:t>供应商登录http://</w:t>
      </w:r>
      <w:r>
        <w:rPr>
          <w:rFonts w:ascii="宋体" w:hAnsi="宋体"/>
          <w:color w:val="000000" w:themeColor="text1"/>
          <w14:textFill>
            <w14:solidFill>
              <w14:schemeClr w14:val="tx1"/>
            </w14:solidFill>
          </w14:textFill>
        </w:rPr>
        <w:t xml:space="preserve"> </w:t>
      </w:r>
      <w:r>
        <w:rPr>
          <w:rFonts w:ascii="宋体" w:hAnsi="宋体"/>
          <w:color w:val="000000" w:themeColor="text1"/>
          <w:sz w:val="24"/>
          <w14:textFill>
            <w14:solidFill>
              <w14:schemeClr w14:val="tx1"/>
            </w14:solidFill>
          </w14:textFill>
        </w:rPr>
        <w:t>www.hzgcgw.com</w:t>
      </w:r>
      <w:r>
        <w:rPr>
          <w:rFonts w:hint="eastAsia" w:ascii="宋体" w:hAnsi="宋体"/>
          <w:color w:val="000000" w:themeColor="text1"/>
          <w:sz w:val="24"/>
          <w14:textFill>
            <w14:solidFill>
              <w14:schemeClr w14:val="tx1"/>
            </w14:solidFill>
          </w14:textFill>
        </w:rPr>
        <w:t>【资料下载】栏目可下载；</w:t>
      </w:r>
    </w:p>
    <w:p w14:paraId="153DBBB7">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法定代表人证明书及授权委托书，附上法定代表人身份证复印件及授权代表身份证复印件；</w:t>
      </w:r>
    </w:p>
    <w:p w14:paraId="7C572236">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申请人的资格要求</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中其他资质证明文件</w:t>
      </w:r>
      <w:r>
        <w:rPr>
          <w:rFonts w:hint="eastAsia" w:ascii="宋体" w:hAnsi="宋体"/>
          <w:color w:val="000000" w:themeColor="text1"/>
          <w:sz w:val="24"/>
          <w14:textFill>
            <w14:solidFill>
              <w14:schemeClr w14:val="tx1"/>
            </w14:solidFill>
          </w14:textFill>
        </w:rPr>
        <w:t>。</w:t>
      </w:r>
    </w:p>
    <w:p w14:paraId="35C85D71">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（4）购买标书费用汇款凭证。</w:t>
      </w:r>
    </w:p>
    <w:p w14:paraId="62B57A36">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注：以上资料均需加盖公章。</w:t>
      </w:r>
    </w:p>
    <w:p w14:paraId="671E525D">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报名时间以邮件收到时间为准，工作人员将在第二个工作日与报名资料完整的投标人联系。</w:t>
      </w:r>
    </w:p>
    <w:p w14:paraId="114AB771">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.3.标书发售联系人及联系方式：</w:t>
      </w:r>
      <w:r>
        <w:rPr>
          <w:rFonts w:hint="eastAsia" w:ascii="宋体" w:hAnsi="宋体"/>
          <w:color w:val="000000" w:themeColor="text1"/>
          <w:sz w:val="24"/>
          <w14:textFill>
            <w14:solidFill>
              <w14:schemeClr w14:val="tx1"/>
            </w14:solidFill>
          </w14:textFill>
        </w:rPr>
        <w:t>曾</w:t>
      </w:r>
      <w:r>
        <w:rPr>
          <w:rFonts w:ascii="宋体" w:hAnsi="宋体"/>
          <w:color w:val="000000" w:themeColor="text1"/>
          <w:sz w:val="24"/>
          <w14:textFill>
            <w14:solidFill>
              <w14:schemeClr w14:val="tx1"/>
            </w14:solidFill>
          </w14:textFill>
        </w:rPr>
        <w:t>工，0755-82121846</w:t>
      </w:r>
    </w:p>
    <w:p w14:paraId="7A6C34FA">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3.4.售价：</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00.00元，售后不退。</w:t>
      </w:r>
      <w:r>
        <w:rPr>
          <w:rFonts w:hint="eastAsia" w:ascii="宋体" w:hAnsi="宋体"/>
          <w:color w:val="000000" w:themeColor="text1"/>
          <w:sz w:val="24"/>
          <w14:textFill>
            <w14:solidFill>
              <w14:schemeClr w14:val="tx1"/>
            </w14:solidFill>
          </w14:textFill>
        </w:rPr>
        <w:t>（公司网站【资料下载】处可扫描二维码支付，也可按以下对公账户支付，备注对应的项目编号）</w:t>
      </w:r>
    </w:p>
    <w:p w14:paraId="24394D3D">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已成功购买招标文件的投标人参加投标的，不代表通过资格性审查。</w:t>
      </w:r>
    </w:p>
    <w:p w14:paraId="4554DEB9">
      <w:pPr>
        <w:spacing w:afterLines="0" w:line="360" w:lineRule="auto"/>
        <w:ind w:firstLine="480" w:firstLineChars="200"/>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3</w:t>
      </w:r>
      <w:r>
        <w:rPr>
          <w:rFonts w:ascii="宋体" w:hAnsi="宋体"/>
          <w:color w:val="000000" w:themeColor="text1"/>
          <w:sz w:val="24"/>
          <w:szCs w:val="20"/>
          <w14:textFill>
            <w14:solidFill>
              <w14:schemeClr w14:val="tx1"/>
            </w14:solidFill>
          </w14:textFill>
        </w:rPr>
        <w:t>.6.开户行名称及账号</w:t>
      </w:r>
    </w:p>
    <w:p w14:paraId="63F13692">
      <w:pPr>
        <w:spacing w:afterLines="0" w:line="360" w:lineRule="auto"/>
        <w:ind w:firstLine="480" w:firstLineChars="20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开户行：</w:t>
      </w:r>
      <w:r>
        <w:rPr>
          <w:rFonts w:hint="eastAsia" w:ascii="宋体" w:hAnsi="宋体"/>
          <w:color w:val="000000" w:themeColor="text1"/>
          <w:sz w:val="24"/>
          <w:szCs w:val="20"/>
          <w14:textFill>
            <w14:solidFill>
              <w14:schemeClr w14:val="tx1"/>
            </w14:solidFill>
          </w14:textFill>
        </w:rPr>
        <w:t>中国银行深圳笋岗支行</w:t>
      </w:r>
    </w:p>
    <w:p w14:paraId="37C7774D">
      <w:pPr>
        <w:spacing w:afterLines="0" w:line="360" w:lineRule="auto"/>
        <w:ind w:firstLine="480" w:firstLineChars="20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账户名称：</w:t>
      </w:r>
      <w:r>
        <w:rPr>
          <w:rFonts w:hint="eastAsia" w:ascii="宋体" w:hAnsi="宋体"/>
          <w:color w:val="000000" w:themeColor="text1"/>
          <w:sz w:val="24"/>
          <w:szCs w:val="20"/>
          <w14:textFill>
            <w14:solidFill>
              <w14:schemeClr w14:val="tx1"/>
            </w14:solidFill>
          </w14:textFill>
        </w:rPr>
        <w:t>深圳市慧智工程顾问有限公司</w:t>
      </w:r>
    </w:p>
    <w:p w14:paraId="7A388CE7">
      <w:pPr>
        <w:spacing w:after="60" w:line="360" w:lineRule="auto"/>
        <w:ind w:firstLine="480" w:firstLineChars="20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账号：761476684048</w:t>
      </w:r>
    </w:p>
    <w:p w14:paraId="66826224">
      <w:pPr>
        <w:spacing w:after="60" w:line="360" w:lineRule="auto"/>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四、提交投标文件截止时间、开标时间和地点</w:t>
      </w:r>
    </w:p>
    <w:p w14:paraId="32FBF265">
      <w:pPr>
        <w:spacing w:afterLines="0" w:line="360" w:lineRule="auto"/>
        <w:ind w:firstLine="480" w:firstLineChars="200"/>
        <w:rPr>
          <w:rFonts w:hint="eastAsia" w:ascii="宋体" w:hAnsi="宋体"/>
          <w:color w:val="000000" w:themeColor="text1"/>
          <w:sz w:val="24"/>
          <w:highlight w:val="green"/>
          <w14:textFill>
            <w14:solidFill>
              <w14:schemeClr w14:val="tx1"/>
            </w14:solidFill>
          </w14:textFill>
        </w:rPr>
      </w:pPr>
      <w:r>
        <w:rPr>
          <w:rFonts w:ascii="宋体" w:hAnsi="宋体"/>
          <w:color w:val="000000" w:themeColor="text1"/>
          <w:sz w:val="24"/>
          <w:highlight w:val="green"/>
          <w14:textFill>
            <w14:solidFill>
              <w14:schemeClr w14:val="tx1"/>
            </w14:solidFill>
          </w14:textFill>
        </w:rPr>
        <w:t>开标时间</w:t>
      </w:r>
      <w:r>
        <w:rPr>
          <w:rFonts w:hint="eastAsia" w:ascii="宋体" w:hAnsi="宋体"/>
          <w:color w:val="000000" w:themeColor="text1"/>
          <w:sz w:val="24"/>
          <w:highlight w:val="green"/>
          <w14:textFill>
            <w14:solidFill>
              <w14:schemeClr w14:val="tx1"/>
            </w14:solidFill>
          </w14:textFill>
        </w:rPr>
        <w:t>：</w:t>
      </w:r>
      <w:r>
        <w:rPr>
          <w:rFonts w:ascii="宋体" w:hAnsi="宋体"/>
          <w:color w:val="000000" w:themeColor="text1"/>
          <w:sz w:val="24"/>
          <w:highlight w:val="green"/>
          <w14:textFill>
            <w14:solidFill>
              <w14:schemeClr w14:val="tx1"/>
            </w14:solidFill>
          </w14:textFill>
        </w:rPr>
        <w:t>202</w:t>
      </w:r>
      <w:r>
        <w:rPr>
          <w:rFonts w:hint="eastAsia" w:ascii="宋体" w:hAnsi="宋体"/>
          <w:color w:val="000000" w:themeColor="text1"/>
          <w:sz w:val="24"/>
          <w:highlight w:val="green"/>
          <w:lang w:val="en-US" w:eastAsia="zh-CN"/>
          <w14:textFill>
            <w14:solidFill>
              <w14:schemeClr w14:val="tx1"/>
            </w14:solidFill>
          </w14:textFill>
        </w:rPr>
        <w:t>5</w:t>
      </w:r>
      <w:r>
        <w:rPr>
          <w:rFonts w:hint="eastAsia" w:ascii="宋体" w:hAnsi="宋体"/>
          <w:color w:val="000000" w:themeColor="text1"/>
          <w:sz w:val="24"/>
          <w:highlight w:val="green"/>
          <w14:textFill>
            <w14:solidFill>
              <w14:schemeClr w14:val="tx1"/>
            </w14:solidFill>
          </w14:textFill>
        </w:rPr>
        <w:t>年</w:t>
      </w:r>
      <w:r>
        <w:rPr>
          <w:rFonts w:ascii="宋体" w:hAnsi="宋体"/>
          <w:color w:val="000000" w:themeColor="text1"/>
          <w:sz w:val="24"/>
          <w:highlight w:val="green"/>
          <w14:textFill>
            <w14:solidFill>
              <w14:schemeClr w14:val="tx1"/>
            </w14:solidFill>
          </w14:textFill>
        </w:rPr>
        <w:t xml:space="preserve"> </w:t>
      </w:r>
      <w:r>
        <w:rPr>
          <w:rFonts w:hint="eastAsia" w:ascii="宋体" w:hAnsi="宋体"/>
          <w:color w:val="000000" w:themeColor="text1"/>
          <w:sz w:val="24"/>
          <w:highlight w:val="green"/>
          <w14:textFill>
            <w14:solidFill>
              <w14:schemeClr w14:val="tx1"/>
            </w14:solidFill>
          </w14:textFill>
        </w:rPr>
        <w:t>1</w:t>
      </w:r>
      <w:r>
        <w:rPr>
          <w:rFonts w:hint="eastAsia" w:ascii="宋体" w:hAnsi="宋体"/>
          <w:color w:val="000000" w:themeColor="text1"/>
          <w:sz w:val="24"/>
          <w:highlight w:val="green"/>
          <w:lang w:val="en-US" w:eastAsia="zh-CN"/>
          <w14:textFill>
            <w14:solidFill>
              <w14:schemeClr w14:val="tx1"/>
            </w14:solidFill>
          </w14:textFill>
        </w:rPr>
        <w:t>2</w:t>
      </w:r>
      <w:r>
        <w:rPr>
          <w:rFonts w:hint="eastAsia" w:ascii="宋体" w:hAnsi="宋体"/>
          <w:color w:val="000000" w:themeColor="text1"/>
          <w:sz w:val="24"/>
          <w:highlight w:val="green"/>
          <w14:textFill>
            <w14:solidFill>
              <w14:schemeClr w14:val="tx1"/>
            </w14:solidFill>
          </w14:textFill>
        </w:rPr>
        <w:t>月</w:t>
      </w:r>
      <w:r>
        <w:rPr>
          <w:rFonts w:hint="eastAsia" w:ascii="宋体" w:hAnsi="宋体"/>
          <w:color w:val="000000" w:themeColor="text1"/>
          <w:sz w:val="24"/>
          <w:highlight w:val="green"/>
          <w:lang w:val="en-US" w:eastAsia="zh-CN"/>
          <w14:textFill>
            <w14:solidFill>
              <w14:schemeClr w14:val="tx1"/>
            </w14:solidFill>
          </w14:textFill>
        </w:rPr>
        <w:t>18</w:t>
      </w:r>
      <w:r>
        <w:rPr>
          <w:rFonts w:hint="eastAsia" w:ascii="宋体" w:hAnsi="宋体"/>
          <w:color w:val="000000" w:themeColor="text1"/>
          <w:sz w:val="24"/>
          <w:highlight w:val="green"/>
          <w14:textFill>
            <w14:solidFill>
              <w14:schemeClr w14:val="tx1"/>
            </w14:solidFill>
          </w14:textFill>
        </w:rPr>
        <w:t>日</w:t>
      </w:r>
      <w:r>
        <w:rPr>
          <w:rFonts w:ascii="宋体" w:hAnsi="宋体"/>
          <w:color w:val="000000" w:themeColor="text1"/>
          <w:sz w:val="24"/>
          <w:highlight w:val="green"/>
          <w14:textFill>
            <w14:solidFill>
              <w14:schemeClr w14:val="tx1"/>
            </w14:solidFill>
          </w14:textFill>
        </w:rPr>
        <w:t xml:space="preserve">  14</w:t>
      </w:r>
      <w:r>
        <w:rPr>
          <w:rFonts w:hint="eastAsia" w:ascii="宋体" w:hAnsi="宋体"/>
          <w:color w:val="000000" w:themeColor="text1"/>
          <w:sz w:val="24"/>
          <w:highlight w:val="green"/>
          <w14:textFill>
            <w14:solidFill>
              <w14:schemeClr w14:val="tx1"/>
            </w14:solidFill>
          </w14:textFill>
        </w:rPr>
        <w:t>点</w:t>
      </w:r>
      <w:r>
        <w:rPr>
          <w:rFonts w:ascii="宋体" w:hAnsi="宋体"/>
          <w:color w:val="000000" w:themeColor="text1"/>
          <w:sz w:val="24"/>
          <w:highlight w:val="green"/>
          <w14:textFill>
            <w14:solidFill>
              <w14:schemeClr w14:val="tx1"/>
            </w14:solidFill>
          </w14:textFill>
        </w:rPr>
        <w:t xml:space="preserve"> 30 </w:t>
      </w:r>
      <w:r>
        <w:rPr>
          <w:rFonts w:hint="eastAsia" w:ascii="宋体" w:hAnsi="宋体"/>
          <w:color w:val="000000" w:themeColor="text1"/>
          <w:sz w:val="24"/>
          <w:highlight w:val="green"/>
          <w14:textFill>
            <w14:solidFill>
              <w14:schemeClr w14:val="tx1"/>
            </w14:solidFill>
          </w14:textFill>
        </w:rPr>
        <w:t>分（北京时间）</w:t>
      </w:r>
    </w:p>
    <w:p w14:paraId="6F5FBAF1">
      <w:pPr>
        <w:pStyle w:val="19"/>
        <w:spacing w:after="60"/>
        <w:ind w:firstLine="480" w:firstLineChars="200"/>
        <w:rPr>
          <w:sz w:val="24"/>
        </w:rPr>
      </w:pPr>
      <w:r>
        <w:rPr>
          <w:rFonts w:hint="eastAsia"/>
          <w:sz w:val="24"/>
          <w:highlight w:val="green"/>
        </w:rPr>
        <w:t>如投标方以邮寄方式投标以工作人员确认接收到标书的时间为准，如投标方未派代表参加开标，即视同投标人认可招标人组织的开标会开标结果。</w:t>
      </w:r>
    </w:p>
    <w:p w14:paraId="068ED513">
      <w:pPr>
        <w:spacing w:afterLines="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开标地点：</w:t>
      </w:r>
      <w:r>
        <w:rPr>
          <w:rFonts w:hint="eastAsia" w:ascii="宋体" w:hAnsi="宋体"/>
          <w:snapToGrid w:val="0"/>
          <w:color w:val="000000" w:themeColor="text1"/>
          <w:sz w:val="24"/>
          <w14:textFill>
            <w14:solidFill>
              <w14:schemeClr w14:val="tx1"/>
            </w14:solidFill>
          </w14:textFill>
        </w:rPr>
        <w:t>深圳市罗湖区清水河三路7号中海慧智大厦2A栋415-416</w:t>
      </w:r>
    </w:p>
    <w:p w14:paraId="3090FF36">
      <w:pPr>
        <w:pStyle w:val="4"/>
        <w:spacing w:before="0" w:afterLines="0"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五、公告期限</w:t>
      </w:r>
    </w:p>
    <w:p w14:paraId="459B9521">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自本公告发布之日起5个工作日。</w:t>
      </w:r>
    </w:p>
    <w:p w14:paraId="7CB4FD02">
      <w:pPr>
        <w:pStyle w:val="4"/>
        <w:spacing w:before="0" w:afterLines="0"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六、其他补充事宜</w:t>
      </w:r>
    </w:p>
    <w:p w14:paraId="465B36C1">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公示网站</w:t>
      </w:r>
    </w:p>
    <w:p w14:paraId="16B4264D">
      <w:pPr>
        <w:pStyle w:val="19"/>
        <w:ind w:firstLine="480"/>
        <w:rPr>
          <w:rFonts w:hint="eastAsia" w:ascii="宋体" w:hAnsi="宋体" w:cs="宋体"/>
          <w:sz w:val="24"/>
          <w:szCs w:val="24"/>
          <w:lang w:val="en-US" w:eastAsia="zh-CN"/>
        </w:rPr>
      </w:pPr>
      <w:r>
        <w:rPr>
          <w:rFonts w:hint="eastAsia" w:ascii="宋体" w:hAnsi="宋体" w:cs="宋体"/>
          <w:sz w:val="24"/>
          <w:szCs w:val="24"/>
          <w:lang w:val="en-US" w:eastAsia="zh-CN"/>
        </w:rPr>
        <w:t>深圳政府采购智慧平台</w:t>
      </w:r>
    </w:p>
    <w:p w14:paraId="6EE309C2">
      <w:pPr>
        <w:pStyle w:val="19"/>
        <w:ind w:firstLine="480"/>
        <w:rPr>
          <w:rFonts w:hint="default" w:ascii="宋体" w:hAnsi="宋体" w:cs="宋体"/>
          <w:sz w:val="24"/>
          <w:szCs w:val="24"/>
          <w:lang w:val="en-US" w:eastAsia="zh-CN"/>
        </w:rPr>
      </w:pPr>
      <w:r>
        <w:rPr>
          <w:rFonts w:hint="eastAsia" w:ascii="宋体" w:hAnsi="宋体" w:cs="宋体"/>
          <w:sz w:val="24"/>
          <w:szCs w:val="24"/>
          <w:lang w:val="en-US" w:eastAsia="zh-CN"/>
        </w:rPr>
        <w:t>深圳市福田教育网</w:t>
      </w:r>
    </w:p>
    <w:p w14:paraId="352E18AF">
      <w:pPr>
        <w:spacing w:after="60" w:line="400" w:lineRule="exact"/>
        <w:ind w:firstLine="480" w:firstLineChars="200"/>
        <w:rPr>
          <w:rFonts w:hint="eastAsia" w:ascii="宋体" w:hAnsi="宋体" w:cs="宋体"/>
          <w:sz w:val="24"/>
          <w:szCs w:val="24"/>
        </w:rPr>
      </w:pPr>
      <w:r>
        <w:rPr>
          <w:rFonts w:hint="eastAsia" w:ascii="宋体" w:hAnsi="宋体" w:cs="宋体"/>
          <w:sz w:val="24"/>
          <w:szCs w:val="24"/>
        </w:rPr>
        <w:t>深圳市慧智工程顾问有限公司</w:t>
      </w:r>
    </w:p>
    <w:p w14:paraId="09E0E749">
      <w:pPr>
        <w:pStyle w:val="4"/>
        <w:spacing w:before="0" w:afterLines="0"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七、对本次招标提出询问，请按</w:t>
      </w:r>
      <w:r>
        <w:rPr>
          <w:rFonts w:ascii="宋体" w:hAnsi="宋体" w:cs="宋体"/>
          <w:b/>
          <w:color w:val="000000" w:themeColor="text1"/>
          <w:sz w:val="28"/>
          <w:szCs w:val="28"/>
          <w14:textFill>
            <w14:solidFill>
              <w14:schemeClr w14:val="tx1"/>
            </w14:solidFill>
          </w14:textFill>
        </w:rPr>
        <w:t>以下方式</w:t>
      </w:r>
      <w:r>
        <w:rPr>
          <w:rFonts w:hint="eastAsia" w:ascii="宋体" w:hAnsi="宋体" w:cs="宋体"/>
          <w:b/>
          <w:color w:val="000000" w:themeColor="text1"/>
          <w:sz w:val="28"/>
          <w:szCs w:val="28"/>
          <w14:textFill>
            <w14:solidFill>
              <w14:schemeClr w14:val="tx1"/>
            </w14:solidFill>
          </w14:textFill>
        </w:rPr>
        <w:t>联系</w:t>
      </w:r>
    </w:p>
    <w:p w14:paraId="14157F43">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1.采购人信息</w:t>
      </w:r>
    </w:p>
    <w:p w14:paraId="28999663">
      <w:pPr>
        <w:spacing w:after="60" w:line="360" w:lineRule="auto"/>
        <w:ind w:firstLine="480" w:firstLineChars="200"/>
        <w:rPr>
          <w:rFonts w:hint="eastAsia" w:ascii="宋体" w:hAnsi="宋体"/>
          <w:sz w:val="24"/>
          <w:u w:val="single"/>
        </w:rPr>
      </w:pPr>
      <w:r>
        <w:rPr>
          <w:rFonts w:hint="eastAsia" w:ascii="宋体" w:hAnsi="宋体"/>
          <w:sz w:val="24"/>
        </w:rPr>
        <w:t>名　称：</w:t>
      </w:r>
      <w:r>
        <w:rPr>
          <w:rFonts w:hint="eastAsia" w:ascii="宋体" w:hAnsi="宋体"/>
          <w:sz w:val="24"/>
          <w:u w:val="single"/>
        </w:rPr>
        <w:t>深圳市第</w:t>
      </w:r>
      <w:r>
        <w:rPr>
          <w:rFonts w:hint="eastAsia" w:ascii="宋体" w:hAnsi="宋体"/>
          <w:sz w:val="24"/>
          <w:u w:val="single"/>
          <w:lang w:val="en-US" w:eastAsia="zh-CN"/>
        </w:rPr>
        <w:t>七</w:t>
      </w:r>
      <w:r>
        <w:rPr>
          <w:rFonts w:hint="eastAsia" w:ascii="宋体" w:hAnsi="宋体"/>
          <w:sz w:val="24"/>
          <w:u w:val="single"/>
        </w:rPr>
        <w:t>幼儿园</w:t>
      </w:r>
    </w:p>
    <w:p w14:paraId="272B23D7">
      <w:pPr>
        <w:spacing w:after="60" w:line="360" w:lineRule="auto"/>
        <w:ind w:firstLine="480" w:firstLineChars="200"/>
        <w:rPr>
          <w:rFonts w:hint="eastAsia" w:ascii="宋体" w:hAnsi="宋体"/>
          <w:sz w:val="24"/>
          <w:u w:val="single"/>
        </w:rPr>
      </w:pPr>
      <w:r>
        <w:rPr>
          <w:rFonts w:hint="eastAsia" w:ascii="宋体" w:hAnsi="宋体"/>
          <w:sz w:val="24"/>
        </w:rPr>
        <w:t>地　址：深圳市福田区莲花三村长福花园内</w:t>
      </w:r>
    </w:p>
    <w:p w14:paraId="3D0ABAB5">
      <w:pPr>
        <w:spacing w:after="60" w:line="360" w:lineRule="auto"/>
        <w:ind w:firstLine="480" w:firstLineChars="200"/>
        <w:rPr>
          <w:rFonts w:hint="eastAsia" w:ascii="宋体" w:hAnsi="宋体"/>
          <w:sz w:val="24"/>
        </w:rPr>
      </w:pPr>
      <w:r>
        <w:rPr>
          <w:rFonts w:hint="eastAsia" w:ascii="宋体" w:hAnsi="宋体"/>
          <w:sz w:val="24"/>
        </w:rPr>
        <w:t>联系方式：</w:t>
      </w:r>
      <w:r>
        <w:rPr>
          <w:rFonts w:hint="eastAsia" w:ascii="宋体" w:hAnsi="宋体"/>
          <w:sz w:val="24"/>
          <w:u w:val="single"/>
          <w:lang w:val="en-US" w:eastAsia="zh-CN"/>
        </w:rPr>
        <w:t>曾</w:t>
      </w:r>
      <w:r>
        <w:rPr>
          <w:rFonts w:hint="eastAsia" w:ascii="宋体" w:hAnsi="宋体"/>
          <w:sz w:val="24"/>
          <w:u w:val="single"/>
        </w:rPr>
        <w:t>老师、 0755-832316238</w:t>
      </w:r>
    </w:p>
    <w:p w14:paraId="09E5FA65">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2.采购代理机构信息</w:t>
      </w:r>
    </w:p>
    <w:p w14:paraId="56C3B8BA">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　称：</w:t>
      </w:r>
      <w:r>
        <w:rPr>
          <w:rFonts w:hint="eastAsia" w:ascii="宋体" w:hAnsi="宋体"/>
          <w:color w:val="000000" w:themeColor="text1"/>
          <w:sz w:val="24"/>
          <w:u w:val="single"/>
          <w14:textFill>
            <w14:solidFill>
              <w14:schemeClr w14:val="tx1"/>
            </w14:solidFill>
          </w14:textFill>
        </w:rPr>
        <w:t>深圳市慧智工程顾问有限公司</w:t>
      </w:r>
    </w:p>
    <w:p w14:paraId="2D928EB7">
      <w:pPr>
        <w:spacing w:after="60" w:line="360"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color w:val="000000" w:themeColor="text1"/>
          <w:sz w:val="24"/>
          <w:u w:val="single"/>
          <w14:textFill>
            <w14:solidFill>
              <w14:schemeClr w14:val="tx1"/>
            </w14:solidFill>
          </w14:textFill>
        </w:rPr>
        <w:t>深圳市罗湖区清水河三路7号中海慧智大厦2A栋415-416</w:t>
      </w:r>
    </w:p>
    <w:p w14:paraId="6A79BF78">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联系方式：曾工，0755-82121846</w:t>
      </w:r>
    </w:p>
    <w:p w14:paraId="5BB35940">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3.项目</w:t>
      </w:r>
      <w:r>
        <w:rPr>
          <w:rFonts w:ascii="宋体" w:hAnsi="宋体"/>
          <w:color w:val="000000" w:themeColor="text1"/>
          <w:sz w:val="24"/>
          <w14:textFill>
            <w14:solidFill>
              <w14:schemeClr w14:val="tx1"/>
            </w14:solidFill>
          </w14:textFill>
        </w:rPr>
        <w:t>联系方式</w:t>
      </w:r>
    </w:p>
    <w:p w14:paraId="0A73D35B">
      <w:pPr>
        <w:spacing w:after="6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项目联系人：</w:t>
      </w:r>
      <w:r>
        <w:rPr>
          <w:rFonts w:hint="eastAsia" w:ascii="宋体" w:hAnsi="宋体"/>
          <w:color w:val="000000" w:themeColor="text1"/>
          <w:sz w:val="24"/>
          <w:u w:val="single"/>
          <w14:textFill>
            <w14:solidFill>
              <w14:schemeClr w14:val="tx1"/>
            </w14:solidFill>
          </w14:textFill>
        </w:rPr>
        <w:t>曾工</w:t>
      </w:r>
    </w:p>
    <w:p w14:paraId="187FFB24">
      <w:pPr>
        <w:spacing w:after="60"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电　话：0755-82121846、1</w:t>
      </w:r>
      <w:r>
        <w:rPr>
          <w:rFonts w:hint="eastAsia" w:ascii="宋体" w:hAnsi="宋体"/>
          <w:color w:val="000000" w:themeColor="text1"/>
          <w:sz w:val="24"/>
          <w:lang w:val="en-US" w:eastAsia="zh-CN"/>
          <w14:textFill>
            <w14:solidFill>
              <w14:schemeClr w14:val="tx1"/>
            </w14:solidFill>
          </w14:textFill>
        </w:rPr>
        <w:t>5817341508</w:t>
      </w:r>
    </w:p>
    <w:p w14:paraId="00D24695">
      <w:pPr>
        <w:spacing w:after="60"/>
        <w:rPr>
          <w:rFonts w:hint="eastAsia" w:ascii="宋体" w:hAnsi="宋体"/>
          <w:color w:val="000000" w:themeColor="text1"/>
          <w14:textFill>
            <w14:solidFill>
              <w14:schemeClr w14:val="tx1"/>
            </w14:solidFill>
          </w14:textFill>
        </w:rPr>
      </w:pPr>
    </w:p>
    <w:p w14:paraId="1DEA85F1">
      <w:pPr>
        <w:spacing w:after="60"/>
        <w:jc w:val="righ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深圳市慧智工程顾问有限公司</w:t>
      </w:r>
    </w:p>
    <w:p w14:paraId="492130CA">
      <w:pPr>
        <w:spacing w:after="60"/>
        <w:jc w:val="right"/>
        <w:rPr>
          <w:rFonts w:hint="eastAsia" w:ascii="宋体" w:hAnsi="宋体"/>
          <w:color w:val="000000" w:themeColor="text1"/>
          <w:highlight w:val="green"/>
          <w14:textFill>
            <w14:solidFill>
              <w14:schemeClr w14:val="tx1"/>
            </w14:solidFill>
          </w14:textFill>
        </w:rPr>
      </w:pPr>
      <w:r>
        <w:rPr>
          <w:rFonts w:ascii="宋体" w:hAnsi="宋体" w:cs="宋体"/>
          <w:color w:val="000000" w:themeColor="text1"/>
          <w:kern w:val="0"/>
          <w:sz w:val="24"/>
          <w:highlight w:val="green"/>
          <w:lang w:val="zh-CN"/>
          <w14:textFill>
            <w14:solidFill>
              <w14:schemeClr w14:val="tx1"/>
            </w14:solidFill>
          </w14:textFill>
        </w:rPr>
        <w:t>202</w:t>
      </w:r>
      <w:r>
        <w:rPr>
          <w:rFonts w:hint="eastAsia" w:ascii="宋体" w:hAnsi="宋体" w:cs="宋体"/>
          <w:color w:val="000000" w:themeColor="text1"/>
          <w:kern w:val="0"/>
          <w:sz w:val="24"/>
          <w:highlight w:val="green"/>
          <w:lang w:val="en-US" w:eastAsia="zh-CN"/>
          <w14:textFill>
            <w14:solidFill>
              <w14:schemeClr w14:val="tx1"/>
            </w14:solidFill>
          </w14:textFill>
        </w:rPr>
        <w:t>5</w:t>
      </w:r>
      <w:r>
        <w:rPr>
          <w:rFonts w:ascii="宋体" w:hAnsi="宋体" w:cs="宋体"/>
          <w:color w:val="000000" w:themeColor="text1"/>
          <w:kern w:val="0"/>
          <w:sz w:val="24"/>
          <w:highlight w:val="green"/>
          <w:lang w:val="zh-CN"/>
          <w14:textFill>
            <w14:solidFill>
              <w14:schemeClr w14:val="tx1"/>
            </w14:solidFill>
          </w14:textFill>
        </w:rPr>
        <w:t>年</w:t>
      </w:r>
      <w:r>
        <w:rPr>
          <w:rFonts w:hint="eastAsia" w:ascii="宋体" w:hAnsi="宋体" w:cs="宋体"/>
          <w:color w:val="000000" w:themeColor="text1"/>
          <w:kern w:val="0"/>
          <w:sz w:val="24"/>
          <w:highlight w:val="green"/>
          <w:lang w:val="en-US" w:eastAsia="zh-CN"/>
          <w14:textFill>
            <w14:solidFill>
              <w14:schemeClr w14:val="tx1"/>
            </w14:solidFill>
          </w14:textFill>
        </w:rPr>
        <w:t>12</w:t>
      </w:r>
      <w:r>
        <w:rPr>
          <w:rFonts w:ascii="宋体" w:hAnsi="宋体" w:cs="宋体"/>
          <w:color w:val="000000" w:themeColor="text1"/>
          <w:kern w:val="0"/>
          <w:sz w:val="24"/>
          <w:highlight w:val="green"/>
          <w:lang w:val="zh-CN"/>
          <w14:textFill>
            <w14:solidFill>
              <w14:schemeClr w14:val="tx1"/>
            </w14:solidFill>
          </w14:textFill>
        </w:rPr>
        <w:t>月</w:t>
      </w:r>
      <w:r>
        <w:rPr>
          <w:rFonts w:hint="eastAsia" w:ascii="宋体" w:hAnsi="宋体" w:cs="宋体"/>
          <w:color w:val="000000" w:themeColor="text1"/>
          <w:kern w:val="0"/>
          <w:sz w:val="24"/>
          <w:highlight w:val="green"/>
          <w:lang w:val="en-US" w:eastAsia="zh-CN"/>
          <w14:textFill>
            <w14:solidFill>
              <w14:schemeClr w14:val="tx1"/>
            </w14:solidFill>
          </w14:textFill>
        </w:rPr>
        <w:t>8</w:t>
      </w:r>
      <w:r>
        <w:rPr>
          <w:rFonts w:hint="eastAsia" w:ascii="宋体" w:hAnsi="宋体" w:cs="宋体"/>
          <w:color w:val="000000" w:themeColor="text1"/>
          <w:kern w:val="0"/>
          <w:sz w:val="24"/>
          <w:highlight w:val="green"/>
          <w14:textFill>
            <w14:solidFill>
              <w14:schemeClr w14:val="tx1"/>
            </w14:solidFill>
          </w14:textFill>
        </w:rPr>
        <w:t xml:space="preserve"> </w:t>
      </w:r>
      <w:r>
        <w:rPr>
          <w:rFonts w:ascii="宋体" w:hAnsi="宋体" w:cs="宋体"/>
          <w:color w:val="000000" w:themeColor="text1"/>
          <w:kern w:val="0"/>
          <w:sz w:val="24"/>
          <w:highlight w:val="green"/>
          <w:lang w:val="zh-CN"/>
          <w14:textFill>
            <w14:solidFill>
              <w14:schemeClr w14:val="tx1"/>
            </w14:solidFill>
          </w14:textFill>
        </w:rPr>
        <w:t>日</w:t>
      </w:r>
    </w:p>
    <w:p w14:paraId="19598A3E">
      <w:pPr>
        <w:pStyle w:val="3"/>
        <w:keepNext w:val="0"/>
        <w:keepLines w:val="0"/>
        <w:numPr>
          <w:ilvl w:val="0"/>
          <w:numId w:val="9"/>
        </w:numPr>
        <w:adjustRightInd w:val="0"/>
        <w:spacing w:before="0" w:afterLines="0" w:line="240" w:lineRule="auto"/>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br w:type="page"/>
      </w:r>
      <w:bookmarkStart w:id="21" w:name="_Toc3487"/>
      <w:bookmarkStart w:id="22" w:name="_Toc14652"/>
      <w:bookmarkStart w:id="23" w:name="_Toc29517"/>
      <w:bookmarkStart w:id="24" w:name="_Toc31030"/>
      <w:r>
        <w:rPr>
          <w:rFonts w:hint="eastAsia" w:ascii="宋体" w:hAnsi="宋体" w:eastAsia="宋体"/>
          <w:b/>
          <w:bCs/>
          <w:color w:val="000000" w:themeColor="text1"/>
          <w14:textFill>
            <w14:solidFill>
              <w14:schemeClr w14:val="tx1"/>
            </w14:solidFill>
          </w14:textFill>
        </w:rPr>
        <w:t>招标项目需求</w:t>
      </w:r>
    </w:p>
    <w:p w14:paraId="1B192805">
      <w:pPr>
        <w:spacing w:after="60"/>
        <w:rPr>
          <w:rFonts w:hint="eastAsia" w:ascii="宋体" w:hAnsi="宋体"/>
          <w:color w:val="000000" w:themeColor="text1"/>
          <w14:textFill>
            <w14:solidFill>
              <w14:schemeClr w14:val="tx1"/>
            </w14:solidFill>
          </w14:textFill>
        </w:rPr>
      </w:pPr>
    </w:p>
    <w:p w14:paraId="2F2103D6">
      <w:pPr>
        <w:pStyle w:val="4"/>
        <w:spacing w:before="0" w:afterLines="0" w:line="360" w:lineRule="auto"/>
        <w:rPr>
          <w:rFonts w:hint="eastAsia" w:ascii="宋体" w:hAnsi="宋体" w:cs="宋体"/>
          <w:b/>
          <w:color w:val="000000" w:themeColor="text1"/>
          <w:sz w:val="28"/>
          <w:szCs w:val="28"/>
          <w14:textFill>
            <w14:solidFill>
              <w14:schemeClr w14:val="tx1"/>
            </w14:solidFill>
          </w14:textFill>
        </w:rPr>
      </w:pPr>
      <w:bookmarkStart w:id="25" w:name="_Toc73518117"/>
      <w:bookmarkStart w:id="26" w:name="_Toc73517639"/>
      <w:bookmarkStart w:id="27" w:name="_Toc100052364"/>
      <w:bookmarkStart w:id="28" w:name="_Toc73521635"/>
      <w:bookmarkStart w:id="29" w:name="_Toc60560625"/>
      <w:bookmarkStart w:id="30" w:name="_Toc60631620"/>
      <w:bookmarkStart w:id="31" w:name="_Toc73521547"/>
      <w:bookmarkStart w:id="32" w:name="_Toc101074876"/>
      <w:r>
        <w:rPr>
          <w:rFonts w:hint="eastAsia" w:ascii="宋体" w:hAnsi="宋体" w:cs="宋体"/>
          <w:b/>
          <w:color w:val="000000" w:themeColor="text1"/>
          <w:sz w:val="28"/>
          <w:szCs w:val="28"/>
          <w14:textFill>
            <w14:solidFill>
              <w14:schemeClr w14:val="tx1"/>
            </w14:solidFill>
          </w14:textFill>
        </w:rPr>
        <w:t>一、对通用条款的补充内容</w:t>
      </w:r>
    </w:p>
    <w:bookmarkEnd w:id="25"/>
    <w:bookmarkEnd w:id="26"/>
    <w:bookmarkEnd w:id="27"/>
    <w:bookmarkEnd w:id="28"/>
    <w:bookmarkEnd w:id="29"/>
    <w:bookmarkEnd w:id="30"/>
    <w:bookmarkEnd w:id="31"/>
    <w:bookmarkEnd w:id="32"/>
    <w:tbl>
      <w:tblPr>
        <w:tblStyle w:val="4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6237"/>
      </w:tblGrid>
      <w:tr w14:paraId="69DC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209CEF2D">
            <w:pPr>
              <w:snapToGrid w:val="0"/>
              <w:spacing w:afterLines="0" w:line="400" w:lineRule="exact"/>
              <w:contextualSpacing/>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843" w:type="dxa"/>
            <w:vAlign w:val="center"/>
          </w:tcPr>
          <w:p w14:paraId="3F90614C">
            <w:pPr>
              <w:snapToGrid w:val="0"/>
              <w:spacing w:afterLines="0" w:line="400" w:lineRule="exact"/>
              <w:contextualSpacing/>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内容</w:t>
            </w:r>
          </w:p>
        </w:tc>
        <w:tc>
          <w:tcPr>
            <w:tcW w:w="6237" w:type="dxa"/>
            <w:vAlign w:val="center"/>
          </w:tcPr>
          <w:p w14:paraId="20F1732F">
            <w:pPr>
              <w:snapToGrid w:val="0"/>
              <w:spacing w:afterLines="0" w:line="400" w:lineRule="exact"/>
              <w:contextualSpacing/>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规定</w:t>
            </w:r>
          </w:p>
        </w:tc>
      </w:tr>
      <w:tr w14:paraId="3141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4CF378C6">
            <w:pPr>
              <w:snapToGrid w:val="0"/>
              <w:spacing w:afterLines="0" w:line="400" w:lineRule="exact"/>
              <w:contextualSpacing/>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843" w:type="dxa"/>
            <w:vAlign w:val="center"/>
          </w:tcPr>
          <w:p w14:paraId="336D142E">
            <w:pPr>
              <w:snapToGrid w:val="0"/>
              <w:spacing w:afterLines="0" w:line="400" w:lineRule="exact"/>
              <w:contextualSpacing/>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采购人</w:t>
            </w:r>
          </w:p>
        </w:tc>
        <w:tc>
          <w:tcPr>
            <w:tcW w:w="6237" w:type="dxa"/>
            <w:vAlign w:val="center"/>
          </w:tcPr>
          <w:p w14:paraId="37368F70">
            <w:pPr>
              <w:snapToGrid w:val="0"/>
              <w:spacing w:afterLines="0" w:line="400" w:lineRule="exact"/>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深圳市第七幼儿园</w:t>
            </w:r>
          </w:p>
        </w:tc>
      </w:tr>
      <w:tr w14:paraId="45F0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35C79E92">
            <w:pPr>
              <w:snapToGrid w:val="0"/>
              <w:spacing w:afterLines="0" w:line="400" w:lineRule="exact"/>
              <w:contextualSpacing/>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1843" w:type="dxa"/>
            <w:vAlign w:val="center"/>
          </w:tcPr>
          <w:p w14:paraId="461B102B">
            <w:pPr>
              <w:snapToGrid w:val="0"/>
              <w:spacing w:afterLines="0" w:line="400" w:lineRule="exact"/>
              <w:contextualSpacing/>
              <w:jc w:val="left"/>
              <w:rPr>
                <w:rFonts w:hint="eastAsia" w:ascii="宋体" w:hAnsi="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推荐的候选中标供应商数量</w:t>
            </w:r>
          </w:p>
        </w:tc>
        <w:tc>
          <w:tcPr>
            <w:tcW w:w="6237" w:type="dxa"/>
            <w:vAlign w:val="center"/>
          </w:tcPr>
          <w:p w14:paraId="17482641">
            <w:pPr>
              <w:snapToGrid w:val="0"/>
              <w:spacing w:afterLines="0" w:line="400" w:lineRule="exact"/>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3家</w:t>
            </w:r>
          </w:p>
        </w:tc>
      </w:tr>
      <w:tr w14:paraId="3901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2C5DCAC7">
            <w:pPr>
              <w:snapToGrid w:val="0"/>
              <w:spacing w:afterLines="0" w:line="400" w:lineRule="exact"/>
              <w:contextualSpacing/>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1843" w:type="dxa"/>
            <w:vAlign w:val="center"/>
          </w:tcPr>
          <w:p w14:paraId="2539121B">
            <w:pPr>
              <w:snapToGrid w:val="0"/>
              <w:spacing w:afterLines="0" w:line="400" w:lineRule="exact"/>
              <w:contextualSpacing/>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招标文件的修改</w:t>
            </w:r>
          </w:p>
        </w:tc>
        <w:tc>
          <w:tcPr>
            <w:tcW w:w="6237" w:type="dxa"/>
            <w:vAlign w:val="center"/>
          </w:tcPr>
          <w:p w14:paraId="1978592C">
            <w:pPr>
              <w:snapToGrid w:val="0"/>
              <w:spacing w:afterLines="0" w:line="400" w:lineRule="exact"/>
              <w:contextualSpacing/>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投标截止3日前，供应商有义务在招标期间上网浏览有关本项目的修改性文件。</w:t>
            </w:r>
          </w:p>
        </w:tc>
      </w:tr>
      <w:tr w14:paraId="14D6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1027AD04">
            <w:pPr>
              <w:snapToGrid w:val="0"/>
              <w:spacing w:afterLines="0" w:line="400" w:lineRule="exact"/>
              <w:contextualSpacing/>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c>
          <w:tcPr>
            <w:tcW w:w="1843" w:type="dxa"/>
            <w:vAlign w:val="center"/>
          </w:tcPr>
          <w:p w14:paraId="5D251D03">
            <w:pPr>
              <w:snapToGrid w:val="0"/>
              <w:spacing w:afterLines="0" w:line="400" w:lineRule="exact"/>
              <w:contextualSpacing/>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237" w:type="dxa"/>
            <w:vAlign w:val="center"/>
          </w:tcPr>
          <w:p w14:paraId="73D6DC85">
            <w:pPr>
              <w:snapToGrid w:val="0"/>
              <w:spacing w:afterLines="0" w:line="400" w:lineRule="exact"/>
              <w:contextualSpacing/>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120</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14:textFill>
                  <w14:solidFill>
                    <w14:schemeClr w14:val="tx1"/>
                  </w14:solidFill>
                </w14:textFill>
              </w:rPr>
              <w:t>（从投标截止之日算起）</w:t>
            </w:r>
          </w:p>
        </w:tc>
      </w:tr>
      <w:tr w14:paraId="1FDE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1039A146">
            <w:pPr>
              <w:snapToGrid w:val="0"/>
              <w:spacing w:afterLines="0" w:line="400" w:lineRule="exact"/>
              <w:contextualSpacing/>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843" w:type="dxa"/>
            <w:vAlign w:val="center"/>
          </w:tcPr>
          <w:p w14:paraId="0DECAAD6">
            <w:pPr>
              <w:snapToGrid w:val="0"/>
              <w:spacing w:afterLines="0" w:line="400" w:lineRule="exact"/>
              <w:contextualSpacing/>
              <w:jc w:val="left"/>
              <w:rPr>
                <w:rFonts w:hint="eastAsia" w:ascii="宋体" w:hAnsi="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p>
        </w:tc>
        <w:tc>
          <w:tcPr>
            <w:tcW w:w="6237" w:type="dxa"/>
            <w:vAlign w:val="center"/>
          </w:tcPr>
          <w:p w14:paraId="4B629441">
            <w:pPr>
              <w:snapToGrid w:val="0"/>
              <w:spacing w:afterLines="0" w:line="400" w:lineRule="exact"/>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投标总价必须是完成该项目的一切费用总和，包括设备费、运输费、装卸费、保险费、技术培训费、设备安装费、调试费、售后服务费、国家规定的各项税费等；</w:t>
            </w:r>
          </w:p>
        </w:tc>
      </w:tr>
      <w:tr w14:paraId="1E82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32A908D2">
            <w:pPr>
              <w:snapToGrid w:val="0"/>
              <w:spacing w:afterLines="0" w:line="400" w:lineRule="exact"/>
              <w:contextualSpacing/>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p>
        </w:tc>
        <w:tc>
          <w:tcPr>
            <w:tcW w:w="1843" w:type="dxa"/>
            <w:vAlign w:val="center"/>
          </w:tcPr>
          <w:p w14:paraId="19C422FA">
            <w:pPr>
              <w:snapToGrid w:val="0"/>
              <w:spacing w:afterLines="0"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6237" w:type="dxa"/>
            <w:vAlign w:val="center"/>
          </w:tcPr>
          <w:p w14:paraId="147E9DA0">
            <w:pPr>
              <w:snapToGrid w:val="0"/>
              <w:spacing w:afterLines="0"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正本1份，副本4份，开标文件1份，电子投标文件光盘或U盘1份。</w:t>
            </w:r>
          </w:p>
          <w:p w14:paraId="5871BD91">
            <w:pPr>
              <w:snapToGrid w:val="0"/>
              <w:spacing w:afterLines="0"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电子投标文件要求</w:t>
            </w:r>
            <w:r>
              <w:rPr>
                <w:rFonts w:hint="eastAsia" w:ascii="宋体" w:hAnsi="宋体" w:cs="宋体"/>
                <w:color w:val="000000" w:themeColor="text1"/>
                <w:szCs w:val="21"/>
                <w14:textFill>
                  <w14:solidFill>
                    <w14:schemeClr w14:val="tx1"/>
                  </w14:solidFill>
                </w14:textFill>
              </w:rPr>
              <w:t>：投标文件正本</w:t>
            </w:r>
            <w:r>
              <w:rPr>
                <w:rFonts w:ascii="宋体" w:hAnsi="宋体" w:cs="宋体"/>
                <w:color w:val="000000" w:themeColor="text1"/>
                <w:szCs w:val="21"/>
                <w14:textFill>
                  <w14:solidFill>
                    <w14:schemeClr w14:val="tx1"/>
                  </w14:solidFill>
                </w14:textFill>
              </w:rPr>
              <w:t>Word文档</w:t>
            </w:r>
            <w:r>
              <w:rPr>
                <w:rFonts w:hint="eastAsia" w:ascii="宋体" w:hAnsi="宋体" w:cs="宋体"/>
                <w:color w:val="000000" w:themeColor="text1"/>
                <w:szCs w:val="21"/>
                <w14:textFill>
                  <w14:solidFill>
                    <w14:schemeClr w14:val="tx1"/>
                  </w14:solidFill>
                </w14:textFill>
              </w:rPr>
              <w:t>或PDF格式扫描件（单个文件保存，扫描页面清晰、完整）；</w:t>
            </w:r>
          </w:p>
        </w:tc>
      </w:tr>
      <w:tr w14:paraId="448D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14:paraId="096715A0">
            <w:pPr>
              <w:snapToGrid w:val="0"/>
              <w:spacing w:afterLines="0" w:line="400" w:lineRule="exact"/>
              <w:contextualSpacing/>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p>
        </w:tc>
        <w:tc>
          <w:tcPr>
            <w:tcW w:w="1843" w:type="dxa"/>
            <w:vAlign w:val="center"/>
          </w:tcPr>
          <w:p w14:paraId="52B53F77">
            <w:pPr>
              <w:snapToGrid w:val="0"/>
              <w:spacing w:afterLines="0" w:line="400" w:lineRule="exact"/>
              <w:contextualSpacing/>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招标文件答疑及回复</w:t>
            </w:r>
          </w:p>
        </w:tc>
        <w:tc>
          <w:tcPr>
            <w:tcW w:w="6237" w:type="dxa"/>
            <w:vAlign w:val="center"/>
          </w:tcPr>
          <w:p w14:paraId="0E5095BF">
            <w:pPr>
              <w:snapToGrid w:val="0"/>
              <w:spacing w:afterLines="0" w:line="400" w:lineRule="exact"/>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本招标文件如有异议的，请于投标截止5日前将问题按招标公告中载明的邮政地址以书面函件形式（加盖投标人公章）交至采购代理机构，超出上述截止时间提出的任何疑问，采购代理机构可不予答复。所有问题采购代理机构将于投标截止3日前，将不标明查询来源的答疑文件以及对招标文件进行澄清或者修改的内容以书面形式通知所有获取招标文件的潜在投标人；答疑文件为招标文件的组成部分。</w:t>
            </w:r>
          </w:p>
        </w:tc>
      </w:tr>
      <w:tr w14:paraId="7F0A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FD6CBA5">
            <w:pPr>
              <w:autoSpaceDE w:val="0"/>
              <w:autoSpaceDN w:val="0"/>
              <w:adjustRightInd w:val="0"/>
              <w:snapToGrid w:val="0"/>
              <w:spacing w:afterLines="0" w:line="400" w:lineRule="exact"/>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p>
        </w:tc>
        <w:tc>
          <w:tcPr>
            <w:tcW w:w="1843" w:type="dxa"/>
            <w:tcBorders>
              <w:top w:val="single" w:color="auto" w:sz="4" w:space="0"/>
              <w:left w:val="single" w:color="auto" w:sz="4" w:space="0"/>
              <w:bottom w:val="single" w:color="auto" w:sz="4" w:space="0"/>
              <w:right w:val="single" w:color="auto" w:sz="4" w:space="0"/>
            </w:tcBorders>
            <w:vAlign w:val="center"/>
          </w:tcPr>
          <w:p w14:paraId="6E4F7FE2">
            <w:pPr>
              <w:autoSpaceDE w:val="0"/>
              <w:autoSpaceDN w:val="0"/>
              <w:adjustRightInd w:val="0"/>
              <w:snapToGrid w:val="0"/>
              <w:spacing w:afterLines="0" w:line="400" w:lineRule="exact"/>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履约保证金</w:t>
            </w:r>
          </w:p>
        </w:tc>
        <w:tc>
          <w:tcPr>
            <w:tcW w:w="6237" w:type="dxa"/>
            <w:tcBorders>
              <w:top w:val="single" w:color="auto" w:sz="4" w:space="0"/>
              <w:left w:val="single" w:color="auto" w:sz="4" w:space="0"/>
              <w:bottom w:val="single" w:color="auto" w:sz="4" w:space="0"/>
              <w:right w:val="single" w:color="auto" w:sz="4" w:space="0"/>
            </w:tcBorders>
            <w:vAlign w:val="center"/>
          </w:tcPr>
          <w:p w14:paraId="7AEA068C">
            <w:pPr>
              <w:autoSpaceDE w:val="0"/>
              <w:autoSpaceDN w:val="0"/>
              <w:adjustRightInd w:val="0"/>
              <w:snapToGrid w:val="0"/>
              <w:spacing w:afterLines="0" w:line="400" w:lineRule="exact"/>
              <w:jc w:val="left"/>
              <w:rPr>
                <w:rFonts w:hint="eastAsia" w:ascii="宋体" w:hAnsi="宋体" w:cs="宋体"/>
                <w:b/>
                <w:color w:val="000000" w:themeColor="text1"/>
                <w:kern w:val="0"/>
                <w:szCs w:val="21"/>
                <w14:textFill>
                  <w14:solidFill>
                    <w14:schemeClr w14:val="tx1"/>
                  </w14:solidFill>
                </w14:textFill>
              </w:rPr>
            </w:pPr>
            <w:r>
              <w:rPr>
                <w:rFonts w:ascii="Segoe UI Symbol" w:hAnsi="Segoe UI Symbol" w:cs="Segoe UI Symbol"/>
                <w:bCs/>
                <w:color w:val="000000" w:themeColor="text1"/>
                <w:kern w:val="0"/>
                <w:szCs w:val="21"/>
                <w14:textFill>
                  <w14:solidFill>
                    <w14:schemeClr w14:val="tx1"/>
                  </w14:solidFill>
                </w14:textFill>
              </w:rPr>
              <w:t>☑</w:t>
            </w:r>
            <w:r>
              <w:rPr>
                <w:rFonts w:hint="eastAsia" w:ascii="宋体" w:hAnsi="宋体" w:cs="宋体"/>
                <w:bCs/>
                <w:color w:val="000000" w:themeColor="text1"/>
                <w:kern w:val="0"/>
                <w:szCs w:val="21"/>
                <w14:textFill>
                  <w14:solidFill>
                    <w14:schemeClr w14:val="tx1"/>
                  </w14:solidFill>
                </w14:textFill>
              </w:rPr>
              <w:t xml:space="preserve"> 无  □ 有：</w:t>
            </w:r>
            <w:r>
              <w:rPr>
                <w:rFonts w:hint="eastAsia" w:ascii="宋体" w:hAnsi="宋体" w:cs="宋体"/>
                <w:color w:val="000000" w:themeColor="text1"/>
                <w:szCs w:val="21"/>
                <w14:textFill>
                  <w14:solidFill>
                    <w14:schemeClr w14:val="tx1"/>
                  </w14:solidFill>
                </w14:textFill>
              </w:rPr>
              <w:t>合同金额的%</w:t>
            </w:r>
          </w:p>
        </w:tc>
      </w:tr>
      <w:tr w14:paraId="7622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0FBFD69">
            <w:pPr>
              <w:autoSpaceDE w:val="0"/>
              <w:autoSpaceDN w:val="0"/>
              <w:adjustRightInd w:val="0"/>
              <w:snapToGrid w:val="0"/>
              <w:spacing w:afterLines="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E356A28">
            <w:pPr>
              <w:autoSpaceDE w:val="0"/>
              <w:autoSpaceDN w:val="0"/>
              <w:adjustRightInd w:val="0"/>
              <w:snapToGrid w:val="0"/>
              <w:spacing w:afterLines="0"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中标服务费</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14:paraId="02363F2D">
            <w:pPr>
              <w:autoSpaceDE w:val="0"/>
              <w:autoSpaceDN w:val="0"/>
              <w:adjustRightInd w:val="0"/>
              <w:snapToGrid w:val="0"/>
              <w:spacing w:afterLines="0" w:line="40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按通用条款第十二章费率标准货物标准执行，最低收费7000元。</w:t>
            </w:r>
          </w:p>
        </w:tc>
      </w:tr>
      <w:tr w14:paraId="6353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D427E28">
            <w:pPr>
              <w:autoSpaceDE w:val="0"/>
              <w:autoSpaceDN w:val="0"/>
              <w:adjustRightInd w:val="0"/>
              <w:snapToGrid w:val="0"/>
              <w:spacing w:afterLines="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843" w:type="dxa"/>
            <w:tcBorders>
              <w:top w:val="single" w:color="auto" w:sz="4" w:space="0"/>
              <w:left w:val="single" w:color="auto" w:sz="4" w:space="0"/>
              <w:bottom w:val="single" w:color="auto" w:sz="4" w:space="0"/>
              <w:right w:val="single" w:color="auto" w:sz="4" w:space="0"/>
            </w:tcBorders>
            <w:vAlign w:val="center"/>
          </w:tcPr>
          <w:p w14:paraId="1AEE94EF">
            <w:pPr>
              <w:pStyle w:val="6"/>
              <w:spacing w:afterLines="0" w:line="400" w:lineRule="exact"/>
              <w:ind w:firstLine="0" w:firstLine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投标报价要求</w:t>
            </w:r>
          </w:p>
        </w:tc>
        <w:tc>
          <w:tcPr>
            <w:tcW w:w="6237" w:type="dxa"/>
            <w:tcBorders>
              <w:top w:val="single" w:color="auto" w:sz="4" w:space="0"/>
              <w:left w:val="single" w:color="auto" w:sz="4" w:space="0"/>
              <w:bottom w:val="single" w:color="auto" w:sz="4" w:space="0"/>
              <w:right w:val="single" w:color="auto" w:sz="4" w:space="0"/>
            </w:tcBorders>
            <w:vAlign w:val="center"/>
          </w:tcPr>
          <w:p w14:paraId="4DD4447A">
            <w:pPr>
              <w:pStyle w:val="6"/>
              <w:spacing w:afterLines="0" w:line="400" w:lineRule="exact"/>
              <w:ind w:firstLine="0" w:firstLineChars="0"/>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人民币报价。</w:t>
            </w:r>
          </w:p>
        </w:tc>
      </w:tr>
      <w:tr w14:paraId="14F2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54E11E9">
            <w:pPr>
              <w:autoSpaceDE w:val="0"/>
              <w:autoSpaceDN w:val="0"/>
              <w:adjustRightInd w:val="0"/>
              <w:snapToGrid w:val="0"/>
              <w:spacing w:afterLines="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1</w:t>
            </w:r>
          </w:p>
        </w:tc>
        <w:tc>
          <w:tcPr>
            <w:tcW w:w="1843" w:type="dxa"/>
            <w:tcBorders>
              <w:top w:val="single" w:color="auto" w:sz="4" w:space="0"/>
              <w:left w:val="single" w:color="auto" w:sz="4" w:space="0"/>
              <w:bottom w:val="single" w:color="auto" w:sz="4" w:space="0"/>
              <w:right w:val="single" w:color="auto" w:sz="4" w:space="0"/>
            </w:tcBorders>
            <w:vAlign w:val="center"/>
          </w:tcPr>
          <w:p w14:paraId="3F11D2C3">
            <w:pPr>
              <w:pStyle w:val="6"/>
              <w:spacing w:afterLines="0" w:line="400" w:lineRule="exact"/>
              <w:ind w:firstLine="0" w:firstLineChars="0"/>
              <w:jc w:val="left"/>
              <w:rPr>
                <w:rFonts w:hint="eastAsia" w:ascii="宋体" w:hAnsi="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替代方案</w:t>
            </w:r>
          </w:p>
        </w:tc>
        <w:tc>
          <w:tcPr>
            <w:tcW w:w="6237" w:type="dxa"/>
            <w:tcBorders>
              <w:top w:val="single" w:color="auto" w:sz="4" w:space="0"/>
              <w:left w:val="single" w:color="auto" w:sz="4" w:space="0"/>
              <w:bottom w:val="single" w:color="auto" w:sz="4" w:space="0"/>
              <w:right w:val="single" w:color="auto" w:sz="4" w:space="0"/>
            </w:tcBorders>
            <w:vAlign w:val="center"/>
          </w:tcPr>
          <w:p w14:paraId="29CF68BE">
            <w:pPr>
              <w:pStyle w:val="6"/>
              <w:spacing w:afterLines="0" w:line="400" w:lineRule="exact"/>
              <w:ind w:firstLine="0" w:firstLineChars="0"/>
              <w:rPr>
                <w:rFonts w:hint="eastAsia" w:ascii="宋体" w:hAnsi="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是否接受供应商的替代方案： 口是   </w:t>
            </w:r>
            <w:r>
              <w:rPr>
                <w:rFonts w:ascii="Segoe UI Symbol" w:hAnsi="Segoe UI Symbol" w:cs="Segoe UI Symbol"/>
                <w:bCs/>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否</w:t>
            </w:r>
          </w:p>
        </w:tc>
      </w:tr>
      <w:tr w14:paraId="0EF8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72B5FE4">
            <w:pPr>
              <w:autoSpaceDE w:val="0"/>
              <w:autoSpaceDN w:val="0"/>
              <w:adjustRightInd w:val="0"/>
              <w:snapToGrid w:val="0"/>
              <w:spacing w:afterLines="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14:paraId="460A6BA5">
            <w:pPr>
              <w:widowControl/>
              <w:tabs>
                <w:tab w:val="left" w:pos="5352"/>
              </w:tabs>
              <w:autoSpaceDE w:val="0"/>
              <w:autoSpaceDN w:val="0"/>
              <w:snapToGrid w:val="0"/>
              <w:spacing w:afterLines="0" w:line="400" w:lineRule="exact"/>
              <w:ind w:right="101" w:rightChars="48"/>
              <w:jc w:val="lef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其它要求</w:t>
            </w:r>
          </w:p>
        </w:tc>
        <w:tc>
          <w:tcPr>
            <w:tcW w:w="6237" w:type="dxa"/>
            <w:tcBorders>
              <w:top w:val="single" w:color="auto" w:sz="4" w:space="0"/>
              <w:left w:val="single" w:color="auto" w:sz="4" w:space="0"/>
              <w:bottom w:val="single" w:color="auto" w:sz="4" w:space="0"/>
              <w:right w:val="single" w:color="auto" w:sz="4" w:space="0"/>
            </w:tcBorders>
            <w:vAlign w:val="center"/>
          </w:tcPr>
          <w:p w14:paraId="18D06D2A">
            <w:pPr>
              <w:widowControl/>
              <w:tabs>
                <w:tab w:val="left" w:pos="5352"/>
              </w:tabs>
              <w:autoSpaceDE w:val="0"/>
              <w:autoSpaceDN w:val="0"/>
              <w:snapToGrid w:val="0"/>
              <w:spacing w:afterLines="0" w:line="400" w:lineRule="exact"/>
              <w:ind w:right="101" w:rightChars="48"/>
              <w:textAlignment w:val="bottom"/>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bl>
    <w:p w14:paraId="72D34E1A">
      <w:pPr>
        <w:spacing w:before="120" w:beforeLines="50" w:afterLines="0" w:line="360" w:lineRule="auto"/>
        <w:rPr>
          <w:rFonts w:hint="eastAsia" w:ascii="宋体" w:hAnsi="宋体"/>
          <w:b/>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备注：本表为通用条款相关内容的补充和明确，如与通用条款相冲突的以本表为准。</w:t>
      </w:r>
    </w:p>
    <w:p w14:paraId="2F683A4D">
      <w:pPr>
        <w:spacing w:after="60"/>
        <w:rPr>
          <w:rFonts w:hint="eastAsia" w:ascii="宋体" w:hAnsi="宋体"/>
          <w:b/>
          <w:color w:val="000000" w:themeColor="text1"/>
          <w14:textFill>
            <w14:solidFill>
              <w14:schemeClr w14:val="tx1"/>
            </w14:solidFill>
          </w14:textFill>
        </w:rPr>
      </w:pPr>
    </w:p>
    <w:p w14:paraId="4C916361">
      <w:pPr>
        <w:pStyle w:val="19"/>
        <w:spacing w:after="60"/>
        <w:rPr>
          <w:rFonts w:hint="eastAsia" w:ascii="宋体" w:hAnsi="宋体"/>
          <w:color w:val="000000" w:themeColor="text1"/>
          <w14:textFill>
            <w14:solidFill>
              <w14:schemeClr w14:val="tx1"/>
            </w14:solidFill>
          </w14:textFill>
        </w:rPr>
      </w:pPr>
    </w:p>
    <w:p w14:paraId="009E5E0D">
      <w:pPr>
        <w:pStyle w:val="4"/>
        <w:spacing w:before="0" w:afterLines="0" w:line="360" w:lineRule="auto"/>
        <w:rPr>
          <w:rFonts w:hint="eastAsia" w:ascii="宋体" w:hAnsi="宋体" w:cs="宋体"/>
          <w:b/>
          <w:color w:val="000000" w:themeColor="text1"/>
          <w:sz w:val="28"/>
          <w:szCs w:val="28"/>
          <w14:textFill>
            <w14:solidFill>
              <w14:schemeClr w14:val="tx1"/>
            </w14:solidFill>
          </w14:textFill>
        </w:rPr>
      </w:pPr>
      <w:r>
        <w:rPr>
          <w:rFonts w:ascii="宋体" w:hAnsi="宋体"/>
          <w:color w:val="000000" w:themeColor="text1"/>
          <w14:textFill>
            <w14:solidFill>
              <w14:schemeClr w14:val="tx1"/>
            </w14:solidFill>
          </w14:textFill>
        </w:rPr>
        <w:t>二</w:t>
      </w:r>
      <w:r>
        <w:rPr>
          <w:rFonts w:hint="eastAsia" w:ascii="宋体" w:hAnsi="宋体"/>
          <w:color w:val="000000" w:themeColor="text1"/>
          <w14:textFill>
            <w14:solidFill>
              <w14:schemeClr w14:val="tx1"/>
            </w14:solidFill>
          </w14:textFill>
        </w:rPr>
        <w:t>、</w:t>
      </w:r>
      <w:r>
        <w:rPr>
          <w:rFonts w:hint="eastAsia" w:ascii="宋体" w:hAnsi="宋体" w:cs="宋体"/>
          <w:b/>
          <w:sz w:val="28"/>
          <w:szCs w:val="28"/>
        </w:rPr>
        <w:t>服务清单及项目要求</w:t>
      </w:r>
    </w:p>
    <w:p w14:paraId="568ADC15">
      <w:pPr>
        <w:pStyle w:val="5"/>
        <w:spacing w:before="120" w:afterLines="0" w:line="360" w:lineRule="auto"/>
        <w:rPr>
          <w:rFonts w:hint="eastAsia" w:ascii="宋体" w:hAnsi="宋体" w:eastAsia="宋体"/>
          <w:b/>
          <w:color w:val="000000" w:themeColor="text1"/>
          <w:sz w:val="24"/>
          <w:szCs w:val="24"/>
          <w:lang w:val="en-US" w:eastAsia="zh-CN"/>
          <w14:textFill>
            <w14:solidFill>
              <w14:schemeClr w14:val="tx1"/>
            </w14:solidFill>
          </w14:textFill>
        </w:rPr>
      </w:pPr>
      <w:r>
        <w:rPr>
          <w:rFonts w:hint="eastAsia" w:ascii="宋体" w:hAnsi="宋体" w:eastAsia="宋体"/>
          <w:b/>
          <w:sz w:val="24"/>
          <w:szCs w:val="24"/>
        </w:rPr>
        <w:t>一）服务</w:t>
      </w:r>
      <w:r>
        <w:rPr>
          <w:rFonts w:hint="eastAsia" w:ascii="宋体" w:hAnsi="宋体" w:eastAsia="宋体"/>
          <w:b/>
          <w:sz w:val="24"/>
          <w:szCs w:val="24"/>
          <w:lang w:val="en-US" w:eastAsia="zh-CN"/>
        </w:rPr>
        <w:t>清单及服务</w:t>
      </w:r>
      <w:r>
        <w:rPr>
          <w:rFonts w:hint="eastAsia" w:ascii="宋体" w:hAnsi="宋体" w:eastAsia="宋体"/>
          <w:b/>
          <w:sz w:val="24"/>
          <w:szCs w:val="24"/>
        </w:rPr>
        <w:t>要求</w:t>
      </w:r>
    </w:p>
    <w:tbl>
      <w:tblPr>
        <w:tblStyle w:val="46"/>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112"/>
        <w:gridCol w:w="809"/>
        <w:gridCol w:w="801"/>
        <w:gridCol w:w="2179"/>
        <w:gridCol w:w="1710"/>
      </w:tblGrid>
      <w:tr w14:paraId="7E3C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6" w:type="pct"/>
            <w:vAlign w:val="center"/>
          </w:tcPr>
          <w:p w14:paraId="2829F6C9">
            <w:pPr>
              <w:snapToGrid w:val="0"/>
              <w:spacing w:after="60" w:line="380" w:lineRule="exact"/>
              <w:jc w:val="center"/>
              <w:rPr>
                <w:rFonts w:hint="eastAsia"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序号</w:t>
            </w:r>
          </w:p>
        </w:tc>
        <w:tc>
          <w:tcPr>
            <w:tcW w:w="1601" w:type="pct"/>
            <w:vAlign w:val="center"/>
          </w:tcPr>
          <w:p w14:paraId="6CED4433">
            <w:pPr>
              <w:snapToGrid w:val="0"/>
              <w:spacing w:after="60" w:line="380" w:lineRule="exact"/>
              <w:jc w:val="center"/>
              <w:rPr>
                <w:rFonts w:hint="eastAsia"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采购标的名称</w:t>
            </w:r>
          </w:p>
        </w:tc>
        <w:tc>
          <w:tcPr>
            <w:tcW w:w="416" w:type="pct"/>
            <w:vAlign w:val="center"/>
          </w:tcPr>
          <w:p w14:paraId="655E47CB">
            <w:pPr>
              <w:snapToGrid w:val="0"/>
              <w:spacing w:after="60" w:line="380" w:lineRule="exact"/>
              <w:jc w:val="center"/>
              <w:rPr>
                <w:rFonts w:hint="eastAsia"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数量</w:t>
            </w:r>
          </w:p>
        </w:tc>
        <w:tc>
          <w:tcPr>
            <w:tcW w:w="412" w:type="pct"/>
            <w:vAlign w:val="center"/>
          </w:tcPr>
          <w:p w14:paraId="6CF52CE8">
            <w:pPr>
              <w:snapToGrid w:val="0"/>
              <w:spacing w:after="60" w:line="380" w:lineRule="exact"/>
              <w:jc w:val="center"/>
              <w:rPr>
                <w:rFonts w:hint="eastAsia"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单位</w:t>
            </w:r>
          </w:p>
        </w:tc>
        <w:tc>
          <w:tcPr>
            <w:tcW w:w="1121" w:type="pct"/>
            <w:vAlign w:val="center"/>
          </w:tcPr>
          <w:p w14:paraId="14C8AB48">
            <w:pPr>
              <w:snapToGrid w:val="0"/>
              <w:spacing w:after="60" w:line="380" w:lineRule="exact"/>
              <w:jc w:val="center"/>
              <w:rPr>
                <w:rFonts w:hint="eastAsia" w:ascii="宋体" w:hAnsi="宋体" w:cstheme="minorEastAsia"/>
                <w:b/>
                <w:bCs/>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财政预算限额（元）</w:t>
            </w:r>
          </w:p>
        </w:tc>
        <w:tc>
          <w:tcPr>
            <w:tcW w:w="880" w:type="pct"/>
            <w:vAlign w:val="center"/>
          </w:tcPr>
          <w:p w14:paraId="715FAB51">
            <w:pPr>
              <w:snapToGrid w:val="0"/>
              <w:spacing w:after="60" w:line="380" w:lineRule="exact"/>
              <w:jc w:val="center"/>
              <w:rPr>
                <w:rFonts w:hint="eastAsia" w:ascii="宋体" w:hAnsi="宋体" w:cstheme="minorEastAsia"/>
                <w:b/>
                <w:bCs/>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备注</w:t>
            </w:r>
          </w:p>
        </w:tc>
      </w:tr>
      <w:tr w14:paraId="65EF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6" w:type="pct"/>
            <w:vAlign w:val="center"/>
          </w:tcPr>
          <w:p w14:paraId="655134C9">
            <w:pPr>
              <w:snapToGrid w:val="0"/>
              <w:spacing w:after="60" w:line="380" w:lineRule="exact"/>
              <w:jc w:val="center"/>
              <w:rPr>
                <w:rFonts w:hint="eastAsia" w:ascii="宋体" w:hAnsi="宋体" w:cstheme="minorEastAsia"/>
                <w:bCs/>
                <w:color w:val="000000" w:themeColor="text1"/>
                <w:szCs w:val="21"/>
                <w14:textFill>
                  <w14:solidFill>
                    <w14:schemeClr w14:val="tx1"/>
                  </w14:solidFill>
                </w14:textFill>
              </w:rPr>
            </w:pPr>
            <w:r>
              <w:rPr>
                <w:rFonts w:hint="eastAsia" w:ascii="宋体" w:hAnsi="宋体" w:cstheme="minorEastAsia"/>
                <w:bCs/>
                <w:color w:val="000000" w:themeColor="text1"/>
                <w:szCs w:val="21"/>
                <w14:textFill>
                  <w14:solidFill>
                    <w14:schemeClr w14:val="tx1"/>
                  </w14:solidFill>
                </w14:textFill>
              </w:rPr>
              <w:t>1</w:t>
            </w:r>
          </w:p>
        </w:tc>
        <w:tc>
          <w:tcPr>
            <w:tcW w:w="1601" w:type="pct"/>
            <w:vAlign w:val="center"/>
          </w:tcPr>
          <w:p w14:paraId="77630252">
            <w:pPr>
              <w:widowControl/>
              <w:snapToGrid w:val="0"/>
              <w:spacing w:after="60" w:line="380" w:lineRule="exact"/>
              <w:rPr>
                <w:rFonts w:hint="eastAsia" w:ascii="宋体" w:hAnsi="宋体" w:cstheme="minorEastAsia"/>
                <w:color w:val="000000" w:themeColor="text1"/>
                <w:kern w:val="0"/>
                <w:szCs w:val="21"/>
                <w14:textFill>
                  <w14:solidFill>
                    <w14:schemeClr w14:val="tx1"/>
                  </w14:solidFill>
                </w14:textFill>
              </w:rPr>
            </w:pPr>
            <w:r>
              <w:rPr>
                <w:rFonts w:hint="eastAsia"/>
              </w:rPr>
              <w:t xml:space="preserve">深圳市第七幼儿园2026年1月-2026年12月年度保安服务项目 </w:t>
            </w:r>
          </w:p>
        </w:tc>
        <w:tc>
          <w:tcPr>
            <w:tcW w:w="416" w:type="pct"/>
            <w:vAlign w:val="center"/>
          </w:tcPr>
          <w:p w14:paraId="2C5CF4EF">
            <w:pPr>
              <w:widowControl/>
              <w:snapToGrid w:val="0"/>
              <w:spacing w:after="60" w:line="380" w:lineRule="exact"/>
              <w:jc w:val="center"/>
              <w:rPr>
                <w:rFonts w:hint="eastAsia" w:ascii="宋体" w:hAnsi="宋体" w:cstheme="minorEastAsia"/>
                <w:bCs/>
                <w:color w:val="000000" w:themeColor="text1"/>
                <w:szCs w:val="21"/>
                <w14:textFill>
                  <w14:solidFill>
                    <w14:schemeClr w14:val="tx1"/>
                  </w14:solidFill>
                </w14:textFill>
              </w:rPr>
            </w:pPr>
            <w:r>
              <w:rPr>
                <w:rFonts w:hint="eastAsia" w:ascii="宋体" w:hAnsi="宋体" w:cstheme="minorEastAsia"/>
                <w:color w:val="000000" w:themeColor="text1"/>
                <w:kern w:val="0"/>
                <w:szCs w:val="21"/>
                <w14:textFill>
                  <w14:solidFill>
                    <w14:schemeClr w14:val="tx1"/>
                  </w14:solidFill>
                </w14:textFill>
              </w:rPr>
              <w:t>1</w:t>
            </w:r>
          </w:p>
        </w:tc>
        <w:tc>
          <w:tcPr>
            <w:tcW w:w="412" w:type="pct"/>
            <w:vAlign w:val="center"/>
          </w:tcPr>
          <w:p w14:paraId="052D3318">
            <w:pPr>
              <w:snapToGrid w:val="0"/>
              <w:spacing w:after="60" w:line="380" w:lineRule="exact"/>
              <w:jc w:val="center"/>
              <w:rPr>
                <w:rFonts w:hint="eastAsia" w:ascii="宋体" w:hAnsi="宋体" w:cstheme="minorEastAsia"/>
                <w:color w:val="000000" w:themeColor="text1"/>
                <w:kern w:val="0"/>
                <w:szCs w:val="21"/>
                <w14:textFill>
                  <w14:solidFill>
                    <w14:schemeClr w14:val="tx1"/>
                  </w14:solidFill>
                </w14:textFill>
              </w:rPr>
            </w:pPr>
            <w:r>
              <w:rPr>
                <w:rFonts w:hint="eastAsia" w:ascii="宋体" w:hAnsi="宋体" w:cstheme="minorEastAsia"/>
                <w:color w:val="000000" w:themeColor="text1"/>
                <w:kern w:val="0"/>
                <w:szCs w:val="21"/>
                <w14:textFill>
                  <w14:solidFill>
                    <w14:schemeClr w14:val="tx1"/>
                  </w14:solidFill>
                </w14:textFill>
              </w:rPr>
              <w:t>项</w:t>
            </w:r>
          </w:p>
        </w:tc>
        <w:tc>
          <w:tcPr>
            <w:tcW w:w="1121" w:type="pct"/>
            <w:vAlign w:val="center"/>
          </w:tcPr>
          <w:p w14:paraId="320DD106">
            <w:pPr>
              <w:snapToGrid w:val="0"/>
              <w:spacing w:after="60" w:line="380" w:lineRule="exact"/>
              <w:jc w:val="center"/>
              <w:rPr>
                <w:rFonts w:hint="eastAsia" w:ascii="宋体" w:hAnsi="宋体" w:cstheme="minorEastAsia"/>
                <w:color w:val="000000" w:themeColor="text1"/>
                <w:kern w:val="0"/>
                <w:szCs w:val="2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303288</w:t>
            </w:r>
            <w:r>
              <w:rPr>
                <w:rFonts w:hint="eastAsia" w:ascii="宋体" w:hAnsi="宋体"/>
                <w:color w:val="000000" w:themeColor="text1"/>
                <w:sz w:val="24"/>
                <w14:textFill>
                  <w14:solidFill>
                    <w14:schemeClr w14:val="tx1"/>
                  </w14:solidFill>
                </w14:textFill>
              </w:rPr>
              <w:t xml:space="preserve">.00 </w:t>
            </w:r>
          </w:p>
        </w:tc>
        <w:tc>
          <w:tcPr>
            <w:tcW w:w="880" w:type="pct"/>
            <w:vAlign w:val="center"/>
          </w:tcPr>
          <w:p w14:paraId="57189A96">
            <w:pPr>
              <w:snapToGrid w:val="0"/>
              <w:spacing w:after="60" w:line="380" w:lineRule="exact"/>
              <w:jc w:val="center"/>
              <w:rPr>
                <w:rFonts w:hint="default" w:ascii="宋体" w:hAnsi="宋体" w:eastAsia="宋体" w:cstheme="minorEastAsia"/>
                <w:b/>
                <w:color w:val="000000" w:themeColor="text1"/>
                <w:szCs w:val="21"/>
                <w:lang w:val="en-US" w:eastAsia="zh-CN"/>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保安3人</w:t>
            </w:r>
            <w:r>
              <w:rPr>
                <w:rFonts w:hint="eastAsia" w:ascii="宋体" w:hAnsi="宋体" w:cstheme="minorEastAsia"/>
                <w:b/>
                <w:color w:val="000000" w:themeColor="text1"/>
                <w:szCs w:val="21"/>
                <w:lang w:eastAsia="zh-CN"/>
                <w14:textFill>
                  <w14:solidFill>
                    <w14:schemeClr w14:val="tx1"/>
                  </w14:solidFill>
                </w14:textFill>
              </w:rPr>
              <w:t>，</w:t>
            </w:r>
            <w:r>
              <w:rPr>
                <w:rFonts w:hint="eastAsia" w:ascii="宋体" w:hAnsi="宋体" w:cstheme="minorEastAsia"/>
                <w:b/>
                <w:color w:val="000000" w:themeColor="text1"/>
                <w:szCs w:val="21"/>
                <w14:textFill>
                  <w14:solidFill>
                    <w14:schemeClr w14:val="tx1"/>
                  </w14:solidFill>
                </w14:textFill>
              </w:rPr>
              <w:t>其中2个保安有中级消防操作员证</w:t>
            </w:r>
            <w:r>
              <w:rPr>
                <w:rFonts w:hint="eastAsia" w:ascii="宋体" w:hAnsi="宋体" w:cstheme="minorEastAsia"/>
                <w:b/>
                <w:color w:val="000000" w:themeColor="text1"/>
                <w:szCs w:val="21"/>
                <w:lang w:eastAsia="zh-CN"/>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投标时需提供证书复印件。</w:t>
            </w:r>
          </w:p>
        </w:tc>
      </w:tr>
      <w:tr w14:paraId="7A9E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6" w:type="pct"/>
            <w:vAlign w:val="center"/>
          </w:tcPr>
          <w:p w14:paraId="08E270D5">
            <w:pPr>
              <w:snapToGrid w:val="0"/>
              <w:spacing w:after="60" w:line="380" w:lineRule="exact"/>
              <w:jc w:val="center"/>
              <w:rPr>
                <w:rFonts w:hint="eastAsia" w:ascii="宋体" w:hAnsi="宋体" w:eastAsia="宋体" w:cstheme="minorEastAsia"/>
                <w:bCs/>
                <w:color w:val="000000" w:themeColor="text1"/>
                <w:szCs w:val="21"/>
                <w:lang w:val="en-US" w:eastAsia="zh-CN"/>
                <w14:textFill>
                  <w14:solidFill>
                    <w14:schemeClr w14:val="tx1"/>
                  </w14:solidFill>
                </w14:textFill>
              </w:rPr>
            </w:pPr>
            <w:r>
              <w:rPr>
                <w:rFonts w:hint="eastAsia" w:ascii="宋体" w:hAnsi="宋体" w:cstheme="minorEastAsia"/>
                <w:bCs/>
                <w:color w:val="000000" w:themeColor="text1"/>
                <w:szCs w:val="21"/>
                <w:lang w:val="en-US" w:eastAsia="zh-CN"/>
                <w14:textFill>
                  <w14:solidFill>
                    <w14:schemeClr w14:val="tx1"/>
                  </w14:solidFill>
                </w14:textFill>
              </w:rPr>
              <w:t>2</w:t>
            </w:r>
          </w:p>
        </w:tc>
        <w:tc>
          <w:tcPr>
            <w:tcW w:w="1601" w:type="pct"/>
            <w:vAlign w:val="center"/>
          </w:tcPr>
          <w:p w14:paraId="0D2043A1">
            <w:pPr>
              <w:widowControl/>
              <w:snapToGrid w:val="0"/>
              <w:spacing w:after="60" w:line="380" w:lineRule="exact"/>
              <w:rPr>
                <w:rFonts w:hint="default" w:eastAsia="宋体"/>
                <w:lang w:val="en-US" w:eastAsia="zh-CN"/>
              </w:rPr>
            </w:pPr>
            <w:r>
              <w:rPr>
                <w:rFonts w:hint="eastAsia"/>
                <w:lang w:val="en-US" w:eastAsia="zh-CN"/>
              </w:rPr>
              <w:t>保安员服装</w:t>
            </w:r>
          </w:p>
        </w:tc>
        <w:tc>
          <w:tcPr>
            <w:tcW w:w="416" w:type="pct"/>
            <w:vAlign w:val="center"/>
          </w:tcPr>
          <w:p w14:paraId="0CB72665">
            <w:pPr>
              <w:widowControl/>
              <w:snapToGrid w:val="0"/>
              <w:spacing w:after="60" w:line="380" w:lineRule="exact"/>
              <w:jc w:val="center"/>
              <w:rPr>
                <w:rFonts w:hint="default" w:ascii="宋体" w:hAnsi="宋体" w:eastAsia="宋体" w:cstheme="minorEastAsia"/>
                <w:color w:val="000000" w:themeColor="text1"/>
                <w:kern w:val="0"/>
                <w:szCs w:val="21"/>
                <w:lang w:val="en-US" w:eastAsia="zh-CN"/>
                <w14:textFill>
                  <w14:solidFill>
                    <w14:schemeClr w14:val="tx1"/>
                  </w14:solidFill>
                </w14:textFill>
              </w:rPr>
            </w:pPr>
            <w:r>
              <w:rPr>
                <w:rFonts w:hint="eastAsia" w:ascii="宋体" w:hAnsi="宋体" w:cstheme="minorEastAsia"/>
                <w:color w:val="000000" w:themeColor="text1"/>
                <w:kern w:val="0"/>
                <w:szCs w:val="21"/>
                <w:lang w:val="en-US" w:eastAsia="zh-CN"/>
                <w14:textFill>
                  <w14:solidFill>
                    <w14:schemeClr w14:val="tx1"/>
                  </w14:solidFill>
                </w14:textFill>
              </w:rPr>
              <w:t>18</w:t>
            </w:r>
          </w:p>
        </w:tc>
        <w:tc>
          <w:tcPr>
            <w:tcW w:w="412" w:type="pct"/>
            <w:vAlign w:val="center"/>
          </w:tcPr>
          <w:p w14:paraId="439D38CE">
            <w:pPr>
              <w:snapToGrid w:val="0"/>
              <w:spacing w:after="60" w:line="380" w:lineRule="exact"/>
              <w:jc w:val="center"/>
              <w:rPr>
                <w:rFonts w:hint="eastAsia" w:ascii="宋体" w:hAnsi="宋体" w:eastAsia="宋体" w:cstheme="minorEastAsia"/>
                <w:color w:val="000000" w:themeColor="text1"/>
                <w:kern w:val="0"/>
                <w:szCs w:val="21"/>
                <w:lang w:val="en-US" w:eastAsia="zh-CN"/>
                <w14:textFill>
                  <w14:solidFill>
                    <w14:schemeClr w14:val="tx1"/>
                  </w14:solidFill>
                </w14:textFill>
              </w:rPr>
            </w:pPr>
            <w:r>
              <w:rPr>
                <w:rFonts w:hint="eastAsia" w:ascii="宋体" w:hAnsi="宋体" w:cstheme="minorEastAsia"/>
                <w:color w:val="000000" w:themeColor="text1"/>
                <w:kern w:val="0"/>
                <w:szCs w:val="21"/>
                <w:lang w:val="en-US" w:eastAsia="zh-CN"/>
                <w14:textFill>
                  <w14:solidFill>
                    <w14:schemeClr w14:val="tx1"/>
                  </w14:solidFill>
                </w14:textFill>
              </w:rPr>
              <w:t>套</w:t>
            </w:r>
          </w:p>
        </w:tc>
        <w:tc>
          <w:tcPr>
            <w:tcW w:w="1121" w:type="pct"/>
            <w:vAlign w:val="center"/>
          </w:tcPr>
          <w:p w14:paraId="1823937B">
            <w:pPr>
              <w:snapToGrid w:val="0"/>
              <w:spacing w:after="60" w:line="380" w:lineRule="exact"/>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2700.00</w:t>
            </w:r>
          </w:p>
        </w:tc>
        <w:tc>
          <w:tcPr>
            <w:tcW w:w="880" w:type="pct"/>
            <w:vAlign w:val="center"/>
          </w:tcPr>
          <w:p w14:paraId="20C43407">
            <w:pPr>
              <w:snapToGrid w:val="0"/>
              <w:spacing w:after="60" w:line="380" w:lineRule="exact"/>
              <w:jc w:val="center"/>
              <w:rPr>
                <w:rFonts w:hint="default" w:ascii="宋体" w:hAnsi="宋体" w:eastAsia="宋体" w:cstheme="minorEastAsia"/>
                <w:b/>
                <w:color w:val="000000" w:themeColor="text1"/>
                <w:szCs w:val="21"/>
                <w:lang w:val="en-US" w:eastAsia="zh-CN"/>
                <w14:textFill>
                  <w14:solidFill>
                    <w14:schemeClr w14:val="tx1"/>
                  </w14:solidFill>
                </w14:textFill>
              </w:rPr>
            </w:pPr>
            <w:r>
              <w:rPr>
                <w:rFonts w:hint="eastAsia" w:ascii="宋体" w:hAnsi="宋体" w:cstheme="minorEastAsia"/>
                <w:b/>
                <w:color w:val="000000" w:themeColor="text1"/>
                <w:szCs w:val="21"/>
                <w:lang w:val="en-US" w:eastAsia="zh-CN"/>
                <w14:textFill>
                  <w14:solidFill>
                    <w14:schemeClr w14:val="tx1"/>
                  </w14:solidFill>
                </w14:textFill>
              </w:rPr>
              <w:t>每个保安员6套保安员服装</w:t>
            </w:r>
          </w:p>
        </w:tc>
      </w:tr>
      <w:tr w14:paraId="55F9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6" w:type="pct"/>
            <w:vAlign w:val="center"/>
          </w:tcPr>
          <w:p w14:paraId="4EDF6D33">
            <w:pPr>
              <w:snapToGrid w:val="0"/>
              <w:spacing w:after="60" w:line="380" w:lineRule="exact"/>
              <w:jc w:val="center"/>
              <w:rPr>
                <w:rFonts w:hint="default" w:ascii="宋体" w:hAnsi="宋体" w:cstheme="minorEastAsia"/>
                <w:bCs/>
                <w:color w:val="000000" w:themeColor="text1"/>
                <w:szCs w:val="21"/>
                <w:lang w:val="en-US" w:eastAsia="zh-CN"/>
                <w14:textFill>
                  <w14:solidFill>
                    <w14:schemeClr w14:val="tx1"/>
                  </w14:solidFill>
                </w14:textFill>
              </w:rPr>
            </w:pPr>
            <w:r>
              <w:rPr>
                <w:rFonts w:hint="eastAsia" w:ascii="宋体" w:hAnsi="宋体" w:cstheme="minorEastAsia"/>
                <w:bCs/>
                <w:color w:val="000000" w:themeColor="text1"/>
                <w:szCs w:val="21"/>
                <w:lang w:val="en-US" w:eastAsia="zh-CN"/>
                <w14:textFill>
                  <w14:solidFill>
                    <w14:schemeClr w14:val="tx1"/>
                  </w14:solidFill>
                </w14:textFill>
              </w:rPr>
              <w:t>3</w:t>
            </w:r>
          </w:p>
        </w:tc>
        <w:tc>
          <w:tcPr>
            <w:tcW w:w="1601" w:type="pct"/>
            <w:vAlign w:val="center"/>
          </w:tcPr>
          <w:p w14:paraId="3023A098">
            <w:pPr>
              <w:widowControl/>
              <w:snapToGrid w:val="0"/>
              <w:spacing w:after="60" w:line="380" w:lineRule="exact"/>
              <w:rPr>
                <w:rFonts w:hint="default"/>
                <w:lang w:val="en-US" w:eastAsia="zh-CN"/>
              </w:rPr>
            </w:pPr>
            <w:r>
              <w:rPr>
                <w:rFonts w:hint="eastAsia"/>
                <w:lang w:val="en-US" w:eastAsia="zh-CN"/>
              </w:rPr>
              <w:t>全费用总价限额</w:t>
            </w:r>
          </w:p>
        </w:tc>
        <w:tc>
          <w:tcPr>
            <w:tcW w:w="416" w:type="pct"/>
            <w:vAlign w:val="center"/>
          </w:tcPr>
          <w:p w14:paraId="752164CD">
            <w:pPr>
              <w:widowControl/>
              <w:snapToGrid w:val="0"/>
              <w:spacing w:after="60" w:line="380" w:lineRule="exact"/>
              <w:jc w:val="center"/>
              <w:rPr>
                <w:rFonts w:hint="default" w:ascii="宋体" w:hAnsi="宋体" w:cstheme="minorEastAsia"/>
                <w:color w:val="000000" w:themeColor="text1"/>
                <w:kern w:val="0"/>
                <w:szCs w:val="21"/>
                <w:lang w:val="en-US" w:eastAsia="zh-CN"/>
                <w14:textFill>
                  <w14:solidFill>
                    <w14:schemeClr w14:val="tx1"/>
                  </w14:solidFill>
                </w14:textFill>
              </w:rPr>
            </w:pPr>
          </w:p>
        </w:tc>
        <w:tc>
          <w:tcPr>
            <w:tcW w:w="412" w:type="pct"/>
            <w:vAlign w:val="center"/>
          </w:tcPr>
          <w:p w14:paraId="19AE9EDA">
            <w:pPr>
              <w:snapToGrid w:val="0"/>
              <w:spacing w:after="60" w:line="380" w:lineRule="exact"/>
              <w:jc w:val="center"/>
              <w:rPr>
                <w:rFonts w:hint="eastAsia" w:ascii="宋体" w:hAnsi="宋体" w:cstheme="minorEastAsia"/>
                <w:color w:val="000000" w:themeColor="text1"/>
                <w:kern w:val="0"/>
                <w:szCs w:val="21"/>
                <w:lang w:val="en-US" w:eastAsia="zh-CN"/>
                <w14:textFill>
                  <w14:solidFill>
                    <w14:schemeClr w14:val="tx1"/>
                  </w14:solidFill>
                </w14:textFill>
              </w:rPr>
            </w:pPr>
          </w:p>
        </w:tc>
        <w:tc>
          <w:tcPr>
            <w:tcW w:w="1121" w:type="pct"/>
            <w:vAlign w:val="center"/>
          </w:tcPr>
          <w:p w14:paraId="7BE508EE">
            <w:pPr>
              <w:snapToGrid w:val="0"/>
              <w:spacing w:after="60" w:line="380" w:lineRule="exact"/>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305988.00</w:t>
            </w:r>
          </w:p>
        </w:tc>
        <w:tc>
          <w:tcPr>
            <w:tcW w:w="880" w:type="pct"/>
            <w:vAlign w:val="center"/>
          </w:tcPr>
          <w:p w14:paraId="53AF7410">
            <w:pPr>
              <w:snapToGrid w:val="0"/>
              <w:spacing w:after="60" w:line="380" w:lineRule="exact"/>
              <w:jc w:val="center"/>
              <w:rPr>
                <w:rFonts w:hint="eastAsia" w:ascii="宋体" w:hAnsi="宋体" w:cstheme="minorEastAsia"/>
                <w:b/>
                <w:color w:val="000000" w:themeColor="text1"/>
                <w:szCs w:val="21"/>
                <w14:textFill>
                  <w14:solidFill>
                    <w14:schemeClr w14:val="tx1"/>
                  </w14:solidFill>
                </w14:textFill>
              </w:rPr>
            </w:pPr>
          </w:p>
        </w:tc>
      </w:tr>
    </w:tbl>
    <w:p w14:paraId="280255B3">
      <w:pPr>
        <w:pStyle w:val="5"/>
        <w:spacing w:before="120" w:afterLines="0" w:line="360" w:lineRule="auto"/>
        <w:rPr>
          <w:rFonts w:hint="eastAsia" w:ascii="宋体" w:hAnsi="宋体" w:eastAsia="宋体"/>
          <w:b/>
          <w:sz w:val="24"/>
          <w:szCs w:val="24"/>
        </w:rPr>
      </w:pPr>
      <w:r>
        <w:rPr>
          <w:rFonts w:hint="eastAsia" w:ascii="宋体" w:hAnsi="宋体" w:eastAsia="宋体"/>
          <w:b/>
          <w:sz w:val="24"/>
          <w:szCs w:val="24"/>
        </w:rPr>
        <w:t>二）服务要求</w:t>
      </w:r>
    </w:p>
    <w:p w14:paraId="7C9E72D0">
      <w:pPr>
        <w:pStyle w:val="236"/>
        <w:spacing w:afterLines="0" w:line="360" w:lineRule="auto"/>
        <w:ind w:firstLine="482"/>
        <w:rPr>
          <w:rFonts w:hint="eastAsia" w:ascii="宋体" w:hAnsi="宋体"/>
          <w:b/>
          <w:bCs/>
          <w:sz w:val="24"/>
        </w:rPr>
      </w:pPr>
      <w:r>
        <w:rPr>
          <w:rFonts w:hint="eastAsia" w:ascii="宋体" w:hAnsi="宋体"/>
          <w:b/>
          <w:bCs/>
          <w:sz w:val="24"/>
        </w:rPr>
        <w:t>1、安保服务要求</w:t>
      </w:r>
    </w:p>
    <w:p w14:paraId="65A79E01">
      <w:pPr>
        <w:pStyle w:val="236"/>
        <w:spacing w:afterLines="0" w:line="360" w:lineRule="auto"/>
        <w:ind w:firstLine="480"/>
        <w:rPr>
          <w:rFonts w:hint="eastAsia" w:ascii="宋体" w:hAnsi="宋体"/>
          <w:sz w:val="24"/>
        </w:rPr>
      </w:pPr>
      <w:r>
        <w:rPr>
          <w:rFonts w:hint="eastAsia" w:ascii="宋体" w:hAnsi="宋体"/>
          <w:sz w:val="24"/>
        </w:rPr>
        <w:t>1.1保安人员熟悉校园环境，文明执勤，言语规范，认真负责，人员稳定。</w:t>
      </w:r>
    </w:p>
    <w:p w14:paraId="6A6583B9">
      <w:pPr>
        <w:pStyle w:val="236"/>
        <w:spacing w:afterLines="0" w:line="360" w:lineRule="auto"/>
        <w:ind w:firstLine="480"/>
        <w:rPr>
          <w:rFonts w:hint="eastAsia" w:ascii="宋体" w:hAnsi="宋体"/>
          <w:sz w:val="24"/>
        </w:rPr>
      </w:pPr>
      <w:r>
        <w:rPr>
          <w:rFonts w:hint="eastAsia" w:ascii="宋体" w:hAnsi="宋体"/>
          <w:sz w:val="24"/>
        </w:rPr>
        <w:t>1.2保安人员的素质要求：品德好、形象佳、身体强壮、服务意识强、会普通话、持有上岗证、无犯罪记录等，需提供相关证件给采购人核验。</w:t>
      </w:r>
    </w:p>
    <w:p w14:paraId="537B379B">
      <w:pPr>
        <w:pStyle w:val="236"/>
        <w:spacing w:afterLines="0" w:line="360" w:lineRule="auto"/>
        <w:ind w:firstLine="480"/>
        <w:rPr>
          <w:rFonts w:hint="eastAsia" w:ascii="宋体" w:hAnsi="宋体"/>
          <w:sz w:val="24"/>
        </w:rPr>
      </w:pPr>
      <w:r>
        <w:rPr>
          <w:rFonts w:hint="eastAsia" w:ascii="宋体" w:hAnsi="宋体"/>
          <w:sz w:val="24"/>
        </w:rPr>
        <w:t>1.3做好安全防范措施，校园日常秩序井然有序，学校财产不受损失，责任内火灾发生率为零；师生人身安全不受侵犯，突发事件迅速得到处理解决，治安及聚众斗殴案件发生率为零；要有科学高效的突发事件（设备、治安、卫生防疫、突发自然灾害等）的应急措施和解决预案。</w:t>
      </w:r>
    </w:p>
    <w:p w14:paraId="391128A0">
      <w:pPr>
        <w:pStyle w:val="236"/>
        <w:spacing w:afterLines="0" w:line="360" w:lineRule="auto"/>
        <w:ind w:firstLine="480"/>
        <w:rPr>
          <w:rFonts w:hint="eastAsia" w:ascii="宋体" w:hAnsi="宋体"/>
          <w:sz w:val="24"/>
        </w:rPr>
      </w:pPr>
      <w:r>
        <w:rPr>
          <w:rFonts w:hint="eastAsia" w:ascii="宋体" w:hAnsi="宋体"/>
          <w:sz w:val="24"/>
        </w:rPr>
        <w:t>1.4校园内实行24小时保安值勤，固定岗和流动巡逻相结合制度。大门岗24小时值班，制止社会不法分子进入学校，不受外界和社会不法分子侵犯，任何时间发现学生违规违纪行为都要及时制止。</w:t>
      </w:r>
    </w:p>
    <w:p w14:paraId="62504A81">
      <w:pPr>
        <w:pStyle w:val="236"/>
        <w:spacing w:afterLines="0" w:line="360" w:lineRule="auto"/>
        <w:ind w:firstLine="480"/>
        <w:rPr>
          <w:rFonts w:hint="eastAsia" w:ascii="宋体" w:hAnsi="宋体"/>
          <w:sz w:val="24"/>
        </w:rPr>
      </w:pPr>
      <w:r>
        <w:rPr>
          <w:rFonts w:hint="eastAsia" w:ascii="宋体" w:hAnsi="宋体"/>
          <w:sz w:val="24"/>
        </w:rPr>
        <w:t>1.5由采购人与中标人共同确定值勤岗位、值勤时间、岗位职责等，并保证所定岗位有人实际在岗值勤，确保万无一失。</w:t>
      </w:r>
    </w:p>
    <w:p w14:paraId="3D472289">
      <w:pPr>
        <w:pStyle w:val="236"/>
        <w:spacing w:afterLines="0" w:line="360" w:lineRule="auto"/>
        <w:ind w:firstLine="480"/>
        <w:rPr>
          <w:rFonts w:hint="eastAsia" w:ascii="宋体" w:hAnsi="宋体"/>
          <w:sz w:val="24"/>
        </w:rPr>
      </w:pPr>
      <w:r>
        <w:rPr>
          <w:rFonts w:hint="eastAsia" w:ascii="宋体" w:hAnsi="宋体"/>
          <w:sz w:val="24"/>
        </w:rPr>
        <w:t>1.6建立并严格执行来访人员询问登记制度。要控制校内施工噪音，制止喧闹现象，闲杂人员和车辆不能进入校园，物资出入及搬运、贮存要有管理，凭学校放行证明放行。</w:t>
      </w:r>
    </w:p>
    <w:p w14:paraId="6D04BC48">
      <w:pPr>
        <w:pStyle w:val="236"/>
        <w:spacing w:afterLines="0" w:line="360" w:lineRule="auto"/>
        <w:ind w:firstLine="480"/>
        <w:rPr>
          <w:rFonts w:hint="eastAsia" w:ascii="宋体" w:hAnsi="宋体"/>
          <w:sz w:val="24"/>
        </w:rPr>
      </w:pPr>
      <w:r>
        <w:rPr>
          <w:rFonts w:hint="eastAsia" w:ascii="宋体" w:hAnsi="宋体"/>
          <w:sz w:val="24"/>
        </w:rPr>
        <w:t>1.7对突发事件有应急处理预案和措施，要有足够的人员和器械保证，平时有演习，突发事件发生时要得到及时处理，防止事态进一步恶化，保护现场，并报告学校领导，必要时及时报警。</w:t>
      </w:r>
    </w:p>
    <w:p w14:paraId="69B8002D">
      <w:pPr>
        <w:pStyle w:val="236"/>
        <w:spacing w:afterLines="0" w:line="360" w:lineRule="auto"/>
        <w:ind w:firstLine="480"/>
        <w:rPr>
          <w:rFonts w:hint="eastAsia" w:ascii="宋体" w:hAnsi="宋体"/>
          <w:sz w:val="24"/>
        </w:rPr>
      </w:pPr>
      <w:r>
        <w:rPr>
          <w:rFonts w:hint="eastAsia" w:ascii="宋体" w:hAnsi="宋体"/>
          <w:sz w:val="24"/>
        </w:rPr>
        <w:t>1.8对学校红线内外周边环境进行24小时不间断巡视。</w:t>
      </w:r>
    </w:p>
    <w:p w14:paraId="52EBBF73">
      <w:pPr>
        <w:pStyle w:val="236"/>
        <w:spacing w:afterLines="0" w:line="360" w:lineRule="auto"/>
        <w:ind w:firstLine="480"/>
        <w:rPr>
          <w:rFonts w:hint="eastAsia" w:ascii="宋体" w:hAnsi="宋体"/>
          <w:sz w:val="24"/>
        </w:rPr>
      </w:pPr>
      <w:r>
        <w:rPr>
          <w:rFonts w:hint="eastAsia" w:ascii="宋体" w:hAnsi="宋体"/>
          <w:sz w:val="24"/>
        </w:rPr>
        <w:t>1.9保安人员的服装费，包括购置对讲机在内的所有保安器械器材费用、保安员管理费、培训费均由中标人负责，不提供食宿。</w:t>
      </w:r>
    </w:p>
    <w:p w14:paraId="391C7758">
      <w:pPr>
        <w:pStyle w:val="236"/>
        <w:spacing w:afterLines="0" w:line="360" w:lineRule="auto"/>
        <w:ind w:firstLine="480"/>
        <w:rPr>
          <w:rFonts w:hint="eastAsia" w:ascii="宋体" w:hAnsi="宋体"/>
          <w:sz w:val="24"/>
        </w:rPr>
      </w:pPr>
      <w:r>
        <w:rPr>
          <w:rFonts w:hint="eastAsia" w:ascii="宋体" w:hAnsi="宋体"/>
          <w:sz w:val="24"/>
        </w:rPr>
        <w:t>1.10由中标人参考采购人意见制订工作制度、标准、时间，以对工作质量进行管理考核。</w:t>
      </w:r>
    </w:p>
    <w:p w14:paraId="141B3946">
      <w:pPr>
        <w:pStyle w:val="236"/>
        <w:spacing w:afterLines="0" w:line="360" w:lineRule="auto"/>
        <w:ind w:firstLine="480"/>
      </w:pPr>
      <w:r>
        <w:rPr>
          <w:rFonts w:hint="eastAsia" w:ascii="宋体" w:hAnsi="宋体"/>
          <w:sz w:val="24"/>
        </w:rPr>
        <w:t>1.11人员配备管理</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179"/>
        <w:gridCol w:w="1179"/>
        <w:gridCol w:w="5936"/>
      </w:tblGrid>
      <w:tr w14:paraId="3596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Align w:val="center"/>
          </w:tcPr>
          <w:p w14:paraId="7370DEC9">
            <w:pPr>
              <w:snapToGrid w:val="0"/>
              <w:spacing w:afterLines="0" w:line="360" w:lineRule="exact"/>
              <w:jc w:val="center"/>
              <w:rPr>
                <w:rFonts w:hint="eastAsia" w:ascii="宋体" w:hAnsi="宋体"/>
                <w:szCs w:val="21"/>
              </w:rPr>
            </w:pPr>
            <w:r>
              <w:rPr>
                <w:rFonts w:hint="eastAsia" w:ascii="宋体" w:hAnsi="宋体"/>
                <w:szCs w:val="21"/>
              </w:rPr>
              <w:t>序号</w:t>
            </w:r>
          </w:p>
        </w:tc>
        <w:tc>
          <w:tcPr>
            <w:tcW w:w="1179" w:type="dxa"/>
            <w:vAlign w:val="center"/>
          </w:tcPr>
          <w:p w14:paraId="4C1FB33D">
            <w:pPr>
              <w:snapToGrid w:val="0"/>
              <w:spacing w:afterLines="0" w:line="360" w:lineRule="exact"/>
              <w:jc w:val="center"/>
              <w:rPr>
                <w:rFonts w:hint="eastAsia" w:ascii="宋体" w:hAnsi="宋体"/>
                <w:szCs w:val="21"/>
              </w:rPr>
            </w:pPr>
            <w:r>
              <w:rPr>
                <w:rFonts w:hint="eastAsia" w:ascii="宋体" w:hAnsi="宋体"/>
                <w:szCs w:val="21"/>
              </w:rPr>
              <w:t>岗位</w:t>
            </w:r>
          </w:p>
        </w:tc>
        <w:tc>
          <w:tcPr>
            <w:tcW w:w="1179" w:type="dxa"/>
            <w:vAlign w:val="center"/>
          </w:tcPr>
          <w:p w14:paraId="772C0C7D">
            <w:pPr>
              <w:snapToGrid w:val="0"/>
              <w:spacing w:afterLines="0" w:line="360" w:lineRule="exact"/>
              <w:jc w:val="center"/>
              <w:rPr>
                <w:rFonts w:hint="eastAsia" w:ascii="宋体" w:hAnsi="宋体"/>
                <w:szCs w:val="21"/>
              </w:rPr>
            </w:pPr>
            <w:r>
              <w:rPr>
                <w:rFonts w:hint="eastAsia" w:ascii="宋体" w:hAnsi="宋体"/>
                <w:szCs w:val="21"/>
              </w:rPr>
              <w:t>人数</w:t>
            </w:r>
          </w:p>
        </w:tc>
        <w:tc>
          <w:tcPr>
            <w:tcW w:w="5936" w:type="dxa"/>
          </w:tcPr>
          <w:p w14:paraId="6FE815BD">
            <w:pPr>
              <w:snapToGrid w:val="0"/>
              <w:spacing w:afterLines="0" w:line="360" w:lineRule="exact"/>
              <w:jc w:val="center"/>
              <w:rPr>
                <w:rFonts w:hint="eastAsia" w:ascii="宋体" w:hAnsi="宋体"/>
                <w:szCs w:val="21"/>
              </w:rPr>
            </w:pPr>
            <w:r>
              <w:rPr>
                <w:rFonts w:hint="eastAsia" w:ascii="宋体" w:hAnsi="宋体"/>
                <w:szCs w:val="21"/>
              </w:rPr>
              <w:t>要求</w:t>
            </w:r>
          </w:p>
        </w:tc>
      </w:tr>
      <w:tr w14:paraId="7C31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650" w:type="dxa"/>
            <w:vAlign w:val="center"/>
          </w:tcPr>
          <w:p w14:paraId="76C668B1">
            <w:pPr>
              <w:snapToGrid w:val="0"/>
              <w:spacing w:afterLines="0" w:line="360" w:lineRule="exact"/>
              <w:jc w:val="center"/>
              <w:rPr>
                <w:rFonts w:hint="eastAsia" w:ascii="宋体" w:hAnsi="宋体"/>
                <w:szCs w:val="21"/>
              </w:rPr>
            </w:pPr>
            <w:r>
              <w:rPr>
                <w:rFonts w:hint="eastAsia" w:ascii="宋体" w:hAnsi="宋体"/>
                <w:szCs w:val="21"/>
              </w:rPr>
              <w:t>1</w:t>
            </w:r>
          </w:p>
        </w:tc>
        <w:tc>
          <w:tcPr>
            <w:tcW w:w="1179" w:type="dxa"/>
            <w:vAlign w:val="center"/>
          </w:tcPr>
          <w:p w14:paraId="34AB3840">
            <w:pPr>
              <w:snapToGrid w:val="0"/>
              <w:spacing w:afterLines="0" w:line="360" w:lineRule="exact"/>
              <w:jc w:val="center"/>
              <w:rPr>
                <w:rFonts w:hint="eastAsia" w:ascii="宋体" w:hAnsi="宋体"/>
                <w:szCs w:val="21"/>
              </w:rPr>
            </w:pPr>
            <w:r>
              <w:rPr>
                <w:rFonts w:hint="eastAsia" w:ascii="宋体" w:hAnsi="宋体"/>
                <w:szCs w:val="21"/>
              </w:rPr>
              <w:t>校区保安</w:t>
            </w:r>
          </w:p>
        </w:tc>
        <w:tc>
          <w:tcPr>
            <w:tcW w:w="1179" w:type="dxa"/>
            <w:vAlign w:val="center"/>
          </w:tcPr>
          <w:p w14:paraId="2799C319">
            <w:pPr>
              <w:snapToGrid w:val="0"/>
              <w:spacing w:afterLines="0" w:line="360" w:lineRule="exact"/>
              <w:jc w:val="center"/>
              <w:rPr>
                <w:rFonts w:hint="eastAsia" w:ascii="宋体" w:hAnsi="宋体"/>
                <w:szCs w:val="21"/>
              </w:rPr>
            </w:pPr>
            <w:r>
              <w:rPr>
                <w:rFonts w:hint="eastAsia" w:ascii="宋体" w:hAnsi="宋体"/>
                <w:szCs w:val="21"/>
              </w:rPr>
              <w:t>3人</w:t>
            </w:r>
          </w:p>
        </w:tc>
        <w:tc>
          <w:tcPr>
            <w:tcW w:w="5936" w:type="dxa"/>
            <w:vAlign w:val="center"/>
          </w:tcPr>
          <w:p w14:paraId="50DE535F">
            <w:pPr>
              <w:snapToGrid w:val="0"/>
              <w:spacing w:afterLines="0" w:line="360" w:lineRule="exact"/>
              <w:rPr>
                <w:rFonts w:hint="eastAsia" w:ascii="宋体" w:hAnsi="宋体" w:cs="宋体"/>
                <w:szCs w:val="21"/>
                <w:lang w:bidi="ar"/>
              </w:rPr>
            </w:pPr>
            <w:r>
              <w:rPr>
                <w:rFonts w:ascii="宋体" w:hAnsi="宋体" w:cs="宋体"/>
                <w:szCs w:val="21"/>
                <w:lang w:bidi="ar"/>
              </w:rPr>
              <w:t>安保服务人员必须符合以下条件：身体健康；政治思想觉悟高、品行良好；男性，身高167cm或以上，年龄50岁或以下；无不良、违法犯罪记录；已经过岗前培训；</w:t>
            </w:r>
            <w:r>
              <w:rPr>
                <w:rFonts w:hint="eastAsia" w:ascii="宋体" w:hAnsi="宋体" w:cs="宋体"/>
                <w:szCs w:val="21"/>
                <w:lang w:val="en-US" w:eastAsia="zh-CN" w:bidi="ar"/>
              </w:rPr>
              <w:t>3个保安其中</w:t>
            </w:r>
            <w:r>
              <w:rPr>
                <w:rFonts w:hint="eastAsia" w:ascii="宋体" w:hAnsi="宋体" w:cs="宋体"/>
                <w:szCs w:val="21"/>
                <w:lang w:bidi="ar"/>
              </w:rPr>
              <w:t>2个保安有中级消防操作员证</w:t>
            </w:r>
            <w:r>
              <w:rPr>
                <w:rFonts w:hint="eastAsia" w:ascii="宋体" w:hAnsi="宋体" w:cs="宋体"/>
                <w:szCs w:val="21"/>
                <w:lang w:eastAsia="zh-CN" w:bidi="ar"/>
              </w:rPr>
              <w:t>，</w:t>
            </w:r>
            <w:r>
              <w:rPr>
                <w:rFonts w:hint="eastAsia" w:ascii="宋体" w:hAnsi="宋体" w:cs="宋体"/>
                <w:szCs w:val="21"/>
                <w:lang w:val="en-US" w:eastAsia="zh-CN" w:bidi="ar"/>
              </w:rPr>
              <w:t>所有保安</w:t>
            </w:r>
            <w:r>
              <w:rPr>
                <w:rFonts w:ascii="宋体" w:hAnsi="宋体" w:cs="宋体"/>
                <w:szCs w:val="21"/>
                <w:lang w:bidi="ar"/>
              </w:rPr>
              <w:t>上岗前签订廉洁服务保证书。</w:t>
            </w:r>
          </w:p>
        </w:tc>
      </w:tr>
    </w:tbl>
    <w:p w14:paraId="0B6410D5">
      <w:pPr>
        <w:pStyle w:val="236"/>
        <w:spacing w:afterLines="0" w:line="360" w:lineRule="auto"/>
        <w:ind w:firstLine="480"/>
        <w:rPr>
          <w:rFonts w:hint="eastAsia" w:ascii="宋体" w:hAnsi="宋体"/>
          <w:sz w:val="24"/>
        </w:rPr>
      </w:pPr>
    </w:p>
    <w:p w14:paraId="5B151AC8">
      <w:pPr>
        <w:pStyle w:val="5"/>
        <w:spacing w:before="120" w:afterLines="0" w:line="360" w:lineRule="auto"/>
        <w:rPr>
          <w:rFonts w:hint="eastAsia" w:ascii="宋体" w:hAnsi="宋体" w:eastAsia="宋体"/>
          <w:b/>
          <w:sz w:val="24"/>
          <w:szCs w:val="24"/>
        </w:rPr>
      </w:pPr>
      <w:r>
        <w:rPr>
          <w:rFonts w:hint="eastAsia" w:ascii="宋体" w:hAnsi="宋体" w:eastAsia="宋体"/>
          <w:b/>
          <w:sz w:val="24"/>
          <w:szCs w:val="24"/>
        </w:rPr>
        <w:t>三）其他要求</w:t>
      </w:r>
    </w:p>
    <w:p w14:paraId="26CF1970">
      <w:pPr>
        <w:pStyle w:val="236"/>
        <w:spacing w:afterLines="0" w:line="360" w:lineRule="auto"/>
        <w:ind w:firstLine="480"/>
        <w:rPr>
          <w:rFonts w:hint="eastAsia" w:ascii="宋体" w:hAnsi="宋体"/>
          <w:sz w:val="24"/>
        </w:rPr>
      </w:pPr>
      <w:r>
        <w:rPr>
          <w:rFonts w:hint="eastAsia" w:ascii="宋体" w:hAnsi="宋体"/>
          <w:sz w:val="24"/>
        </w:rPr>
        <w:t>1.中标供应商应及时安排好服务人员的工作，合同签订之日后5个工作日内保证安排到位，如有不合格的人员要及时更换，以确保所有服务人员按时到岗开展服务工作。</w:t>
      </w:r>
    </w:p>
    <w:p w14:paraId="5435BB72">
      <w:pPr>
        <w:pStyle w:val="236"/>
        <w:spacing w:afterLines="0" w:line="360" w:lineRule="auto"/>
        <w:ind w:firstLine="480"/>
        <w:rPr>
          <w:rFonts w:hint="eastAsia" w:ascii="宋体" w:hAnsi="宋体"/>
          <w:sz w:val="24"/>
        </w:rPr>
      </w:pPr>
      <w:r>
        <w:rPr>
          <w:rFonts w:hint="eastAsia" w:ascii="宋体" w:hAnsi="宋体"/>
          <w:sz w:val="24"/>
        </w:rPr>
        <w:t>2.项目履约期间，中标供应商所安排从业人员如有人离职，必须3个工作日内将人员补齐，符合条件的从业人员到岗后方可办理人员离职和交接手续，避免发生因服务人员离岗导致无法完成相关服务工作的情况。</w:t>
      </w:r>
    </w:p>
    <w:p w14:paraId="2C64D410">
      <w:pPr>
        <w:pStyle w:val="236"/>
        <w:spacing w:afterLines="0" w:line="360" w:lineRule="auto"/>
        <w:ind w:firstLine="480"/>
        <w:rPr>
          <w:rFonts w:hint="eastAsia" w:ascii="宋体" w:hAnsi="宋体"/>
          <w:sz w:val="24"/>
        </w:rPr>
      </w:pPr>
      <w:r>
        <w:rPr>
          <w:rFonts w:hint="eastAsia" w:ascii="宋体" w:hAnsi="宋体"/>
          <w:sz w:val="24"/>
        </w:rPr>
        <w:t>3.中标公司要加强对所安排从业人员的业务指导，按照招标文件要求确保所有服务工作人员按要求完成各项工作任务。组织所安排从业人员的继续教育学习，不断提高人员的业务能力和服务水平。</w:t>
      </w:r>
    </w:p>
    <w:p w14:paraId="332846E0">
      <w:pPr>
        <w:pStyle w:val="236"/>
        <w:spacing w:afterLines="0" w:line="360" w:lineRule="auto"/>
        <w:ind w:firstLine="480"/>
        <w:rPr>
          <w:rFonts w:hint="eastAsia" w:ascii="宋体" w:hAnsi="宋体"/>
          <w:sz w:val="24"/>
        </w:rPr>
      </w:pPr>
      <w:r>
        <w:rPr>
          <w:rFonts w:hint="eastAsia" w:ascii="宋体" w:hAnsi="宋体"/>
          <w:sz w:val="24"/>
        </w:rPr>
        <w:t>4.所安排的从业人员必须接受采购方的日常管理和服务工作内容考核，中标供应商必须配合采购方对从业人员进行管理，执行采购方对从业人员的服务工作内容考核。出现考核不合格的，将发出书面整改通知限期进行整改。</w:t>
      </w:r>
    </w:p>
    <w:p w14:paraId="2B33C9C8">
      <w:pPr>
        <w:pStyle w:val="236"/>
        <w:spacing w:afterLines="0" w:line="360" w:lineRule="auto"/>
        <w:ind w:firstLine="480"/>
        <w:rPr>
          <w:rFonts w:hint="eastAsia" w:ascii="宋体" w:hAnsi="宋体"/>
          <w:sz w:val="24"/>
        </w:rPr>
      </w:pPr>
      <w:r>
        <w:rPr>
          <w:rFonts w:hint="eastAsia" w:ascii="宋体" w:hAnsi="宋体"/>
          <w:sz w:val="24"/>
        </w:rPr>
        <w:t>5.中标供应商必须按照投标书面承诺函及合同约定，安排从业人员工资、福利等按时发放工作。做好从业人员工资、福利等按合同约定发放后方可办理付款申请手续。</w:t>
      </w:r>
    </w:p>
    <w:p w14:paraId="7CD0BF4A">
      <w:pPr>
        <w:pStyle w:val="236"/>
        <w:spacing w:afterLines="0" w:line="360" w:lineRule="auto"/>
        <w:ind w:firstLine="480"/>
        <w:rPr>
          <w:rFonts w:hint="eastAsia" w:ascii="宋体" w:hAnsi="宋体"/>
          <w:sz w:val="24"/>
        </w:rPr>
      </w:pPr>
      <w:r>
        <w:rPr>
          <w:rFonts w:hint="eastAsia" w:ascii="宋体" w:hAnsi="宋体"/>
          <w:sz w:val="24"/>
        </w:rPr>
        <w:t>6.中标供应商要定期与采购单位项目负责人进行沟通交流，同时中标供应商每月做好总结工作，并形成书面总结材料送采购方作为付款其中依据材料，总结内容必须包含但不限于以下内容：人员整体服务工作情况、人员的工资福利发放情况、下一步工作计划等。</w:t>
      </w:r>
    </w:p>
    <w:p w14:paraId="6F477E94">
      <w:pPr>
        <w:pStyle w:val="236"/>
        <w:spacing w:afterLines="0" w:line="360" w:lineRule="auto"/>
        <w:ind w:firstLine="480"/>
        <w:rPr>
          <w:rFonts w:hint="eastAsia" w:ascii="宋体" w:hAnsi="宋体"/>
          <w:sz w:val="24"/>
        </w:rPr>
      </w:pPr>
      <w:r>
        <w:rPr>
          <w:rFonts w:hint="eastAsia" w:ascii="宋体" w:hAnsi="宋体"/>
          <w:sz w:val="24"/>
        </w:rPr>
        <w:t>7.从业人员工作过程中发生意外伤残、劳资纠纷等问题，全部由中标供应商按相关法律法规负责处理，依法办理相关手续。</w:t>
      </w:r>
    </w:p>
    <w:p w14:paraId="05EA8085">
      <w:pPr>
        <w:pStyle w:val="236"/>
        <w:spacing w:afterLines="0" w:line="360" w:lineRule="auto"/>
        <w:ind w:firstLine="480"/>
        <w:rPr>
          <w:rFonts w:hint="default" w:ascii="宋体" w:hAnsi="宋体" w:eastAsia="宋体"/>
          <w:sz w:val="24"/>
          <w:lang w:val="en-US" w:eastAsia="zh-CN"/>
        </w:rPr>
      </w:pPr>
      <w:r>
        <w:rPr>
          <w:rFonts w:hint="eastAsia" w:ascii="宋体" w:hAnsi="宋体"/>
          <w:sz w:val="24"/>
          <w:lang w:val="en-US" w:eastAsia="zh-CN"/>
        </w:rPr>
        <w:t>8.从业人员需保持服装整洁干净，每个保安员配备保安服6套，保安员服装在工作过程中不能有异味。</w:t>
      </w:r>
    </w:p>
    <w:p w14:paraId="24CFE7FB">
      <w:pPr>
        <w:pStyle w:val="236"/>
        <w:spacing w:afterLines="0" w:line="360" w:lineRule="auto"/>
        <w:ind w:firstLine="480"/>
        <w:rPr>
          <w:rFonts w:hint="eastAsia" w:ascii="宋体" w:hAnsi="宋体"/>
          <w:sz w:val="24"/>
        </w:rPr>
      </w:pPr>
      <w:r>
        <w:rPr>
          <w:rFonts w:hint="eastAsia" w:ascii="宋体" w:hAnsi="宋体"/>
          <w:sz w:val="24"/>
          <w:lang w:val="en-US" w:eastAsia="zh-CN"/>
        </w:rPr>
        <w:t>9</w:t>
      </w:r>
      <w:r>
        <w:rPr>
          <w:rFonts w:hint="eastAsia" w:ascii="宋体" w:hAnsi="宋体"/>
          <w:sz w:val="24"/>
        </w:rPr>
        <w:t>.中标供应商必须严格按照招标文件项目服务要求，按时安排足够数量并符合招标文件中对相关服务人员的要求，进驻采购单位开展服务工作任务。如中标供应商未按要求安排足够数量并符合“人员相关要求”的从业员到采购单位开展服务工作任务，导致采购方无法正常完成工作任务，采购方严格按《深圳市政府采购供应商诚信管理暂行办法》第六条，书面报请财政部门记入供应商诚信档案。</w:t>
      </w:r>
    </w:p>
    <w:p w14:paraId="57035788">
      <w:pPr>
        <w:pStyle w:val="236"/>
        <w:spacing w:afterLines="0" w:line="360" w:lineRule="auto"/>
        <w:ind w:firstLine="480"/>
        <w:rPr>
          <w:rFonts w:hint="eastAsia" w:ascii="宋体" w:hAnsi="宋体"/>
          <w:sz w:val="24"/>
        </w:rPr>
      </w:pPr>
      <w:r>
        <w:rPr>
          <w:rFonts w:hint="eastAsia" w:ascii="宋体" w:hAnsi="宋体"/>
          <w:sz w:val="24"/>
          <w:lang w:val="en-US" w:eastAsia="zh-CN"/>
        </w:rPr>
        <w:t>10</w:t>
      </w:r>
      <w:r>
        <w:rPr>
          <w:rFonts w:hint="eastAsia" w:ascii="宋体" w:hAnsi="宋体"/>
          <w:sz w:val="24"/>
        </w:rPr>
        <w:t>.项目履约期间，要加强对服务工作人员的业务考核，如出现服务工作人员业务考核不合格的情况，采购方将发出书面整改通知书，要求中标方对相关人员加强业务管理和业务培训进行整改，如采购方经整改后相关工作人员仍无法达到采购方的工作要求，中标方需2个日历日内调整相关工作人员。中标方未按要求整改导致采购方无法完成相关工作任务，采购单位有权无责取消合同。</w:t>
      </w:r>
    </w:p>
    <w:p w14:paraId="3641E3F5">
      <w:pPr>
        <w:pStyle w:val="236"/>
        <w:spacing w:afterLines="0" w:line="360" w:lineRule="auto"/>
        <w:ind w:firstLine="480"/>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.项目履约期间，如有从业人员离职或从业人员考核不合格导致无法完成采购单位服务工作任务，中标供应商按要求安排符合条件的从业人员接替其相关服务工作。一经出现缺岗情况，限 3 个日历日整改完毕。</w:t>
      </w:r>
    </w:p>
    <w:p w14:paraId="18D308E5">
      <w:pPr>
        <w:pStyle w:val="236"/>
        <w:spacing w:afterLines="0" w:line="360" w:lineRule="auto"/>
        <w:ind w:firstLine="480"/>
        <w:rPr>
          <w:rFonts w:hint="eastAsia" w:ascii="宋体" w:hAnsi="宋体"/>
          <w:szCs w:val="21"/>
        </w:rPr>
      </w:pPr>
      <w:r>
        <w:rPr>
          <w:rFonts w:hint="eastAsia" w:ascii="宋体" w:hAnsi="宋体"/>
          <w:sz w:val="24"/>
        </w:rPr>
        <w:t>1</w:t>
      </w:r>
      <w:r>
        <w:rPr>
          <w:rFonts w:hint="eastAsia" w:ascii="宋体" w:hAnsi="宋体"/>
          <w:sz w:val="24"/>
          <w:lang w:val="en-US" w:eastAsia="zh-CN"/>
        </w:rPr>
        <w:t>2</w:t>
      </w:r>
      <w:r>
        <w:rPr>
          <w:rFonts w:hint="eastAsia" w:ascii="宋体" w:hAnsi="宋体"/>
          <w:sz w:val="24"/>
        </w:rPr>
        <w:t>.中标供应商在履约期间，如果因在岗的从业人员疏忽造成采购人的损失（包括经济与名誉等方面的损失），应当由中标供应商赔偿采购人的所有损失。</w:t>
      </w:r>
    </w:p>
    <w:p w14:paraId="7308F954">
      <w:pPr>
        <w:pStyle w:val="4"/>
        <w:numPr>
          <w:ilvl w:val="0"/>
          <w:numId w:val="10"/>
        </w:numPr>
        <w:spacing w:before="0" w:afterLines="0"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商务条款</w:t>
      </w:r>
    </w:p>
    <w:p w14:paraId="3A51F7F0">
      <w:pPr>
        <w:widowControl/>
        <w:spacing w:afterLines="0" w:line="360" w:lineRule="auto"/>
        <w:jc w:val="left"/>
        <w:rPr>
          <w:rFonts w:hint="eastAsia" w:ascii="宋体" w:hAnsi="宋体" w:cs="宋体"/>
          <w:b/>
          <w:color w:val="0000FF"/>
          <w:kern w:val="0"/>
          <w:szCs w:val="21"/>
        </w:rPr>
      </w:pPr>
      <w:r>
        <w:rPr>
          <w:rFonts w:hint="eastAsia" w:ascii="宋体" w:hAnsi="宋体" w:cs="宋体"/>
          <w:b/>
          <w:color w:val="0000FF"/>
          <w:kern w:val="0"/>
          <w:szCs w:val="21"/>
        </w:rPr>
        <w:t>以下商务条款为合同的组成部分，属于实质性条款。供应商必须满足商务条款中各条款，否则，投标将被否决。</w:t>
      </w:r>
    </w:p>
    <w:tbl>
      <w:tblPr>
        <w:tblStyle w:val="4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6520"/>
      </w:tblGrid>
      <w:tr w14:paraId="007A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BEBEBE"/>
            <w:vAlign w:val="center"/>
          </w:tcPr>
          <w:p w14:paraId="75A185BB">
            <w:pPr>
              <w:widowControl/>
              <w:spacing w:afterLines="0" w:line="360" w:lineRule="exact"/>
              <w:jc w:val="center"/>
              <w:rPr>
                <w:rFonts w:hint="eastAsia" w:ascii="宋体" w:hAnsi="宋体" w:cs="宋体"/>
                <w:b/>
                <w:szCs w:val="21"/>
              </w:rPr>
            </w:pPr>
            <w:r>
              <w:rPr>
                <w:rFonts w:hint="eastAsia" w:ascii="宋体" w:hAnsi="宋体" w:cs="宋体"/>
                <w:b/>
                <w:szCs w:val="21"/>
              </w:rPr>
              <w:t>序号</w:t>
            </w:r>
          </w:p>
        </w:tc>
        <w:tc>
          <w:tcPr>
            <w:tcW w:w="1276" w:type="dxa"/>
            <w:shd w:val="clear" w:color="auto" w:fill="BEBEBE"/>
            <w:vAlign w:val="center"/>
          </w:tcPr>
          <w:p w14:paraId="50944514">
            <w:pPr>
              <w:widowControl/>
              <w:spacing w:afterLines="0" w:line="360" w:lineRule="exact"/>
              <w:jc w:val="center"/>
              <w:rPr>
                <w:rFonts w:hint="eastAsia" w:ascii="宋体" w:hAnsi="宋体" w:cs="宋体"/>
                <w:b/>
                <w:szCs w:val="21"/>
              </w:rPr>
            </w:pPr>
            <w:r>
              <w:rPr>
                <w:rFonts w:hint="eastAsia" w:ascii="宋体" w:hAnsi="宋体" w:cs="宋体"/>
                <w:b/>
                <w:szCs w:val="21"/>
              </w:rPr>
              <w:t>目录</w:t>
            </w:r>
          </w:p>
        </w:tc>
        <w:tc>
          <w:tcPr>
            <w:tcW w:w="6520" w:type="dxa"/>
            <w:shd w:val="clear" w:color="auto" w:fill="BEBEBE"/>
            <w:vAlign w:val="center"/>
          </w:tcPr>
          <w:p w14:paraId="632AEAB4">
            <w:pPr>
              <w:widowControl/>
              <w:spacing w:afterLines="0" w:line="360" w:lineRule="exact"/>
              <w:jc w:val="center"/>
              <w:rPr>
                <w:rFonts w:hint="eastAsia" w:ascii="宋体" w:hAnsi="宋体" w:cs="宋体"/>
                <w:b/>
                <w:szCs w:val="21"/>
              </w:rPr>
            </w:pPr>
            <w:r>
              <w:rPr>
                <w:rFonts w:hint="eastAsia" w:ascii="宋体" w:hAnsi="宋体" w:cs="宋体"/>
                <w:b/>
                <w:szCs w:val="21"/>
              </w:rPr>
              <w:t>商务条款要求</w:t>
            </w:r>
          </w:p>
        </w:tc>
      </w:tr>
      <w:tr w14:paraId="6E47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04B49A34">
            <w:pPr>
              <w:spacing w:afterLines="0" w:line="360" w:lineRule="exact"/>
              <w:jc w:val="center"/>
              <w:rPr>
                <w:rFonts w:hint="eastAsia" w:ascii="宋体" w:hAnsi="宋体" w:cs="宋体"/>
                <w:b/>
                <w:szCs w:val="21"/>
              </w:rPr>
            </w:pPr>
            <w:r>
              <w:rPr>
                <w:rFonts w:hint="eastAsia" w:ascii="宋体" w:hAnsi="宋体" w:cs="宋体"/>
                <w:b/>
                <w:szCs w:val="21"/>
              </w:rPr>
              <w:t>1</w:t>
            </w:r>
          </w:p>
        </w:tc>
        <w:tc>
          <w:tcPr>
            <w:tcW w:w="1276" w:type="dxa"/>
            <w:vAlign w:val="center"/>
          </w:tcPr>
          <w:p w14:paraId="1F8C67C1">
            <w:pPr>
              <w:spacing w:afterLines="0" w:line="360" w:lineRule="exact"/>
              <w:jc w:val="center"/>
              <w:rPr>
                <w:rFonts w:hint="eastAsia" w:ascii="宋体" w:hAnsi="宋体" w:cs="宋体"/>
                <w:b/>
                <w:szCs w:val="21"/>
              </w:rPr>
            </w:pPr>
            <w:r>
              <w:rPr>
                <w:rFonts w:hint="eastAsia" w:ascii="宋体" w:hAnsi="宋体" w:cs="宋体"/>
                <w:b/>
                <w:szCs w:val="21"/>
              </w:rPr>
              <w:t>服务期限</w:t>
            </w:r>
          </w:p>
        </w:tc>
        <w:tc>
          <w:tcPr>
            <w:tcW w:w="6520" w:type="dxa"/>
            <w:vAlign w:val="center"/>
          </w:tcPr>
          <w:p w14:paraId="68751230">
            <w:pPr>
              <w:spacing w:afterLines="0" w:line="360" w:lineRule="exact"/>
              <w:rPr>
                <w:rFonts w:hint="eastAsia" w:ascii="宋体" w:hAnsi="宋体" w:cs="宋体"/>
                <w:bCs/>
                <w:szCs w:val="21"/>
              </w:rPr>
            </w:pPr>
            <w:r>
              <w:rPr>
                <w:rFonts w:hint="eastAsia" w:ascii="宋体" w:hAnsi="宋体" w:cstheme="minorEastAsia"/>
                <w:kern w:val="0"/>
                <w:szCs w:val="21"/>
              </w:rPr>
              <w:t>合同签订后一年。本项目为长期服务合同，合同期满后，甲方可根据实际情况及乙方履约情况确定合同期限是否延长或续签，但最长续约服务期限不超过 36个月，第一年为本次招标的中标服务期限，合同最多续签 2 次。甲方可根据实际情况终止合同，并不再续签。合同项目提前终止时，依据付款按中标价格计算、按月平均转账支付原则，根据乙方实际提供服务时间支付相关费用，甲方不负任何补偿责任。</w:t>
            </w:r>
          </w:p>
        </w:tc>
      </w:tr>
      <w:tr w14:paraId="1C40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4E3A63B4">
            <w:pPr>
              <w:spacing w:afterLines="0" w:line="360" w:lineRule="exact"/>
              <w:jc w:val="center"/>
              <w:rPr>
                <w:rFonts w:hint="eastAsia" w:ascii="宋体" w:hAnsi="宋体" w:cs="宋体"/>
                <w:b/>
                <w:szCs w:val="21"/>
              </w:rPr>
            </w:pPr>
            <w:r>
              <w:rPr>
                <w:rFonts w:hint="eastAsia" w:ascii="宋体" w:hAnsi="宋体" w:cs="宋体"/>
                <w:b/>
                <w:szCs w:val="21"/>
              </w:rPr>
              <w:t>2</w:t>
            </w:r>
          </w:p>
        </w:tc>
        <w:tc>
          <w:tcPr>
            <w:tcW w:w="1276" w:type="dxa"/>
            <w:vAlign w:val="center"/>
          </w:tcPr>
          <w:p w14:paraId="310FCC54">
            <w:pPr>
              <w:spacing w:afterLines="0" w:line="360" w:lineRule="exact"/>
              <w:jc w:val="center"/>
              <w:rPr>
                <w:rFonts w:hint="eastAsia" w:ascii="宋体" w:hAnsi="宋体" w:cs="宋体"/>
                <w:b/>
                <w:szCs w:val="21"/>
              </w:rPr>
            </w:pPr>
            <w:r>
              <w:rPr>
                <w:rFonts w:hint="eastAsia" w:ascii="宋体" w:hAnsi="宋体" w:cs="宋体"/>
                <w:b/>
                <w:szCs w:val="21"/>
              </w:rPr>
              <w:t>服务地点</w:t>
            </w:r>
          </w:p>
        </w:tc>
        <w:tc>
          <w:tcPr>
            <w:tcW w:w="6520" w:type="dxa"/>
            <w:vAlign w:val="center"/>
          </w:tcPr>
          <w:p w14:paraId="461E877C">
            <w:pPr>
              <w:spacing w:afterLines="0" w:line="360" w:lineRule="exact"/>
              <w:rPr>
                <w:rFonts w:hint="eastAsia" w:ascii="宋体" w:hAnsi="宋体" w:cs="宋体"/>
                <w:szCs w:val="21"/>
              </w:rPr>
            </w:pPr>
            <w:r>
              <w:rPr>
                <w:rFonts w:hint="eastAsia"/>
              </w:rPr>
              <w:t>深圳市第七幼儿园</w:t>
            </w:r>
          </w:p>
        </w:tc>
      </w:tr>
      <w:tr w14:paraId="559C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70740C6D">
            <w:pPr>
              <w:spacing w:afterLines="0" w:line="360" w:lineRule="exact"/>
              <w:jc w:val="center"/>
              <w:rPr>
                <w:rFonts w:hint="eastAsia" w:ascii="宋体" w:hAnsi="宋体" w:cs="宋体"/>
                <w:b/>
                <w:szCs w:val="21"/>
              </w:rPr>
            </w:pPr>
            <w:r>
              <w:rPr>
                <w:rFonts w:hint="eastAsia" w:ascii="宋体" w:hAnsi="宋体" w:cs="宋体"/>
                <w:b/>
                <w:szCs w:val="21"/>
              </w:rPr>
              <w:t>3</w:t>
            </w:r>
          </w:p>
        </w:tc>
        <w:tc>
          <w:tcPr>
            <w:tcW w:w="1276" w:type="dxa"/>
            <w:vAlign w:val="center"/>
          </w:tcPr>
          <w:p w14:paraId="2F0DB433">
            <w:pPr>
              <w:spacing w:afterLines="0" w:line="360" w:lineRule="exact"/>
              <w:jc w:val="center"/>
              <w:rPr>
                <w:rFonts w:hint="eastAsia" w:ascii="宋体" w:hAnsi="宋体" w:cs="宋体"/>
                <w:b/>
                <w:szCs w:val="21"/>
              </w:rPr>
            </w:pPr>
            <w:r>
              <w:rPr>
                <w:rFonts w:hint="eastAsia" w:ascii="宋体" w:hAnsi="宋体" w:cs="宋体"/>
                <w:b/>
                <w:szCs w:val="21"/>
              </w:rPr>
              <w:t>付款方式</w:t>
            </w:r>
          </w:p>
        </w:tc>
        <w:tc>
          <w:tcPr>
            <w:tcW w:w="6520" w:type="dxa"/>
          </w:tcPr>
          <w:p w14:paraId="3BC6D315">
            <w:pPr>
              <w:spacing w:afterLines="0" w:line="360" w:lineRule="exact"/>
              <w:rPr>
                <w:rFonts w:hint="eastAsia" w:ascii="宋体" w:hAnsi="宋体" w:cs="宋体"/>
                <w:szCs w:val="21"/>
              </w:rPr>
            </w:pPr>
            <w:r>
              <w:rPr>
                <w:rFonts w:hint="eastAsia" w:ascii="宋体" w:hAnsi="宋体" w:cs="宋体"/>
                <w:szCs w:val="21"/>
              </w:rPr>
              <w:t>由采购方按政府的审批流程支付（具体以合同条款约定为准）。</w:t>
            </w:r>
          </w:p>
        </w:tc>
      </w:tr>
      <w:tr w14:paraId="569E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14:paraId="74214CFB">
            <w:pPr>
              <w:spacing w:afterLines="0" w:line="360" w:lineRule="exact"/>
              <w:jc w:val="center"/>
              <w:rPr>
                <w:rFonts w:hint="eastAsia" w:ascii="宋体" w:hAnsi="宋体" w:cs="宋体"/>
                <w:b/>
                <w:szCs w:val="21"/>
              </w:rPr>
            </w:pPr>
            <w:r>
              <w:rPr>
                <w:rFonts w:hint="eastAsia" w:ascii="宋体" w:hAnsi="宋体" w:cs="宋体"/>
                <w:b/>
                <w:szCs w:val="21"/>
              </w:rPr>
              <w:t>4</w:t>
            </w:r>
          </w:p>
        </w:tc>
        <w:tc>
          <w:tcPr>
            <w:tcW w:w="1276" w:type="dxa"/>
            <w:vAlign w:val="center"/>
          </w:tcPr>
          <w:p w14:paraId="3C932E12">
            <w:pPr>
              <w:spacing w:afterLines="0" w:line="360" w:lineRule="exact"/>
              <w:jc w:val="center"/>
              <w:rPr>
                <w:rFonts w:hint="eastAsia" w:ascii="宋体" w:hAnsi="宋体" w:cs="宋体"/>
                <w:b/>
                <w:szCs w:val="21"/>
              </w:rPr>
            </w:pPr>
            <w:r>
              <w:rPr>
                <w:rFonts w:hint="eastAsia" w:ascii="宋体" w:hAnsi="宋体" w:cs="宋体"/>
                <w:b/>
                <w:szCs w:val="21"/>
              </w:rPr>
              <w:t>报价要求</w:t>
            </w:r>
          </w:p>
        </w:tc>
        <w:tc>
          <w:tcPr>
            <w:tcW w:w="6520" w:type="dxa"/>
          </w:tcPr>
          <w:p w14:paraId="755B5029">
            <w:pPr>
              <w:spacing w:afterLines="0" w:line="360" w:lineRule="exact"/>
              <w:rPr>
                <w:rFonts w:hint="eastAsia" w:ascii="宋体" w:hAnsi="宋体" w:cs="宋体"/>
                <w:szCs w:val="21"/>
              </w:rPr>
            </w:pPr>
            <w:r>
              <w:rPr>
                <w:rFonts w:hint="eastAsia" w:ascii="宋体" w:hAnsi="宋体" w:cs="宋体"/>
                <w:szCs w:val="21"/>
              </w:rPr>
              <w:t>1.本项目预算金额为人民币305988.00元整，超出以上预算限额的投标报价均作废标处理。投标按总价报价，服务费用采用包干制，包括但不限于项目服务成本、法定税费和企业利润等一切费用。</w:t>
            </w:r>
          </w:p>
          <w:p w14:paraId="4B1F3D1D">
            <w:pPr>
              <w:spacing w:afterLines="0" w:line="360" w:lineRule="exact"/>
              <w:rPr>
                <w:rFonts w:hint="eastAsia" w:ascii="宋体" w:hAnsi="宋体" w:cs="宋体"/>
                <w:szCs w:val="21"/>
              </w:rPr>
            </w:pPr>
            <w:r>
              <w:rPr>
                <w:rFonts w:hint="eastAsia" w:ascii="宋体" w:hAnsi="宋体" w:cs="宋体"/>
                <w:szCs w:val="21"/>
              </w:rPr>
              <w:t>2.投标人应根据本企业的成本自行决定报价，但不得以低于其企业成本的报价投标。</w:t>
            </w:r>
          </w:p>
          <w:p w14:paraId="08786412">
            <w:pPr>
              <w:spacing w:afterLines="0" w:line="360" w:lineRule="exact"/>
              <w:rPr>
                <w:rFonts w:hint="eastAsia" w:ascii="宋体" w:hAnsi="宋体" w:cs="宋体"/>
                <w:szCs w:val="21"/>
              </w:rPr>
            </w:pPr>
            <w:r>
              <w:rPr>
                <w:rFonts w:hint="eastAsia" w:ascii="宋体" w:hAnsi="宋体" w:cs="宋体"/>
                <w:szCs w:val="21"/>
              </w:rPr>
              <w:t>3.投标人的投标报价，应是本项目招标范围和招标文件及合同条款上所列的各项内容中所述的全部，不得以任何理由予以重复。</w:t>
            </w:r>
          </w:p>
          <w:p w14:paraId="0DA3B48C">
            <w:pPr>
              <w:spacing w:afterLines="0" w:line="360" w:lineRule="exact"/>
              <w:rPr>
                <w:rFonts w:hint="eastAsia" w:ascii="宋体" w:hAnsi="宋体" w:cs="宋体"/>
                <w:szCs w:val="21"/>
              </w:rPr>
            </w:pPr>
            <w:r>
              <w:rPr>
                <w:rFonts w:hint="eastAsia" w:ascii="宋体" w:hAnsi="宋体" w:cs="宋体"/>
                <w:szCs w:val="21"/>
              </w:rPr>
              <w:t>4.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14:paraId="5C522690">
            <w:pPr>
              <w:spacing w:afterLines="0" w:line="360" w:lineRule="exact"/>
              <w:rPr>
                <w:rFonts w:hint="eastAsia" w:ascii="宋体" w:hAnsi="宋体" w:cs="宋体"/>
                <w:szCs w:val="21"/>
              </w:rPr>
            </w:pPr>
            <w:r>
              <w:rPr>
                <w:rFonts w:hint="eastAsia" w:ascii="宋体" w:hAnsi="宋体" w:cs="宋体"/>
                <w:szCs w:val="21"/>
              </w:rPr>
              <w:t>5.投标人不得期望通过索赔等方式获取补偿，否则，除可能遭到拒绝外，还有可能将被作为不良行为记录在案，并可能影响其以后参加政府采购的项目投标。各投标人在投标报价时，应充分考虑投标报价的风险。</w:t>
            </w:r>
          </w:p>
        </w:tc>
      </w:tr>
    </w:tbl>
    <w:p w14:paraId="143C1EE1">
      <w:pPr>
        <w:pStyle w:val="56"/>
      </w:pPr>
    </w:p>
    <w:p w14:paraId="61795E06">
      <w:pPr>
        <w:pStyle w:val="4"/>
        <w:spacing w:before="0" w:afterLines="0" w:line="360" w:lineRule="auto"/>
        <w:rPr>
          <w:rFonts w:hint="eastAsia" w:ascii="宋体" w:hAnsi="宋体" w:cs="宋体"/>
          <w:b/>
          <w:sz w:val="28"/>
          <w:szCs w:val="28"/>
        </w:rPr>
      </w:pPr>
      <w:r>
        <w:rPr>
          <w:rFonts w:hint="eastAsia" w:ascii="宋体" w:hAnsi="宋体" w:cs="宋体"/>
          <w:b/>
          <w:sz w:val="28"/>
          <w:szCs w:val="28"/>
        </w:rPr>
        <w:t>四、投标报价</w:t>
      </w:r>
    </w:p>
    <w:p w14:paraId="0819068B">
      <w:pPr>
        <w:pStyle w:val="236"/>
        <w:spacing w:afterLines="0" w:line="360" w:lineRule="auto"/>
        <w:ind w:firstLine="480"/>
        <w:rPr>
          <w:rFonts w:hint="eastAsia" w:ascii="宋体" w:hAnsi="宋体"/>
          <w:sz w:val="24"/>
        </w:rPr>
      </w:pPr>
      <w:r>
        <w:rPr>
          <w:rFonts w:hint="eastAsia" w:ascii="宋体" w:hAnsi="宋体"/>
          <w:sz w:val="24"/>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431CA75C">
      <w:pPr>
        <w:pStyle w:val="236"/>
        <w:spacing w:afterLines="0" w:line="360" w:lineRule="auto"/>
        <w:ind w:firstLine="480"/>
        <w:rPr>
          <w:rFonts w:hint="eastAsia" w:ascii="宋体" w:hAnsi="宋体"/>
          <w:sz w:val="24"/>
        </w:rPr>
      </w:pPr>
      <w:r>
        <w:rPr>
          <w:rFonts w:hint="eastAsia" w:ascii="宋体" w:hAnsi="宋体"/>
          <w:sz w:val="24"/>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4D5C59">
      <w:pPr>
        <w:pStyle w:val="236"/>
        <w:spacing w:afterLines="0" w:line="360" w:lineRule="auto"/>
        <w:ind w:firstLine="480"/>
        <w:rPr>
          <w:rFonts w:hint="eastAsia" w:ascii="宋体" w:hAnsi="宋体"/>
          <w:sz w:val="24"/>
        </w:rPr>
      </w:pPr>
      <w:r>
        <w:rPr>
          <w:rFonts w:hint="eastAsia" w:ascii="宋体" w:hAnsi="宋体"/>
          <w:sz w:val="24"/>
        </w:rPr>
        <w:t>3.投标人的投标报价，应是本项目招标范围和招标文件及合同条款上所列的各项内容中所述的全部，不得以任何理由予以重复，并以投标人在投标文件中提出的综合单价或总价为依据。</w:t>
      </w:r>
    </w:p>
    <w:p w14:paraId="5BDC99B2">
      <w:pPr>
        <w:pStyle w:val="236"/>
        <w:spacing w:afterLines="0" w:line="360" w:lineRule="auto"/>
        <w:ind w:firstLine="480"/>
        <w:rPr>
          <w:rFonts w:hint="eastAsia" w:ascii="宋体" w:hAnsi="宋体"/>
          <w:sz w:val="24"/>
        </w:rPr>
      </w:pPr>
      <w:r>
        <w:rPr>
          <w:rFonts w:hint="eastAsia" w:ascii="宋体" w:hAnsi="宋体"/>
          <w:sz w:val="24"/>
        </w:rPr>
        <w:t>4.除非招标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390139ED">
      <w:pPr>
        <w:pStyle w:val="236"/>
        <w:spacing w:afterLines="0" w:line="360" w:lineRule="auto"/>
        <w:ind w:firstLine="480"/>
        <w:rPr>
          <w:rFonts w:hint="eastAsia" w:ascii="宋体" w:hAnsi="宋体"/>
          <w:sz w:val="24"/>
        </w:rPr>
      </w:pPr>
      <w:r>
        <w:rPr>
          <w:rFonts w:hint="eastAsia" w:ascii="宋体" w:hAnsi="宋体"/>
          <w:sz w:val="24"/>
        </w:rPr>
        <w:t>5.投标人应充分了解项目的位置、情况、道路及任何其它足以影响投标报价的情况，任何因忽视或误解项目情况而导致的索赔或服务期限延长申请将不获批准。</w:t>
      </w:r>
    </w:p>
    <w:p w14:paraId="56EC51C4">
      <w:pPr>
        <w:pStyle w:val="236"/>
        <w:spacing w:afterLines="0" w:line="360" w:lineRule="auto"/>
        <w:ind w:firstLine="480"/>
        <w:rPr>
          <w:rFonts w:hint="eastAsia" w:ascii="宋体" w:hAnsi="宋体" w:cs="仿宋_GB2312"/>
          <w:color w:val="000000" w:themeColor="text1"/>
          <w:szCs w:val="21"/>
          <w14:textFill>
            <w14:solidFill>
              <w14:schemeClr w14:val="tx1"/>
            </w14:solidFill>
          </w14:textFill>
        </w:rPr>
      </w:pPr>
      <w:r>
        <w:rPr>
          <w:rFonts w:hint="eastAsia" w:ascii="宋体" w:hAnsi="宋体"/>
          <w:sz w:val="24"/>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4309BF85">
      <w:pPr>
        <w:widowControl/>
        <w:spacing w:after="60" w:line="360" w:lineRule="auto"/>
        <w:rPr>
          <w:rFonts w:hint="eastAsia" w:ascii="宋体" w:hAnsi="宋体" w:cs="仿宋_GB2312"/>
          <w:color w:val="000000" w:themeColor="text1"/>
          <w:kern w:val="0"/>
          <w:sz w:val="24"/>
          <w14:textFill>
            <w14:solidFill>
              <w14:schemeClr w14:val="tx1"/>
            </w14:solidFill>
          </w14:textFill>
        </w:rPr>
      </w:pPr>
    </w:p>
    <w:p w14:paraId="680519B2">
      <w:pPr>
        <w:spacing w:after="60" w:line="460" w:lineRule="atLeast"/>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br w:type="page"/>
      </w:r>
    </w:p>
    <w:p w14:paraId="26B7AD56">
      <w:pPr>
        <w:pStyle w:val="3"/>
        <w:keepNext w:val="0"/>
        <w:keepLines w:val="0"/>
        <w:numPr>
          <w:ilvl w:val="0"/>
          <w:numId w:val="9"/>
        </w:numPr>
        <w:adjustRightInd w:val="0"/>
        <w:spacing w:before="0" w:afterLines="0" w:line="240" w:lineRule="auto"/>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投标文件组成、格式</w:t>
      </w:r>
    </w:p>
    <w:p w14:paraId="6F8196C1">
      <w:pPr>
        <w:spacing w:after="60"/>
        <w:rPr>
          <w:rFonts w:hint="eastAsia" w:ascii="宋体" w:hAnsi="宋体"/>
          <w:color w:val="000000" w:themeColor="text1"/>
          <w14:textFill>
            <w14:solidFill>
              <w14:schemeClr w14:val="tx1"/>
            </w14:solidFill>
          </w14:textFill>
        </w:rPr>
      </w:pPr>
    </w:p>
    <w:p w14:paraId="59815423">
      <w:pPr>
        <w:pStyle w:val="4"/>
        <w:spacing w:before="0" w:afterLines="0"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一、投标文件组成</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本格式供参考，投标方可按实际情况调整</w:t>
      </w:r>
      <w:r>
        <w:rPr>
          <w:rFonts w:hint="eastAsia" w:ascii="宋体" w:hAnsi="宋体" w:cs="宋体"/>
          <w:b/>
          <w:color w:val="000000" w:themeColor="text1"/>
          <w:sz w:val="24"/>
          <w:szCs w:val="24"/>
          <w:lang w:eastAsia="zh-CN"/>
          <w14:textFill>
            <w14:solidFill>
              <w14:schemeClr w14:val="tx1"/>
            </w14:solidFill>
          </w14:textFill>
        </w:rPr>
        <w:t>）</w:t>
      </w:r>
    </w:p>
    <w:p w14:paraId="51859D74">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评标指引表</w:t>
      </w:r>
    </w:p>
    <w:p w14:paraId="0DF643B6">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开标一览表</w:t>
      </w:r>
    </w:p>
    <w:p w14:paraId="3B90450E">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投标函</w:t>
      </w:r>
    </w:p>
    <w:p w14:paraId="28B5FCCF">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政府采购投标及履约承诺函</w:t>
      </w:r>
    </w:p>
    <w:p w14:paraId="68B0590E">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诚信承诺函</w:t>
      </w:r>
    </w:p>
    <w:p w14:paraId="50554F58">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政府采购违法行为风险知悉确认书</w:t>
      </w:r>
    </w:p>
    <w:p w14:paraId="73D1B3F7">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法定代表人证明书</w:t>
      </w:r>
    </w:p>
    <w:p w14:paraId="4EF1F222">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法定代表人授权书（投标人代表为法定代表人的无须提供本格式）</w:t>
      </w:r>
    </w:p>
    <w:p w14:paraId="32E2CF4E">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投标人基本情况</w:t>
      </w:r>
    </w:p>
    <w:p w14:paraId="4237ABB8">
      <w:pPr>
        <w:pStyle w:val="24"/>
        <w:numPr>
          <w:ilvl w:val="0"/>
          <w:numId w:val="12"/>
        </w:numPr>
        <w:snapToGrid w:val="0"/>
        <w:spacing w:afterLines="0" w:line="360" w:lineRule="auto"/>
        <w:ind w:left="1265"/>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投标人基本情况一览表</w:t>
      </w:r>
    </w:p>
    <w:p w14:paraId="6CC37726">
      <w:pPr>
        <w:pStyle w:val="24"/>
        <w:numPr>
          <w:ilvl w:val="0"/>
          <w:numId w:val="12"/>
        </w:numPr>
        <w:snapToGrid w:val="0"/>
        <w:spacing w:afterLines="0" w:line="360" w:lineRule="auto"/>
        <w:ind w:left="1265"/>
        <w:rPr>
          <w:rFonts w:hint="eastAsia"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投标人资格证明文件</w:t>
      </w:r>
    </w:p>
    <w:p w14:paraId="21BEEDAF">
      <w:pPr>
        <w:pStyle w:val="24"/>
        <w:numPr>
          <w:ilvl w:val="0"/>
          <w:numId w:val="12"/>
        </w:numPr>
        <w:snapToGrid w:val="0"/>
        <w:spacing w:afterLines="0" w:line="360" w:lineRule="auto"/>
        <w:ind w:left="1265"/>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投标人</w:t>
      </w:r>
      <w:r>
        <w:rPr>
          <w:rFonts w:hAnsi="宋体" w:cs="宋体"/>
          <w:color w:val="000000" w:themeColor="text1"/>
          <w:sz w:val="24"/>
          <w:szCs w:val="24"/>
          <w14:textFill>
            <w14:solidFill>
              <w14:schemeClr w14:val="tx1"/>
            </w14:solidFill>
          </w14:textFill>
        </w:rPr>
        <w:t>认为需要提供的其他证明文件</w:t>
      </w:r>
    </w:p>
    <w:p w14:paraId="34B1163C">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分项报价明细表</w:t>
      </w:r>
    </w:p>
    <w:p w14:paraId="08AED677">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技术规格偏离表</w:t>
      </w:r>
    </w:p>
    <w:p w14:paraId="36663E77">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商务条款偏离表</w:t>
      </w:r>
    </w:p>
    <w:p w14:paraId="0B772DA8">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项目实施方案</w:t>
      </w:r>
    </w:p>
    <w:p w14:paraId="761F3203">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技术保障措施</w:t>
      </w:r>
    </w:p>
    <w:p w14:paraId="25CE8ED5">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应急处理方案</w:t>
      </w:r>
    </w:p>
    <w:p w14:paraId="004A5108">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同类项目业绩</w:t>
      </w:r>
    </w:p>
    <w:p w14:paraId="3E13569B">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投标人承诺的售后服务内容和工作方案</w:t>
      </w:r>
    </w:p>
    <w:p w14:paraId="06EE42B8">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关于所投涉及政府强制采购节能产品的承诺函</w:t>
      </w:r>
    </w:p>
    <w:p w14:paraId="7D823680">
      <w:pPr>
        <w:pStyle w:val="24"/>
        <w:numPr>
          <w:ilvl w:val="0"/>
          <w:numId w:val="11"/>
        </w:numPr>
        <w:snapToGrid w:val="0"/>
        <w:spacing w:afterLines="0" w:line="360"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政府采购优惠政策</w:t>
      </w:r>
    </w:p>
    <w:p w14:paraId="0771CC68">
      <w:pPr>
        <w:pStyle w:val="24"/>
        <w:numPr>
          <w:ilvl w:val="0"/>
          <w:numId w:val="11"/>
        </w:numPr>
        <w:snapToGrid w:val="0"/>
        <w:spacing w:afterLines="0" w:line="312" w:lineRule="auto"/>
        <w:ind w:firstLine="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投标人根据招标文件要求所提供的其他证明文件</w:t>
      </w:r>
    </w:p>
    <w:p w14:paraId="33BB67A8">
      <w:pPr>
        <w:spacing w:after="6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14:paraId="37846283">
      <w:pPr>
        <w:spacing w:after="6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投标人编制投标文件须包括但不限于上述内容。</w:t>
      </w:r>
    </w:p>
    <w:p w14:paraId="6CC40431">
      <w:pPr>
        <w:spacing w:after="60"/>
        <w:rPr>
          <w:rFonts w:hint="eastAsia"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所提供证明文件均真实有效且加盖投标人公章。</w:t>
      </w:r>
    </w:p>
    <w:p w14:paraId="36E1CC61">
      <w:pPr>
        <w:spacing w:after="6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r>
        <w:rPr>
          <w:rFonts w:ascii="宋体" w:hAnsi="宋体" w:cs="宋体"/>
          <w:bCs/>
          <w:color w:val="000000" w:themeColor="text1"/>
          <w:sz w:val="24"/>
          <w14:textFill>
            <w14:solidFill>
              <w14:schemeClr w14:val="tx1"/>
            </w14:solidFill>
          </w14:textFill>
        </w:rPr>
        <w:t>投标文件格式中未列明的格式由投标人自拟</w:t>
      </w:r>
      <w:r>
        <w:rPr>
          <w:rFonts w:hint="eastAsia" w:ascii="宋体" w:hAnsi="宋体" w:cs="宋体"/>
          <w:bCs/>
          <w:color w:val="000000" w:themeColor="text1"/>
          <w:sz w:val="24"/>
          <w14:textFill>
            <w14:solidFill>
              <w14:schemeClr w14:val="tx1"/>
            </w14:solidFill>
          </w14:textFill>
        </w:rPr>
        <w:t>。</w:t>
      </w:r>
      <w:r>
        <w:rPr>
          <w:rFonts w:ascii="宋体" w:hAnsi="宋体" w:cs="宋体"/>
          <w:bCs/>
          <w:color w:val="000000" w:themeColor="text1"/>
          <w:szCs w:val="21"/>
          <w14:textFill>
            <w14:solidFill>
              <w14:schemeClr w14:val="tx1"/>
            </w14:solidFill>
          </w14:textFill>
        </w:rPr>
        <w:br w:type="page"/>
      </w:r>
    </w:p>
    <w:p w14:paraId="0F6A7364">
      <w:pPr>
        <w:pStyle w:val="4"/>
        <w:spacing w:before="0" w:afterLines="0"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二、投标文件格式</w:t>
      </w:r>
    </w:p>
    <w:p w14:paraId="01D9881E">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评标指引表</w:t>
      </w:r>
    </w:p>
    <w:p w14:paraId="114790A3">
      <w:pPr>
        <w:spacing w:after="60"/>
        <w:rPr>
          <w:rFonts w:hint="eastAsia" w:ascii="宋体" w:hAnsi="宋体"/>
          <w:color w:val="000000" w:themeColor="text1"/>
          <w14:textFill>
            <w14:solidFill>
              <w14:schemeClr w14:val="tx1"/>
            </w14:solidFill>
          </w14:textFill>
        </w:rPr>
      </w:pPr>
    </w:p>
    <w:p w14:paraId="0184775E">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项目名称：</w:t>
      </w:r>
    </w:p>
    <w:p w14:paraId="51E3F377">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项目编号：</w:t>
      </w:r>
    </w:p>
    <w:tbl>
      <w:tblPr>
        <w:tblStyle w:val="4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079"/>
        <w:gridCol w:w="1100"/>
        <w:gridCol w:w="1082"/>
        <w:gridCol w:w="4252"/>
      </w:tblGrid>
      <w:tr w14:paraId="7192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0" w:type="dxa"/>
            <w:gridSpan w:val="4"/>
            <w:vAlign w:val="center"/>
          </w:tcPr>
          <w:p w14:paraId="30FFFD6A">
            <w:pPr>
              <w:spacing w:afterLines="0" w:line="360" w:lineRule="exac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相关事项</w:t>
            </w:r>
          </w:p>
        </w:tc>
        <w:tc>
          <w:tcPr>
            <w:tcW w:w="4252" w:type="dxa"/>
            <w:vAlign w:val="center"/>
          </w:tcPr>
          <w:p w14:paraId="67A9A100">
            <w:pPr>
              <w:spacing w:afterLines="0" w:line="360" w:lineRule="exac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文件位置</w:t>
            </w:r>
          </w:p>
        </w:tc>
      </w:tr>
      <w:tr w14:paraId="2774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restart"/>
            <w:vAlign w:val="center"/>
          </w:tcPr>
          <w:p w14:paraId="178D1719">
            <w:pPr>
              <w:spacing w:afterLines="0" w:line="36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投标文件初审表</w:t>
            </w:r>
          </w:p>
        </w:tc>
        <w:tc>
          <w:tcPr>
            <w:tcW w:w="1079" w:type="dxa"/>
            <w:vMerge w:val="restart"/>
            <w:vAlign w:val="center"/>
          </w:tcPr>
          <w:p w14:paraId="1ABBD2A8">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资格性</w:t>
            </w:r>
          </w:p>
        </w:tc>
        <w:tc>
          <w:tcPr>
            <w:tcW w:w="1100" w:type="dxa"/>
            <w:vAlign w:val="center"/>
          </w:tcPr>
          <w:p w14:paraId="328D2FD4">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082" w:type="dxa"/>
          </w:tcPr>
          <w:p w14:paraId="6D70A5B7">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1592452F">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4754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498A0C07">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4FFC55B6">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1E7119E9">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w:t>
            </w:r>
          </w:p>
        </w:tc>
        <w:tc>
          <w:tcPr>
            <w:tcW w:w="1082" w:type="dxa"/>
          </w:tcPr>
          <w:p w14:paraId="73FBBD9B">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1BA5EBD5">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0E36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22568F56">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6DC59F72">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5182C403">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3</w:t>
            </w:r>
          </w:p>
        </w:tc>
        <w:tc>
          <w:tcPr>
            <w:tcW w:w="1082" w:type="dxa"/>
          </w:tcPr>
          <w:p w14:paraId="20A67AA3">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2DBB86FF">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765A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65475F37">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7E1CA801">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2C662533">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1082" w:type="dxa"/>
          </w:tcPr>
          <w:p w14:paraId="65ADF2A9">
            <w:pPr>
              <w:spacing w:afterLines="0" w:line="360" w:lineRule="exact"/>
              <w:jc w:val="center"/>
              <w:rPr>
                <w:rFonts w:hint="eastAsia" w:ascii="宋体" w:hAnsi="宋体" w:cs="宋体"/>
                <w:b/>
                <w:color w:val="000000" w:themeColor="text1"/>
                <w:szCs w:val="21"/>
                <w14:textFill>
                  <w14:solidFill>
                    <w14:schemeClr w14:val="tx1"/>
                  </w14:solidFill>
                </w14:textFill>
              </w:rPr>
            </w:pPr>
          </w:p>
        </w:tc>
        <w:tc>
          <w:tcPr>
            <w:tcW w:w="4252" w:type="dxa"/>
            <w:vAlign w:val="center"/>
          </w:tcPr>
          <w:p w14:paraId="5D433521">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tc>
      </w:tr>
      <w:tr w14:paraId="6F57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792C215B">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restart"/>
            <w:vAlign w:val="center"/>
          </w:tcPr>
          <w:p w14:paraId="2D0890AD">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符合性</w:t>
            </w:r>
          </w:p>
        </w:tc>
        <w:tc>
          <w:tcPr>
            <w:tcW w:w="1100" w:type="dxa"/>
            <w:vAlign w:val="center"/>
          </w:tcPr>
          <w:p w14:paraId="3CA316FD">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082" w:type="dxa"/>
          </w:tcPr>
          <w:p w14:paraId="57B5AF17">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700AF49F">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664B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081E01DD">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023A41A6">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0FF51FED">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w:t>
            </w:r>
          </w:p>
        </w:tc>
        <w:tc>
          <w:tcPr>
            <w:tcW w:w="1082" w:type="dxa"/>
          </w:tcPr>
          <w:p w14:paraId="49D6776E">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43B08782">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324C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76354C63">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75C05E75">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6FF4AF4E">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3</w:t>
            </w:r>
          </w:p>
        </w:tc>
        <w:tc>
          <w:tcPr>
            <w:tcW w:w="1082" w:type="dxa"/>
          </w:tcPr>
          <w:p w14:paraId="18F62678">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362E890F">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7925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491B3883">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3453DD65">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10614370">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1082" w:type="dxa"/>
          </w:tcPr>
          <w:p w14:paraId="7E64C7B2">
            <w:pPr>
              <w:spacing w:afterLines="0" w:line="360" w:lineRule="exact"/>
              <w:jc w:val="center"/>
              <w:rPr>
                <w:rFonts w:hint="eastAsia" w:ascii="宋体" w:hAnsi="宋体" w:cs="宋体"/>
                <w:b/>
                <w:color w:val="000000" w:themeColor="text1"/>
                <w:szCs w:val="21"/>
                <w14:textFill>
                  <w14:solidFill>
                    <w14:schemeClr w14:val="tx1"/>
                  </w14:solidFill>
                </w14:textFill>
              </w:rPr>
            </w:pPr>
          </w:p>
        </w:tc>
        <w:tc>
          <w:tcPr>
            <w:tcW w:w="4252" w:type="dxa"/>
            <w:vAlign w:val="center"/>
          </w:tcPr>
          <w:p w14:paraId="7B4DF7B7">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tc>
      </w:tr>
      <w:tr w14:paraId="37CF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restart"/>
            <w:vAlign w:val="center"/>
          </w:tcPr>
          <w:p w14:paraId="1E231C58">
            <w:pPr>
              <w:spacing w:afterLines="0" w:line="36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综合评分</w:t>
            </w:r>
          </w:p>
        </w:tc>
        <w:tc>
          <w:tcPr>
            <w:tcW w:w="1079" w:type="dxa"/>
            <w:vMerge w:val="restart"/>
            <w:vAlign w:val="center"/>
          </w:tcPr>
          <w:p w14:paraId="44032C5E">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技术部分</w:t>
            </w:r>
          </w:p>
        </w:tc>
        <w:tc>
          <w:tcPr>
            <w:tcW w:w="1100" w:type="dxa"/>
            <w:vAlign w:val="center"/>
          </w:tcPr>
          <w:p w14:paraId="48C9E82A">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082" w:type="dxa"/>
          </w:tcPr>
          <w:p w14:paraId="04DC812E">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1A548719">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6EAA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2F35DB6E">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402FE600">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08975C14">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w:t>
            </w:r>
          </w:p>
        </w:tc>
        <w:tc>
          <w:tcPr>
            <w:tcW w:w="1082" w:type="dxa"/>
          </w:tcPr>
          <w:p w14:paraId="31B42915">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6798DED9">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0BA5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0C73814C">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4633F2E3">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51F9C3BC">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1082" w:type="dxa"/>
          </w:tcPr>
          <w:p w14:paraId="75D6D1E5">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4D3F2CC9">
            <w:pPr>
              <w:spacing w:afterLines="0" w:line="360" w:lineRule="exac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2FCA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7944E6DE">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6359BBEC">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048B2E85">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1082" w:type="dxa"/>
          </w:tcPr>
          <w:p w14:paraId="6A84595D">
            <w:pPr>
              <w:spacing w:afterLines="0" w:line="360" w:lineRule="exact"/>
              <w:jc w:val="center"/>
              <w:rPr>
                <w:rFonts w:hint="eastAsia" w:ascii="宋体" w:hAnsi="宋体" w:cs="宋体"/>
                <w:b/>
                <w:color w:val="000000" w:themeColor="text1"/>
                <w:szCs w:val="21"/>
                <w14:textFill>
                  <w14:solidFill>
                    <w14:schemeClr w14:val="tx1"/>
                  </w14:solidFill>
                </w14:textFill>
              </w:rPr>
            </w:pPr>
          </w:p>
        </w:tc>
        <w:tc>
          <w:tcPr>
            <w:tcW w:w="4252" w:type="dxa"/>
            <w:vAlign w:val="center"/>
          </w:tcPr>
          <w:p w14:paraId="726535B3">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tc>
      </w:tr>
      <w:tr w14:paraId="46F0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74ED1EF8">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restart"/>
            <w:vAlign w:val="center"/>
          </w:tcPr>
          <w:p w14:paraId="47CA12EB">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综合实力部分</w:t>
            </w:r>
          </w:p>
        </w:tc>
        <w:tc>
          <w:tcPr>
            <w:tcW w:w="1100" w:type="dxa"/>
            <w:vAlign w:val="center"/>
          </w:tcPr>
          <w:p w14:paraId="2E44A0E8">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082" w:type="dxa"/>
          </w:tcPr>
          <w:p w14:paraId="19DDAE77">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687AB7F6">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40D8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0A49AFD5">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47EB2AE3">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23D91C43">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w:t>
            </w:r>
          </w:p>
        </w:tc>
        <w:tc>
          <w:tcPr>
            <w:tcW w:w="1082" w:type="dxa"/>
          </w:tcPr>
          <w:p w14:paraId="5B1DE8FD">
            <w:pPr>
              <w:spacing w:afterLines="0" w:line="360" w:lineRule="exact"/>
              <w:jc w:val="center"/>
              <w:rPr>
                <w:rFonts w:hint="eastAsia" w:ascii="宋体" w:hAnsi="宋体" w:cs="宋体"/>
                <w:color w:val="000000" w:themeColor="text1"/>
                <w:kern w:val="0"/>
                <w:szCs w:val="21"/>
                <w14:textFill>
                  <w14:solidFill>
                    <w14:schemeClr w14:val="tx1"/>
                  </w14:solidFill>
                </w14:textFill>
              </w:rPr>
            </w:pPr>
          </w:p>
        </w:tc>
        <w:tc>
          <w:tcPr>
            <w:tcW w:w="4252" w:type="dxa"/>
            <w:vAlign w:val="center"/>
          </w:tcPr>
          <w:p w14:paraId="25802A06">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见投标文件__页</w:t>
            </w:r>
          </w:p>
        </w:tc>
      </w:tr>
      <w:tr w14:paraId="741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tcPr>
          <w:p w14:paraId="5B69A273">
            <w:pPr>
              <w:spacing w:afterLines="0" w:line="360" w:lineRule="exact"/>
              <w:rPr>
                <w:rFonts w:hint="eastAsia" w:ascii="宋体" w:hAnsi="宋体" w:cs="宋体"/>
                <w:b/>
                <w:color w:val="000000" w:themeColor="text1"/>
                <w:szCs w:val="21"/>
                <w14:textFill>
                  <w14:solidFill>
                    <w14:schemeClr w14:val="tx1"/>
                  </w14:solidFill>
                </w14:textFill>
              </w:rPr>
            </w:pPr>
          </w:p>
        </w:tc>
        <w:tc>
          <w:tcPr>
            <w:tcW w:w="1079" w:type="dxa"/>
            <w:vMerge w:val="continue"/>
          </w:tcPr>
          <w:p w14:paraId="7E8A0844">
            <w:pPr>
              <w:spacing w:afterLines="0" w:line="360" w:lineRule="exact"/>
              <w:rPr>
                <w:rFonts w:hint="eastAsia" w:ascii="宋体" w:hAnsi="宋体" w:cs="宋体"/>
                <w:bCs/>
                <w:color w:val="000000" w:themeColor="text1"/>
                <w:szCs w:val="21"/>
                <w14:textFill>
                  <w14:solidFill>
                    <w14:schemeClr w14:val="tx1"/>
                  </w14:solidFill>
                </w14:textFill>
              </w:rPr>
            </w:pPr>
          </w:p>
        </w:tc>
        <w:tc>
          <w:tcPr>
            <w:tcW w:w="1100" w:type="dxa"/>
            <w:vAlign w:val="center"/>
          </w:tcPr>
          <w:p w14:paraId="106C0786">
            <w:pPr>
              <w:spacing w:afterLines="0" w:line="36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p>
        </w:tc>
        <w:tc>
          <w:tcPr>
            <w:tcW w:w="1082" w:type="dxa"/>
          </w:tcPr>
          <w:p w14:paraId="1B696C09">
            <w:pPr>
              <w:spacing w:afterLines="0" w:line="360" w:lineRule="exact"/>
              <w:jc w:val="center"/>
              <w:rPr>
                <w:rFonts w:hint="eastAsia" w:ascii="宋体" w:hAnsi="宋体" w:cs="宋体"/>
                <w:b/>
                <w:color w:val="000000" w:themeColor="text1"/>
                <w:szCs w:val="21"/>
                <w14:textFill>
                  <w14:solidFill>
                    <w14:schemeClr w14:val="tx1"/>
                  </w14:solidFill>
                </w14:textFill>
              </w:rPr>
            </w:pPr>
          </w:p>
        </w:tc>
        <w:tc>
          <w:tcPr>
            <w:tcW w:w="4252" w:type="dxa"/>
            <w:vAlign w:val="center"/>
          </w:tcPr>
          <w:p w14:paraId="36624C45">
            <w:pPr>
              <w:spacing w:afterLines="0"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tc>
      </w:tr>
    </w:tbl>
    <w:p w14:paraId="59231EB3">
      <w:pPr>
        <w:spacing w:after="60"/>
        <w:rPr>
          <w:rFonts w:hint="eastAsia" w:ascii="宋体" w:hAnsi="宋体"/>
          <w:color w:val="000000" w:themeColor="text1"/>
          <w14:textFill>
            <w14:solidFill>
              <w14:schemeClr w14:val="tx1"/>
            </w14:solidFill>
          </w14:textFill>
        </w:rPr>
      </w:pPr>
    </w:p>
    <w:p w14:paraId="335D98DD">
      <w:pPr>
        <w:spacing w:afterLines="0"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w:t>
      </w:r>
      <w:r>
        <w:rPr>
          <w:rFonts w:ascii="宋体" w:hAnsi="宋体"/>
          <w:b/>
          <w:bCs/>
          <w:color w:val="000000" w:themeColor="text1"/>
          <w:szCs w:val="21"/>
          <w14:textFill>
            <w14:solidFill>
              <w14:schemeClr w14:val="tx1"/>
            </w14:solidFill>
          </w14:textFill>
        </w:rPr>
        <w:t>资格性及符合性检查</w:t>
      </w:r>
      <w:r>
        <w:rPr>
          <w:rFonts w:hint="eastAsia" w:ascii="宋体" w:hAnsi="宋体"/>
          <w:color w:val="000000" w:themeColor="text1"/>
          <w:szCs w:val="21"/>
          <w14:textFill>
            <w14:solidFill>
              <w14:schemeClr w14:val="tx1"/>
            </w14:solidFill>
          </w14:textFill>
        </w:rPr>
        <w:t>详见招标文件</w:t>
      </w:r>
      <w:r>
        <w:rPr>
          <w:rFonts w:hint="eastAsia" w:ascii="宋体" w:hAnsi="宋体"/>
          <w:b/>
          <w:bCs/>
          <w:color w:val="000000" w:themeColor="text1"/>
          <w:szCs w:val="21"/>
          <w14:textFill>
            <w14:solidFill>
              <w14:schemeClr w14:val="tx1"/>
            </w14:solidFill>
          </w14:textFill>
        </w:rPr>
        <w:t>“关键信息”“投标文件初审表”</w:t>
      </w:r>
      <w:r>
        <w:rPr>
          <w:rFonts w:ascii="宋体" w:hAnsi="宋体"/>
          <w:color w:val="000000" w:themeColor="text1"/>
          <w:szCs w:val="21"/>
          <w14:textFill>
            <w14:solidFill>
              <w14:schemeClr w14:val="tx1"/>
            </w14:solidFill>
          </w14:textFill>
        </w:rPr>
        <w:t>。</w:t>
      </w:r>
    </w:p>
    <w:p w14:paraId="28BE15FA">
      <w:pPr>
        <w:spacing w:afterLines="0"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综合评分</w:t>
      </w:r>
      <w:r>
        <w:rPr>
          <w:rFonts w:ascii="宋体" w:hAnsi="宋体"/>
          <w:color w:val="000000" w:themeColor="text1"/>
          <w:szCs w:val="21"/>
          <w14:textFill>
            <w14:solidFill>
              <w14:schemeClr w14:val="tx1"/>
            </w14:solidFill>
          </w14:textFill>
        </w:rPr>
        <w:t>分为技术部分和商务</w:t>
      </w:r>
      <w:r>
        <w:rPr>
          <w:rFonts w:hint="eastAsia" w:ascii="宋体" w:hAnsi="宋体"/>
          <w:color w:val="000000" w:themeColor="text1"/>
          <w:szCs w:val="21"/>
          <w14:textFill>
            <w14:solidFill>
              <w14:schemeClr w14:val="tx1"/>
            </w14:solidFill>
          </w14:textFill>
        </w:rPr>
        <w:t>部</w:t>
      </w:r>
      <w:r>
        <w:rPr>
          <w:rFonts w:ascii="宋体" w:hAnsi="宋体"/>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，详见招标文件</w:t>
      </w:r>
      <w:r>
        <w:rPr>
          <w:rFonts w:hint="eastAsia" w:ascii="宋体" w:hAnsi="宋体"/>
          <w:b/>
          <w:bCs/>
          <w:color w:val="000000" w:themeColor="text1"/>
          <w:szCs w:val="21"/>
          <w14:textFill>
            <w14:solidFill>
              <w14:schemeClr w14:val="tx1"/>
            </w14:solidFill>
          </w14:textFill>
        </w:rPr>
        <w:t>“关键信息”“评标信息”</w:t>
      </w:r>
      <w:r>
        <w:rPr>
          <w:rFonts w:ascii="宋体" w:hAnsi="宋体"/>
          <w:color w:val="000000" w:themeColor="text1"/>
          <w:szCs w:val="21"/>
          <w14:textFill>
            <w14:solidFill>
              <w14:schemeClr w14:val="tx1"/>
            </w14:solidFill>
          </w14:textFill>
        </w:rPr>
        <w:t>。</w:t>
      </w:r>
    </w:p>
    <w:p w14:paraId="1F5DDA6F">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6E919A28">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开标一览表</w:t>
      </w:r>
    </w:p>
    <w:p w14:paraId="62D3D575">
      <w:pPr>
        <w:spacing w:after="60"/>
        <w:rPr>
          <w:rFonts w:hint="eastAsia" w:ascii="宋体" w:hAnsi="宋体"/>
          <w:color w:val="000000" w:themeColor="text1"/>
          <w14:textFill>
            <w14:solidFill>
              <w14:schemeClr w14:val="tx1"/>
            </w14:solidFill>
          </w14:textFill>
        </w:rPr>
      </w:pPr>
    </w:p>
    <w:p w14:paraId="73B0DD1E">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投标人名称：</w:t>
      </w:r>
    </w:p>
    <w:p w14:paraId="631FAC27">
      <w:pPr>
        <w:spacing w:after="60"/>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项目编号：</w:t>
      </w:r>
    </w:p>
    <w:tbl>
      <w:tblPr>
        <w:tblStyle w:val="4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990"/>
        <w:gridCol w:w="1783"/>
      </w:tblGrid>
      <w:tr w14:paraId="3547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972" w:type="dxa"/>
            <w:tcBorders>
              <w:top w:val="single" w:color="auto" w:sz="4" w:space="0"/>
            </w:tcBorders>
            <w:vAlign w:val="center"/>
          </w:tcPr>
          <w:p w14:paraId="511C2F81">
            <w:pPr>
              <w:pStyle w:val="24"/>
              <w:spacing w:after="60"/>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项目名称（包号）</w:t>
            </w:r>
          </w:p>
        </w:tc>
        <w:tc>
          <w:tcPr>
            <w:tcW w:w="3990" w:type="dxa"/>
            <w:tcBorders>
              <w:top w:val="single" w:color="auto" w:sz="4" w:space="0"/>
            </w:tcBorders>
            <w:vAlign w:val="center"/>
          </w:tcPr>
          <w:p w14:paraId="415751D0">
            <w:pPr>
              <w:pStyle w:val="24"/>
              <w:spacing w:after="60"/>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投标报价（人民币/元）</w:t>
            </w:r>
          </w:p>
        </w:tc>
        <w:tc>
          <w:tcPr>
            <w:tcW w:w="1783" w:type="dxa"/>
            <w:tcBorders>
              <w:top w:val="single" w:color="auto" w:sz="4" w:space="0"/>
            </w:tcBorders>
            <w:vAlign w:val="center"/>
          </w:tcPr>
          <w:p w14:paraId="4DEA6C42">
            <w:pPr>
              <w:pStyle w:val="24"/>
              <w:spacing w:after="60"/>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备注</w:t>
            </w:r>
          </w:p>
        </w:tc>
      </w:tr>
      <w:tr w14:paraId="5B89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972" w:type="dxa"/>
            <w:vAlign w:val="center"/>
          </w:tcPr>
          <w:p w14:paraId="24A97FB6">
            <w:pPr>
              <w:autoSpaceDE w:val="0"/>
              <w:autoSpaceDN w:val="0"/>
              <w:spacing w:after="60" w:line="320" w:lineRule="atLeast"/>
              <w:jc w:val="center"/>
              <w:textAlignment w:val="bottom"/>
              <w:rPr>
                <w:rFonts w:hint="eastAsia" w:ascii="宋体" w:hAnsi="宋体" w:cs="宋体"/>
                <w:color w:val="000000" w:themeColor="text1"/>
                <w:szCs w:val="21"/>
                <w14:textFill>
                  <w14:solidFill>
                    <w14:schemeClr w14:val="tx1"/>
                  </w14:solidFill>
                </w14:textFill>
              </w:rPr>
            </w:pPr>
          </w:p>
        </w:tc>
        <w:tc>
          <w:tcPr>
            <w:tcW w:w="3990" w:type="dxa"/>
            <w:vAlign w:val="center"/>
          </w:tcPr>
          <w:p w14:paraId="15953EFD">
            <w:pPr>
              <w:pStyle w:val="24"/>
              <w:spacing w:after="6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大写：</w:t>
            </w:r>
          </w:p>
          <w:p w14:paraId="199E2988">
            <w:pPr>
              <w:pStyle w:val="24"/>
              <w:spacing w:after="6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小写：</w:t>
            </w:r>
          </w:p>
        </w:tc>
        <w:tc>
          <w:tcPr>
            <w:tcW w:w="1783" w:type="dxa"/>
            <w:vAlign w:val="center"/>
          </w:tcPr>
          <w:p w14:paraId="63AC1408">
            <w:pPr>
              <w:pStyle w:val="24"/>
              <w:spacing w:after="60"/>
              <w:jc w:val="center"/>
              <w:rPr>
                <w:rFonts w:hint="eastAsia" w:hAnsi="宋体" w:cs="宋体"/>
                <w:color w:val="000000" w:themeColor="text1"/>
                <w:szCs w:val="21"/>
                <w14:textFill>
                  <w14:solidFill>
                    <w14:schemeClr w14:val="tx1"/>
                  </w14:solidFill>
                </w14:textFill>
              </w:rPr>
            </w:pPr>
          </w:p>
        </w:tc>
      </w:tr>
    </w:tbl>
    <w:p w14:paraId="3EF3F529">
      <w:pPr>
        <w:spacing w:after="60"/>
        <w:rPr>
          <w:rFonts w:hint="eastAsia" w:ascii="宋体" w:hAnsi="宋体"/>
          <w:color w:val="000000" w:themeColor="text1"/>
          <w:szCs w:val="21"/>
          <w14:textFill>
            <w14:solidFill>
              <w14:schemeClr w14:val="tx1"/>
            </w14:solidFill>
          </w14:textFill>
        </w:rPr>
      </w:pPr>
    </w:p>
    <w:p w14:paraId="301103C8">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w:t>
      </w:r>
      <w:r>
        <w:rPr>
          <w:rFonts w:hint="eastAsia" w:ascii="宋体" w:hAnsi="宋体"/>
          <w:color w:val="000000" w:themeColor="text1"/>
          <w:szCs w:val="21"/>
          <w14:textFill>
            <w14:solidFill>
              <w14:schemeClr w14:val="tx1"/>
            </w14:solidFill>
          </w14:textFill>
        </w:rPr>
        <w:t>投标总价必须是完成该项目的一切费用总和，包括设备费、运输费、装卸费、保险费、技术培训费、设备安装费、调试费、售后服务费、国家规定的各项税费等；</w:t>
      </w:r>
    </w:p>
    <w:p w14:paraId="17CAD9FD">
      <w:pPr>
        <w:spacing w:afterLines="0" w:line="360" w:lineRule="auto"/>
        <w:rPr>
          <w:rFonts w:hint="eastAsia" w:ascii="宋体" w:hAnsi="宋体"/>
          <w:color w:val="000000" w:themeColor="text1"/>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w:t>
      </w:r>
      <w:r>
        <w:rPr>
          <w:rFonts w:hint="eastAsia" w:ascii="宋体" w:hAnsi="宋体"/>
          <w:snapToGrid w:val="0"/>
          <w:color w:val="000000" w:themeColor="text1"/>
          <w:kern w:val="0"/>
          <w:szCs w:val="21"/>
          <w14:textFill>
            <w14:solidFill>
              <w14:schemeClr w14:val="tx1"/>
            </w14:solidFill>
          </w14:textFill>
        </w:rPr>
        <w:t>、投标人如果需要对报价或其它内容加以说明，可在备注栏填写。</w:t>
      </w:r>
    </w:p>
    <w:p w14:paraId="5C197994">
      <w:pPr>
        <w:spacing w:afterLines="0" w:line="360" w:lineRule="auto"/>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、开标一览表和投标文件（含正本和副本）应分开独立密封包装。</w:t>
      </w:r>
    </w:p>
    <w:p w14:paraId="585A0538">
      <w:pPr>
        <w:snapToGrid w:val="0"/>
        <w:spacing w:afterLines="0"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、若开标一览表中大写金额和小写金额不一致的，以大写金额为准。</w:t>
      </w:r>
    </w:p>
    <w:p w14:paraId="1087291C">
      <w:pPr>
        <w:spacing w:after="60"/>
        <w:rPr>
          <w:rFonts w:hint="eastAsia" w:ascii="宋体" w:hAnsi="宋体"/>
          <w:color w:val="000000" w:themeColor="text1"/>
          <w:szCs w:val="21"/>
          <w14:textFill>
            <w14:solidFill>
              <w14:schemeClr w14:val="tx1"/>
            </w14:solidFill>
          </w14:textFill>
        </w:rPr>
      </w:pPr>
    </w:p>
    <w:p w14:paraId="2C40E300">
      <w:pPr>
        <w:spacing w:after="60"/>
        <w:rPr>
          <w:rFonts w:hint="eastAsia" w:ascii="宋体" w:hAnsi="宋体"/>
          <w:color w:val="000000" w:themeColor="text1"/>
          <w:szCs w:val="21"/>
          <w14:textFill>
            <w14:solidFill>
              <w14:schemeClr w14:val="tx1"/>
            </w14:solidFill>
          </w14:textFill>
        </w:rPr>
      </w:pPr>
    </w:p>
    <w:p w14:paraId="505149F2">
      <w:pPr>
        <w:spacing w:after="60"/>
        <w:rPr>
          <w:rFonts w:hint="eastAsia" w:ascii="宋体" w:hAnsi="宋体"/>
          <w:color w:val="000000" w:themeColor="text1"/>
          <w:szCs w:val="21"/>
          <w14:textFill>
            <w14:solidFill>
              <w14:schemeClr w14:val="tx1"/>
            </w14:solidFill>
          </w14:textFill>
        </w:rPr>
      </w:pPr>
    </w:p>
    <w:p w14:paraId="598EA5AD">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ascii="宋体" w:hAnsi="宋体"/>
          <w:b/>
          <w:color w:val="000000" w:themeColor="text1"/>
          <w:szCs w:val="21"/>
          <w14:textFill>
            <w14:solidFill>
              <w14:schemeClr w14:val="tx1"/>
            </w14:solidFill>
          </w14:textFill>
        </w:rPr>
        <w:t>公章</w:t>
      </w:r>
      <w:r>
        <w:rPr>
          <w:rFonts w:hint="eastAsia" w:ascii="宋体" w:hAnsi="宋体"/>
          <w:color w:val="000000" w:themeColor="text1"/>
          <w:szCs w:val="21"/>
          <w14:textFill>
            <w14:solidFill>
              <w14:schemeClr w14:val="tx1"/>
            </w14:solidFill>
          </w14:textFill>
        </w:rPr>
        <w:t>）：</w:t>
      </w:r>
    </w:p>
    <w:p w14:paraId="5076B2BE">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法定代表人或其授权委托人（</w:t>
      </w:r>
      <w:r>
        <w:rPr>
          <w:rFonts w:hint="eastAsia" w:ascii="宋体" w:hAnsi="宋体"/>
          <w:b/>
          <w:color w:val="000000" w:themeColor="text1"/>
          <w:szCs w:val="21"/>
          <w14:textFill>
            <w14:solidFill>
              <w14:schemeClr w14:val="tx1"/>
            </w14:solidFill>
          </w14:textFill>
        </w:rPr>
        <w:t>签名</w:t>
      </w:r>
      <w:r>
        <w:rPr>
          <w:rFonts w:hint="eastAsia" w:ascii="宋体" w:hAnsi="宋体"/>
          <w:color w:val="000000" w:themeColor="text1"/>
          <w:szCs w:val="21"/>
          <w14:textFill>
            <w14:solidFill>
              <w14:schemeClr w14:val="tx1"/>
            </w14:solidFill>
          </w14:textFill>
        </w:rPr>
        <w:t>）：</w:t>
      </w:r>
    </w:p>
    <w:p w14:paraId="74B3F524">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36D06947">
      <w:pPr>
        <w:spacing w:after="60"/>
        <w:rPr>
          <w:rFonts w:hint="eastAsia" w:ascii="宋体" w:hAnsi="宋体"/>
          <w:color w:val="000000" w:themeColor="text1"/>
          <w14:textFill>
            <w14:solidFill>
              <w14:schemeClr w14:val="tx1"/>
            </w14:solidFill>
          </w14:textFill>
        </w:rPr>
      </w:pPr>
    </w:p>
    <w:p w14:paraId="7463A4BA">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DB36EE7">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投标函</w:t>
      </w:r>
    </w:p>
    <w:p w14:paraId="57B26D28">
      <w:pPr>
        <w:spacing w:after="60"/>
        <w:rPr>
          <w:rFonts w:hint="eastAsia" w:ascii="宋体" w:hAnsi="宋体"/>
          <w:color w:val="000000" w:themeColor="text1"/>
          <w14:textFill>
            <w14:solidFill>
              <w14:schemeClr w14:val="tx1"/>
            </w14:solidFill>
          </w14:textFill>
        </w:rPr>
      </w:pPr>
    </w:p>
    <w:p w14:paraId="73127E2E">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bookmarkStart w:id="33" w:name="_Hlk128063862"/>
      <w:r>
        <w:rPr>
          <w:rFonts w:hint="eastAsia" w:ascii="宋体" w:hAnsi="宋体"/>
          <w:color w:val="000000" w:themeColor="text1"/>
          <w:szCs w:val="21"/>
          <w:u w:val="single"/>
          <w14:textFill>
            <w14:solidFill>
              <w14:schemeClr w14:val="tx1"/>
            </w14:solidFill>
          </w14:textFill>
        </w:rPr>
        <w:t>深圳市慧智工程顾问有限公司</w:t>
      </w:r>
      <w:bookmarkEnd w:id="33"/>
    </w:p>
    <w:p w14:paraId="277FA512">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1、根据已收到贵方项目编号为</w:t>
      </w:r>
      <w:r>
        <w:rPr>
          <w:rFonts w:hint="eastAsia" w:ascii="宋体" w:hAnsi="宋体" w:cs="宋体"/>
          <w:color w:val="000000" w:themeColor="text1"/>
          <w:szCs w:val="21"/>
          <w:u w:val="single"/>
          <w14:textFill>
            <w14:solidFill>
              <w14:schemeClr w14:val="tx1"/>
            </w14:solidFill>
          </w14:textFill>
        </w:rPr>
        <w:t>（项目编号）</w:t>
      </w:r>
      <w:r>
        <w:rPr>
          <w:rFonts w:hint="eastAsia" w:ascii="宋体" w:hAnsi="宋体"/>
          <w:color w:val="000000" w:themeColor="text1"/>
          <w:szCs w:val="21"/>
          <w14:textFill>
            <w14:solidFill>
              <w14:schemeClr w14:val="tx1"/>
            </w14:solidFill>
          </w14:textFill>
        </w:rPr>
        <w:t>的</w:t>
      </w:r>
      <w:r>
        <w:rPr>
          <w:rFonts w:hint="eastAsia" w:ascii="宋体" w:hAnsi="宋体" w:cs="宋体"/>
          <w:color w:val="000000" w:themeColor="text1"/>
          <w:szCs w:val="21"/>
          <w:u w:val="single"/>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的招标文件，遵照《深圳经济特区政府采购条例》等有关规定，我方经研究上述招标文件的专用条款及通用条款后，愿以开标一览表中填写的投标报价参与投标</w:t>
      </w:r>
      <w:r>
        <w:rPr>
          <w:rFonts w:ascii="宋体" w:hAnsi="宋体"/>
          <w:color w:val="000000" w:themeColor="text1"/>
          <w:szCs w:val="21"/>
          <w14:textFill>
            <w14:solidFill>
              <w14:schemeClr w14:val="tx1"/>
            </w14:solidFill>
          </w14:textFill>
        </w:rPr>
        <w:t>并按招标文件要求承包上述项目</w:t>
      </w:r>
      <w:r>
        <w:rPr>
          <w:rFonts w:hint="eastAsia" w:ascii="宋体" w:hAnsi="宋体"/>
          <w:color w:val="000000" w:themeColor="text1"/>
          <w:szCs w:val="21"/>
          <w14:textFill>
            <w14:solidFill>
              <w14:schemeClr w14:val="tx1"/>
            </w14:solidFill>
          </w14:textFill>
        </w:rPr>
        <w:t>。</w:t>
      </w:r>
    </w:p>
    <w:p w14:paraId="66EC6ED7">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、我方已认真核实了投标文件的全部资料，所有资料均为真实资料。我方对投标文件中全部投标资料的真实性负责，如被证实我方的投标文件中存在虚假资料，我方愿意接受主管部门作出的行政处罚。</w:t>
      </w:r>
    </w:p>
    <w:p w14:paraId="17651D01">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3、我方同意所递交的投标文件在“对通用条款的补充内容”中的投标有效期内有效，在此期间内我方的投标有可能中标，我方将受此约束。</w:t>
      </w:r>
    </w:p>
    <w:p w14:paraId="1D165C3F">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4、我方如果中标，我方承诺中标后按照采购相关规定与采购人签订合同，</w:t>
      </w:r>
      <w:r>
        <w:rPr>
          <w:rFonts w:hint="eastAsia" w:ascii="宋体" w:hAnsi="宋体"/>
          <w:color w:val="000000" w:themeColor="text1"/>
          <w:szCs w:val="21"/>
          <w14:textFill>
            <w14:solidFill>
              <w14:schemeClr w14:val="tx1"/>
            </w14:solidFill>
          </w14:textFill>
        </w:rPr>
        <w:t>将保证履行我方投标文件所响应全部责任和义务，按质、按量、按期完成合同中的全部任务</w:t>
      </w:r>
      <w:r>
        <w:rPr>
          <w:rFonts w:hint="eastAsia" w:ascii="宋体" w:hAnsi="宋体" w:cs="宋体"/>
          <w:color w:val="000000" w:themeColor="text1"/>
          <w:szCs w:val="21"/>
          <w14:textFill>
            <w14:solidFill>
              <w14:schemeClr w14:val="tx1"/>
            </w14:solidFill>
          </w14:textFill>
        </w:rPr>
        <w:t>。如因我方原因未在规定时限内与采购人签订合同的，愿意接受相关部门作出的相应处理。</w:t>
      </w:r>
      <w:r>
        <w:rPr>
          <w:rFonts w:hint="eastAsia" w:ascii="宋体" w:hAnsi="宋体"/>
          <w:color w:val="000000" w:themeColor="text1"/>
          <w:szCs w:val="21"/>
          <w14:textFill>
            <w14:solidFill>
              <w14:schemeClr w14:val="tx1"/>
            </w14:solidFill>
          </w14:textFill>
        </w:rPr>
        <w:t>除非另外达成协议并生效，贵方中标通知书和本投标文件将构成合同组成部分。</w:t>
      </w:r>
    </w:p>
    <w:p w14:paraId="7DDDAF28">
      <w:pPr>
        <w:pStyle w:val="19"/>
        <w:spacing w:afterLines="0" w:line="360" w:lineRule="auto"/>
        <w:ind w:firstLine="420"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5、我方同意提供贵方可能要求的与其投标有关的一切数据或资料。</w:t>
      </w:r>
    </w:p>
    <w:p w14:paraId="3C957C4E">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6、我方理解最低报价不作为中标的唯一条件，采购人及采购代理机构将不受投标文件的其它任何条款约束。</w:t>
      </w:r>
    </w:p>
    <w:p w14:paraId="4DCE9008">
      <w:pPr>
        <w:spacing w:afterLines="0" w:line="360" w:lineRule="auto"/>
        <w:ind w:left="540" w:leftChars="257"/>
        <w:rPr>
          <w:rFonts w:hint="eastAsia" w:ascii="宋体" w:hAnsi="宋体"/>
          <w:color w:val="000000" w:themeColor="text1"/>
          <w:szCs w:val="21"/>
          <w14:textFill>
            <w14:solidFill>
              <w14:schemeClr w14:val="tx1"/>
            </w14:solidFill>
          </w14:textFill>
        </w:rPr>
      </w:pPr>
    </w:p>
    <w:p w14:paraId="087858A1">
      <w:pPr>
        <w:spacing w:afterLines="0" w:line="360" w:lineRule="auto"/>
        <w:ind w:left="540" w:leftChars="257"/>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    单位地址：</w:t>
      </w:r>
    </w:p>
    <w:p w14:paraId="0BECC42D">
      <w:pPr>
        <w:spacing w:afterLines="0" w:line="360" w:lineRule="auto"/>
        <w:ind w:left="540" w:leftChars="257"/>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法定代表人或其委托代理人（签字或签章）：</w:t>
      </w:r>
    </w:p>
    <w:p w14:paraId="152EA1DB">
      <w:pPr>
        <w:spacing w:afterLines="0" w:line="360" w:lineRule="auto"/>
        <w:ind w:left="540" w:leftChars="257"/>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  电话：  传真：</w:t>
      </w:r>
    </w:p>
    <w:p w14:paraId="3904082E">
      <w:pPr>
        <w:spacing w:afterLines="0" w:line="360" w:lineRule="auto"/>
        <w:ind w:left="540" w:leftChars="257"/>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日期：年月日</w:t>
      </w:r>
    </w:p>
    <w:p w14:paraId="6ABA9A56">
      <w:pPr>
        <w:spacing w:after="60"/>
        <w:rPr>
          <w:rFonts w:hint="eastAsia" w:ascii="宋体" w:hAnsi="宋体"/>
          <w:color w:val="000000" w:themeColor="text1"/>
          <w14:textFill>
            <w14:solidFill>
              <w14:schemeClr w14:val="tx1"/>
            </w14:solidFill>
          </w14:textFill>
        </w:rPr>
      </w:pPr>
    </w:p>
    <w:p w14:paraId="13BFB5FA">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3CB4FE67">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政府采购投标及履约承诺函</w:t>
      </w:r>
    </w:p>
    <w:p w14:paraId="0690934F">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致：深圳市慧智工程顾问有限公司</w:t>
      </w:r>
    </w:p>
    <w:p w14:paraId="736FE1A9">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我公司承诺：</w:t>
      </w:r>
    </w:p>
    <w:p w14:paraId="263117CB">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1.我公司本招标项目所提供的货物或服务未侵犯知识产权。</w:t>
      </w:r>
    </w:p>
    <w:p w14:paraId="446A82EA">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2.我公司参与本项目投标前三年内，在经营活动中没有重大违法记录。</w:t>
      </w:r>
    </w:p>
    <w:p w14:paraId="452D1F61">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3.我公司参与本项目政府采购活动时不存在被有关部门禁止参与政府采购活动且在有效期内的情况。</w:t>
      </w:r>
    </w:p>
    <w:p w14:paraId="6F1993F1">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4.我公司具备《中华人民共和国政府采购法》第二十二条第一款规定的六项条件。</w:t>
      </w:r>
    </w:p>
    <w:p w14:paraId="434D7E3C">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5.我公司未被列入失信被执行人、重大税收违法案件当事人名单、政府采购严重违法失信行为记录名单</w:t>
      </w:r>
    </w:p>
    <w:p w14:paraId="0EF09D0A">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3FC548EC">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7.我公司如果中标，做到守信，不偷工减料，依照本项目招标文件需求内容、签署的采购合同及本公司在投标中所作的一切承诺履约。项目验收达到全部指标合格，力争优良。</w:t>
      </w:r>
    </w:p>
    <w:p w14:paraId="0E8B59BB">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12FE262A">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3B0ADAD2">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10.我公司承诺不是联合体投标，不非法转包、分包。</w:t>
      </w:r>
    </w:p>
    <w:p w14:paraId="2A7981A8">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11.我公司承诺依据《中华人民共和国政府采购法实施条例》第十八条规定，单位负责人为同一人或者存在直接控股、管理关系的不同供应商，不得参加同一合同项下的政府采购活动。</w:t>
      </w:r>
    </w:p>
    <w:p w14:paraId="126FDBEE">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12.我公司承诺不使用进口产品参与投标（进口产品是指通过中国海关报送验收进入中国境内且产自关境外的产品）。</w:t>
      </w:r>
    </w:p>
    <w:p w14:paraId="68550164">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以上承诺，如有违反，愿依照国家相关法律处理，并承担由此给采购人带来的损失。</w:t>
      </w:r>
    </w:p>
    <w:p w14:paraId="2023418E">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ascii="宋体" w:hAnsi="宋体"/>
          <w:b/>
          <w:color w:val="000000" w:themeColor="text1"/>
          <w:szCs w:val="21"/>
          <w14:textFill>
            <w14:solidFill>
              <w14:schemeClr w14:val="tx1"/>
            </w14:solidFill>
          </w14:textFill>
        </w:rPr>
        <w:t>公章</w:t>
      </w:r>
      <w:r>
        <w:rPr>
          <w:rFonts w:hint="eastAsia" w:ascii="宋体" w:hAnsi="宋体"/>
          <w:color w:val="000000" w:themeColor="text1"/>
          <w:szCs w:val="21"/>
          <w14:textFill>
            <w14:solidFill>
              <w14:schemeClr w14:val="tx1"/>
            </w14:solidFill>
          </w14:textFill>
        </w:rPr>
        <w:t>）：</w:t>
      </w:r>
    </w:p>
    <w:p w14:paraId="0396B177">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4722E3A5">
      <w:pPr>
        <w:widowControl/>
        <w:spacing w:afterLines="0" w:line="240" w:lineRule="auto"/>
        <w:jc w:val="left"/>
        <w:rPr>
          <w:rFonts w:hint="eastAsia" w:ascii="宋体" w:hAnsi="宋体"/>
          <w:color w:val="000000" w:themeColor="text1"/>
          <w14:textFill>
            <w14:solidFill>
              <w14:schemeClr w14:val="tx1"/>
            </w14:solidFill>
          </w14:textFill>
        </w:rPr>
      </w:pPr>
    </w:p>
    <w:p w14:paraId="2083FA60">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诚信承诺函</w:t>
      </w:r>
    </w:p>
    <w:p w14:paraId="0228E8A8">
      <w:pPr>
        <w:spacing w:after="60"/>
        <w:rPr>
          <w:rFonts w:hint="eastAsia" w:ascii="宋体" w:hAnsi="宋体"/>
          <w:color w:val="000000" w:themeColor="text1"/>
          <w14:textFill>
            <w14:solidFill>
              <w14:schemeClr w14:val="tx1"/>
            </w14:solidFill>
          </w14:textFill>
        </w:rPr>
      </w:pPr>
    </w:p>
    <w:p w14:paraId="767215D9">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深圳市慧智工程顾问有限公司</w:t>
      </w:r>
    </w:p>
    <w:p w14:paraId="11BD151B">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我方承诺在参与本项目采购活动中不存在以下情形：</w:t>
      </w:r>
    </w:p>
    <w:p w14:paraId="1DDF6D2D">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（一）被纪检监察部门立案调查，违法违规事实成立的；</w:t>
      </w:r>
    </w:p>
    <w:p w14:paraId="1F6C0BF3">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（二）未按政府采购相关规定签订、履行采购合同，造成严重后果的；</w:t>
      </w:r>
    </w:p>
    <w:p w14:paraId="0F133063">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（三）隐瞒真实情况，提供虚假资料的；</w:t>
      </w:r>
    </w:p>
    <w:p w14:paraId="6E3407E6">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（四）以非法手段排斥其他供应商参与竞争的；</w:t>
      </w:r>
    </w:p>
    <w:p w14:paraId="5D1FFCC3">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（五）与其他采购参加人串通投标的；</w:t>
      </w:r>
    </w:p>
    <w:p w14:paraId="2F30A892">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（六）在采购活动中应当回避而未回避的； </w:t>
      </w:r>
    </w:p>
    <w:p w14:paraId="78BFB9CF">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（七）恶意投诉的； </w:t>
      </w:r>
    </w:p>
    <w:p w14:paraId="6E48330E">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（八）向采购项目相关人员行贿或者提供其他不当利益的；</w:t>
      </w:r>
    </w:p>
    <w:p w14:paraId="62DB9FD6">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（九）向采购代理机构及相关工作人员以各类形式进行施压的；</w:t>
      </w:r>
    </w:p>
    <w:p w14:paraId="1E8FC968">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（十）阻碍、抗拒主管部门监督检查的；</w:t>
      </w:r>
    </w:p>
    <w:p w14:paraId="0D2E6D81">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（十一）履约检查不合格或者评价为差的；</w:t>
      </w:r>
    </w:p>
    <w:p w14:paraId="492BB5B8">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（十二）主管部门认定的其他情形。</w:t>
      </w:r>
    </w:p>
    <w:p w14:paraId="2CE7351A">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如我方在本项目开标日前三年内存在上述行为超出法定追诉时效未被追诉、或者上述情节轻微未给予禁止参加政府采购的行政处罚，我方自愿承担一切不利的法律后果。</w:t>
      </w:r>
    </w:p>
    <w:p w14:paraId="3CECF771">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14:paraId="69DD9173">
      <w:pPr>
        <w:spacing w:afterLines="0" w:line="360" w:lineRule="auto"/>
        <w:ind w:firstLine="420" w:firstLineChars="200"/>
        <w:rPr>
          <w:rFonts w:hint="eastAsia" w:ascii="宋体" w:hAnsi="宋体" w:cs="宋体"/>
          <w:color w:val="000000" w:themeColor="text1"/>
          <w:szCs w:val="21"/>
          <w14:textFill>
            <w14:solidFill>
              <w14:schemeClr w14:val="tx1"/>
            </w14:solidFill>
          </w14:textFill>
        </w:rPr>
      </w:pPr>
    </w:p>
    <w:p w14:paraId="7421DC17">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ascii="宋体" w:hAnsi="宋体"/>
          <w:b/>
          <w:color w:val="000000" w:themeColor="text1"/>
          <w:szCs w:val="21"/>
          <w14:textFill>
            <w14:solidFill>
              <w14:schemeClr w14:val="tx1"/>
            </w14:solidFill>
          </w14:textFill>
        </w:rPr>
        <w:t>公章</w:t>
      </w:r>
      <w:r>
        <w:rPr>
          <w:rFonts w:hint="eastAsia" w:ascii="宋体" w:hAnsi="宋体"/>
          <w:color w:val="000000" w:themeColor="text1"/>
          <w:szCs w:val="21"/>
          <w14:textFill>
            <w14:solidFill>
              <w14:schemeClr w14:val="tx1"/>
            </w14:solidFill>
          </w14:textFill>
        </w:rPr>
        <w:t>）：</w:t>
      </w:r>
    </w:p>
    <w:p w14:paraId="52054D19">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306BA3E8">
      <w:pPr>
        <w:spacing w:after="60"/>
        <w:rPr>
          <w:rFonts w:hint="eastAsia" w:ascii="宋体" w:hAnsi="宋体"/>
          <w:color w:val="000000" w:themeColor="text1"/>
          <w14:textFill>
            <w14:solidFill>
              <w14:schemeClr w14:val="tx1"/>
            </w14:solidFill>
          </w14:textFill>
        </w:rPr>
      </w:pPr>
    </w:p>
    <w:p w14:paraId="2C7BBD5F">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21CA0EF">
      <w:pPr>
        <w:spacing w:after="60"/>
        <w:rPr>
          <w:rFonts w:hint="eastAsia" w:ascii="宋体" w:hAnsi="宋体"/>
          <w:b/>
          <w:color w:val="000000" w:themeColor="text1"/>
          <w:sz w:val="24"/>
          <w14:textFill>
            <w14:solidFill>
              <w14:schemeClr w14:val="tx1"/>
            </w14:solidFill>
          </w14:textFill>
        </w:rPr>
      </w:pPr>
    </w:p>
    <w:p w14:paraId="3F56A5E0">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政府采购违法行为风险知悉确认书</w:t>
      </w:r>
    </w:p>
    <w:p w14:paraId="7A264CED">
      <w:pPr>
        <w:pStyle w:val="6"/>
        <w:spacing w:after="60"/>
        <w:rPr>
          <w:rFonts w:hint="eastAsia" w:ascii="宋体" w:hAnsi="宋体"/>
          <w:color w:val="000000" w:themeColor="text1"/>
          <w14:textFill>
            <w14:solidFill>
              <w14:schemeClr w14:val="tx1"/>
            </w14:solidFill>
          </w14:textFill>
        </w:rPr>
      </w:pPr>
    </w:p>
    <w:p w14:paraId="2A621609">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14:paraId="0FF42D84">
      <w:pPr>
        <w:spacing w:after="60" w:line="312"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一、本公司已充分知悉“隐瞒真实情况，提供虚假资料”的法定情形，相关情形包括但不限于：</w:t>
      </w:r>
    </w:p>
    <w:p w14:paraId="2582D70E">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（一）通过转让或者租借等方式从其他单位获取资格或者资质证书投标的。</w:t>
      </w:r>
    </w:p>
    <w:p w14:paraId="2780ED1C">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（二）由其他单位或者其他单位负责人在投标供应商编制的投标文件上加盖印章或者签字的。</w:t>
      </w:r>
    </w:p>
    <w:p w14:paraId="1815076B">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（三）项目负责人或者主要技术人员不是本单位人员的。</w:t>
      </w:r>
    </w:p>
    <w:p w14:paraId="79CA48D8">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（四）投标保证金不是从投标供应商基本账户转出的。</w:t>
      </w:r>
    </w:p>
    <w:p w14:paraId="6059706A">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（五）其他隐瞒真实情况、提供虚假资料的行为。</w:t>
      </w:r>
    </w:p>
    <w:p w14:paraId="623A8CB7">
      <w:pPr>
        <w:spacing w:after="60" w:line="312"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二、本公司已充分知悉“与其他采购参加人串通投标”的法定情形，相关情形包括但不限于：</w:t>
      </w:r>
    </w:p>
    <w:p w14:paraId="7B352C22">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（一）投标供应商之间相互约定给予未中标的供应商利益补偿。</w:t>
      </w:r>
    </w:p>
    <w:p w14:paraId="41EB0485">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70193901">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（三）不同投标供应商的投标文件由同一单位或者同一人编制，或者由同一人分阶段参与编制的。</w:t>
      </w:r>
    </w:p>
    <w:p w14:paraId="12ACE1A3">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（四）不同投标供应商的投标文件或部分投标文件相互混装。</w:t>
      </w:r>
    </w:p>
    <w:p w14:paraId="0D58F0E0">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（五）不同投标供应商的投标文件内容存在非正常一致。</w:t>
      </w:r>
    </w:p>
    <w:p w14:paraId="281D7FDE">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（六）由同一单位工作人员为两家以上（含两家）供应商进行同一项投标活动的。</w:t>
      </w:r>
    </w:p>
    <w:p w14:paraId="0EBF2DDC">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（七）不同投标人的投标报价呈规律性差异。</w:t>
      </w:r>
    </w:p>
    <w:p w14:paraId="574F0BF7">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（八）不同投标人的投标保证金从同一单位或者个人的账户转出。</w:t>
      </w:r>
    </w:p>
    <w:p w14:paraId="0E8AE1AB">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（九）主管部门依照法律、法规认定的其他情形。</w:t>
      </w:r>
    </w:p>
    <w:p w14:paraId="010015EC">
      <w:pPr>
        <w:spacing w:after="60" w:line="312"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三、本公司已充分知悉下列情形所对应的法律风险，并在投标前已对相关风险事项进行排查。</w:t>
      </w:r>
    </w:p>
    <w:p w14:paraId="7B55A612">
      <w:pPr>
        <w:spacing w:after="60" w:line="312" w:lineRule="auto"/>
        <w:ind w:firstLine="420"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（一）对于从其他主体获取的投标资料，供应商应审慎核查，确保投标资料的真实性。</w:t>
      </w:r>
      <w:r>
        <w:rPr>
          <w:rFonts w:hint="eastAsia" w:ascii="宋体" w:hAnsi="宋体" w:cs="宋体"/>
          <w:b/>
          <w:bCs/>
          <w:color w:val="000000" w:themeColor="text1"/>
          <w:szCs w:val="21"/>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14:paraId="1FD0E83E">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2C6A6086">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（三）对于涉及安全生产、特种作业、抢险救灾、防疫等政府采购项目，供应商实施提供虚假资料、串通投标等违法行为的，主管部门将依法从严处理。</w:t>
      </w:r>
    </w:p>
    <w:p w14:paraId="0805D1E5">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251F02B">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C778160">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0FAB4553">
      <w:pPr>
        <w:spacing w:after="60" w:line="312"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四、本公司已充分知悉政府采购违法、违规行为的法律后果。</w:t>
      </w:r>
    </w:p>
    <w:p w14:paraId="388F47F6">
      <w:pPr>
        <w:spacing w:after="6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BC874CB">
      <w:pPr>
        <w:spacing w:after="60" w:line="312"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C00000"/>
          <w:szCs w:val="21"/>
        </w:rPr>
        <w:t>以下文字请投标供应商抄写并确认：“本公司已仔细阅读《政府采购违法行为风险知悉确认书》，充分知悉违法行为的法律后果，并承诺将严谨、诚信、依法依规参与政府采购活动”。</w:t>
      </w:r>
    </w:p>
    <w:tbl>
      <w:tblPr>
        <w:tblStyle w:val="47"/>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14:paraId="11B2DF2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4357414">
            <w:pPr>
              <w:autoSpaceDE w:val="0"/>
              <w:autoSpaceDN w:val="0"/>
              <w:spacing w:after="60" w:line="312" w:lineRule="auto"/>
              <w:ind w:firstLine="404" w:firstLineChars="200"/>
              <w:jc w:val="left"/>
              <w:rPr>
                <w:rFonts w:hint="eastAsia" w:ascii="宋体" w:hAnsi="宋体" w:cs="宋体"/>
                <w:color w:val="000000" w:themeColor="text1"/>
                <w:spacing w:val="-4"/>
                <w:szCs w:val="21"/>
                <w14:textFill>
                  <w14:solidFill>
                    <w14:schemeClr w14:val="tx1"/>
                  </w14:solidFill>
                </w14:textFill>
              </w:rPr>
            </w:pPr>
          </w:p>
        </w:tc>
      </w:tr>
      <w:tr w14:paraId="7059C1C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626FA37">
            <w:pPr>
              <w:autoSpaceDE w:val="0"/>
              <w:autoSpaceDN w:val="0"/>
              <w:spacing w:after="60" w:line="312" w:lineRule="auto"/>
              <w:ind w:firstLine="404" w:firstLineChars="200"/>
              <w:jc w:val="left"/>
              <w:rPr>
                <w:rFonts w:hint="eastAsia" w:ascii="宋体" w:hAnsi="宋体" w:cs="宋体"/>
                <w:color w:val="000000" w:themeColor="text1"/>
                <w:spacing w:val="-4"/>
                <w:szCs w:val="21"/>
                <w14:textFill>
                  <w14:solidFill>
                    <w14:schemeClr w14:val="tx1"/>
                  </w14:solidFill>
                </w14:textFill>
              </w:rPr>
            </w:pPr>
          </w:p>
        </w:tc>
      </w:tr>
      <w:tr w14:paraId="74DA4B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E6CF405">
            <w:pPr>
              <w:autoSpaceDE w:val="0"/>
              <w:autoSpaceDN w:val="0"/>
              <w:spacing w:after="60" w:line="312" w:lineRule="auto"/>
              <w:ind w:firstLine="404" w:firstLineChars="200"/>
              <w:jc w:val="left"/>
              <w:rPr>
                <w:rFonts w:hint="eastAsia" w:ascii="宋体" w:hAnsi="宋体" w:cs="宋体"/>
                <w:color w:val="000000" w:themeColor="text1"/>
                <w:spacing w:val="-4"/>
                <w:szCs w:val="21"/>
                <w14:textFill>
                  <w14:solidFill>
                    <w14:schemeClr w14:val="tx1"/>
                  </w14:solidFill>
                </w14:textFill>
              </w:rPr>
            </w:pPr>
          </w:p>
        </w:tc>
      </w:tr>
      <w:tr w14:paraId="068E724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581906C">
            <w:pPr>
              <w:autoSpaceDE w:val="0"/>
              <w:autoSpaceDN w:val="0"/>
              <w:spacing w:after="60" w:line="312" w:lineRule="auto"/>
              <w:ind w:firstLine="404" w:firstLineChars="200"/>
              <w:jc w:val="left"/>
              <w:rPr>
                <w:rFonts w:hint="eastAsia" w:ascii="宋体" w:hAnsi="宋体" w:cs="宋体"/>
                <w:color w:val="000000" w:themeColor="text1"/>
                <w:spacing w:val="-4"/>
                <w:szCs w:val="21"/>
                <w14:textFill>
                  <w14:solidFill>
                    <w14:schemeClr w14:val="tx1"/>
                  </w14:solidFill>
                </w14:textFill>
              </w:rPr>
            </w:pPr>
          </w:p>
        </w:tc>
      </w:tr>
    </w:tbl>
    <w:p w14:paraId="21C1D433">
      <w:pPr>
        <w:autoSpaceDE w:val="0"/>
        <w:autoSpaceDN w:val="0"/>
        <w:spacing w:after="60" w:line="312" w:lineRule="auto"/>
        <w:ind w:firstLine="404" w:firstLineChars="200"/>
        <w:rPr>
          <w:rFonts w:hint="eastAsia" w:ascii="宋体" w:hAnsi="宋体" w:cs="宋体"/>
          <w:color w:val="000000" w:themeColor="text1"/>
          <w:spacing w:val="-4"/>
          <w:szCs w:val="21"/>
          <w14:textFill>
            <w14:solidFill>
              <w14:schemeClr w14:val="tx1"/>
            </w14:solidFill>
          </w14:textFill>
        </w:rPr>
      </w:pPr>
    </w:p>
    <w:p w14:paraId="23F65EED">
      <w:pPr>
        <w:spacing w:after="60" w:line="312"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3DA47EFE">
      <w:pPr>
        <w:spacing w:after="60" w:line="312"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负责人/投标授权代表签名：                </w:t>
      </w:r>
    </w:p>
    <w:p w14:paraId="6AA8A864">
      <w:pPr>
        <w:spacing w:after="60" w:line="312"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知悉人（公章）：     </w:t>
      </w:r>
    </w:p>
    <w:p w14:paraId="63510787">
      <w:pPr>
        <w:spacing w:after="6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日期：   年  月  日</w:t>
      </w:r>
    </w:p>
    <w:p w14:paraId="369AA1E8">
      <w:pPr>
        <w:spacing w:after="60"/>
        <w:rPr>
          <w:rFonts w:hint="eastAsia" w:ascii="宋体" w:hAnsi="宋体" w:cs="宋体"/>
          <w:color w:val="000000" w:themeColor="text1"/>
          <w:sz w:val="24"/>
          <w14:textFill>
            <w14:solidFill>
              <w14:schemeClr w14:val="tx1"/>
            </w14:solidFill>
          </w14:textFill>
        </w:rPr>
      </w:pPr>
    </w:p>
    <w:p w14:paraId="65420F48">
      <w:pPr>
        <w:spacing w:after="60"/>
        <w:rPr>
          <w:rFonts w:hint="eastAsia" w:ascii="宋体" w:hAnsi="宋体" w:cs="宋体"/>
          <w:color w:val="000000" w:themeColor="text1"/>
          <w:sz w:val="24"/>
          <w14:textFill>
            <w14:solidFill>
              <w14:schemeClr w14:val="tx1"/>
            </w14:solidFill>
          </w14:textFill>
        </w:rPr>
      </w:pPr>
    </w:p>
    <w:p w14:paraId="32511A5E">
      <w:pPr>
        <w:spacing w:after="60"/>
        <w:rPr>
          <w:rFonts w:hint="eastAsia" w:ascii="宋体" w:hAnsi="宋体"/>
          <w:b/>
          <w:color w:val="000000" w:themeColor="text1"/>
          <w:sz w:val="24"/>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说明：根据《深圳市财政局关于采购文件增加风险告知有关事项的通知 深财购【2022】22 号》文件规定，风险知悉确认书用于对供应商违法行为的警示，不作为供应商资格性审查及符合性审查条件。</w:t>
      </w:r>
    </w:p>
    <w:p w14:paraId="6C6D607D">
      <w:pPr>
        <w:spacing w:after="6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14:paraId="3B1B7B2B">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法定代表人证明书</w:t>
      </w:r>
    </w:p>
    <w:p w14:paraId="2850FFDB">
      <w:pPr>
        <w:spacing w:after="60"/>
        <w:rPr>
          <w:rFonts w:hint="eastAsia" w:ascii="宋体" w:hAnsi="宋体"/>
          <w:color w:val="000000" w:themeColor="text1"/>
          <w14:textFill>
            <w14:solidFill>
              <w14:schemeClr w14:val="tx1"/>
            </w14:solidFill>
          </w14:textFill>
        </w:rPr>
      </w:pPr>
    </w:p>
    <w:p w14:paraId="4674493A">
      <w:pPr>
        <w:spacing w:after="60"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同志，现任我单位职务，为法定代表人，特此证明。</w:t>
      </w:r>
      <w:r>
        <w:rPr>
          <w:rFonts w:hint="eastAsia" w:ascii="宋体" w:hAnsi="宋体"/>
          <w:color w:val="000000" w:themeColor="text1"/>
          <w:szCs w:val="21"/>
          <w14:textFill>
            <w14:solidFill>
              <w14:schemeClr w14:val="tx1"/>
            </w14:solidFill>
          </w14:textFill>
        </w:rPr>
        <w:t>有效日期与本公司投标文件中标注的投标有效期相同。</w:t>
      </w:r>
    </w:p>
    <w:p w14:paraId="762A19A6">
      <w:pPr>
        <w:spacing w:after="60"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签发日期：</w:t>
      </w:r>
      <w:r>
        <w:rPr>
          <w:rFonts w:hint="eastAsia" w:ascii="宋体" w:hAnsi="宋体"/>
          <w:color w:val="000000" w:themeColor="text1"/>
          <w:szCs w:val="21"/>
          <w14:textFill>
            <w14:solidFill>
              <w14:schemeClr w14:val="tx1"/>
            </w14:solidFill>
          </w14:textFill>
        </w:rPr>
        <w:t>年月日</w:t>
      </w:r>
    </w:p>
    <w:p w14:paraId="4826DE81">
      <w:pPr>
        <w:spacing w:after="6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p w14:paraId="1632D59B">
      <w:pPr>
        <w:spacing w:after="60"/>
        <w:rPr>
          <w:rFonts w:hint="eastAsia" w:ascii="宋体" w:hAnsi="宋体"/>
          <w:color w:val="000000" w:themeColor="text1"/>
          <w14:textFill>
            <w14:solidFill>
              <w14:schemeClr w14:val="tx1"/>
            </w14:solidFill>
          </w14:textFill>
        </w:rPr>
      </w:pPr>
    </w:p>
    <w:p w14:paraId="37394D83">
      <w:pPr>
        <w:spacing w:after="60"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说明：1、法定代表人为企业事业单位、国家机关、社会团体的主要行政负责人。</w:t>
      </w:r>
    </w:p>
    <w:p w14:paraId="2C5F68E4">
      <w:pPr>
        <w:spacing w:after="60" w:line="360" w:lineRule="auto"/>
        <w:ind w:firstLine="630" w:firstLineChars="3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2、内容必须填写真实、清楚，涂改无效，不得转让、买卖。</w:t>
      </w:r>
    </w:p>
    <w:p w14:paraId="6347C58C">
      <w:pPr>
        <w:spacing w:after="60" w:line="360" w:lineRule="auto"/>
        <w:ind w:firstLine="632" w:firstLineChars="3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、须提供法定代表人身份证复印件（正反两面）；非中国国籍管辖范围的，可提供公安部门认可的身份证明材料扫描件。</w:t>
      </w:r>
    </w:p>
    <w:p w14:paraId="53727A14">
      <w:pPr>
        <w:snapToGrid w:val="0"/>
        <w:spacing w:after="60" w:line="360" w:lineRule="auto"/>
        <w:rPr>
          <w:rFonts w:hint="eastAsia" w:ascii="宋体" w:hAnsi="宋体" w:cs="Arial"/>
          <w:bCs/>
          <w:color w:val="000000" w:themeColor="text1"/>
          <w:szCs w:val="21"/>
          <w14:textFill>
            <w14:solidFill>
              <w14:schemeClr w14:val="tx1"/>
            </w14:solidFill>
          </w14:textFill>
        </w:rPr>
      </w:pPr>
    </w:p>
    <w:p w14:paraId="69C23285">
      <w:pPr>
        <w:snapToGrid w:val="0"/>
        <w:spacing w:after="60" w:line="360" w:lineRule="auto"/>
        <w:rPr>
          <w:rFonts w:hint="eastAsia" w:ascii="宋体" w:hAnsi="宋体"/>
          <w:color w:val="000000" w:themeColor="text1"/>
          <w:szCs w:val="21"/>
          <w14:textFill>
            <w14:solidFill>
              <w14:schemeClr w14:val="tx1"/>
            </w14:solidFill>
          </w14:textFill>
        </w:rPr>
      </w:pPr>
    </w:p>
    <w:p w14:paraId="5A190FAD">
      <w:pPr>
        <w:spacing w:after="60" w:line="360" w:lineRule="auto"/>
        <w:ind w:firstLine="3150" w:firstLineChars="15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r>
        <w:rPr>
          <w:rFonts w:hint="eastAsia" w:ascii="宋体" w:hAnsi="宋体"/>
          <w:b/>
          <w:color w:val="000000" w:themeColor="text1"/>
          <w:szCs w:val="21"/>
          <w14:textFill>
            <w14:solidFill>
              <w14:schemeClr w14:val="tx1"/>
            </w14:solidFill>
          </w14:textFill>
        </w:rPr>
        <w:t>签名</w:t>
      </w:r>
      <w:r>
        <w:rPr>
          <w:rFonts w:hint="eastAsia" w:ascii="宋体" w:hAnsi="宋体"/>
          <w:color w:val="000000" w:themeColor="text1"/>
          <w:szCs w:val="21"/>
          <w14:textFill>
            <w14:solidFill>
              <w14:schemeClr w14:val="tx1"/>
            </w14:solidFill>
          </w14:textFill>
        </w:rPr>
        <w:t>）：</w:t>
      </w:r>
    </w:p>
    <w:p w14:paraId="0E7B4741">
      <w:pPr>
        <w:spacing w:after="60" w:line="360" w:lineRule="auto"/>
        <w:ind w:firstLine="3150" w:firstLineChars="15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投标单位（</w:t>
      </w:r>
      <w:r>
        <w:rPr>
          <w:rFonts w:hint="eastAsia" w:ascii="宋体" w:hAnsi="宋体"/>
          <w:b/>
          <w:color w:val="000000" w:themeColor="text1"/>
          <w:szCs w:val="21"/>
          <w14:textFill>
            <w14:solidFill>
              <w14:schemeClr w14:val="tx1"/>
            </w14:solidFill>
          </w14:textFill>
        </w:rPr>
        <w:t>盖公章</w:t>
      </w:r>
      <w:r>
        <w:rPr>
          <w:rFonts w:hint="eastAsia" w:ascii="宋体" w:hAnsi="宋体"/>
          <w:color w:val="000000" w:themeColor="text1"/>
          <w:szCs w:val="21"/>
          <w14:textFill>
            <w14:solidFill>
              <w14:schemeClr w14:val="tx1"/>
            </w14:solidFill>
          </w14:textFill>
        </w:rPr>
        <w:t>）：</w:t>
      </w:r>
    </w:p>
    <w:p w14:paraId="2A692F34">
      <w:pPr>
        <w:spacing w:after="60" w:line="360" w:lineRule="auto"/>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2044A646">
      <w:pPr>
        <w:spacing w:after="60"/>
        <w:rPr>
          <w:rFonts w:hint="eastAsia" w:ascii="宋体" w:hAnsi="宋体"/>
          <w:color w:val="000000" w:themeColor="text1"/>
          <w14:textFill>
            <w14:solidFill>
              <w14:schemeClr w14:val="tx1"/>
            </w14:solidFill>
          </w14:textFill>
        </w:rPr>
      </w:pPr>
    </w:p>
    <w:p w14:paraId="04AB90BE">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44DC7D2C">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法定代表人授权书（投标人代表为法定代表人的无须提供本格式）</w:t>
      </w:r>
    </w:p>
    <w:p w14:paraId="59BAEB02">
      <w:pPr>
        <w:spacing w:after="60" w:line="360" w:lineRule="auto"/>
        <w:rPr>
          <w:rFonts w:hint="eastAsia" w:ascii="宋体" w:hAnsi="宋体" w:cs="Arial"/>
          <w:bCs/>
          <w:color w:val="000000" w:themeColor="text1"/>
          <w:szCs w:val="21"/>
          <w14:textFill>
            <w14:solidFill>
              <w14:schemeClr w14:val="tx1"/>
            </w14:solidFill>
          </w14:textFill>
        </w:rPr>
      </w:pPr>
    </w:p>
    <w:p w14:paraId="72D68663">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致：深圳市慧智工程顾问有限公司</w:t>
      </w:r>
    </w:p>
    <w:p w14:paraId="2AEE7BED">
      <w:pPr>
        <w:spacing w:afterLines="0" w:line="360" w:lineRule="auto"/>
        <w:rPr>
          <w:rFonts w:hint="eastAsia" w:ascii="宋体" w:hAnsi="宋体" w:cs="Arial"/>
          <w:bCs/>
          <w:color w:val="000000" w:themeColor="text1"/>
          <w:szCs w:val="21"/>
          <w14:textFill>
            <w14:solidFill>
              <w14:schemeClr w14:val="tx1"/>
            </w14:solidFill>
          </w14:textFill>
        </w:rPr>
      </w:pPr>
    </w:p>
    <w:p w14:paraId="1A150599">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本授权委托书声明：我</w:t>
      </w:r>
      <w:r>
        <w:rPr>
          <w:rFonts w:ascii="宋体" w:hAnsi="宋体"/>
          <w:color w:val="000000" w:themeColor="text1"/>
          <w:szCs w:val="21"/>
          <w:u w:val="single"/>
          <w14:textFill>
            <w14:solidFill>
              <w14:schemeClr w14:val="tx1"/>
            </w14:solidFill>
          </w14:textFill>
        </w:rPr>
        <w:t xml:space="preserve">        （姓名）</w:t>
      </w:r>
      <w:r>
        <w:rPr>
          <w:rFonts w:ascii="宋体" w:hAnsi="宋体"/>
          <w:color w:val="000000" w:themeColor="text1"/>
          <w:szCs w:val="21"/>
          <w14:textFill>
            <w14:solidFill>
              <w14:schemeClr w14:val="tx1"/>
            </w14:solidFill>
          </w14:textFill>
        </w:rPr>
        <w:t>系</w:t>
      </w:r>
      <w:r>
        <w:rPr>
          <w:rFonts w:ascii="宋体" w:hAnsi="宋体"/>
          <w:color w:val="000000" w:themeColor="text1"/>
          <w:szCs w:val="21"/>
          <w:u w:val="single"/>
          <w14:textFill>
            <w14:solidFill>
              <w14:schemeClr w14:val="tx1"/>
            </w14:solidFill>
          </w14:textFill>
        </w:rPr>
        <w:t xml:space="preserve">        （投标</w:t>
      </w:r>
      <w:r>
        <w:rPr>
          <w:rFonts w:hint="eastAsia" w:ascii="宋体" w:hAnsi="宋体"/>
          <w:color w:val="000000" w:themeColor="text1"/>
          <w:szCs w:val="21"/>
          <w:u w:val="single"/>
          <w14:textFill>
            <w14:solidFill>
              <w14:schemeClr w14:val="tx1"/>
            </w14:solidFill>
          </w14:textFill>
        </w:rPr>
        <w:t>供应商</w:t>
      </w:r>
      <w:r>
        <w:rPr>
          <w:rFonts w:ascii="宋体" w:hAnsi="宋体"/>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的法定代表人，现授权委托</w:t>
      </w:r>
      <w:r>
        <w:rPr>
          <w:rFonts w:ascii="宋体" w:hAnsi="宋体"/>
          <w:color w:val="000000" w:themeColor="text1"/>
          <w:szCs w:val="21"/>
          <w:u w:val="single"/>
          <w14:textFill>
            <w14:solidFill>
              <w14:schemeClr w14:val="tx1"/>
            </w14:solidFill>
          </w14:textFill>
        </w:rPr>
        <w:t xml:space="preserve">               （单位名称）</w:t>
      </w:r>
      <w:r>
        <w:rPr>
          <w:rFonts w:ascii="宋体" w:hAnsi="宋体"/>
          <w:color w:val="000000" w:themeColor="text1"/>
          <w:szCs w:val="21"/>
          <w14:textFill>
            <w14:solidFill>
              <w14:schemeClr w14:val="tx1"/>
            </w14:solidFill>
          </w14:textFill>
        </w:rPr>
        <w:t>的</w:t>
      </w:r>
      <w:r>
        <w:rPr>
          <w:rFonts w:ascii="宋体" w:hAnsi="宋体"/>
          <w:color w:val="000000" w:themeColor="text1"/>
          <w:szCs w:val="21"/>
          <w:u w:val="single"/>
          <w14:textFill>
            <w14:solidFill>
              <w14:schemeClr w14:val="tx1"/>
            </w14:solidFill>
          </w14:textFill>
        </w:rPr>
        <w:t xml:space="preserve">            （姓名）</w:t>
      </w:r>
      <w:r>
        <w:rPr>
          <w:rFonts w:ascii="宋体" w:hAnsi="宋体"/>
          <w:color w:val="000000" w:themeColor="text1"/>
          <w:szCs w:val="21"/>
          <w14:textFill>
            <w14:solidFill>
              <w14:schemeClr w14:val="tx1"/>
            </w14:solidFill>
          </w14:textFill>
        </w:rPr>
        <w:t>为我公司签署本项目已递交的投标文件的法定代表人的授权委托代理人，代理人全权代表我所签署的本项目已递交的投标文件内容我均承认。</w:t>
      </w:r>
    </w:p>
    <w:p w14:paraId="33847189">
      <w:pPr>
        <w:pStyle w:val="6"/>
        <w:spacing w:afterLines="0"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代理人无转委托权，特此委托。</w:t>
      </w:r>
    </w:p>
    <w:p w14:paraId="7B045C06">
      <w:pPr>
        <w:pStyle w:val="6"/>
        <w:spacing w:afterLines="0" w:line="360" w:lineRule="auto"/>
        <w:ind w:firstLine="367" w:firstLineChars="175"/>
        <w:rPr>
          <w:rFonts w:hint="eastAsia" w:ascii="宋体" w:hAnsi="宋体"/>
          <w:color w:val="000000" w:themeColor="text1"/>
          <w:szCs w:val="21"/>
          <w14:textFill>
            <w14:solidFill>
              <w14:schemeClr w14:val="tx1"/>
            </w14:solidFill>
          </w14:textFill>
        </w:rPr>
      </w:pPr>
    </w:p>
    <w:p w14:paraId="714B486A">
      <w:pPr>
        <w:spacing w:afterLines="0" w:line="360" w:lineRule="auto"/>
        <w:ind w:left="540" w:leftChars="257"/>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代理人：性别：年龄：</w:t>
      </w:r>
      <w:r>
        <w:rPr>
          <w:rFonts w:ascii="宋体" w:hAnsi="宋体"/>
          <w:color w:val="000000" w:themeColor="text1"/>
          <w:szCs w:val="21"/>
          <w:u w:val="single"/>
          <w14:textFill>
            <w14:solidFill>
              <w14:schemeClr w14:val="tx1"/>
            </w14:solidFill>
          </w14:textFill>
        </w:rPr>
        <w:t>；</w:t>
      </w:r>
    </w:p>
    <w:p w14:paraId="7025FC9F">
      <w:pPr>
        <w:spacing w:afterLines="0" w:line="360" w:lineRule="auto"/>
        <w:ind w:left="540" w:leftChars="257"/>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联系电话：  手机：</w:t>
      </w:r>
      <w:r>
        <w:rPr>
          <w:rFonts w:ascii="宋体" w:hAnsi="宋体"/>
          <w:color w:val="000000" w:themeColor="text1"/>
          <w:szCs w:val="21"/>
          <w:u w:val="single"/>
          <w14:textFill>
            <w14:solidFill>
              <w14:schemeClr w14:val="tx1"/>
            </w14:solidFill>
          </w14:textFill>
        </w:rPr>
        <w:t>；</w:t>
      </w:r>
    </w:p>
    <w:p w14:paraId="7C59522D">
      <w:pPr>
        <w:spacing w:afterLines="0" w:line="360" w:lineRule="auto"/>
        <w:ind w:left="540" w:leftChars="257"/>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身份证号码：职务：</w:t>
      </w:r>
      <w:r>
        <w:rPr>
          <w:rFonts w:ascii="宋体" w:hAnsi="宋体"/>
          <w:color w:val="000000" w:themeColor="text1"/>
          <w:szCs w:val="21"/>
          <w:u w:val="single"/>
          <w14:textFill>
            <w14:solidFill>
              <w14:schemeClr w14:val="tx1"/>
            </w14:solidFill>
          </w14:textFill>
        </w:rPr>
        <w:t>；</w:t>
      </w:r>
    </w:p>
    <w:p w14:paraId="09B27047">
      <w:pPr>
        <w:spacing w:afterLines="0" w:line="360" w:lineRule="auto"/>
        <w:ind w:left="540" w:leftChars="257"/>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w:t>
      </w:r>
    </w:p>
    <w:p w14:paraId="1D8A04E0">
      <w:pPr>
        <w:spacing w:afterLines="0" w:line="360" w:lineRule="auto"/>
        <w:ind w:left="540" w:leftChars="257"/>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法定代表人：</w:t>
      </w:r>
      <w:r>
        <w:rPr>
          <w:rFonts w:hint="eastAsia" w:ascii="宋体" w:hAnsi="宋体"/>
          <w:color w:val="000000" w:themeColor="text1"/>
          <w:szCs w:val="21"/>
          <w:u w:val="single"/>
          <w14:textFill>
            <w14:solidFill>
              <w14:schemeClr w14:val="tx1"/>
            </w14:solidFill>
          </w14:textFill>
        </w:rPr>
        <w:t>（签字）</w:t>
      </w:r>
    </w:p>
    <w:p w14:paraId="52E9B7E0">
      <w:pPr>
        <w:spacing w:afterLines="0" w:line="360" w:lineRule="auto"/>
        <w:ind w:left="540" w:leftChars="257"/>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授权代理人</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（签字）</w:t>
      </w:r>
    </w:p>
    <w:p w14:paraId="6B3FF68C">
      <w:pPr>
        <w:spacing w:afterLines="0" w:line="360" w:lineRule="auto"/>
        <w:ind w:left="540" w:leftChars="257"/>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授权委托日期：年月 日</w:t>
      </w:r>
    </w:p>
    <w:p w14:paraId="0FE24176">
      <w:pPr>
        <w:spacing w:afterLines="0" w:line="360" w:lineRule="auto"/>
        <w:rPr>
          <w:rFonts w:hint="eastAsia" w:ascii="宋体" w:hAnsi="宋体" w:cs="Arial"/>
          <w:bCs/>
          <w:color w:val="000000" w:themeColor="text1"/>
          <w:szCs w:val="21"/>
          <w14:textFill>
            <w14:solidFill>
              <w14:schemeClr w14:val="tx1"/>
            </w14:solidFill>
          </w14:textFill>
        </w:rPr>
      </w:pPr>
    </w:p>
    <w:p w14:paraId="75F61538">
      <w:pPr>
        <w:spacing w:afterLines="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说明：</w:t>
      </w:r>
    </w:p>
    <w:p w14:paraId="7C98FEE0">
      <w:pPr>
        <w:spacing w:afterLines="0" w:line="360" w:lineRule="auto"/>
        <w:ind w:firstLine="420" w:firstLineChars="200"/>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1.本授权委托书要求投标人提供有被授权人签字、法定代表人的签字（或盖私章）和加盖公章后的原件方为有效；</w:t>
      </w:r>
    </w:p>
    <w:p w14:paraId="1476C932">
      <w:pPr>
        <w:spacing w:afterLines="0" w:line="360" w:lineRule="auto"/>
        <w:ind w:firstLine="420" w:firstLineChars="200"/>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2.提供代理人身份证复印件（附后）。</w:t>
      </w:r>
    </w:p>
    <w:p w14:paraId="2C113358">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AEB88F1">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投标人基本情况</w:t>
      </w:r>
    </w:p>
    <w:p w14:paraId="28F15474">
      <w:pPr>
        <w:pStyle w:val="24"/>
        <w:numPr>
          <w:ilvl w:val="0"/>
          <w:numId w:val="14"/>
        </w:numPr>
        <w:snapToGrid w:val="0"/>
        <w:spacing w:afterLines="0" w:line="312" w:lineRule="auto"/>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投标人基本情况一览表</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003"/>
        <w:gridCol w:w="1411"/>
      </w:tblGrid>
      <w:tr w14:paraId="76848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4D41A3E2">
            <w:pPr>
              <w:spacing w:afterLines="0" w:line="4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477" w:type="dxa"/>
          </w:tcPr>
          <w:p w14:paraId="6A38E25A">
            <w:pPr>
              <w:spacing w:afterLines="0" w:line="4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4003" w:type="dxa"/>
            <w:vAlign w:val="center"/>
          </w:tcPr>
          <w:p w14:paraId="23507AF4">
            <w:pPr>
              <w:spacing w:afterLines="0" w:line="4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内容及说明</w:t>
            </w:r>
          </w:p>
        </w:tc>
        <w:tc>
          <w:tcPr>
            <w:tcW w:w="1411" w:type="dxa"/>
            <w:vAlign w:val="center"/>
          </w:tcPr>
          <w:p w14:paraId="61899777">
            <w:pPr>
              <w:spacing w:afterLines="0" w:line="4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14:paraId="5FD514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56050276">
            <w:pPr>
              <w:spacing w:afterLines="0" w:line="4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w:t>
            </w:r>
          </w:p>
        </w:tc>
        <w:tc>
          <w:tcPr>
            <w:tcW w:w="6480" w:type="dxa"/>
            <w:gridSpan w:val="2"/>
          </w:tcPr>
          <w:p w14:paraId="193C3DEA">
            <w:pPr>
              <w:spacing w:afterLines="0" w:line="400" w:lineRule="exac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营业执照</w:t>
            </w:r>
          </w:p>
        </w:tc>
        <w:tc>
          <w:tcPr>
            <w:tcW w:w="1411" w:type="dxa"/>
            <w:vAlign w:val="center"/>
          </w:tcPr>
          <w:p w14:paraId="371FF3B4">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提供复印件</w:t>
            </w:r>
          </w:p>
        </w:tc>
      </w:tr>
      <w:tr w14:paraId="181205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0C92E429">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477" w:type="dxa"/>
            <w:vAlign w:val="center"/>
          </w:tcPr>
          <w:p w14:paraId="7A47BFD9">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注册年度及注册编号</w:t>
            </w:r>
          </w:p>
        </w:tc>
        <w:tc>
          <w:tcPr>
            <w:tcW w:w="4003" w:type="dxa"/>
            <w:vAlign w:val="center"/>
          </w:tcPr>
          <w:p w14:paraId="2D97E88F">
            <w:pPr>
              <w:spacing w:afterLines="0" w:line="400" w:lineRule="exact"/>
              <w:rPr>
                <w:rFonts w:hint="eastAsia" w:ascii="宋体" w:hAnsi="宋体"/>
                <w:color w:val="000000" w:themeColor="text1"/>
                <w:szCs w:val="21"/>
                <w14:textFill>
                  <w14:solidFill>
                    <w14:schemeClr w14:val="tx1"/>
                  </w14:solidFill>
                </w14:textFill>
              </w:rPr>
            </w:pPr>
          </w:p>
        </w:tc>
        <w:tc>
          <w:tcPr>
            <w:tcW w:w="1411" w:type="dxa"/>
            <w:vAlign w:val="center"/>
          </w:tcPr>
          <w:p w14:paraId="37C19230">
            <w:pPr>
              <w:spacing w:afterLines="0" w:line="400" w:lineRule="exact"/>
              <w:jc w:val="center"/>
              <w:rPr>
                <w:rFonts w:hint="eastAsia" w:ascii="宋体" w:hAnsi="宋体"/>
                <w:color w:val="000000" w:themeColor="text1"/>
                <w:szCs w:val="21"/>
                <w14:textFill>
                  <w14:solidFill>
                    <w14:schemeClr w14:val="tx1"/>
                  </w14:solidFill>
                </w14:textFill>
              </w:rPr>
            </w:pPr>
          </w:p>
        </w:tc>
      </w:tr>
      <w:tr w14:paraId="71183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0679D0FB">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477" w:type="dxa"/>
            <w:vAlign w:val="center"/>
          </w:tcPr>
          <w:p w14:paraId="0A52E10A">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注册资金（万元）</w:t>
            </w:r>
          </w:p>
        </w:tc>
        <w:tc>
          <w:tcPr>
            <w:tcW w:w="4003" w:type="dxa"/>
            <w:vAlign w:val="center"/>
          </w:tcPr>
          <w:p w14:paraId="288FE46C">
            <w:pPr>
              <w:spacing w:afterLines="0" w:line="400" w:lineRule="exact"/>
              <w:rPr>
                <w:rFonts w:hint="eastAsia" w:ascii="宋体" w:hAnsi="宋体"/>
                <w:color w:val="000000" w:themeColor="text1"/>
                <w:szCs w:val="21"/>
                <w14:textFill>
                  <w14:solidFill>
                    <w14:schemeClr w14:val="tx1"/>
                  </w14:solidFill>
                </w14:textFill>
              </w:rPr>
            </w:pPr>
          </w:p>
        </w:tc>
        <w:tc>
          <w:tcPr>
            <w:tcW w:w="1411" w:type="dxa"/>
            <w:vAlign w:val="center"/>
          </w:tcPr>
          <w:p w14:paraId="333AC805">
            <w:pPr>
              <w:spacing w:afterLines="0" w:line="400" w:lineRule="exact"/>
              <w:jc w:val="center"/>
              <w:rPr>
                <w:rFonts w:hint="eastAsia" w:ascii="宋体" w:hAnsi="宋体"/>
                <w:color w:val="000000" w:themeColor="text1"/>
                <w:szCs w:val="21"/>
                <w14:textFill>
                  <w14:solidFill>
                    <w14:schemeClr w14:val="tx1"/>
                  </w14:solidFill>
                </w14:textFill>
              </w:rPr>
            </w:pPr>
          </w:p>
        </w:tc>
      </w:tr>
      <w:tr w14:paraId="654A23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4925EC84">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477" w:type="dxa"/>
            <w:vAlign w:val="center"/>
          </w:tcPr>
          <w:p w14:paraId="4EEF5BFE">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经营场所</w:t>
            </w:r>
          </w:p>
        </w:tc>
        <w:tc>
          <w:tcPr>
            <w:tcW w:w="4003" w:type="dxa"/>
            <w:vAlign w:val="center"/>
          </w:tcPr>
          <w:p w14:paraId="4FA90985">
            <w:pPr>
              <w:spacing w:afterLines="0" w:line="400" w:lineRule="exact"/>
              <w:rPr>
                <w:rFonts w:hint="eastAsia" w:ascii="宋体" w:hAnsi="宋体"/>
                <w:color w:val="000000" w:themeColor="text1"/>
                <w:szCs w:val="21"/>
                <w14:textFill>
                  <w14:solidFill>
                    <w14:schemeClr w14:val="tx1"/>
                  </w14:solidFill>
                </w14:textFill>
              </w:rPr>
            </w:pPr>
          </w:p>
        </w:tc>
        <w:tc>
          <w:tcPr>
            <w:tcW w:w="1411" w:type="dxa"/>
            <w:vAlign w:val="center"/>
          </w:tcPr>
          <w:p w14:paraId="22DF22E3">
            <w:pPr>
              <w:spacing w:afterLines="0" w:line="400" w:lineRule="exact"/>
              <w:jc w:val="center"/>
              <w:rPr>
                <w:rFonts w:hint="eastAsia" w:ascii="宋体" w:hAnsi="宋体"/>
                <w:color w:val="000000" w:themeColor="text1"/>
                <w:szCs w:val="21"/>
                <w14:textFill>
                  <w14:solidFill>
                    <w14:schemeClr w14:val="tx1"/>
                  </w14:solidFill>
                </w14:textFill>
              </w:rPr>
            </w:pPr>
          </w:p>
        </w:tc>
      </w:tr>
      <w:tr w14:paraId="71957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68485D92">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477" w:type="dxa"/>
            <w:vAlign w:val="center"/>
          </w:tcPr>
          <w:p w14:paraId="3B3A982F">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有效期</w:t>
            </w:r>
          </w:p>
        </w:tc>
        <w:tc>
          <w:tcPr>
            <w:tcW w:w="4003" w:type="dxa"/>
            <w:vAlign w:val="center"/>
          </w:tcPr>
          <w:p w14:paraId="51ED1D5D">
            <w:pPr>
              <w:spacing w:afterLines="0" w:line="400" w:lineRule="exact"/>
              <w:rPr>
                <w:rFonts w:hint="eastAsia" w:ascii="宋体" w:hAnsi="宋体"/>
                <w:color w:val="000000" w:themeColor="text1"/>
                <w:szCs w:val="21"/>
                <w14:textFill>
                  <w14:solidFill>
                    <w14:schemeClr w14:val="tx1"/>
                  </w14:solidFill>
                </w14:textFill>
              </w:rPr>
            </w:pPr>
          </w:p>
        </w:tc>
        <w:tc>
          <w:tcPr>
            <w:tcW w:w="1411" w:type="dxa"/>
            <w:vAlign w:val="center"/>
          </w:tcPr>
          <w:p w14:paraId="108C4DE8">
            <w:pPr>
              <w:spacing w:afterLines="0" w:line="400" w:lineRule="exact"/>
              <w:jc w:val="center"/>
              <w:rPr>
                <w:rFonts w:hint="eastAsia" w:ascii="宋体" w:hAnsi="宋体"/>
                <w:color w:val="000000" w:themeColor="text1"/>
                <w:szCs w:val="21"/>
                <w14:textFill>
                  <w14:solidFill>
                    <w14:schemeClr w14:val="tx1"/>
                  </w14:solidFill>
                </w14:textFill>
              </w:rPr>
            </w:pPr>
          </w:p>
        </w:tc>
      </w:tr>
      <w:tr w14:paraId="10144F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0F0D7D64">
            <w:pPr>
              <w:spacing w:afterLines="0" w:line="4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w:t>
            </w:r>
          </w:p>
        </w:tc>
        <w:tc>
          <w:tcPr>
            <w:tcW w:w="6480" w:type="dxa"/>
            <w:gridSpan w:val="2"/>
            <w:vAlign w:val="center"/>
          </w:tcPr>
          <w:p w14:paraId="13901C1B">
            <w:pPr>
              <w:spacing w:afterLines="0" w:line="400" w:lineRule="exac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（供应商认为需补充的其他说明）</w:t>
            </w:r>
          </w:p>
        </w:tc>
        <w:tc>
          <w:tcPr>
            <w:tcW w:w="1411" w:type="dxa"/>
            <w:vAlign w:val="center"/>
          </w:tcPr>
          <w:p w14:paraId="1A92E2D2">
            <w:pPr>
              <w:spacing w:afterLines="0" w:line="400" w:lineRule="exact"/>
              <w:jc w:val="center"/>
              <w:rPr>
                <w:rFonts w:hint="eastAsia" w:ascii="宋体" w:hAnsi="宋体"/>
                <w:color w:val="000000" w:themeColor="text1"/>
                <w:szCs w:val="21"/>
                <w14:textFill>
                  <w14:solidFill>
                    <w14:schemeClr w14:val="tx1"/>
                  </w14:solidFill>
                </w14:textFill>
              </w:rPr>
            </w:pPr>
          </w:p>
        </w:tc>
      </w:tr>
      <w:tr w14:paraId="2661EA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7646708B">
            <w:pPr>
              <w:spacing w:afterLines="0"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477" w:type="dxa"/>
            <w:vAlign w:val="center"/>
          </w:tcPr>
          <w:p w14:paraId="0758751E">
            <w:pPr>
              <w:spacing w:afterLines="0" w:line="400" w:lineRule="exact"/>
              <w:jc w:val="center"/>
              <w:rPr>
                <w:rFonts w:hint="eastAsia" w:ascii="宋体" w:hAnsi="宋体"/>
                <w:color w:val="000000" w:themeColor="text1"/>
                <w:szCs w:val="21"/>
                <w14:textFill>
                  <w14:solidFill>
                    <w14:schemeClr w14:val="tx1"/>
                  </w14:solidFill>
                </w14:textFill>
              </w:rPr>
            </w:pPr>
          </w:p>
        </w:tc>
        <w:tc>
          <w:tcPr>
            <w:tcW w:w="4003" w:type="dxa"/>
            <w:vAlign w:val="center"/>
          </w:tcPr>
          <w:p w14:paraId="6791B3AC">
            <w:pPr>
              <w:spacing w:afterLines="0" w:line="400" w:lineRule="exact"/>
              <w:jc w:val="center"/>
              <w:rPr>
                <w:rFonts w:hint="eastAsia" w:ascii="宋体" w:hAnsi="宋体"/>
                <w:color w:val="000000" w:themeColor="text1"/>
                <w:szCs w:val="21"/>
                <w14:textFill>
                  <w14:solidFill>
                    <w14:schemeClr w14:val="tx1"/>
                  </w14:solidFill>
                </w14:textFill>
              </w:rPr>
            </w:pPr>
          </w:p>
        </w:tc>
        <w:tc>
          <w:tcPr>
            <w:tcW w:w="1411" w:type="dxa"/>
            <w:vAlign w:val="center"/>
          </w:tcPr>
          <w:p w14:paraId="5BA6BB07">
            <w:pPr>
              <w:spacing w:afterLines="0" w:line="400" w:lineRule="exact"/>
              <w:jc w:val="center"/>
              <w:rPr>
                <w:rFonts w:hint="eastAsia" w:ascii="宋体" w:hAnsi="宋体"/>
                <w:color w:val="000000" w:themeColor="text1"/>
                <w:szCs w:val="21"/>
                <w14:textFill>
                  <w14:solidFill>
                    <w14:schemeClr w14:val="tx1"/>
                  </w14:solidFill>
                </w14:textFill>
              </w:rPr>
            </w:pPr>
          </w:p>
        </w:tc>
      </w:tr>
    </w:tbl>
    <w:p w14:paraId="1579FD4A">
      <w:pPr>
        <w:spacing w:after="60"/>
        <w:rPr>
          <w:rFonts w:hint="eastAsia" w:ascii="宋体" w:hAnsi="宋体"/>
          <w:color w:val="000000" w:themeColor="text1"/>
          <w14:textFill>
            <w14:solidFill>
              <w14:schemeClr w14:val="tx1"/>
            </w14:solidFill>
          </w14:textFill>
        </w:rPr>
      </w:pPr>
    </w:p>
    <w:p w14:paraId="03F6BD8E">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说明：在按要求填写好此表格后，各供应商可以用其它的方式，就公司整体情况作出详细的介绍（可以提供相应文字、照片等）。</w:t>
      </w:r>
    </w:p>
    <w:p w14:paraId="2BD29082">
      <w:pPr>
        <w:spacing w:after="60"/>
        <w:rPr>
          <w:rFonts w:hint="eastAsia" w:ascii="宋体" w:hAnsi="宋体"/>
          <w:color w:val="000000" w:themeColor="text1"/>
          <w14:textFill>
            <w14:solidFill>
              <w14:schemeClr w14:val="tx1"/>
            </w14:solidFill>
          </w14:textFill>
        </w:rPr>
      </w:pPr>
    </w:p>
    <w:p w14:paraId="47FE8D3D">
      <w:pPr>
        <w:spacing w:after="60"/>
        <w:rPr>
          <w:rFonts w:hint="eastAsia" w:ascii="宋体" w:hAnsi="宋体"/>
          <w:color w:val="000000" w:themeColor="text1"/>
          <w14:textFill>
            <w14:solidFill>
              <w14:schemeClr w14:val="tx1"/>
            </w14:solidFill>
          </w14:textFill>
        </w:rPr>
      </w:pPr>
    </w:p>
    <w:p w14:paraId="0B7D37FA">
      <w:pPr>
        <w:spacing w:after="60"/>
        <w:rPr>
          <w:rFonts w:hint="eastAsia" w:ascii="宋体" w:hAnsi="宋体"/>
          <w:color w:val="000000" w:themeColor="text1"/>
          <w14:textFill>
            <w14:solidFill>
              <w14:schemeClr w14:val="tx1"/>
            </w14:solidFill>
          </w14:textFill>
        </w:rPr>
      </w:pPr>
    </w:p>
    <w:p w14:paraId="5DD92AFD">
      <w:pPr>
        <w:spacing w:after="60"/>
        <w:rPr>
          <w:rFonts w:hint="eastAsia" w:ascii="宋体" w:hAnsi="宋体"/>
          <w:color w:val="000000" w:themeColor="text1"/>
          <w14:textFill>
            <w14:solidFill>
              <w14:schemeClr w14:val="tx1"/>
            </w14:solidFill>
          </w14:textFill>
        </w:rPr>
      </w:pPr>
    </w:p>
    <w:p w14:paraId="6F531C73">
      <w:pPr>
        <w:pStyle w:val="24"/>
        <w:numPr>
          <w:ilvl w:val="0"/>
          <w:numId w:val="14"/>
        </w:numPr>
        <w:snapToGrid w:val="0"/>
        <w:spacing w:afterLines="0" w:line="312" w:lineRule="auto"/>
        <w:rPr>
          <w:rFonts w:hint="eastAsia" w:hAnsi="宋体" w:cs="宋体"/>
          <w:b/>
          <w:color w:val="000000" w:themeColor="text1"/>
          <w:sz w:val="24"/>
          <w:szCs w:val="24"/>
          <w14:textFill>
            <w14:solidFill>
              <w14:schemeClr w14:val="tx1"/>
            </w14:solidFill>
          </w14:textFill>
        </w:rPr>
      </w:pPr>
      <w:r>
        <w:rPr>
          <w:rFonts w:hAnsi="宋体" w:cs="宋体"/>
          <w:b/>
          <w:color w:val="000000" w:themeColor="text1"/>
          <w:sz w:val="24"/>
          <w:szCs w:val="24"/>
          <w14:textFill>
            <w14:solidFill>
              <w14:schemeClr w14:val="tx1"/>
            </w14:solidFill>
          </w14:textFill>
        </w:rPr>
        <w:t>投标人资格证明文件</w:t>
      </w:r>
    </w:p>
    <w:p w14:paraId="6277613C">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1）工商营业执照扫描件；</w:t>
      </w:r>
    </w:p>
    <w:p w14:paraId="18DA2593">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2）提供招标公告中关于供应商资格要求的相关资格证明文件扫描件。</w:t>
      </w:r>
    </w:p>
    <w:p w14:paraId="03E025AA">
      <w:pPr>
        <w:widowControl/>
        <w:spacing w:afterLines="0" w:line="240" w:lineRule="auto"/>
        <w:jc w:val="left"/>
        <w:rPr>
          <w:rFonts w:hint="eastAsia" w:ascii="宋体" w:hAnsi="宋体" w:cs="宋体"/>
          <w:color w:val="000000" w:themeColor="text1"/>
          <w:sz w:val="24"/>
          <w14:textFill>
            <w14:solidFill>
              <w14:schemeClr w14:val="tx1"/>
            </w14:solidFill>
          </w14:textFill>
        </w:rPr>
      </w:pPr>
    </w:p>
    <w:p w14:paraId="49119325">
      <w:pPr>
        <w:widowControl/>
        <w:spacing w:afterLines="0" w:line="240" w:lineRule="auto"/>
        <w:jc w:val="left"/>
        <w:rPr>
          <w:rFonts w:hint="eastAsia" w:ascii="宋体" w:hAnsi="宋体"/>
          <w:color w:val="000000" w:themeColor="text1"/>
          <w14:textFill>
            <w14:solidFill>
              <w14:schemeClr w14:val="tx1"/>
            </w14:solidFill>
          </w14:textFill>
        </w:rPr>
      </w:pPr>
    </w:p>
    <w:p w14:paraId="4246C89C">
      <w:pPr>
        <w:spacing w:after="60"/>
        <w:rPr>
          <w:rFonts w:hint="eastAsia" w:ascii="宋体" w:hAnsi="宋体"/>
          <w:color w:val="000000" w:themeColor="text1"/>
          <w14:textFill>
            <w14:solidFill>
              <w14:schemeClr w14:val="tx1"/>
            </w14:solidFill>
          </w14:textFill>
        </w:rPr>
      </w:pPr>
    </w:p>
    <w:p w14:paraId="308ADE2B">
      <w:pPr>
        <w:spacing w:after="60"/>
        <w:rPr>
          <w:rFonts w:hint="eastAsia" w:ascii="宋体" w:hAnsi="宋体"/>
          <w:color w:val="000000" w:themeColor="text1"/>
          <w14:textFill>
            <w14:solidFill>
              <w14:schemeClr w14:val="tx1"/>
            </w14:solidFill>
          </w14:textFill>
        </w:rPr>
      </w:pPr>
    </w:p>
    <w:p w14:paraId="5A79D4C3">
      <w:pPr>
        <w:pStyle w:val="24"/>
        <w:numPr>
          <w:ilvl w:val="0"/>
          <w:numId w:val="14"/>
        </w:numPr>
        <w:snapToGrid w:val="0"/>
        <w:spacing w:afterLines="0" w:line="312" w:lineRule="auto"/>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投标人</w:t>
      </w:r>
      <w:r>
        <w:rPr>
          <w:rFonts w:hAnsi="宋体" w:cs="宋体"/>
          <w:b/>
          <w:color w:val="000000" w:themeColor="text1"/>
          <w:sz w:val="24"/>
          <w:szCs w:val="24"/>
          <w14:textFill>
            <w14:solidFill>
              <w14:schemeClr w14:val="tx1"/>
            </w14:solidFill>
          </w14:textFill>
        </w:rPr>
        <w:t>认为需要提供的其他证明文件</w:t>
      </w:r>
    </w:p>
    <w:p w14:paraId="0EE41F13">
      <w:pPr>
        <w:spacing w:after="60" w:line="360" w:lineRule="auto"/>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格式自拟</w:t>
      </w:r>
    </w:p>
    <w:p w14:paraId="6088D466">
      <w:pPr>
        <w:spacing w:after="60" w:line="360" w:lineRule="auto"/>
        <w:rPr>
          <w:rFonts w:hint="eastAsia" w:ascii="宋体" w:hAnsi="宋体" w:cs="Arial"/>
          <w:bCs/>
          <w:color w:val="000000" w:themeColor="text1"/>
          <w:szCs w:val="21"/>
          <w14:textFill>
            <w14:solidFill>
              <w14:schemeClr w14:val="tx1"/>
            </w14:solidFill>
          </w14:textFill>
        </w:rPr>
      </w:pPr>
    </w:p>
    <w:p w14:paraId="7C49253E">
      <w:pPr>
        <w:spacing w:after="60" w:line="360" w:lineRule="auto"/>
        <w:rPr>
          <w:rFonts w:hint="eastAsia" w:ascii="宋体" w:hAnsi="宋体" w:cs="Arial"/>
          <w:bCs/>
          <w:color w:val="000000" w:themeColor="text1"/>
          <w:szCs w:val="21"/>
          <w14:textFill>
            <w14:solidFill>
              <w14:schemeClr w14:val="tx1"/>
            </w14:solidFill>
          </w14:textFill>
        </w:rPr>
      </w:pPr>
    </w:p>
    <w:p w14:paraId="1D26B3B6">
      <w:pPr>
        <w:spacing w:after="60" w:line="360" w:lineRule="auto"/>
        <w:rPr>
          <w:rFonts w:hint="eastAsia" w:ascii="宋体" w:hAnsi="宋体" w:cs="Arial"/>
          <w:bCs/>
          <w:color w:val="000000" w:themeColor="text1"/>
          <w:szCs w:val="21"/>
          <w14:textFill>
            <w14:solidFill>
              <w14:schemeClr w14:val="tx1"/>
            </w14:solidFill>
          </w14:textFill>
        </w:rPr>
      </w:pPr>
    </w:p>
    <w:p w14:paraId="70C90E14">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ascii="宋体" w:hAnsi="宋体"/>
          <w:b/>
          <w:color w:val="000000" w:themeColor="text1"/>
          <w:szCs w:val="21"/>
          <w14:textFill>
            <w14:solidFill>
              <w14:schemeClr w14:val="tx1"/>
            </w14:solidFill>
          </w14:textFill>
        </w:rPr>
        <w:t>公章</w:t>
      </w:r>
      <w:r>
        <w:rPr>
          <w:rFonts w:hint="eastAsia" w:ascii="宋体" w:hAnsi="宋体"/>
          <w:color w:val="000000" w:themeColor="text1"/>
          <w:szCs w:val="21"/>
          <w14:textFill>
            <w14:solidFill>
              <w14:schemeClr w14:val="tx1"/>
            </w14:solidFill>
          </w14:textFill>
        </w:rPr>
        <w:t>）：</w:t>
      </w:r>
    </w:p>
    <w:p w14:paraId="6C2E019C">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法定代表人或其授权委托人（</w:t>
      </w:r>
      <w:r>
        <w:rPr>
          <w:rFonts w:hint="eastAsia" w:ascii="宋体" w:hAnsi="宋体"/>
          <w:b/>
          <w:color w:val="000000" w:themeColor="text1"/>
          <w:szCs w:val="21"/>
          <w14:textFill>
            <w14:solidFill>
              <w14:schemeClr w14:val="tx1"/>
            </w14:solidFill>
          </w14:textFill>
        </w:rPr>
        <w:t>签名</w:t>
      </w:r>
      <w:r>
        <w:rPr>
          <w:rFonts w:hint="eastAsia" w:ascii="宋体" w:hAnsi="宋体"/>
          <w:color w:val="000000" w:themeColor="text1"/>
          <w:szCs w:val="21"/>
          <w14:textFill>
            <w14:solidFill>
              <w14:schemeClr w14:val="tx1"/>
            </w14:solidFill>
          </w14:textFill>
        </w:rPr>
        <w:t>）：</w:t>
      </w:r>
    </w:p>
    <w:p w14:paraId="3C00B0B0">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018722E3">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385214DD">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分项报价明细表</w:t>
      </w:r>
      <w:r>
        <w:rPr>
          <w:rFonts w:hint="eastAsia" w:ascii="宋体" w:hAnsi="宋体" w:eastAsia="宋体"/>
          <w:b/>
          <w:color w:val="000000" w:themeColor="text1"/>
          <w:sz w:val="24"/>
          <w:szCs w:val="24"/>
          <w:lang w:eastAsia="zh-CN"/>
          <w14:textFill>
            <w14:solidFill>
              <w14:schemeClr w14:val="tx1"/>
            </w14:solidFill>
          </w14:textFill>
        </w:rPr>
        <w:t>（</w:t>
      </w:r>
      <w:r>
        <w:rPr>
          <w:rFonts w:hint="eastAsia" w:ascii="宋体" w:hAnsi="宋体" w:eastAsia="宋体"/>
          <w:b/>
          <w:color w:val="000000" w:themeColor="text1"/>
          <w:sz w:val="24"/>
          <w:szCs w:val="24"/>
          <w:lang w:val="en-US" w:eastAsia="zh-CN"/>
          <w14:textFill>
            <w14:solidFill>
              <w14:schemeClr w14:val="tx1"/>
            </w14:solidFill>
          </w14:textFill>
        </w:rPr>
        <w:t>本项做参考，如不适用可不提供或格式自拟</w:t>
      </w:r>
      <w:r>
        <w:rPr>
          <w:rFonts w:hint="eastAsia" w:ascii="宋体" w:hAnsi="宋体" w:eastAsia="宋体"/>
          <w:b/>
          <w:color w:val="000000" w:themeColor="text1"/>
          <w:sz w:val="24"/>
          <w:szCs w:val="24"/>
          <w:lang w:eastAsia="zh-CN"/>
          <w14:textFill>
            <w14:solidFill>
              <w14:schemeClr w14:val="tx1"/>
            </w14:solidFill>
          </w14:textFill>
        </w:rPr>
        <w:t>）</w:t>
      </w:r>
    </w:p>
    <w:p w14:paraId="3FF7372E">
      <w:pPr>
        <w:spacing w:after="60"/>
        <w:rPr>
          <w:rFonts w:hint="eastAsia" w:ascii="宋体" w:hAnsi="宋体"/>
          <w:color w:val="000000" w:themeColor="text1"/>
          <w14:textFill>
            <w14:solidFill>
              <w14:schemeClr w14:val="tx1"/>
            </w14:solidFill>
          </w14:textFill>
        </w:rPr>
      </w:pPr>
    </w:p>
    <w:p w14:paraId="0A0CBD4D">
      <w:pPr>
        <w:numPr>
          <w:ilvl w:val="0"/>
          <w:numId w:val="15"/>
        </w:numPr>
        <w:spacing w:afterLines="0" w:line="240" w:lineRule="auto"/>
        <w:ind w:left="482" w:hanging="482"/>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分项报价明细表</w:t>
      </w:r>
    </w:p>
    <w:p w14:paraId="25C6E16E">
      <w:pPr>
        <w:spacing w:after="60"/>
        <w:rPr>
          <w:rFonts w:hint="eastAsia" w:ascii="宋体" w:hAnsi="宋体"/>
          <w:color w:val="000000" w:themeColor="text1"/>
          <w14:textFill>
            <w14:solidFill>
              <w14:schemeClr w14:val="tx1"/>
            </w14:solidFill>
          </w14:textFill>
        </w:rPr>
      </w:pPr>
    </w:p>
    <w:p w14:paraId="59C3041D">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项目名称：</w:t>
      </w:r>
    </w:p>
    <w:p w14:paraId="2981AD7E">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项目编号：</w:t>
      </w:r>
    </w:p>
    <w:tbl>
      <w:tblPr>
        <w:tblStyle w:val="4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851"/>
        <w:gridCol w:w="902"/>
        <w:gridCol w:w="941"/>
        <w:gridCol w:w="678"/>
        <w:gridCol w:w="678"/>
        <w:gridCol w:w="1175"/>
        <w:gridCol w:w="1134"/>
      </w:tblGrid>
      <w:tr w14:paraId="68CB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04" w:type="dxa"/>
            <w:shd w:val="clear" w:color="auto" w:fill="auto"/>
            <w:vAlign w:val="center"/>
          </w:tcPr>
          <w:p w14:paraId="6EE99642">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1559" w:type="dxa"/>
            <w:shd w:val="clear" w:color="auto" w:fill="auto"/>
            <w:vAlign w:val="center"/>
          </w:tcPr>
          <w:p w14:paraId="123659DD">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货物名称</w:t>
            </w:r>
          </w:p>
        </w:tc>
        <w:tc>
          <w:tcPr>
            <w:tcW w:w="851" w:type="dxa"/>
            <w:shd w:val="clear" w:color="auto" w:fill="auto"/>
            <w:vAlign w:val="center"/>
          </w:tcPr>
          <w:p w14:paraId="4A223EBD">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品牌</w:t>
            </w:r>
          </w:p>
        </w:tc>
        <w:tc>
          <w:tcPr>
            <w:tcW w:w="902" w:type="dxa"/>
            <w:shd w:val="clear" w:color="auto" w:fill="auto"/>
            <w:vAlign w:val="center"/>
          </w:tcPr>
          <w:p w14:paraId="1ECDAF21">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型号</w:t>
            </w:r>
          </w:p>
        </w:tc>
        <w:tc>
          <w:tcPr>
            <w:tcW w:w="941" w:type="dxa"/>
            <w:shd w:val="clear" w:color="auto" w:fill="auto"/>
            <w:vAlign w:val="center"/>
          </w:tcPr>
          <w:p w14:paraId="53C44FFE">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原产地</w:t>
            </w:r>
          </w:p>
        </w:tc>
        <w:tc>
          <w:tcPr>
            <w:tcW w:w="678" w:type="dxa"/>
            <w:shd w:val="clear" w:color="auto" w:fill="auto"/>
            <w:vAlign w:val="center"/>
          </w:tcPr>
          <w:p w14:paraId="2D3D964C">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数量</w:t>
            </w:r>
          </w:p>
        </w:tc>
        <w:tc>
          <w:tcPr>
            <w:tcW w:w="678" w:type="dxa"/>
            <w:shd w:val="clear" w:color="auto" w:fill="auto"/>
            <w:vAlign w:val="center"/>
          </w:tcPr>
          <w:p w14:paraId="2EBB9EFA">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单位</w:t>
            </w:r>
          </w:p>
        </w:tc>
        <w:tc>
          <w:tcPr>
            <w:tcW w:w="1175" w:type="dxa"/>
            <w:shd w:val="clear" w:color="auto" w:fill="auto"/>
            <w:vAlign w:val="center"/>
          </w:tcPr>
          <w:p w14:paraId="6ECEAD97">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单价(元)</w:t>
            </w:r>
          </w:p>
        </w:tc>
        <w:tc>
          <w:tcPr>
            <w:tcW w:w="1134" w:type="dxa"/>
            <w:shd w:val="clear" w:color="auto" w:fill="auto"/>
            <w:vAlign w:val="center"/>
          </w:tcPr>
          <w:p w14:paraId="09E672B8">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合价(元)</w:t>
            </w:r>
          </w:p>
        </w:tc>
      </w:tr>
      <w:tr w14:paraId="059B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4" w:type="dxa"/>
            <w:shd w:val="clear" w:color="auto" w:fill="auto"/>
            <w:vAlign w:val="center"/>
          </w:tcPr>
          <w:p w14:paraId="6926CC3C">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559" w:type="dxa"/>
            <w:shd w:val="clear" w:color="auto" w:fill="auto"/>
            <w:vAlign w:val="center"/>
          </w:tcPr>
          <w:p w14:paraId="10760BEA">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851" w:type="dxa"/>
            <w:shd w:val="clear" w:color="auto" w:fill="auto"/>
            <w:vAlign w:val="center"/>
          </w:tcPr>
          <w:p w14:paraId="1BB3DBFD">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02" w:type="dxa"/>
            <w:shd w:val="clear" w:color="auto" w:fill="auto"/>
            <w:vAlign w:val="center"/>
          </w:tcPr>
          <w:p w14:paraId="5E0B336D">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41" w:type="dxa"/>
            <w:shd w:val="clear" w:color="auto" w:fill="auto"/>
            <w:vAlign w:val="center"/>
          </w:tcPr>
          <w:p w14:paraId="6EC0D77A">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77175F53">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56B0E4AB">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75" w:type="dxa"/>
            <w:shd w:val="clear" w:color="auto" w:fill="auto"/>
            <w:vAlign w:val="center"/>
          </w:tcPr>
          <w:p w14:paraId="5B415527">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34" w:type="dxa"/>
            <w:shd w:val="clear" w:color="auto" w:fill="auto"/>
            <w:vAlign w:val="center"/>
          </w:tcPr>
          <w:p w14:paraId="746C9B9F">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r>
      <w:tr w14:paraId="77AD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04" w:type="dxa"/>
            <w:shd w:val="clear" w:color="auto" w:fill="auto"/>
            <w:vAlign w:val="center"/>
          </w:tcPr>
          <w:p w14:paraId="29BC04F2">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559" w:type="dxa"/>
            <w:shd w:val="clear" w:color="auto" w:fill="auto"/>
            <w:vAlign w:val="center"/>
          </w:tcPr>
          <w:p w14:paraId="2D1691D4">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851" w:type="dxa"/>
            <w:shd w:val="clear" w:color="auto" w:fill="auto"/>
            <w:vAlign w:val="center"/>
          </w:tcPr>
          <w:p w14:paraId="55E54AA8">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02" w:type="dxa"/>
            <w:shd w:val="clear" w:color="auto" w:fill="auto"/>
            <w:vAlign w:val="center"/>
          </w:tcPr>
          <w:p w14:paraId="586DE44C">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41" w:type="dxa"/>
            <w:shd w:val="clear" w:color="auto" w:fill="auto"/>
            <w:vAlign w:val="center"/>
          </w:tcPr>
          <w:p w14:paraId="0ADC2C93">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3BA6CBA2">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08DEE397">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75" w:type="dxa"/>
            <w:shd w:val="clear" w:color="auto" w:fill="auto"/>
            <w:vAlign w:val="center"/>
          </w:tcPr>
          <w:p w14:paraId="69CDD43F">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34" w:type="dxa"/>
            <w:shd w:val="clear" w:color="auto" w:fill="auto"/>
            <w:vAlign w:val="center"/>
          </w:tcPr>
          <w:p w14:paraId="18545E2A">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r>
      <w:tr w14:paraId="22BB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4" w:type="dxa"/>
            <w:shd w:val="clear" w:color="auto" w:fill="auto"/>
            <w:vAlign w:val="center"/>
          </w:tcPr>
          <w:p w14:paraId="4994E464">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559" w:type="dxa"/>
            <w:shd w:val="clear" w:color="auto" w:fill="auto"/>
            <w:vAlign w:val="center"/>
          </w:tcPr>
          <w:p w14:paraId="700A9F13">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851" w:type="dxa"/>
            <w:shd w:val="clear" w:color="auto" w:fill="auto"/>
            <w:vAlign w:val="center"/>
          </w:tcPr>
          <w:p w14:paraId="6285986E">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02" w:type="dxa"/>
            <w:shd w:val="clear" w:color="auto" w:fill="auto"/>
            <w:vAlign w:val="center"/>
          </w:tcPr>
          <w:p w14:paraId="3A35AFF8">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41" w:type="dxa"/>
            <w:shd w:val="clear" w:color="auto" w:fill="auto"/>
            <w:vAlign w:val="center"/>
          </w:tcPr>
          <w:p w14:paraId="38AC882C">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4DF0D9F9">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2BE70511">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75" w:type="dxa"/>
            <w:shd w:val="clear" w:color="auto" w:fill="auto"/>
            <w:vAlign w:val="center"/>
          </w:tcPr>
          <w:p w14:paraId="58BA2E52">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34" w:type="dxa"/>
            <w:shd w:val="clear" w:color="auto" w:fill="auto"/>
            <w:vAlign w:val="center"/>
          </w:tcPr>
          <w:p w14:paraId="798FF520">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r>
      <w:tr w14:paraId="7E4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4" w:type="dxa"/>
            <w:shd w:val="clear" w:color="auto" w:fill="auto"/>
            <w:vAlign w:val="center"/>
          </w:tcPr>
          <w:p w14:paraId="1683173C">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559" w:type="dxa"/>
            <w:shd w:val="clear" w:color="auto" w:fill="auto"/>
            <w:vAlign w:val="center"/>
          </w:tcPr>
          <w:p w14:paraId="3E1F1E08">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851" w:type="dxa"/>
            <w:shd w:val="clear" w:color="auto" w:fill="auto"/>
            <w:vAlign w:val="center"/>
          </w:tcPr>
          <w:p w14:paraId="4ACFEC73">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02" w:type="dxa"/>
            <w:shd w:val="clear" w:color="auto" w:fill="auto"/>
            <w:vAlign w:val="center"/>
          </w:tcPr>
          <w:p w14:paraId="25AEE5ED">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41" w:type="dxa"/>
            <w:shd w:val="clear" w:color="auto" w:fill="auto"/>
            <w:vAlign w:val="center"/>
          </w:tcPr>
          <w:p w14:paraId="41B76906">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3444E04D">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515DAAA3">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75" w:type="dxa"/>
            <w:shd w:val="clear" w:color="auto" w:fill="auto"/>
            <w:vAlign w:val="center"/>
          </w:tcPr>
          <w:p w14:paraId="1167FFB1">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34" w:type="dxa"/>
            <w:shd w:val="clear" w:color="auto" w:fill="auto"/>
            <w:vAlign w:val="center"/>
          </w:tcPr>
          <w:p w14:paraId="5DC8DFEC">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r>
      <w:tr w14:paraId="529E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4" w:type="dxa"/>
            <w:shd w:val="clear" w:color="auto" w:fill="auto"/>
            <w:vAlign w:val="center"/>
          </w:tcPr>
          <w:p w14:paraId="768F2F86">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559" w:type="dxa"/>
            <w:shd w:val="clear" w:color="auto" w:fill="auto"/>
            <w:vAlign w:val="center"/>
          </w:tcPr>
          <w:p w14:paraId="6E1F2C13">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851" w:type="dxa"/>
            <w:shd w:val="clear" w:color="auto" w:fill="auto"/>
            <w:vAlign w:val="center"/>
          </w:tcPr>
          <w:p w14:paraId="3CEAD39B">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02" w:type="dxa"/>
            <w:shd w:val="clear" w:color="auto" w:fill="auto"/>
            <w:vAlign w:val="center"/>
          </w:tcPr>
          <w:p w14:paraId="17C4C125">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41" w:type="dxa"/>
            <w:shd w:val="clear" w:color="auto" w:fill="auto"/>
            <w:vAlign w:val="center"/>
          </w:tcPr>
          <w:p w14:paraId="72326821">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12D1A2F7">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0F65A3A4">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75" w:type="dxa"/>
            <w:shd w:val="clear" w:color="auto" w:fill="auto"/>
            <w:vAlign w:val="center"/>
          </w:tcPr>
          <w:p w14:paraId="4943901D">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34" w:type="dxa"/>
            <w:shd w:val="clear" w:color="auto" w:fill="auto"/>
            <w:vAlign w:val="center"/>
          </w:tcPr>
          <w:p w14:paraId="3FFC7197">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r>
      <w:tr w14:paraId="5476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4" w:type="dxa"/>
            <w:shd w:val="clear" w:color="auto" w:fill="auto"/>
            <w:vAlign w:val="center"/>
          </w:tcPr>
          <w:p w14:paraId="275B22BE">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559" w:type="dxa"/>
            <w:shd w:val="clear" w:color="auto" w:fill="auto"/>
            <w:vAlign w:val="center"/>
          </w:tcPr>
          <w:p w14:paraId="6E509A0E">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851" w:type="dxa"/>
            <w:shd w:val="clear" w:color="auto" w:fill="auto"/>
            <w:vAlign w:val="center"/>
          </w:tcPr>
          <w:p w14:paraId="2532EC6B">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02" w:type="dxa"/>
            <w:shd w:val="clear" w:color="auto" w:fill="auto"/>
            <w:vAlign w:val="center"/>
          </w:tcPr>
          <w:p w14:paraId="2DA49CEA">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41" w:type="dxa"/>
            <w:shd w:val="clear" w:color="auto" w:fill="auto"/>
            <w:vAlign w:val="center"/>
          </w:tcPr>
          <w:p w14:paraId="1F2480E5">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56719A65">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5F3D0049">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75" w:type="dxa"/>
            <w:shd w:val="clear" w:color="auto" w:fill="auto"/>
            <w:vAlign w:val="center"/>
          </w:tcPr>
          <w:p w14:paraId="4240EA6E">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34" w:type="dxa"/>
            <w:shd w:val="clear" w:color="auto" w:fill="auto"/>
            <w:vAlign w:val="center"/>
          </w:tcPr>
          <w:p w14:paraId="4F6E45BE">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r>
      <w:tr w14:paraId="0CB7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4" w:type="dxa"/>
            <w:shd w:val="clear" w:color="auto" w:fill="auto"/>
            <w:vAlign w:val="center"/>
          </w:tcPr>
          <w:p w14:paraId="5CF3262E">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559" w:type="dxa"/>
            <w:shd w:val="clear" w:color="auto" w:fill="auto"/>
            <w:vAlign w:val="center"/>
          </w:tcPr>
          <w:p w14:paraId="770C99BC">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851" w:type="dxa"/>
            <w:shd w:val="clear" w:color="auto" w:fill="auto"/>
            <w:vAlign w:val="center"/>
          </w:tcPr>
          <w:p w14:paraId="3972B822">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02" w:type="dxa"/>
            <w:shd w:val="clear" w:color="auto" w:fill="auto"/>
            <w:vAlign w:val="center"/>
          </w:tcPr>
          <w:p w14:paraId="010ECD7E">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41" w:type="dxa"/>
            <w:shd w:val="clear" w:color="auto" w:fill="auto"/>
            <w:vAlign w:val="center"/>
          </w:tcPr>
          <w:p w14:paraId="2FEE05C9">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5960AD89">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6CEE4AFA">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75" w:type="dxa"/>
            <w:shd w:val="clear" w:color="auto" w:fill="auto"/>
            <w:vAlign w:val="center"/>
          </w:tcPr>
          <w:p w14:paraId="0CBF580D">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34" w:type="dxa"/>
            <w:shd w:val="clear" w:color="auto" w:fill="auto"/>
            <w:vAlign w:val="center"/>
          </w:tcPr>
          <w:p w14:paraId="23A1AEAF">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r>
      <w:tr w14:paraId="18D6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4" w:type="dxa"/>
            <w:shd w:val="clear" w:color="auto" w:fill="auto"/>
            <w:vAlign w:val="center"/>
          </w:tcPr>
          <w:p w14:paraId="6D1569DC">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559" w:type="dxa"/>
            <w:shd w:val="clear" w:color="auto" w:fill="auto"/>
            <w:vAlign w:val="center"/>
          </w:tcPr>
          <w:p w14:paraId="698B1734">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851" w:type="dxa"/>
            <w:shd w:val="clear" w:color="auto" w:fill="auto"/>
            <w:vAlign w:val="center"/>
          </w:tcPr>
          <w:p w14:paraId="18061084">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02" w:type="dxa"/>
            <w:shd w:val="clear" w:color="auto" w:fill="auto"/>
            <w:vAlign w:val="center"/>
          </w:tcPr>
          <w:p w14:paraId="3BB45DA3">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941" w:type="dxa"/>
            <w:shd w:val="clear" w:color="auto" w:fill="auto"/>
            <w:vAlign w:val="center"/>
          </w:tcPr>
          <w:p w14:paraId="11790D36">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6BFC7FAB">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678" w:type="dxa"/>
            <w:shd w:val="clear" w:color="auto" w:fill="auto"/>
            <w:vAlign w:val="center"/>
          </w:tcPr>
          <w:p w14:paraId="50BAC605">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75" w:type="dxa"/>
            <w:shd w:val="clear" w:color="auto" w:fill="auto"/>
            <w:vAlign w:val="center"/>
          </w:tcPr>
          <w:p w14:paraId="284B943F">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134" w:type="dxa"/>
            <w:shd w:val="clear" w:color="auto" w:fill="auto"/>
            <w:vAlign w:val="center"/>
          </w:tcPr>
          <w:p w14:paraId="7682F3F9">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r>
      <w:tr w14:paraId="4C22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622" w:type="dxa"/>
            <w:gridSpan w:val="9"/>
            <w:shd w:val="clear" w:color="auto" w:fill="auto"/>
            <w:vAlign w:val="center"/>
          </w:tcPr>
          <w:p w14:paraId="7B2EC405">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w:t>
            </w:r>
          </w:p>
        </w:tc>
      </w:tr>
      <w:tr w14:paraId="46CB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622" w:type="dxa"/>
            <w:gridSpan w:val="9"/>
            <w:shd w:val="clear" w:color="auto" w:fill="auto"/>
            <w:vAlign w:val="center"/>
          </w:tcPr>
          <w:p w14:paraId="707A3DB5">
            <w:pPr>
              <w:widowControl/>
              <w:spacing w:afterLines="0" w:line="400" w:lineRule="exact"/>
              <w:jc w:val="lef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合计（即：投标总价；币种：人民币；单位：元）：</w:t>
            </w:r>
          </w:p>
          <w:p w14:paraId="1C9E31CE">
            <w:pPr>
              <w:widowControl/>
              <w:spacing w:afterLines="0" w:line="400" w:lineRule="exact"/>
              <w:jc w:val="lef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小写：¥</w:t>
            </w:r>
          </w:p>
          <w:p w14:paraId="7BE978C9">
            <w:pPr>
              <w:widowControl/>
              <w:spacing w:afterLines="0" w:line="400" w:lineRule="exact"/>
              <w:jc w:val="lef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大写：</w:t>
            </w:r>
          </w:p>
        </w:tc>
      </w:tr>
    </w:tbl>
    <w:p w14:paraId="0DA315AA">
      <w:pPr>
        <w:spacing w:after="60"/>
        <w:rPr>
          <w:rFonts w:hint="eastAsia" w:ascii="宋体" w:hAnsi="宋体"/>
          <w:color w:val="000000" w:themeColor="text1"/>
          <w14:textFill>
            <w14:solidFill>
              <w14:schemeClr w14:val="tx1"/>
            </w14:solidFill>
          </w14:textFill>
        </w:rPr>
      </w:pPr>
    </w:p>
    <w:p w14:paraId="4482DCD8">
      <w:pPr>
        <w:spacing w:afterLines="0" w:line="360" w:lineRule="auto"/>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说明：1.所有价格应按“招标文件”中规定的货币单位填写。</w:t>
      </w:r>
    </w:p>
    <w:p w14:paraId="6B5F2C3F">
      <w:pPr>
        <w:spacing w:afterLines="0" w:line="360" w:lineRule="auto"/>
        <w:ind w:firstLine="420" w:firstLineChars="20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  2.投标总价应为以上各分项价格之和。</w:t>
      </w:r>
    </w:p>
    <w:p w14:paraId="3D316EAA">
      <w:pPr>
        <w:spacing w:afterLines="0" w:line="360" w:lineRule="auto"/>
        <w:ind w:firstLine="630" w:firstLineChars="30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3</w:t>
      </w:r>
      <w:r>
        <w:rPr>
          <w:rFonts w:hint="eastAsia" w:ascii="宋体" w:hAnsi="宋体" w:cs="Arial"/>
          <w:color w:val="000000" w:themeColor="text1"/>
          <w:szCs w:val="21"/>
          <w14:textFill>
            <w14:solidFill>
              <w14:schemeClr w14:val="tx1"/>
            </w14:solidFill>
          </w14:textFill>
        </w:rPr>
        <w:t>.单价、合价和投标总价为包干价，即三者均应包括设备费、运输费、装卸费、保险费、技术培训费、设备安装费、调试费、售后服务费、国家规定的各项税费等。</w:t>
      </w:r>
    </w:p>
    <w:p w14:paraId="2C6F3A50">
      <w:pPr>
        <w:spacing w:afterLines="0" w:line="360" w:lineRule="auto"/>
        <w:ind w:firstLine="630" w:firstLineChars="30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4</w:t>
      </w:r>
      <w:r>
        <w:rPr>
          <w:rFonts w:hint="eastAsia" w:ascii="宋体" w:hAnsi="宋体" w:cs="Arial"/>
          <w:color w:val="000000" w:themeColor="text1"/>
          <w:szCs w:val="21"/>
          <w14:textFill>
            <w14:solidFill>
              <w14:schemeClr w14:val="tx1"/>
            </w14:solidFill>
          </w14:textFill>
        </w:rPr>
        <w:t>.投标总价和项目报价表中单个采购预算条目报价均不得超过对应的财政预算限额，否则将导致投标将被否决。</w:t>
      </w:r>
    </w:p>
    <w:p w14:paraId="421CDEA3">
      <w:pPr>
        <w:spacing w:afterLines="0" w:line="360" w:lineRule="auto"/>
        <w:ind w:firstLine="630" w:firstLineChars="30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5</w:t>
      </w:r>
      <w:r>
        <w:rPr>
          <w:rFonts w:hint="eastAsia" w:ascii="宋体" w:hAnsi="宋体" w:cs="Arial"/>
          <w:color w:val="000000" w:themeColor="text1"/>
          <w:szCs w:val="21"/>
          <w14:textFill>
            <w14:solidFill>
              <w14:schemeClr w14:val="tx1"/>
            </w14:solidFill>
          </w14:textFill>
        </w:rPr>
        <w:t>.开标一览表的投标总价应与《分项报价清单表》的投标总价一致，如填写不一致，以开标一览表填写的为准。</w:t>
      </w:r>
    </w:p>
    <w:p w14:paraId="6895E94E">
      <w:pPr>
        <w:spacing w:afterLines="0" w:line="360" w:lineRule="auto"/>
        <w:ind w:firstLine="630" w:firstLineChars="30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6</w:t>
      </w:r>
      <w:r>
        <w:rPr>
          <w:rFonts w:hint="eastAsia" w:ascii="宋体" w:hAnsi="宋体" w:cs="Arial"/>
          <w:color w:val="000000" w:themeColor="text1"/>
          <w:szCs w:val="21"/>
          <w14:textFill>
            <w14:solidFill>
              <w14:schemeClr w14:val="tx1"/>
            </w14:solidFill>
          </w14:textFill>
        </w:rPr>
        <w:t>.“原产地”是指该产品的实际生产加工地，而非品牌总公司所在地。</w:t>
      </w:r>
    </w:p>
    <w:p w14:paraId="5A244A39">
      <w:pPr>
        <w:spacing w:afterLines="0" w:line="360" w:lineRule="auto"/>
        <w:ind w:firstLine="630" w:firstLineChars="300"/>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7</w:t>
      </w:r>
      <w:r>
        <w:rPr>
          <w:rFonts w:hint="eastAsia" w:ascii="宋体" w:hAnsi="宋体" w:cs="Arial"/>
          <w:bCs/>
          <w:color w:val="000000" w:themeColor="text1"/>
          <w:szCs w:val="21"/>
          <w14:textFill>
            <w14:solidFill>
              <w14:schemeClr w14:val="tx1"/>
            </w14:solidFill>
          </w14:textFill>
        </w:rPr>
        <w:t>.本项目报价表中的“型号、品牌”属于按招标定制的产品可依招标要求响应填报此表，不强制要求报出规格型号及品牌；如有涉及采购需求有要求但无法明确具体量化标准的配套工程施工、安装、装修辅材等，可依要求只报出相应报价即可，其他标的物必须按要求填写具体型号、品牌；有问题应在投标答疑期截止前提出，否则应按以上要求予以响应。</w:t>
      </w:r>
    </w:p>
    <w:p w14:paraId="3D405455">
      <w:pPr>
        <w:widowControl/>
        <w:spacing w:afterLines="0" w:line="240" w:lineRule="auto"/>
        <w:jc w:val="left"/>
        <w:rPr>
          <w:rFonts w:hint="eastAsia" w:ascii="宋体" w:hAnsi="宋体" w:cs="Arial"/>
          <w:bCs/>
          <w:color w:val="000000" w:themeColor="text1"/>
          <w:szCs w:val="21"/>
          <w14:textFill>
            <w14:solidFill>
              <w14:schemeClr w14:val="tx1"/>
            </w14:solidFill>
          </w14:textFill>
        </w:rPr>
      </w:pPr>
    </w:p>
    <w:p w14:paraId="67F022BC">
      <w:pPr>
        <w:spacing w:afterLines="0" w:line="360" w:lineRule="auto"/>
        <w:rPr>
          <w:rFonts w:hint="eastAsia" w:ascii="宋体" w:hAnsi="宋体" w:cs="Arial"/>
          <w:bCs/>
          <w:color w:val="000000" w:themeColor="text1"/>
          <w:szCs w:val="21"/>
          <w14:textFill>
            <w14:solidFill>
              <w14:schemeClr w14:val="tx1"/>
            </w14:solidFill>
          </w14:textFill>
        </w:rPr>
      </w:pPr>
    </w:p>
    <w:p w14:paraId="027168AF">
      <w:pPr>
        <w:numPr>
          <w:ilvl w:val="0"/>
          <w:numId w:val="15"/>
        </w:numPr>
        <w:spacing w:afterLines="0" w:line="240" w:lineRule="auto"/>
        <w:ind w:left="482" w:hanging="482"/>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可选配件报价清单（不包括在总报价内）</w:t>
      </w:r>
    </w:p>
    <w:p w14:paraId="53C9A1A5">
      <w:pPr>
        <w:spacing w:afterLines="0" w:line="240" w:lineRule="auto"/>
        <w:rPr>
          <w:rFonts w:hint="eastAsia" w:ascii="宋体" w:hAnsi="宋体"/>
          <w:b/>
          <w:color w:val="000000" w:themeColor="text1"/>
          <w:sz w:val="24"/>
          <w14:textFill>
            <w14:solidFill>
              <w14:schemeClr w14:val="tx1"/>
            </w14:solidFill>
          </w14:textFill>
        </w:rPr>
      </w:pPr>
    </w:p>
    <w:p w14:paraId="794B06E4">
      <w:pPr>
        <w:spacing w:after="60"/>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注：格式参照《（一）项目报价表》表格，但须提供相应的品牌（没有品牌的，可提供制造商名称）、规格型号、原产地、单价等详细信息</w:t>
      </w:r>
    </w:p>
    <w:p w14:paraId="4E544267">
      <w:pPr>
        <w:spacing w:after="60"/>
        <w:ind w:firstLine="482" w:firstLineChars="200"/>
        <w:rPr>
          <w:rFonts w:hint="eastAsia" w:ascii="宋体" w:hAnsi="宋体"/>
          <w:b/>
          <w:bCs/>
          <w:color w:val="000000" w:themeColor="text1"/>
          <w:sz w:val="24"/>
          <w14:textFill>
            <w14:solidFill>
              <w14:schemeClr w14:val="tx1"/>
            </w14:solidFill>
          </w14:textFill>
        </w:rPr>
      </w:pPr>
    </w:p>
    <w:p w14:paraId="118440B6">
      <w:pPr>
        <w:pStyle w:val="19"/>
        <w:spacing w:after="60"/>
        <w:rPr>
          <w:rFonts w:hint="eastAsia" w:ascii="宋体" w:hAnsi="宋体"/>
          <w:b/>
          <w:bCs/>
          <w:color w:val="000000" w:themeColor="text1"/>
          <w:sz w:val="24"/>
          <w14:textFill>
            <w14:solidFill>
              <w14:schemeClr w14:val="tx1"/>
            </w14:solidFill>
          </w14:textFill>
        </w:rPr>
      </w:pPr>
    </w:p>
    <w:p w14:paraId="19B3510C">
      <w:pPr>
        <w:spacing w:after="60"/>
        <w:rPr>
          <w:rFonts w:hint="eastAsia" w:ascii="宋体" w:hAnsi="宋体"/>
          <w:color w:val="000000" w:themeColor="text1"/>
          <w14:textFill>
            <w14:solidFill>
              <w14:schemeClr w14:val="tx1"/>
            </w14:solidFill>
          </w14:textFill>
        </w:rPr>
      </w:pPr>
    </w:p>
    <w:p w14:paraId="0F39056A">
      <w:pPr>
        <w:spacing w:after="60"/>
        <w:ind w:firstLine="482" w:firstLineChars="200"/>
        <w:rPr>
          <w:rFonts w:hint="eastAsia" w:ascii="宋体" w:hAnsi="宋体"/>
          <w:b/>
          <w:bCs/>
          <w:color w:val="000000" w:themeColor="text1"/>
          <w:sz w:val="24"/>
          <w14:textFill>
            <w14:solidFill>
              <w14:schemeClr w14:val="tx1"/>
            </w14:solidFill>
          </w14:textFill>
        </w:rPr>
      </w:pPr>
    </w:p>
    <w:p w14:paraId="199174FF">
      <w:pPr>
        <w:numPr>
          <w:ilvl w:val="0"/>
          <w:numId w:val="15"/>
        </w:numPr>
        <w:spacing w:afterLines="0" w:line="240" w:lineRule="auto"/>
        <w:ind w:left="482" w:hanging="482"/>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供应商认为需要涉及的其他内容报价清单</w:t>
      </w:r>
    </w:p>
    <w:p w14:paraId="7C422B08">
      <w:pPr>
        <w:spacing w:afterLines="0" w:line="360" w:lineRule="auto"/>
        <w:rPr>
          <w:rFonts w:hint="eastAsia" w:ascii="宋体" w:hAnsi="宋体"/>
          <w:color w:val="000000" w:themeColor="text1"/>
          <w:kern w:val="0"/>
          <w:szCs w:val="21"/>
          <w14:textFill>
            <w14:solidFill>
              <w14:schemeClr w14:val="tx1"/>
            </w14:solidFill>
          </w14:textFill>
        </w:rPr>
      </w:pPr>
    </w:p>
    <w:p w14:paraId="1179CE4A">
      <w:pPr>
        <w:spacing w:afterLines="0" w:line="360" w:lineRule="auto"/>
        <w:rPr>
          <w:rFonts w:hint="eastAsia" w:ascii="宋体" w:hAnsi="宋体"/>
          <w:color w:val="000000" w:themeColor="text1"/>
          <w:kern w:val="0"/>
          <w:szCs w:val="21"/>
          <w14:textFill>
            <w14:solidFill>
              <w14:schemeClr w14:val="tx1"/>
            </w14:solidFill>
          </w14:textFill>
        </w:rPr>
      </w:pPr>
    </w:p>
    <w:p w14:paraId="08EBB471">
      <w:pPr>
        <w:spacing w:afterLines="0" w:line="360" w:lineRule="auto"/>
        <w:rPr>
          <w:rFonts w:hint="eastAsia" w:ascii="宋体" w:hAnsi="宋体"/>
          <w:color w:val="000000" w:themeColor="text1"/>
          <w:kern w:val="0"/>
          <w:szCs w:val="21"/>
          <w14:textFill>
            <w14:solidFill>
              <w14:schemeClr w14:val="tx1"/>
            </w14:solidFill>
          </w14:textFill>
        </w:rPr>
      </w:pPr>
    </w:p>
    <w:p w14:paraId="5576186F">
      <w:pPr>
        <w:spacing w:afterLines="0" w:line="360" w:lineRule="auto"/>
        <w:rPr>
          <w:rFonts w:hint="eastAsia" w:ascii="宋体" w:hAnsi="宋体"/>
          <w:color w:val="000000" w:themeColor="text1"/>
          <w:kern w:val="0"/>
          <w:szCs w:val="21"/>
          <w14:textFill>
            <w14:solidFill>
              <w14:schemeClr w14:val="tx1"/>
            </w14:solidFill>
          </w14:textFill>
        </w:rPr>
      </w:pPr>
    </w:p>
    <w:p w14:paraId="2E943BCF">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ascii="宋体" w:hAnsi="宋体"/>
          <w:b/>
          <w:color w:val="000000" w:themeColor="text1"/>
          <w:szCs w:val="21"/>
          <w14:textFill>
            <w14:solidFill>
              <w14:schemeClr w14:val="tx1"/>
            </w14:solidFill>
          </w14:textFill>
        </w:rPr>
        <w:t>公章</w:t>
      </w:r>
      <w:r>
        <w:rPr>
          <w:rFonts w:hint="eastAsia" w:ascii="宋体" w:hAnsi="宋体"/>
          <w:color w:val="000000" w:themeColor="text1"/>
          <w:szCs w:val="21"/>
          <w14:textFill>
            <w14:solidFill>
              <w14:schemeClr w14:val="tx1"/>
            </w14:solidFill>
          </w14:textFill>
        </w:rPr>
        <w:t>）：</w:t>
      </w:r>
    </w:p>
    <w:p w14:paraId="07C733BE">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法定代表人或其授权委托人（</w:t>
      </w:r>
      <w:r>
        <w:rPr>
          <w:rFonts w:hint="eastAsia" w:ascii="宋体" w:hAnsi="宋体"/>
          <w:b/>
          <w:color w:val="000000" w:themeColor="text1"/>
          <w:szCs w:val="21"/>
          <w14:textFill>
            <w14:solidFill>
              <w14:schemeClr w14:val="tx1"/>
            </w14:solidFill>
          </w14:textFill>
        </w:rPr>
        <w:t>签名</w:t>
      </w:r>
      <w:r>
        <w:rPr>
          <w:rFonts w:hint="eastAsia" w:ascii="宋体" w:hAnsi="宋体"/>
          <w:color w:val="000000" w:themeColor="text1"/>
          <w:szCs w:val="21"/>
          <w14:textFill>
            <w14:solidFill>
              <w14:schemeClr w14:val="tx1"/>
            </w14:solidFill>
          </w14:textFill>
        </w:rPr>
        <w:t>）：</w:t>
      </w:r>
    </w:p>
    <w:p w14:paraId="0018B4B4">
      <w:pPr>
        <w:spacing w:afterLines="0" w:line="360" w:lineRule="auto"/>
        <w:ind w:firstLine="4393" w:firstLineChars="209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4ED9051A">
      <w:pPr>
        <w:spacing w:afterLines="0" w:line="360" w:lineRule="auto"/>
        <w:rPr>
          <w:rFonts w:hint="eastAsia" w:ascii="宋体" w:hAnsi="宋体"/>
          <w:color w:val="000000" w:themeColor="text1"/>
          <w:kern w:val="0"/>
          <w:szCs w:val="21"/>
          <w14:textFill>
            <w14:solidFill>
              <w14:schemeClr w14:val="tx1"/>
            </w14:solidFill>
          </w14:textFill>
        </w:rPr>
      </w:pPr>
    </w:p>
    <w:p w14:paraId="76A59A9F">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19FB4453">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技术规格偏离表10.（本项做参考，如不适用可不提供或格式自拟）</w:t>
      </w:r>
    </w:p>
    <w:p w14:paraId="40CFF8B7">
      <w:pPr>
        <w:spacing w:after="60"/>
        <w:rPr>
          <w:rFonts w:hint="eastAsia" w:ascii="宋体" w:hAnsi="宋体"/>
          <w:color w:val="000000" w:themeColor="text1"/>
          <w14:textFill>
            <w14:solidFill>
              <w14:schemeClr w14:val="tx1"/>
            </w14:solidFill>
          </w14:textFill>
        </w:rPr>
      </w:pPr>
    </w:p>
    <w:p w14:paraId="058558DB">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项目名称：</w:t>
      </w:r>
    </w:p>
    <w:p w14:paraId="67AE6AE6">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项目编号：</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2383"/>
        <w:gridCol w:w="2310"/>
        <w:gridCol w:w="1119"/>
        <w:gridCol w:w="830"/>
      </w:tblGrid>
      <w:tr w14:paraId="3484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947F33D">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1276" w:type="dxa"/>
            <w:vAlign w:val="center"/>
          </w:tcPr>
          <w:p w14:paraId="484B4466">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货物名称</w:t>
            </w:r>
          </w:p>
        </w:tc>
        <w:tc>
          <w:tcPr>
            <w:tcW w:w="2383" w:type="dxa"/>
            <w:vAlign w:val="center"/>
          </w:tcPr>
          <w:p w14:paraId="0A8BE3B6">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招标规格</w:t>
            </w:r>
          </w:p>
        </w:tc>
        <w:tc>
          <w:tcPr>
            <w:tcW w:w="2310" w:type="dxa"/>
            <w:vAlign w:val="center"/>
          </w:tcPr>
          <w:p w14:paraId="33AB6AC0">
            <w:pPr>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投标规格</w:t>
            </w:r>
          </w:p>
        </w:tc>
        <w:tc>
          <w:tcPr>
            <w:tcW w:w="1119" w:type="dxa"/>
            <w:vAlign w:val="center"/>
          </w:tcPr>
          <w:p w14:paraId="522B12FA">
            <w:pPr>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偏离情况</w:t>
            </w:r>
          </w:p>
        </w:tc>
        <w:tc>
          <w:tcPr>
            <w:tcW w:w="830" w:type="dxa"/>
            <w:vAlign w:val="center"/>
          </w:tcPr>
          <w:p w14:paraId="5983E8BF">
            <w:pPr>
              <w:spacing w:afterLines="0"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说明</w:t>
            </w:r>
          </w:p>
        </w:tc>
      </w:tr>
      <w:tr w14:paraId="5A6F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396C402">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276" w:type="dxa"/>
            <w:vAlign w:val="center"/>
          </w:tcPr>
          <w:p w14:paraId="29EA6F06">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2383" w:type="dxa"/>
            <w:vAlign w:val="center"/>
          </w:tcPr>
          <w:p w14:paraId="21B1FB0B">
            <w:pPr>
              <w:widowControl/>
              <w:spacing w:afterLines="0" w:line="400" w:lineRule="exact"/>
              <w:jc w:val="center"/>
              <w:rPr>
                <w:rFonts w:hint="eastAsia" w:ascii="宋体" w:hAnsi="宋体"/>
                <w:b/>
                <w:bCs/>
                <w:color w:val="000000" w:themeColor="text1"/>
                <w:szCs w:val="21"/>
                <w14:textFill>
                  <w14:solidFill>
                    <w14:schemeClr w14:val="tx1"/>
                  </w14:solidFill>
                </w14:textFill>
              </w:rPr>
            </w:pPr>
          </w:p>
        </w:tc>
        <w:tc>
          <w:tcPr>
            <w:tcW w:w="2310" w:type="dxa"/>
            <w:vAlign w:val="center"/>
          </w:tcPr>
          <w:p w14:paraId="43F8A1DF">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1119" w:type="dxa"/>
            <w:vAlign w:val="center"/>
          </w:tcPr>
          <w:p w14:paraId="3466CFCA">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830" w:type="dxa"/>
            <w:vAlign w:val="center"/>
          </w:tcPr>
          <w:p w14:paraId="673E41CF">
            <w:pPr>
              <w:spacing w:afterLines="0" w:line="400" w:lineRule="exact"/>
              <w:jc w:val="center"/>
              <w:rPr>
                <w:rFonts w:hint="eastAsia" w:ascii="宋体" w:hAnsi="宋体"/>
                <w:b/>
                <w:bCs/>
                <w:color w:val="000000" w:themeColor="text1"/>
                <w:szCs w:val="21"/>
                <w14:textFill>
                  <w14:solidFill>
                    <w14:schemeClr w14:val="tx1"/>
                  </w14:solidFill>
                </w14:textFill>
              </w:rPr>
            </w:pPr>
          </w:p>
        </w:tc>
      </w:tr>
      <w:tr w14:paraId="16F4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7C19A94">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276" w:type="dxa"/>
            <w:vAlign w:val="center"/>
          </w:tcPr>
          <w:p w14:paraId="2953C24F">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2383" w:type="dxa"/>
            <w:vAlign w:val="center"/>
          </w:tcPr>
          <w:p w14:paraId="0D52206D">
            <w:pPr>
              <w:widowControl/>
              <w:spacing w:afterLines="0" w:line="400" w:lineRule="exact"/>
              <w:jc w:val="center"/>
              <w:rPr>
                <w:rFonts w:hint="eastAsia" w:ascii="宋体" w:hAnsi="宋体"/>
                <w:b/>
                <w:bCs/>
                <w:color w:val="000000" w:themeColor="text1"/>
                <w:szCs w:val="21"/>
                <w14:textFill>
                  <w14:solidFill>
                    <w14:schemeClr w14:val="tx1"/>
                  </w14:solidFill>
                </w14:textFill>
              </w:rPr>
            </w:pPr>
          </w:p>
        </w:tc>
        <w:tc>
          <w:tcPr>
            <w:tcW w:w="2310" w:type="dxa"/>
            <w:vAlign w:val="center"/>
          </w:tcPr>
          <w:p w14:paraId="22B2B344">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1119" w:type="dxa"/>
            <w:vAlign w:val="center"/>
          </w:tcPr>
          <w:p w14:paraId="3C93FDFD">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830" w:type="dxa"/>
            <w:vAlign w:val="center"/>
          </w:tcPr>
          <w:p w14:paraId="148394ED">
            <w:pPr>
              <w:spacing w:afterLines="0" w:line="400" w:lineRule="exact"/>
              <w:jc w:val="center"/>
              <w:rPr>
                <w:rFonts w:hint="eastAsia" w:ascii="宋体" w:hAnsi="宋体"/>
                <w:b/>
                <w:bCs/>
                <w:color w:val="000000" w:themeColor="text1"/>
                <w:szCs w:val="21"/>
                <w14:textFill>
                  <w14:solidFill>
                    <w14:schemeClr w14:val="tx1"/>
                  </w14:solidFill>
                </w14:textFill>
              </w:rPr>
            </w:pPr>
          </w:p>
        </w:tc>
      </w:tr>
      <w:tr w14:paraId="79F6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F896664">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276" w:type="dxa"/>
            <w:vAlign w:val="center"/>
          </w:tcPr>
          <w:p w14:paraId="6529FADE">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2383" w:type="dxa"/>
            <w:vAlign w:val="center"/>
          </w:tcPr>
          <w:p w14:paraId="168A101C">
            <w:pPr>
              <w:widowControl/>
              <w:spacing w:afterLines="0" w:line="400" w:lineRule="exact"/>
              <w:jc w:val="center"/>
              <w:rPr>
                <w:rFonts w:hint="eastAsia" w:ascii="宋体" w:hAnsi="宋体"/>
                <w:b/>
                <w:bCs/>
                <w:color w:val="000000" w:themeColor="text1"/>
                <w:szCs w:val="21"/>
                <w14:textFill>
                  <w14:solidFill>
                    <w14:schemeClr w14:val="tx1"/>
                  </w14:solidFill>
                </w14:textFill>
              </w:rPr>
            </w:pPr>
          </w:p>
        </w:tc>
        <w:tc>
          <w:tcPr>
            <w:tcW w:w="2310" w:type="dxa"/>
            <w:vAlign w:val="center"/>
          </w:tcPr>
          <w:p w14:paraId="4998C682">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1119" w:type="dxa"/>
            <w:vAlign w:val="center"/>
          </w:tcPr>
          <w:p w14:paraId="050435E2">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830" w:type="dxa"/>
            <w:vAlign w:val="center"/>
          </w:tcPr>
          <w:p w14:paraId="0D93CB9D">
            <w:pPr>
              <w:spacing w:afterLines="0" w:line="400" w:lineRule="exact"/>
              <w:jc w:val="center"/>
              <w:rPr>
                <w:rFonts w:hint="eastAsia" w:ascii="宋体" w:hAnsi="宋体"/>
                <w:b/>
                <w:bCs/>
                <w:color w:val="000000" w:themeColor="text1"/>
                <w:szCs w:val="21"/>
                <w14:textFill>
                  <w14:solidFill>
                    <w14:schemeClr w14:val="tx1"/>
                  </w14:solidFill>
                </w14:textFill>
              </w:rPr>
            </w:pPr>
          </w:p>
        </w:tc>
      </w:tr>
      <w:tr w14:paraId="7963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33AF40">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276" w:type="dxa"/>
            <w:vAlign w:val="center"/>
          </w:tcPr>
          <w:p w14:paraId="63D6D5A2">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2383" w:type="dxa"/>
            <w:vAlign w:val="center"/>
          </w:tcPr>
          <w:p w14:paraId="43CE8836">
            <w:pPr>
              <w:widowControl/>
              <w:spacing w:afterLines="0" w:line="400" w:lineRule="exact"/>
              <w:jc w:val="center"/>
              <w:rPr>
                <w:rFonts w:hint="eastAsia" w:ascii="宋体" w:hAnsi="宋体"/>
                <w:b/>
                <w:bCs/>
                <w:color w:val="000000" w:themeColor="text1"/>
                <w:szCs w:val="21"/>
                <w14:textFill>
                  <w14:solidFill>
                    <w14:schemeClr w14:val="tx1"/>
                  </w14:solidFill>
                </w14:textFill>
              </w:rPr>
            </w:pPr>
          </w:p>
        </w:tc>
        <w:tc>
          <w:tcPr>
            <w:tcW w:w="2310" w:type="dxa"/>
            <w:vAlign w:val="center"/>
          </w:tcPr>
          <w:p w14:paraId="654C49B8">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1119" w:type="dxa"/>
            <w:vAlign w:val="center"/>
          </w:tcPr>
          <w:p w14:paraId="3AB50A56">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830" w:type="dxa"/>
            <w:vAlign w:val="center"/>
          </w:tcPr>
          <w:p w14:paraId="4E5A4DB3">
            <w:pPr>
              <w:spacing w:afterLines="0" w:line="400" w:lineRule="exact"/>
              <w:jc w:val="center"/>
              <w:rPr>
                <w:rFonts w:hint="eastAsia" w:ascii="宋体" w:hAnsi="宋体"/>
                <w:b/>
                <w:bCs/>
                <w:color w:val="000000" w:themeColor="text1"/>
                <w:szCs w:val="21"/>
                <w14:textFill>
                  <w14:solidFill>
                    <w14:schemeClr w14:val="tx1"/>
                  </w14:solidFill>
                </w14:textFill>
              </w:rPr>
            </w:pPr>
          </w:p>
        </w:tc>
      </w:tr>
      <w:tr w14:paraId="493E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CD6BEBA">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276" w:type="dxa"/>
            <w:vAlign w:val="center"/>
          </w:tcPr>
          <w:p w14:paraId="555FD00B">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2383" w:type="dxa"/>
            <w:vAlign w:val="center"/>
          </w:tcPr>
          <w:p w14:paraId="57BD142E">
            <w:pPr>
              <w:widowControl/>
              <w:spacing w:afterLines="0" w:line="400" w:lineRule="exact"/>
              <w:jc w:val="center"/>
              <w:rPr>
                <w:rFonts w:hint="eastAsia" w:ascii="宋体" w:hAnsi="宋体"/>
                <w:b/>
                <w:bCs/>
                <w:color w:val="000000" w:themeColor="text1"/>
                <w:szCs w:val="21"/>
                <w14:textFill>
                  <w14:solidFill>
                    <w14:schemeClr w14:val="tx1"/>
                  </w14:solidFill>
                </w14:textFill>
              </w:rPr>
            </w:pPr>
          </w:p>
        </w:tc>
        <w:tc>
          <w:tcPr>
            <w:tcW w:w="2310" w:type="dxa"/>
            <w:vAlign w:val="center"/>
          </w:tcPr>
          <w:p w14:paraId="0BBC0EEB">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1119" w:type="dxa"/>
            <w:vAlign w:val="center"/>
          </w:tcPr>
          <w:p w14:paraId="4894F78E">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830" w:type="dxa"/>
            <w:vAlign w:val="center"/>
          </w:tcPr>
          <w:p w14:paraId="15E9E68B">
            <w:pPr>
              <w:spacing w:afterLines="0" w:line="400" w:lineRule="exact"/>
              <w:jc w:val="center"/>
              <w:rPr>
                <w:rFonts w:hint="eastAsia" w:ascii="宋体" w:hAnsi="宋体"/>
                <w:b/>
                <w:bCs/>
                <w:color w:val="000000" w:themeColor="text1"/>
                <w:szCs w:val="21"/>
                <w14:textFill>
                  <w14:solidFill>
                    <w14:schemeClr w14:val="tx1"/>
                  </w14:solidFill>
                </w14:textFill>
              </w:rPr>
            </w:pPr>
          </w:p>
        </w:tc>
      </w:tr>
      <w:tr w14:paraId="3FE9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FA3EEB1">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276" w:type="dxa"/>
            <w:vAlign w:val="center"/>
          </w:tcPr>
          <w:p w14:paraId="7F08FD19">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2383" w:type="dxa"/>
            <w:vAlign w:val="center"/>
          </w:tcPr>
          <w:p w14:paraId="16E2B194">
            <w:pPr>
              <w:widowControl/>
              <w:spacing w:afterLines="0" w:line="400" w:lineRule="exact"/>
              <w:jc w:val="center"/>
              <w:rPr>
                <w:rFonts w:hint="eastAsia" w:ascii="宋体" w:hAnsi="宋体"/>
                <w:b/>
                <w:bCs/>
                <w:color w:val="000000" w:themeColor="text1"/>
                <w:szCs w:val="21"/>
                <w14:textFill>
                  <w14:solidFill>
                    <w14:schemeClr w14:val="tx1"/>
                  </w14:solidFill>
                </w14:textFill>
              </w:rPr>
            </w:pPr>
          </w:p>
        </w:tc>
        <w:tc>
          <w:tcPr>
            <w:tcW w:w="2310" w:type="dxa"/>
            <w:vAlign w:val="center"/>
          </w:tcPr>
          <w:p w14:paraId="11C33A3C">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1119" w:type="dxa"/>
            <w:vAlign w:val="center"/>
          </w:tcPr>
          <w:p w14:paraId="099DBD82">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830" w:type="dxa"/>
            <w:vAlign w:val="center"/>
          </w:tcPr>
          <w:p w14:paraId="037BD010">
            <w:pPr>
              <w:spacing w:afterLines="0" w:line="400" w:lineRule="exact"/>
              <w:jc w:val="center"/>
              <w:rPr>
                <w:rFonts w:hint="eastAsia" w:ascii="宋体" w:hAnsi="宋体"/>
                <w:b/>
                <w:bCs/>
                <w:color w:val="000000" w:themeColor="text1"/>
                <w:szCs w:val="21"/>
                <w14:textFill>
                  <w14:solidFill>
                    <w14:schemeClr w14:val="tx1"/>
                  </w14:solidFill>
                </w14:textFill>
              </w:rPr>
            </w:pPr>
          </w:p>
        </w:tc>
      </w:tr>
      <w:tr w14:paraId="317D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38E9C5C">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1276" w:type="dxa"/>
            <w:vAlign w:val="center"/>
          </w:tcPr>
          <w:p w14:paraId="11111D70">
            <w:pPr>
              <w:widowControl/>
              <w:spacing w:afterLines="0" w:line="400" w:lineRule="exact"/>
              <w:jc w:val="center"/>
              <w:rPr>
                <w:rFonts w:hint="eastAsia" w:ascii="宋体" w:hAnsi="宋体" w:cs="宋体"/>
                <w:b/>
                <w:bCs/>
                <w:color w:val="000000" w:themeColor="text1"/>
                <w:kern w:val="0"/>
                <w:szCs w:val="21"/>
                <w14:textFill>
                  <w14:solidFill>
                    <w14:schemeClr w14:val="tx1"/>
                  </w14:solidFill>
                </w14:textFill>
              </w:rPr>
            </w:pPr>
          </w:p>
        </w:tc>
        <w:tc>
          <w:tcPr>
            <w:tcW w:w="2383" w:type="dxa"/>
            <w:vAlign w:val="center"/>
          </w:tcPr>
          <w:p w14:paraId="58A30503">
            <w:pPr>
              <w:widowControl/>
              <w:spacing w:afterLines="0" w:line="400" w:lineRule="exact"/>
              <w:jc w:val="center"/>
              <w:rPr>
                <w:rFonts w:hint="eastAsia" w:ascii="宋体" w:hAnsi="宋体"/>
                <w:b/>
                <w:bCs/>
                <w:color w:val="000000" w:themeColor="text1"/>
                <w:szCs w:val="21"/>
                <w14:textFill>
                  <w14:solidFill>
                    <w14:schemeClr w14:val="tx1"/>
                  </w14:solidFill>
                </w14:textFill>
              </w:rPr>
            </w:pPr>
          </w:p>
        </w:tc>
        <w:tc>
          <w:tcPr>
            <w:tcW w:w="2310" w:type="dxa"/>
            <w:vAlign w:val="center"/>
          </w:tcPr>
          <w:p w14:paraId="01042E31">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1119" w:type="dxa"/>
            <w:vAlign w:val="center"/>
          </w:tcPr>
          <w:p w14:paraId="186CC912">
            <w:pPr>
              <w:spacing w:afterLines="0" w:line="400" w:lineRule="exact"/>
              <w:jc w:val="center"/>
              <w:rPr>
                <w:rFonts w:hint="eastAsia" w:ascii="宋体" w:hAnsi="宋体"/>
                <w:b/>
                <w:bCs/>
                <w:color w:val="000000" w:themeColor="text1"/>
                <w:szCs w:val="21"/>
                <w14:textFill>
                  <w14:solidFill>
                    <w14:schemeClr w14:val="tx1"/>
                  </w14:solidFill>
                </w14:textFill>
              </w:rPr>
            </w:pPr>
          </w:p>
        </w:tc>
        <w:tc>
          <w:tcPr>
            <w:tcW w:w="830" w:type="dxa"/>
            <w:vAlign w:val="center"/>
          </w:tcPr>
          <w:p w14:paraId="206A8505">
            <w:pPr>
              <w:spacing w:afterLines="0" w:line="400" w:lineRule="exact"/>
              <w:jc w:val="center"/>
              <w:rPr>
                <w:rFonts w:hint="eastAsia" w:ascii="宋体" w:hAnsi="宋体"/>
                <w:b/>
                <w:bCs/>
                <w:color w:val="000000" w:themeColor="text1"/>
                <w:szCs w:val="21"/>
                <w14:textFill>
                  <w14:solidFill>
                    <w14:schemeClr w14:val="tx1"/>
                  </w14:solidFill>
                </w14:textFill>
              </w:rPr>
            </w:pPr>
          </w:p>
        </w:tc>
      </w:tr>
    </w:tbl>
    <w:p w14:paraId="418B4B39">
      <w:pPr>
        <w:spacing w:after="60"/>
        <w:rPr>
          <w:rFonts w:hint="eastAsia" w:ascii="宋体" w:hAnsi="宋体"/>
          <w:color w:val="000000" w:themeColor="text1"/>
          <w:szCs w:val="21"/>
          <w14:textFill>
            <w14:solidFill>
              <w14:schemeClr w14:val="tx1"/>
            </w14:solidFill>
          </w14:textFill>
        </w:rPr>
      </w:pPr>
    </w:p>
    <w:p w14:paraId="17D1A742">
      <w:pPr>
        <w:spacing w:afterLines="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说明：</w:t>
      </w:r>
    </w:p>
    <w:p w14:paraId="610A4D2A">
      <w:pPr>
        <w:spacing w:afterLines="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1.“投标规格”一栏必须详细填写投标产品的具体参数，所有“投标规格”与“招标规格”中所述不完全一致的，须在“说明”一栏内详细、客观、如实描述偏离情况。</w:t>
      </w:r>
    </w:p>
    <w:p w14:paraId="633F3B51">
      <w:pPr>
        <w:spacing w:afterLines="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2.投标产品的技术参数应按招标要求提供相应的证明资料，证明资料与响应情况不符的，以证明资料为准。如招标文件未要求提供相关证明资料的，可不提供。</w:t>
      </w:r>
    </w:p>
    <w:p w14:paraId="0BD38452">
      <w:pPr>
        <w:spacing w:afterLines="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3.“偏离情况”一栏请如实填写“正偏离”、“无偏离”、“负偏离”。</w:t>
      </w:r>
    </w:p>
    <w:p w14:paraId="4C87F4DC">
      <w:pPr>
        <w:spacing w:afterLines="0" w:line="360" w:lineRule="auto"/>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4</w:t>
      </w: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投标人</w:t>
      </w:r>
      <w:r>
        <w:rPr>
          <w:rFonts w:hint="eastAsia" w:ascii="宋体" w:hAnsi="宋体" w:cs="Arial"/>
          <w:bCs/>
          <w:color w:val="000000" w:themeColor="text1"/>
          <w:szCs w:val="21"/>
          <w14:textFill>
            <w14:solidFill>
              <w14:schemeClr w14:val="tx1"/>
            </w14:solidFill>
          </w14:textFill>
        </w:rPr>
        <w:t>投标参数存在负偏离但不构成投标无效的，无论投标人在响应情况填写的是否为负偏离，均作负偏离扣分处理。</w:t>
      </w:r>
    </w:p>
    <w:p w14:paraId="16C9892C">
      <w:pPr>
        <w:spacing w:afterLines="0" w:line="360" w:lineRule="auto"/>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5</w:t>
      </w:r>
      <w:r>
        <w:rPr>
          <w:rFonts w:hint="eastAsia" w:ascii="宋体" w:hAnsi="宋体" w:cs="Arial"/>
          <w:bCs/>
          <w:color w:val="000000" w:themeColor="text1"/>
          <w:szCs w:val="21"/>
          <w14:textFill>
            <w14:solidFill>
              <w14:schemeClr w14:val="tx1"/>
            </w14:solidFill>
          </w14:textFill>
        </w:rPr>
        <w:t>.除招标</w:t>
      </w:r>
      <w:r>
        <w:rPr>
          <w:rFonts w:ascii="宋体" w:hAnsi="宋体" w:cs="Arial"/>
          <w:bCs/>
          <w:color w:val="000000" w:themeColor="text1"/>
          <w:szCs w:val="21"/>
          <w14:textFill>
            <w14:solidFill>
              <w14:schemeClr w14:val="tx1"/>
            </w14:solidFill>
          </w14:textFill>
        </w:rPr>
        <w:t>文件另有注明外，投标文件其它位置如出现与本表中投标参数不一致的信息，均以本表信息为准。</w:t>
      </w:r>
    </w:p>
    <w:p w14:paraId="4CA00A04">
      <w:pPr>
        <w:spacing w:afterLines="0" w:line="360" w:lineRule="auto"/>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6</w:t>
      </w:r>
      <w:r>
        <w:rPr>
          <w:rFonts w:hint="eastAsia" w:ascii="宋体" w:hAnsi="宋体" w:cs="Arial"/>
          <w:bCs/>
          <w:color w:val="000000" w:themeColor="text1"/>
          <w:szCs w:val="21"/>
          <w14:textFill>
            <w14:solidFill>
              <w14:schemeClr w14:val="tx1"/>
            </w14:solidFill>
          </w14:textFill>
        </w:rPr>
        <w:t>.参数或评分项有要求需提供检测报告等证明材料的（非带“★</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条款），投标人对其响应为无偏离或正偏离，但未提供检测报告等证明材料的仅作扣分处理，不作投标无效处理。</w:t>
      </w:r>
    </w:p>
    <w:p w14:paraId="32AD1BAA">
      <w:pPr>
        <w:spacing w:afterLines="0" w:line="360" w:lineRule="auto"/>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7.</w:t>
      </w:r>
      <w:r>
        <w:rPr>
          <w:rFonts w:hint="eastAsia" w:ascii="宋体" w:hAnsi="宋体" w:cs="Arial"/>
          <w:bCs/>
          <w:color w:val="000000" w:themeColor="text1"/>
          <w:szCs w:val="21"/>
          <w14:textFill>
            <w14:solidFill>
              <w14:schemeClr w14:val="tx1"/>
            </w14:solidFill>
          </w14:textFill>
        </w:rPr>
        <w:t>参数或评分项有要求需提供检测报告的（非带“★</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条款），投标人填写的投标参数与检测报告上的参数不一致的，仅作扣分处理，不作投标无效处理。</w:t>
      </w:r>
    </w:p>
    <w:p w14:paraId="360B04ED">
      <w:pPr>
        <w:spacing w:afterLines="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8.“招标规格”一栏应填写招标文件第一册第二章“采购清单及详细技术参数要求”中“技术参数要求”的全部内容；“投标规格”一栏必须详细填写投标响应的条款的内容。</w:t>
      </w:r>
    </w:p>
    <w:p w14:paraId="5FC8CC77">
      <w:pPr>
        <w:spacing w:afterLines="0" w:line="360" w:lineRule="auto"/>
        <w:rPr>
          <w:rFonts w:hint="eastAsia" w:ascii="宋体" w:hAnsi="宋体" w:cs="Arial"/>
          <w:bCs/>
          <w:color w:val="000000" w:themeColor="text1"/>
          <w:szCs w:val="21"/>
          <w14:textFill>
            <w14:solidFill>
              <w14:schemeClr w14:val="tx1"/>
            </w14:solidFill>
          </w14:textFill>
        </w:rPr>
      </w:pPr>
    </w:p>
    <w:p w14:paraId="3558DF4D">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D7B604B">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商务条款偏离表</w:t>
      </w:r>
    </w:p>
    <w:p w14:paraId="7129F67C">
      <w:pPr>
        <w:spacing w:after="60"/>
        <w:rPr>
          <w:rFonts w:hint="eastAsia" w:ascii="宋体" w:hAnsi="宋体"/>
          <w:color w:val="000000" w:themeColor="text1"/>
          <w14:textFill>
            <w14:solidFill>
              <w14:schemeClr w14:val="tx1"/>
            </w14:solidFill>
          </w14:textFill>
        </w:rPr>
      </w:pPr>
    </w:p>
    <w:p w14:paraId="71E1D9B2">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项目名称：</w:t>
      </w:r>
    </w:p>
    <w:p w14:paraId="00697C2D">
      <w:pPr>
        <w:spacing w:after="6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项目编号：</w:t>
      </w:r>
    </w:p>
    <w:p w14:paraId="69CD7D39">
      <w:pPr>
        <w:spacing w:after="60"/>
        <w:rPr>
          <w:rFonts w:hint="eastAsia" w:ascii="宋体" w:hAnsi="宋体" w:cs="Arial"/>
          <w:b/>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根据招标文件要求，我公司承诺响应如下：</w:t>
      </w:r>
    </w:p>
    <w:tbl>
      <w:tblPr>
        <w:tblStyle w:val="46"/>
        <w:tblW w:w="9679"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334"/>
        <w:gridCol w:w="3827"/>
        <w:gridCol w:w="1916"/>
      </w:tblGrid>
      <w:tr w14:paraId="0774751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602" w:type="dxa"/>
            <w:vAlign w:val="center"/>
          </w:tcPr>
          <w:p w14:paraId="0B49DA5D">
            <w:pPr>
              <w:spacing w:afterLines="0" w:line="400" w:lineRule="exact"/>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序号</w:t>
            </w:r>
          </w:p>
        </w:tc>
        <w:tc>
          <w:tcPr>
            <w:tcW w:w="3334" w:type="dxa"/>
            <w:vAlign w:val="center"/>
          </w:tcPr>
          <w:p w14:paraId="2B4ADDCE">
            <w:pPr>
              <w:spacing w:afterLines="0" w:line="400" w:lineRule="exact"/>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招标文件要求</w:t>
            </w:r>
          </w:p>
        </w:tc>
        <w:tc>
          <w:tcPr>
            <w:tcW w:w="3827" w:type="dxa"/>
            <w:vAlign w:val="center"/>
          </w:tcPr>
          <w:p w14:paraId="722BEE44">
            <w:pPr>
              <w:spacing w:afterLines="0" w:line="400" w:lineRule="exact"/>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投标文件响应</w:t>
            </w:r>
          </w:p>
        </w:tc>
        <w:tc>
          <w:tcPr>
            <w:tcW w:w="1916" w:type="dxa"/>
            <w:vAlign w:val="center"/>
          </w:tcPr>
          <w:p w14:paraId="1A609D04">
            <w:pPr>
              <w:spacing w:afterLines="0" w:line="400" w:lineRule="exact"/>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偏离说明（符合/正偏离/负偏离）</w:t>
            </w:r>
          </w:p>
        </w:tc>
      </w:tr>
      <w:tr w14:paraId="089AC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9679" w:type="dxa"/>
            <w:gridSpan w:val="4"/>
          </w:tcPr>
          <w:p w14:paraId="19BD2756">
            <w:pPr>
              <w:spacing w:afterLines="0" w:line="400" w:lineRule="exact"/>
              <w:jc w:val="center"/>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带</w:t>
            </w:r>
            <w:r>
              <w:rPr>
                <w:rFonts w:hint="eastAsia" w:ascii="宋体" w:hAnsi="宋体"/>
                <w:color w:val="000000" w:themeColor="text1"/>
                <w:kern w:val="0"/>
                <w:szCs w:val="21"/>
                <w14:textFill>
                  <w14:solidFill>
                    <w14:schemeClr w14:val="tx1"/>
                  </w14:solidFill>
                </w14:textFill>
              </w:rPr>
              <w:t>★号条款为</w:t>
            </w:r>
            <w:r>
              <w:rPr>
                <w:rFonts w:hint="eastAsia" w:ascii="宋体" w:hAnsi="宋体" w:cs="Arial"/>
                <w:bCs/>
                <w:color w:val="000000" w:themeColor="text1"/>
                <w:szCs w:val="21"/>
                <w14:textFill>
                  <w14:solidFill>
                    <w14:schemeClr w14:val="tx1"/>
                  </w14:solidFill>
                </w14:textFill>
              </w:rPr>
              <w:t>不可负偏离条款</w:t>
            </w:r>
          </w:p>
        </w:tc>
      </w:tr>
      <w:tr w14:paraId="6B78ABF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602" w:type="dxa"/>
          </w:tcPr>
          <w:p w14:paraId="35C12D9A">
            <w:pPr>
              <w:spacing w:afterLines="0"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334" w:type="dxa"/>
          </w:tcPr>
          <w:p w14:paraId="4EFF3181">
            <w:pPr>
              <w:spacing w:afterLines="0"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投标人必须完全响应满足招标文件第一册第二章招标项目需求中所有带</w:t>
            </w:r>
            <w:r>
              <w:rPr>
                <w:rFonts w:hint="eastAsia" w:ascii="宋体" w:hAnsi="宋体"/>
                <w:color w:val="000000" w:themeColor="text1"/>
                <w:kern w:val="0"/>
                <w:szCs w:val="21"/>
                <w14:textFill>
                  <w14:solidFill>
                    <w14:schemeClr w14:val="tx1"/>
                  </w14:solidFill>
                </w14:textFill>
              </w:rPr>
              <w:t>★号条款</w:t>
            </w:r>
            <w:r>
              <w:rPr>
                <w:rFonts w:hint="eastAsia" w:ascii="宋体" w:hAnsi="宋体"/>
                <w:color w:val="000000" w:themeColor="text1"/>
                <w:szCs w:val="21"/>
                <w14:textFill>
                  <w14:solidFill>
                    <w14:schemeClr w14:val="tx1"/>
                  </w14:solidFill>
                </w14:textFill>
              </w:rPr>
              <w:t>的要求，否则导致投标无效。中标后被发现不能满足招标文件第一册第二章招标项目需求中所有带</w:t>
            </w:r>
            <w:r>
              <w:rPr>
                <w:rFonts w:hint="eastAsia" w:ascii="宋体" w:hAnsi="宋体"/>
                <w:color w:val="000000" w:themeColor="text1"/>
                <w:kern w:val="0"/>
                <w:szCs w:val="21"/>
                <w14:textFill>
                  <w14:solidFill>
                    <w14:schemeClr w14:val="tx1"/>
                  </w14:solidFill>
                </w14:textFill>
              </w:rPr>
              <w:t>★号条款</w:t>
            </w:r>
            <w:r>
              <w:rPr>
                <w:rFonts w:hint="eastAsia" w:ascii="宋体" w:hAnsi="宋体"/>
                <w:color w:val="000000" w:themeColor="text1"/>
                <w:szCs w:val="21"/>
                <w14:textFill>
                  <w14:solidFill>
                    <w14:schemeClr w14:val="tx1"/>
                  </w14:solidFill>
                </w14:textFill>
              </w:rPr>
              <w:t>的要求，采购单位有权拒绝签订合同，一切后果由投标人承担。</w:t>
            </w:r>
          </w:p>
        </w:tc>
        <w:tc>
          <w:tcPr>
            <w:tcW w:w="3827" w:type="dxa"/>
          </w:tcPr>
          <w:p w14:paraId="2F1B036C">
            <w:pPr>
              <w:spacing w:afterLines="0" w:line="400" w:lineRule="exact"/>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【填写说明：此项投标人必须完全响应满足，请投标人于“投标文件响应”栏中填写“投标人完全响应满足招标文件第一册第二章招标项目需求中所有带</w:t>
            </w:r>
            <w:r>
              <w:rPr>
                <w:rFonts w:hint="eastAsia" w:ascii="宋体" w:hAnsi="宋体"/>
                <w:color w:val="000000" w:themeColor="text1"/>
                <w:kern w:val="0"/>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号条款的要求”，无需另行编制填写内容；】</w:t>
            </w:r>
          </w:p>
        </w:tc>
        <w:tc>
          <w:tcPr>
            <w:tcW w:w="1916" w:type="dxa"/>
          </w:tcPr>
          <w:p w14:paraId="3A5F0CBE">
            <w:pPr>
              <w:spacing w:afterLines="0" w:line="400" w:lineRule="exact"/>
              <w:jc w:val="center"/>
              <w:rPr>
                <w:rFonts w:hint="eastAsia" w:ascii="宋体" w:hAnsi="宋体" w:cs="Arial"/>
                <w:color w:val="000000" w:themeColor="text1"/>
                <w:szCs w:val="21"/>
                <w14:textFill>
                  <w14:solidFill>
                    <w14:schemeClr w14:val="tx1"/>
                  </w14:solidFill>
                </w14:textFill>
              </w:rPr>
            </w:pPr>
          </w:p>
        </w:tc>
      </w:tr>
      <w:tr w14:paraId="4BD7DFB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85" w:hRule="atLeast"/>
        </w:trPr>
        <w:tc>
          <w:tcPr>
            <w:tcW w:w="9679" w:type="dxa"/>
            <w:gridSpan w:val="4"/>
            <w:vAlign w:val="center"/>
          </w:tcPr>
          <w:p w14:paraId="0F690B01">
            <w:pPr>
              <w:spacing w:afterLines="0" w:line="400" w:lineRule="exact"/>
              <w:jc w:val="center"/>
              <w:rPr>
                <w:rStyle w:val="66"/>
                <w:rFonts w:hint="default" w:eastAsia="宋体"/>
                <w:color w:val="000000" w:themeColor="text1"/>
                <w:sz w:val="2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非</w:t>
            </w:r>
            <w:r>
              <w:rPr>
                <w:rFonts w:hint="eastAsia" w:ascii="宋体" w:hAnsi="宋体"/>
                <w:color w:val="000000" w:themeColor="text1"/>
                <w:kern w:val="0"/>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号</w:t>
            </w:r>
            <w:r>
              <w:rPr>
                <w:rFonts w:hint="eastAsia" w:ascii="宋体" w:hAnsi="宋体"/>
                <w:color w:val="000000" w:themeColor="text1"/>
                <w:kern w:val="0"/>
                <w:szCs w:val="21"/>
                <w14:textFill>
                  <w14:solidFill>
                    <w14:schemeClr w14:val="tx1"/>
                  </w14:solidFill>
                </w14:textFill>
              </w:rPr>
              <w:t>条款</w:t>
            </w:r>
          </w:p>
        </w:tc>
      </w:tr>
      <w:tr w14:paraId="2B40D36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602" w:type="dxa"/>
          </w:tcPr>
          <w:p w14:paraId="33AEF5E1">
            <w:pPr>
              <w:pStyle w:val="6"/>
              <w:spacing w:afterLines="0" w:line="400" w:lineRule="exact"/>
              <w:ind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334" w:type="dxa"/>
          </w:tcPr>
          <w:p w14:paraId="5A1B969F">
            <w:pPr>
              <w:tabs>
                <w:tab w:val="left" w:pos="1440"/>
              </w:tabs>
              <w:spacing w:afterLines="0"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此项内容为招标文件第一册第二章招标项目需求“三 商务条款”中所有</w:t>
            </w:r>
            <w:r>
              <w:rPr>
                <w:rFonts w:hint="eastAsia" w:ascii="宋体" w:hAnsi="宋体" w:cs="Arial"/>
                <w:color w:val="000000" w:themeColor="text1"/>
                <w:szCs w:val="21"/>
                <w14:textFill>
                  <w14:solidFill>
                    <w14:schemeClr w14:val="tx1"/>
                  </w14:solidFill>
                </w14:textFill>
              </w:rPr>
              <w:t>非</w:t>
            </w:r>
            <w:r>
              <w:rPr>
                <w:rFonts w:hint="eastAsia" w:ascii="宋体" w:hAnsi="宋体"/>
                <w:color w:val="000000" w:themeColor="text1"/>
                <w:kern w:val="0"/>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号</w:t>
            </w:r>
            <w:r>
              <w:rPr>
                <w:rFonts w:hint="eastAsia" w:ascii="宋体" w:hAnsi="宋体"/>
                <w:color w:val="000000" w:themeColor="text1"/>
                <w:kern w:val="0"/>
                <w:szCs w:val="21"/>
                <w14:textFill>
                  <w14:solidFill>
                    <w14:schemeClr w14:val="tx1"/>
                  </w14:solidFill>
                </w14:textFill>
              </w:rPr>
              <w:t>条款</w:t>
            </w:r>
            <w:r>
              <w:rPr>
                <w:rFonts w:hint="eastAsia" w:ascii="宋体" w:hAnsi="宋体" w:cs="Arial"/>
                <w:color w:val="000000" w:themeColor="text1"/>
                <w:szCs w:val="21"/>
                <w14:textFill>
                  <w14:solidFill>
                    <w14:schemeClr w14:val="tx1"/>
                  </w14:solidFill>
                </w14:textFill>
              </w:rPr>
              <w:t>内容</w:t>
            </w:r>
            <w:r>
              <w:rPr>
                <w:rFonts w:hint="eastAsia" w:ascii="宋体" w:hAnsi="宋体"/>
                <w:color w:val="000000" w:themeColor="text1"/>
                <w:szCs w:val="21"/>
                <w14:textFill>
                  <w14:solidFill>
                    <w14:schemeClr w14:val="tx1"/>
                  </w14:solidFill>
                </w14:textFill>
              </w:rPr>
              <w:t>的所有条款要求。</w:t>
            </w:r>
          </w:p>
        </w:tc>
        <w:tc>
          <w:tcPr>
            <w:tcW w:w="3827" w:type="dxa"/>
          </w:tcPr>
          <w:p w14:paraId="6F6E4274">
            <w:pPr>
              <w:spacing w:afterLines="0" w:line="400" w:lineRule="exact"/>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【填写说明：1、如投标人能完全按照此部分条款要求承诺（响应）并实施，可填写“完全按招标文件要求响应”；</w:t>
            </w:r>
          </w:p>
          <w:p w14:paraId="73F83D2C">
            <w:pPr>
              <w:spacing w:afterLines="0" w:line="400" w:lineRule="exact"/>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2、如投标人承诺（响应）内容出现正偏离或负偏离，请逐条做出说明，由投标人自行承担相关责任。</w:t>
            </w:r>
          </w:p>
        </w:tc>
        <w:tc>
          <w:tcPr>
            <w:tcW w:w="1916" w:type="dxa"/>
          </w:tcPr>
          <w:p w14:paraId="154FA385">
            <w:pPr>
              <w:spacing w:afterLines="0" w:line="400" w:lineRule="exact"/>
              <w:rPr>
                <w:rFonts w:hint="eastAsia" w:ascii="宋体" w:hAnsi="宋体" w:cs="Arial"/>
                <w:color w:val="000000" w:themeColor="text1"/>
                <w:szCs w:val="21"/>
                <w14:textFill>
                  <w14:solidFill>
                    <w14:schemeClr w14:val="tx1"/>
                  </w14:solidFill>
                </w14:textFill>
              </w:rPr>
            </w:pPr>
          </w:p>
        </w:tc>
      </w:tr>
    </w:tbl>
    <w:p w14:paraId="70FABEBA">
      <w:pPr>
        <w:spacing w:after="60"/>
        <w:rPr>
          <w:rFonts w:hint="eastAsia" w:ascii="宋体" w:hAnsi="宋体"/>
          <w:color w:val="000000" w:themeColor="text1"/>
          <w14:textFill>
            <w14:solidFill>
              <w14:schemeClr w14:val="tx1"/>
            </w14:solidFill>
          </w14:textFill>
        </w:rPr>
      </w:pPr>
    </w:p>
    <w:p w14:paraId="5E73DB22">
      <w:pPr>
        <w:spacing w:afterLines="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备注说明：</w:t>
      </w:r>
    </w:p>
    <w:p w14:paraId="1DAA810B">
      <w:pPr>
        <w:spacing w:afterLines="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投标人必须满足带★条款，否则，投标将被否决。</w:t>
      </w:r>
    </w:p>
    <w:p w14:paraId="312546BC">
      <w:pPr>
        <w:spacing w:afterLines="0" w:line="360" w:lineRule="auto"/>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2.“偏离情况”栏中应填写“正偏离”、“负偏离”或 “符合</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w:t>
      </w:r>
    </w:p>
    <w:p w14:paraId="7E175590">
      <w:pPr>
        <w:spacing w:afterLines="0" w:line="360" w:lineRule="auto"/>
        <w:rPr>
          <w:rFonts w:hint="eastAsia" w:ascii="宋体" w:hAnsi="宋体" w:cs="Arial"/>
          <w:bCs/>
          <w:color w:val="000000" w:themeColor="text1"/>
          <w:szCs w:val="21"/>
          <w14:textFill>
            <w14:solidFill>
              <w14:schemeClr w14:val="tx1"/>
            </w14:solidFill>
          </w14:textFill>
        </w:rPr>
      </w:pPr>
    </w:p>
    <w:p w14:paraId="603A6926">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3C1447C">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实施方案</w:t>
      </w:r>
    </w:p>
    <w:p w14:paraId="3A9CC54C">
      <w:pPr>
        <w:spacing w:after="60"/>
        <w:rPr>
          <w:rFonts w:hint="eastAsia" w:ascii="宋体" w:hAnsi="宋体"/>
          <w:color w:val="000000" w:themeColor="text1"/>
          <w14:textFill>
            <w14:solidFill>
              <w14:schemeClr w14:val="tx1"/>
            </w14:solidFill>
          </w14:textFill>
        </w:rPr>
      </w:pPr>
    </w:p>
    <w:p w14:paraId="2B49C981">
      <w:pPr>
        <w:pStyle w:val="19"/>
        <w:spacing w:after="60"/>
        <w:ind w:firstLine="48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投标人按照评标信息表相关要求提供相关材料，格式自拟。</w:t>
      </w:r>
    </w:p>
    <w:p w14:paraId="440E993B">
      <w:pPr>
        <w:widowControl/>
        <w:spacing w:afterLines="0" w:line="240" w:lineRule="auto"/>
        <w:jc w:val="left"/>
        <w:rPr>
          <w:rFonts w:hint="eastAsia" w:ascii="宋体" w:hAnsi="宋体"/>
          <w:color w:val="000000" w:themeColor="text1"/>
          <w14:textFill>
            <w14:solidFill>
              <w14:schemeClr w14:val="tx1"/>
            </w14:solidFill>
          </w14:textFill>
        </w:rPr>
      </w:pPr>
    </w:p>
    <w:p w14:paraId="3D3A20F3">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制度管理措施</w:t>
      </w:r>
    </w:p>
    <w:p w14:paraId="082B1749">
      <w:pPr>
        <w:spacing w:after="60"/>
        <w:rPr>
          <w:rFonts w:hint="eastAsia" w:ascii="宋体" w:hAnsi="宋体"/>
          <w:color w:val="000000" w:themeColor="text1"/>
          <w14:textFill>
            <w14:solidFill>
              <w14:schemeClr w14:val="tx1"/>
            </w14:solidFill>
          </w14:textFill>
        </w:rPr>
      </w:pPr>
    </w:p>
    <w:p w14:paraId="782904FD">
      <w:pPr>
        <w:widowControl/>
        <w:spacing w:afterLines="0" w:line="240" w:lineRule="auto"/>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投标人按照评标信息表相关要求提供相关材料，格式自拟。</w:t>
      </w:r>
    </w:p>
    <w:p w14:paraId="5E3D3E8B">
      <w:pPr>
        <w:pStyle w:val="19"/>
        <w:spacing w:after="60"/>
        <w:rPr>
          <w:rFonts w:hint="eastAsia" w:ascii="宋体" w:hAnsi="宋体"/>
          <w:b/>
          <w:color w:val="000000" w:themeColor="text1"/>
          <w:sz w:val="24"/>
          <w14:textFill>
            <w14:solidFill>
              <w14:schemeClr w14:val="tx1"/>
            </w14:solidFill>
          </w14:textFill>
        </w:rPr>
      </w:pPr>
    </w:p>
    <w:p w14:paraId="6848C36B">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项目重点难点分析、应对措施及相关的合理化建议</w:t>
      </w:r>
    </w:p>
    <w:p w14:paraId="693BDA3E">
      <w:pPr>
        <w:spacing w:after="60"/>
        <w:rPr>
          <w:rFonts w:hint="eastAsia" w:ascii="宋体" w:hAnsi="宋体"/>
          <w:color w:val="000000" w:themeColor="text1"/>
          <w14:textFill>
            <w14:solidFill>
              <w14:schemeClr w14:val="tx1"/>
            </w14:solidFill>
          </w14:textFill>
        </w:rPr>
      </w:pPr>
    </w:p>
    <w:p w14:paraId="38305910">
      <w:pPr>
        <w:pStyle w:val="19"/>
        <w:spacing w:after="60"/>
        <w:ind w:firstLine="48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投标人按照评标信息表相关要求提供相关材料，格式自拟。</w:t>
      </w:r>
    </w:p>
    <w:p w14:paraId="31D57ACD">
      <w:pPr>
        <w:widowControl/>
        <w:spacing w:afterLines="0" w:line="240" w:lineRule="auto"/>
        <w:jc w:val="left"/>
        <w:rPr>
          <w:rFonts w:hint="eastAsia" w:ascii="宋体" w:hAnsi="宋体"/>
          <w:color w:val="000000" w:themeColor="text1"/>
          <w14:textFill>
            <w14:solidFill>
              <w14:schemeClr w14:val="tx1"/>
            </w14:solidFill>
          </w14:textFill>
        </w:rPr>
      </w:pPr>
    </w:p>
    <w:p w14:paraId="601F9DBC">
      <w:pPr>
        <w:widowControl/>
        <w:spacing w:afterLines="0" w:line="240" w:lineRule="auto"/>
        <w:jc w:val="left"/>
        <w:rPr>
          <w:rFonts w:hint="eastAsia" w:ascii="宋体" w:hAnsi="宋体"/>
          <w:color w:val="000000" w:themeColor="text1"/>
          <w14:textFill>
            <w14:solidFill>
              <w14:schemeClr w14:val="tx1"/>
            </w14:solidFill>
          </w14:textFill>
        </w:rPr>
      </w:pPr>
    </w:p>
    <w:p w14:paraId="3AA3AB6F">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拟安排的保安队长情况</w:t>
      </w:r>
    </w:p>
    <w:p w14:paraId="02424745">
      <w:pPr>
        <w:widowControl/>
        <w:spacing w:afterLines="0" w:line="240" w:lineRule="auto"/>
        <w:jc w:val="left"/>
        <w:rPr>
          <w:rFonts w:hint="eastAsia" w:ascii="宋体" w:hAnsi="宋体"/>
          <w:color w:val="000000" w:themeColor="text1"/>
          <w14:textFill>
            <w14:solidFill>
              <w14:schemeClr w14:val="tx1"/>
            </w14:solidFill>
          </w14:textFill>
        </w:rPr>
      </w:pPr>
    </w:p>
    <w:p w14:paraId="43B4DDA2">
      <w:pPr>
        <w:pStyle w:val="19"/>
        <w:spacing w:after="60"/>
        <w:ind w:firstLine="48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投标人按照评标信息表相关要求提供相关材料，格式自拟。</w:t>
      </w:r>
    </w:p>
    <w:p w14:paraId="0FE19935">
      <w:pPr>
        <w:widowControl/>
        <w:spacing w:afterLines="0" w:line="240" w:lineRule="auto"/>
        <w:jc w:val="left"/>
        <w:rPr>
          <w:rFonts w:hint="eastAsia" w:ascii="宋体" w:hAnsi="宋体"/>
          <w:color w:val="000000" w:themeColor="text1"/>
          <w14:textFill>
            <w14:solidFill>
              <w14:schemeClr w14:val="tx1"/>
            </w14:solidFill>
          </w14:textFill>
        </w:rPr>
      </w:pPr>
    </w:p>
    <w:p w14:paraId="47BA22D5">
      <w:pPr>
        <w:widowControl/>
        <w:spacing w:afterLines="0" w:line="240" w:lineRule="auto"/>
        <w:jc w:val="left"/>
        <w:rPr>
          <w:rFonts w:hint="eastAsia" w:ascii="宋体" w:hAnsi="宋体"/>
          <w:color w:val="000000" w:themeColor="text1"/>
          <w14:textFill>
            <w14:solidFill>
              <w14:schemeClr w14:val="tx1"/>
            </w14:solidFill>
          </w14:textFill>
        </w:rPr>
      </w:pPr>
    </w:p>
    <w:p w14:paraId="7715CF6C">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拟安排的保安班长情况</w:t>
      </w:r>
    </w:p>
    <w:p w14:paraId="3B6AC6C8">
      <w:pPr>
        <w:pStyle w:val="19"/>
        <w:spacing w:after="60"/>
        <w:rPr>
          <w:rFonts w:hint="eastAsia" w:ascii="宋体" w:hAnsi="宋体"/>
          <w:color w:val="000000" w:themeColor="text1"/>
          <w14:textFill>
            <w14:solidFill>
              <w14:schemeClr w14:val="tx1"/>
            </w14:solidFill>
          </w14:textFill>
        </w:rPr>
      </w:pPr>
    </w:p>
    <w:p w14:paraId="0359E018">
      <w:pPr>
        <w:pStyle w:val="19"/>
        <w:spacing w:after="60"/>
        <w:ind w:firstLine="48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投标人按照评标信息表相关要求提供相关材料，格式自拟。</w:t>
      </w:r>
    </w:p>
    <w:p w14:paraId="0FBA88B5">
      <w:pPr>
        <w:spacing w:after="60"/>
        <w:rPr>
          <w:rFonts w:hint="eastAsia" w:ascii="宋体" w:hAnsi="宋体"/>
          <w:color w:val="000000" w:themeColor="text1"/>
          <w14:textFill>
            <w14:solidFill>
              <w14:schemeClr w14:val="tx1"/>
            </w14:solidFill>
          </w14:textFill>
        </w:rPr>
      </w:pPr>
    </w:p>
    <w:p w14:paraId="6111AA5F">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val="en-US" w:eastAsia="zh-CN"/>
          <w14:textFill>
            <w14:solidFill>
              <w14:schemeClr w14:val="tx1"/>
            </w14:solidFill>
          </w14:textFill>
        </w:rPr>
        <w:t>其他</w:t>
      </w:r>
    </w:p>
    <w:p w14:paraId="457AC3A2">
      <w:pPr>
        <w:pStyle w:val="19"/>
        <w:spacing w:after="60"/>
        <w:rPr>
          <w:rFonts w:hint="eastAsia" w:ascii="宋体" w:hAnsi="宋体"/>
          <w:color w:val="000000" w:themeColor="text1"/>
          <w14:textFill>
            <w14:solidFill>
              <w14:schemeClr w14:val="tx1"/>
            </w14:solidFill>
          </w14:textFill>
        </w:rPr>
      </w:pPr>
    </w:p>
    <w:p w14:paraId="0D75B2EF">
      <w:pPr>
        <w:pStyle w:val="19"/>
        <w:spacing w:after="60"/>
        <w:ind w:firstLine="48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投标人按照评标信息表相关要求提供相关材料，格式自拟。</w:t>
      </w:r>
    </w:p>
    <w:p w14:paraId="71D3D5A7">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66B86A7E">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关于所投涉及政府强制采购节能产品的承诺函（如需要时提供）</w:t>
      </w:r>
    </w:p>
    <w:p w14:paraId="4BDA434E">
      <w:pPr>
        <w:spacing w:after="60"/>
        <w:rPr>
          <w:rFonts w:hint="eastAsia" w:ascii="宋体" w:hAnsi="宋体"/>
          <w:color w:val="000000" w:themeColor="text1"/>
          <w14:textFill>
            <w14:solidFill>
              <w14:schemeClr w14:val="tx1"/>
            </w14:solidFill>
          </w14:textFill>
        </w:rPr>
      </w:pPr>
    </w:p>
    <w:p w14:paraId="0F54F7E2">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致：深圳市慧智工程顾问有限公司</w:t>
      </w:r>
    </w:p>
    <w:p w14:paraId="49B645D5">
      <w:pPr>
        <w:spacing w:afterLines="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我司已阅明招标文件要求，知悉招标文件涉及政府强制采购节能产品货物【《节能产品政府采购清单》，以“★”标注的货物，如:★A02010104 台式计算机、★A060806 水嘴等】的规定，承诺投标时如实响应相关要求（包括所投产品参数及所投产品属于《节能产品政府采购品目清单》内产品且认证证书有效截止日期必须在开标日仍为有效）。如投标响应及所投产品与此承诺不一致，无条件接受政府采购相关规定处理（包括但不限于投标无效、按虚假应标论处等）。</w:t>
      </w:r>
    </w:p>
    <w:p w14:paraId="70A1E713">
      <w:pPr>
        <w:spacing w:after="60"/>
        <w:rPr>
          <w:rFonts w:hint="eastAsia" w:ascii="宋体" w:hAnsi="宋体"/>
          <w:color w:val="000000" w:themeColor="text1"/>
          <w:szCs w:val="21"/>
          <w14:textFill>
            <w14:solidFill>
              <w14:schemeClr w14:val="tx1"/>
            </w14:solidFill>
          </w14:textFill>
        </w:rPr>
      </w:pPr>
    </w:p>
    <w:p w14:paraId="0E2AB6EC">
      <w:pPr>
        <w:spacing w:after="60"/>
        <w:rPr>
          <w:rFonts w:hint="eastAsia" w:ascii="宋体" w:hAnsi="宋体"/>
          <w:color w:val="000000" w:themeColor="text1"/>
          <w:szCs w:val="21"/>
          <w14:textFill>
            <w14:solidFill>
              <w14:schemeClr w14:val="tx1"/>
            </w14:solidFill>
          </w14:textFill>
        </w:rPr>
      </w:pPr>
    </w:p>
    <w:p w14:paraId="17B82852">
      <w:pPr>
        <w:spacing w:afterLines="0" w:line="360" w:lineRule="auto"/>
        <w:ind w:firstLine="3544"/>
        <w:rPr>
          <w:rFonts w:hint="eastAsia" w:ascii="宋体" w:hAnsi="宋体" w:cs="Arial"/>
          <w:color w:val="000000" w:themeColor="text1"/>
          <w:szCs w:val="21"/>
          <w:u w:val="single"/>
          <w14:textFill>
            <w14:solidFill>
              <w14:schemeClr w14:val="tx1"/>
            </w14:solidFill>
          </w14:textFill>
        </w:rPr>
      </w:pPr>
      <w:r>
        <w:rPr>
          <w:rFonts w:hint="eastAsia" w:ascii="宋体" w:hAnsi="宋体" w:cs="Arial"/>
          <w:color w:val="000000" w:themeColor="text1"/>
          <w:szCs w:val="21"/>
          <w14:textFill>
            <w14:solidFill>
              <w14:schemeClr w14:val="tx1"/>
            </w14:solidFill>
          </w14:textFill>
        </w:rPr>
        <w:t>承诺人（投标单位）：</w:t>
      </w:r>
    </w:p>
    <w:p w14:paraId="0EEF8831">
      <w:pPr>
        <w:spacing w:afterLines="0" w:line="360" w:lineRule="auto"/>
        <w:ind w:firstLine="3544"/>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承诺人（投标单位）法定代表人：</w:t>
      </w:r>
    </w:p>
    <w:p w14:paraId="16486E56">
      <w:pPr>
        <w:spacing w:afterLines="0" w:line="360" w:lineRule="auto"/>
        <w:ind w:firstLine="3544"/>
        <w:rPr>
          <w:rFonts w:hint="eastAsia" w:ascii="宋体" w:hAnsi="宋体" w:cs="Arial"/>
          <w:color w:val="000000" w:themeColor="text1"/>
          <w:szCs w:val="21"/>
          <w:u w:val="single"/>
          <w14:textFill>
            <w14:solidFill>
              <w14:schemeClr w14:val="tx1"/>
            </w14:solidFill>
          </w14:textFill>
        </w:rPr>
      </w:pPr>
      <w:r>
        <w:rPr>
          <w:rFonts w:hint="eastAsia" w:ascii="宋体" w:hAnsi="宋体" w:cs="Arial"/>
          <w:color w:val="000000" w:themeColor="text1"/>
          <w:szCs w:val="21"/>
          <w14:textFill>
            <w14:solidFill>
              <w14:schemeClr w14:val="tx1"/>
            </w14:solidFill>
          </w14:textFill>
        </w:rPr>
        <w:t>日期：</w:t>
      </w:r>
    </w:p>
    <w:p w14:paraId="73BD84FF">
      <w:pPr>
        <w:spacing w:afterLines="0" w:line="360" w:lineRule="auto"/>
        <w:rPr>
          <w:rFonts w:hint="eastAsia" w:ascii="宋体" w:hAnsi="宋体"/>
          <w:color w:val="000000" w:themeColor="text1"/>
          <w:szCs w:val="21"/>
          <w14:textFill>
            <w14:solidFill>
              <w14:schemeClr w14:val="tx1"/>
            </w14:solidFill>
          </w14:textFill>
        </w:rPr>
      </w:pPr>
    </w:p>
    <w:p w14:paraId="48A42DD6">
      <w:pPr>
        <w:spacing w:afterLines="0" w:line="360" w:lineRule="auto"/>
        <w:rPr>
          <w:rFonts w:hint="eastAsia" w:ascii="宋体" w:hAnsi="宋体"/>
          <w:color w:val="000000" w:themeColor="text1"/>
          <w:szCs w:val="21"/>
          <w14:textFill>
            <w14:solidFill>
              <w14:schemeClr w14:val="tx1"/>
            </w14:solidFill>
          </w14:textFill>
        </w:rPr>
      </w:pPr>
    </w:p>
    <w:p w14:paraId="5D7F46AD">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备注：涉及政府强制采购节能产品项目，投标人不提供或不按此要求作出承诺视为没有实质性响应招标要求，作投标无效处理。</w:t>
      </w:r>
    </w:p>
    <w:p w14:paraId="76C7562D">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5841FBCD">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政府采购优惠政策</w:t>
      </w:r>
    </w:p>
    <w:p w14:paraId="7665C042">
      <w:pPr>
        <w:spacing w:after="60"/>
        <w:rPr>
          <w:rFonts w:hint="eastAsia" w:ascii="宋体" w:hAnsi="宋体"/>
          <w:color w:val="000000" w:themeColor="text1"/>
          <w14:textFill>
            <w14:solidFill>
              <w14:schemeClr w14:val="tx1"/>
            </w14:solidFill>
          </w14:textFill>
        </w:rPr>
      </w:pPr>
    </w:p>
    <w:p w14:paraId="388DAD8C">
      <w:pPr>
        <w:spacing w:afterLines="0"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中小企业声明函及残疾人福利性单位声明函</w:t>
      </w:r>
      <w:bookmarkStart w:id="34" w:name="OLE_LINK57"/>
      <w:r>
        <w:rPr>
          <w:rFonts w:hint="eastAsia" w:ascii="宋体" w:hAnsi="宋体"/>
          <w:b/>
          <w:color w:val="000000" w:themeColor="text1"/>
          <w:szCs w:val="21"/>
          <w14:textFill>
            <w14:solidFill>
              <w14:schemeClr w14:val="tx1"/>
            </w14:solidFill>
          </w14:textFill>
        </w:rPr>
        <w:t>（或省级以上监狱管理局、戒毒管理局（含新疆生产建设兵团）出具的属于监狱企业的证明文件）</w:t>
      </w:r>
      <w:bookmarkEnd w:id="34"/>
    </w:p>
    <w:p w14:paraId="2E479A38">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p w14:paraId="0BF41F54">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填写指引：</w:t>
      </w:r>
    </w:p>
    <w:p w14:paraId="2F6289D9">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该部分内容由投标人根据自身实际情况填写，不符合优惠政策要求的投标人无需提供相应的声明函。投标人提供的声明函不属实的，属于提供虚假资料谋取中标，依照《中华人民共和国政府采购法》等国家有关规定追究相应责任。</w:t>
      </w:r>
    </w:p>
    <w:p w14:paraId="724F0360">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2、该部分内容填写需要参考的相关文件包括但不限于：</w:t>
      </w:r>
    </w:p>
    <w:p w14:paraId="5C4166E5">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(1)《政府采购促进中小企业发展管理办法》（财库〔2020〕46号），链接：</w:t>
      </w:r>
      <w:r>
        <w:fldChar w:fldCharType="begin"/>
      </w:r>
      <w:r>
        <w:instrText xml:space="preserve"> HYPERLINK "http://www.ccgp.gov.cn/news/202012/t20201229_15715888.htm" </w:instrText>
      </w:r>
      <w:r>
        <w:fldChar w:fldCharType="separate"/>
      </w:r>
      <w:r>
        <w:rPr>
          <w:rFonts w:hint="eastAsia" w:ascii="宋体" w:hAnsi="宋体"/>
          <w:color w:val="000000" w:themeColor="text1"/>
          <w:szCs w:val="21"/>
          <w14:textFill>
            <w14:solidFill>
              <w14:schemeClr w14:val="tx1"/>
            </w14:solidFill>
          </w14:textFill>
        </w:rPr>
        <w:t>www.ccgp.gov.cn/news/202012/t20201229_15715888.htm</w:t>
      </w:r>
      <w:r>
        <w:rPr>
          <w:rFonts w:hint="eastAsia" w:ascii="宋体" w:hAnsi="宋体"/>
          <w:color w:val="000000" w:themeColor="text1"/>
          <w:szCs w:val="21"/>
          <w14:textFill>
            <w14:solidFill>
              <w14:schemeClr w14:val="tx1"/>
            </w14:solidFill>
          </w14:textFill>
        </w:rPr>
        <w:fldChar w:fldCharType="end"/>
      </w:r>
    </w:p>
    <w:p w14:paraId="5415441E">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bookmarkStart w:id="35" w:name="_Hlk71925120"/>
      <w:r>
        <w:rPr>
          <w:rFonts w:hint="eastAsia" w:ascii="宋体" w:hAnsi="宋体"/>
          <w:color w:val="000000" w:themeColor="text1"/>
          <w:szCs w:val="21"/>
          <w14:textFill>
            <w14:solidFill>
              <w14:schemeClr w14:val="tx1"/>
            </w14:solidFill>
          </w14:textFill>
        </w:rPr>
        <w:t>《关于印发中小企业划型标准规定的通知》（工信部联企业〔2011〕300 号</w:t>
      </w:r>
      <w:bookmarkEnd w:id="35"/>
      <w:r>
        <w:rPr>
          <w:rFonts w:hint="eastAsia" w:ascii="宋体" w:hAnsi="宋体"/>
          <w:color w:val="000000" w:themeColor="text1"/>
          <w:szCs w:val="21"/>
          <w14:textFill>
            <w14:solidFill>
              <w14:schemeClr w14:val="tx1"/>
            </w14:solidFill>
          </w14:textFill>
        </w:rPr>
        <w:t>），链接：</w:t>
      </w:r>
      <w:r>
        <w:fldChar w:fldCharType="begin"/>
      </w:r>
      <w:r>
        <w:instrText xml:space="preserve"> HYPERLINK "http://www.gov.cn/zwgk/2011-07/04/content_1898747.htm" </w:instrText>
      </w:r>
      <w:r>
        <w:fldChar w:fldCharType="separate"/>
      </w:r>
      <w:r>
        <w:rPr>
          <w:rFonts w:hint="eastAsia" w:ascii="宋体" w:hAnsi="宋体"/>
          <w:color w:val="000000" w:themeColor="text1"/>
          <w:szCs w:val="21"/>
          <w14:textFill>
            <w14:solidFill>
              <w14:schemeClr w14:val="tx1"/>
            </w14:solidFill>
          </w14:textFill>
        </w:rPr>
        <w:t>www.gov.cn/zwgk/2011-07/04/content_1898747.htm</w:t>
      </w:r>
      <w:r>
        <w:rPr>
          <w:rFonts w:hint="eastAsia" w:ascii="宋体" w:hAnsi="宋体"/>
          <w:color w:val="000000" w:themeColor="text1"/>
          <w:szCs w:val="21"/>
          <w14:textFill>
            <w14:solidFill>
              <w14:schemeClr w14:val="tx1"/>
            </w14:solidFill>
          </w14:textFill>
        </w:rPr>
        <w:fldChar w:fldCharType="end"/>
      </w:r>
    </w:p>
    <w:p w14:paraId="4EE32670">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hint="eastAsia" w:ascii="宋体" w:hAnsi="宋体"/>
          <w:color w:val="000000" w:themeColor="text1"/>
          <w:szCs w:val="21"/>
          <w14:textFill>
            <w14:solidFill>
              <w14:schemeClr w14:val="tx1"/>
            </w14:solidFill>
          </w14:textFill>
        </w:rPr>
        <w:t>www.stats.gov.cn/tjsj/tjbz/201801/t20180103_1569357.html</w:t>
      </w:r>
      <w:r>
        <w:rPr>
          <w:rFonts w:hint="eastAsia" w:ascii="宋体" w:hAnsi="宋体"/>
          <w:color w:val="000000" w:themeColor="text1"/>
          <w:szCs w:val="21"/>
          <w14:textFill>
            <w14:solidFill>
              <w14:schemeClr w14:val="tx1"/>
            </w14:solidFill>
          </w14:textFill>
        </w:rPr>
        <w:fldChar w:fldCharType="end"/>
      </w:r>
    </w:p>
    <w:p w14:paraId="7B4673F8">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hint="eastAsia" w:ascii="宋体" w:hAnsi="宋体"/>
          <w:color w:val="000000" w:themeColor="text1"/>
          <w:szCs w:val="21"/>
          <w14:textFill>
            <w14:solidFill>
              <w14:schemeClr w14:val="tx1"/>
            </w14:solidFill>
          </w14:textFill>
        </w:rPr>
        <w:t>www.ccgp.gov.cn/zcfg/mof/201709/t20170904_8787205.shtml</w:t>
      </w:r>
      <w:r>
        <w:rPr>
          <w:rFonts w:hint="eastAsia" w:ascii="宋体" w:hAnsi="宋体"/>
          <w:color w:val="000000" w:themeColor="text1"/>
          <w:szCs w:val="21"/>
          <w14:textFill>
            <w14:solidFill>
              <w14:schemeClr w14:val="tx1"/>
            </w14:solidFill>
          </w14:textFill>
        </w:rPr>
        <w:fldChar w:fldCharType="end"/>
      </w:r>
    </w:p>
    <w:p w14:paraId="58DBF6C4">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hint="eastAsia" w:ascii="宋体" w:hAnsi="宋体"/>
          <w:color w:val="000000" w:themeColor="text1"/>
          <w:szCs w:val="21"/>
          <w14:textFill>
            <w14:solidFill>
              <w14:schemeClr w14:val="tx1"/>
            </w14:solidFill>
          </w14:textFill>
        </w:rPr>
        <w:t>www.ccgp.gov.cn/zcfg/mof/201406/t20140616_4619272.htm</w:t>
      </w:r>
      <w:r>
        <w:rPr>
          <w:rFonts w:hint="eastAsia" w:ascii="宋体" w:hAnsi="宋体"/>
          <w:color w:val="000000" w:themeColor="text1"/>
          <w:szCs w:val="21"/>
          <w14:textFill>
            <w14:solidFill>
              <w14:schemeClr w14:val="tx1"/>
            </w14:solidFill>
          </w14:textFill>
        </w:rPr>
        <w:fldChar w:fldCharType="end"/>
      </w:r>
    </w:p>
    <w:p w14:paraId="099698D8">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3、请依照招标文件提供的格式和内容填写声明函，不要随意变更格式；声明函不需要盖章或签字；满足多项优惠政策的投标人，不重复享受多项价格扣除政策。</w:t>
      </w:r>
    </w:p>
    <w:p w14:paraId="71724F90">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4、声明函具体填写要求：</w:t>
      </w:r>
    </w:p>
    <w:p w14:paraId="496330E3">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（1）声明是中小企业须填写《中小企业声明函》的以下内容：</w:t>
      </w:r>
    </w:p>
    <w:p w14:paraId="7D574BC1">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第一处，在“采购人名称”下划线处如实填写采购人名称（深圳市慧智工程顾问有限公司不是本项目的采购人，而是组织实施机构）；</w:t>
      </w:r>
    </w:p>
    <w:p w14:paraId="19021C68">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第二处，在“项目名称”下划线处如实填写采购项目名称；</w:t>
      </w:r>
    </w:p>
    <w:p w14:paraId="01088DD6">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第三处，在“标的名称”下划线处填写所采购标的（货物或服务）的具体名称；如果涉及多项标的（货物或服务）为同一企业制造或承接，“标的名称”下划线处可以如实填写多项标的名称；</w:t>
      </w:r>
    </w:p>
    <w:p w14:paraId="40360C3B">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第四处，在“招标文件中明确的所属行业”下划线处填写采购标的对应的中小企业划分标准所属行业；</w:t>
      </w:r>
    </w:p>
    <w:p w14:paraId="748003D4">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6E1FE3DC">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（2）声明是残疾人福利性单位须填写《残疾人福利性单位声明函》的相关内容，具体参照以上《中小企业声明函》填写要求执行。</w:t>
      </w:r>
    </w:p>
    <w:p w14:paraId="587554E6">
      <w:pPr>
        <w:spacing w:afterLines="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（3）声明是监狱企业须填写《监狱企业声明函》的三项内容，具体参照以上《中小企业声明函》填写要求执行。</w:t>
      </w:r>
    </w:p>
    <w:p w14:paraId="2846DDA3">
      <w:pPr>
        <w:spacing w:afterLines="0" w:line="360" w:lineRule="auto"/>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5、声明函的有效性最终由评审委员会判定；如评审委员会判定声明函无效，相关供应商不享受价格扣除（但不作投标无效处理）。</w:t>
      </w:r>
    </w:p>
    <w:p w14:paraId="41B18723">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6、对中小企业的认定，由企业所在地的县级以上中小企业主管部门负责。建议深圳企业提供《中小企业声明函》前，咨询深圳市中小企业服务局（</w:t>
      </w:r>
      <w:r>
        <w:rPr>
          <w:rFonts w:ascii="宋体" w:hAnsi="宋体"/>
          <w:color w:val="000000" w:themeColor="text1"/>
          <w:szCs w:val="21"/>
          <w14:textFill>
            <w14:solidFill>
              <w14:schemeClr w14:val="tx1"/>
            </w14:solidFill>
          </w14:textFill>
        </w:rPr>
        <w:t>http://zxqyj.sz.gov.cn/</w:t>
      </w:r>
      <w:r>
        <w:rPr>
          <w:rFonts w:hint="eastAsia" w:ascii="宋体" w:hAnsi="宋体"/>
          <w:color w:val="000000" w:themeColor="text1"/>
          <w:szCs w:val="21"/>
          <w14:textFill>
            <w14:solidFill>
              <w14:schemeClr w14:val="tx1"/>
            </w14:solidFill>
          </w14:textFill>
        </w:rPr>
        <w:t>），以免造成声明有误。</w:t>
      </w:r>
    </w:p>
    <w:p w14:paraId="529A2A26">
      <w:pPr>
        <w:spacing w:after="6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 w:val="28"/>
          <w14:textFill>
            <w14:solidFill>
              <w14:schemeClr w14:val="tx1"/>
            </w14:solidFill>
          </w14:textFill>
        </w:rPr>
        <w:t>中小企业声明函</w:t>
      </w:r>
      <w:r>
        <w:rPr>
          <w:rFonts w:ascii="宋体" w:hAnsi="宋体"/>
          <w:b/>
          <w:color w:val="000000" w:themeColor="text1"/>
          <w:sz w:val="28"/>
          <w14:textFill>
            <w14:solidFill>
              <w14:schemeClr w14:val="tx1"/>
            </w14:solidFill>
          </w14:textFill>
        </w:rPr>
        <w:t>(货物)</w:t>
      </w:r>
    </w:p>
    <w:p w14:paraId="7F4FC4E0">
      <w:pPr>
        <w:spacing w:after="60" w:line="360" w:lineRule="auto"/>
        <w:ind w:firstLine="405" w:firstLineChars="19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本公司</w:t>
      </w:r>
      <w:r>
        <w:rPr>
          <w:rFonts w:ascii="宋体" w:hAnsi="宋体"/>
          <w:color w:val="000000" w:themeColor="text1"/>
          <w:szCs w:val="21"/>
          <w14:textFill>
            <w14:solidFill>
              <w14:schemeClr w14:val="tx1"/>
            </w14:solidFill>
          </w14:textFill>
        </w:rPr>
        <w:t>(联合体)郑重声明，根据《政府采购促进中小</w:t>
      </w:r>
      <w:r>
        <w:rPr>
          <w:rFonts w:hint="eastAsia" w:ascii="宋体" w:hAnsi="宋体"/>
          <w:color w:val="000000" w:themeColor="text1"/>
          <w:szCs w:val="21"/>
          <w14:textFill>
            <w14:solidFill>
              <w14:schemeClr w14:val="tx1"/>
            </w14:solidFill>
          </w14:textFill>
        </w:rPr>
        <w:t>企业发展管理办法》</w:t>
      </w:r>
      <w:r>
        <w:rPr>
          <w:rFonts w:ascii="宋体" w:hAnsi="宋体"/>
          <w:color w:val="000000" w:themeColor="text1"/>
          <w:szCs w:val="21"/>
          <w14:textFill>
            <w14:solidFill>
              <w14:schemeClr w14:val="tx1"/>
            </w14:solidFill>
          </w14:textFill>
        </w:rPr>
        <w:t>(财库( 2020 )46号)的规定，本公司(联合体)参加</w:t>
      </w:r>
      <w:r>
        <w:rPr>
          <w:rFonts w:ascii="宋体" w:hAnsi="宋体"/>
          <w:i/>
          <w:color w:val="000000" w:themeColor="text1"/>
          <w:szCs w:val="21"/>
          <w:u w:val="single"/>
          <w14:textFill>
            <w14:solidFill>
              <w14:schemeClr w14:val="tx1"/>
            </w14:solidFill>
          </w14:textFill>
        </w:rPr>
        <w:t>_(</w:t>
      </w:r>
      <w:r>
        <w:rPr>
          <w:rFonts w:hint="eastAsia" w:ascii="宋体" w:hAnsi="宋体"/>
          <w:b/>
          <w:color w:val="000000" w:themeColor="text1"/>
          <w:szCs w:val="21"/>
          <w:u w:val="single"/>
          <w14:textFill>
            <w14:solidFill>
              <w14:schemeClr w14:val="tx1"/>
            </w14:solidFill>
          </w14:textFill>
        </w:rPr>
        <w:t>采购人</w:t>
      </w:r>
      <w:r>
        <w:rPr>
          <w:rFonts w:ascii="宋体" w:hAnsi="宋体"/>
          <w:b/>
          <w:color w:val="000000" w:themeColor="text1"/>
          <w:szCs w:val="21"/>
          <w:u w:val="single"/>
          <w14:textFill>
            <w14:solidFill>
              <w14:schemeClr w14:val="tx1"/>
            </w14:solidFill>
          </w14:textFill>
        </w:rPr>
        <w:t>名称</w:t>
      </w:r>
      <w:r>
        <w:rPr>
          <w:rFonts w:ascii="宋体" w:hAnsi="宋体"/>
          <w:i/>
          <w:color w:val="000000" w:themeColor="text1"/>
          <w:szCs w:val="21"/>
          <w:u w:val="single"/>
          <w14:textFill>
            <w14:solidFill>
              <w14:schemeClr w14:val="tx1"/>
            </w14:solidFill>
          </w14:textFill>
        </w:rPr>
        <w:t>)</w:t>
      </w:r>
      <w:r>
        <w:rPr>
          <w:rFonts w:ascii="宋体" w:hAnsi="宋体"/>
          <w:color w:val="000000" w:themeColor="text1"/>
          <w:szCs w:val="21"/>
          <w14:textFill>
            <w14:solidFill>
              <w14:schemeClr w14:val="tx1"/>
            </w14:solidFill>
          </w14:textFill>
        </w:rPr>
        <w:t>的</w:t>
      </w:r>
      <w:r>
        <w:rPr>
          <w:rFonts w:ascii="宋体" w:hAnsi="宋体"/>
          <w:i/>
          <w:color w:val="000000" w:themeColor="text1"/>
          <w:szCs w:val="21"/>
          <w:u w:val="single"/>
          <w14:textFill>
            <w14:solidFill>
              <w14:schemeClr w14:val="tx1"/>
            </w14:solidFill>
          </w14:textFill>
        </w:rPr>
        <w:t>(</w:t>
      </w:r>
      <w:r>
        <w:rPr>
          <w:rFonts w:ascii="宋体" w:hAnsi="宋体"/>
          <w:b/>
          <w:color w:val="000000" w:themeColor="text1"/>
          <w:szCs w:val="21"/>
          <w:u w:val="single"/>
          <w14:textFill>
            <w14:solidFill>
              <w14:schemeClr w14:val="tx1"/>
            </w14:solidFill>
          </w14:textFill>
        </w:rPr>
        <w:t>项目名称</w:t>
      </w:r>
      <w:r>
        <w:rPr>
          <w:rFonts w:ascii="宋体" w:hAnsi="宋体"/>
          <w:i/>
          <w:color w:val="000000" w:themeColor="text1"/>
          <w:szCs w:val="21"/>
          <w:u w:val="single"/>
          <w14:textFill>
            <w14:solidFill>
              <w14:schemeClr w14:val="tx1"/>
            </w14:solidFill>
          </w14:textFill>
        </w:rPr>
        <w:t>)</w:t>
      </w:r>
      <w:r>
        <w:rPr>
          <w:rFonts w:ascii="宋体" w:hAnsi="宋体"/>
          <w:color w:val="000000" w:themeColor="text1"/>
          <w:szCs w:val="21"/>
          <w14:textFill>
            <w14:solidFill>
              <w14:schemeClr w14:val="tx1"/>
            </w14:solidFill>
          </w14:textFill>
        </w:rPr>
        <w:t>采购活动，提</w:t>
      </w:r>
      <w:r>
        <w:rPr>
          <w:rFonts w:hint="eastAsia" w:ascii="宋体" w:hAnsi="宋体"/>
          <w:color w:val="000000" w:themeColor="text1"/>
          <w:szCs w:val="21"/>
          <w14:textFill>
            <w14:solidFill>
              <w14:schemeClr w14:val="tx1"/>
            </w14:solidFill>
          </w14:textFill>
        </w:rPr>
        <w:t>供的货物全部由符合政策要求的中小企业制造。相关企业</w:t>
      </w:r>
      <w:r>
        <w:rPr>
          <w:rFonts w:ascii="宋体" w:hAnsi="宋体"/>
          <w:color w:val="000000" w:themeColor="text1"/>
          <w:szCs w:val="21"/>
          <w14:textFill>
            <w14:solidFill>
              <w14:schemeClr w14:val="tx1"/>
            </w14:solidFill>
          </w14:textFill>
        </w:rPr>
        <w:t>(含联合体中的中小企业、签订分包意向协议的中小企业)</w:t>
      </w:r>
      <w:r>
        <w:rPr>
          <w:rFonts w:hint="eastAsia" w:ascii="宋体" w:hAnsi="宋体"/>
          <w:color w:val="000000" w:themeColor="text1"/>
          <w:szCs w:val="21"/>
          <w14:textFill>
            <w14:solidFill>
              <w14:schemeClr w14:val="tx1"/>
            </w14:solidFill>
          </w14:textFill>
        </w:rPr>
        <w:t>的具体情况如下：</w:t>
      </w:r>
    </w:p>
    <w:p w14:paraId="3240B3BF">
      <w:pPr>
        <w:spacing w:after="60" w:line="360" w:lineRule="auto"/>
        <w:ind w:firstLine="405" w:firstLineChars="193"/>
        <w:rPr>
          <w:rFonts w:hint="eastAsia" w:ascii="宋体" w:hAnsi="宋体"/>
          <w:i/>
          <w:color w:val="000000" w:themeColor="text1"/>
          <w:szCs w:val="21"/>
          <w:u w:val="single"/>
          <w14:textFill>
            <w14:solidFill>
              <w14:schemeClr w14:val="tx1"/>
            </w14:solidFill>
          </w14:textFill>
        </w:rPr>
      </w:pPr>
      <w:r>
        <w:rPr>
          <w:rFonts w:hint="eastAsia" w:ascii="宋体" w:hAnsi="宋体"/>
          <w:i/>
          <w:color w:val="000000" w:themeColor="text1"/>
          <w:szCs w:val="21"/>
          <w:u w:val="single"/>
          <w14:textFill>
            <w14:solidFill>
              <w14:schemeClr w14:val="tx1"/>
            </w14:solidFill>
          </w14:textFill>
        </w:rPr>
        <w:t>1.</w:t>
      </w:r>
      <w:r>
        <w:rPr>
          <w:rFonts w:ascii="宋体" w:hAnsi="宋体"/>
          <w:i/>
          <w:color w:val="000000" w:themeColor="text1"/>
          <w:szCs w:val="21"/>
          <w:u w:val="single"/>
          <w14:textFill>
            <w14:solidFill>
              <w14:schemeClr w14:val="tx1"/>
            </w14:solidFill>
          </w14:textFill>
        </w:rPr>
        <w:t>(</w:t>
      </w:r>
      <w:r>
        <w:rPr>
          <w:rFonts w:ascii="宋体" w:hAnsi="宋体"/>
          <w:b/>
          <w:color w:val="000000" w:themeColor="text1"/>
          <w:szCs w:val="21"/>
          <w:u w:val="single"/>
          <w14:textFill>
            <w14:solidFill>
              <w14:schemeClr w14:val="tx1"/>
            </w14:solidFill>
          </w14:textFill>
        </w:rPr>
        <w:t>标的名称</w:t>
      </w:r>
      <w:r>
        <w:rPr>
          <w:rFonts w:ascii="宋体" w:hAnsi="宋体"/>
          <w:i/>
          <w:color w:val="000000" w:themeColor="text1"/>
          <w:szCs w:val="21"/>
          <w:u w:val="single"/>
          <w14:textFill>
            <w14:solidFill>
              <w14:schemeClr w14:val="tx1"/>
            </w14:solidFill>
          </w14:textFill>
        </w:rPr>
        <w:t>)</w:t>
      </w:r>
      <w:r>
        <w:rPr>
          <w:rFonts w:ascii="宋体" w:hAnsi="宋体"/>
          <w:color w:val="000000" w:themeColor="text1"/>
          <w:szCs w:val="21"/>
          <w14:textFill>
            <w14:solidFill>
              <w14:schemeClr w14:val="tx1"/>
            </w14:solidFill>
          </w14:textFill>
        </w:rPr>
        <w:t>，属于</w:t>
      </w:r>
      <w:r>
        <w:rPr>
          <w:rFonts w:ascii="宋体" w:hAnsi="宋体"/>
          <w:i/>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招标</w:t>
      </w:r>
      <w:r>
        <w:rPr>
          <w:rFonts w:ascii="宋体" w:hAnsi="宋体"/>
          <w:b/>
          <w:color w:val="000000" w:themeColor="text1"/>
          <w:szCs w:val="21"/>
          <w:u w:val="single"/>
          <w14:textFill>
            <w14:solidFill>
              <w14:schemeClr w14:val="tx1"/>
            </w14:solidFill>
          </w14:textFill>
        </w:rPr>
        <w:t>文件中明确的所属行业</w:t>
      </w:r>
      <w:r>
        <w:rPr>
          <w:rFonts w:ascii="宋体" w:hAnsi="宋体"/>
          <w:i/>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行业；</w:t>
      </w:r>
      <w:r>
        <w:rPr>
          <w:rFonts w:ascii="宋体" w:hAnsi="宋体"/>
          <w:color w:val="000000" w:themeColor="text1"/>
          <w:szCs w:val="21"/>
          <w14:textFill>
            <w14:solidFill>
              <w14:schemeClr w14:val="tx1"/>
            </w14:solidFill>
          </w14:textFill>
        </w:rPr>
        <w:t>制造商为</w:t>
      </w:r>
      <w:r>
        <w:rPr>
          <w:rFonts w:ascii="宋体" w:hAnsi="宋体"/>
          <w:i/>
          <w:color w:val="000000" w:themeColor="text1"/>
          <w:szCs w:val="21"/>
          <w:u w:val="single"/>
          <w14:textFill>
            <w14:solidFill>
              <w14:schemeClr w14:val="tx1"/>
            </w14:solidFill>
          </w14:textFill>
        </w:rPr>
        <w:t>(</w:t>
      </w:r>
      <w:r>
        <w:rPr>
          <w:rFonts w:ascii="宋体" w:hAnsi="宋体"/>
          <w:b/>
          <w:color w:val="000000" w:themeColor="text1"/>
          <w:szCs w:val="21"/>
          <w:u w:val="single"/>
          <w14:textFill>
            <w14:solidFill>
              <w14:schemeClr w14:val="tx1"/>
            </w14:solidFill>
          </w14:textFill>
        </w:rPr>
        <w:t>企业名称</w:t>
      </w:r>
      <w:r>
        <w:rPr>
          <w:rFonts w:ascii="宋体" w:hAnsi="宋体"/>
          <w:i/>
          <w:color w:val="000000" w:themeColor="text1"/>
          <w:szCs w:val="21"/>
          <w:u w:val="single"/>
          <w14:textFill>
            <w14:solidFill>
              <w14:schemeClr w14:val="tx1"/>
            </w14:solidFill>
          </w14:textFill>
        </w:rPr>
        <w:t>)</w:t>
      </w:r>
      <w:r>
        <w:rPr>
          <w:rFonts w:ascii="宋体" w:hAnsi="宋体"/>
          <w:color w:val="000000" w:themeColor="text1"/>
          <w:szCs w:val="21"/>
          <w14:textFill>
            <w14:solidFill>
              <w14:schemeClr w14:val="tx1"/>
            </w14:solidFill>
          </w14:textFill>
        </w:rPr>
        <w:t>，从业人员</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人， 营业收</w:t>
      </w:r>
      <w:r>
        <w:rPr>
          <w:rFonts w:hint="eastAsia" w:ascii="宋体" w:hAnsi="宋体"/>
          <w:color w:val="000000" w:themeColor="text1"/>
          <w:szCs w:val="21"/>
          <w14:textFill>
            <w14:solidFill>
              <w14:schemeClr w14:val="tx1"/>
            </w14:solidFill>
          </w14:textFill>
        </w:rPr>
        <w:t>入为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万元，资产总额为</w:t>
      </w:r>
      <w:r>
        <w:rPr>
          <w:rFonts w:ascii="宋体" w:hAnsi="宋体"/>
          <w:color w:val="000000" w:themeColor="text1"/>
          <w:szCs w:val="21"/>
          <w:u w:val="single"/>
          <w14:textFill>
            <w14:solidFill>
              <w14:schemeClr w14:val="tx1"/>
            </w14:solidFill>
          </w14:textFill>
        </w:rPr>
        <w:t xml:space="preserve">__ </w:t>
      </w:r>
      <w:r>
        <w:rPr>
          <w:rFonts w:ascii="宋体" w:hAnsi="宋体"/>
          <w:color w:val="000000" w:themeColor="text1"/>
          <w:szCs w:val="21"/>
          <w14:textFill>
            <w14:solidFill>
              <w14:schemeClr w14:val="tx1"/>
            </w14:solidFill>
          </w14:textFill>
        </w:rPr>
        <w:t>万元</w:t>
      </w:r>
      <w:r>
        <w:rPr>
          <w:rFonts w:hint="eastAsia" w:ascii="宋体" w:hAnsi="宋体"/>
          <w:color w:val="000000" w:themeColor="text1"/>
          <w:szCs w:val="21"/>
          <w:vertAlign w:val="superscript"/>
          <w14:textFill>
            <w14:solidFill>
              <w14:schemeClr w14:val="tx1"/>
            </w14:solidFill>
          </w14:textFill>
        </w:rPr>
        <w:t>1</w:t>
      </w:r>
      <w:r>
        <w:rPr>
          <w:rFonts w:ascii="宋体" w:hAnsi="宋体"/>
          <w:color w:val="000000" w:themeColor="text1"/>
          <w:szCs w:val="21"/>
          <w14:textFill>
            <w14:solidFill>
              <w14:schemeClr w14:val="tx1"/>
            </w14:solidFill>
          </w14:textFill>
        </w:rPr>
        <w:t>，属于</w:t>
      </w:r>
      <w:r>
        <w:rPr>
          <w:rFonts w:ascii="宋体" w:hAnsi="宋体"/>
          <w:i/>
          <w:color w:val="000000" w:themeColor="text1"/>
          <w:szCs w:val="21"/>
          <w:u w:val="single"/>
          <w14:textFill>
            <w14:solidFill>
              <w14:schemeClr w14:val="tx1"/>
            </w14:solidFill>
          </w14:textFill>
        </w:rPr>
        <w:t xml:space="preserve"> </w:t>
      </w:r>
      <w:r>
        <w:rPr>
          <w:rFonts w:hint="eastAsia" w:ascii="宋体" w:hAnsi="宋体"/>
          <w:i/>
          <w:color w:val="000000" w:themeColor="text1"/>
          <w:szCs w:val="21"/>
          <w:u w:val="single"/>
          <w14:textFill>
            <w14:solidFill>
              <w14:schemeClr w14:val="tx1"/>
            </w14:solidFill>
          </w14:textFill>
        </w:rPr>
        <w:t xml:space="preserve">    </w:t>
      </w:r>
      <w:r>
        <w:rPr>
          <w:rFonts w:ascii="宋体" w:hAnsi="宋体"/>
          <w:i/>
          <w:color w:val="000000" w:themeColor="text1"/>
          <w:szCs w:val="21"/>
          <w:u w:val="single"/>
          <w14:textFill>
            <w14:solidFill>
              <w14:schemeClr w14:val="tx1"/>
            </w14:solidFill>
          </w14:textFill>
        </w:rPr>
        <w:t>(</w:t>
      </w:r>
      <w:r>
        <w:rPr>
          <w:rFonts w:ascii="宋体" w:hAnsi="宋体"/>
          <w:b/>
          <w:color w:val="000000" w:themeColor="text1"/>
          <w:szCs w:val="21"/>
          <w:u w:val="single"/>
          <w14:textFill>
            <w14:solidFill>
              <w14:schemeClr w14:val="tx1"/>
            </w14:solidFill>
          </w14:textFill>
        </w:rPr>
        <w:t>中型企业、小型企业、微型企业</w:t>
      </w:r>
      <w:r>
        <w:rPr>
          <w:rFonts w:hint="eastAsia" w:ascii="宋体" w:hAnsi="宋体"/>
          <w:i/>
          <w:color w:val="000000" w:themeColor="text1"/>
          <w:szCs w:val="21"/>
          <w:u w:val="single"/>
          <w14:textFill>
            <w14:solidFill>
              <w14:schemeClr w14:val="tx1"/>
            </w14:solidFill>
          </w14:textFill>
        </w:rPr>
        <w:t>）；</w:t>
      </w:r>
    </w:p>
    <w:p w14:paraId="773C6F4A">
      <w:pPr>
        <w:spacing w:after="60" w:line="360" w:lineRule="auto"/>
        <w:ind w:firstLine="405" w:firstLineChars="193"/>
        <w:rPr>
          <w:rFonts w:hint="eastAsia" w:ascii="宋体" w:hAnsi="宋体"/>
          <w:i/>
          <w:color w:val="000000" w:themeColor="text1"/>
          <w:szCs w:val="21"/>
          <w:u w:val="single"/>
          <w14:textFill>
            <w14:solidFill>
              <w14:schemeClr w14:val="tx1"/>
            </w14:solidFill>
          </w14:textFill>
        </w:rPr>
      </w:pPr>
      <w:r>
        <w:rPr>
          <w:rFonts w:hint="eastAsia" w:ascii="宋体" w:hAnsi="宋体"/>
          <w:i/>
          <w:color w:val="000000" w:themeColor="text1"/>
          <w:szCs w:val="21"/>
          <w:u w:val="single"/>
          <w14:textFill>
            <w14:solidFill>
              <w14:schemeClr w14:val="tx1"/>
            </w14:solidFill>
          </w14:textFill>
        </w:rPr>
        <w:t>2.</w:t>
      </w:r>
      <w:r>
        <w:rPr>
          <w:rFonts w:ascii="宋体" w:hAnsi="宋体"/>
          <w:i/>
          <w:color w:val="000000" w:themeColor="text1"/>
          <w:szCs w:val="21"/>
          <w:u w:val="single"/>
          <w14:textFill>
            <w14:solidFill>
              <w14:schemeClr w14:val="tx1"/>
            </w14:solidFill>
          </w14:textFill>
        </w:rPr>
        <w:t>(</w:t>
      </w:r>
      <w:r>
        <w:rPr>
          <w:rFonts w:ascii="宋体" w:hAnsi="宋体"/>
          <w:b/>
          <w:color w:val="000000" w:themeColor="text1"/>
          <w:szCs w:val="21"/>
          <w:u w:val="single"/>
          <w14:textFill>
            <w14:solidFill>
              <w14:schemeClr w14:val="tx1"/>
            </w14:solidFill>
          </w14:textFill>
        </w:rPr>
        <w:t>标的名称</w:t>
      </w:r>
      <w:r>
        <w:rPr>
          <w:rFonts w:ascii="宋体" w:hAnsi="宋体"/>
          <w:i/>
          <w:color w:val="000000" w:themeColor="text1"/>
          <w:szCs w:val="21"/>
          <w:u w:val="single"/>
          <w14:textFill>
            <w14:solidFill>
              <w14:schemeClr w14:val="tx1"/>
            </w14:solidFill>
          </w14:textFill>
        </w:rPr>
        <w:t>)</w:t>
      </w:r>
      <w:r>
        <w:rPr>
          <w:rFonts w:ascii="宋体" w:hAnsi="宋体"/>
          <w:color w:val="000000" w:themeColor="text1"/>
          <w:szCs w:val="21"/>
          <w14:textFill>
            <w14:solidFill>
              <w14:schemeClr w14:val="tx1"/>
            </w14:solidFill>
          </w14:textFill>
        </w:rPr>
        <w:t>，属于</w:t>
      </w:r>
      <w:r>
        <w:rPr>
          <w:rFonts w:ascii="宋体" w:hAnsi="宋体"/>
          <w:i/>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招标</w:t>
      </w:r>
      <w:r>
        <w:rPr>
          <w:rFonts w:ascii="宋体" w:hAnsi="宋体"/>
          <w:b/>
          <w:color w:val="000000" w:themeColor="text1"/>
          <w:szCs w:val="21"/>
          <w:u w:val="single"/>
          <w14:textFill>
            <w14:solidFill>
              <w14:schemeClr w14:val="tx1"/>
            </w14:solidFill>
          </w14:textFill>
        </w:rPr>
        <w:t>文件中明确的所属行业</w:t>
      </w:r>
      <w:r>
        <w:rPr>
          <w:rFonts w:ascii="宋体" w:hAnsi="宋体"/>
          <w:i/>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行业；</w:t>
      </w:r>
      <w:r>
        <w:rPr>
          <w:rFonts w:ascii="宋体" w:hAnsi="宋体"/>
          <w:color w:val="000000" w:themeColor="text1"/>
          <w:szCs w:val="21"/>
          <w14:textFill>
            <w14:solidFill>
              <w14:schemeClr w14:val="tx1"/>
            </w14:solidFill>
          </w14:textFill>
        </w:rPr>
        <w:t>制造商为</w:t>
      </w:r>
      <w:r>
        <w:rPr>
          <w:rFonts w:ascii="宋体" w:hAnsi="宋体"/>
          <w:i/>
          <w:color w:val="000000" w:themeColor="text1"/>
          <w:szCs w:val="21"/>
          <w:u w:val="single"/>
          <w14:textFill>
            <w14:solidFill>
              <w14:schemeClr w14:val="tx1"/>
            </w14:solidFill>
          </w14:textFill>
        </w:rPr>
        <w:t>(</w:t>
      </w:r>
      <w:r>
        <w:rPr>
          <w:rFonts w:ascii="宋体" w:hAnsi="宋体"/>
          <w:b/>
          <w:color w:val="000000" w:themeColor="text1"/>
          <w:szCs w:val="21"/>
          <w:u w:val="single"/>
          <w14:textFill>
            <w14:solidFill>
              <w14:schemeClr w14:val="tx1"/>
            </w14:solidFill>
          </w14:textFill>
        </w:rPr>
        <w:t>企业名称</w:t>
      </w:r>
      <w:r>
        <w:rPr>
          <w:rFonts w:ascii="宋体" w:hAnsi="宋体"/>
          <w:i/>
          <w:color w:val="000000" w:themeColor="text1"/>
          <w:szCs w:val="21"/>
          <w:u w:val="single"/>
          <w14:textFill>
            <w14:solidFill>
              <w14:schemeClr w14:val="tx1"/>
            </w14:solidFill>
          </w14:textFill>
        </w:rPr>
        <w:t>)</w:t>
      </w:r>
      <w:r>
        <w:rPr>
          <w:rFonts w:ascii="宋体" w:hAnsi="宋体"/>
          <w:color w:val="000000" w:themeColor="text1"/>
          <w:szCs w:val="21"/>
          <w14:textFill>
            <w14:solidFill>
              <w14:schemeClr w14:val="tx1"/>
            </w14:solidFill>
          </w14:textFill>
        </w:rPr>
        <w:t>，从业人员</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人， 营业收</w:t>
      </w:r>
      <w:r>
        <w:rPr>
          <w:rFonts w:hint="eastAsia" w:ascii="宋体" w:hAnsi="宋体"/>
          <w:color w:val="000000" w:themeColor="text1"/>
          <w:szCs w:val="21"/>
          <w14:textFill>
            <w14:solidFill>
              <w14:schemeClr w14:val="tx1"/>
            </w14:solidFill>
          </w14:textFill>
        </w:rPr>
        <w:t>入为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万元，资产总额为</w:t>
      </w:r>
      <w:r>
        <w:rPr>
          <w:rFonts w:ascii="宋体" w:hAnsi="宋体"/>
          <w:color w:val="000000" w:themeColor="text1"/>
          <w:szCs w:val="21"/>
          <w:u w:val="single"/>
          <w14:textFill>
            <w14:solidFill>
              <w14:schemeClr w14:val="tx1"/>
            </w14:solidFill>
          </w14:textFill>
        </w:rPr>
        <w:t xml:space="preserve">__ </w:t>
      </w:r>
      <w:r>
        <w:rPr>
          <w:rFonts w:ascii="宋体" w:hAnsi="宋体"/>
          <w:color w:val="000000" w:themeColor="text1"/>
          <w:szCs w:val="21"/>
          <w14:textFill>
            <w14:solidFill>
              <w14:schemeClr w14:val="tx1"/>
            </w14:solidFill>
          </w14:textFill>
        </w:rPr>
        <w:t>万元</w:t>
      </w:r>
      <w:r>
        <w:rPr>
          <w:rFonts w:hint="eastAsia" w:ascii="宋体" w:hAnsi="宋体"/>
          <w:color w:val="000000" w:themeColor="text1"/>
          <w:szCs w:val="21"/>
          <w:vertAlign w:val="superscript"/>
          <w14:textFill>
            <w14:solidFill>
              <w14:schemeClr w14:val="tx1"/>
            </w14:solidFill>
          </w14:textFill>
        </w:rPr>
        <w:t>1</w:t>
      </w:r>
      <w:r>
        <w:rPr>
          <w:rFonts w:ascii="宋体" w:hAnsi="宋体"/>
          <w:color w:val="000000" w:themeColor="text1"/>
          <w:szCs w:val="21"/>
          <w14:textFill>
            <w14:solidFill>
              <w14:schemeClr w14:val="tx1"/>
            </w14:solidFill>
          </w14:textFill>
        </w:rPr>
        <w:t>，属于</w:t>
      </w:r>
      <w:r>
        <w:rPr>
          <w:rFonts w:ascii="宋体" w:hAnsi="宋体"/>
          <w:i/>
          <w:color w:val="000000" w:themeColor="text1"/>
          <w:szCs w:val="21"/>
          <w:u w:val="single"/>
          <w14:textFill>
            <w14:solidFill>
              <w14:schemeClr w14:val="tx1"/>
            </w14:solidFill>
          </w14:textFill>
        </w:rPr>
        <w:t xml:space="preserve"> </w:t>
      </w:r>
      <w:r>
        <w:rPr>
          <w:rFonts w:hint="eastAsia" w:ascii="宋体" w:hAnsi="宋体"/>
          <w:i/>
          <w:color w:val="000000" w:themeColor="text1"/>
          <w:szCs w:val="21"/>
          <w:u w:val="single"/>
          <w14:textFill>
            <w14:solidFill>
              <w14:schemeClr w14:val="tx1"/>
            </w14:solidFill>
          </w14:textFill>
        </w:rPr>
        <w:t xml:space="preserve">    </w:t>
      </w:r>
      <w:r>
        <w:rPr>
          <w:rFonts w:ascii="宋体" w:hAnsi="宋体"/>
          <w:i/>
          <w:color w:val="000000" w:themeColor="text1"/>
          <w:szCs w:val="21"/>
          <w:u w:val="single"/>
          <w14:textFill>
            <w14:solidFill>
              <w14:schemeClr w14:val="tx1"/>
            </w14:solidFill>
          </w14:textFill>
        </w:rPr>
        <w:t>(</w:t>
      </w:r>
      <w:r>
        <w:rPr>
          <w:rFonts w:ascii="宋体" w:hAnsi="宋体"/>
          <w:b/>
          <w:color w:val="000000" w:themeColor="text1"/>
          <w:szCs w:val="21"/>
          <w:u w:val="single"/>
          <w14:textFill>
            <w14:solidFill>
              <w14:schemeClr w14:val="tx1"/>
            </w14:solidFill>
          </w14:textFill>
        </w:rPr>
        <w:t>中型企业、小型企业、微型企业</w:t>
      </w:r>
      <w:r>
        <w:rPr>
          <w:rFonts w:hint="eastAsia" w:ascii="宋体" w:hAnsi="宋体"/>
          <w:i/>
          <w:color w:val="000000" w:themeColor="text1"/>
          <w:szCs w:val="21"/>
          <w:u w:val="single"/>
          <w14:textFill>
            <w14:solidFill>
              <w14:schemeClr w14:val="tx1"/>
            </w14:solidFill>
          </w14:textFill>
        </w:rPr>
        <w:t>）；</w:t>
      </w:r>
    </w:p>
    <w:p w14:paraId="64865FF8">
      <w:pPr>
        <w:pStyle w:val="361"/>
        <w:spacing w:after="60" w:line="276" w:lineRule="auto"/>
        <w:ind w:firstLine="420"/>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w:t>
      </w:r>
    </w:p>
    <w:p w14:paraId="121C9120">
      <w:pPr>
        <w:pStyle w:val="361"/>
        <w:spacing w:after="60" w:line="276" w:lineRule="auto"/>
        <w:ind w:firstLine="420"/>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以上企业，不属于大企业的分支机构，不存在控股股东为大企业的情形，也不存在与大企业的负责人为同一人的情形。</w:t>
      </w:r>
    </w:p>
    <w:p w14:paraId="6CF83EE8">
      <w:pPr>
        <w:spacing w:afterLines="0" w:line="360" w:lineRule="auto"/>
        <w:ind w:firstLine="407" w:firstLineChars="194"/>
        <w:rPr>
          <w:rFonts w:hint="eastAsia"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按照本办法规定提供声明函内容不实的，属于提供虚假材料谋取中标，依照《政府采购法》等政府采购有关法律法规规定追究相应责任</w:t>
      </w:r>
      <w:r>
        <w:rPr>
          <w:rFonts w:hint="eastAsia" w:ascii="宋体" w:hAnsi="宋体"/>
          <w:color w:val="000000" w:themeColor="text1"/>
          <w:szCs w:val="21"/>
          <w14:textFill>
            <w14:solidFill>
              <w14:schemeClr w14:val="tx1"/>
            </w14:solidFill>
          </w14:textFill>
        </w:rPr>
        <w:t>。</w:t>
      </w:r>
    </w:p>
    <w:p w14:paraId="0A9232A9">
      <w:pPr>
        <w:spacing w:afterLines="0" w:line="360" w:lineRule="auto"/>
        <w:rPr>
          <w:rFonts w:hint="eastAsia" w:ascii="宋体" w:hAnsi="宋体"/>
          <w:color w:val="000000" w:themeColor="text1"/>
          <w:szCs w:val="21"/>
          <w14:textFill>
            <w14:solidFill>
              <w14:schemeClr w14:val="tx1"/>
            </w14:solidFill>
          </w14:textFill>
        </w:rPr>
      </w:pPr>
    </w:p>
    <w:p w14:paraId="25AE31EC">
      <w:pPr>
        <w:spacing w:afterLines="0" w:line="360" w:lineRule="auto"/>
        <w:ind w:right="83"/>
        <w:jc w:val="center"/>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投标人（投标单位）：</w:t>
      </w:r>
    </w:p>
    <w:p w14:paraId="26BDEAE0">
      <w:pPr>
        <w:spacing w:afterLines="0" w:line="360" w:lineRule="auto"/>
        <w:ind w:right="83"/>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p>
    <w:p w14:paraId="5EE8596E">
      <w:pPr>
        <w:spacing w:afterLines="0" w:line="360" w:lineRule="auto"/>
        <w:ind w:firstLine="407" w:firstLineChars="194"/>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r>
        <w:rPr>
          <w:rFonts w:ascii="宋体" w:hAnsi="宋体"/>
          <w:color w:val="000000" w:themeColor="text1"/>
          <w:szCs w:val="21"/>
          <w14:textFill>
            <w14:solidFill>
              <w14:schemeClr w14:val="tx1"/>
            </w14:solidFill>
          </w14:textFill>
        </w:rPr>
        <w:t>从业人员、营业收入、资产总额填报上一年度数据，无上一年度数据的新成立企业可不填报。</w:t>
      </w:r>
      <w:r>
        <w:rPr>
          <w:rFonts w:ascii="宋体" w:hAnsi="宋体"/>
          <w:b/>
          <w:color w:val="000000" w:themeColor="text1"/>
          <w:szCs w:val="21"/>
          <w14:textFill>
            <w14:solidFill>
              <w14:schemeClr w14:val="tx1"/>
            </w14:solidFill>
          </w14:textFill>
        </w:rPr>
        <w:br w:type="page"/>
      </w:r>
    </w:p>
    <w:p w14:paraId="12BBCACC">
      <w:pPr>
        <w:spacing w:after="60"/>
        <w:rPr>
          <w:rFonts w:hint="eastAsia" w:ascii="宋体" w:hAnsi="宋体"/>
          <w:color w:val="000000" w:themeColor="text1"/>
          <w:szCs w:val="21"/>
          <w14:textFill>
            <w14:solidFill>
              <w14:schemeClr w14:val="tx1"/>
            </w14:solidFill>
          </w14:textFill>
        </w:rPr>
      </w:pPr>
    </w:p>
    <w:p w14:paraId="495FB4EC">
      <w:pPr>
        <w:spacing w:afterLines="0"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残疾人福利性单位声明函</w:t>
      </w:r>
    </w:p>
    <w:p w14:paraId="77ACA024">
      <w:pPr>
        <w:spacing w:after="60"/>
        <w:rPr>
          <w:rFonts w:hint="eastAsia" w:ascii="宋体" w:hAnsi="宋体"/>
          <w:color w:val="000000" w:themeColor="text1"/>
          <w:szCs w:val="21"/>
          <w14:textFill>
            <w14:solidFill>
              <w14:schemeClr w14:val="tx1"/>
            </w14:solidFill>
          </w14:textFill>
        </w:rPr>
      </w:pPr>
    </w:p>
    <w:p w14:paraId="34888030">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w:t>
      </w:r>
      <w:r>
        <w:rPr>
          <w:rFonts w:hint="eastAsia" w:ascii="宋体" w:hAnsi="宋体"/>
          <w:color w:val="000000" w:themeColor="text1"/>
          <w:szCs w:val="21"/>
          <w14:textFill>
            <w14:solidFill>
              <w14:schemeClr w14:val="tx1"/>
            </w14:solidFill>
          </w14:textFill>
        </w:rPr>
        <w:t>投标人郑重声明，根据《财政部民政部中国残疾人联合会关于促进残疾人就业政府采购政策的通知》（财库〔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号）的规定，本投标人</w:t>
      </w:r>
      <w:r>
        <w:rPr>
          <w:rFonts w:ascii="宋体" w:hAnsi="宋体"/>
          <w:color w:val="000000" w:themeColor="text1"/>
          <w:szCs w:val="21"/>
          <w14:textFill>
            <w14:solidFill>
              <w14:schemeClr w14:val="tx1"/>
            </w14:solidFill>
          </w14:textFill>
        </w:rPr>
        <w:t>参加</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采购人</w:t>
      </w:r>
      <w:r>
        <w:rPr>
          <w:rFonts w:ascii="宋体" w:hAnsi="宋体"/>
          <w:b/>
          <w:b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的</w:t>
      </w:r>
      <w:r>
        <w:rPr>
          <w:rFonts w:ascii="宋体" w:hAnsi="宋体"/>
          <w:b/>
          <w:b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采购活动，</w:t>
      </w:r>
      <w:r>
        <w:rPr>
          <w:rFonts w:hint="eastAsia" w:ascii="宋体" w:hAnsi="宋体"/>
          <w:color w:val="000000" w:themeColor="text1"/>
          <w:szCs w:val="21"/>
          <w14:textFill>
            <w14:solidFill>
              <w14:schemeClr w14:val="tx1"/>
            </w14:solidFill>
          </w14:textFill>
        </w:rPr>
        <w:t>服务（或货物或工程）</w:t>
      </w:r>
      <w:r>
        <w:rPr>
          <w:rFonts w:ascii="宋体" w:hAnsi="宋体"/>
          <w:color w:val="000000" w:themeColor="text1"/>
          <w:szCs w:val="21"/>
          <w14:textFill>
            <w14:solidFill>
              <w14:schemeClr w14:val="tx1"/>
            </w14:solidFill>
          </w14:textFill>
        </w:rPr>
        <w:t>全部由符合政策要求的</w:t>
      </w:r>
      <w:r>
        <w:rPr>
          <w:rFonts w:hint="eastAsia" w:ascii="宋体" w:hAnsi="宋体"/>
          <w:color w:val="000000" w:themeColor="text1"/>
          <w:szCs w:val="21"/>
          <w14:textFill>
            <w14:solidFill>
              <w14:schemeClr w14:val="tx1"/>
            </w14:solidFill>
          </w14:textFill>
        </w:rPr>
        <w:t>残疾人福利性单位承接</w:t>
      </w:r>
      <w:r>
        <w:rPr>
          <w:rFonts w:ascii="宋体" w:hAnsi="宋体"/>
          <w:color w:val="000000" w:themeColor="text1"/>
          <w:szCs w:val="21"/>
          <w14:textFill>
            <w14:solidFill>
              <w14:schemeClr w14:val="tx1"/>
            </w14:solidFill>
          </w14:textFill>
        </w:rPr>
        <w:t>。相关</w:t>
      </w:r>
      <w:r>
        <w:rPr>
          <w:rFonts w:hint="eastAsia" w:ascii="宋体" w:hAnsi="宋体"/>
          <w:color w:val="000000" w:themeColor="text1"/>
          <w:szCs w:val="21"/>
          <w14:textFill>
            <w14:solidFill>
              <w14:schemeClr w14:val="tx1"/>
            </w14:solidFill>
          </w14:textFill>
        </w:rPr>
        <w:t>残疾人福利性单位</w:t>
      </w:r>
      <w:r>
        <w:rPr>
          <w:rFonts w:ascii="宋体" w:hAnsi="宋体"/>
          <w:color w:val="000000" w:themeColor="text1"/>
          <w:szCs w:val="21"/>
          <w14:textFill>
            <w14:solidFill>
              <w14:schemeClr w14:val="tx1"/>
            </w14:solidFill>
          </w14:textFill>
        </w:rPr>
        <w:t>的具体情况如下：</w:t>
      </w:r>
    </w:p>
    <w:p w14:paraId="73AA75B2">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b/>
          <w:bCs/>
          <w:color w:val="000000" w:themeColor="text1"/>
          <w:szCs w:val="21"/>
          <w:u w:val="single"/>
          <w14:textFill>
            <w14:solidFill>
              <w14:schemeClr w14:val="tx1"/>
            </w14:solidFill>
          </w14:textFill>
        </w:rPr>
        <w:t xml:space="preserve"> （标的名称）</w:t>
      </w:r>
      <w:r>
        <w:rPr>
          <w:rFonts w:hint="eastAsia" w:ascii="宋体" w:hAnsi="宋体"/>
          <w:color w:val="000000" w:themeColor="text1"/>
          <w:szCs w:val="21"/>
          <w14:textFill>
            <w14:solidFill>
              <w14:schemeClr w14:val="tx1"/>
            </w14:solidFill>
          </w14:textFill>
        </w:rPr>
        <w:t>，承接企业</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w:t>
      </w:r>
      <w:r>
        <w:rPr>
          <w:rFonts w:ascii="宋体" w:hAnsi="宋体"/>
          <w:b/>
          <w:color w:val="000000" w:themeColor="text1"/>
          <w:szCs w:val="21"/>
          <w:u w:val="single"/>
          <w14:textFill>
            <w14:solidFill>
              <w14:schemeClr w14:val="tx1"/>
            </w14:solidFill>
          </w14:textFill>
        </w:rPr>
        <w:t>企业名称</w:t>
      </w:r>
      <w:r>
        <w:rPr>
          <w:rFonts w:ascii="宋体" w:hAnsi="宋体"/>
          <w:b/>
          <w:bCs/>
          <w:color w:val="000000" w:themeColor="text1"/>
          <w:szCs w:val="21"/>
          <w:u w:val="single"/>
          <w14:textFill>
            <w14:solidFill>
              <w14:schemeClr w14:val="tx1"/>
            </w14:solidFill>
          </w14:textFill>
        </w:rPr>
        <w:t>）</w:t>
      </w:r>
      <w:r>
        <w:rPr>
          <w:rFonts w:ascii="宋体" w:hAnsi="宋体"/>
          <w:color w:val="000000" w:themeColor="text1"/>
          <w:szCs w:val="21"/>
          <w14:textFill>
            <w14:solidFill>
              <w14:schemeClr w14:val="tx1"/>
            </w14:solidFill>
          </w14:textFill>
        </w:rPr>
        <w:t>，属于</w:t>
      </w:r>
      <w:r>
        <w:rPr>
          <w:rFonts w:hint="eastAsia" w:ascii="宋体" w:hAnsi="宋体"/>
          <w:b/>
          <w:bCs/>
          <w:color w:val="000000" w:themeColor="text1"/>
          <w:szCs w:val="21"/>
          <w:u w:val="single"/>
          <w14:textFill>
            <w14:solidFill>
              <w14:schemeClr w14:val="tx1"/>
            </w14:solidFill>
          </w14:textFill>
        </w:rPr>
        <w:t>残疾人福利性单位</w:t>
      </w:r>
      <w:r>
        <w:rPr>
          <w:rFonts w:ascii="宋体" w:hAnsi="宋体"/>
          <w:color w:val="000000" w:themeColor="text1"/>
          <w:szCs w:val="21"/>
          <w14:textFill>
            <w14:solidFill>
              <w14:schemeClr w14:val="tx1"/>
            </w14:solidFill>
          </w14:textFill>
        </w:rPr>
        <w:t>；</w:t>
      </w:r>
    </w:p>
    <w:p w14:paraId="6D7219B5">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ascii="宋体" w:hAnsi="宋体"/>
          <w:b/>
          <w:bCs/>
          <w:color w:val="000000" w:themeColor="text1"/>
          <w:szCs w:val="21"/>
          <w:u w:val="single"/>
          <w14:textFill>
            <w14:solidFill>
              <w14:schemeClr w14:val="tx1"/>
            </w14:solidFill>
          </w14:textFill>
        </w:rPr>
        <w:t xml:space="preserve"> （标的名称）</w:t>
      </w:r>
      <w:r>
        <w:rPr>
          <w:rFonts w:hint="eastAsia" w:ascii="宋体" w:hAnsi="宋体"/>
          <w:color w:val="000000" w:themeColor="text1"/>
          <w:szCs w:val="21"/>
          <w14:textFill>
            <w14:solidFill>
              <w14:schemeClr w14:val="tx1"/>
            </w14:solidFill>
          </w14:textFill>
        </w:rPr>
        <w:t>，承接企业</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w:t>
      </w:r>
      <w:r>
        <w:rPr>
          <w:rFonts w:ascii="宋体" w:hAnsi="宋体"/>
          <w:b/>
          <w:color w:val="000000" w:themeColor="text1"/>
          <w:szCs w:val="21"/>
          <w:u w:val="single"/>
          <w14:textFill>
            <w14:solidFill>
              <w14:schemeClr w14:val="tx1"/>
            </w14:solidFill>
          </w14:textFill>
        </w:rPr>
        <w:t>企业名称</w:t>
      </w:r>
      <w:r>
        <w:rPr>
          <w:rFonts w:ascii="宋体" w:hAnsi="宋体"/>
          <w:b/>
          <w:bCs/>
          <w:color w:val="000000" w:themeColor="text1"/>
          <w:szCs w:val="21"/>
          <w:u w:val="single"/>
          <w14:textFill>
            <w14:solidFill>
              <w14:schemeClr w14:val="tx1"/>
            </w14:solidFill>
          </w14:textFill>
        </w:rPr>
        <w:t>）</w:t>
      </w:r>
      <w:r>
        <w:rPr>
          <w:rFonts w:ascii="宋体" w:hAnsi="宋体"/>
          <w:color w:val="000000" w:themeColor="text1"/>
          <w:szCs w:val="21"/>
          <w14:textFill>
            <w14:solidFill>
              <w14:schemeClr w14:val="tx1"/>
            </w14:solidFill>
          </w14:textFill>
        </w:rPr>
        <w:t>，属于</w:t>
      </w:r>
      <w:r>
        <w:rPr>
          <w:rFonts w:hint="eastAsia" w:ascii="宋体" w:hAnsi="宋体"/>
          <w:b/>
          <w:bCs/>
          <w:color w:val="000000" w:themeColor="text1"/>
          <w:szCs w:val="21"/>
          <w:u w:val="single"/>
          <w14:textFill>
            <w14:solidFill>
              <w14:schemeClr w14:val="tx1"/>
            </w14:solidFill>
          </w14:textFill>
        </w:rPr>
        <w:t>残疾人福利性单位</w:t>
      </w:r>
      <w:r>
        <w:rPr>
          <w:rFonts w:hint="eastAsia" w:ascii="宋体" w:hAnsi="宋体"/>
          <w:color w:val="000000" w:themeColor="text1"/>
          <w:szCs w:val="21"/>
          <w14:textFill>
            <w14:solidFill>
              <w14:schemeClr w14:val="tx1"/>
            </w14:solidFill>
          </w14:textFill>
        </w:rPr>
        <w:t>。</w:t>
      </w:r>
    </w:p>
    <w:p w14:paraId="4D513242">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3F01F168">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已</w:t>
      </w:r>
      <w:r>
        <w:rPr>
          <w:rFonts w:ascii="宋体" w:hAnsi="宋体"/>
          <w:color w:val="000000" w:themeColor="text1"/>
          <w:szCs w:val="21"/>
          <w14:textFill>
            <w14:solidFill>
              <w14:schemeClr w14:val="tx1"/>
            </w14:solidFill>
          </w14:textFill>
        </w:rPr>
        <w:t>知悉</w:t>
      </w:r>
      <w:r>
        <w:rPr>
          <w:rFonts w:hint="eastAsia" w:ascii="宋体" w:hAnsi="宋体"/>
          <w:color w:val="000000" w:themeColor="text1"/>
          <w:szCs w:val="21"/>
          <w14:textFill>
            <w14:solidFill>
              <w14:schemeClr w14:val="tx1"/>
            </w14:solidFill>
          </w14:textFill>
        </w:rPr>
        <w:t>《财政部民政部中国残疾人联合会关于促进残疾人就业政府采购政策的通知》（财库〔2017〕141 号）</w:t>
      </w:r>
      <w:r>
        <w:rPr>
          <w:rFonts w:ascii="宋体" w:hAnsi="宋体"/>
          <w:color w:val="000000" w:themeColor="text1"/>
          <w:szCs w:val="21"/>
          <w14:textFill>
            <w14:solidFill>
              <w14:schemeClr w14:val="tx1"/>
            </w14:solidFill>
          </w14:textFill>
        </w:rPr>
        <w:t>的规定，承诺提供的声明函内容是真实的，如提供声明函内容不实，则依法追究相关法律责任</w:t>
      </w:r>
      <w:r>
        <w:rPr>
          <w:rFonts w:hint="eastAsia" w:ascii="宋体" w:hAnsi="宋体"/>
          <w:color w:val="000000" w:themeColor="text1"/>
          <w:szCs w:val="21"/>
          <w14:textFill>
            <w14:solidFill>
              <w14:schemeClr w14:val="tx1"/>
            </w14:solidFill>
          </w14:textFill>
        </w:rPr>
        <w:t>。</w:t>
      </w:r>
    </w:p>
    <w:p w14:paraId="4896FE0B">
      <w:pPr>
        <w:spacing w:afterLines="0" w:line="360" w:lineRule="auto"/>
        <w:rPr>
          <w:rFonts w:hint="eastAsia" w:ascii="宋体" w:hAnsi="宋体"/>
          <w:color w:val="000000" w:themeColor="text1"/>
          <w:szCs w:val="21"/>
          <w14:textFill>
            <w14:solidFill>
              <w14:schemeClr w14:val="tx1"/>
            </w14:solidFill>
          </w14:textFill>
        </w:rPr>
      </w:pPr>
    </w:p>
    <w:p w14:paraId="639CCEF9">
      <w:pPr>
        <w:spacing w:after="60"/>
        <w:rPr>
          <w:rFonts w:hint="eastAsia" w:ascii="宋体" w:hAnsi="宋体"/>
          <w:color w:val="000000" w:themeColor="text1"/>
          <w14:textFill>
            <w14:solidFill>
              <w14:schemeClr w14:val="tx1"/>
            </w14:solidFill>
          </w14:textFill>
        </w:rPr>
      </w:pPr>
    </w:p>
    <w:p w14:paraId="11BD24A4">
      <w:pPr>
        <w:spacing w:afterLines="0" w:line="360" w:lineRule="auto"/>
        <w:ind w:right="83"/>
        <w:jc w:val="center"/>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投标人（投标单位）：</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2033568F">
      <w:pPr>
        <w:spacing w:afterLines="0" w:line="360" w:lineRule="auto"/>
        <w:ind w:right="83"/>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6C8C8184">
      <w:pPr>
        <w:spacing w:after="60"/>
        <w:rPr>
          <w:rFonts w:hint="eastAsia" w:ascii="宋体" w:hAnsi="宋体"/>
          <w:color w:val="000000" w:themeColor="text1"/>
          <w:szCs w:val="21"/>
          <w14:textFill>
            <w14:solidFill>
              <w14:schemeClr w14:val="tx1"/>
            </w14:solidFill>
          </w14:textFill>
        </w:rPr>
      </w:pPr>
    </w:p>
    <w:p w14:paraId="65518F6D">
      <w:pPr>
        <w:spacing w:after="60"/>
        <w:rPr>
          <w:rFonts w:hint="eastAsia" w:ascii="宋体" w:hAnsi="宋体"/>
          <w:color w:val="000000" w:themeColor="text1"/>
          <w:szCs w:val="21"/>
          <w14:textFill>
            <w14:solidFill>
              <w14:schemeClr w14:val="tx1"/>
            </w14:solidFill>
          </w14:textFill>
        </w:rPr>
      </w:pPr>
    </w:p>
    <w:p w14:paraId="04F826C9">
      <w:pPr>
        <w:spacing w:afterLines="0"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监狱企业声明函</w:t>
      </w:r>
    </w:p>
    <w:p w14:paraId="3EF4ACDC">
      <w:pPr>
        <w:spacing w:after="60"/>
        <w:rPr>
          <w:rFonts w:hint="eastAsia" w:ascii="宋体" w:hAnsi="宋体"/>
          <w:color w:val="000000" w:themeColor="text1"/>
          <w:szCs w:val="21"/>
          <w14:textFill>
            <w14:solidFill>
              <w14:schemeClr w14:val="tx1"/>
            </w14:solidFill>
          </w14:textFill>
        </w:rPr>
      </w:pPr>
    </w:p>
    <w:p w14:paraId="4B984478">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本投标人郑重声明，根据《财政部司法部关于政府采购支持监狱企业发展有关问题的通知》（财库〔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号）的规定，本投标人</w:t>
      </w:r>
      <w:r>
        <w:rPr>
          <w:rFonts w:ascii="宋体" w:hAnsi="宋体"/>
          <w:color w:val="000000" w:themeColor="text1"/>
          <w:szCs w:val="21"/>
          <w14:textFill>
            <w14:solidFill>
              <w14:schemeClr w14:val="tx1"/>
            </w14:solidFill>
          </w14:textFill>
        </w:rPr>
        <w:t>参加</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采购人</w:t>
      </w:r>
      <w:r>
        <w:rPr>
          <w:rFonts w:ascii="宋体" w:hAnsi="宋体"/>
          <w:b/>
          <w:b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的</w:t>
      </w:r>
      <w:r>
        <w:rPr>
          <w:rFonts w:ascii="宋体" w:hAnsi="宋体"/>
          <w:b/>
          <w:b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采购活动，</w:t>
      </w:r>
      <w:r>
        <w:rPr>
          <w:rFonts w:hint="eastAsia" w:ascii="宋体" w:hAnsi="宋体"/>
          <w:color w:val="000000" w:themeColor="text1"/>
          <w:szCs w:val="21"/>
          <w14:textFill>
            <w14:solidFill>
              <w14:schemeClr w14:val="tx1"/>
            </w14:solidFill>
          </w14:textFill>
        </w:rPr>
        <w:t>服务（或货物或工程）</w:t>
      </w:r>
      <w:r>
        <w:rPr>
          <w:rFonts w:ascii="宋体" w:hAnsi="宋体"/>
          <w:color w:val="000000" w:themeColor="text1"/>
          <w:szCs w:val="21"/>
          <w14:textFill>
            <w14:solidFill>
              <w14:schemeClr w14:val="tx1"/>
            </w14:solidFill>
          </w14:textFill>
        </w:rPr>
        <w:t>全部由符合政策要求的</w:t>
      </w:r>
      <w:r>
        <w:rPr>
          <w:rFonts w:hint="eastAsia" w:ascii="宋体" w:hAnsi="宋体"/>
          <w:color w:val="000000" w:themeColor="text1"/>
          <w:szCs w:val="21"/>
          <w14:textFill>
            <w14:solidFill>
              <w14:schemeClr w14:val="tx1"/>
            </w14:solidFill>
          </w14:textFill>
        </w:rPr>
        <w:t>监狱企业承接</w:t>
      </w:r>
      <w:r>
        <w:rPr>
          <w:rFonts w:ascii="宋体" w:hAnsi="宋体"/>
          <w:color w:val="000000" w:themeColor="text1"/>
          <w:szCs w:val="21"/>
          <w14:textFill>
            <w14:solidFill>
              <w14:schemeClr w14:val="tx1"/>
            </w14:solidFill>
          </w14:textFill>
        </w:rPr>
        <w:t>。相关</w:t>
      </w:r>
      <w:r>
        <w:rPr>
          <w:rFonts w:hint="eastAsia" w:ascii="宋体" w:hAnsi="宋体"/>
          <w:color w:val="000000" w:themeColor="text1"/>
          <w:szCs w:val="21"/>
          <w14:textFill>
            <w14:solidFill>
              <w14:schemeClr w14:val="tx1"/>
            </w14:solidFill>
          </w14:textFill>
        </w:rPr>
        <w:t>监狱企业</w:t>
      </w:r>
      <w:r>
        <w:rPr>
          <w:rFonts w:ascii="宋体" w:hAnsi="宋体"/>
          <w:color w:val="000000" w:themeColor="text1"/>
          <w:szCs w:val="21"/>
          <w14:textFill>
            <w14:solidFill>
              <w14:schemeClr w14:val="tx1"/>
            </w14:solidFill>
          </w14:textFill>
        </w:rPr>
        <w:t>的具体情况如下：</w:t>
      </w:r>
    </w:p>
    <w:p w14:paraId="2B87938D">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b/>
          <w:bCs/>
          <w:color w:val="000000" w:themeColor="text1"/>
          <w:szCs w:val="21"/>
          <w:u w:val="single"/>
          <w14:textFill>
            <w14:solidFill>
              <w14:schemeClr w14:val="tx1"/>
            </w14:solidFill>
          </w14:textFill>
        </w:rPr>
        <w:t xml:space="preserve"> （标的名称）</w:t>
      </w:r>
      <w:r>
        <w:rPr>
          <w:rFonts w:hint="eastAsia" w:ascii="宋体" w:hAnsi="宋体"/>
          <w:color w:val="000000" w:themeColor="text1"/>
          <w:szCs w:val="21"/>
          <w14:textFill>
            <w14:solidFill>
              <w14:schemeClr w14:val="tx1"/>
            </w14:solidFill>
          </w14:textFill>
        </w:rPr>
        <w:t>，承接单位</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企业</w:t>
      </w:r>
      <w:r>
        <w:rPr>
          <w:rFonts w:ascii="宋体" w:hAnsi="宋体"/>
          <w:b/>
          <w:b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，属于</w:t>
      </w:r>
      <w:r>
        <w:rPr>
          <w:rFonts w:hint="eastAsia" w:ascii="宋体" w:hAnsi="宋体"/>
          <w:b/>
          <w:bCs/>
          <w:color w:val="000000" w:themeColor="text1"/>
          <w:szCs w:val="21"/>
          <w:u w:val="single"/>
          <w14:textFill>
            <w14:solidFill>
              <w14:schemeClr w14:val="tx1"/>
            </w14:solidFill>
          </w14:textFill>
        </w:rPr>
        <w:t>监狱企业</w:t>
      </w:r>
      <w:r>
        <w:rPr>
          <w:rFonts w:ascii="宋体" w:hAnsi="宋体"/>
          <w:color w:val="000000" w:themeColor="text1"/>
          <w:szCs w:val="21"/>
          <w14:textFill>
            <w14:solidFill>
              <w14:schemeClr w14:val="tx1"/>
            </w14:solidFill>
          </w14:textFill>
        </w:rPr>
        <w:t>；</w:t>
      </w:r>
    </w:p>
    <w:p w14:paraId="0B34478A">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ascii="宋体" w:hAnsi="宋体"/>
          <w:b/>
          <w:bCs/>
          <w:color w:val="000000" w:themeColor="text1"/>
          <w:szCs w:val="21"/>
          <w:u w:val="single"/>
          <w14:textFill>
            <w14:solidFill>
              <w14:schemeClr w14:val="tx1"/>
            </w14:solidFill>
          </w14:textFill>
        </w:rPr>
        <w:t xml:space="preserve"> （标的名称）</w:t>
      </w:r>
      <w:r>
        <w:rPr>
          <w:rFonts w:hint="eastAsia" w:ascii="宋体" w:hAnsi="宋体"/>
          <w:color w:val="000000" w:themeColor="text1"/>
          <w:szCs w:val="21"/>
          <w14:textFill>
            <w14:solidFill>
              <w14:schemeClr w14:val="tx1"/>
            </w14:solidFill>
          </w14:textFill>
        </w:rPr>
        <w:t>，承接单位</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企业</w:t>
      </w:r>
      <w:r>
        <w:rPr>
          <w:rFonts w:ascii="宋体" w:hAnsi="宋体"/>
          <w:b/>
          <w:b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，属于</w:t>
      </w:r>
      <w:r>
        <w:rPr>
          <w:rFonts w:hint="eastAsia" w:ascii="宋体" w:hAnsi="宋体"/>
          <w:b/>
          <w:bCs/>
          <w:color w:val="000000" w:themeColor="text1"/>
          <w:szCs w:val="21"/>
          <w:u w:val="single"/>
          <w14:textFill>
            <w14:solidFill>
              <w14:schemeClr w14:val="tx1"/>
            </w14:solidFill>
          </w14:textFill>
        </w:rPr>
        <w:t>监狱企业</w:t>
      </w:r>
      <w:r>
        <w:rPr>
          <w:rFonts w:hint="eastAsia" w:ascii="宋体" w:hAnsi="宋体"/>
          <w:color w:val="000000" w:themeColor="text1"/>
          <w:szCs w:val="21"/>
          <w14:textFill>
            <w14:solidFill>
              <w14:schemeClr w14:val="tx1"/>
            </w14:solidFill>
          </w14:textFill>
        </w:rPr>
        <w:t>。</w:t>
      </w:r>
    </w:p>
    <w:p w14:paraId="6FA93F43">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4AECEE24">
      <w:pPr>
        <w:spacing w:after="6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对上述声明内容的真实性负责。如有虚假，将依法承担相应责任。</w:t>
      </w:r>
    </w:p>
    <w:p w14:paraId="7E78BE34">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附：省级以上监狱管理局、戒毒管理局（含新疆生产建设兵团）出具的监狱企业证明文件。</w:t>
      </w:r>
    </w:p>
    <w:p w14:paraId="7925DD01">
      <w:pPr>
        <w:spacing w:after="60"/>
        <w:rPr>
          <w:rFonts w:hint="eastAsia" w:ascii="宋体" w:hAnsi="宋体"/>
          <w:color w:val="000000" w:themeColor="text1"/>
          <w:szCs w:val="21"/>
          <w14:textFill>
            <w14:solidFill>
              <w14:schemeClr w14:val="tx1"/>
            </w14:solidFill>
          </w14:textFill>
        </w:rPr>
      </w:pPr>
    </w:p>
    <w:p w14:paraId="3C9C62FA">
      <w:pPr>
        <w:spacing w:afterLines="0" w:line="360" w:lineRule="auto"/>
        <w:ind w:right="83"/>
        <w:jc w:val="center"/>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投标人（投标单位）：</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568DF526">
      <w:pPr>
        <w:spacing w:afterLines="0" w:line="360" w:lineRule="auto"/>
        <w:ind w:right="83"/>
        <w:jc w:val="center"/>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1F0294F7">
      <w:pPr>
        <w:spacing w:afterLines="0" w:line="360" w:lineRule="auto"/>
        <w:ind w:right="83"/>
        <w:rPr>
          <w:rFonts w:hint="eastAsia" w:ascii="宋体" w:hAnsi="宋体"/>
          <w:color w:val="000000" w:themeColor="text1"/>
          <w:szCs w:val="21"/>
          <w:u w:val="single"/>
          <w14:textFill>
            <w14:solidFill>
              <w14:schemeClr w14:val="tx1"/>
            </w14:solidFill>
          </w14:textFill>
        </w:rPr>
      </w:pPr>
    </w:p>
    <w:p w14:paraId="41197942">
      <w:pPr>
        <w:spacing w:afterLines="0" w:line="360" w:lineRule="auto"/>
        <w:ind w:right="83"/>
        <w:rPr>
          <w:rFonts w:hint="eastAsia" w:ascii="宋体" w:hAnsi="宋体"/>
          <w:color w:val="000000" w:themeColor="text1"/>
          <w:szCs w:val="21"/>
          <w:u w:val="single"/>
          <w14:textFill>
            <w14:solidFill>
              <w14:schemeClr w14:val="tx1"/>
            </w14:solidFill>
          </w14:textFill>
        </w:rPr>
      </w:pPr>
    </w:p>
    <w:p w14:paraId="094DB54B">
      <w:pPr>
        <w:spacing w:afterLines="0" w:line="360" w:lineRule="auto"/>
        <w:ind w:right="83"/>
        <w:rPr>
          <w:rFonts w:hint="eastAsia"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省级以上监狱管理局、戒毒管理局（含新疆生产建设兵团）出具的属于监狱企业的证明文件格式自拟</w:t>
      </w:r>
      <w:r>
        <w:rPr>
          <w:rFonts w:ascii="宋体" w:hAnsi="宋体"/>
          <w:color w:val="000000" w:themeColor="text1"/>
          <w14:textFill>
            <w14:solidFill>
              <w14:schemeClr w14:val="tx1"/>
            </w14:solidFill>
          </w14:textFill>
        </w:rPr>
        <w:br w:type="page"/>
      </w:r>
    </w:p>
    <w:p w14:paraId="0530A955">
      <w:pPr>
        <w:pStyle w:val="5"/>
        <w:numPr>
          <w:ilvl w:val="0"/>
          <w:numId w:val="13"/>
        </w:numPr>
        <w:spacing w:before="120" w:afterLines="0" w:line="360" w:lineRule="auto"/>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投标人根据招标文件要求所提供的其他证明文件</w:t>
      </w:r>
    </w:p>
    <w:p w14:paraId="36DCE65D">
      <w:pPr>
        <w:pStyle w:val="19"/>
        <w:spacing w:after="60"/>
        <w:rPr>
          <w:rFonts w:hint="eastAsia" w:ascii="宋体" w:hAnsi="宋体"/>
          <w:color w:val="000000" w:themeColor="text1"/>
          <w14:textFill>
            <w14:solidFill>
              <w14:schemeClr w14:val="tx1"/>
            </w14:solidFill>
          </w14:textFill>
        </w:rPr>
      </w:pPr>
    </w:p>
    <w:p w14:paraId="537E585F">
      <w:pPr>
        <w:pStyle w:val="19"/>
        <w:spacing w:after="6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格式自拟</w:t>
      </w:r>
    </w:p>
    <w:p w14:paraId="31112581">
      <w:pPr>
        <w:spacing w:after="60"/>
        <w:rPr>
          <w:rFonts w:hint="eastAsia" w:ascii="宋体" w:hAnsi="宋体"/>
          <w:color w:val="000000" w:themeColor="text1"/>
          <w14:textFill>
            <w14:solidFill>
              <w14:schemeClr w14:val="tx1"/>
            </w14:solidFill>
          </w14:textFill>
        </w:rPr>
      </w:pPr>
    </w:p>
    <w:p w14:paraId="79D89C67">
      <w:pPr>
        <w:widowControl/>
        <w:autoSpaceDE w:val="0"/>
        <w:autoSpaceDN w:val="0"/>
        <w:spacing w:after="60" w:line="360" w:lineRule="exact"/>
        <w:ind w:left="181" w:leftChars="86" w:right="17" w:firstLine="3570" w:firstLineChars="1700"/>
        <w:textAlignment w:val="bottom"/>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br w:type="page"/>
      </w:r>
      <w:bookmarkEnd w:id="21"/>
      <w:bookmarkEnd w:id="22"/>
      <w:bookmarkEnd w:id="23"/>
      <w:bookmarkEnd w:id="24"/>
    </w:p>
    <w:p w14:paraId="05F513C2">
      <w:pPr>
        <w:pStyle w:val="3"/>
        <w:keepNext w:val="0"/>
        <w:keepLines w:val="0"/>
        <w:numPr>
          <w:ilvl w:val="0"/>
          <w:numId w:val="9"/>
        </w:numPr>
        <w:adjustRightInd w:val="0"/>
        <w:spacing w:before="0" w:afterLines="0" w:line="240" w:lineRule="auto"/>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政府采购合同的签订、履行及验收</w:t>
      </w:r>
    </w:p>
    <w:p w14:paraId="2603A22A">
      <w:pPr>
        <w:spacing w:after="60"/>
        <w:rPr>
          <w:rFonts w:hint="eastAsia" w:ascii="宋体" w:hAnsi="宋体"/>
          <w:color w:val="000000" w:themeColor="text1"/>
          <w14:textFill>
            <w14:solidFill>
              <w14:schemeClr w14:val="tx1"/>
            </w14:solidFill>
          </w14:textFill>
        </w:rPr>
      </w:pPr>
      <w:bookmarkStart w:id="36" w:name="_Toc73518163"/>
      <w:bookmarkStart w:id="37" w:name="_Toc73521592"/>
      <w:bookmarkStart w:id="38" w:name="_Toc73521680"/>
      <w:bookmarkStart w:id="39" w:name="_Toc101074886"/>
      <w:bookmarkStart w:id="40" w:name="_Toc73517685"/>
      <w:bookmarkStart w:id="41" w:name="_Toc84303603"/>
      <w:bookmarkStart w:id="42" w:name="_Toc100052414"/>
    </w:p>
    <w:bookmarkEnd w:id="36"/>
    <w:bookmarkEnd w:id="37"/>
    <w:bookmarkEnd w:id="38"/>
    <w:bookmarkEnd w:id="39"/>
    <w:bookmarkEnd w:id="40"/>
    <w:bookmarkEnd w:id="41"/>
    <w:bookmarkEnd w:id="42"/>
    <w:p w14:paraId="7470F0EF">
      <w:pPr>
        <w:pStyle w:val="4"/>
        <w:spacing w:before="0" w:afterLines="0"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w:t>
      </w:r>
      <w:r>
        <w:rPr>
          <w:rFonts w:ascii="宋体" w:hAnsi="宋体" w:cs="宋体"/>
          <w:b/>
          <w:color w:val="000000" w:themeColor="text1"/>
          <w:sz w:val="28"/>
          <w:szCs w:val="28"/>
          <w14:textFill>
            <w14:solidFill>
              <w14:schemeClr w14:val="tx1"/>
            </w14:solidFill>
          </w14:textFill>
        </w:rPr>
        <w:t>政府采购合同内容的主要条款（供参考）</w:t>
      </w:r>
    </w:p>
    <w:p w14:paraId="2BD7EC33">
      <w:pPr>
        <w:spacing w:after="60"/>
        <w:rPr>
          <w:rFonts w:hint="eastAsia" w:ascii="宋体" w:hAnsi="宋体"/>
          <w:color w:val="000000" w:themeColor="text1"/>
          <w14:textFill>
            <w14:solidFill>
              <w14:schemeClr w14:val="tx1"/>
            </w14:solidFill>
          </w14:textFill>
        </w:rPr>
      </w:pPr>
    </w:p>
    <w:p w14:paraId="158D1F3F">
      <w:pPr>
        <w:spacing w:afterLines="0"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p w14:paraId="61F468A2">
      <w:pPr>
        <w:spacing w:afterLines="0"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p>
    <w:p w14:paraId="785F0A41">
      <w:pPr>
        <w:spacing w:afterLines="0" w:line="360" w:lineRule="auto"/>
        <w:jc w:val="left"/>
        <w:rPr>
          <w:rFonts w:hint="eastAsia" w:ascii="宋体" w:hAnsi="宋体"/>
          <w:color w:val="000000" w:themeColor="text1"/>
          <w:szCs w:val="21"/>
          <w14:textFill>
            <w14:solidFill>
              <w14:schemeClr w14:val="tx1"/>
            </w14:solidFill>
          </w14:textFill>
        </w:rPr>
      </w:pPr>
    </w:p>
    <w:p w14:paraId="71196608">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项目的招标结果，由</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单位为中标方。按照《中华人民共和国民法典》（第三编合同）和《深圳经济特区政府采购条例》，经深圳市（以下简称甲方）和单位（以下简称乙方）协商，达成以下合同条款：</w:t>
      </w:r>
    </w:p>
    <w:p w14:paraId="766C3C03">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第一条  合同标的</w:t>
      </w:r>
    </w:p>
    <w:p w14:paraId="314729B7">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乙方根据甲方需求提供下列货物：</w:t>
      </w:r>
    </w:p>
    <w:p w14:paraId="1218173E">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货物名称、规格及数量详见。</w:t>
      </w:r>
    </w:p>
    <w:p w14:paraId="41405D1F">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第二条  合同价款</w:t>
      </w:r>
    </w:p>
    <w:p w14:paraId="5D413F8F">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本合同项下总价款为（大写）人民币，分项价款详见。本合同总价款已包括乙方为履行本合同义务所发生的一切费用，系固定不变价格，且不随通货膨胀的影响而波动。</w:t>
      </w:r>
    </w:p>
    <w:p w14:paraId="2B302DDD">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第三条  权利保证</w:t>
      </w:r>
    </w:p>
    <w:p w14:paraId="725C33C0">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563A3CFE">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第四条  质量保证</w:t>
      </w:r>
    </w:p>
    <w:p w14:paraId="1342BA03">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1、乙方所提供的货物的技术规格符合招标文件规定的技术规格，货物符合中华人民共和国的设计和制造生产标准或行业标准。</w:t>
      </w:r>
    </w:p>
    <w:p w14:paraId="01E6C17C">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2、乙方应保证货物是全新、未使用过的原装合格正品（包括零部件），并完全符合甲方要求的质量、规格和性能的要求。如货物安装或配置了软件的，乙方保证相关软件均为正版软件。</w:t>
      </w:r>
    </w:p>
    <w:p w14:paraId="0C9974F6">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3、乙方保证交货时一并提供货物的质量合格凭证或文件。</w:t>
      </w:r>
    </w:p>
    <w:p w14:paraId="7628BCB6">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第五条  交货和验收</w:t>
      </w:r>
    </w:p>
    <w:p w14:paraId="13DC7D8F">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1、乙方应按照本合同或招投标文件规定的时间和方式向甲方交付货物，交货地点由甲方指定。因交货产生的费用由乙方自行承担。</w:t>
      </w:r>
    </w:p>
    <w:p w14:paraId="0CC98D6D">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2、乙方交付的货物应当完全符合招投标文件所规定的货物、数量、质量和规格要求。乙方提供的货物不符合招投标文件和合同规定的，甲方有权拒收货物，由此引起的风险，由乙方承担。</w:t>
      </w:r>
    </w:p>
    <w:p w14:paraId="2B434419">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4E984115">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4、甲方应当在到货后的个工作日内对货物进行验收；需要乙方对货物或系统进行安装调试的，甲方应在货物安装调试完毕后的个工作日内进行质量验收。</w:t>
      </w:r>
    </w:p>
    <w:p w14:paraId="42059FD7">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第六条  保修及其他服务</w:t>
      </w:r>
    </w:p>
    <w:p w14:paraId="6CD1D372">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1、乙方应按照国家有关法律法规规章和“三包”规定和招标文件的要求及乙方在投标文件的相关承诺提供保修及其他服务。</w:t>
      </w:r>
    </w:p>
    <w:p w14:paraId="48A99C2C">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保修期内，乙方负责对其提供的货物进行维修和系统维护，不再收取任何费用。</w:t>
      </w:r>
      <w:r>
        <w:rPr>
          <w:rFonts w:hint="eastAsia" w:ascii="宋体" w:hAnsi="宋体"/>
          <w:color w:val="000000" w:themeColor="text1"/>
          <w:szCs w:val="21"/>
          <w14:textFill>
            <w14:solidFill>
              <w14:schemeClr w14:val="tx1"/>
            </w14:solidFill>
          </w14:textFill>
        </w:rPr>
        <w:t>所有货物保修服务方式均为乙方上门保修，即由乙方派员到货物使用现场维修，由此产生的一切费用均由乙方承担。保修期后的货物维护另行协商。</w:t>
      </w:r>
    </w:p>
    <w:p w14:paraId="2DD92338">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第七条  履约保证金</w:t>
      </w:r>
    </w:p>
    <w:p w14:paraId="7E28F002">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1、乙方应在签订本合同之日，向甲方或甲方指定的机构提交履约保证金_________元。</w:t>
      </w:r>
    </w:p>
    <w:p w14:paraId="038C86AC">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2、如乙方未能履行合同规定的义务，甲方有权从履约保证金中取得补偿。</w:t>
      </w:r>
    </w:p>
    <w:p w14:paraId="41173765">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3、甲方在乙方履行完毕本合同项下全部义务后______日内无息退还乙方。</w:t>
      </w:r>
    </w:p>
    <w:p w14:paraId="32B4FF66">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第八条   货款支付</w:t>
      </w:r>
    </w:p>
    <w:p w14:paraId="64B6C07F">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1、甲方必须将货款支付到乙方的基本账户，账户名称为________，帐号为________，开户银行为________。</w:t>
      </w:r>
    </w:p>
    <w:p w14:paraId="5203BD2D">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第九条  账户变更条款</w:t>
      </w:r>
    </w:p>
    <w:p w14:paraId="747D368B">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有权依照政府采购相关规定就本采购合同申请订单融资等金融服务，甲方对乙方办理订单融资业务给予必要的支持和配合，包括：1.甲方配合乙方签署《政府采购订单融资业务办理表》，作为本项目采购合同的有效补充；2.甲方按照《政府采购订单融资业务办理表》承诺，将采购资金支付到指定的融资贷款经办行及收款账户。</w:t>
      </w:r>
    </w:p>
    <w:p w14:paraId="02A2727A">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第十条    违约责任</w:t>
      </w:r>
    </w:p>
    <w:p w14:paraId="2D0E6F17">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１、甲方无正当理由拒收货物、拒付货物款的，由甲方向乙方偿付合同总价的【】%违约金。</w:t>
      </w:r>
    </w:p>
    <w:p w14:paraId="1DC884C0">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２、甲方未按合同规定的期限向乙方支付货款的，每逾期1日甲方向乙方偿付欠款总额的【】‰滞纳金，但累计滞纳金总额不超过欠款总额的【】% 。</w:t>
      </w:r>
    </w:p>
    <w:p w14:paraId="3099777E">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３、</w:t>
      </w:r>
      <w:r>
        <w:rPr>
          <w:rFonts w:ascii="宋体" w:hAnsi="宋体"/>
          <w:color w:val="000000" w:themeColor="text1"/>
          <w:szCs w:val="21"/>
          <w14:textFill>
            <w14:solidFill>
              <w14:schemeClr w14:val="tx1"/>
            </w14:solidFill>
          </w14:textFill>
        </w:rPr>
        <w:t>乙方逾期交付货物的，每逾期1</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14:textFill>
            <w14:solidFill>
              <w14:schemeClr w14:val="tx1"/>
            </w14:solidFill>
          </w14:textFill>
        </w:rPr>
        <w:t>，乙方向甲方偿付逾期交货部分货款总额的</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‰的滞纳金</w:t>
      </w:r>
      <w:r>
        <w:rPr>
          <w:rFonts w:hint="eastAsia" w:ascii="宋体" w:hAnsi="宋体"/>
          <w:color w:val="000000" w:themeColor="text1"/>
          <w:szCs w:val="21"/>
          <w14:textFill>
            <w14:solidFill>
              <w14:schemeClr w14:val="tx1"/>
            </w14:solidFill>
          </w14:textFill>
        </w:rPr>
        <w:t>。如乙方逾期交货达日，甲方有权解除合同，履约保证金不予退回，同时乙方应向甲方支付合同总价【】％的违约金。</w:t>
      </w:r>
    </w:p>
    <w:p w14:paraId="0A89EA07">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4、乙方所交付的货物品种、型号、规格不符合合同规定的，甲方有权拒收。甲方拒收的，乙方应向甲方支付货款总额【】%的违约金。</w:t>
      </w:r>
    </w:p>
    <w:p w14:paraId="67E3CC6E">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5、在乙方承诺的或国家规定的质量保证期内（取两者中最长的期限），</w:t>
      </w:r>
      <w:r>
        <w:rPr>
          <w:rFonts w:ascii="宋体" w:hAnsi="宋体"/>
          <w:color w:val="000000" w:themeColor="text1"/>
          <w:szCs w:val="21"/>
          <w14:textFill>
            <w14:solidFill>
              <w14:schemeClr w14:val="tx1"/>
            </w14:solidFill>
          </w14:textFill>
        </w:rPr>
        <w:t>如经乙方两次维修</w:t>
      </w:r>
      <w:r>
        <w:rPr>
          <w:rFonts w:hint="eastAsia" w:ascii="宋体" w:hAnsi="宋体"/>
          <w:color w:val="000000" w:themeColor="text1"/>
          <w:szCs w:val="21"/>
          <w14:textFill>
            <w14:solidFill>
              <w14:schemeClr w14:val="tx1"/>
            </w14:solidFill>
          </w14:textFill>
        </w:rPr>
        <w:t>或更换</w:t>
      </w:r>
      <w:r>
        <w:rPr>
          <w:rFonts w:ascii="宋体" w:hAnsi="宋体"/>
          <w:color w:val="000000" w:themeColor="text1"/>
          <w:szCs w:val="21"/>
          <w14:textFill>
            <w14:solidFill>
              <w14:schemeClr w14:val="tx1"/>
            </w14:solidFill>
          </w14:textFill>
        </w:rPr>
        <w:t>，货物仍不能达到合同约定</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质量标准，甲方有权退货，乙方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退回全部货款</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赔偿甲方因此遭受的损失。</w:t>
      </w:r>
    </w:p>
    <w:p w14:paraId="29269983">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6、乙方未履行本合同项下的其他义务或违反其在投标文件中的相关承诺的，应按合同总价款的【】%向甲方承担违约责任。</w:t>
      </w:r>
    </w:p>
    <w:p w14:paraId="48DC129A">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7、乙方在承担上述一项或多项违约责任后，仍应继续履行合同规定的义务（甲方解除合同的除外）。甲方未能及时追究乙方的任何一项违约责任并不表明甲方放弃追究乙方该项或其他违约责任。</w:t>
      </w:r>
    </w:p>
    <w:p w14:paraId="3DC279E2">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第十一条    合同的变更和终止</w:t>
      </w:r>
    </w:p>
    <w:p w14:paraId="68CAA811">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除《中华人民共和国政府采购法》第４９条、第５０条第二款规定的情形外，本合同一经签订，甲乙双方不得擅自变更、中止或终止合同。</w:t>
      </w:r>
    </w:p>
    <w:p w14:paraId="419E93A1">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第十二条   争议的解决</w:t>
      </w:r>
    </w:p>
    <w:p w14:paraId="7B926033">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1、因货物的质量问题发生争议的，应当邀请国家认可的质量检测机构对货物质量进行鉴定。货物符合标准的，鉴定费由甲方承担；货物不符合质量标准的，鉴定费由乙方承担。</w:t>
      </w:r>
    </w:p>
    <w:p w14:paraId="39818721">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2、因履行本合同引起的或与本合同有关的争议，甲、乙双方应首先通过友好协商解决，如果协商不能解决争议，则向甲方所在地有管辖权的人民法院提起诉讼；</w:t>
      </w:r>
    </w:p>
    <w:p w14:paraId="3929C78B">
      <w:pPr>
        <w:spacing w:afterLines="0" w:line="360" w:lineRule="auto"/>
        <w:ind w:firstLine="56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第十三条   合同生效及其他</w:t>
      </w:r>
    </w:p>
    <w:p w14:paraId="12D8EF13">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1、下列文件均为本合同的组成部分：</w:t>
      </w:r>
    </w:p>
    <w:p w14:paraId="27585BA2">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（1）招标文件、答疑及补充通知；</w:t>
      </w:r>
    </w:p>
    <w:p w14:paraId="03C02461">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（2）乙方的投标文件；</w:t>
      </w:r>
    </w:p>
    <w:p w14:paraId="7D405E7F">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（3）本合同执行中甲乙双方共同签署的补充与修正文件。</w:t>
      </w:r>
    </w:p>
    <w:p w14:paraId="2976365C">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2、本合同一式</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份，甲、乙方双方各执</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份，具有同等法律效力。本合同自双方法定代表人（或授权代表）签字并盖章之日起生效。</w:t>
      </w:r>
    </w:p>
    <w:p w14:paraId="37102397">
      <w:pPr>
        <w:spacing w:afterLines="0" w:line="360" w:lineRule="auto"/>
        <w:ind w:firstLine="560"/>
        <w:jc w:val="left"/>
        <w:rPr>
          <w:rFonts w:hint="eastAsia" w:ascii="宋体" w:hAnsi="宋体"/>
          <w:color w:val="000000" w:themeColor="text1"/>
          <w:szCs w:val="21"/>
          <w14:textFill>
            <w14:solidFill>
              <w14:schemeClr w14:val="tx1"/>
            </w14:solidFill>
          </w14:textFill>
        </w:rPr>
      </w:pPr>
    </w:p>
    <w:p w14:paraId="01322C3B">
      <w:pPr>
        <w:spacing w:afterLines="0" w:line="360" w:lineRule="auto"/>
        <w:ind w:firstLine="560"/>
        <w:jc w:val="left"/>
        <w:rPr>
          <w:rFonts w:hint="eastAsia" w:ascii="宋体" w:hAnsi="宋体"/>
          <w:color w:val="000000" w:themeColor="text1"/>
          <w:szCs w:val="21"/>
          <w14:textFill>
            <w14:solidFill>
              <w14:schemeClr w14:val="tx1"/>
            </w14:solidFill>
          </w14:textFill>
        </w:rPr>
      </w:pPr>
    </w:p>
    <w:p w14:paraId="7CD774C6">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甲方（采购人）：   （盖章）       乙方（供应商）：    （盖章）</w:t>
      </w:r>
    </w:p>
    <w:p w14:paraId="70A7C99D">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                     法定代表人： </w:t>
      </w:r>
    </w:p>
    <w:p w14:paraId="6FEE70D0">
      <w:pPr>
        <w:spacing w:afterLines="0"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                     委托代理人：</w:t>
      </w:r>
    </w:p>
    <w:p w14:paraId="296AC13E">
      <w:pPr>
        <w:spacing w:afterLines="0" w:line="360" w:lineRule="auto"/>
        <w:ind w:firstLine="525" w:firstLineChars="25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         日期：   年     月    日</w:t>
      </w:r>
    </w:p>
    <w:p w14:paraId="7F842DBA">
      <w:pPr>
        <w:spacing w:afterLines="0" w:line="360" w:lineRule="auto"/>
        <w:ind w:firstLine="527" w:firstLineChars="250"/>
        <w:rPr>
          <w:rFonts w:hint="eastAsia" w:ascii="宋体" w:hAnsi="宋体"/>
          <w:b/>
          <w:color w:val="000000" w:themeColor="text1"/>
          <w:szCs w:val="21"/>
          <w14:textFill>
            <w14:solidFill>
              <w14:schemeClr w14:val="tx1"/>
            </w14:solidFill>
          </w14:textFill>
        </w:rPr>
      </w:pPr>
    </w:p>
    <w:p w14:paraId="0CDB4058">
      <w:pPr>
        <w:spacing w:after="60"/>
        <w:rPr>
          <w:rFonts w:hint="eastAsia" w:ascii="宋体" w:hAnsi="宋体"/>
          <w:color w:val="000000" w:themeColor="text1"/>
          <w14:textFill>
            <w14:solidFill>
              <w14:schemeClr w14:val="tx1"/>
            </w14:solidFill>
          </w14:textFill>
        </w:rPr>
      </w:pPr>
    </w:p>
    <w:p w14:paraId="5240288A">
      <w:pPr>
        <w:spacing w:after="60"/>
        <w:rPr>
          <w:rFonts w:hint="eastAsia" w:ascii="宋体" w:hAnsi="宋体"/>
          <w:color w:val="000000" w:themeColor="text1"/>
          <w14:textFill>
            <w14:solidFill>
              <w14:schemeClr w14:val="tx1"/>
            </w14:solidFill>
          </w14:textFill>
        </w:rPr>
      </w:pPr>
    </w:p>
    <w:p w14:paraId="0260154C">
      <w:pPr>
        <w:widowControl/>
        <w:spacing w:afterLines="0" w:line="240" w:lineRule="auto"/>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3B1DABF3">
      <w:pPr>
        <w:spacing w:after="60"/>
        <w:ind w:left="6090" w:hanging="6090" w:hangingChars="2900"/>
        <w:jc w:val="right"/>
        <w:rPr>
          <w:rFonts w:hint="eastAsia" w:ascii="宋体" w:hAnsi="宋体"/>
          <w:color w:val="000000" w:themeColor="text1"/>
          <w14:textFill>
            <w14:solidFill>
              <w14:schemeClr w14:val="tx1"/>
            </w14:solidFill>
          </w14:textFill>
        </w:rPr>
      </w:pPr>
    </w:p>
    <w:p w14:paraId="7C5A4A9D">
      <w:pPr>
        <w:pStyle w:val="4"/>
        <w:spacing w:before="0" w:afterLines="0"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二、政府采购履约情况反馈表</w:t>
      </w:r>
    </w:p>
    <w:p w14:paraId="2EED68DD">
      <w:pPr>
        <w:spacing w:after="60" w:line="240" w:lineRule="atLeas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采购单位名称：                       联系人及电话：</w:t>
      </w:r>
    </w:p>
    <w:p w14:paraId="64DCBBA0">
      <w:pPr>
        <w:spacing w:after="60" w:line="60" w:lineRule="exact"/>
        <w:rPr>
          <w:rFonts w:hint="eastAsia" w:ascii="宋体" w:hAnsi="宋体"/>
          <w:b/>
          <w:color w:val="000000" w:themeColor="text1"/>
          <w:szCs w:val="21"/>
          <w14:textFill>
            <w14:solidFill>
              <w14:schemeClr w14:val="tx1"/>
            </w14:solidFill>
          </w14:textFill>
        </w:rPr>
      </w:pPr>
    </w:p>
    <w:tbl>
      <w:tblPr>
        <w:tblStyle w:val="46"/>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720"/>
        <w:gridCol w:w="720"/>
        <w:gridCol w:w="2520"/>
        <w:gridCol w:w="1980"/>
        <w:gridCol w:w="2135"/>
      </w:tblGrid>
      <w:tr w14:paraId="1C0C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82" w:type="dxa"/>
            <w:gridSpan w:val="3"/>
            <w:vAlign w:val="center"/>
          </w:tcPr>
          <w:p w14:paraId="0316E50F">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采购项目名称</w:t>
            </w:r>
          </w:p>
        </w:tc>
        <w:tc>
          <w:tcPr>
            <w:tcW w:w="2520" w:type="dxa"/>
            <w:vAlign w:val="center"/>
          </w:tcPr>
          <w:p w14:paraId="205E3490">
            <w:pPr>
              <w:spacing w:after="60" w:line="240" w:lineRule="atLeast"/>
              <w:jc w:val="center"/>
              <w:rPr>
                <w:rFonts w:hint="eastAsia" w:ascii="宋体" w:hAnsi="宋体"/>
                <w:color w:val="000000" w:themeColor="text1"/>
                <w:szCs w:val="21"/>
                <w14:textFill>
                  <w14:solidFill>
                    <w14:schemeClr w14:val="tx1"/>
                  </w14:solidFill>
                </w14:textFill>
              </w:rPr>
            </w:pPr>
          </w:p>
        </w:tc>
        <w:tc>
          <w:tcPr>
            <w:tcW w:w="1980" w:type="dxa"/>
            <w:vAlign w:val="center"/>
          </w:tcPr>
          <w:p w14:paraId="5913300F">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p>
        </w:tc>
        <w:tc>
          <w:tcPr>
            <w:tcW w:w="2135" w:type="dxa"/>
            <w:vAlign w:val="center"/>
          </w:tcPr>
          <w:p w14:paraId="5027A5AF">
            <w:pPr>
              <w:spacing w:after="60" w:line="240" w:lineRule="atLeast"/>
              <w:jc w:val="center"/>
              <w:rPr>
                <w:rFonts w:hint="eastAsia" w:ascii="宋体" w:hAnsi="宋体"/>
                <w:color w:val="000000" w:themeColor="text1"/>
                <w:szCs w:val="21"/>
                <w14:textFill>
                  <w14:solidFill>
                    <w14:schemeClr w14:val="tx1"/>
                  </w14:solidFill>
                </w14:textFill>
              </w:rPr>
            </w:pPr>
          </w:p>
        </w:tc>
      </w:tr>
      <w:tr w14:paraId="3FC1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82" w:type="dxa"/>
            <w:gridSpan w:val="3"/>
            <w:vAlign w:val="center"/>
          </w:tcPr>
          <w:p w14:paraId="17AFBE8A">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中标供应商名称</w:t>
            </w:r>
          </w:p>
        </w:tc>
        <w:tc>
          <w:tcPr>
            <w:tcW w:w="2520" w:type="dxa"/>
            <w:vAlign w:val="center"/>
          </w:tcPr>
          <w:p w14:paraId="4C2D76E5">
            <w:pPr>
              <w:spacing w:after="60" w:line="240" w:lineRule="atLeast"/>
              <w:jc w:val="center"/>
              <w:rPr>
                <w:rFonts w:hint="eastAsia" w:ascii="宋体" w:hAnsi="宋体"/>
                <w:color w:val="000000" w:themeColor="text1"/>
                <w:szCs w:val="21"/>
                <w14:textFill>
                  <w14:solidFill>
                    <w14:schemeClr w14:val="tx1"/>
                  </w14:solidFill>
                </w14:textFill>
              </w:rPr>
            </w:pPr>
          </w:p>
        </w:tc>
        <w:tc>
          <w:tcPr>
            <w:tcW w:w="1980" w:type="dxa"/>
            <w:vAlign w:val="center"/>
          </w:tcPr>
          <w:p w14:paraId="073702F7">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p>
          <w:p w14:paraId="6479740D">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联系人及电话</w:t>
            </w:r>
          </w:p>
        </w:tc>
        <w:tc>
          <w:tcPr>
            <w:tcW w:w="2135" w:type="dxa"/>
            <w:vAlign w:val="center"/>
          </w:tcPr>
          <w:p w14:paraId="22660B03">
            <w:pPr>
              <w:spacing w:after="60" w:line="240" w:lineRule="atLeast"/>
              <w:jc w:val="center"/>
              <w:rPr>
                <w:rFonts w:hint="eastAsia" w:ascii="宋体" w:hAnsi="宋体"/>
                <w:color w:val="000000" w:themeColor="text1"/>
                <w:szCs w:val="21"/>
                <w14:textFill>
                  <w14:solidFill>
                    <w14:schemeClr w14:val="tx1"/>
                  </w14:solidFill>
                </w14:textFill>
              </w:rPr>
            </w:pPr>
          </w:p>
        </w:tc>
      </w:tr>
      <w:tr w14:paraId="3BEF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82" w:type="dxa"/>
            <w:gridSpan w:val="3"/>
            <w:vAlign w:val="center"/>
          </w:tcPr>
          <w:p w14:paraId="7500C156">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中标金额</w:t>
            </w:r>
          </w:p>
        </w:tc>
        <w:tc>
          <w:tcPr>
            <w:tcW w:w="2520" w:type="dxa"/>
            <w:vAlign w:val="center"/>
          </w:tcPr>
          <w:p w14:paraId="390605FD">
            <w:pPr>
              <w:spacing w:after="60" w:line="240" w:lineRule="atLeast"/>
              <w:jc w:val="center"/>
              <w:rPr>
                <w:rFonts w:hint="eastAsia" w:ascii="宋体" w:hAnsi="宋体"/>
                <w:color w:val="000000" w:themeColor="text1"/>
                <w:szCs w:val="21"/>
                <w14:textFill>
                  <w14:solidFill>
                    <w14:schemeClr w14:val="tx1"/>
                  </w14:solidFill>
                </w14:textFill>
              </w:rPr>
            </w:pPr>
          </w:p>
        </w:tc>
        <w:tc>
          <w:tcPr>
            <w:tcW w:w="1980" w:type="dxa"/>
            <w:vAlign w:val="center"/>
          </w:tcPr>
          <w:p w14:paraId="37209D97">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合同履约时间</w:t>
            </w:r>
          </w:p>
        </w:tc>
        <w:tc>
          <w:tcPr>
            <w:tcW w:w="2135" w:type="dxa"/>
            <w:vAlign w:val="center"/>
          </w:tcPr>
          <w:p w14:paraId="794A8C29">
            <w:pPr>
              <w:spacing w:after="60" w:line="24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       至</w:t>
            </w:r>
          </w:p>
        </w:tc>
      </w:tr>
      <w:tr w14:paraId="0D80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7D731B59">
            <w:pPr>
              <w:spacing w:after="60" w:line="240" w:lineRule="atLeas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履约情况评价</w:t>
            </w:r>
          </w:p>
        </w:tc>
        <w:tc>
          <w:tcPr>
            <w:tcW w:w="1440" w:type="dxa"/>
            <w:gridSpan w:val="2"/>
            <w:vAlign w:val="center"/>
          </w:tcPr>
          <w:p w14:paraId="43ED24DC">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总体评价</w:t>
            </w:r>
          </w:p>
        </w:tc>
        <w:tc>
          <w:tcPr>
            <w:tcW w:w="6635" w:type="dxa"/>
            <w:gridSpan w:val="3"/>
            <w:vAlign w:val="center"/>
          </w:tcPr>
          <w:p w14:paraId="7BABEBC0">
            <w:pPr>
              <w:spacing w:after="60" w:line="240" w:lineRule="atLeast"/>
              <w:ind w:firstLine="105" w:firstLine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优          □ 良          □ 中           □ 差</w:t>
            </w:r>
          </w:p>
        </w:tc>
      </w:tr>
      <w:tr w14:paraId="3057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09EB0163">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Merge w:val="restart"/>
            <w:vAlign w:val="center"/>
          </w:tcPr>
          <w:p w14:paraId="17A0E060">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分项评价</w:t>
            </w:r>
          </w:p>
        </w:tc>
        <w:tc>
          <w:tcPr>
            <w:tcW w:w="720" w:type="dxa"/>
            <w:vAlign w:val="center"/>
          </w:tcPr>
          <w:p w14:paraId="11CC7933">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质量方面</w:t>
            </w:r>
          </w:p>
        </w:tc>
        <w:tc>
          <w:tcPr>
            <w:tcW w:w="6635" w:type="dxa"/>
            <w:gridSpan w:val="3"/>
            <w:vAlign w:val="center"/>
          </w:tcPr>
          <w:p w14:paraId="6C526773">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 优          □ 良          □ 中           □ 差</w:t>
            </w:r>
          </w:p>
        </w:tc>
      </w:tr>
      <w:tr w14:paraId="2A30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2D23C324">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Merge w:val="continue"/>
            <w:vAlign w:val="center"/>
          </w:tcPr>
          <w:p w14:paraId="5001FC11">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Align w:val="center"/>
          </w:tcPr>
          <w:p w14:paraId="772FF6A8">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价格方面</w:t>
            </w:r>
          </w:p>
        </w:tc>
        <w:tc>
          <w:tcPr>
            <w:tcW w:w="6635" w:type="dxa"/>
            <w:gridSpan w:val="3"/>
            <w:vAlign w:val="center"/>
          </w:tcPr>
          <w:p w14:paraId="06168D1C">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 优          □ 良          □ 中           □ 差</w:t>
            </w:r>
          </w:p>
        </w:tc>
      </w:tr>
      <w:tr w14:paraId="405A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14F78241">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Merge w:val="continue"/>
            <w:vAlign w:val="center"/>
          </w:tcPr>
          <w:p w14:paraId="764CA8D7">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Align w:val="center"/>
          </w:tcPr>
          <w:p w14:paraId="75F626E7">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服务方面</w:t>
            </w:r>
          </w:p>
        </w:tc>
        <w:tc>
          <w:tcPr>
            <w:tcW w:w="6635" w:type="dxa"/>
            <w:gridSpan w:val="3"/>
            <w:vAlign w:val="center"/>
          </w:tcPr>
          <w:p w14:paraId="7F3F7436">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 优          □ 良          □ 中           □ 差</w:t>
            </w:r>
          </w:p>
        </w:tc>
      </w:tr>
      <w:tr w14:paraId="3CC0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D4BE059">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Merge w:val="continue"/>
            <w:vAlign w:val="center"/>
          </w:tcPr>
          <w:p w14:paraId="42EAAFDE">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Align w:val="center"/>
          </w:tcPr>
          <w:p w14:paraId="4069A2F4">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时间方面</w:t>
            </w:r>
          </w:p>
        </w:tc>
        <w:tc>
          <w:tcPr>
            <w:tcW w:w="6635" w:type="dxa"/>
            <w:gridSpan w:val="3"/>
            <w:vAlign w:val="center"/>
          </w:tcPr>
          <w:p w14:paraId="2F9D332C">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 优          □ 良          □ 中           □ 差</w:t>
            </w:r>
          </w:p>
        </w:tc>
      </w:tr>
      <w:tr w14:paraId="2200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11993B4">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Merge w:val="continue"/>
            <w:vAlign w:val="center"/>
          </w:tcPr>
          <w:p w14:paraId="5D444B29">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Align w:val="center"/>
          </w:tcPr>
          <w:p w14:paraId="20045DE1">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环境保护</w:t>
            </w:r>
          </w:p>
        </w:tc>
        <w:tc>
          <w:tcPr>
            <w:tcW w:w="6635" w:type="dxa"/>
            <w:gridSpan w:val="3"/>
            <w:vAlign w:val="center"/>
          </w:tcPr>
          <w:p w14:paraId="62924F7C">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 优          □ 良          □ 中           □ 差</w:t>
            </w:r>
          </w:p>
        </w:tc>
      </w:tr>
      <w:tr w14:paraId="32D5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F53B741">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Merge w:val="continue"/>
            <w:vAlign w:val="center"/>
          </w:tcPr>
          <w:p w14:paraId="49AA427B">
            <w:pPr>
              <w:spacing w:after="60" w:line="240" w:lineRule="atLeast"/>
              <w:jc w:val="center"/>
              <w:rPr>
                <w:rFonts w:hint="eastAsia" w:ascii="宋体" w:hAnsi="宋体"/>
                <w:color w:val="000000" w:themeColor="text1"/>
                <w:szCs w:val="21"/>
                <w14:textFill>
                  <w14:solidFill>
                    <w14:schemeClr w14:val="tx1"/>
                  </w14:solidFill>
                </w14:textFill>
              </w:rPr>
            </w:pPr>
          </w:p>
        </w:tc>
        <w:tc>
          <w:tcPr>
            <w:tcW w:w="720" w:type="dxa"/>
            <w:vAlign w:val="center"/>
          </w:tcPr>
          <w:p w14:paraId="23C54AEB">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635" w:type="dxa"/>
            <w:gridSpan w:val="3"/>
            <w:vAlign w:val="center"/>
          </w:tcPr>
          <w:p w14:paraId="62D7D1DD">
            <w:pPr>
              <w:spacing w:before="120" w:beforeLines="50" w:after="120" w:afterLines="50" w:line="240" w:lineRule="atLeas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评价内容为：</w:t>
            </w:r>
          </w:p>
          <w:p w14:paraId="0C9B09D8">
            <w:pPr>
              <w:spacing w:before="120" w:beforeLines="50" w:after="120" w:afterLines="50" w:line="24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评价等级为：  □ 优       □ 良        □ 中         □ 差</w:t>
            </w:r>
          </w:p>
        </w:tc>
      </w:tr>
      <w:tr w14:paraId="02F1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562" w:type="dxa"/>
            <w:gridSpan w:val="2"/>
            <w:vAlign w:val="center"/>
          </w:tcPr>
          <w:p w14:paraId="3C41C16D">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具体情况说明</w:t>
            </w:r>
          </w:p>
        </w:tc>
        <w:tc>
          <w:tcPr>
            <w:tcW w:w="7355" w:type="dxa"/>
            <w:gridSpan w:val="4"/>
          </w:tcPr>
          <w:p w14:paraId="41A63895">
            <w:pPr>
              <w:spacing w:after="60" w:line="240" w:lineRule="atLeast"/>
              <w:rPr>
                <w:rFonts w:hint="eastAsia" w:ascii="宋体" w:hAnsi="宋体"/>
                <w:color w:val="000000" w:themeColor="text1"/>
                <w:szCs w:val="21"/>
                <w14:textFill>
                  <w14:solidFill>
                    <w14:schemeClr w14:val="tx1"/>
                  </w14:solidFill>
                </w14:textFill>
              </w:rPr>
            </w:pPr>
          </w:p>
          <w:p w14:paraId="20D578A2">
            <w:pPr>
              <w:spacing w:after="60" w:line="240" w:lineRule="atLeast"/>
              <w:rPr>
                <w:rFonts w:hint="eastAsia" w:ascii="宋体" w:hAnsi="宋体"/>
                <w:color w:val="000000" w:themeColor="text1"/>
                <w:szCs w:val="21"/>
                <w14:textFill>
                  <w14:solidFill>
                    <w14:schemeClr w14:val="tx1"/>
                  </w14:solidFill>
                </w14:textFill>
              </w:rPr>
            </w:pPr>
          </w:p>
          <w:p w14:paraId="3881A3C9">
            <w:pPr>
              <w:spacing w:after="60" w:line="240" w:lineRule="atLeast"/>
              <w:rPr>
                <w:rFonts w:hint="eastAsia" w:ascii="宋体" w:hAnsi="宋体"/>
                <w:color w:val="000000" w:themeColor="text1"/>
                <w:szCs w:val="21"/>
                <w14:textFill>
                  <w14:solidFill>
                    <w14:schemeClr w14:val="tx1"/>
                  </w14:solidFill>
                </w14:textFill>
              </w:rPr>
            </w:pPr>
          </w:p>
          <w:p w14:paraId="6075340E">
            <w:pPr>
              <w:spacing w:after="60" w:line="240" w:lineRule="atLeast"/>
              <w:rPr>
                <w:rFonts w:hint="eastAsia" w:ascii="宋体" w:hAnsi="宋体"/>
                <w:color w:val="000000" w:themeColor="text1"/>
                <w:szCs w:val="21"/>
                <w14:textFill>
                  <w14:solidFill>
                    <w14:schemeClr w14:val="tx1"/>
                  </w14:solidFill>
                </w14:textFill>
              </w:rPr>
            </w:pPr>
          </w:p>
          <w:p w14:paraId="0B5AD55B">
            <w:pPr>
              <w:spacing w:after="60" w:line="240" w:lineRule="atLeast"/>
              <w:rPr>
                <w:rFonts w:hint="eastAsia" w:ascii="宋体" w:hAnsi="宋体"/>
                <w:color w:val="000000" w:themeColor="text1"/>
                <w:szCs w:val="21"/>
                <w14:textFill>
                  <w14:solidFill>
                    <w14:schemeClr w14:val="tx1"/>
                  </w14:solidFill>
                </w14:textFill>
              </w:rPr>
            </w:pPr>
          </w:p>
          <w:p w14:paraId="36B7B67C">
            <w:pPr>
              <w:spacing w:after="60" w:line="240" w:lineRule="atLeast"/>
              <w:rPr>
                <w:rFonts w:hint="eastAsia" w:ascii="宋体" w:hAnsi="宋体"/>
                <w:color w:val="000000" w:themeColor="text1"/>
                <w:szCs w:val="21"/>
                <w14:textFill>
                  <w14:solidFill>
                    <w14:schemeClr w14:val="tx1"/>
                  </w14:solidFill>
                </w14:textFill>
              </w:rPr>
            </w:pPr>
          </w:p>
          <w:p w14:paraId="40E09641">
            <w:pPr>
              <w:spacing w:after="60" w:line="240" w:lineRule="atLeast"/>
              <w:rPr>
                <w:rFonts w:hint="eastAsia" w:ascii="宋体" w:hAnsi="宋体"/>
                <w:color w:val="000000" w:themeColor="text1"/>
                <w:szCs w:val="21"/>
                <w14:textFill>
                  <w14:solidFill>
                    <w14:schemeClr w14:val="tx1"/>
                  </w14:solidFill>
                </w14:textFill>
              </w:rPr>
            </w:pPr>
          </w:p>
        </w:tc>
      </w:tr>
      <w:tr w14:paraId="05BE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1562" w:type="dxa"/>
            <w:gridSpan w:val="2"/>
            <w:vAlign w:val="center"/>
          </w:tcPr>
          <w:p w14:paraId="72E5766F">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采购人意见</w:t>
            </w:r>
          </w:p>
          <w:p w14:paraId="67FD7D61">
            <w:pPr>
              <w:spacing w:after="60" w:line="24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（公章）</w:t>
            </w:r>
          </w:p>
        </w:tc>
        <w:tc>
          <w:tcPr>
            <w:tcW w:w="7355" w:type="dxa"/>
            <w:gridSpan w:val="4"/>
            <w:vAlign w:val="center"/>
          </w:tcPr>
          <w:p w14:paraId="02BFE927">
            <w:pPr>
              <w:spacing w:after="60" w:line="240" w:lineRule="atLeast"/>
              <w:rPr>
                <w:rFonts w:hint="eastAsia" w:ascii="宋体" w:hAnsi="宋体"/>
                <w:color w:val="000000" w:themeColor="text1"/>
                <w:szCs w:val="21"/>
                <w14:textFill>
                  <w14:solidFill>
                    <w14:schemeClr w14:val="tx1"/>
                  </w14:solidFill>
                </w14:textFill>
              </w:rPr>
            </w:pPr>
          </w:p>
          <w:p w14:paraId="17603AC3">
            <w:pPr>
              <w:spacing w:after="60" w:line="240" w:lineRule="atLeast"/>
              <w:rPr>
                <w:rFonts w:hint="eastAsia" w:ascii="宋体" w:hAnsi="宋体"/>
                <w:color w:val="000000" w:themeColor="text1"/>
                <w:szCs w:val="21"/>
                <w14:textFill>
                  <w14:solidFill>
                    <w14:schemeClr w14:val="tx1"/>
                  </w14:solidFill>
                </w14:textFill>
              </w:rPr>
            </w:pPr>
          </w:p>
          <w:p w14:paraId="61BB0A28">
            <w:pPr>
              <w:spacing w:after="60" w:line="240" w:lineRule="atLeast"/>
              <w:ind w:firstLine="3780" w:firstLineChars="1800"/>
              <w:rPr>
                <w:rFonts w:hint="eastAsia" w:ascii="宋体" w:hAnsi="宋体"/>
                <w:color w:val="000000" w:themeColor="text1"/>
                <w:szCs w:val="21"/>
                <w14:textFill>
                  <w14:solidFill>
                    <w14:schemeClr w14:val="tx1"/>
                  </w14:solidFill>
                </w14:textFill>
              </w:rPr>
            </w:pPr>
          </w:p>
          <w:p w14:paraId="5F817DAA">
            <w:pPr>
              <w:spacing w:after="60" w:line="240" w:lineRule="atLeast"/>
              <w:ind w:firstLine="3780" w:firstLineChars="18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tc>
      </w:tr>
    </w:tbl>
    <w:p w14:paraId="05D0F7A8">
      <w:pPr>
        <w:spacing w:after="60" w:line="24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3CB9A061">
      <w:pPr>
        <w:spacing w:after="60" w:line="24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1、本表为采购人反映政府采购项目履约情况时所用；</w:t>
      </w:r>
    </w:p>
    <w:p w14:paraId="384A737E">
      <w:pPr>
        <w:spacing w:after="60" w:line="240" w:lineRule="atLeast"/>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2、履约情况评价分为优、良、中、差四个等级，请在对应的框前打“√”，然后在“具体情况说明”一栏详细说明有关情况。</w:t>
      </w:r>
    </w:p>
    <w:p w14:paraId="1B3D82D7">
      <w:pPr>
        <w:pStyle w:val="2"/>
        <w:spacing w:before="0" w:after="360" w:afterLines="150" w:line="720" w:lineRule="exact"/>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第二册  通用条款（公开招标）</w:t>
      </w:r>
    </w:p>
    <w:p w14:paraId="21D13252">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总则</w:t>
      </w:r>
    </w:p>
    <w:p w14:paraId="718440D0">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 通用条款说明</w:t>
      </w:r>
    </w:p>
    <w:p w14:paraId="79B76146">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1.1采购代理机构发出招标文件通用条款版本，列出进行招标采购所适用的通用条款内容。如有需要，采购代理机构可以对通用条款增加附录或补充内容。</w:t>
      </w:r>
    </w:p>
    <w:p w14:paraId="0B1BA20F">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1.2招标文件分为第一册“专用条款”和第二册“通用条款”。</w:t>
      </w:r>
    </w:p>
    <w:p w14:paraId="3E24D505">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1.3“专用条款”是对本次采购项目的具体要求，包含投标人资格要求、招标项目需求、投标文件格式、附件等内容。</w:t>
      </w:r>
    </w:p>
    <w:p w14:paraId="260CE3CE">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1.4“通用条款”是适用于采购项目的基础性条款，具有普遍性和通用性。</w:t>
      </w:r>
    </w:p>
    <w:p w14:paraId="578C1825">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 “专用条款”和“通用条款”表述不一致或有冲突时，以“专用条款”为准。</w:t>
      </w:r>
    </w:p>
    <w:p w14:paraId="34873A21">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招标说明</w:t>
      </w:r>
    </w:p>
    <w:p w14:paraId="42CDD30A">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本项目按照《深圳经济特区政府采购条例》、《深圳经济特区政府采购条例实施细则》等规定，并参考有关法规，通过招标方式确定中标供应商。</w:t>
      </w:r>
    </w:p>
    <w:p w14:paraId="6D25F24F">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3．定义</w:t>
      </w:r>
    </w:p>
    <w:p w14:paraId="63CDAC12">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招标文件中下列术语应解释为：</w:t>
      </w:r>
    </w:p>
    <w:p w14:paraId="644F139E">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“采购代理机构”</w:t>
      </w:r>
      <w:r>
        <w:rPr>
          <w:rFonts w:hint="eastAsia" w:ascii="宋体" w:hAnsi="宋体" w:cs="Arial"/>
          <w:color w:val="000000" w:themeColor="text1"/>
          <w:szCs w:val="21"/>
          <w:shd w:val="clear" w:color="auto" w:fill="FFFFFF"/>
          <w14:textFill>
            <w14:solidFill>
              <w14:schemeClr w14:val="tx1"/>
            </w14:solidFill>
          </w14:textFill>
        </w:rPr>
        <w:t>是指根据采购人的委托，代理采购事宜的机构；</w:t>
      </w:r>
      <w:r>
        <w:rPr>
          <w:rFonts w:hint="eastAsia" w:ascii="宋体" w:hAnsi="宋体"/>
          <w:color w:val="000000" w:themeColor="text1"/>
          <w:szCs w:val="21"/>
          <w14:textFill>
            <w14:solidFill>
              <w14:schemeClr w14:val="tx1"/>
            </w14:solidFill>
          </w14:textFill>
        </w:rPr>
        <w:t>本文件所述的“采购代理机构”</w:t>
      </w:r>
      <w:r>
        <w:rPr>
          <w:rFonts w:ascii="宋体" w:hAnsi="宋体"/>
          <w:color w:val="000000" w:themeColor="text1"/>
          <w:szCs w:val="21"/>
          <w14:textFill>
            <w14:solidFill>
              <w14:schemeClr w14:val="tx1"/>
            </w14:solidFill>
          </w14:textFill>
        </w:rPr>
        <w:t>指</w:t>
      </w:r>
      <w:r>
        <w:rPr>
          <w:rFonts w:hint="eastAsia" w:ascii="宋体" w:hAnsi="宋体"/>
          <w:color w:val="000000" w:themeColor="text1"/>
          <w:szCs w:val="21"/>
          <w14:textFill>
            <w14:solidFill>
              <w14:schemeClr w14:val="tx1"/>
            </w14:solidFill>
          </w14:textFill>
        </w:rPr>
        <w:t>深圳市慧智工程顾问有限公司；</w:t>
      </w:r>
    </w:p>
    <w:p w14:paraId="48B06F83">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3.2“采购人”或“招标人”：指利用财政性资金依法进行政府采购的国家机关、事业单位、团体组织； </w:t>
      </w:r>
    </w:p>
    <w:p w14:paraId="33B2C9A2">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3.3“投标人”或“投标方”，即供应商，指参加投标竞争并愿意按照招标文件要求向采购人提供货物、工程或者服务的依法成立的法人、其他组织或者自然人；</w:t>
      </w:r>
    </w:p>
    <w:p w14:paraId="6CEE2BE8">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3.4“评审委员会”（或“评标委员会”）和“谈判小组”是依据《深圳经济特区政府采购条例》、《深圳经济特区政府采购条例实施细则》等有关规定组建的专门负责本次招标其评标（谈判）工作的临时性机构；</w:t>
      </w:r>
    </w:p>
    <w:p w14:paraId="08175E3E">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3.5“日期”</w:t>
      </w:r>
      <w:r>
        <w:rPr>
          <w:rFonts w:ascii="宋体" w:hAnsi="宋体"/>
          <w:color w:val="000000" w:themeColor="text1"/>
          <w:szCs w:val="21"/>
          <w14:textFill>
            <w14:solidFill>
              <w14:schemeClr w14:val="tx1"/>
            </w14:solidFill>
          </w14:textFill>
        </w:rPr>
        <w:t>指</w:t>
      </w:r>
      <w:r>
        <w:rPr>
          <w:rFonts w:hint="eastAsia" w:ascii="宋体" w:hAnsi="宋体"/>
          <w:color w:val="000000" w:themeColor="text1"/>
          <w:szCs w:val="21"/>
          <w14:textFill>
            <w14:solidFill>
              <w14:schemeClr w14:val="tx1"/>
            </w14:solidFill>
          </w14:textFill>
        </w:rPr>
        <w:t>公历日；</w:t>
      </w:r>
    </w:p>
    <w:p w14:paraId="038726DA">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3.6“合同”指由本次招标所产生的合同或合约文件；</w:t>
      </w:r>
    </w:p>
    <w:p w14:paraId="72EA20C1">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 xml:space="preserve">7 </w:t>
      </w:r>
      <w:r>
        <w:rPr>
          <w:rFonts w:hint="eastAsia" w:ascii="宋体" w:hAnsi="宋体"/>
          <w:color w:val="000000" w:themeColor="text1"/>
          <w:szCs w:val="21"/>
          <w14:textFill>
            <w14:solidFill>
              <w14:schemeClr w14:val="tx1"/>
            </w14:solidFill>
          </w14:textFill>
        </w:rPr>
        <w:t>招标文件中的标题或题名仅起引导作用，而不应视为对招标文件内容的理解和解释。</w:t>
      </w:r>
    </w:p>
    <w:p w14:paraId="1AF788B9">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18"/>
          <w14:textFill>
            <w14:solidFill>
              <w14:schemeClr w14:val="tx1"/>
            </w14:solidFill>
          </w14:textFill>
        </w:rPr>
        <w:t xml:space="preserve">3.8 </w:t>
      </w:r>
      <w:r>
        <w:rPr>
          <w:rFonts w:hint="eastAsia" w:ascii="宋体" w:hAnsi="宋体"/>
          <w:color w:val="000000" w:themeColor="text1"/>
          <w:szCs w:val="18"/>
          <w14:textFill>
            <w14:solidFill>
              <w14:schemeClr w14:val="tx1"/>
            </w14:solidFill>
          </w14:textFill>
        </w:rPr>
        <w:t>“投标人代表”是指投标人法定代表人授权指定投标人相关人员参与本项目招标采购活动的人员。投标人代表也可是投标人法定代表人。投标人授权的投标人代表须为供应商在职人员（在职期限包括但不限于招标公告期间），且仅代表该投标人针对本项目/本包组进行投标。（采购人和采购代理机构保留对投标代表人社保情况、劳动合同等进行调查核实的权利。若有不实，按《深圳经济特区采购条例实施细则》第八十一条规定处理）。</w:t>
      </w:r>
    </w:p>
    <w:p w14:paraId="2544D762">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 政府采购供应商责任</w:t>
      </w:r>
    </w:p>
    <w:p w14:paraId="5D078A97">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4.1欢迎诚信、有实力和有社会责任心的供应商参与政府采购事业。</w:t>
      </w:r>
    </w:p>
    <w:p w14:paraId="055CA158">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4.2投标人应当遵循公平竞争的原则，不得恶意串通，不得妨碍其他投标人的竞争行为，不得损害采购人或者其他投标人的合法权益。如违反上述要求，经核实后，供应商的投标无效。</w:t>
      </w:r>
    </w:p>
    <w:p w14:paraId="4DA66251">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5．投标人参加本项目采购活动的条件</w:t>
      </w:r>
    </w:p>
    <w:p w14:paraId="0316A3DB">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投标人的资格要求</w:t>
      </w:r>
    </w:p>
    <w:p w14:paraId="1698C7A7">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参加本项目的投标人应具备的资格条件详见本项目招标公告中 “投标人资格要求”的内容。</w:t>
      </w:r>
    </w:p>
    <w:p w14:paraId="7E3002E5">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5.3联合体投标</w:t>
      </w:r>
    </w:p>
    <w:p w14:paraId="12EC0900">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5.3.1　以下有关联合体投标的条款仅适用于允许投标人组成联合体投标的项目。</w:t>
      </w:r>
    </w:p>
    <w:p w14:paraId="0421F795">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5.3.2  由两个或两个以上的自然人、法人或者其他组织可以组成一个联合体，以一个供应商的身份共同投标时，应符合以下原则：</w:t>
      </w:r>
    </w:p>
    <w:p w14:paraId="2623B38C">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（1）投标联合体各方参加政府采购活动应当具备下列条件：</w:t>
      </w:r>
    </w:p>
    <w:p w14:paraId="42ABBFFA">
      <w:pPr>
        <w:spacing w:afterLines="0" w:line="360" w:lineRule="auto"/>
        <w:ind w:left="420" w:leftChars="200"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1、具有独立承担民事责任的能力；</w:t>
      </w:r>
    </w:p>
    <w:p w14:paraId="51F0A38D">
      <w:pPr>
        <w:spacing w:afterLines="0" w:line="360" w:lineRule="auto"/>
        <w:ind w:left="420"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2、有良好的商业信誉和健全的财务会计制度；</w:t>
      </w:r>
    </w:p>
    <w:p w14:paraId="17BF27E0">
      <w:pPr>
        <w:spacing w:afterLines="0" w:line="360" w:lineRule="auto"/>
        <w:ind w:left="420" w:leftChars="200"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3、具有履行合同所必需的设备和专业技术能力；</w:t>
      </w:r>
    </w:p>
    <w:p w14:paraId="1B697313">
      <w:pPr>
        <w:spacing w:afterLines="0" w:line="360" w:lineRule="auto"/>
        <w:ind w:left="420" w:leftChars="200"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4、有依法缴纳税收和社会保障资金的良好记录；</w:t>
      </w:r>
    </w:p>
    <w:p w14:paraId="37706A4F">
      <w:pPr>
        <w:spacing w:afterLines="0" w:line="360" w:lineRule="auto"/>
        <w:ind w:left="420" w:leftChars="200"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5、参加政府采购活动前三年内，在经营活动中没有重大违法记录；</w:t>
      </w:r>
    </w:p>
    <w:p w14:paraId="6EAB1A55">
      <w:pPr>
        <w:spacing w:afterLines="0" w:line="360" w:lineRule="auto"/>
        <w:ind w:left="420" w:leftChars="200"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6、法律、行政法规规定的其他条件。</w:t>
      </w:r>
    </w:p>
    <w:p w14:paraId="351E3394">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（2）投标联合体各方必须有一方先行注册成采购代理机构供应商。在投标截止前，投标联合体各方均应注册成采购代理机构供应商；</w:t>
      </w:r>
    </w:p>
    <w:p w14:paraId="62AD829D">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（3）联合体中有同类资质的供应商按照联合体分工承担相同工作的，应当按照资质等级较低的供应商确定资质等级。</w:t>
      </w:r>
    </w:p>
    <w:p w14:paraId="3578B6AC">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（4）是否允许联合体参加投标，应当由采购人和采购代理机构根据项目的实际情况和潜在供应商的数量自主决定，如果决定接受联合体投标则应当在采购公告中明示。</w:t>
      </w:r>
    </w:p>
    <w:p w14:paraId="7304C510">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（5）投标人的投标文件及中标后签署的合同协议对联合体各方均具法律约束力；</w:t>
      </w:r>
    </w:p>
    <w:p w14:paraId="1908FC30">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（6）联合体各方应当签订共同投标协议，明确约定各方拟承担的工作和责任，并将该共同投标协议随投标文件一并递交给采购代理机构；</w:t>
      </w:r>
    </w:p>
    <w:p w14:paraId="08BF7D35">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（7）联合体中标后，联合体各方应当共同与采购人签订合同，就中标项目向采购人承担连带责任；</w:t>
      </w:r>
    </w:p>
    <w:p w14:paraId="3532FD79">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0032CCAC">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（9）本通用条款中“投标人”一词亦指联合体各方，专用条款另有规定或说明的除外。</w:t>
      </w:r>
    </w:p>
    <w:p w14:paraId="37E2A16D">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6．政策导向</w:t>
      </w:r>
    </w:p>
    <w:p w14:paraId="0C579C42">
      <w:pPr>
        <w:spacing w:afterLines="0" w:line="360" w:lineRule="auto"/>
        <w:ind w:firstLine="315" w:firstLineChars="15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6.1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181240AF">
      <w:pPr>
        <w:spacing w:afterLines="0" w:line="360" w:lineRule="auto"/>
        <w:ind w:firstLine="405"/>
        <w:rPr>
          <w:rFonts w:hint="eastAsia"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 xml:space="preserve">6.2 </w:t>
      </w:r>
      <w:r>
        <w:rPr>
          <w:rFonts w:hint="eastAsia" w:ascii="宋体" w:hAnsi="宋体"/>
          <w:color w:val="000000" w:themeColor="text1"/>
          <w14:textFill>
            <w14:solidFill>
              <w14:schemeClr w14:val="tx1"/>
            </w14:solidFill>
          </w14:textFill>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0F482F9A">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 本项目若涉及采购货物，则合格的货物及相应服务应满足以下要求：</w:t>
      </w:r>
    </w:p>
    <w:p w14:paraId="5F56D8FF">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 xml:space="preserve">.1  </w:t>
      </w:r>
      <w:r>
        <w:rPr>
          <w:rFonts w:hint="eastAsia" w:ascii="宋体" w:hAnsi="宋体"/>
          <w:color w:val="000000" w:themeColor="text1"/>
          <w14:textFill>
            <w14:solidFill>
              <w14:schemeClr w14:val="tx1"/>
            </w14:solidFill>
          </w14:textFill>
        </w:rPr>
        <w:t>必须是全新、未使用过的原装合格正品（包括零部件），如安装或配置了软件的，须为正版软件。</w:t>
      </w:r>
    </w:p>
    <w:p w14:paraId="21CF955E">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  国产的货物及其有关服务必须符合中华人民共和国的设计、制造生产标准及行业标准。招标公告有其他要求的，亦应符合其要求。</w:t>
      </w:r>
    </w:p>
    <w:p w14:paraId="33A1EBC0">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5DDEBDB">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DAE18DD">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6AFC83C4">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7.6  对工期的要求：投标人在投标时对其所投项目应提交交货进度、交货计划等，在合同规定的时间内完工验收。</w:t>
      </w:r>
    </w:p>
    <w:p w14:paraId="7457D9DB">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  投标人必须承担的设备运输、安装调试、验收检测和提供设备操作说明书、图纸等其他相关及类似的义务。</w:t>
      </w:r>
    </w:p>
    <w:p w14:paraId="694D96E0">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8．投标费用</w:t>
      </w:r>
    </w:p>
    <w:p w14:paraId="60A1F401">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不论投标结果如何，投标人应承担其编制投标文件与递交投标文件所涉及的一切费用。</w:t>
      </w:r>
    </w:p>
    <w:p w14:paraId="401AA208">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9．踏勘现场</w:t>
      </w:r>
    </w:p>
    <w:p w14:paraId="58C6D450">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如有需要（详见专用条款），采购代理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14:paraId="5ECBDEDF">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9.2投标人及其人员经过采购人的允许，可以进入采购人的项目现场踏勘。若招标文件要求投标人于统一时间地点踏勘现场的，投标人应当按时前往。</w:t>
      </w:r>
    </w:p>
    <w:p w14:paraId="4E31FABC">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9.3采购人必须通过采购代理机构向投标人提供有关现场的资料和数据。</w:t>
      </w:r>
    </w:p>
    <w:p w14:paraId="6E6CE373">
      <w:pPr>
        <w:spacing w:afterLines="0" w:line="360" w:lineRule="auto"/>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9.4任何人或任何组织在踏勘现场时向投标人提交的任何书面资料或口头承诺，未经采购代理机构在网上发布或书面通知，均作无效处理。</w:t>
      </w:r>
    </w:p>
    <w:p w14:paraId="625E94DB">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10．招标答疑</w:t>
      </w:r>
    </w:p>
    <w:p w14:paraId="61818CEB">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10.1招标答疑的目的是澄清、解答投标人在查阅招标文件后或现场踏勘中可能提出的与投标有关的疑问或询问。</w:t>
      </w:r>
    </w:p>
    <w:p w14:paraId="4207FAC6">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10.2投标人如对招标文件内容有疑问，必须在招标文件规定的答疑截止时间前以书面提问的形式提交采购代理机构。</w:t>
      </w:r>
    </w:p>
    <w:p w14:paraId="472C4AE2">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10.3采购代理机构对疑问所做出的澄清和解答，以书面答复（包括网站发布信息）为准。答疑纪要的有效性规定按照本通用条款第13</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、13</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款规定执行。</w:t>
      </w:r>
    </w:p>
    <w:p w14:paraId="0941887C">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10.4如采购代理机构认为有必要组织现场答疑会，投标人应按照招标文件规定的时间或集中采购机构另行书面通知（包括网站发布的通知）的时间和地点，参与现场答疑会。</w:t>
      </w:r>
    </w:p>
    <w:p w14:paraId="321DC25B">
      <w:pPr>
        <w:spacing w:afterLines="0" w:line="360" w:lineRule="auto"/>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10.5未参与招标答疑不作为否定投标人资格的理由。</w:t>
      </w:r>
    </w:p>
    <w:p w14:paraId="3AB5F793">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招标文件</w:t>
      </w:r>
    </w:p>
    <w:p w14:paraId="71E7860F">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11．招标文件的编制与组成</w:t>
      </w:r>
    </w:p>
    <w:p w14:paraId="5A0EEE79">
      <w:pPr>
        <w:snapToGrid w:val="0"/>
        <w:spacing w:after="6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11.1招标文件除以下内容外，采购代理机构在招标（或谈判）期间发出的答疑、澄清或修改等相关公告或通知内容，均是招标文件的组成部分，对投标人起约束作用；</w:t>
      </w:r>
    </w:p>
    <w:p w14:paraId="09DF9012">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招标文件包括下列内容：</w:t>
      </w:r>
    </w:p>
    <w:p w14:paraId="60A6BC88">
      <w:pPr>
        <w:spacing w:after="60"/>
        <w:ind w:left="420" w:leftChars="200" w:firstLine="413" w:firstLineChars="196"/>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第一册  专用条款</w:t>
      </w:r>
    </w:p>
    <w:p w14:paraId="779B9DDF">
      <w:pPr>
        <w:spacing w:after="60"/>
        <w:ind w:left="1079" w:leftChars="514"/>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关键信息</w:t>
      </w:r>
    </w:p>
    <w:p w14:paraId="28046681">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  招标公告</w:t>
      </w:r>
    </w:p>
    <w:p w14:paraId="4BDD2B52">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  招标项目需求</w:t>
      </w:r>
    </w:p>
    <w:p w14:paraId="7ED3B510">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第三章  </w:t>
      </w:r>
      <w:r>
        <w:rPr>
          <w:rFonts w:hint="eastAsia" w:ascii="宋体" w:hAnsi="宋体"/>
          <w:color w:val="000000" w:themeColor="text1"/>
          <w14:textFill>
            <w14:solidFill>
              <w14:schemeClr w14:val="tx1"/>
            </w14:solidFill>
          </w14:textFill>
        </w:rPr>
        <w:t>投标文件格式、附件</w:t>
      </w:r>
    </w:p>
    <w:p w14:paraId="1AD62392">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第四章 </w:t>
      </w:r>
      <w:r>
        <w:rPr>
          <w:rFonts w:hint="eastAsia" w:ascii="宋体" w:hAnsi="宋体"/>
          <w:color w:val="000000" w:themeColor="text1"/>
          <w14:textFill>
            <w14:solidFill>
              <w14:schemeClr w14:val="tx1"/>
            </w14:solidFill>
          </w14:textFill>
        </w:rPr>
        <w:t>政府采购合同的签订、履行及验收</w:t>
      </w:r>
    </w:p>
    <w:p w14:paraId="241F5C27">
      <w:pPr>
        <w:spacing w:after="60"/>
        <w:ind w:left="420" w:leftChars="200" w:firstLine="413" w:firstLineChars="196"/>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第二册  通用条款</w:t>
      </w:r>
    </w:p>
    <w:p w14:paraId="621EFBEA">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  总则</w:t>
      </w:r>
    </w:p>
    <w:p w14:paraId="59B31F3E">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  招标文件</w:t>
      </w:r>
    </w:p>
    <w:p w14:paraId="47C26231">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  投标文件的编制</w:t>
      </w:r>
    </w:p>
    <w:p w14:paraId="073DD562">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  投标文件的递交</w:t>
      </w:r>
    </w:p>
    <w:p w14:paraId="6A2FD36F">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  开标</w:t>
      </w:r>
    </w:p>
    <w:p w14:paraId="47CF4A6D">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  评标要求</w:t>
      </w:r>
    </w:p>
    <w:p w14:paraId="76671029">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  评标程序及评标方法</w:t>
      </w:r>
    </w:p>
    <w:p w14:paraId="6AE3E98E">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第八章  定标及公示</w:t>
      </w:r>
    </w:p>
    <w:p w14:paraId="4483E5BF">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第九章  公开招标失败的后续处理</w:t>
      </w:r>
    </w:p>
    <w:p w14:paraId="13119F4A">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第十章  合同的授予与备案</w:t>
      </w:r>
    </w:p>
    <w:p w14:paraId="261897A0">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第十一章  质疑处理</w:t>
      </w:r>
    </w:p>
    <w:p w14:paraId="187DA261">
      <w:pPr>
        <w:spacing w:after="60"/>
        <w:ind w:left="630" w:leftChars="300"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第十二章</w:t>
      </w:r>
      <w:r>
        <w:rPr>
          <w:rFonts w:hint="eastAsia" w:ascii="宋体" w:hAnsi="宋体"/>
          <w:color w:val="000000" w:themeColor="text1"/>
          <w:szCs w:val="21"/>
          <w14:textFill>
            <w14:solidFill>
              <w14:schemeClr w14:val="tx1"/>
            </w14:solidFill>
          </w14:textFill>
        </w:rPr>
        <w:t xml:space="preserve">  中标服务费</w:t>
      </w:r>
    </w:p>
    <w:p w14:paraId="26CB2122">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9C2CA2D">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w:t>
      </w:r>
      <w:r>
        <w:rPr>
          <w:rFonts w:hint="eastAsia" w:ascii="宋体" w:hAnsi="宋体"/>
          <w:color w:val="000000" w:themeColor="text1"/>
          <w14:textFill>
            <w14:solidFill>
              <w14:schemeClr w14:val="tx1"/>
            </w14:solidFill>
          </w14:textFill>
        </w:rPr>
        <w:t>任何人或任何组织向投标人提交的任何书面或口头资料，未经</w:t>
      </w:r>
      <w:r>
        <w:rPr>
          <w:rFonts w:hint="eastAsia" w:ascii="宋体" w:hAnsi="宋体"/>
          <w:color w:val="000000" w:themeColor="text1"/>
          <w:szCs w:val="21"/>
          <w14:textFill>
            <w14:solidFill>
              <w14:schemeClr w14:val="tx1"/>
            </w14:solidFill>
          </w14:textFill>
        </w:rPr>
        <w:t>采购代理机构</w:t>
      </w:r>
      <w:r>
        <w:rPr>
          <w:rFonts w:hint="eastAsia" w:ascii="宋体" w:hAnsi="宋体"/>
          <w:color w:val="000000" w:themeColor="text1"/>
          <w14:textFill>
            <w14:solidFill>
              <w14:schemeClr w14:val="tx1"/>
            </w14:solidFill>
          </w14:textFill>
        </w:rPr>
        <w:t>在网上发布或书面通知，均作无效处理，不得作为招标文件的组成部分。</w:t>
      </w:r>
      <w:r>
        <w:rPr>
          <w:rFonts w:hint="eastAsia" w:ascii="宋体" w:hAnsi="宋体"/>
          <w:color w:val="000000" w:themeColor="text1"/>
          <w:szCs w:val="21"/>
          <w14:textFill>
            <w14:solidFill>
              <w14:schemeClr w14:val="tx1"/>
            </w14:solidFill>
          </w14:textFill>
        </w:rPr>
        <w:t>采购代理机构</w:t>
      </w:r>
      <w:r>
        <w:rPr>
          <w:rFonts w:hint="eastAsia" w:ascii="宋体" w:hAnsi="宋体"/>
          <w:color w:val="000000" w:themeColor="text1"/>
          <w14:textFill>
            <w14:solidFill>
              <w14:schemeClr w14:val="tx1"/>
            </w14:solidFill>
          </w14:textFill>
        </w:rPr>
        <w:t>对投标人由此而做出的推论、理解和结论概不负责。</w:t>
      </w:r>
    </w:p>
    <w:p w14:paraId="20D2FC5D">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12．招标文件的澄清</w:t>
      </w:r>
    </w:p>
    <w:p w14:paraId="5928315C">
      <w:pPr>
        <w:snapToGrid w:val="0"/>
        <w:spacing w:after="6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投标人如对招标文件内容有疑问，必须在招标文件规定的答疑截止时间前以书面提问形式提交给采购代理机构。不论是采购代理机构根据需要主动对招标文件进行必要的澄清或是根据投标人的要求对招标文件做出澄清，采购代理机构都将在投标截止日期前以书面形式（包括采购代理机构网站公开发布方式）答复或发送给所有投标人。澄清纪要作为招标文件的组成部分，对投标人起约束作用；</w:t>
      </w:r>
    </w:p>
    <w:p w14:paraId="75FA6B63">
      <w:pPr>
        <w:snapToGrid w:val="0"/>
        <w:spacing w:after="6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12.2对于没有提出澄清又参与了该项目投标的供应商将被视为完全认同该</w:t>
      </w:r>
      <w:r>
        <w:rPr>
          <w:rFonts w:hint="eastAsia" w:ascii="宋体" w:hAnsi="宋体"/>
          <w:color w:val="000000" w:themeColor="text1"/>
          <w14:textFill>
            <w14:solidFill>
              <w14:schemeClr w14:val="tx1"/>
            </w14:solidFill>
          </w14:textFill>
        </w:rPr>
        <w:t>招标文件（含澄清纪要）</w:t>
      </w:r>
      <w:r>
        <w:rPr>
          <w:rFonts w:hint="eastAsia" w:ascii="宋体" w:hAnsi="宋体"/>
          <w:color w:val="000000" w:themeColor="text1"/>
          <w:szCs w:val="21"/>
          <w14:textFill>
            <w14:solidFill>
              <w14:schemeClr w14:val="tx1"/>
            </w14:solidFill>
          </w14:textFill>
        </w:rPr>
        <w:t>，投标截止期后不再受理针对招标文件的相关质疑或投诉。</w:t>
      </w:r>
    </w:p>
    <w:p w14:paraId="22F6B46C">
      <w:pPr>
        <w:snapToGrid w:val="0"/>
        <w:spacing w:after="6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 对招标文件中描述有歧意或前后不一致的地方，评审委员会有权进行评判，但对同一条款的评判应适用于每个投标人。</w:t>
      </w:r>
    </w:p>
    <w:p w14:paraId="6D7445A9">
      <w:pPr>
        <w:spacing w:afterLines="0" w:line="360" w:lineRule="auto"/>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3．招标文件的修改</w:t>
      </w:r>
    </w:p>
    <w:p w14:paraId="20A1479A">
      <w:pPr>
        <w:spacing w:after="60"/>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3.1招标文件发出后，在投标截止日期前任何时候，确需要变更招标内容的，采购代理机构可主动或在解答投标人提出的澄清问题时对招标文件进行修改；</w:t>
      </w:r>
    </w:p>
    <w:p w14:paraId="6644A54D">
      <w:pPr>
        <w:spacing w:after="60"/>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3.2招标文件的修改以书面形式（包括网站公开发布方式）发送给所有投标人，招标文件的修改内容作为招标文件的组成部分，并具有约束力。</w:t>
      </w:r>
    </w:p>
    <w:p w14:paraId="72866A50">
      <w:pPr>
        <w:spacing w:after="60"/>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3.3招标文件、招标文件澄清（答疑）纪要、招标文件修改补充通知内容均以书面（包括网站公开发布方式）明确的内容为准。当招标文件、修改补充通知、澄清（答疑）纪要内容相互矛盾时，以最后发出的内容为准；</w:t>
      </w:r>
    </w:p>
    <w:p w14:paraId="29A97C1F">
      <w:pPr>
        <w:spacing w:after="60"/>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660B6AE1">
      <w:pPr>
        <w:spacing w:after="60"/>
        <w:ind w:firstLine="411" w:firstLineChars="196"/>
        <w:rPr>
          <w:rFonts w:hint="eastAsia" w:ascii="宋体" w:hAnsi="宋体"/>
          <w:color w:val="000000" w:themeColor="text1"/>
          <w:szCs w:val="21"/>
          <w14:textFill>
            <w14:solidFill>
              <w14:schemeClr w14:val="tx1"/>
            </w14:solidFill>
          </w14:textFill>
        </w:rPr>
      </w:pPr>
    </w:p>
    <w:p w14:paraId="5F102DBA">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投标文件的编制</w:t>
      </w:r>
    </w:p>
    <w:p w14:paraId="0AB7194E">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14．投标文件的语言及度量单位</w:t>
      </w:r>
    </w:p>
    <w:p w14:paraId="2D528BEB">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2CE9441">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 除技术规范另有规定外，投标文件使用的度量单位，均采用中华人民共和国法定计量单位。</w:t>
      </w:r>
    </w:p>
    <w:p w14:paraId="5A1A724E">
      <w:pPr>
        <w:spacing w:after="6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15．投标文件的组成</w:t>
      </w:r>
    </w:p>
    <w:p w14:paraId="439FFB5E">
      <w:pPr>
        <w:spacing w:after="60"/>
        <w:ind w:firstLine="413" w:firstLineChars="196"/>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具体内容请详见本项目</w:t>
      </w:r>
      <w:r>
        <w:rPr>
          <w:rFonts w:hint="eastAsia" w:ascii="宋体" w:hAnsi="宋体"/>
          <w:b/>
          <w:bCs/>
          <w:color w:val="000000" w:themeColor="text1"/>
          <w:szCs w:val="21"/>
          <w14:textFill>
            <w14:solidFill>
              <w14:schemeClr w14:val="tx1"/>
            </w14:solidFill>
          </w14:textFill>
        </w:rPr>
        <w:t>招标文件第一册“专用条款”</w:t>
      </w:r>
      <w:r>
        <w:rPr>
          <w:rFonts w:hint="eastAsia" w:ascii="宋体" w:hAnsi="宋体"/>
          <w:b/>
          <w:color w:val="000000" w:themeColor="text1"/>
          <w:szCs w:val="21"/>
          <w14:textFill>
            <w14:solidFill>
              <w14:schemeClr w14:val="tx1"/>
            </w14:solidFill>
          </w14:textFill>
        </w:rPr>
        <w:t>的相关内容。</w:t>
      </w:r>
    </w:p>
    <w:p w14:paraId="6B7B279A">
      <w:pPr>
        <w:spacing w:afterLines="0" w:line="360" w:lineRule="auto"/>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16．投标文件格式</w:t>
      </w:r>
    </w:p>
    <w:p w14:paraId="6EAB32B5">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投标文件包括本通用条款第</w:t>
      </w:r>
      <w:r>
        <w:rPr>
          <w:rFonts w:ascii="宋体" w:hAnsi="宋体"/>
          <w:color w:val="000000" w:themeColor="text1"/>
          <w:szCs w:val="21"/>
          <w14:textFill>
            <w14:solidFill>
              <w14:schemeClr w14:val="tx1"/>
            </w14:solidFill>
          </w14:textFill>
        </w:rPr>
        <w:t>15条中规定的内容。如招标文件提供了投标文件格式，则</w:t>
      </w:r>
      <w:r>
        <w:rPr>
          <w:rFonts w:hint="eastAsia" w:ascii="宋体" w:hAnsi="宋体"/>
          <w:b/>
          <w:bCs/>
          <w:color w:val="000000" w:themeColor="text1"/>
          <w:szCs w:val="21"/>
          <w14:textFill>
            <w14:solidFill>
              <w14:schemeClr w14:val="tx1"/>
            </w14:solidFill>
          </w14:textFill>
        </w:rPr>
        <w:t>投标人提交的投标文件应毫无例外地使用招标文件所提供的相应格式</w:t>
      </w:r>
      <w:r>
        <w:rPr>
          <w:rFonts w:hint="eastAsia" w:ascii="宋体" w:hAnsi="宋体"/>
          <w:color w:val="000000" w:themeColor="text1"/>
          <w:szCs w:val="21"/>
          <w14:textFill>
            <w14:solidFill>
              <w14:schemeClr w14:val="tx1"/>
            </w14:solidFill>
          </w14:textFill>
        </w:rPr>
        <w:t>（表格可以按同样格式扩展）。</w:t>
      </w:r>
    </w:p>
    <w:p w14:paraId="38C53C05">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17．投标货币</w:t>
      </w:r>
    </w:p>
    <w:p w14:paraId="019C65CF">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本项目的投标应以人民币计。</w:t>
      </w:r>
    </w:p>
    <w:p w14:paraId="67FA6F71">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18．证明投标文件投标技术方案的合格性和符合招标文件规定的文件要求</w:t>
      </w:r>
    </w:p>
    <w:p w14:paraId="0D923991">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r>
        <w:rPr>
          <w:rFonts w:ascii="宋体" w:hAnsi="宋体"/>
          <w:color w:val="000000" w:themeColor="text1"/>
          <w:szCs w:val="21"/>
          <w14:textFill>
            <w14:solidFill>
              <w14:schemeClr w14:val="tx1"/>
            </w14:solidFill>
          </w14:textFill>
        </w:rPr>
        <w:t xml:space="preserve">.1 </w:t>
      </w:r>
      <w:r>
        <w:rPr>
          <w:rFonts w:hint="eastAsia" w:ascii="宋体" w:hAnsi="宋体"/>
          <w:color w:val="000000" w:themeColor="text1"/>
          <w:szCs w:val="21"/>
          <w14:textFill>
            <w14:solidFill>
              <w14:schemeClr w14:val="tx1"/>
            </w14:solidFill>
          </w14:textFill>
        </w:rPr>
        <w:t>投标人应提交证明文件证明其投标技术方案项下的货物、工程和服务的合格性符合招标文件规定。该投标技术方案及其证明文件作为投标文件的一部分。</w:t>
      </w:r>
    </w:p>
    <w:p w14:paraId="3DB723C0">
      <w:pPr>
        <w:spacing w:after="60"/>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 xml:space="preserve">.2 </w:t>
      </w:r>
      <w:r>
        <w:rPr>
          <w:rFonts w:hint="eastAsia" w:ascii="宋体" w:hAnsi="宋体"/>
          <w:color w:val="000000" w:themeColor="text1"/>
          <w:szCs w:val="21"/>
          <w14:textFill>
            <w14:solidFill>
              <w14:schemeClr w14:val="tx1"/>
            </w14:solidFill>
          </w14:textFill>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5E35FCE">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18.2.1主要技术指标和性能的详细说明。</w:t>
      </w:r>
    </w:p>
    <w:p w14:paraId="6EDF409E">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投标产品从采购人开始使用至招标文件中规定的周期内正常、连续地使用所必须的备件和专用工具清单，包括备件和专用工具的货源及现行价格。</w:t>
      </w:r>
    </w:p>
    <w:p w14:paraId="05BEE4FD">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14:paraId="07636D7E">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宋体" w:hAnsi="宋体"/>
          <w:color w:val="000000" w:themeColor="text1"/>
          <w14:textFill>
            <w14:solidFill>
              <w14:schemeClr w14:val="tx1"/>
            </w14:solidFill>
          </w14:textFill>
        </w:rPr>
        <w:t>清晰度要求能够使用电脑阅读、识别和判断</w:t>
      </w:r>
      <w:r>
        <w:rPr>
          <w:rFonts w:hint="eastAsia" w:ascii="宋体" w:hAnsi="宋体"/>
          <w:color w:val="000000" w:themeColor="text1"/>
          <w:szCs w:val="21"/>
          <w14:textFill>
            <w14:solidFill>
              <w14:schemeClr w14:val="tx1"/>
            </w14:solidFill>
          </w14:textFill>
        </w:rPr>
        <w:t>；</w:t>
      </w:r>
    </w:p>
    <w:p w14:paraId="0C6C3B5D">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18.2.5我国政府机构出具的产品检验和核准证件应为证件正面、背面和附件标注的全部具体内容；产品检验和核准证件的尺寸和清晰度应该能够在电脑上被阅读、识别和判断，提供原件扫描件。</w:t>
      </w:r>
    </w:p>
    <w:p w14:paraId="2F2E284B">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18.3相关资料不符合18.2款要求的，评审委员会有权认定为投标技术方案不合格响应，其相关分数予以扣减或作投标无效处理。</w:t>
      </w:r>
    </w:p>
    <w:p w14:paraId="18CC7FFE">
      <w:pPr>
        <w:spacing w:after="60"/>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宋体" w:hAnsi="宋体"/>
          <w:color w:val="000000" w:themeColor="text1"/>
          <w14:textFill>
            <w14:solidFill>
              <w14:schemeClr w14:val="tx1"/>
            </w14:solidFill>
          </w14:textFill>
        </w:rPr>
        <w:t>满足要求</w:t>
      </w:r>
      <w:r>
        <w:rPr>
          <w:rFonts w:hint="eastAsia" w:ascii="宋体" w:hAnsi="宋体"/>
          <w:color w:val="000000" w:themeColor="text1"/>
          <w:szCs w:val="21"/>
          <w14:textFill>
            <w14:solidFill>
              <w14:schemeClr w14:val="tx1"/>
            </w14:solidFill>
          </w14:textFill>
        </w:rPr>
        <w:t>，由评审委员会来评判。</w:t>
      </w:r>
    </w:p>
    <w:p w14:paraId="7856F655">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18.5为保证公平公正，除非另有规定或说明，投标人对同一项目投标时，不得同时提供两套或两套以上的投标方案。</w:t>
      </w:r>
    </w:p>
    <w:p w14:paraId="3B350A86">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19．投标文件其他证明文件的要求</w:t>
      </w:r>
    </w:p>
    <w:p w14:paraId="7CE18307">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14:paraId="726CA744">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D59C221">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20．投标有效期</w:t>
      </w:r>
    </w:p>
    <w:p w14:paraId="07795185">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 投标有效期为</w:t>
      </w:r>
      <w:r>
        <w:rPr>
          <w:rFonts w:hint="eastAsia" w:ascii="宋体" w:hAnsi="宋体" w:cs="Arial"/>
          <w:color w:val="000000" w:themeColor="text1"/>
          <w:szCs w:val="21"/>
          <w14:textFill>
            <w14:solidFill>
              <w14:schemeClr w14:val="tx1"/>
            </w14:solidFill>
          </w14:textFill>
        </w:rPr>
        <w:t>从投标截止之日算起的日历天数，具体见专用条款中投标有效期的天数要求。</w:t>
      </w:r>
      <w:r>
        <w:rPr>
          <w:rFonts w:hint="eastAsia" w:ascii="宋体" w:hAnsi="宋体"/>
          <w:color w:val="000000" w:themeColor="text1"/>
          <w:szCs w:val="21"/>
          <w14:textFill>
            <w14:solidFill>
              <w14:schemeClr w14:val="tx1"/>
            </w14:solidFill>
          </w14:textFill>
        </w:rPr>
        <w:t>在此期限内，所有投标文件均保持有效；</w:t>
      </w:r>
    </w:p>
    <w:p w14:paraId="54391383">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有效期；</w:t>
      </w:r>
    </w:p>
    <w:p w14:paraId="2CAE6B46">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 xml:space="preserve"> 中标单位的投标书有效期，截止于完成本招标文件规定的全部项目内容，并通过竣工验收及保修结束。</w:t>
      </w:r>
    </w:p>
    <w:p w14:paraId="3A56185F">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21．关于投标保证金 </w:t>
      </w:r>
    </w:p>
    <w:p w14:paraId="13F1DA58">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21.1 </w:t>
      </w:r>
      <w:r>
        <w:rPr>
          <w:rFonts w:hint="eastAsia" w:ascii="宋体" w:hAnsi="宋体"/>
          <w:color w:val="000000" w:themeColor="text1"/>
          <w14:textFill>
            <w14:solidFill>
              <w14:schemeClr w14:val="tx1"/>
            </w14:solidFill>
          </w14:textFill>
        </w:rPr>
        <w:t>根据《</w:t>
      </w:r>
      <w:r>
        <w:rPr>
          <w:rFonts w:ascii="宋体" w:hAnsi="宋体"/>
          <w:color w:val="000000" w:themeColor="text1"/>
          <w14:textFill>
            <w14:solidFill>
              <w14:schemeClr w14:val="tx1"/>
            </w14:solidFill>
          </w14:textFill>
        </w:rPr>
        <w:t>深圳市财政局关于明确政府采购保证金管理工作的通知</w:t>
      </w:r>
      <w:r>
        <w:rPr>
          <w:rFonts w:hint="eastAsia" w:ascii="宋体" w:hAnsi="宋体"/>
          <w:color w:val="000000" w:themeColor="text1"/>
          <w14:textFill>
            <w14:solidFill>
              <w14:schemeClr w14:val="tx1"/>
            </w14:solidFill>
          </w14:textFill>
        </w:rPr>
        <w:t>》（深财购[</w:t>
      </w:r>
      <w:r>
        <w:rPr>
          <w:rFonts w:ascii="宋体" w:hAnsi="宋体"/>
          <w:color w:val="000000" w:themeColor="text1"/>
          <w14:textFill>
            <w14:solidFill>
              <w14:schemeClr w14:val="tx1"/>
            </w14:solidFill>
          </w14:textFill>
        </w:rPr>
        <w:t>2019]42</w:t>
      </w:r>
      <w:r>
        <w:rPr>
          <w:rFonts w:hint="eastAsia" w:ascii="宋体" w:hAnsi="宋体"/>
          <w:color w:val="000000" w:themeColor="text1"/>
          <w14:textFill>
            <w14:solidFill>
              <w14:schemeClr w14:val="tx1"/>
            </w14:solidFill>
          </w14:textFill>
        </w:rPr>
        <w:t>号）文的规定，本项目不收取投标保证金。</w:t>
      </w:r>
    </w:p>
    <w:p w14:paraId="40520FAD">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22．投标人的替代方案</w:t>
      </w:r>
    </w:p>
    <w:p w14:paraId="2730320C">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22.1投标人所提交的投标文件应完全满足招标文件（包括图纸和技术规范所示的基本技术设计）的要求。除非招标的项目明确允许投标人提交替代方案，否则投标人有关替代方案的条款将初审不通过，投标无效。</w:t>
      </w:r>
    </w:p>
    <w:p w14:paraId="7EFCB3CC">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3F8A9737">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23．</w:t>
      </w:r>
      <w:r>
        <w:rPr>
          <w:rFonts w:ascii="宋体" w:hAnsi="宋体"/>
          <w:b/>
          <w:color w:val="000000" w:themeColor="text1"/>
          <w:sz w:val="24"/>
          <w14:textFill>
            <w14:solidFill>
              <w14:schemeClr w14:val="tx1"/>
            </w14:solidFill>
          </w14:textFill>
        </w:rPr>
        <w:t>投标文件的</w:t>
      </w:r>
      <w:r>
        <w:rPr>
          <w:rFonts w:hint="eastAsia" w:ascii="宋体" w:hAnsi="宋体"/>
          <w:b/>
          <w:color w:val="000000" w:themeColor="text1"/>
          <w:sz w:val="24"/>
          <w14:textFill>
            <w14:solidFill>
              <w14:schemeClr w14:val="tx1"/>
            </w14:solidFill>
          </w14:textFill>
        </w:rPr>
        <w:t>制作</w:t>
      </w:r>
      <w:r>
        <w:rPr>
          <w:rFonts w:ascii="宋体" w:hAnsi="宋体"/>
          <w:b/>
          <w:color w:val="000000" w:themeColor="text1"/>
          <w:sz w:val="24"/>
          <w14:textFill>
            <w14:solidFill>
              <w14:schemeClr w14:val="tx1"/>
            </w14:solidFill>
          </w14:textFill>
        </w:rPr>
        <w:t>要求</w:t>
      </w:r>
    </w:p>
    <w:p w14:paraId="42D7E76E">
      <w:pPr>
        <w:snapToGrid w:val="0"/>
        <w:spacing w:after="60"/>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23.1投标人应准备一份《开标一览表》（包括投标文件电子文档一份）、正本（注明投标人名称、项目名称、项目编号、包号（如有））和专用条款规定数量的副本投标文件，在每一份投标文件上编上页码，装订成册，并注明 “正本”或“副本”字样，一旦正本和副本发现差异，以正本为准；开标一览表和投标文件（含正本和副本）应分开独立密封包装。副本文件可由正本文件复印而成。</w:t>
      </w:r>
    </w:p>
    <w:p w14:paraId="6FD6479E">
      <w:pPr>
        <w:snapToGrid w:val="0"/>
        <w:spacing w:after="60"/>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3.2</w:t>
      </w:r>
      <w:r>
        <w:rPr>
          <w:rFonts w:hint="eastAsia" w:ascii="宋体" w:hAnsi="宋体"/>
          <w:bCs/>
          <w:color w:val="000000" w:themeColor="text1"/>
          <w14:textFill>
            <w14:solidFill>
              <w14:schemeClr w14:val="tx1"/>
            </w14:solidFill>
          </w14:textFill>
        </w:rPr>
        <w:t>投标人应将开标一览表和法定代表人授权书单独密封提交，并在信封上标明“开标一览表”字样。投标人的法定代表人参加投标时，须开具法定代表人证明书。</w:t>
      </w:r>
    </w:p>
    <w:p w14:paraId="0A865E61">
      <w:pPr>
        <w:snapToGrid w:val="0"/>
        <w:spacing w:after="60"/>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23.3除投标人对错处作必要修改外，投标文件中不许有加行、涂抹或改写。若有修改须由投标人法定代表人或其授权代表进行签字，并加盖投标人公章。</w:t>
      </w:r>
    </w:p>
    <w:p w14:paraId="5FDF6AF4">
      <w:pPr>
        <w:snapToGrid w:val="0"/>
        <w:spacing w:after="60"/>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23.4投标文件的《正本》及所有《副本》的封面均须加盖投标人公章。</w:t>
      </w:r>
    </w:p>
    <w:p w14:paraId="191709EE">
      <w:pPr>
        <w:snapToGrid w:val="0"/>
        <w:spacing w:after="60"/>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23.5投标文件的封面应注明“采购项目名称、项目编号、投标人名称、投标日期等</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w:t>
      </w:r>
    </w:p>
    <w:p w14:paraId="23E4A988">
      <w:pPr>
        <w:snapToGrid w:val="0"/>
        <w:spacing w:after="60"/>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3.6</w:t>
      </w:r>
      <w:r>
        <w:rPr>
          <w:rFonts w:hint="eastAsia" w:ascii="宋体" w:hAnsi="宋体" w:cs="宋体"/>
          <w:bCs/>
          <w:color w:val="000000" w:themeColor="text1"/>
          <w:szCs w:val="21"/>
          <w14:textFill>
            <w14:solidFill>
              <w14:schemeClr w14:val="tx1"/>
            </w14:solidFill>
          </w14:textFill>
        </w:rPr>
        <w:t>电子投标文件要求</w:t>
      </w:r>
      <w:r>
        <w:rPr>
          <w:rFonts w:hint="eastAsia" w:ascii="宋体" w:hAnsi="宋体" w:cs="宋体"/>
          <w:color w:val="000000" w:themeColor="text1"/>
          <w:szCs w:val="21"/>
          <w14:textFill>
            <w14:solidFill>
              <w14:schemeClr w14:val="tx1"/>
            </w14:solidFill>
          </w14:textFill>
        </w:rPr>
        <w:t>：投标文件正本</w:t>
      </w:r>
      <w:r>
        <w:rPr>
          <w:rFonts w:ascii="宋体" w:hAnsi="宋体" w:cs="宋体"/>
          <w:color w:val="000000" w:themeColor="text1"/>
          <w:szCs w:val="21"/>
          <w14:textFill>
            <w14:solidFill>
              <w14:schemeClr w14:val="tx1"/>
            </w14:solidFill>
          </w14:textFill>
        </w:rPr>
        <w:t>Word文档或者</w:t>
      </w:r>
      <w:r>
        <w:rPr>
          <w:rFonts w:hint="eastAsia" w:ascii="宋体" w:hAnsi="宋体" w:cs="宋体"/>
          <w:color w:val="000000" w:themeColor="text1"/>
          <w:szCs w:val="21"/>
          <w14:textFill>
            <w14:solidFill>
              <w14:schemeClr w14:val="tx1"/>
            </w14:solidFill>
          </w14:textFill>
        </w:rPr>
        <w:t>PDF格式扫描件（单个文件保存，扫描页面清晰、完整）；</w:t>
      </w:r>
    </w:p>
    <w:p w14:paraId="1648977B">
      <w:pPr>
        <w:snapToGrid w:val="0"/>
        <w:spacing w:after="60"/>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3.7采购代理机构投标截止前不接收未按规定密封的投标文件，未按规定密封的投标文件可以由投标人代表保管至投标截止时现场递交，由此引起的泄密责任由投标人自行承担。</w:t>
      </w:r>
    </w:p>
    <w:p w14:paraId="79E811B0">
      <w:pPr>
        <w:snapToGrid w:val="0"/>
        <w:spacing w:after="60"/>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w:t>
      </w: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电报、电话、传真形式的投标概不接受。</w:t>
      </w:r>
    </w:p>
    <w:p w14:paraId="56FB7C21">
      <w:pPr>
        <w:snapToGrid w:val="0"/>
        <w:spacing w:after="60"/>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w:t>
      </w: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资格证明文件提供扫描件，专用条款另有要求的除外。</w:t>
      </w:r>
    </w:p>
    <w:p w14:paraId="08D5ED1C">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投标文件的递交</w:t>
      </w:r>
    </w:p>
    <w:p w14:paraId="11F60CF6">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24．投标书的保密</w:t>
      </w:r>
    </w:p>
    <w:p w14:paraId="275BFF47">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24.1投标人应将投标文件、开标一览表分别单独密封。“电子文件”密封于“开标一览表”内。</w:t>
      </w:r>
    </w:p>
    <w:p w14:paraId="0F5D0C54">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密封封装表面应正确标明投标人名称、地址、项目名称并注明开标时间之前不得开封（在封口位置的封条上标注注明），封口位置须加盖投标人公章。</w:t>
      </w:r>
    </w:p>
    <w:p w14:paraId="7FAEBB91">
      <w:pPr>
        <w:spacing w:after="60"/>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24.3</w:t>
      </w:r>
      <w:r>
        <w:rPr>
          <w:rFonts w:hint="eastAsia" w:ascii="宋体" w:hAnsi="宋体"/>
          <w:color w:val="000000" w:themeColor="text1"/>
          <w14:textFill>
            <w14:solidFill>
              <w14:schemeClr w14:val="tx1"/>
            </w14:solidFill>
          </w14:textFill>
        </w:rPr>
        <w:t>投标文件已密封，未按前述24.1、24.2）要求封装的投标文件不作投标无效处理，但由此而引起的提前开封或错放责任由投标人承担。</w:t>
      </w:r>
    </w:p>
    <w:p w14:paraId="6D5EADB2">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如果投标文件的密封封装未按本款规定密封和标记，采购代理机构对投标文件的误投或提前拆封不负责任。对由此造成提前开封的投标文件，采购代理机构予以拒绝，并退回投标人。</w:t>
      </w:r>
    </w:p>
    <w:p w14:paraId="643A87F6">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拒收投标文件的情形：投标文件未密封、未加盖投标人公章。</w:t>
      </w:r>
    </w:p>
    <w:p w14:paraId="347EE3C6">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开标前，由采购人委派的监督人员或投标人代表检查各投标人投标文件的密封情况，并进行确认。</w:t>
      </w:r>
    </w:p>
    <w:p w14:paraId="02F502FE">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25．投标截止日期</w:t>
      </w:r>
    </w:p>
    <w:p w14:paraId="0C807882">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25.1投标人应在招标文件规定的投标截止时间前按招标文件专用条款要求密封递交投标文件。如因故须延迟投标截止时间，经采购人同意后，采购代理机构可以按本通用条款第13条规定，通过网页发布或书面延期通知的方式延长投标截止时间。在此情况下，采购代理机构、采购人和投标人受投标截止时间制约的所有权利和义务均应延</w:t>
      </w:r>
      <w:r>
        <w:rPr>
          <w:rFonts w:ascii="宋体" w:hAnsi="宋体"/>
          <w:color w:val="000000" w:themeColor="text1"/>
          <w14:textFill>
            <w14:solidFill>
              <w14:schemeClr w14:val="tx1"/>
            </w14:solidFill>
          </w14:textFill>
        </w:rPr>
        <w:t>长</w:t>
      </w:r>
      <w:r>
        <w:rPr>
          <w:rFonts w:hint="eastAsia" w:ascii="宋体" w:hAnsi="宋体"/>
          <w:color w:val="000000" w:themeColor="text1"/>
          <w14:textFill>
            <w14:solidFill>
              <w14:schemeClr w14:val="tx1"/>
            </w14:solidFill>
          </w14:textFill>
        </w:rPr>
        <w:t>至新的投标截止时间。</w:t>
      </w:r>
    </w:p>
    <w:p w14:paraId="379BC97A">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2投标截止时间以后不接收投标文件及投标人主动提供的其它资料。</w:t>
      </w:r>
    </w:p>
    <w:p w14:paraId="6E8D2B45">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26. 样品的递交</w:t>
      </w:r>
    </w:p>
    <w:p w14:paraId="38C1DE71">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p>
    <w:p w14:paraId="007F6FF1">
      <w:pPr>
        <w:spacing w:after="60"/>
        <w:ind w:firstLine="420"/>
        <w:rPr>
          <w:rFonts w:hint="eastAsia" w:ascii="宋体" w:hAnsi="宋体" w:cs="宋体"/>
          <w:color w:val="000000" w:themeColor="text1"/>
          <w:kern w:val="0"/>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26.2</w:t>
      </w:r>
      <w:r>
        <w:rPr>
          <w:rFonts w:hint="eastAsia" w:ascii="宋体" w:hAnsi="宋体" w:cs="宋体"/>
          <w:color w:val="000000" w:themeColor="text1"/>
          <w:kern w:val="0"/>
          <w:szCs w:val="18"/>
          <w14:textFill>
            <w14:solidFill>
              <w14:schemeClr w14:val="tx1"/>
            </w14:solidFill>
          </w14:textFill>
        </w:rPr>
        <w:t>投标样品上必须标注“项目名称及项目编号、样品编号、样品名称”等信息，但</w:t>
      </w:r>
      <w:r>
        <w:rPr>
          <w:rFonts w:ascii="宋体" w:hAnsi="宋体" w:cs="宋体"/>
          <w:color w:val="000000" w:themeColor="text1"/>
          <w:kern w:val="0"/>
          <w:szCs w:val="18"/>
          <w14:textFill>
            <w14:solidFill>
              <w14:schemeClr w14:val="tx1"/>
            </w14:solidFill>
          </w14:textFill>
        </w:rPr>
        <w:t>不</w:t>
      </w:r>
      <w:r>
        <w:rPr>
          <w:rFonts w:hint="eastAsia" w:ascii="宋体" w:hAnsi="宋体" w:cs="宋体"/>
          <w:color w:val="000000" w:themeColor="text1"/>
          <w:kern w:val="0"/>
          <w:szCs w:val="18"/>
          <w14:textFill>
            <w14:solidFill>
              <w14:schemeClr w14:val="tx1"/>
            </w14:solidFill>
          </w14:textFill>
        </w:rPr>
        <w:t>得显示指向</w:t>
      </w:r>
      <w:r>
        <w:rPr>
          <w:rFonts w:ascii="宋体" w:hAnsi="宋体" w:cs="宋体"/>
          <w:color w:val="000000" w:themeColor="text1"/>
          <w:kern w:val="0"/>
          <w:szCs w:val="18"/>
          <w14:textFill>
            <w14:solidFill>
              <w14:schemeClr w14:val="tx1"/>
            </w14:solidFill>
          </w14:textFill>
        </w:rPr>
        <w:t>任何</w:t>
      </w:r>
      <w:r>
        <w:rPr>
          <w:rFonts w:hint="eastAsia" w:ascii="宋体" w:hAnsi="宋体" w:cs="宋体"/>
          <w:color w:val="000000" w:themeColor="text1"/>
          <w:kern w:val="0"/>
          <w:szCs w:val="18"/>
          <w14:textFill>
            <w14:solidFill>
              <w14:schemeClr w14:val="tx1"/>
            </w14:solidFill>
          </w14:textFill>
        </w:rPr>
        <w:t>投标供应商的信息、</w:t>
      </w:r>
      <w:r>
        <w:rPr>
          <w:rFonts w:ascii="宋体" w:hAnsi="宋体" w:cs="宋体"/>
          <w:color w:val="000000" w:themeColor="text1"/>
          <w:kern w:val="0"/>
          <w:szCs w:val="18"/>
          <w14:textFill>
            <w14:solidFill>
              <w14:schemeClr w14:val="tx1"/>
            </w14:solidFill>
          </w14:textFill>
        </w:rPr>
        <w:t>生产厂家</w:t>
      </w:r>
      <w:r>
        <w:rPr>
          <w:rFonts w:hint="eastAsia" w:ascii="宋体" w:hAnsi="宋体" w:cs="宋体"/>
          <w:color w:val="000000" w:themeColor="text1"/>
          <w:kern w:val="0"/>
          <w:szCs w:val="18"/>
          <w14:textFill>
            <w14:solidFill>
              <w14:schemeClr w14:val="tx1"/>
            </w14:solidFill>
          </w14:textFill>
        </w:rPr>
        <w:t>的</w:t>
      </w:r>
      <w:r>
        <w:rPr>
          <w:rFonts w:ascii="宋体" w:hAnsi="宋体" w:cs="宋体"/>
          <w:color w:val="000000" w:themeColor="text1"/>
          <w:kern w:val="0"/>
          <w:szCs w:val="18"/>
          <w14:textFill>
            <w14:solidFill>
              <w14:schemeClr w14:val="tx1"/>
            </w14:solidFill>
          </w14:textFill>
        </w:rPr>
        <w:t>商标，或者</w:t>
      </w:r>
      <w:r>
        <w:rPr>
          <w:rFonts w:hint="eastAsia" w:ascii="宋体" w:hAnsi="宋体" w:cs="宋体"/>
          <w:color w:val="000000" w:themeColor="text1"/>
          <w:kern w:val="0"/>
          <w:szCs w:val="18"/>
          <w14:textFill>
            <w14:solidFill>
              <w14:schemeClr w14:val="tx1"/>
            </w14:solidFill>
          </w14:textFill>
        </w:rPr>
        <w:t>其他</w:t>
      </w:r>
      <w:r>
        <w:rPr>
          <w:rFonts w:ascii="宋体" w:hAnsi="宋体" w:cs="宋体"/>
          <w:color w:val="000000" w:themeColor="text1"/>
          <w:kern w:val="0"/>
          <w:szCs w:val="18"/>
          <w14:textFill>
            <w14:solidFill>
              <w14:schemeClr w14:val="tx1"/>
            </w14:solidFill>
          </w14:textFill>
        </w:rPr>
        <w:t>的标记标识</w:t>
      </w:r>
      <w:r>
        <w:rPr>
          <w:rFonts w:hint="eastAsia" w:ascii="宋体" w:hAnsi="宋体" w:cs="宋体"/>
          <w:color w:val="000000" w:themeColor="text1"/>
          <w:kern w:val="0"/>
          <w:szCs w:val="18"/>
          <w14:textFill>
            <w14:solidFill>
              <w14:schemeClr w14:val="tx1"/>
            </w14:solidFill>
          </w14:textFill>
        </w:rPr>
        <w:t>。需要安装的投标样品必须为安装完整的成品，由投标供应商自行组织安装。</w:t>
      </w:r>
    </w:p>
    <w:p w14:paraId="33F630B1">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26.2.1</w:t>
      </w:r>
      <w:r>
        <w:rPr>
          <w:rFonts w:hint="eastAsia" w:ascii="宋体" w:hAnsi="宋体" w:cs="宋体"/>
          <w:color w:val="000000" w:themeColor="text1"/>
          <w:kern w:val="0"/>
          <w:szCs w:val="18"/>
          <w14:textFill>
            <w14:solidFill>
              <w14:schemeClr w14:val="tx1"/>
            </w14:solidFill>
          </w14:textFill>
        </w:rPr>
        <w:t>样品递交签到：</w:t>
      </w:r>
    </w:p>
    <w:p w14:paraId="06B6BC5D">
      <w:pPr>
        <w:spacing w:after="6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供应商授权人需在本项目投标截止时间前，提供法定代表人证明书（盖公章）、法定代表人授权委托书（盖公章）、授权委托人身份证原件和复印件、样品清单（加盖公章），到采购代理机构，按采购代理机构工作人员指引进行样品递交签到。</w:t>
      </w:r>
    </w:p>
    <w:p w14:paraId="2B64F465">
      <w:pPr>
        <w:spacing w:after="6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特别注意事项：（1）上述资料提供不齐全的，不予签到；（2）本项目投标截止时间后，不再受理签到；（3）未进行签到的，样品不予接收。</w:t>
      </w:r>
    </w:p>
    <w:p w14:paraId="5B009627">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26.2.</w:t>
      </w:r>
      <w:r>
        <w:rPr>
          <w:rFonts w:hint="eastAsia" w:ascii="宋体" w:hAnsi="宋体" w:cs="宋体"/>
          <w:color w:val="000000" w:themeColor="text1"/>
          <w:kern w:val="0"/>
          <w:szCs w:val="18"/>
          <w14:textFill>
            <w14:solidFill>
              <w14:schemeClr w14:val="tx1"/>
            </w14:solidFill>
          </w14:textFill>
        </w:rPr>
        <w:t>2 样品接收</w:t>
      </w:r>
    </w:p>
    <w:p w14:paraId="408D34FD">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 xml:space="preserve">本项目投标截止时间后进行投标样品接收。投标样品接收必须进行身份核对、样品核对、登记确认、顺序编号。 </w:t>
      </w:r>
    </w:p>
    <w:p w14:paraId="0436B5C4">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（1）身份核对。采购代理机构核对投标供应商授权委托人提供的“法定代表人证明书（盖公章）、法定代表人授权委托书（盖公章）、授权委托人身份证原件和复印件”。资料不齐全的，不得接收投标样品。</w:t>
      </w:r>
    </w:p>
    <w:p w14:paraId="41E7CA3D">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（2）样品核对。采购代理机构工作人员将投标样品与投标供应商提供的《样品清单》（盖公章）进行一一核对。有不一致的或损坏情况的，将要求供应商授权委托人在《样品清单》上注明。</w:t>
      </w:r>
    </w:p>
    <w:p w14:paraId="74465C2D">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（3）登记确认。在完成身份核对及样品核对后，投标供应商授权委托人必须在《样品接收登记表》上登记确认。</w:t>
      </w:r>
    </w:p>
    <w:p w14:paraId="4A4B1844">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（4）顺序编号。采购代理机构工作人员按投标样品接收的先后顺序进行编号。</w:t>
      </w:r>
    </w:p>
    <w:p w14:paraId="3DEED486">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26.3</w:t>
      </w:r>
      <w:r>
        <w:rPr>
          <w:rFonts w:hint="eastAsia" w:ascii="宋体" w:hAnsi="宋体" w:cs="宋体"/>
          <w:color w:val="000000" w:themeColor="text1"/>
          <w:kern w:val="0"/>
          <w:szCs w:val="18"/>
          <w14:textFill>
            <w14:solidFill>
              <w14:schemeClr w14:val="tx1"/>
            </w14:solidFill>
          </w14:textFill>
        </w:rPr>
        <w:t>采购代理机构工作人员负责组织投标样品摆样，指引供应商授权委托人将投标样品搬运到指定地点摆放、拆除包装，按要求摆放整齐。完成样品摆样后，供应商授权委托人应及时立场，不得在摆样现场滞留。</w:t>
      </w:r>
    </w:p>
    <w:p w14:paraId="0E5C0122">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26.4样品的退回：（1）未中标的供应商投标样品，采购代理机构工作人员将按规定进行通知，并要求供应商授权委托人在项目完成评审后的三个工作日内凭身份证及样品受理回执原件办理退回手续。（2）中标的供应商投标样品，采购代理机构工作人员将按规定进行通知，并要求采购人代表在中标通知书发放后三个工作日内凭中标通知书复印件及身份证原件办理领取手续。</w:t>
      </w:r>
    </w:p>
    <w:p w14:paraId="7AA430C4">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投标样品移交时，采购代理机构工作人员将再次核对供应商授权委托人或采购人代表身份、核对《样品清单》，签字确认后并取走样品。</w:t>
      </w:r>
    </w:p>
    <w:p w14:paraId="07EFD0FC">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26.5未能及时退回的样品的处理：</w:t>
      </w:r>
    </w:p>
    <w:p w14:paraId="1630F7BD">
      <w:pPr>
        <w:spacing w:after="60"/>
        <w:ind w:firstLine="420" w:firstLineChars="200"/>
        <w:rPr>
          <w:rFonts w:hint="eastAsia" w:ascii="宋体" w:hAnsi="宋体" w:cs="宋体"/>
          <w:color w:val="000000" w:themeColor="text1"/>
          <w:kern w:val="0"/>
          <w:szCs w:val="18"/>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（1）未中标供应商未在规定时间内（项目完成评审后三个工作日）内取回投标样品的，视为放弃取回，采购代理机构将定期清理。</w:t>
      </w:r>
    </w:p>
    <w:p w14:paraId="6F9CDD3B">
      <w:pPr>
        <w:spacing w:after="60"/>
        <w:ind w:firstLine="42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18"/>
          <w14:textFill>
            <w14:solidFill>
              <w14:schemeClr w14:val="tx1"/>
            </w14:solidFill>
          </w14:textFill>
        </w:rPr>
        <w:t>（2）采购人未在规定时间内（中标通知书发放后三个工作日内）内领取中标供应商投标样品的，采购代理机构工作人员将发函或电话敦促。经敦促仍拒不领取的，将按规定内容在采购代理机构网站发布通报。对于拒不领取的中标样品，视同采购人放弃取回，采购代理机构将定期清理。</w:t>
      </w:r>
    </w:p>
    <w:p w14:paraId="6FE01CE3">
      <w:pPr>
        <w:spacing w:afterLines="0" w:line="360" w:lineRule="auto"/>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投标文件的修改和撤销</w:t>
      </w:r>
    </w:p>
    <w:p w14:paraId="03C1256F">
      <w:pPr>
        <w:spacing w:after="60"/>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.1投标截止时间以后不得修改投标文件。</w:t>
      </w:r>
    </w:p>
    <w:p w14:paraId="23C5B545">
      <w:pPr>
        <w:spacing w:after="60"/>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从投标截止期至投标人在投标书中确定的投标有效期之间的这段时间内，投标人不得撤回其投标。</w:t>
      </w:r>
    </w:p>
    <w:p w14:paraId="72C7D667">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采购代理机构不退还投标文件，专用条款另有规定的除外。</w:t>
      </w:r>
    </w:p>
    <w:p w14:paraId="7779326A">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开标</w:t>
      </w:r>
    </w:p>
    <w:p w14:paraId="7F8FF63A">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28．开标</w:t>
      </w:r>
    </w:p>
    <w:p w14:paraId="50E61AA9">
      <w:pPr>
        <w:spacing w:after="60"/>
        <w:ind w:firstLine="359" w:firstLineChars="17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28.1 采购代理机构在专用条款规定的地点和时间开标, 出席代表需登记以示出席。</w:t>
      </w:r>
    </w:p>
    <w:p w14:paraId="2699AE85">
      <w:pPr>
        <w:spacing w:after="60"/>
        <w:ind w:firstLine="359" w:firstLineChars="17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28.2 开标时，采购代理机构将当众宣读投标人名称、投标价格以及采购代理机构认为合适的其他内容，只有在开标时唱出的折扣，评标时才能考虑。</w:t>
      </w:r>
    </w:p>
    <w:p w14:paraId="70C8F815">
      <w:pPr>
        <w:spacing w:after="60"/>
        <w:ind w:firstLine="359" w:firstLineChars="17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28.3 投标文件报价出现前后不一致的，除招标文件另有规定外，按照下列规定修正：大写金额和小写金额不一致的，以大写金额为准；</w:t>
      </w:r>
    </w:p>
    <w:p w14:paraId="68E240AD">
      <w:pPr>
        <w:spacing w:after="60"/>
        <w:ind w:firstLine="359" w:firstLineChars="17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28.4 采购代理机构将做开标记录，开标记录包括按第28.3款的规定在开标时宣读的全部内容。 </w:t>
      </w:r>
    </w:p>
    <w:p w14:paraId="4AD82136">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评标要求</w:t>
      </w:r>
    </w:p>
    <w:p w14:paraId="607EF1D4">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29．评审委员会组成</w:t>
      </w:r>
    </w:p>
    <w:p w14:paraId="01102A5C">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29.1开标结束后召开评标会议，</w:t>
      </w:r>
      <w:r>
        <w:rPr>
          <w:rFonts w:hint="eastAsia" w:ascii="宋体" w:hAnsi="宋体"/>
          <w:color w:val="000000" w:themeColor="text1"/>
          <w:szCs w:val="21"/>
          <w14:textFill>
            <w14:solidFill>
              <w14:schemeClr w14:val="tx1"/>
            </w14:solidFill>
          </w14:textFill>
        </w:rPr>
        <w:t>评审委员会</w:t>
      </w:r>
      <w:r>
        <w:rPr>
          <w:rFonts w:hint="eastAsia" w:ascii="宋体" w:hAnsi="宋体"/>
          <w:color w:val="000000" w:themeColor="text1"/>
          <w14:textFill>
            <w14:solidFill>
              <w14:schemeClr w14:val="tx1"/>
            </w14:solidFill>
          </w14:textFill>
        </w:rPr>
        <w:t>由采购代理机构依法组建，负责评标活动。</w:t>
      </w:r>
    </w:p>
    <w:p w14:paraId="6435C4D1">
      <w:pPr>
        <w:spacing w:after="60"/>
        <w:ind w:firstLine="359" w:firstLineChars="17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评审委员会的组成及行为规范执行《</w:t>
      </w:r>
      <w:r>
        <w:rPr>
          <w:rFonts w:ascii="宋体" w:hAnsi="宋体"/>
          <w:color w:val="000000" w:themeColor="text1"/>
          <w:szCs w:val="21"/>
          <w14:textFill>
            <w14:solidFill>
              <w14:schemeClr w14:val="tx1"/>
            </w14:solidFill>
          </w14:textFill>
        </w:rPr>
        <w:t>深圳经济特区政府采购条例实施细则</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评审委员会由评审专家</w:t>
      </w:r>
      <w:r>
        <w:rPr>
          <w:rFonts w:hint="eastAsia" w:ascii="宋体" w:hAnsi="宋体"/>
          <w:color w:val="000000" w:themeColor="text1"/>
          <w:szCs w:val="21"/>
          <w14:textFill>
            <w14:solidFill>
              <w14:schemeClr w14:val="tx1"/>
            </w14:solidFill>
          </w14:textFill>
        </w:rPr>
        <w:t>及采购人代表</w:t>
      </w:r>
      <w:r>
        <w:rPr>
          <w:rFonts w:ascii="宋体" w:hAnsi="宋体"/>
          <w:color w:val="000000" w:themeColor="text1"/>
          <w:szCs w:val="21"/>
          <w14:textFill>
            <w14:solidFill>
              <w14:schemeClr w14:val="tx1"/>
            </w14:solidFill>
          </w14:textFill>
        </w:rPr>
        <w:t>组成</w:t>
      </w:r>
      <w:r>
        <w:rPr>
          <w:rFonts w:hint="eastAsia" w:ascii="宋体" w:hAnsi="宋体"/>
          <w:color w:val="000000" w:themeColor="text1"/>
          <w:szCs w:val="21"/>
          <w14:textFill>
            <w14:solidFill>
              <w14:schemeClr w14:val="tx1"/>
            </w14:solidFill>
          </w14:textFill>
        </w:rPr>
        <w:t>（其中专家人数不少于评审委员会的三分之二）</w:t>
      </w:r>
      <w:r>
        <w:rPr>
          <w:rFonts w:ascii="宋体" w:hAnsi="宋体"/>
          <w:color w:val="000000" w:themeColor="text1"/>
          <w:szCs w:val="21"/>
          <w14:textFill>
            <w14:solidFill>
              <w14:schemeClr w14:val="tx1"/>
            </w14:solidFill>
          </w14:textFill>
        </w:rPr>
        <w:t>，人数为五人以上的单数，评审专家通过随机方式从专家库中选取。</w:t>
      </w:r>
    </w:p>
    <w:p w14:paraId="7DCC6502">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29.2评标定标应当遵循公平、公正、科学、择优的原则。</w:t>
      </w:r>
    </w:p>
    <w:p w14:paraId="254BF64A">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29.3评标活动依法进行，任何单位和个人不得非法干预评标过程和结果。</w:t>
      </w:r>
    </w:p>
    <w:p w14:paraId="6E343265">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29.4评标过程中不允许违背评标程序或采用招标文件未载明的评标方法或评标因素进行评标。</w:t>
      </w:r>
    </w:p>
    <w:p w14:paraId="637E51C3">
      <w:pPr>
        <w:spacing w:after="60"/>
        <w:ind w:firstLine="411" w:firstLineChars="196"/>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29.5 开标后，直到签订合同为止，凡属于对投标文件的审查、澄清、评价和比较的有关资料以及中标候选人的推荐情况、与评标有关的其他任何情况均严格保密。</w:t>
      </w:r>
    </w:p>
    <w:p w14:paraId="00139676">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30．向评审委员会提供的资料</w:t>
      </w:r>
    </w:p>
    <w:p w14:paraId="0A7FE092">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30.1公开发布的招标文件，包括图纸、服务清单、答疑文件等；</w:t>
      </w:r>
    </w:p>
    <w:p w14:paraId="66D70141">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30.2其他评标必须的资料。</w:t>
      </w:r>
    </w:p>
    <w:p w14:paraId="6157F54B">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30.3</w:t>
      </w:r>
      <w:r>
        <w:rPr>
          <w:rFonts w:hint="eastAsia" w:ascii="宋体" w:hAnsi="宋体"/>
          <w:color w:val="000000" w:themeColor="text1"/>
          <w:szCs w:val="21"/>
          <w14:textFill>
            <w14:solidFill>
              <w14:schemeClr w14:val="tx1"/>
            </w14:solidFill>
          </w14:textFill>
        </w:rPr>
        <w:t>评审委员会</w:t>
      </w:r>
      <w:r>
        <w:rPr>
          <w:rFonts w:hint="eastAsia" w:ascii="宋体" w:hAnsi="宋体"/>
          <w:color w:val="000000" w:themeColor="text1"/>
          <w14:textFill>
            <w14:solidFill>
              <w14:schemeClr w14:val="tx1"/>
            </w14:solidFill>
          </w14:textFill>
        </w:rPr>
        <w:t>应当认真研究招标文件，至少应了解熟悉以下内容：</w:t>
      </w:r>
    </w:p>
    <w:p w14:paraId="066A2E58">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（1）招标的目的；</w:t>
      </w:r>
    </w:p>
    <w:p w14:paraId="32808F41">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（2）招标项目需求的范围和性质；</w:t>
      </w:r>
    </w:p>
    <w:p w14:paraId="09048DAE">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（3）招标文件规定的投标人的资格、财政预算限额、商务条款；</w:t>
      </w:r>
    </w:p>
    <w:p w14:paraId="0EBBF041">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（4）招标文件规定的评标程序、评标方法和评标因素；</w:t>
      </w:r>
    </w:p>
    <w:p w14:paraId="5AFCAF40">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（5）招标文件所列示的资格性审查表及符合性审查表。</w:t>
      </w:r>
    </w:p>
    <w:p w14:paraId="2ADC0896">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31．独立评标</w:t>
      </w:r>
    </w:p>
    <w:p w14:paraId="56423044">
      <w:pPr>
        <w:spacing w:after="60"/>
        <w:ind w:firstLine="411" w:firstLineChars="196"/>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30.1</w:t>
      </w:r>
      <w:r>
        <w:rPr>
          <w:rFonts w:hint="eastAsia" w:ascii="宋体" w:hAnsi="宋体"/>
          <w:color w:val="000000" w:themeColor="text1"/>
          <w:szCs w:val="21"/>
          <w14:textFill>
            <w14:solidFill>
              <w14:schemeClr w14:val="tx1"/>
            </w14:solidFill>
          </w14:textFill>
        </w:rPr>
        <w:t>评审委员会</w:t>
      </w:r>
      <w:r>
        <w:rPr>
          <w:rFonts w:hint="eastAsia" w:ascii="宋体" w:hAnsi="宋体"/>
          <w:bCs/>
          <w:color w:val="000000" w:themeColor="text1"/>
          <w14:textFill>
            <w14:solidFill>
              <w14:schemeClr w14:val="tx1"/>
            </w14:solidFill>
          </w14:textFill>
        </w:rPr>
        <w:t>成员的评标活动应当独立进行，并应遵循投标文件初审、澄清有关问题、比较与评价、确定中标供应商、编写评标报告的工作程序。</w:t>
      </w:r>
    </w:p>
    <w:p w14:paraId="44428F5F">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评标程序及评标方法</w:t>
      </w:r>
    </w:p>
    <w:p w14:paraId="48831437">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32．投标文件初审</w:t>
      </w:r>
    </w:p>
    <w:p w14:paraId="67AB609D">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p>
    <w:p w14:paraId="34A650AF">
      <w:pPr>
        <w:autoSpaceDE w:val="0"/>
        <w:autoSpaceDN w:val="0"/>
        <w:adjustRightInd w:val="0"/>
        <w:spacing w:after="60"/>
        <w:jc w:val="left"/>
        <w:rPr>
          <w:rFonts w:hint="eastAsia"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32.2 </w:t>
      </w:r>
      <w:r>
        <w:rPr>
          <w:rFonts w:hint="eastAsia" w:ascii="宋体" w:hAnsi="宋体"/>
          <w:b/>
          <w:color w:val="000000" w:themeColor="text1"/>
          <w14:textFill>
            <w14:solidFill>
              <w14:schemeClr w14:val="tx1"/>
            </w14:solidFill>
          </w14:textFill>
        </w:rPr>
        <w:t>投标文件初审内容请详见《资格性审查表》和《符合性审查表》部分。投标人若有一条审查不通过则按投标无效处理。评审委员会对投标单位打√为通过审查，打×为未通过审查。</w:t>
      </w:r>
    </w:p>
    <w:p w14:paraId="6B7227C2">
      <w:pPr>
        <w:spacing w:after="60"/>
        <w:ind w:firstLine="413" w:firstLineChars="196"/>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32.3 投标文件初审中关于供应商家数的计算:</w:t>
      </w:r>
    </w:p>
    <w:p w14:paraId="156C23AF">
      <w:pPr>
        <w:spacing w:after="60"/>
        <w:ind w:firstLine="413" w:firstLineChars="196"/>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0A19AC2">
      <w:pPr>
        <w:spacing w:after="60"/>
        <w:ind w:firstLine="413" w:firstLineChars="196"/>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
          <w:color w:val="000000" w:themeColor="text1"/>
          <w:szCs w:val="21"/>
          <w14:textFill>
            <w14:solidFill>
              <w14:schemeClr w14:val="tx1"/>
            </w14:solidFill>
          </w14:textFill>
        </w:rPr>
        <w:t>评审委员会</w:t>
      </w:r>
      <w:r>
        <w:rPr>
          <w:rFonts w:hint="eastAsia" w:ascii="宋体" w:hAnsi="宋体"/>
          <w:b/>
          <w:color w:val="000000" w:themeColor="text1"/>
          <w14:textFill>
            <w14:solidFill>
              <w14:schemeClr w14:val="tx1"/>
            </w14:solidFill>
          </w14:textFill>
        </w:rPr>
        <w:t>按照招标文件规定的方式确定一个投标人获得中标人推荐资格，招标文件未规定的采取随机抽取方式确定，其他同品牌投标人不作为中标候选人。</w:t>
      </w:r>
    </w:p>
    <w:p w14:paraId="02BAE86F">
      <w:pPr>
        <w:spacing w:after="60"/>
        <w:ind w:firstLine="413" w:firstLineChars="196"/>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32.3.3非单一产品采购项目，采购人应当根据采购项目技术构成、产品价格比重等合理确定核心产品，并在招标文件中载明。多家投标人提供的核心产品品牌相同的，按前两款规定处理。</w:t>
      </w:r>
    </w:p>
    <w:p w14:paraId="5773A9CA">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32.4投标人投标文件作无效处理的情形，具体包括但不限于以下：</w:t>
      </w:r>
    </w:p>
    <w:p w14:paraId="0B457E75">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32.4.1不同投标人的投标文件由同一单位或者同一个人编制，或者由同一个人分阶段参与编制；</w:t>
      </w:r>
    </w:p>
    <w:p w14:paraId="04111158">
      <w:pPr>
        <w:spacing w:after="60"/>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32.4.</w:t>
      </w:r>
      <w:r>
        <w:rPr>
          <w:rFonts w:hint="eastAsia" w:ascii="宋体" w:hAnsi="宋体"/>
          <w:color w:val="000000" w:themeColor="text1"/>
          <w14:textFill>
            <w14:solidFill>
              <w14:schemeClr w14:val="tx1"/>
            </w14:solidFill>
          </w14:textFill>
        </w:rPr>
        <w:t>2不同投标人委托同一单位或者个人办理投标事宜；</w:t>
      </w:r>
    </w:p>
    <w:p w14:paraId="1DD31159">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32.4.3不同投标人的投标文件载明的项目管理成员或者联系人员为同一人；</w:t>
      </w:r>
    </w:p>
    <w:p w14:paraId="454D3589">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32.4.4不同投标人的投标文件异常一致或者投标报价呈规律性差异；</w:t>
      </w:r>
    </w:p>
    <w:p w14:paraId="3E0B9712">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32.4.5</w:t>
      </w:r>
      <w:r>
        <w:rPr>
          <w:rFonts w:ascii="宋体" w:hAnsi="宋体" w:cs="宋体"/>
          <w:b/>
          <w:color w:val="000000" w:themeColor="text1"/>
          <w:kern w:val="0"/>
          <w:szCs w:val="21"/>
          <w14:textFill>
            <w14:solidFill>
              <w14:schemeClr w14:val="tx1"/>
            </w14:solidFill>
          </w14:textFill>
        </w:rPr>
        <w:t>不同投标供应商的投标文件或部分投标文件相互混装</w:t>
      </w:r>
      <w:r>
        <w:rPr>
          <w:rFonts w:hint="eastAsia" w:ascii="宋体" w:hAnsi="宋体"/>
          <w:color w:val="000000" w:themeColor="text1"/>
          <w14:textFill>
            <w14:solidFill>
              <w14:schemeClr w14:val="tx1"/>
            </w14:solidFill>
          </w14:textFill>
        </w:rPr>
        <w:t>；</w:t>
      </w:r>
    </w:p>
    <w:p w14:paraId="5DAF6042">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32.4.6投标供应商之间相互约定给予未中标的供应商利益补偿；</w:t>
      </w:r>
    </w:p>
    <w:p w14:paraId="2C0CB233">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32.4.7不同投标供应商的法定代表人、主要经营负责人、项目投标授权代表人、项目负责人、主要技术人员为同一人、属同一单位或者同一单位缴纳社会保险；</w:t>
      </w:r>
    </w:p>
    <w:p w14:paraId="7E1D096B">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32.4.8不同投标供应商的投标文件内容存在非正常一致；</w:t>
      </w:r>
    </w:p>
    <w:p w14:paraId="3AFF453C">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32.4.9在同一单位工作人员为两家以上（含两家）供应商进行同一项投标活动；</w:t>
      </w:r>
    </w:p>
    <w:p w14:paraId="6E0FCFE8">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32.4.10主管部门依照法律、法规认定的其他情形。</w:t>
      </w:r>
    </w:p>
    <w:p w14:paraId="6FA7F190">
      <w:pPr>
        <w:spacing w:after="60"/>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32.5对不属于《资格性审查表》和《符合性审查表》所列的其他情形，除专用条款另有规定和32.4条款所列情形外，不得作为投标无效的理由。</w:t>
      </w:r>
    </w:p>
    <w:p w14:paraId="18EB0BF0">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33．澄清有关问题</w:t>
      </w:r>
    </w:p>
    <w:p w14:paraId="0C35BBF3">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对于投标文件中含义不明确、同类问题表述不一致或者有明显文字和计算错误的内容，评审委员会应当以书面形式要求投标人作出必要的澄清、说明或者补正。</w:t>
      </w:r>
    </w:p>
    <w:p w14:paraId="047810E1">
      <w:pPr>
        <w:widowControl/>
        <w:spacing w:after="60"/>
        <w:jc w:val="left"/>
        <w:textAlignment w:val="baseline"/>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投标人的澄清、说明或者补正应当采用书面形式，并加盖公章，或者由法定代表人或其授权的代表签字。投标人的澄清、说明或者补正不得超出投标文件的范围或者改变投标文件的实质性内容。</w:t>
      </w:r>
    </w:p>
    <w:p w14:paraId="0D2C32AD">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根据本通用条款第34条，凡属于评审委员会在评审中发现的算术错误进行核实的修改不在此列。</w:t>
      </w:r>
    </w:p>
    <w:p w14:paraId="73A0CD65">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34．错误的修正</w:t>
      </w:r>
    </w:p>
    <w:p w14:paraId="7AF47E85">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投标文件报价出现前后不一致的，除专用条款另有规定外，按照下列规定修正：</w:t>
      </w:r>
    </w:p>
    <w:p w14:paraId="10A6A4A3">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34.1投标文件中开标一览表投标报价内容与投标文件中投标报价相应内容不一致的，以开标一览表为准；</w:t>
      </w:r>
    </w:p>
    <w:p w14:paraId="6406BF7A">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34.2大写金额和小写金额不一致的，以大写金额为准；</w:t>
      </w:r>
    </w:p>
    <w:p w14:paraId="71ECA959">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34.3单价金额小数点或者百分比有明显错位，以开标一览表的总价为准，并修改单价；</w:t>
      </w:r>
    </w:p>
    <w:p w14:paraId="1F29A91B">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34.4总价金额与按单价汇总金额不一致的，以单价金额计算结果为准。</w:t>
      </w:r>
    </w:p>
    <w:p w14:paraId="1C492855">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34.5同时出现两种以上不一致的，按照前款规定的顺序修正。修正后的报价按照本通用条款33条的规定，经投标人确认后产生约束力，投标人不确认的，其投标无效。</w:t>
      </w:r>
    </w:p>
    <w:p w14:paraId="3D9D0F35">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35．投标文件的比较与评价</w:t>
      </w:r>
    </w:p>
    <w:p w14:paraId="4D5D4549">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0E37E3FB">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评审委员会成员对需要共同认定的事项存在争议的，应当按照少数服从多数的原则作出结论。持不同意见的评审委员会成员应当在评标报告上签署不同意见及理由，否则视为同意评标报告。</w:t>
      </w:r>
    </w:p>
    <w:p w14:paraId="1131BB39">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36. 实地考察、演示或设备测试</w:t>
      </w:r>
    </w:p>
    <w:p w14:paraId="3BE84589">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36.1在招标过程中，评审委员会有权决定是否对本项目投标人进行现场勘察或实地考察或检验有关证明材料的原件。投标人应随时做好接受检查的准备。</w:t>
      </w:r>
    </w:p>
    <w:p w14:paraId="58C06BB7">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36.2若招标文件要求进行现场演示或设备测试的，投标人应做好相应准备。</w:t>
      </w:r>
    </w:p>
    <w:p w14:paraId="68F1283D">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37．评标方法</w:t>
      </w:r>
    </w:p>
    <w:p w14:paraId="06A1A76C">
      <w:pPr>
        <w:spacing w:after="60"/>
        <w:ind w:firstLine="413" w:firstLineChars="196"/>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37.1.1最低价法</w:t>
      </w:r>
    </w:p>
    <w:p w14:paraId="02A085FF">
      <w:pPr>
        <w:spacing w:after="60"/>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最低评标价法，是指投标文件满足招标文件全部实质性要求，</w:t>
      </w:r>
      <w:r>
        <w:rPr>
          <w:rFonts w:hint="eastAsia" w:ascii="宋体" w:hAnsi="宋体"/>
          <w:color w:val="000000" w:themeColor="text1"/>
          <w14:textFill>
            <w14:solidFill>
              <w14:schemeClr w14:val="tx1"/>
            </w14:solidFill>
          </w14:textFill>
        </w:rPr>
        <w:t>按报价进行排序</w:t>
      </w:r>
      <w:r>
        <w:rPr>
          <w:rFonts w:ascii="宋体" w:hAnsi="宋体"/>
          <w:color w:val="000000" w:themeColor="text1"/>
          <w14:textFill>
            <w14:solidFill>
              <w14:schemeClr w14:val="tx1"/>
            </w14:solidFill>
          </w14:textFill>
        </w:rPr>
        <w:t>且投标报价最低的投标人为中标</w:t>
      </w:r>
      <w:r>
        <w:rPr>
          <w:rFonts w:hint="eastAsia" w:ascii="宋体" w:hAnsi="宋体"/>
          <w:color w:val="000000" w:themeColor="text1"/>
          <w14:textFill>
            <w14:solidFill>
              <w14:schemeClr w14:val="tx1"/>
            </w14:solidFill>
          </w14:textFill>
        </w:rPr>
        <w:t>候选人</w:t>
      </w:r>
      <w:r>
        <w:rPr>
          <w:rFonts w:ascii="宋体" w:hAnsi="宋体"/>
          <w:color w:val="000000" w:themeColor="text1"/>
          <w14:textFill>
            <w14:solidFill>
              <w14:schemeClr w14:val="tx1"/>
            </w14:solidFill>
          </w14:textFill>
        </w:rPr>
        <w:t>的评标方法（</w:t>
      </w:r>
      <w:r>
        <w:rPr>
          <w:rFonts w:hint="eastAsia" w:ascii="宋体" w:hAnsi="宋体"/>
          <w:color w:val="000000" w:themeColor="text1"/>
          <w14:textFill>
            <w14:solidFill>
              <w14:schemeClr w14:val="tx1"/>
            </w14:solidFill>
          </w14:textFill>
        </w:rPr>
        <w:t>排名</w:t>
      </w:r>
      <w:r>
        <w:rPr>
          <w:rFonts w:ascii="宋体" w:hAnsi="宋体"/>
          <w:color w:val="000000" w:themeColor="text1"/>
          <w14:textFill>
            <w14:solidFill>
              <w14:schemeClr w14:val="tx1"/>
            </w14:solidFill>
          </w14:textFill>
        </w:rPr>
        <w:t>第二</w:t>
      </w:r>
      <w:r>
        <w:rPr>
          <w:rFonts w:hint="eastAsia" w:ascii="宋体" w:hAnsi="宋体"/>
          <w:color w:val="000000" w:themeColor="text1"/>
          <w14:textFill>
            <w14:solidFill>
              <w14:schemeClr w14:val="tx1"/>
            </w14:solidFill>
          </w14:textFill>
        </w:rPr>
        <w:t>的投标人为第一递补中标候选人、排名</w:t>
      </w:r>
      <w:r>
        <w:rPr>
          <w:rFonts w:ascii="宋体" w:hAnsi="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三的投标人为第二递补中标候选人</w:t>
      </w:r>
      <w:r>
        <w:rPr>
          <w:rFonts w:ascii="宋体" w:hAnsi="宋体"/>
          <w:color w:val="000000" w:themeColor="text1"/>
          <w14:textFill>
            <w14:solidFill>
              <w14:schemeClr w14:val="tx1"/>
            </w14:solidFill>
          </w14:textFill>
        </w:rPr>
        <w:t>）。</w:t>
      </w:r>
    </w:p>
    <w:p w14:paraId="63413E1C">
      <w:pPr>
        <w:spacing w:after="60"/>
        <w:ind w:firstLine="413" w:firstLineChars="196"/>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37.1.2综合评分法</w:t>
      </w:r>
    </w:p>
    <w:p w14:paraId="58F89409">
      <w:pPr>
        <w:spacing w:after="60"/>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综合评分法，是指投标文件满足招标文件全部实质性要求，且按照评审因素的量化指标评审得分最高的投标人为中标</w:t>
      </w:r>
      <w:r>
        <w:rPr>
          <w:rFonts w:hint="eastAsia" w:ascii="宋体" w:hAnsi="宋体"/>
          <w:color w:val="000000" w:themeColor="text1"/>
          <w14:textFill>
            <w14:solidFill>
              <w14:schemeClr w14:val="tx1"/>
            </w14:solidFill>
          </w14:textFill>
        </w:rPr>
        <w:t>候选人</w:t>
      </w:r>
      <w:r>
        <w:rPr>
          <w:rFonts w:ascii="宋体" w:hAnsi="宋体"/>
          <w:color w:val="000000" w:themeColor="text1"/>
          <w14:textFill>
            <w14:solidFill>
              <w14:schemeClr w14:val="tx1"/>
            </w14:solidFill>
          </w14:textFill>
        </w:rPr>
        <w:t>的评标方法（</w:t>
      </w:r>
      <w:r>
        <w:rPr>
          <w:rFonts w:hint="eastAsia" w:ascii="宋体" w:hAnsi="宋体"/>
          <w:color w:val="000000" w:themeColor="text1"/>
          <w14:textFill>
            <w14:solidFill>
              <w14:schemeClr w14:val="tx1"/>
            </w14:solidFill>
          </w14:textFill>
        </w:rPr>
        <w:t>排名</w:t>
      </w:r>
      <w:r>
        <w:rPr>
          <w:rFonts w:ascii="宋体" w:hAnsi="宋体"/>
          <w:color w:val="000000" w:themeColor="text1"/>
          <w14:textFill>
            <w14:solidFill>
              <w14:schemeClr w14:val="tx1"/>
            </w14:solidFill>
          </w14:textFill>
        </w:rPr>
        <w:t>第二</w:t>
      </w:r>
      <w:r>
        <w:rPr>
          <w:rFonts w:hint="eastAsia" w:ascii="宋体" w:hAnsi="宋体"/>
          <w:color w:val="000000" w:themeColor="text1"/>
          <w14:textFill>
            <w14:solidFill>
              <w14:schemeClr w14:val="tx1"/>
            </w14:solidFill>
          </w14:textFill>
        </w:rPr>
        <w:t>的投标人为第一递补中标候选人、排名</w:t>
      </w:r>
      <w:r>
        <w:rPr>
          <w:rFonts w:ascii="宋体" w:hAnsi="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三的投标人为第二递补中标候选人</w:t>
      </w:r>
      <w:r>
        <w:rPr>
          <w:rFonts w:ascii="宋体" w:hAnsi="宋体"/>
          <w:color w:val="000000" w:themeColor="text1"/>
          <w14:textFill>
            <w14:solidFill>
              <w14:schemeClr w14:val="tx1"/>
            </w14:solidFill>
          </w14:textFill>
        </w:rPr>
        <w:t>）。</w:t>
      </w:r>
    </w:p>
    <w:p w14:paraId="53540246">
      <w:pPr>
        <w:spacing w:after="60"/>
        <w:ind w:firstLine="413" w:firstLineChars="196"/>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37.1.3定性评审法</w:t>
      </w:r>
    </w:p>
    <w:p w14:paraId="58E80B93">
      <w:pPr>
        <w:spacing w:after="60"/>
        <w:ind w:firstLine="411" w:firstLineChars="196"/>
        <w:rPr>
          <w:rFonts w:hint="eastAsia" w:ascii="宋体" w:hAnsi="宋体"/>
          <w:color w:val="000000" w:themeColor="text1"/>
          <w14:textFill>
            <w14:solidFill>
              <w14:schemeClr w14:val="tx1"/>
            </w14:solidFill>
          </w14:textFill>
        </w:rPr>
      </w:pPr>
      <w:r>
        <w:rPr>
          <w:rFonts w:ascii="宋体" w:hAnsi="宋体" w:cs="宋体"/>
          <w:color w:val="000000" w:themeColor="text1"/>
          <w:kern w:val="0"/>
          <w:szCs w:val="21"/>
          <w14:textFill>
            <w14:solidFill>
              <w14:schemeClr w14:val="tx1"/>
            </w14:solidFill>
          </w14:textFill>
        </w:rPr>
        <w:t>定性评审法</w:t>
      </w:r>
      <w:r>
        <w:rPr>
          <w:rFonts w:hint="eastAsia" w:ascii="宋体" w:hAnsi="宋体" w:cs="宋体"/>
          <w:color w:val="000000" w:themeColor="text1"/>
          <w:kern w:val="0"/>
          <w:szCs w:val="21"/>
          <w14:textFill>
            <w14:solidFill>
              <w14:schemeClr w14:val="tx1"/>
            </w14:solidFill>
          </w14:textFill>
        </w:rPr>
        <w:t>，是指</w:t>
      </w:r>
      <w:r>
        <w:rPr>
          <w:rFonts w:ascii="宋体" w:hAnsi="宋体" w:cs="宋体"/>
          <w:color w:val="000000" w:themeColor="text1"/>
          <w:kern w:val="0"/>
          <w:szCs w:val="21"/>
          <w14:textFill>
            <w14:solidFill>
              <w14:schemeClr w14:val="tx1"/>
            </w14:solidFill>
          </w14:textFill>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5910DF91">
      <w:pPr>
        <w:spacing w:after="60"/>
        <w:ind w:firstLine="413" w:firstLineChars="196"/>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37.2 本项目采用的评标方法见本项目招标文件第一册“专用条款”的相关内容。</w:t>
      </w:r>
    </w:p>
    <w:p w14:paraId="775D9D5B">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定标及公示</w:t>
      </w:r>
    </w:p>
    <w:p w14:paraId="5D6AAA89">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38．定标方法</w:t>
      </w:r>
    </w:p>
    <w:p w14:paraId="601D3AFC">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38.1非评定分离项目定标方法</w:t>
      </w:r>
    </w:p>
    <w:p w14:paraId="5C6CC0FE">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1.1评审委员会依据本项目招标文件所约定的评标方法进行评审和比较，向采购代理机构提交书面评标报告，并根据评标方法比较评价结果从优到劣进行排序，确定中标供应商及中标候选人。</w:t>
      </w:r>
    </w:p>
    <w:p w14:paraId="5334BC3F">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1.2</w:t>
      </w:r>
      <w:r>
        <w:rPr>
          <w:rFonts w:ascii="宋体" w:hAnsi="宋体"/>
          <w:color w:val="000000" w:themeColor="text1"/>
          <w14:textFill>
            <w14:solidFill>
              <w14:schemeClr w14:val="tx1"/>
            </w14:solidFill>
          </w14:textFill>
        </w:rPr>
        <w:t>采用最低评标价法的，评标结果按投标报价由低到高顺序排列。投标报价相同的并列。投标文件满足招标文件全部实质性要求且投标报价最低的</w:t>
      </w:r>
      <w:r>
        <w:rPr>
          <w:rFonts w:hint="eastAsia" w:ascii="宋体" w:hAnsi="宋体"/>
          <w:color w:val="000000" w:themeColor="text1"/>
          <w14:textFill>
            <w14:solidFill>
              <w14:schemeClr w14:val="tx1"/>
            </w14:solidFill>
          </w14:textFill>
        </w:rPr>
        <w:t>投标人为</w:t>
      </w:r>
      <w:r>
        <w:rPr>
          <w:rFonts w:ascii="宋体" w:hAnsi="宋体"/>
          <w:color w:val="000000" w:themeColor="text1"/>
          <w14:textFill>
            <w14:solidFill>
              <w14:schemeClr w14:val="tx1"/>
            </w14:solidFill>
          </w14:textFill>
        </w:rPr>
        <w:t>排名第一的中标候选人（</w:t>
      </w:r>
      <w:r>
        <w:rPr>
          <w:rFonts w:hint="eastAsia" w:ascii="宋体" w:hAnsi="宋体"/>
          <w:color w:val="000000" w:themeColor="text1"/>
          <w14:textFill>
            <w14:solidFill>
              <w14:schemeClr w14:val="tx1"/>
            </w14:solidFill>
          </w14:textFill>
        </w:rPr>
        <w:t>排名</w:t>
      </w:r>
      <w:r>
        <w:rPr>
          <w:rFonts w:ascii="宋体" w:hAnsi="宋体"/>
          <w:color w:val="000000" w:themeColor="text1"/>
          <w14:textFill>
            <w14:solidFill>
              <w14:schemeClr w14:val="tx1"/>
            </w14:solidFill>
          </w14:textFill>
        </w:rPr>
        <w:t>第二</w:t>
      </w:r>
      <w:r>
        <w:rPr>
          <w:rFonts w:hint="eastAsia" w:ascii="宋体" w:hAnsi="宋体"/>
          <w:color w:val="000000" w:themeColor="text1"/>
          <w14:textFill>
            <w14:solidFill>
              <w14:schemeClr w14:val="tx1"/>
            </w14:solidFill>
          </w14:textFill>
        </w:rPr>
        <w:t>的投标人为第一递补中标候选人、排名</w:t>
      </w:r>
      <w:r>
        <w:rPr>
          <w:rFonts w:ascii="宋体" w:hAnsi="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三的投标人为第二递补中标候选人</w:t>
      </w:r>
      <w:r>
        <w:rPr>
          <w:rFonts w:ascii="宋体" w:hAnsi="宋体"/>
          <w:color w:val="000000" w:themeColor="text1"/>
          <w14:textFill>
            <w14:solidFill>
              <w14:schemeClr w14:val="tx1"/>
            </w14:solidFill>
          </w14:textFill>
        </w:rPr>
        <w:t>）。</w:t>
      </w:r>
    </w:p>
    <w:p w14:paraId="29268CE9">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1.3</w:t>
      </w:r>
      <w:r>
        <w:rPr>
          <w:rFonts w:ascii="宋体" w:hAnsi="宋体"/>
          <w:color w:val="000000" w:themeColor="text1"/>
          <w:szCs w:val="21"/>
          <w14:textFill>
            <w14:solidFill>
              <w14:schemeClr w14:val="tx1"/>
            </w14:solidFill>
          </w14:textFill>
        </w:rPr>
        <w:t>采</w:t>
      </w:r>
      <w:r>
        <w:rPr>
          <w:rFonts w:ascii="宋体" w:hAnsi="宋体"/>
          <w:color w:val="000000" w:themeColor="text1"/>
          <w14:textFill>
            <w14:solidFill>
              <w14:schemeClr w14:val="tx1"/>
            </w14:solidFill>
          </w14:textFill>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olor w:val="000000" w:themeColor="text1"/>
          <w14:textFill>
            <w14:solidFill>
              <w14:schemeClr w14:val="tx1"/>
            </w14:solidFill>
          </w14:textFill>
        </w:rPr>
        <w:t>排名</w:t>
      </w:r>
      <w:r>
        <w:rPr>
          <w:rFonts w:ascii="宋体" w:hAnsi="宋体"/>
          <w:color w:val="000000" w:themeColor="text1"/>
          <w14:textFill>
            <w14:solidFill>
              <w14:schemeClr w14:val="tx1"/>
            </w14:solidFill>
          </w14:textFill>
        </w:rPr>
        <w:t>第二</w:t>
      </w:r>
      <w:r>
        <w:rPr>
          <w:rFonts w:hint="eastAsia" w:ascii="宋体" w:hAnsi="宋体"/>
          <w:color w:val="000000" w:themeColor="text1"/>
          <w14:textFill>
            <w14:solidFill>
              <w14:schemeClr w14:val="tx1"/>
            </w14:solidFill>
          </w14:textFill>
        </w:rPr>
        <w:t>的投标人为第一递补中标候选人、排名</w:t>
      </w:r>
      <w:r>
        <w:rPr>
          <w:rFonts w:ascii="宋体" w:hAnsi="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三的投标人为第二递补中标候选人</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出现</w:t>
      </w:r>
      <w:r>
        <w:rPr>
          <w:rFonts w:ascii="宋体" w:hAnsi="宋体"/>
          <w:color w:val="000000" w:themeColor="text1"/>
          <w14:textFill>
            <w14:solidFill>
              <w14:schemeClr w14:val="tx1"/>
            </w14:solidFill>
          </w14:textFill>
        </w:rPr>
        <w:t>得分且投标报价相同的并列</w:t>
      </w:r>
      <w:r>
        <w:rPr>
          <w:rFonts w:hint="eastAsia" w:ascii="宋体" w:hAnsi="宋体"/>
          <w:color w:val="000000" w:themeColor="text1"/>
          <w14:textFill>
            <w14:solidFill>
              <w14:schemeClr w14:val="tx1"/>
            </w14:solidFill>
          </w14:textFill>
        </w:rPr>
        <w:t>情况时，采取随机抽取的方式确定，具体操作办法及流程由评审委员会确定。</w:t>
      </w:r>
    </w:p>
    <w:p w14:paraId="46F8A02F">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38.2评定分离项目定标方法</w:t>
      </w:r>
    </w:p>
    <w:p w14:paraId="4B26073C">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38.2.1根据《深圳经济特区政府采购条例实施细则》等有关规定，具体详见招标文件第一册关键信息的内容。</w:t>
      </w:r>
    </w:p>
    <w:p w14:paraId="0CF072AD">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39．编写评标报告</w:t>
      </w:r>
    </w:p>
    <w:p w14:paraId="7F6BFD35">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6CDDDA74">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40．中标公告</w:t>
      </w:r>
    </w:p>
    <w:p w14:paraId="16128C41">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40.1为体现“公开、公平、公正”的原则，评标结束后，采购代理机构将在公司网站上发布中标结果公告。供应商如对评标结果有异议，</w:t>
      </w:r>
      <w:r>
        <w:rPr>
          <w:rFonts w:ascii="宋体" w:hAnsi="宋体"/>
          <w:color w:val="000000" w:themeColor="text1"/>
          <w:szCs w:val="21"/>
          <w14:textFill>
            <w14:solidFill>
              <w14:schemeClr w14:val="tx1"/>
            </w14:solidFill>
          </w14:textFill>
        </w:rPr>
        <w:t>可在发布公示日期起</w:t>
      </w:r>
      <w:r>
        <w:rPr>
          <w:rFonts w:hint="eastAsia" w:ascii="宋体" w:hAnsi="宋体"/>
          <w:color w:val="000000" w:themeColor="text1"/>
          <w:szCs w:val="21"/>
          <w14:textFill>
            <w14:solidFill>
              <w14:schemeClr w14:val="tx1"/>
            </w14:solidFill>
          </w14:textFill>
        </w:rPr>
        <w:t>七</w:t>
      </w:r>
      <w:r>
        <w:rPr>
          <w:rFonts w:ascii="宋体" w:hAnsi="宋体"/>
          <w:color w:val="000000" w:themeColor="text1"/>
          <w:szCs w:val="21"/>
          <w14:textFill>
            <w14:solidFill>
              <w14:schemeClr w14:val="tx1"/>
            </w14:solidFill>
          </w14:textFill>
        </w:rPr>
        <w:t>个工作日内向</w:t>
      </w:r>
      <w:r>
        <w:rPr>
          <w:rFonts w:hint="eastAsia" w:ascii="宋体" w:hAnsi="宋体"/>
          <w:color w:val="000000" w:themeColor="text1"/>
          <w:szCs w:val="21"/>
          <w14:textFill>
            <w14:solidFill>
              <w14:schemeClr w14:val="tx1"/>
            </w14:solidFill>
          </w14:textFill>
        </w:rPr>
        <w:t>采购代理机构</w:t>
      </w:r>
      <w:r>
        <w:rPr>
          <w:rFonts w:ascii="宋体" w:hAnsi="宋体"/>
          <w:color w:val="000000" w:themeColor="text1"/>
          <w:szCs w:val="21"/>
          <w14:textFill>
            <w14:solidFill>
              <w14:schemeClr w14:val="tx1"/>
            </w14:solidFill>
          </w14:textFill>
        </w:rPr>
        <w:t>提出。</w:t>
      </w:r>
      <w:r>
        <w:rPr>
          <w:rFonts w:hint="eastAsia" w:ascii="宋体" w:hAnsi="宋体"/>
          <w:color w:val="000000" w:themeColor="text1"/>
          <w:szCs w:val="21"/>
          <w14:textFill>
            <w14:solidFill>
              <w14:schemeClr w14:val="tx1"/>
            </w14:solidFill>
          </w14:textFill>
        </w:rPr>
        <w:t>若在公示期内未提出质疑，则视为认同该评标结果。</w:t>
      </w:r>
    </w:p>
    <w:p w14:paraId="609B53AE">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40.2质疑投诉人应保证质疑投诉内容的真实性和可靠性，并承担相应的法律责任。</w:t>
      </w:r>
    </w:p>
    <w:p w14:paraId="41E631A6">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41．中标通知书</w:t>
      </w:r>
    </w:p>
    <w:p w14:paraId="370B7550">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1中标公告公布以后,公示期内无有效质疑投诉,中标人在缴纳中标服务费后，可前往采购代理机构领取《中标通知书》原件。</w:t>
      </w:r>
    </w:p>
    <w:p w14:paraId="4DA046E4">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中标通知书是合同的重要组成部分。</w:t>
      </w:r>
    </w:p>
    <w:p w14:paraId="18CC87F3">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公开招标失败的后续处理</w:t>
      </w:r>
    </w:p>
    <w:p w14:paraId="79883710">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42．公开招标失败的处理</w:t>
      </w:r>
    </w:p>
    <w:p w14:paraId="79B54D15">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42.1本项目公开招标过程中若由于投标截止后</w:t>
      </w:r>
      <w:r>
        <w:rPr>
          <w:rFonts w:hint="eastAsia" w:ascii="宋体" w:hAnsi="宋体"/>
          <w:color w:val="000000" w:themeColor="text1"/>
          <w14:textFill>
            <w14:solidFill>
              <w14:schemeClr w14:val="tx1"/>
            </w14:solidFill>
          </w14:textFill>
        </w:rPr>
        <w:t>实际递交</w:t>
      </w:r>
      <w:r>
        <w:rPr>
          <w:rFonts w:ascii="宋体" w:hAnsi="宋体"/>
          <w:color w:val="000000" w:themeColor="text1"/>
          <w14:textFill>
            <w14:solidFill>
              <w14:schemeClr w14:val="tx1"/>
            </w14:solidFill>
          </w14:textFill>
        </w:rPr>
        <w:t>投标</w:t>
      </w:r>
      <w:r>
        <w:rPr>
          <w:rFonts w:hint="eastAsia" w:ascii="宋体" w:hAnsi="宋体"/>
          <w:color w:val="000000" w:themeColor="text1"/>
          <w14:textFill>
            <w14:solidFill>
              <w14:schemeClr w14:val="tx1"/>
            </w14:solidFill>
          </w14:textFill>
        </w:rPr>
        <w:t>文件的供应商数量不足、经</w:t>
      </w:r>
      <w:r>
        <w:rPr>
          <w:rFonts w:hint="eastAsia" w:ascii="宋体" w:hAnsi="宋体"/>
          <w:color w:val="000000" w:themeColor="text1"/>
          <w:szCs w:val="21"/>
          <w14:textFill>
            <w14:solidFill>
              <w14:schemeClr w14:val="tx1"/>
            </w14:solidFill>
          </w14:textFill>
        </w:rPr>
        <w:t>评审委员会</w:t>
      </w:r>
      <w:r>
        <w:rPr>
          <w:rFonts w:hint="eastAsia" w:ascii="宋体" w:hAnsi="宋体"/>
          <w:color w:val="000000" w:themeColor="text1"/>
          <w14:textFill>
            <w14:solidFill>
              <w14:schemeClr w14:val="tx1"/>
            </w14:solidFill>
          </w14:textFill>
        </w:rPr>
        <w:t>评审对招标文件作实质响应的供应商不足等原因造成公开招标失败，经采购人同意，可由</w:t>
      </w:r>
      <w:r>
        <w:rPr>
          <w:rFonts w:hint="eastAsia" w:ascii="宋体" w:hAnsi="宋体" w:cs="宋体"/>
          <w:color w:val="000000" w:themeColor="text1"/>
          <w14:textFill>
            <w14:solidFill>
              <w14:schemeClr w14:val="tx1"/>
            </w14:solidFill>
          </w14:textFill>
        </w:rPr>
        <w:t>采购代理机构</w:t>
      </w:r>
      <w:r>
        <w:rPr>
          <w:rFonts w:hint="eastAsia" w:ascii="宋体" w:hAnsi="宋体"/>
          <w:color w:val="000000" w:themeColor="text1"/>
          <w14:textFill>
            <w14:solidFill>
              <w14:schemeClr w14:val="tx1"/>
            </w14:solidFill>
          </w14:textFill>
        </w:rPr>
        <w:t>重新组织采购。</w:t>
      </w:r>
    </w:p>
    <w:p w14:paraId="3B5B0A9A">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42.2对公开招标失败的项目，评审委员会在出具该项目招标失败结论的同时，提出重新采购组织形式的建议，以及进一步完善招标文件的资格、技术、商务要求的修改建议。</w:t>
      </w:r>
    </w:p>
    <w:p w14:paraId="2EB2860C">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42.3重新组织采购有以下两种组织形式：</w:t>
      </w:r>
    </w:p>
    <w:p w14:paraId="11CD3482">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（1）由采购代理机构重新组织公开招标；</w:t>
      </w:r>
    </w:p>
    <w:p w14:paraId="086410E8">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（2）根据实际情况需要向政府采购监督管理部门提出非公开招标方式申请，经政府采购监督管理部门批准，公开招标失败采购项目可转为竞争性谈判或单一来源谈判方式采购。</w:t>
      </w:r>
    </w:p>
    <w:p w14:paraId="01E9582C">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42.4公开招标失败的采购项目重新组织公开招标，由采购代理机构重新按公开招标流程组织采购活动。</w:t>
      </w:r>
    </w:p>
    <w:p w14:paraId="6FE832D3">
      <w:pPr>
        <w:spacing w:after="60"/>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42.5公开招标失败的采购项目经政府采购监督管理部门批准转为竞争性谈判或单一来源谈判方式采购的，按规定要求组织政府采购工作。</w:t>
      </w:r>
    </w:p>
    <w:p w14:paraId="39F2B441">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合同的授予与备案</w:t>
      </w:r>
    </w:p>
    <w:p w14:paraId="2EF9E5E0">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43．合同授予标准</w:t>
      </w:r>
    </w:p>
    <w:p w14:paraId="43F4880F">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本项目的合同将授予按本招标文件规定评审确定的中标人。</w:t>
      </w:r>
    </w:p>
    <w:p w14:paraId="17147E72">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44．接受和拒绝任何或所有投标的权力</w:t>
      </w:r>
    </w:p>
    <w:p w14:paraId="08438A79">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2223FA22">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45．合同协议书的签订</w:t>
      </w:r>
    </w:p>
    <w:p w14:paraId="593FAA57">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45.1中标人将于中标通知书发出之日起十个工作日内，按照采购文件（招标文件和投标文件等）内容与采购人签订政府采购合同；合同的实质性内容应当符合招标文件的规定；</w:t>
      </w:r>
    </w:p>
    <w:p w14:paraId="7A76AA16">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45.2中标人如不按本通用条款第45</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款的规定与采购人签订合同，</w:t>
      </w:r>
      <w:r>
        <w:rPr>
          <w:rFonts w:ascii="宋体" w:hAnsi="宋体" w:cs="宋体"/>
          <w:color w:val="000000" w:themeColor="text1"/>
          <w:kern w:val="0"/>
          <w:szCs w:val="21"/>
          <w14:textFill>
            <w14:solidFill>
              <w14:schemeClr w14:val="tx1"/>
            </w14:solidFill>
          </w14:textFill>
        </w:rPr>
        <w:t>情节严重的，并由主管部门记入供应商诚信档案，予以通报</w:t>
      </w:r>
      <w:r>
        <w:rPr>
          <w:rFonts w:hint="eastAsia" w:ascii="宋体" w:hAnsi="宋体"/>
          <w:color w:val="000000" w:themeColor="text1"/>
          <w:szCs w:val="21"/>
          <w14:textFill>
            <w14:solidFill>
              <w14:schemeClr w14:val="tx1"/>
            </w14:solidFill>
          </w14:textFill>
        </w:rPr>
        <w:t>；</w:t>
      </w:r>
    </w:p>
    <w:p w14:paraId="35681012">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45.3中标人应当按照合同约定履行义务，完成中标项目，不得将中标项目转让（转包）给他人。</w:t>
      </w:r>
    </w:p>
    <w:p w14:paraId="743D429A">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46．履约担保</w:t>
      </w:r>
    </w:p>
    <w:p w14:paraId="6D30F365">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46.1在签订项目合同的同时，中标人应按“对通用条款的补充内容”中规定的金额向采购人提交履约保证金（除现金方式外，允许供应商自主选择以支票、汇票、本票、保函等非现金方式缴纳或提交保证金）；</w:t>
      </w:r>
    </w:p>
    <w:p w14:paraId="09F667CD">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46.2如果中标人不能按“对通用条款的补充内容”中规定的金额向采购人提交履约保证金，采购人将有充分的理由通过政府采购监督管理部门废除中标，给采购人造成的损失应当予以赔偿；</w:t>
      </w:r>
    </w:p>
    <w:p w14:paraId="4CF8CB8F">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3项目服务期满之后,经验收合格后，采购人在七日内办理解除履约担保手续。</w:t>
      </w:r>
    </w:p>
    <w:p w14:paraId="7FA60D9A">
      <w:pPr>
        <w:spacing w:afterLines="0" w:line="360" w:lineRule="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ascii="宋体" w:hAnsi="宋体"/>
          <w:b/>
          <w:color w:val="000000" w:themeColor="text1"/>
          <w:sz w:val="24"/>
          <w14:textFill>
            <w14:solidFill>
              <w14:schemeClr w14:val="tx1"/>
            </w14:solidFill>
          </w14:textFill>
        </w:rPr>
        <w:t>7</w:t>
      </w:r>
      <w:r>
        <w:rPr>
          <w:rFonts w:hint="eastAsia" w:ascii="宋体" w:hAnsi="宋体"/>
          <w:b/>
          <w:color w:val="000000" w:themeColor="text1"/>
          <w:sz w:val="24"/>
          <w14:textFill>
            <w14:solidFill>
              <w14:schemeClr w14:val="tx1"/>
            </w14:solidFill>
          </w14:textFill>
        </w:rPr>
        <w:t>. 合同的变更</w:t>
      </w:r>
    </w:p>
    <w:p w14:paraId="2064D94A">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合同变更事宜按《深圳市财政局 深圳市政府采购中心关于进一步加强市本级政府采购合同备案管理工作的通知》（深财购〔2019〕43号）相关规定执行。</w:t>
      </w:r>
    </w:p>
    <w:p w14:paraId="57F0A799">
      <w:pPr>
        <w:spacing w:afterLines="0" w:line="360" w:lineRule="auto"/>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48</w:t>
      </w:r>
      <w:r>
        <w:rPr>
          <w:rFonts w:hint="eastAsia" w:ascii="宋体" w:hAnsi="宋体"/>
          <w:b/>
          <w:color w:val="000000" w:themeColor="text1"/>
          <w:sz w:val="24"/>
          <w14:textFill>
            <w14:solidFill>
              <w14:schemeClr w14:val="tx1"/>
            </w14:solidFill>
          </w14:textFill>
        </w:rPr>
        <w:t>. 供应商违法责任</w:t>
      </w:r>
    </w:p>
    <w:p w14:paraId="465A8FDE">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B4E1815">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（1）在采购活动中应当回避而未回避的；</w:t>
      </w:r>
    </w:p>
    <w:p w14:paraId="1DFEAEB4">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（2）未按本条例规定签订、履行采购合同，造成严重后果的；</w:t>
      </w:r>
    </w:p>
    <w:p w14:paraId="4E80F765">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（3）隐瞒真实情况，提供虚假资料的；</w:t>
      </w:r>
    </w:p>
    <w:p w14:paraId="449FCCE3">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（4）以非法手段排斥其他供应商参与竞争的；</w:t>
      </w:r>
    </w:p>
    <w:p w14:paraId="4183E938">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（5）与其他采购参加人串通投标的；</w:t>
      </w:r>
    </w:p>
    <w:p w14:paraId="7C96F17E">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（6）恶意投诉的；</w:t>
      </w:r>
    </w:p>
    <w:p w14:paraId="45BB5B0B">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（7）向采购项目相关人行贿或者提供其他不当利益的；</w:t>
      </w:r>
    </w:p>
    <w:p w14:paraId="3FA0A0F8">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（8）阻碍、抗拒主管部门监督检查的；</w:t>
      </w:r>
    </w:p>
    <w:p w14:paraId="104C1A1F">
      <w:pPr>
        <w:spacing w:after="60"/>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（9）其他违反本条例规定的行为。</w:t>
      </w:r>
    </w:p>
    <w:p w14:paraId="5292CA70">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质疑处理</w:t>
      </w:r>
    </w:p>
    <w:p w14:paraId="646D06D9">
      <w:pPr>
        <w:spacing w:afterLines="0" w:line="360" w:lineRule="auto"/>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49</w:t>
      </w:r>
      <w:r>
        <w:rPr>
          <w:rFonts w:hint="eastAsia" w:ascii="宋体" w:hAnsi="宋体"/>
          <w:b/>
          <w:color w:val="000000" w:themeColor="text1"/>
          <w:sz w:val="24"/>
          <w14:textFill>
            <w14:solidFill>
              <w14:schemeClr w14:val="tx1"/>
            </w14:solidFill>
          </w14:textFill>
        </w:rPr>
        <w:t>.质疑提出与答复</w:t>
      </w:r>
    </w:p>
    <w:p w14:paraId="45AC9CB5">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.1提出质疑</w:t>
      </w:r>
    </w:p>
    <w:p w14:paraId="0A04987C">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参与政府采购活动的供应商认为自己的权益在采购活动中受到损害的，应当自知道或者应当知道其权益受到损害之日起七个工作日内向采购人、采购代理机构以书面形式提出质疑。</w:t>
      </w:r>
    </w:p>
    <w:p w14:paraId="6D5A8085">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法律依据</w:t>
      </w:r>
    </w:p>
    <w:p w14:paraId="4401665A">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《中华人民共和国政府采购法》、《中华人民共和国政府采购法实施条例》、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深圳经济特区政府采购</w:t>
      </w:r>
      <w:r>
        <w:rPr>
          <w:rFonts w:ascii="宋体" w:hAnsi="宋体"/>
          <w:color w:val="000000" w:themeColor="text1"/>
          <w:szCs w:val="21"/>
          <w14:textFill>
            <w14:solidFill>
              <w14:schemeClr w14:val="tx1"/>
            </w14:solidFill>
          </w14:textFill>
        </w:rPr>
        <w:t>条例</w:t>
      </w:r>
      <w:r>
        <w:rPr>
          <w:rFonts w:hint="eastAsia" w:ascii="宋体" w:hAnsi="宋体"/>
          <w:color w:val="000000" w:themeColor="text1"/>
          <w:szCs w:val="21"/>
          <w14:textFill>
            <w14:solidFill>
              <w14:schemeClr w14:val="tx1"/>
            </w14:solidFill>
          </w14:textFill>
        </w:rPr>
        <w:t>》、《深圳经济特区政府采购条例实施细则》、《政府采购质疑和投诉办法》（财政部令第94号）和其他有关法律法规规定。</w:t>
      </w:r>
    </w:p>
    <w:p w14:paraId="04C0643D">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.3质疑条件</w:t>
      </w:r>
    </w:p>
    <w:p w14:paraId="63D22DF5">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.3.1提出质疑的供应商应当是参与所质疑项目采购活动的供应商；</w:t>
      </w:r>
    </w:p>
    <w:p w14:paraId="1139F9E1">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7833F976">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3.3应提交书面质疑函，质疑函应当包括以下内容：（1）具体、明确的质疑事项和与质疑事项相关的请求；（2）合理的事实和依据；（3）必要的证明材料和法律依据。注：质疑函范本可在采购代理机构网站下载。</w:t>
      </w:r>
    </w:p>
    <w:p w14:paraId="7CF62411">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.4提交</w:t>
      </w:r>
      <w:r>
        <w:rPr>
          <w:rFonts w:ascii="宋体" w:hAnsi="宋体"/>
          <w:color w:val="000000" w:themeColor="text1"/>
          <w:szCs w:val="21"/>
          <w14:textFill>
            <w14:solidFill>
              <w14:schemeClr w14:val="tx1"/>
            </w14:solidFill>
          </w14:textFill>
        </w:rPr>
        <w:t>材料</w:t>
      </w:r>
    </w:p>
    <w:p w14:paraId="09D2984A">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质疑函、营业执照复印件、法定代表人证明。如委托代理人提交的，还需提交授权委托书及代理人身份证明。</w:t>
      </w:r>
    </w:p>
    <w:p w14:paraId="6F2908F3">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.5收文地点</w:t>
      </w:r>
    </w:p>
    <w:p w14:paraId="144949B7">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地址：代理机构公司地址。</w:t>
      </w:r>
    </w:p>
    <w:p w14:paraId="5A9DB9A3">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.6收文办理</w:t>
      </w:r>
      <w:r>
        <w:rPr>
          <w:rFonts w:ascii="宋体" w:hAnsi="宋体"/>
          <w:color w:val="000000" w:themeColor="text1"/>
          <w:szCs w:val="21"/>
          <w14:textFill>
            <w14:solidFill>
              <w14:schemeClr w14:val="tx1"/>
            </w14:solidFill>
          </w14:textFill>
        </w:rPr>
        <w:t>程序</w:t>
      </w:r>
    </w:p>
    <w:p w14:paraId="6FE778FB">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.6.1供应商提交的质疑材料符合质疑条件的办理收文，出具收文回执；</w:t>
      </w:r>
    </w:p>
    <w:p w14:paraId="1E191C10">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.6.2供应商提交的质疑材料不符合质疑条件的，视情况处理：（1）质疑主体、时限不符合的，不予收文；（2）质疑函内容、提交人身份证明不符合的，开具补正告知书，供应商可在质疑期内补正后重新提交。</w:t>
      </w:r>
    </w:p>
    <w:p w14:paraId="4456546C">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.7质疑答复时限</w:t>
      </w:r>
    </w:p>
    <w:p w14:paraId="3EF19F6E">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自收文之日起七个工作日内。</w:t>
      </w:r>
    </w:p>
    <w:p w14:paraId="567E23E3">
      <w:pPr>
        <w:spacing w:after="6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.8投诉</w:t>
      </w:r>
    </w:p>
    <w:p w14:paraId="4033AF01">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对质疑答复不满意或者未在规定时间内答复的，提出质疑的供应商可以在答复期满后15个工作日内向深圳市财政局投诉。</w:t>
      </w:r>
    </w:p>
    <w:p w14:paraId="19CD96A7">
      <w:pPr>
        <w:spacing w:after="6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 质疑后续处理</w:t>
      </w:r>
    </w:p>
    <w:p w14:paraId="7F193D9C">
      <w:pPr>
        <w:spacing w:after="6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.1供应商质疑不成立，或者成立但未对中标、成交结果构成影响的，继续开展采购活动。</w:t>
      </w:r>
    </w:p>
    <w:p w14:paraId="065D8BAD">
      <w:pPr>
        <w:spacing w:after="60"/>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4DC42504">
      <w:pPr>
        <w:spacing w:after="60"/>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50.3 相关政策文件如下：</w:t>
      </w:r>
    </w:p>
    <w:p w14:paraId="78CCFAFE">
      <w:pPr>
        <w:spacing w:after="60"/>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50.3.1《关于印发〈政府采购促进中小企业发展管理办法〉的通知》（财库〔2020〕46 号）；</w:t>
      </w:r>
    </w:p>
    <w:p w14:paraId="6AC5DBBB">
      <w:pPr>
        <w:spacing w:after="60"/>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50.3.2工业信息化部、国家统计局、国家发展和改革委员会、财政部《关于印发〈中小企业划型标准规定〉的通知》（工信部联企〔2011〕300 号）；</w:t>
      </w:r>
    </w:p>
    <w:p w14:paraId="438B7FB5">
      <w:pPr>
        <w:spacing w:after="60"/>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50.3.3国家统计局《关于印发〈统计上大中小微型企业划分办法（2017）〉的通知》；</w:t>
      </w:r>
    </w:p>
    <w:p w14:paraId="59AF1673">
      <w:pPr>
        <w:spacing w:after="60"/>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50.3.4财政部、民政部、中国残联《关于促进残疾人就业政府采购政策的通知》（财库〔2017〕141 号）。</w:t>
      </w:r>
    </w:p>
    <w:p w14:paraId="2CFD0F7F">
      <w:pPr>
        <w:spacing w:after="60"/>
        <w:rPr>
          <w:rFonts w:hint="eastAsia" w:ascii="宋体" w:hAnsi="宋体"/>
          <w:color w:val="000000" w:themeColor="text1"/>
          <w14:textFill>
            <w14:solidFill>
              <w14:schemeClr w14:val="tx1"/>
            </w14:solidFill>
          </w14:textFill>
        </w:rPr>
      </w:pPr>
    </w:p>
    <w:p w14:paraId="03484D30">
      <w:pPr>
        <w:spacing w:after="6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附件1：</w:t>
      </w:r>
    </w:p>
    <w:p w14:paraId="07C5D9F2">
      <w:pPr>
        <w:spacing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政府采购促进中小企业发展管理办法</w:t>
      </w:r>
    </w:p>
    <w:p w14:paraId="4C46D289">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第一条</w:t>
      </w:r>
      <w:r>
        <w:rPr>
          <w:rFonts w:hint="eastAsia" w:ascii="宋体" w:hAnsi="宋体" w:cs="宋体"/>
          <w:color w:val="000000" w:themeColor="text1"/>
          <w:spacing w:val="8"/>
          <w:kern w:val="0"/>
          <w:szCs w:val="21"/>
          <w14:textFill>
            <w14:solidFill>
              <w14:schemeClr w14:val="tx1"/>
            </w14:solidFill>
          </w14:textFill>
        </w:rPr>
        <w:t> 为了发挥政府采购的政策功能，促进中小企业健康发展，根据《中华人民共和国政府采购法》、《中华人民共和国中小企业促进法》等有关法律法规，制定本办法。</w:t>
      </w:r>
    </w:p>
    <w:p w14:paraId="5407B663">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第二条</w:t>
      </w:r>
      <w:r>
        <w:rPr>
          <w:rFonts w:hint="eastAsia" w:ascii="宋体" w:hAnsi="宋体" w:cs="宋体"/>
          <w:color w:val="000000" w:themeColor="text1"/>
          <w:spacing w:val="8"/>
          <w:kern w:val="0"/>
          <w:szCs w:val="21"/>
          <w14:textFill>
            <w14:solidFill>
              <w14:schemeClr w14:val="tx1"/>
            </w14:solidFill>
          </w14:textFill>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6ECE2B5">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符合中小企业划分标准的个体工商户，在政府采购活动中视同中小企业。</w:t>
      </w:r>
    </w:p>
    <w:p w14:paraId="08C2256E">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第三条</w:t>
      </w:r>
      <w:r>
        <w:rPr>
          <w:rFonts w:hint="eastAsia" w:ascii="宋体" w:hAnsi="宋体" w:cs="宋体"/>
          <w:color w:val="000000" w:themeColor="text1"/>
          <w:spacing w:val="8"/>
          <w:kern w:val="0"/>
          <w:szCs w:val="21"/>
          <w14:textFill>
            <w14:solidFill>
              <w14:schemeClr w14:val="tx1"/>
            </w14:solidFill>
          </w14:textFill>
        </w:rPr>
        <w:t> 采购人在政府采购活动中应当通过加强采购需求管理，落实预留采购份额、价格评审优惠、优先采购等措施，提高中小企业在政府采购中的份额，支持中小企业发展。</w:t>
      </w:r>
    </w:p>
    <w:p w14:paraId="1B22A11D">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第四条</w:t>
      </w:r>
      <w:r>
        <w:rPr>
          <w:rFonts w:hint="eastAsia" w:ascii="宋体" w:hAnsi="宋体" w:cs="宋体"/>
          <w:color w:val="000000" w:themeColor="text1"/>
          <w:spacing w:val="8"/>
          <w:kern w:val="0"/>
          <w:szCs w:val="21"/>
          <w14:textFill>
            <w14:solidFill>
              <w14:schemeClr w14:val="tx1"/>
            </w14:solidFill>
          </w14:textFill>
        </w:rPr>
        <w:t> 在政府采购活动中，供应商提供的货物、工程或者服务符合下列情形的，享受本办法规定的中小企业扶持政策：</w:t>
      </w:r>
    </w:p>
    <w:p w14:paraId="1A8B9933">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（一）在货物采购项目中，货物由中小企业制造，即货物由中小企业生产且使用该中小企业商号或者注册商标；</w:t>
      </w:r>
    </w:p>
    <w:p w14:paraId="7880EDD3">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（二）在工程采购项目中，工程由中小企业承建，即工程施工单位为中小企业；</w:t>
      </w:r>
    </w:p>
    <w:p w14:paraId="0530AF9E">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（三）在服务采购项目中，服务由中小企业承接，即提供服务的人员为中小企业依照《中华人民共和国劳动合同法》订立劳动合同的从业人员。</w:t>
      </w:r>
    </w:p>
    <w:p w14:paraId="37CDEC88">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在货物采购项目中，供应商提供的货物既有中小企业制造货物，也有大型企业制造货物的，不享受本办法规定的中小企业扶持政策。</w:t>
      </w:r>
    </w:p>
    <w:p w14:paraId="71F7F6B8">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以联合体形式参加政府采购活动，联合体各方均为中小企业的，联合体视同中小企业。其中，联合体各方均为小微企业的，联合体视同小微企业。</w:t>
      </w:r>
    </w:p>
    <w:p w14:paraId="50C0DE77">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第五条</w:t>
      </w:r>
      <w:r>
        <w:rPr>
          <w:rFonts w:hint="eastAsia" w:ascii="宋体" w:hAnsi="宋体" w:cs="宋体"/>
          <w:color w:val="000000" w:themeColor="text1"/>
          <w:spacing w:val="8"/>
          <w:kern w:val="0"/>
          <w:szCs w:val="21"/>
          <w14:textFill>
            <w14:solidFill>
              <w14:schemeClr w14:val="tx1"/>
            </w14:solidFill>
          </w14:textFill>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2234B2F">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第六条</w:t>
      </w:r>
      <w:r>
        <w:rPr>
          <w:rFonts w:hint="eastAsia" w:ascii="宋体" w:hAnsi="宋体" w:cs="宋体"/>
          <w:color w:val="000000" w:themeColor="text1"/>
          <w:spacing w:val="8"/>
          <w:kern w:val="0"/>
          <w:szCs w:val="21"/>
          <w14:textFill>
            <w14:solidFill>
              <w14:schemeClr w14:val="tx1"/>
            </w14:solidFill>
          </w14:textFill>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F07F648">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符合下列情形之一的，可不专门面向中小企业预留采购份额：</w:t>
      </w:r>
    </w:p>
    <w:p w14:paraId="1F800871">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（一）法律法规和国家有关政策明确规定优先或者应当面向事业单位、社会组织等非企业主体采购的；</w:t>
      </w:r>
    </w:p>
    <w:p w14:paraId="0DD09A44">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（二）因确需使用不可替代的专利、专有技术，基础设施限制，或者提供特定公共服务等原因，只能从中小企业之外的供应商处采购的；</w:t>
      </w:r>
    </w:p>
    <w:p w14:paraId="16BAD38F">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（三）按照本办法规定预留采购份额无法确保充分供应、充分竞争，或者存在可能影响政府采购目标实现的情形；</w:t>
      </w:r>
    </w:p>
    <w:p w14:paraId="1852D8E9">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（四）框架协议采购项目；</w:t>
      </w:r>
    </w:p>
    <w:p w14:paraId="3D5832D1">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（五）省级以上人民政府财政部门规定的其他情形。</w:t>
      </w:r>
    </w:p>
    <w:p w14:paraId="7BA26366">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除上述情形外，其他均为适宜由中小企业提供的情形。</w:t>
      </w:r>
    </w:p>
    <w:p w14:paraId="1FCC3A57">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第七条</w:t>
      </w:r>
      <w:r>
        <w:rPr>
          <w:rFonts w:hint="eastAsia" w:ascii="宋体" w:hAnsi="宋体" w:cs="宋体"/>
          <w:color w:val="000000" w:themeColor="text1"/>
          <w:spacing w:val="8"/>
          <w:kern w:val="0"/>
          <w:szCs w:val="21"/>
          <w14:textFill>
            <w14:solidFill>
              <w14:schemeClr w14:val="tx1"/>
            </w14:solidFill>
          </w14:textFill>
        </w:rPr>
        <w:t> 采购限额标准以上，200万元以下的货物和服务采购项目、</w:t>
      </w:r>
      <w:r>
        <w:rPr>
          <w:rFonts w:ascii="宋体" w:hAnsi="宋体" w:cs="宋体"/>
          <w:color w:val="000000" w:themeColor="text1"/>
          <w:spacing w:val="8"/>
          <w:kern w:val="0"/>
          <w:szCs w:val="21"/>
          <w14:textFill>
            <w14:solidFill>
              <w14:schemeClr w14:val="tx1"/>
            </w14:solidFill>
          </w14:textFill>
        </w:rPr>
        <w:t>400</w:t>
      </w:r>
      <w:r>
        <w:rPr>
          <w:rFonts w:hint="eastAsia" w:ascii="宋体" w:hAnsi="宋体" w:cs="宋体"/>
          <w:color w:val="000000" w:themeColor="text1"/>
          <w:spacing w:val="8"/>
          <w:kern w:val="0"/>
          <w:szCs w:val="21"/>
          <w14:textFill>
            <w14:solidFill>
              <w14:schemeClr w14:val="tx1"/>
            </w14:solidFill>
          </w14:textFill>
        </w:rPr>
        <w:t>万元以下的工程采购项目，适宜由中小企业提供的，采购人应当专门面向中小企业采购。</w:t>
      </w:r>
    </w:p>
    <w:p w14:paraId="78E6DFDD">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第八条</w:t>
      </w:r>
      <w:r>
        <w:rPr>
          <w:rFonts w:hint="eastAsia" w:ascii="宋体" w:hAnsi="宋体" w:cs="宋体"/>
          <w:color w:val="000000" w:themeColor="text1"/>
          <w:spacing w:val="8"/>
          <w:kern w:val="0"/>
          <w:szCs w:val="21"/>
          <w14:textFill>
            <w14:solidFill>
              <w14:schemeClr w14:val="tx1"/>
            </w14:solidFill>
          </w14:textFill>
        </w:rPr>
        <w:t> 超过200万元的货物和服务采购项目、超过</w:t>
      </w:r>
      <w:r>
        <w:rPr>
          <w:rFonts w:ascii="宋体" w:hAnsi="宋体" w:cs="宋体"/>
          <w:color w:val="000000" w:themeColor="text1"/>
          <w:spacing w:val="8"/>
          <w:kern w:val="0"/>
          <w:szCs w:val="21"/>
          <w14:textFill>
            <w14:solidFill>
              <w14:schemeClr w14:val="tx1"/>
            </w14:solidFill>
          </w14:textFill>
        </w:rPr>
        <w:t>400</w:t>
      </w:r>
      <w:r>
        <w:rPr>
          <w:rFonts w:hint="eastAsia" w:ascii="宋体" w:hAnsi="宋体" w:cs="宋体"/>
          <w:color w:val="000000" w:themeColor="text1"/>
          <w:spacing w:val="8"/>
          <w:kern w:val="0"/>
          <w:szCs w:val="21"/>
          <w14:textFill>
            <w14:solidFill>
              <w14:schemeClr w14:val="tx1"/>
            </w14:solidFill>
          </w14:textFill>
        </w:rPr>
        <w:t>万元的工程采购项目中适宜由中小企业提供的，预留该部分采购项目预算总额的</w:t>
      </w:r>
      <w:r>
        <w:rPr>
          <w:rFonts w:ascii="宋体" w:hAnsi="宋体" w:cs="宋体"/>
          <w:color w:val="000000" w:themeColor="text1"/>
          <w:spacing w:val="8"/>
          <w:kern w:val="0"/>
          <w:szCs w:val="21"/>
          <w14:textFill>
            <w14:solidFill>
              <w14:schemeClr w14:val="tx1"/>
            </w14:solidFill>
          </w14:textFill>
        </w:rPr>
        <w:t>30%</w:t>
      </w:r>
      <w:r>
        <w:rPr>
          <w:rFonts w:hint="eastAsia" w:ascii="宋体" w:hAnsi="宋体" w:cs="宋体"/>
          <w:color w:val="000000" w:themeColor="text1"/>
          <w:spacing w:val="8"/>
          <w:kern w:val="0"/>
          <w:szCs w:val="21"/>
          <w14:textFill>
            <w14:solidFill>
              <w14:schemeClr w14:val="tx1"/>
            </w14:solidFill>
          </w14:textFill>
        </w:rPr>
        <w:t>以上专门面向中小企业采购，其中预留给小微企业的比例不低于</w:t>
      </w:r>
      <w:r>
        <w:rPr>
          <w:rFonts w:ascii="宋体" w:hAnsi="宋体" w:cs="宋体"/>
          <w:color w:val="000000" w:themeColor="text1"/>
          <w:spacing w:val="8"/>
          <w:kern w:val="0"/>
          <w:szCs w:val="21"/>
          <w14:textFill>
            <w14:solidFill>
              <w14:schemeClr w14:val="tx1"/>
            </w14:solidFill>
          </w14:textFill>
        </w:rPr>
        <w:t>60%</w:t>
      </w:r>
      <w:r>
        <w:rPr>
          <w:rFonts w:hint="eastAsia" w:ascii="宋体" w:hAnsi="宋体" w:cs="宋体"/>
          <w:color w:val="000000" w:themeColor="text1"/>
          <w:spacing w:val="8"/>
          <w:kern w:val="0"/>
          <w:szCs w:val="21"/>
          <w14:textFill>
            <w14:solidFill>
              <w14:schemeClr w14:val="tx1"/>
            </w14:solidFill>
          </w14:textFill>
        </w:rPr>
        <w:t>。预留份额通过下列措施进行：</w:t>
      </w:r>
    </w:p>
    <w:p w14:paraId="4C270D55">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（一）将采购项目整体或者设置采购包专门面向中小企业采购；</w:t>
      </w:r>
    </w:p>
    <w:p w14:paraId="11374D06">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（二）要求供应商以联合体形式参加采购活动，且联合体中中小企业承担的部分达到一定比例；</w:t>
      </w:r>
    </w:p>
    <w:p w14:paraId="11929C2D">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（三）要求获得采购合同的供应商将采购项目中的一定比例分包给一家或者多家中小企业。</w:t>
      </w:r>
    </w:p>
    <w:p w14:paraId="407E1847">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组成联合体或者接受分包合同的中小企业与联合体内其他企业、分包企业之间不得存在直接控股、管理关系。</w:t>
      </w:r>
    </w:p>
    <w:p w14:paraId="407642E5">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第九条</w:t>
      </w:r>
      <w:r>
        <w:rPr>
          <w:rFonts w:hint="eastAsia" w:ascii="宋体" w:hAnsi="宋体" w:cs="宋体"/>
          <w:color w:val="000000" w:themeColor="text1"/>
          <w:spacing w:val="8"/>
          <w:kern w:val="0"/>
          <w:szCs w:val="21"/>
          <w14:textFill>
            <w14:solidFill>
              <w14:schemeClr w14:val="tx1"/>
            </w14:solidFill>
          </w14:textFill>
        </w:rPr>
        <w:t> 对于经主管预算单位统筹后未预留份额专门面向中小企业采购的采购项目，以及预留份额项目中的非预留部分采购包，采购人、采购代理机构应当对符合本办法规定的小微企业报价给予6%—</w:t>
      </w:r>
      <w:r>
        <w:rPr>
          <w:rFonts w:ascii="宋体" w:hAnsi="宋体" w:cs="宋体"/>
          <w:color w:val="000000" w:themeColor="text1"/>
          <w:spacing w:val="8"/>
          <w:kern w:val="0"/>
          <w:szCs w:val="21"/>
          <w14:textFill>
            <w14:solidFill>
              <w14:schemeClr w14:val="tx1"/>
            </w14:solidFill>
          </w14:textFill>
        </w:rPr>
        <w:t>10%</w:t>
      </w:r>
      <w:r>
        <w:rPr>
          <w:rFonts w:hint="eastAsia" w:ascii="宋体" w:hAnsi="宋体" w:cs="宋体"/>
          <w:color w:val="000000" w:themeColor="text1"/>
          <w:spacing w:val="8"/>
          <w:kern w:val="0"/>
          <w:szCs w:val="21"/>
          <w14:textFill>
            <w14:solidFill>
              <w14:schemeClr w14:val="tx1"/>
            </w14:solidFill>
          </w14:textFill>
        </w:rPr>
        <w:t>（工程项目为</w:t>
      </w:r>
      <w:r>
        <w:rPr>
          <w:rFonts w:ascii="宋体" w:hAnsi="宋体" w:cs="宋体"/>
          <w:color w:val="000000" w:themeColor="text1"/>
          <w:spacing w:val="8"/>
          <w:kern w:val="0"/>
          <w:szCs w:val="21"/>
          <w14:textFill>
            <w14:solidFill>
              <w14:schemeClr w14:val="tx1"/>
            </w14:solidFill>
          </w14:textFill>
        </w:rPr>
        <w:t>3%</w:t>
      </w:r>
      <w:r>
        <w:rPr>
          <w:rFonts w:hint="eastAsia" w:ascii="宋体" w:hAnsi="宋体" w:cs="宋体"/>
          <w:color w:val="000000" w:themeColor="text1"/>
          <w:spacing w:val="8"/>
          <w:kern w:val="0"/>
          <w:szCs w:val="21"/>
          <w14:textFill>
            <w14:solidFill>
              <w14:schemeClr w14:val="tx1"/>
            </w14:solidFill>
          </w14:textFill>
        </w:rPr>
        <w:t>—</w:t>
      </w:r>
      <w:r>
        <w:rPr>
          <w:rFonts w:ascii="宋体" w:hAnsi="宋体" w:cs="宋体"/>
          <w:color w:val="000000" w:themeColor="text1"/>
          <w:spacing w:val="8"/>
          <w:kern w:val="0"/>
          <w:szCs w:val="21"/>
          <w14:textFill>
            <w14:solidFill>
              <w14:schemeClr w14:val="tx1"/>
            </w14:solidFill>
          </w14:textFill>
        </w:rPr>
        <w:t>5%</w:t>
      </w:r>
      <w:r>
        <w:rPr>
          <w:rFonts w:hint="eastAsia" w:ascii="宋体" w:hAnsi="宋体" w:cs="宋体"/>
          <w:color w:val="000000" w:themeColor="text1"/>
          <w:spacing w:val="8"/>
          <w:kern w:val="0"/>
          <w:szCs w:val="21"/>
          <w14:textFill>
            <w14:solidFill>
              <w14:schemeClr w14:val="tx1"/>
            </w14:solidFill>
          </w14:textFill>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color w:val="000000" w:themeColor="text1"/>
          <w:spacing w:val="8"/>
          <w:kern w:val="0"/>
          <w:szCs w:val="21"/>
          <w14:textFill>
            <w14:solidFill>
              <w14:schemeClr w14:val="tx1"/>
            </w14:solidFill>
          </w14:textFill>
        </w:rPr>
        <w:t>3%</w:t>
      </w:r>
      <w:r>
        <w:rPr>
          <w:rFonts w:hint="eastAsia" w:ascii="宋体" w:hAnsi="宋体" w:cs="宋体"/>
          <w:color w:val="000000" w:themeColor="text1"/>
          <w:spacing w:val="8"/>
          <w:kern w:val="0"/>
          <w:szCs w:val="21"/>
          <w14:textFill>
            <w14:solidFill>
              <w14:schemeClr w14:val="tx1"/>
            </w14:solidFill>
          </w14:textFill>
        </w:rPr>
        <w:t>—</w:t>
      </w:r>
      <w:r>
        <w:rPr>
          <w:rFonts w:ascii="宋体" w:hAnsi="宋体" w:cs="宋体"/>
          <w:color w:val="000000" w:themeColor="text1"/>
          <w:spacing w:val="8"/>
          <w:kern w:val="0"/>
          <w:szCs w:val="21"/>
          <w14:textFill>
            <w14:solidFill>
              <w14:schemeClr w14:val="tx1"/>
            </w14:solidFill>
          </w14:textFill>
        </w:rPr>
        <w:t>5%</w:t>
      </w:r>
      <w:r>
        <w:rPr>
          <w:rFonts w:hint="eastAsia" w:ascii="宋体" w:hAnsi="宋体" w:cs="宋体"/>
          <w:color w:val="000000" w:themeColor="text1"/>
          <w:spacing w:val="8"/>
          <w:kern w:val="0"/>
          <w:szCs w:val="21"/>
          <w14:textFill>
            <w14:solidFill>
              <w14:schemeClr w14:val="tx1"/>
            </w14:solidFill>
          </w14:textFill>
        </w:rPr>
        <w:t>作为其价格分。</w:t>
      </w:r>
    </w:p>
    <w:p w14:paraId="13F122A3">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s="宋体"/>
          <w:color w:val="000000" w:themeColor="text1"/>
          <w:spacing w:val="8"/>
          <w:kern w:val="0"/>
          <w:szCs w:val="21"/>
          <w14:textFill>
            <w14:solidFill>
              <w14:schemeClr w14:val="tx1"/>
            </w14:solidFill>
          </w14:textFill>
        </w:rPr>
        <w:t>2%-3%</w:t>
      </w:r>
      <w:r>
        <w:rPr>
          <w:rFonts w:hint="eastAsia" w:ascii="宋体" w:hAnsi="宋体" w:cs="宋体"/>
          <w:color w:val="000000" w:themeColor="text1"/>
          <w:spacing w:val="8"/>
          <w:kern w:val="0"/>
          <w:szCs w:val="21"/>
          <w14:textFill>
            <w14:solidFill>
              <w14:schemeClr w14:val="tx1"/>
            </w14:solidFill>
          </w14:textFill>
        </w:rPr>
        <w:t>（工程项目为</w:t>
      </w:r>
      <w:r>
        <w:rPr>
          <w:rFonts w:ascii="宋体" w:hAnsi="宋体" w:cs="宋体"/>
          <w:color w:val="000000" w:themeColor="text1"/>
          <w:spacing w:val="8"/>
          <w:kern w:val="0"/>
          <w:szCs w:val="21"/>
          <w14:textFill>
            <w14:solidFill>
              <w14:schemeClr w14:val="tx1"/>
            </w14:solidFill>
          </w14:textFill>
        </w:rPr>
        <w:t>1%</w:t>
      </w:r>
      <w:r>
        <w:rPr>
          <w:rFonts w:hint="eastAsia" w:ascii="宋体" w:hAnsi="宋体" w:cs="宋体"/>
          <w:color w:val="000000" w:themeColor="text1"/>
          <w:spacing w:val="8"/>
          <w:kern w:val="0"/>
          <w:szCs w:val="21"/>
          <w14:textFill>
            <w14:solidFill>
              <w14:schemeClr w14:val="tx1"/>
            </w14:solidFill>
          </w14:textFill>
        </w:rPr>
        <w:t>—</w:t>
      </w:r>
      <w:r>
        <w:rPr>
          <w:rFonts w:ascii="宋体" w:hAnsi="宋体" w:cs="宋体"/>
          <w:color w:val="000000" w:themeColor="text1"/>
          <w:spacing w:val="8"/>
          <w:kern w:val="0"/>
          <w:szCs w:val="21"/>
          <w14:textFill>
            <w14:solidFill>
              <w14:schemeClr w14:val="tx1"/>
            </w14:solidFill>
          </w14:textFill>
        </w:rPr>
        <w:t>2%</w:t>
      </w:r>
      <w:r>
        <w:rPr>
          <w:rFonts w:hint="eastAsia" w:ascii="宋体" w:hAnsi="宋体" w:cs="宋体"/>
          <w:color w:val="000000" w:themeColor="text1"/>
          <w:spacing w:val="8"/>
          <w:kern w:val="0"/>
          <w:szCs w:val="21"/>
          <w14:textFill>
            <w14:solidFill>
              <w14:schemeClr w14:val="tx1"/>
            </w14:solidFill>
          </w14:textFill>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color w:val="000000" w:themeColor="text1"/>
          <w:spacing w:val="8"/>
          <w:kern w:val="0"/>
          <w:szCs w:val="21"/>
          <w14:textFill>
            <w14:solidFill>
              <w14:schemeClr w14:val="tx1"/>
            </w14:solidFill>
          </w14:textFill>
        </w:rPr>
        <w:t>1%</w:t>
      </w:r>
      <w:r>
        <w:rPr>
          <w:rFonts w:hint="eastAsia" w:ascii="宋体" w:hAnsi="宋体" w:cs="宋体"/>
          <w:color w:val="000000" w:themeColor="text1"/>
          <w:spacing w:val="8"/>
          <w:kern w:val="0"/>
          <w:szCs w:val="21"/>
          <w14:textFill>
            <w14:solidFill>
              <w14:schemeClr w14:val="tx1"/>
            </w14:solidFill>
          </w14:textFill>
        </w:rPr>
        <w:t>—</w:t>
      </w:r>
      <w:r>
        <w:rPr>
          <w:rFonts w:ascii="宋体" w:hAnsi="宋体" w:cs="宋体"/>
          <w:color w:val="000000" w:themeColor="text1"/>
          <w:spacing w:val="8"/>
          <w:kern w:val="0"/>
          <w:szCs w:val="21"/>
          <w14:textFill>
            <w14:solidFill>
              <w14:schemeClr w14:val="tx1"/>
            </w14:solidFill>
          </w14:textFill>
        </w:rPr>
        <w:t>2%</w:t>
      </w:r>
      <w:r>
        <w:rPr>
          <w:rFonts w:hint="eastAsia" w:ascii="宋体" w:hAnsi="宋体" w:cs="宋体"/>
          <w:color w:val="000000" w:themeColor="text1"/>
          <w:spacing w:val="8"/>
          <w:kern w:val="0"/>
          <w:szCs w:val="21"/>
          <w14:textFill>
            <w14:solidFill>
              <w14:schemeClr w14:val="tx1"/>
            </w14:solidFill>
          </w14:textFill>
        </w:rPr>
        <w:t>作为其价格分。组成联合体或者接受分包的小微企业与联合体内其他企业、分包企业之间存在直接控股、管理关系的，不享受价格扣除优惠政策。</w:t>
      </w:r>
    </w:p>
    <w:p w14:paraId="24CA79B8">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06AC4BA8">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第十条</w:t>
      </w:r>
      <w:r>
        <w:rPr>
          <w:rFonts w:hint="eastAsia" w:ascii="宋体" w:hAnsi="宋体" w:cs="宋体"/>
          <w:color w:val="000000" w:themeColor="text1"/>
          <w:spacing w:val="8"/>
          <w:kern w:val="0"/>
          <w:szCs w:val="21"/>
          <w14:textFill>
            <w14:solidFill>
              <w14:schemeClr w14:val="tx1"/>
            </w14:solidFill>
          </w14:textFill>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ADF2E45">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第十一条</w:t>
      </w:r>
      <w:r>
        <w:rPr>
          <w:rFonts w:hint="eastAsia" w:ascii="宋体" w:hAnsi="宋体" w:cs="宋体"/>
          <w:color w:val="000000" w:themeColor="text1"/>
          <w:spacing w:val="8"/>
          <w:kern w:val="0"/>
          <w:szCs w:val="21"/>
          <w14:textFill>
            <w14:solidFill>
              <w14:schemeClr w14:val="tx1"/>
            </w14:solidFill>
          </w14:textFill>
        </w:rPr>
        <w:t> 中小企业参加政府采购活动，应当出具本办法规定的《中小企业声明函》，否则不得享受相关中小企业扶持政策。任何单位和个人不得要求供应商提供《中小企业声明函》之外的中小企业身份证明文件。</w:t>
      </w:r>
    </w:p>
    <w:p w14:paraId="7EFED66B">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第十二条</w:t>
      </w:r>
      <w:r>
        <w:rPr>
          <w:rFonts w:hint="eastAsia" w:ascii="宋体" w:hAnsi="宋体" w:cs="宋体"/>
          <w:color w:val="000000" w:themeColor="text1"/>
          <w:spacing w:val="8"/>
          <w:kern w:val="0"/>
          <w:szCs w:val="21"/>
          <w14:textFill>
            <w14:solidFill>
              <w14:schemeClr w14:val="tx1"/>
            </w14:solidFill>
          </w14:textFill>
        </w:rPr>
        <w:t> 采购项目涉及中小企业采购的，采购文件应当明确以下内容：</w:t>
      </w:r>
    </w:p>
    <w:p w14:paraId="1174C068">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（一）预留份额的采购项目或者采购包，明确该项目或相关采购包专门面向中小企业采购，以及相关标的及预算金额；</w:t>
      </w:r>
    </w:p>
    <w:p w14:paraId="4706213C">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（二）要求以联合体形式参加或者合同分包的，明确联合协议或者分包意向协议中中小企业合同金额应当达到的比例，并作为供应商资格条件；</w:t>
      </w:r>
    </w:p>
    <w:p w14:paraId="5135D143">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（三）非预留份额的采购项目或者采购包，明确有关价格扣除比例或者价格分加分比例；</w:t>
      </w:r>
    </w:p>
    <w:p w14:paraId="18A9E8B6">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（四）规定依据本办法规定享受扶持政策获得政府采购合同的，小微企业不得将合同分包给大中型企业，中型企业不得将合同分包给大型企业；</w:t>
      </w:r>
    </w:p>
    <w:p w14:paraId="49513AC6">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（五）采购人认为具备相关条件的，明确对中小企业在资金支付期限、预付款比例等方面的优惠措施；</w:t>
      </w:r>
    </w:p>
    <w:p w14:paraId="4C48A1A9">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（六）明确采购标的对应的中小企业划分标准所属行业；</w:t>
      </w:r>
    </w:p>
    <w:p w14:paraId="196EA12B">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（七）法律法规和省级以上人民政府财政部门规定的其他事项。</w:t>
      </w:r>
    </w:p>
    <w:p w14:paraId="4429C11E">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第十三条</w:t>
      </w:r>
      <w:r>
        <w:rPr>
          <w:rFonts w:hint="eastAsia" w:ascii="宋体" w:hAnsi="宋体" w:cs="宋体"/>
          <w:color w:val="000000" w:themeColor="text1"/>
          <w:spacing w:val="8"/>
          <w:kern w:val="0"/>
          <w:szCs w:val="21"/>
          <w14:textFill>
            <w14:solidFill>
              <w14:schemeClr w14:val="tx1"/>
            </w14:solidFill>
          </w14:textFill>
        </w:rPr>
        <w:t> 中标、成交供应商享受本办法规定的中小企业扶持政策的，采购人、采购代理机构应当随中标、成交结果公开中标、成交供应商的《中小企业声明函》。</w:t>
      </w:r>
    </w:p>
    <w:p w14:paraId="10E27537">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适用招标投标法的政府采购工程建设项目，应当在公示中标候选人时公开中标候选人的《中小企业声明函》。</w:t>
      </w:r>
    </w:p>
    <w:p w14:paraId="5AB7863C">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第十四条</w:t>
      </w:r>
      <w:r>
        <w:rPr>
          <w:rFonts w:hint="eastAsia" w:ascii="宋体" w:hAnsi="宋体" w:cs="宋体"/>
          <w:color w:val="000000" w:themeColor="text1"/>
          <w:spacing w:val="8"/>
          <w:kern w:val="0"/>
          <w:szCs w:val="21"/>
          <w14:textFill>
            <w14:solidFill>
              <w14:schemeClr w14:val="tx1"/>
            </w14:solidFill>
          </w14:textFill>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DA5A209">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第十五条</w:t>
      </w:r>
      <w:r>
        <w:rPr>
          <w:rFonts w:hint="eastAsia" w:ascii="宋体" w:hAnsi="宋体" w:cs="宋体"/>
          <w:color w:val="000000" w:themeColor="text1"/>
          <w:spacing w:val="8"/>
          <w:kern w:val="0"/>
          <w:szCs w:val="21"/>
          <w14:textFill>
            <w14:solidFill>
              <w14:schemeClr w14:val="tx1"/>
            </w14:solidFill>
          </w14:textFill>
        </w:rPr>
        <w:t> 鼓励各地区、各部门在采购活动中允许中小企业引入信用担保手段，为中小企业在投标（响应）保证、履约保证等方面提供专业化服务。鼓励中小企业依法合规通过政府采购合同融资。</w:t>
      </w:r>
    </w:p>
    <w:p w14:paraId="6645FEDF">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第十六条</w:t>
      </w:r>
      <w:r>
        <w:rPr>
          <w:rFonts w:hint="eastAsia" w:ascii="宋体" w:hAnsi="宋体" w:cs="宋体"/>
          <w:color w:val="000000" w:themeColor="text1"/>
          <w:spacing w:val="8"/>
          <w:kern w:val="0"/>
          <w:szCs w:val="21"/>
          <w14:textFill>
            <w14:solidFill>
              <w14:schemeClr w14:val="tx1"/>
            </w14:solidFill>
          </w14:textFill>
        </w:rPr>
        <w:t> 政府采购监督检查、投诉处理及政府采购行政处罚中对中小企业的认定，由货物制造商或者工程、服务供应商注册登记所在地的县级以上人民政府中小企业主管部门负责。</w:t>
      </w:r>
    </w:p>
    <w:p w14:paraId="264F956B">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中小企业主管部门应当在收到财政部门或者有关招标投标行政监督部门关于协助开展中小企业认定函后10个工作日内做出书面答复。</w:t>
      </w:r>
    </w:p>
    <w:p w14:paraId="5623ECA2">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第十七条</w:t>
      </w:r>
      <w:r>
        <w:rPr>
          <w:rFonts w:hint="eastAsia" w:ascii="宋体" w:hAnsi="宋体" w:cs="宋体"/>
          <w:color w:val="000000" w:themeColor="text1"/>
          <w:spacing w:val="8"/>
          <w:kern w:val="0"/>
          <w:szCs w:val="21"/>
          <w14:textFill>
            <w14:solidFill>
              <w14:schemeClr w14:val="tx1"/>
            </w14:solidFill>
          </w14:textFill>
        </w:rPr>
        <w:t> 各地区、各部门应当对涉及中小企业采购的预算项目实施全过程绩效管理，合理设置绩效目标和指标，落实扶持中小企业有关政策要求，定期开展绩效监控和评价，强化绩效评价结果应用。</w:t>
      </w:r>
    </w:p>
    <w:p w14:paraId="3B39D69F">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第十八条</w:t>
      </w:r>
      <w:r>
        <w:rPr>
          <w:rFonts w:hint="eastAsia" w:ascii="宋体" w:hAnsi="宋体" w:cs="宋体"/>
          <w:color w:val="000000" w:themeColor="text1"/>
          <w:spacing w:val="8"/>
          <w:kern w:val="0"/>
          <w:szCs w:val="21"/>
          <w14:textFill>
            <w14:solidFill>
              <w14:schemeClr w14:val="tx1"/>
            </w14:solidFill>
          </w14:textFill>
        </w:rPr>
        <w:t> 主管预算单位应当自2022年起向同级财政部门报告本部门上一年度面向中小企业预留份额和采购的具体情况，并在中国政府采购网公开预留项目执行情况</w:t>
      </w:r>
      <w:r>
        <w:rPr>
          <w:rFonts w:ascii="宋体" w:hAnsi="宋体" w:cs="宋体"/>
          <w:color w:val="000000" w:themeColor="text1"/>
          <w:spacing w:val="8"/>
          <w:kern w:val="0"/>
          <w:szCs w:val="21"/>
          <w14:textFill>
            <w14:solidFill>
              <w14:schemeClr w14:val="tx1"/>
            </w14:solidFill>
          </w14:textFill>
        </w:rPr>
        <w:t>(</w:t>
      </w:r>
      <w:r>
        <w:rPr>
          <w:rFonts w:hint="eastAsia" w:ascii="宋体" w:hAnsi="宋体" w:cs="宋体"/>
          <w:color w:val="000000" w:themeColor="text1"/>
          <w:spacing w:val="8"/>
          <w:kern w:val="0"/>
          <w:szCs w:val="21"/>
          <w14:textFill>
            <w14:solidFill>
              <w14:schemeClr w14:val="tx1"/>
            </w14:solidFill>
          </w14:textFill>
        </w:rPr>
        <w:t>附</w:t>
      </w:r>
      <w:r>
        <w:rPr>
          <w:rFonts w:ascii="宋体" w:hAnsi="宋体" w:cs="宋体"/>
          <w:color w:val="000000" w:themeColor="text1"/>
          <w:spacing w:val="8"/>
          <w:kern w:val="0"/>
          <w:szCs w:val="21"/>
          <w14:textFill>
            <w14:solidFill>
              <w14:schemeClr w14:val="tx1"/>
            </w14:solidFill>
          </w14:textFill>
        </w:rPr>
        <w:t>2)</w:t>
      </w:r>
      <w:r>
        <w:rPr>
          <w:rFonts w:hint="eastAsia" w:ascii="宋体" w:hAnsi="宋体" w:cs="宋体"/>
          <w:color w:val="000000" w:themeColor="text1"/>
          <w:spacing w:val="8"/>
          <w:kern w:val="0"/>
          <w:szCs w:val="21"/>
          <w14:textFill>
            <w14:solidFill>
              <w14:schemeClr w14:val="tx1"/>
            </w14:solidFill>
          </w14:textFill>
        </w:rPr>
        <w:t>。未达到本办法规定的预留份额比例的，应当作出说明。</w:t>
      </w:r>
    </w:p>
    <w:p w14:paraId="34EB6E73">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第十九条</w:t>
      </w:r>
      <w:r>
        <w:rPr>
          <w:rFonts w:hint="eastAsia" w:ascii="宋体" w:hAnsi="宋体" w:cs="宋体"/>
          <w:color w:val="000000" w:themeColor="text1"/>
          <w:spacing w:val="8"/>
          <w:kern w:val="0"/>
          <w:szCs w:val="21"/>
          <w14:textFill>
            <w14:solidFill>
              <w14:schemeClr w14:val="tx1"/>
            </w14:solidFill>
          </w14:textFill>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6F8FFB4">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第二十条</w:t>
      </w:r>
      <w:r>
        <w:rPr>
          <w:rFonts w:hint="eastAsia" w:ascii="宋体" w:hAnsi="宋体" w:cs="宋体"/>
          <w:color w:val="000000" w:themeColor="text1"/>
          <w:spacing w:val="8"/>
          <w:kern w:val="0"/>
          <w:szCs w:val="21"/>
          <w14:textFill>
            <w14:solidFill>
              <w14:schemeClr w14:val="tx1"/>
            </w14:solidFill>
          </w14:textFill>
        </w:rPr>
        <w:t> 供应商按照本办法规定提供声明函内容不实的，属于提供虚假材料谋取中标、成交，依照《中华人民共和国政府采购法》等国家有关规定追究相应责任。</w:t>
      </w:r>
    </w:p>
    <w:p w14:paraId="597672A2">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适用招标投标法的政府采购工程建设项目，投标人按照本办法规定提供声明函内容不实的，属于弄虚作假骗取中标，依照《中华人民共和国招标投标法》等国家有关规定追究相应责任。</w:t>
      </w:r>
    </w:p>
    <w:p w14:paraId="30188D50">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第二十一条</w:t>
      </w:r>
      <w:r>
        <w:rPr>
          <w:rFonts w:hint="eastAsia" w:ascii="宋体" w:hAnsi="宋体" w:cs="宋体"/>
          <w:color w:val="000000" w:themeColor="text1"/>
          <w:spacing w:val="8"/>
          <w:kern w:val="0"/>
          <w:szCs w:val="21"/>
          <w14:textFill>
            <w14:solidFill>
              <w14:schemeClr w14:val="tx1"/>
            </w14:solidFill>
          </w14:textFill>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8F21572">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第二十二条</w:t>
      </w:r>
      <w:r>
        <w:rPr>
          <w:rFonts w:hint="eastAsia" w:ascii="宋体" w:hAnsi="宋体" w:cs="宋体"/>
          <w:color w:val="000000" w:themeColor="text1"/>
          <w:spacing w:val="8"/>
          <w:kern w:val="0"/>
          <w:szCs w:val="21"/>
          <w14:textFill>
            <w14:solidFill>
              <w14:schemeClr w14:val="tx1"/>
            </w14:solidFill>
          </w14:textFill>
        </w:rPr>
        <w:t> 对外援助项目、国家相关资格或者资质管理制度另有规定的项目，不适用本办法。</w:t>
      </w:r>
    </w:p>
    <w:p w14:paraId="3A2D9905">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第二十三条</w:t>
      </w:r>
      <w:r>
        <w:rPr>
          <w:rFonts w:hint="eastAsia" w:ascii="宋体" w:hAnsi="宋体" w:cs="宋体"/>
          <w:color w:val="000000" w:themeColor="text1"/>
          <w:spacing w:val="8"/>
          <w:kern w:val="0"/>
          <w:szCs w:val="21"/>
          <w14:textFill>
            <w14:solidFill>
              <w14:schemeClr w14:val="tx1"/>
            </w14:solidFill>
          </w14:textFill>
        </w:rPr>
        <w:t> 关于视同中小企业的其他主体的政府采购扶持政策，由财政部会同有关部门另行规定。</w:t>
      </w:r>
    </w:p>
    <w:p w14:paraId="02543028">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第二十四条</w:t>
      </w:r>
      <w:r>
        <w:rPr>
          <w:rFonts w:hint="eastAsia" w:ascii="宋体" w:hAnsi="宋体" w:cs="宋体"/>
          <w:color w:val="000000" w:themeColor="text1"/>
          <w:spacing w:val="8"/>
          <w:kern w:val="0"/>
          <w:szCs w:val="21"/>
          <w14:textFill>
            <w14:solidFill>
              <w14:schemeClr w14:val="tx1"/>
            </w14:solidFill>
          </w14:textFill>
        </w:rPr>
        <w:t> 省级财政部门可以会同中小企业主管部门根据本办法的规定制定具体实施办法。</w:t>
      </w:r>
    </w:p>
    <w:p w14:paraId="72C8321D">
      <w:pPr>
        <w:widowControl/>
        <w:shd w:val="clear" w:color="auto" w:fill="FFFFFF"/>
        <w:spacing w:afterLines="0" w:line="360" w:lineRule="auto"/>
        <w:ind w:firstLine="454"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第二十五条</w:t>
      </w:r>
      <w:r>
        <w:rPr>
          <w:rFonts w:hint="eastAsia" w:ascii="宋体" w:hAnsi="宋体" w:cs="宋体"/>
          <w:color w:val="000000" w:themeColor="text1"/>
          <w:spacing w:val="8"/>
          <w:kern w:val="0"/>
          <w:szCs w:val="21"/>
          <w14:textFill>
            <w14:solidFill>
              <w14:schemeClr w14:val="tx1"/>
            </w14:solidFill>
          </w14:textFill>
        </w:rPr>
        <w:t> 本办法自2021年</w:t>
      </w:r>
      <w:r>
        <w:rPr>
          <w:rFonts w:ascii="宋体" w:hAnsi="宋体" w:cs="宋体"/>
          <w:color w:val="000000" w:themeColor="text1"/>
          <w:spacing w:val="8"/>
          <w:kern w:val="0"/>
          <w:szCs w:val="21"/>
          <w14:textFill>
            <w14:solidFill>
              <w14:schemeClr w14:val="tx1"/>
            </w14:solidFill>
          </w14:textFill>
        </w:rPr>
        <w:t>1</w:t>
      </w:r>
      <w:r>
        <w:rPr>
          <w:rFonts w:hint="eastAsia" w:ascii="宋体" w:hAnsi="宋体" w:cs="宋体"/>
          <w:color w:val="000000" w:themeColor="text1"/>
          <w:spacing w:val="8"/>
          <w:kern w:val="0"/>
          <w:szCs w:val="21"/>
          <w14:textFill>
            <w14:solidFill>
              <w14:schemeClr w14:val="tx1"/>
            </w14:solidFill>
          </w14:textFill>
        </w:rPr>
        <w:t>月</w:t>
      </w:r>
      <w:r>
        <w:rPr>
          <w:rFonts w:ascii="宋体" w:hAnsi="宋体" w:cs="宋体"/>
          <w:color w:val="000000" w:themeColor="text1"/>
          <w:spacing w:val="8"/>
          <w:kern w:val="0"/>
          <w:szCs w:val="21"/>
          <w14:textFill>
            <w14:solidFill>
              <w14:schemeClr w14:val="tx1"/>
            </w14:solidFill>
          </w14:textFill>
        </w:rPr>
        <w:t>1</w:t>
      </w:r>
      <w:r>
        <w:rPr>
          <w:rFonts w:hint="eastAsia" w:ascii="宋体" w:hAnsi="宋体" w:cs="宋体"/>
          <w:color w:val="000000" w:themeColor="text1"/>
          <w:spacing w:val="8"/>
          <w:kern w:val="0"/>
          <w:szCs w:val="21"/>
          <w14:textFill>
            <w14:solidFill>
              <w14:schemeClr w14:val="tx1"/>
            </w14:solidFill>
          </w14:textFill>
        </w:rPr>
        <w:t>日起施行。《财政部工业和信息化部关于印发〈政府采购促进中小企业发展暂行办法〉的通知》（财库﹝</w:t>
      </w:r>
      <w:r>
        <w:rPr>
          <w:rFonts w:ascii="宋体" w:hAnsi="宋体" w:cs="宋体"/>
          <w:color w:val="000000" w:themeColor="text1"/>
          <w:spacing w:val="8"/>
          <w:kern w:val="0"/>
          <w:szCs w:val="21"/>
          <w14:textFill>
            <w14:solidFill>
              <w14:schemeClr w14:val="tx1"/>
            </w14:solidFill>
          </w14:textFill>
        </w:rPr>
        <w:t>2011</w:t>
      </w:r>
      <w:r>
        <w:rPr>
          <w:rFonts w:hint="eastAsia" w:ascii="宋体" w:hAnsi="宋体" w:cs="宋体"/>
          <w:color w:val="000000" w:themeColor="text1"/>
          <w:spacing w:val="8"/>
          <w:kern w:val="0"/>
          <w:szCs w:val="21"/>
          <w14:textFill>
            <w14:solidFill>
              <w14:schemeClr w14:val="tx1"/>
            </w14:solidFill>
          </w14:textFill>
        </w:rPr>
        <w:t>﹞</w:t>
      </w:r>
      <w:r>
        <w:rPr>
          <w:rFonts w:ascii="宋体" w:hAnsi="宋体" w:cs="宋体"/>
          <w:color w:val="000000" w:themeColor="text1"/>
          <w:spacing w:val="8"/>
          <w:kern w:val="0"/>
          <w:szCs w:val="21"/>
          <w14:textFill>
            <w14:solidFill>
              <w14:schemeClr w14:val="tx1"/>
            </w14:solidFill>
          </w14:textFill>
        </w:rPr>
        <w:t>181</w:t>
      </w:r>
      <w:r>
        <w:rPr>
          <w:rFonts w:hint="eastAsia" w:ascii="宋体" w:hAnsi="宋体" w:cs="宋体"/>
          <w:color w:val="000000" w:themeColor="text1"/>
          <w:spacing w:val="8"/>
          <w:kern w:val="0"/>
          <w:szCs w:val="21"/>
          <w14:textFill>
            <w14:solidFill>
              <w14:schemeClr w14:val="tx1"/>
            </w14:solidFill>
          </w14:textFill>
        </w:rPr>
        <w:t>号）同时废止。</w:t>
      </w:r>
    </w:p>
    <w:p w14:paraId="05377C99">
      <w:pPr>
        <w:spacing w:after="60"/>
        <w:rPr>
          <w:rFonts w:hint="eastAsia" w:ascii="宋体" w:hAnsi="宋体"/>
          <w:color w:val="000000" w:themeColor="text1"/>
          <w14:textFill>
            <w14:solidFill>
              <w14:schemeClr w14:val="tx1"/>
            </w14:solidFill>
          </w14:textFill>
        </w:rPr>
      </w:pPr>
    </w:p>
    <w:p w14:paraId="3CB3BFF1">
      <w:pPr>
        <w:spacing w:after="6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附件2：</w:t>
      </w:r>
    </w:p>
    <w:p w14:paraId="56D74988">
      <w:pPr>
        <w:spacing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中小企业划型标准规定</w:t>
      </w:r>
    </w:p>
    <w:p w14:paraId="1C2CBD1A">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一、根据《中华人民共和国中小企业促进法》和《国务院关于进一步促进中小企业发展的若干意见》(国发〔2009〕36号)，制定本规定。</w:t>
      </w:r>
    </w:p>
    <w:p w14:paraId="7B5F47FD">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二、中小企业划分为中型、小型、微型三种类型，具体标准根据企业从业人员、营业收入、资产总额等指标，结合行业特点制定。</w:t>
      </w:r>
    </w:p>
    <w:p w14:paraId="1159A1EF">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6A60C64">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四、各行业划型标准为：</w:t>
      </w:r>
    </w:p>
    <w:p w14:paraId="1B362582">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0749A327">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F04C81D">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57DDC2C">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8746372">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417CFA1">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850457">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A0467EE">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613E5B5">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603F33">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655754">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D3F626">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396F854">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1C19744">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D4E2FE">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151B92">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38CF55BB">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五、企业类型的划分以统计部门的统计数据为依据。</w:t>
      </w:r>
    </w:p>
    <w:p w14:paraId="0518A86D">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1E0207A3">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4EEBA7DE">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八、本规定由工业和信息化部、国家统计局会同有关部门根据《国民经济行业分类》修订情况和企业发展变化情况适时修订。</w:t>
      </w:r>
    </w:p>
    <w:p w14:paraId="4193DD92">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九、本规定由工业和信息化部、国家统计局会同有关部门负责解释。</w:t>
      </w:r>
    </w:p>
    <w:p w14:paraId="60A7EF6C">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十、本规定自发布之日起执行，原国家经贸委、原国家计委、财政部和国家统计局2003年颁布的《中小企业标准暂行规定》同时废止。</w:t>
      </w:r>
    </w:p>
    <w:p w14:paraId="2598E3B8">
      <w:pPr>
        <w:spacing w:after="60"/>
        <w:rPr>
          <w:rFonts w:hint="eastAsia" w:ascii="宋体" w:hAnsi="宋体"/>
          <w:color w:val="000000" w:themeColor="text1"/>
          <w14:textFill>
            <w14:solidFill>
              <w14:schemeClr w14:val="tx1"/>
            </w14:solidFill>
          </w14:textFill>
        </w:rPr>
      </w:pPr>
    </w:p>
    <w:p w14:paraId="7564C961">
      <w:pPr>
        <w:spacing w:after="6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附件3：</w:t>
      </w:r>
    </w:p>
    <w:p w14:paraId="368E8FA4">
      <w:pPr>
        <w:spacing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统计上大中小微型企业划分标准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2"/>
        <w:gridCol w:w="1560"/>
        <w:gridCol w:w="1008"/>
        <w:gridCol w:w="1016"/>
        <w:gridCol w:w="1523"/>
        <w:gridCol w:w="1281"/>
        <w:gridCol w:w="899"/>
      </w:tblGrid>
      <w:tr w14:paraId="6901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242" w:type="dxa"/>
            <w:tcMar>
              <w:top w:w="0" w:type="dxa"/>
              <w:left w:w="108" w:type="dxa"/>
              <w:bottom w:w="0" w:type="dxa"/>
              <w:right w:w="108" w:type="dxa"/>
            </w:tcMar>
            <w:vAlign w:val="center"/>
          </w:tcPr>
          <w:p w14:paraId="162954B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行业名称</w:t>
            </w:r>
          </w:p>
        </w:tc>
        <w:tc>
          <w:tcPr>
            <w:tcW w:w="1560" w:type="dxa"/>
            <w:tcMar>
              <w:top w:w="0" w:type="dxa"/>
              <w:left w:w="108" w:type="dxa"/>
              <w:bottom w:w="0" w:type="dxa"/>
              <w:right w:w="108" w:type="dxa"/>
            </w:tcMar>
            <w:vAlign w:val="center"/>
          </w:tcPr>
          <w:p w14:paraId="4AA44EB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指标名称</w:t>
            </w:r>
          </w:p>
        </w:tc>
        <w:tc>
          <w:tcPr>
            <w:tcW w:w="1008" w:type="dxa"/>
            <w:tcMar>
              <w:top w:w="0" w:type="dxa"/>
              <w:left w:w="108" w:type="dxa"/>
              <w:bottom w:w="0" w:type="dxa"/>
              <w:right w:w="108" w:type="dxa"/>
            </w:tcMar>
            <w:vAlign w:val="center"/>
          </w:tcPr>
          <w:p w14:paraId="1C6CB8F2">
            <w:pPr>
              <w:widowControl/>
              <w:spacing w:afterLines="0" w:line="240"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计量</w:t>
            </w:r>
          </w:p>
          <w:p w14:paraId="11FFD610">
            <w:pPr>
              <w:widowControl/>
              <w:spacing w:afterLines="0" w:line="240" w:lineRule="auto"/>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单位</w:t>
            </w:r>
          </w:p>
        </w:tc>
        <w:tc>
          <w:tcPr>
            <w:tcW w:w="1016" w:type="dxa"/>
            <w:tcMar>
              <w:top w:w="0" w:type="dxa"/>
              <w:left w:w="108" w:type="dxa"/>
              <w:bottom w:w="0" w:type="dxa"/>
              <w:right w:w="108" w:type="dxa"/>
            </w:tcMar>
            <w:vAlign w:val="center"/>
          </w:tcPr>
          <w:p w14:paraId="1EC3D57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大型</w:t>
            </w:r>
          </w:p>
        </w:tc>
        <w:tc>
          <w:tcPr>
            <w:tcW w:w="1523" w:type="dxa"/>
            <w:tcMar>
              <w:top w:w="0" w:type="dxa"/>
              <w:left w:w="108" w:type="dxa"/>
              <w:bottom w:w="0" w:type="dxa"/>
              <w:right w:w="108" w:type="dxa"/>
            </w:tcMar>
            <w:vAlign w:val="center"/>
          </w:tcPr>
          <w:p w14:paraId="59E206A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中型</w:t>
            </w:r>
          </w:p>
        </w:tc>
        <w:tc>
          <w:tcPr>
            <w:tcW w:w="1281" w:type="dxa"/>
            <w:tcMar>
              <w:top w:w="0" w:type="dxa"/>
              <w:left w:w="108" w:type="dxa"/>
              <w:bottom w:w="0" w:type="dxa"/>
              <w:right w:w="108" w:type="dxa"/>
            </w:tcMar>
            <w:vAlign w:val="center"/>
          </w:tcPr>
          <w:p w14:paraId="4F264A99">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小型</w:t>
            </w:r>
          </w:p>
        </w:tc>
        <w:tc>
          <w:tcPr>
            <w:tcW w:w="899" w:type="dxa"/>
            <w:tcMar>
              <w:top w:w="0" w:type="dxa"/>
              <w:left w:w="108" w:type="dxa"/>
              <w:bottom w:w="0" w:type="dxa"/>
              <w:right w:w="108" w:type="dxa"/>
            </w:tcMar>
            <w:vAlign w:val="center"/>
          </w:tcPr>
          <w:p w14:paraId="0B08BB2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微型</w:t>
            </w:r>
          </w:p>
        </w:tc>
      </w:tr>
      <w:tr w14:paraId="1577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tcMar>
              <w:top w:w="0" w:type="dxa"/>
              <w:left w:w="108" w:type="dxa"/>
              <w:bottom w:w="0" w:type="dxa"/>
              <w:right w:w="108" w:type="dxa"/>
            </w:tcMar>
            <w:vAlign w:val="center"/>
          </w:tcPr>
          <w:p w14:paraId="7F7A56C1">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农、林、牧、渔业</w:t>
            </w:r>
          </w:p>
        </w:tc>
        <w:tc>
          <w:tcPr>
            <w:tcW w:w="1560" w:type="dxa"/>
            <w:tcMar>
              <w:top w:w="0" w:type="dxa"/>
              <w:left w:w="108" w:type="dxa"/>
              <w:bottom w:w="0" w:type="dxa"/>
              <w:right w:w="108" w:type="dxa"/>
            </w:tcMar>
            <w:vAlign w:val="center"/>
          </w:tcPr>
          <w:p w14:paraId="135F2AC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44F87666">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0AE2EEB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Y≥20000</w:t>
            </w:r>
          </w:p>
        </w:tc>
        <w:tc>
          <w:tcPr>
            <w:tcW w:w="1523" w:type="dxa"/>
            <w:tcMar>
              <w:top w:w="0" w:type="dxa"/>
              <w:left w:w="108" w:type="dxa"/>
              <w:bottom w:w="0" w:type="dxa"/>
              <w:right w:w="108" w:type="dxa"/>
            </w:tcMar>
            <w:vAlign w:val="center"/>
          </w:tcPr>
          <w:p w14:paraId="3EEBA24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500≤Y＜20000</w:t>
            </w:r>
          </w:p>
        </w:tc>
        <w:tc>
          <w:tcPr>
            <w:tcW w:w="1281" w:type="dxa"/>
            <w:tcMar>
              <w:top w:w="0" w:type="dxa"/>
              <w:left w:w="108" w:type="dxa"/>
              <w:bottom w:w="0" w:type="dxa"/>
              <w:right w:w="108" w:type="dxa"/>
            </w:tcMar>
            <w:vAlign w:val="center"/>
          </w:tcPr>
          <w:p w14:paraId="70BDCE3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50≤Y＜500</w:t>
            </w:r>
          </w:p>
        </w:tc>
        <w:tc>
          <w:tcPr>
            <w:tcW w:w="899" w:type="dxa"/>
            <w:tcMar>
              <w:top w:w="0" w:type="dxa"/>
              <w:left w:w="108" w:type="dxa"/>
              <w:bottom w:w="0" w:type="dxa"/>
              <w:right w:w="108" w:type="dxa"/>
            </w:tcMar>
            <w:vAlign w:val="center"/>
          </w:tcPr>
          <w:p w14:paraId="3C9E06CD">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Y＜50</w:t>
            </w:r>
          </w:p>
        </w:tc>
      </w:tr>
      <w:tr w14:paraId="298B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2DC3529E">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 *</w:t>
            </w:r>
          </w:p>
        </w:tc>
        <w:tc>
          <w:tcPr>
            <w:tcW w:w="1560" w:type="dxa"/>
            <w:tcMar>
              <w:top w:w="0" w:type="dxa"/>
              <w:left w:w="108" w:type="dxa"/>
              <w:bottom w:w="0" w:type="dxa"/>
              <w:right w:w="108" w:type="dxa"/>
            </w:tcMar>
            <w:vAlign w:val="center"/>
          </w:tcPr>
          <w:p w14:paraId="394532F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2EC1171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409F42F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X≥1000</w:t>
            </w:r>
          </w:p>
        </w:tc>
        <w:tc>
          <w:tcPr>
            <w:tcW w:w="1523" w:type="dxa"/>
            <w:tcMar>
              <w:top w:w="0" w:type="dxa"/>
              <w:left w:w="108" w:type="dxa"/>
              <w:bottom w:w="0" w:type="dxa"/>
              <w:right w:w="108" w:type="dxa"/>
            </w:tcMar>
            <w:vAlign w:val="center"/>
          </w:tcPr>
          <w:p w14:paraId="38D7E7E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300≤X＜1000</w:t>
            </w:r>
          </w:p>
        </w:tc>
        <w:tc>
          <w:tcPr>
            <w:tcW w:w="1281" w:type="dxa"/>
            <w:tcMar>
              <w:top w:w="0" w:type="dxa"/>
              <w:left w:w="108" w:type="dxa"/>
              <w:bottom w:w="0" w:type="dxa"/>
              <w:right w:w="108" w:type="dxa"/>
            </w:tcMar>
            <w:vAlign w:val="center"/>
          </w:tcPr>
          <w:p w14:paraId="4DE74B6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20≤X＜300</w:t>
            </w:r>
          </w:p>
        </w:tc>
        <w:tc>
          <w:tcPr>
            <w:tcW w:w="899" w:type="dxa"/>
            <w:tcMar>
              <w:top w:w="0" w:type="dxa"/>
              <w:left w:w="108" w:type="dxa"/>
              <w:bottom w:w="0" w:type="dxa"/>
              <w:right w:w="108" w:type="dxa"/>
            </w:tcMar>
            <w:vAlign w:val="center"/>
          </w:tcPr>
          <w:p w14:paraId="3D456047">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w:t>
            </w:r>
          </w:p>
        </w:tc>
      </w:tr>
      <w:tr w14:paraId="5C21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5F74C579">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1DC8AD7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36B3876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205E0D6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Y≥40000</w:t>
            </w:r>
          </w:p>
        </w:tc>
        <w:tc>
          <w:tcPr>
            <w:tcW w:w="1523" w:type="dxa"/>
            <w:tcMar>
              <w:top w:w="0" w:type="dxa"/>
              <w:left w:w="108" w:type="dxa"/>
              <w:bottom w:w="0" w:type="dxa"/>
              <w:right w:w="108" w:type="dxa"/>
            </w:tcMar>
            <w:vAlign w:val="center"/>
          </w:tcPr>
          <w:p w14:paraId="5333F3FD">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2000≤Y＜40000</w:t>
            </w:r>
          </w:p>
        </w:tc>
        <w:tc>
          <w:tcPr>
            <w:tcW w:w="1281" w:type="dxa"/>
            <w:tcMar>
              <w:top w:w="0" w:type="dxa"/>
              <w:left w:w="108" w:type="dxa"/>
              <w:bottom w:w="0" w:type="dxa"/>
              <w:right w:w="108" w:type="dxa"/>
            </w:tcMar>
            <w:vAlign w:val="center"/>
          </w:tcPr>
          <w:p w14:paraId="0B24222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300≤Y＜2000</w:t>
            </w:r>
          </w:p>
        </w:tc>
        <w:tc>
          <w:tcPr>
            <w:tcW w:w="899" w:type="dxa"/>
            <w:tcMar>
              <w:top w:w="0" w:type="dxa"/>
              <w:left w:w="108" w:type="dxa"/>
              <w:bottom w:w="0" w:type="dxa"/>
              <w:right w:w="108" w:type="dxa"/>
            </w:tcMar>
            <w:vAlign w:val="center"/>
          </w:tcPr>
          <w:p w14:paraId="043E1113">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w:t>
            </w:r>
          </w:p>
        </w:tc>
      </w:tr>
      <w:tr w14:paraId="1080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1789309E">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建筑业</w:t>
            </w:r>
          </w:p>
        </w:tc>
        <w:tc>
          <w:tcPr>
            <w:tcW w:w="1560" w:type="dxa"/>
            <w:tcMar>
              <w:top w:w="0" w:type="dxa"/>
              <w:left w:w="108" w:type="dxa"/>
              <w:bottom w:w="0" w:type="dxa"/>
              <w:right w:w="108" w:type="dxa"/>
            </w:tcMar>
            <w:vAlign w:val="center"/>
          </w:tcPr>
          <w:p w14:paraId="051AD094">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70C0739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221E453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Y≥80000</w:t>
            </w:r>
          </w:p>
        </w:tc>
        <w:tc>
          <w:tcPr>
            <w:tcW w:w="1523" w:type="dxa"/>
            <w:tcMar>
              <w:top w:w="0" w:type="dxa"/>
              <w:left w:w="108" w:type="dxa"/>
              <w:bottom w:w="0" w:type="dxa"/>
              <w:right w:w="108" w:type="dxa"/>
            </w:tcMar>
            <w:vAlign w:val="center"/>
          </w:tcPr>
          <w:p w14:paraId="7E510F3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6000≤Y＜80000</w:t>
            </w:r>
          </w:p>
        </w:tc>
        <w:tc>
          <w:tcPr>
            <w:tcW w:w="1281" w:type="dxa"/>
            <w:tcMar>
              <w:top w:w="0" w:type="dxa"/>
              <w:left w:w="108" w:type="dxa"/>
              <w:bottom w:w="0" w:type="dxa"/>
              <w:right w:w="108" w:type="dxa"/>
            </w:tcMar>
            <w:vAlign w:val="center"/>
          </w:tcPr>
          <w:p w14:paraId="06C277F9">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300≤Y＜6000</w:t>
            </w:r>
          </w:p>
        </w:tc>
        <w:tc>
          <w:tcPr>
            <w:tcW w:w="899" w:type="dxa"/>
            <w:tcMar>
              <w:top w:w="0" w:type="dxa"/>
              <w:left w:w="108" w:type="dxa"/>
              <w:bottom w:w="0" w:type="dxa"/>
              <w:right w:w="108" w:type="dxa"/>
            </w:tcMar>
            <w:vAlign w:val="center"/>
          </w:tcPr>
          <w:p w14:paraId="6D8132A4">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w:t>
            </w:r>
          </w:p>
        </w:tc>
      </w:tr>
      <w:tr w14:paraId="1F6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35FA939C">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68FD8CC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资产总额(Z)</w:t>
            </w:r>
          </w:p>
        </w:tc>
        <w:tc>
          <w:tcPr>
            <w:tcW w:w="1008" w:type="dxa"/>
            <w:tcMar>
              <w:top w:w="0" w:type="dxa"/>
              <w:left w:w="108" w:type="dxa"/>
              <w:bottom w:w="0" w:type="dxa"/>
              <w:right w:w="108" w:type="dxa"/>
            </w:tcMar>
            <w:vAlign w:val="center"/>
          </w:tcPr>
          <w:p w14:paraId="620DB41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42C28004">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Z≥80000</w:t>
            </w:r>
          </w:p>
        </w:tc>
        <w:tc>
          <w:tcPr>
            <w:tcW w:w="1523" w:type="dxa"/>
            <w:tcMar>
              <w:top w:w="0" w:type="dxa"/>
              <w:left w:w="108" w:type="dxa"/>
              <w:bottom w:w="0" w:type="dxa"/>
              <w:right w:w="108" w:type="dxa"/>
            </w:tcMar>
            <w:vAlign w:val="center"/>
          </w:tcPr>
          <w:p w14:paraId="3AB5F2F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5000≤Z＜80000</w:t>
            </w:r>
          </w:p>
        </w:tc>
        <w:tc>
          <w:tcPr>
            <w:tcW w:w="1281" w:type="dxa"/>
            <w:tcMar>
              <w:top w:w="0" w:type="dxa"/>
              <w:left w:w="108" w:type="dxa"/>
              <w:bottom w:w="0" w:type="dxa"/>
              <w:right w:w="108" w:type="dxa"/>
            </w:tcMar>
            <w:vAlign w:val="center"/>
          </w:tcPr>
          <w:p w14:paraId="7137D66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300≤Z＜5000</w:t>
            </w:r>
          </w:p>
        </w:tc>
        <w:tc>
          <w:tcPr>
            <w:tcW w:w="899" w:type="dxa"/>
            <w:tcMar>
              <w:top w:w="0" w:type="dxa"/>
              <w:left w:w="108" w:type="dxa"/>
              <w:bottom w:w="0" w:type="dxa"/>
              <w:right w:w="108" w:type="dxa"/>
            </w:tcMar>
            <w:vAlign w:val="center"/>
          </w:tcPr>
          <w:p w14:paraId="062A4A34">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Z＜300</w:t>
            </w:r>
          </w:p>
        </w:tc>
      </w:tr>
      <w:tr w14:paraId="51F9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40229E53">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批发业</w:t>
            </w:r>
          </w:p>
        </w:tc>
        <w:tc>
          <w:tcPr>
            <w:tcW w:w="1560" w:type="dxa"/>
            <w:tcMar>
              <w:top w:w="0" w:type="dxa"/>
              <w:left w:w="108" w:type="dxa"/>
              <w:bottom w:w="0" w:type="dxa"/>
              <w:right w:w="108" w:type="dxa"/>
            </w:tcMar>
            <w:vAlign w:val="center"/>
          </w:tcPr>
          <w:p w14:paraId="0B20A3B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7E350A27">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53D36B3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X≥200</w:t>
            </w:r>
          </w:p>
        </w:tc>
        <w:tc>
          <w:tcPr>
            <w:tcW w:w="1523" w:type="dxa"/>
            <w:tcMar>
              <w:top w:w="0" w:type="dxa"/>
              <w:left w:w="108" w:type="dxa"/>
              <w:bottom w:w="0" w:type="dxa"/>
              <w:right w:w="108" w:type="dxa"/>
            </w:tcMar>
            <w:vAlign w:val="center"/>
          </w:tcPr>
          <w:p w14:paraId="70C5BA6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20≤X＜200</w:t>
            </w:r>
          </w:p>
        </w:tc>
        <w:tc>
          <w:tcPr>
            <w:tcW w:w="1281" w:type="dxa"/>
            <w:tcMar>
              <w:top w:w="0" w:type="dxa"/>
              <w:left w:w="108" w:type="dxa"/>
              <w:bottom w:w="0" w:type="dxa"/>
              <w:right w:w="108" w:type="dxa"/>
            </w:tcMar>
            <w:vAlign w:val="center"/>
          </w:tcPr>
          <w:p w14:paraId="6C8C166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5≤X＜20</w:t>
            </w:r>
          </w:p>
        </w:tc>
        <w:tc>
          <w:tcPr>
            <w:tcW w:w="899" w:type="dxa"/>
            <w:tcMar>
              <w:top w:w="0" w:type="dxa"/>
              <w:left w:w="108" w:type="dxa"/>
              <w:bottom w:w="0" w:type="dxa"/>
              <w:right w:w="108" w:type="dxa"/>
            </w:tcMar>
            <w:vAlign w:val="center"/>
          </w:tcPr>
          <w:p w14:paraId="5544F863">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X＜5</w:t>
            </w:r>
          </w:p>
        </w:tc>
      </w:tr>
      <w:tr w14:paraId="1091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7786EF17">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0E8F391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278F262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39B7F32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Y≥40000</w:t>
            </w:r>
          </w:p>
        </w:tc>
        <w:tc>
          <w:tcPr>
            <w:tcW w:w="1523" w:type="dxa"/>
            <w:tcMar>
              <w:top w:w="0" w:type="dxa"/>
              <w:left w:w="108" w:type="dxa"/>
              <w:bottom w:w="0" w:type="dxa"/>
              <w:right w:w="108" w:type="dxa"/>
            </w:tcMar>
            <w:vAlign w:val="center"/>
          </w:tcPr>
          <w:p w14:paraId="60F8B79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5000≤Y＜40000</w:t>
            </w:r>
          </w:p>
        </w:tc>
        <w:tc>
          <w:tcPr>
            <w:tcW w:w="1281" w:type="dxa"/>
            <w:tcMar>
              <w:top w:w="0" w:type="dxa"/>
              <w:left w:w="108" w:type="dxa"/>
              <w:bottom w:w="0" w:type="dxa"/>
              <w:right w:w="108" w:type="dxa"/>
            </w:tcMar>
            <w:vAlign w:val="center"/>
          </w:tcPr>
          <w:p w14:paraId="40A94A65">
            <w:pPr>
              <w:widowControl/>
              <w:spacing w:afterLines="0" w:line="240" w:lineRule="auto"/>
              <w:ind w:left="-1" w:hang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1000≤Y＜5000</w:t>
            </w:r>
          </w:p>
        </w:tc>
        <w:tc>
          <w:tcPr>
            <w:tcW w:w="899" w:type="dxa"/>
            <w:tcMar>
              <w:top w:w="0" w:type="dxa"/>
              <w:left w:w="108" w:type="dxa"/>
              <w:bottom w:w="0" w:type="dxa"/>
              <w:right w:w="108" w:type="dxa"/>
            </w:tcMar>
            <w:vAlign w:val="center"/>
          </w:tcPr>
          <w:p w14:paraId="3997D34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w:t>
            </w:r>
          </w:p>
        </w:tc>
      </w:tr>
      <w:tr w14:paraId="3B15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3F92A20E">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零售业</w:t>
            </w:r>
          </w:p>
        </w:tc>
        <w:tc>
          <w:tcPr>
            <w:tcW w:w="1560" w:type="dxa"/>
            <w:tcMar>
              <w:top w:w="0" w:type="dxa"/>
              <w:left w:w="108" w:type="dxa"/>
              <w:bottom w:w="0" w:type="dxa"/>
              <w:right w:w="108" w:type="dxa"/>
            </w:tcMar>
            <w:vAlign w:val="center"/>
          </w:tcPr>
          <w:p w14:paraId="775FD5D7">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329B8262">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12E5A506">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523" w:type="dxa"/>
            <w:tcMar>
              <w:top w:w="0" w:type="dxa"/>
              <w:left w:w="108" w:type="dxa"/>
              <w:bottom w:w="0" w:type="dxa"/>
              <w:right w:w="108" w:type="dxa"/>
            </w:tcMar>
            <w:vAlign w:val="center"/>
          </w:tcPr>
          <w:p w14:paraId="0EF88C3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50≤X＜300</w:t>
            </w:r>
          </w:p>
        </w:tc>
        <w:tc>
          <w:tcPr>
            <w:tcW w:w="1281" w:type="dxa"/>
            <w:tcMar>
              <w:top w:w="0" w:type="dxa"/>
              <w:left w:w="108" w:type="dxa"/>
              <w:bottom w:w="0" w:type="dxa"/>
              <w:right w:w="108" w:type="dxa"/>
            </w:tcMar>
            <w:vAlign w:val="center"/>
          </w:tcPr>
          <w:p w14:paraId="70287DFC">
            <w:pPr>
              <w:widowControl/>
              <w:spacing w:afterLines="0" w:line="240" w:lineRule="auto"/>
              <w:ind w:left="-1" w:hang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10≤X＜50</w:t>
            </w:r>
          </w:p>
        </w:tc>
        <w:tc>
          <w:tcPr>
            <w:tcW w:w="899" w:type="dxa"/>
            <w:tcMar>
              <w:top w:w="0" w:type="dxa"/>
              <w:left w:w="108" w:type="dxa"/>
              <w:bottom w:w="0" w:type="dxa"/>
              <w:right w:w="108" w:type="dxa"/>
            </w:tcMar>
            <w:vAlign w:val="center"/>
          </w:tcPr>
          <w:p w14:paraId="5C76227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14:paraId="3ABD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4D3E8458">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7268035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1B55764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38A8435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Y≥20000</w:t>
            </w:r>
          </w:p>
        </w:tc>
        <w:tc>
          <w:tcPr>
            <w:tcW w:w="1523" w:type="dxa"/>
            <w:tcMar>
              <w:top w:w="0" w:type="dxa"/>
              <w:left w:w="108" w:type="dxa"/>
              <w:bottom w:w="0" w:type="dxa"/>
              <w:right w:w="108" w:type="dxa"/>
            </w:tcMar>
            <w:vAlign w:val="center"/>
          </w:tcPr>
          <w:p w14:paraId="2A2B17A6">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500≤Y＜20000</w:t>
            </w:r>
          </w:p>
        </w:tc>
        <w:tc>
          <w:tcPr>
            <w:tcW w:w="1281" w:type="dxa"/>
            <w:tcMar>
              <w:top w:w="0" w:type="dxa"/>
              <w:left w:w="108" w:type="dxa"/>
              <w:bottom w:w="0" w:type="dxa"/>
              <w:right w:w="108" w:type="dxa"/>
            </w:tcMar>
            <w:vAlign w:val="center"/>
          </w:tcPr>
          <w:p w14:paraId="52370F00">
            <w:pPr>
              <w:widowControl/>
              <w:spacing w:afterLines="0" w:line="240" w:lineRule="auto"/>
              <w:ind w:left="-1" w:hang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100≤Y＜500</w:t>
            </w:r>
          </w:p>
        </w:tc>
        <w:tc>
          <w:tcPr>
            <w:tcW w:w="899" w:type="dxa"/>
            <w:tcMar>
              <w:top w:w="0" w:type="dxa"/>
              <w:left w:w="108" w:type="dxa"/>
              <w:bottom w:w="0" w:type="dxa"/>
              <w:right w:w="108" w:type="dxa"/>
            </w:tcMar>
            <w:vAlign w:val="center"/>
          </w:tcPr>
          <w:p w14:paraId="254748B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14:paraId="272E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14D2DCB3">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交通运输业 *</w:t>
            </w:r>
          </w:p>
        </w:tc>
        <w:tc>
          <w:tcPr>
            <w:tcW w:w="1560" w:type="dxa"/>
            <w:tcMar>
              <w:top w:w="0" w:type="dxa"/>
              <w:left w:w="108" w:type="dxa"/>
              <w:bottom w:w="0" w:type="dxa"/>
              <w:right w:w="108" w:type="dxa"/>
            </w:tcMar>
            <w:vAlign w:val="center"/>
          </w:tcPr>
          <w:p w14:paraId="786978A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014645E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7FF59C3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X≥1000</w:t>
            </w:r>
          </w:p>
        </w:tc>
        <w:tc>
          <w:tcPr>
            <w:tcW w:w="1523" w:type="dxa"/>
            <w:tcMar>
              <w:top w:w="0" w:type="dxa"/>
              <w:left w:w="108" w:type="dxa"/>
              <w:bottom w:w="0" w:type="dxa"/>
              <w:right w:w="108" w:type="dxa"/>
            </w:tcMar>
            <w:vAlign w:val="center"/>
          </w:tcPr>
          <w:p w14:paraId="0C75F0C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300≤X＜1000</w:t>
            </w:r>
          </w:p>
        </w:tc>
        <w:tc>
          <w:tcPr>
            <w:tcW w:w="1281" w:type="dxa"/>
            <w:tcMar>
              <w:top w:w="0" w:type="dxa"/>
              <w:left w:w="108" w:type="dxa"/>
              <w:bottom w:w="0" w:type="dxa"/>
              <w:right w:w="108" w:type="dxa"/>
            </w:tcMar>
            <w:vAlign w:val="center"/>
          </w:tcPr>
          <w:p w14:paraId="23A1B8D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20≤X＜300</w:t>
            </w:r>
          </w:p>
        </w:tc>
        <w:tc>
          <w:tcPr>
            <w:tcW w:w="899" w:type="dxa"/>
            <w:tcMar>
              <w:top w:w="0" w:type="dxa"/>
              <w:left w:w="108" w:type="dxa"/>
              <w:bottom w:w="0" w:type="dxa"/>
              <w:right w:w="108" w:type="dxa"/>
            </w:tcMar>
            <w:vAlign w:val="center"/>
          </w:tcPr>
          <w:p w14:paraId="0E3BCCD9">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w:t>
            </w:r>
          </w:p>
        </w:tc>
      </w:tr>
      <w:tr w14:paraId="37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355A03E9">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5954C9CD">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24CE943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2419CF0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Y≥30000</w:t>
            </w:r>
          </w:p>
        </w:tc>
        <w:tc>
          <w:tcPr>
            <w:tcW w:w="1523" w:type="dxa"/>
            <w:tcMar>
              <w:top w:w="0" w:type="dxa"/>
              <w:left w:w="108" w:type="dxa"/>
              <w:bottom w:w="0" w:type="dxa"/>
              <w:right w:w="108" w:type="dxa"/>
            </w:tcMar>
            <w:vAlign w:val="center"/>
          </w:tcPr>
          <w:p w14:paraId="0D28752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3000≤Y＜30000</w:t>
            </w:r>
          </w:p>
        </w:tc>
        <w:tc>
          <w:tcPr>
            <w:tcW w:w="1281" w:type="dxa"/>
            <w:tcMar>
              <w:top w:w="0" w:type="dxa"/>
              <w:left w:w="108" w:type="dxa"/>
              <w:bottom w:w="0" w:type="dxa"/>
              <w:right w:w="108" w:type="dxa"/>
            </w:tcMar>
            <w:vAlign w:val="center"/>
          </w:tcPr>
          <w:p w14:paraId="6423D7D9">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200≤Y＜3000</w:t>
            </w:r>
          </w:p>
        </w:tc>
        <w:tc>
          <w:tcPr>
            <w:tcW w:w="899" w:type="dxa"/>
            <w:tcMar>
              <w:top w:w="0" w:type="dxa"/>
              <w:left w:w="108" w:type="dxa"/>
              <w:bottom w:w="0" w:type="dxa"/>
              <w:right w:w="108" w:type="dxa"/>
            </w:tcMar>
            <w:vAlign w:val="center"/>
          </w:tcPr>
          <w:p w14:paraId="4E1C88E2">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Y＜200</w:t>
            </w:r>
          </w:p>
        </w:tc>
      </w:tr>
      <w:tr w14:paraId="70F3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452E08BA">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仓储业*</w:t>
            </w:r>
          </w:p>
        </w:tc>
        <w:tc>
          <w:tcPr>
            <w:tcW w:w="1560" w:type="dxa"/>
            <w:tcMar>
              <w:top w:w="0" w:type="dxa"/>
              <w:left w:w="108" w:type="dxa"/>
              <w:bottom w:w="0" w:type="dxa"/>
              <w:right w:w="108" w:type="dxa"/>
            </w:tcMar>
            <w:vAlign w:val="center"/>
          </w:tcPr>
          <w:p w14:paraId="1211952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4792A007">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5F11F73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X≥200</w:t>
            </w:r>
          </w:p>
        </w:tc>
        <w:tc>
          <w:tcPr>
            <w:tcW w:w="1523" w:type="dxa"/>
            <w:tcMar>
              <w:top w:w="0" w:type="dxa"/>
              <w:left w:w="108" w:type="dxa"/>
              <w:bottom w:w="0" w:type="dxa"/>
              <w:right w:w="108" w:type="dxa"/>
            </w:tcMar>
            <w:vAlign w:val="center"/>
          </w:tcPr>
          <w:p w14:paraId="4F470966">
            <w:pPr>
              <w:widowControl/>
              <w:spacing w:afterLines="0" w:line="240" w:lineRule="auto"/>
              <w:ind w:left="1" w:hanging="108"/>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100≤X＜200</w:t>
            </w:r>
          </w:p>
        </w:tc>
        <w:tc>
          <w:tcPr>
            <w:tcW w:w="1281" w:type="dxa"/>
            <w:tcMar>
              <w:top w:w="0" w:type="dxa"/>
              <w:left w:w="108" w:type="dxa"/>
              <w:bottom w:w="0" w:type="dxa"/>
              <w:right w:w="108" w:type="dxa"/>
            </w:tcMar>
            <w:vAlign w:val="center"/>
          </w:tcPr>
          <w:p w14:paraId="73405BE7">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20≤X＜100</w:t>
            </w:r>
          </w:p>
        </w:tc>
        <w:tc>
          <w:tcPr>
            <w:tcW w:w="899" w:type="dxa"/>
            <w:tcMar>
              <w:top w:w="0" w:type="dxa"/>
              <w:left w:w="108" w:type="dxa"/>
              <w:bottom w:w="0" w:type="dxa"/>
              <w:right w:w="108" w:type="dxa"/>
            </w:tcMar>
            <w:vAlign w:val="center"/>
          </w:tcPr>
          <w:p w14:paraId="0712A28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w:t>
            </w:r>
          </w:p>
        </w:tc>
      </w:tr>
      <w:tr w14:paraId="4E7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35ACCA5F">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40DC7C8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65A2DF1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3456A76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Y≥30000</w:t>
            </w:r>
          </w:p>
        </w:tc>
        <w:tc>
          <w:tcPr>
            <w:tcW w:w="1523" w:type="dxa"/>
            <w:tcMar>
              <w:top w:w="0" w:type="dxa"/>
              <w:left w:w="108" w:type="dxa"/>
              <w:bottom w:w="0" w:type="dxa"/>
              <w:right w:w="108" w:type="dxa"/>
            </w:tcMar>
            <w:vAlign w:val="center"/>
          </w:tcPr>
          <w:p w14:paraId="7B6170B6">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1000≤Y＜30000</w:t>
            </w:r>
          </w:p>
        </w:tc>
        <w:tc>
          <w:tcPr>
            <w:tcW w:w="1281" w:type="dxa"/>
            <w:tcMar>
              <w:top w:w="0" w:type="dxa"/>
              <w:left w:w="108" w:type="dxa"/>
              <w:bottom w:w="0" w:type="dxa"/>
              <w:right w:w="108" w:type="dxa"/>
            </w:tcMar>
            <w:vAlign w:val="center"/>
          </w:tcPr>
          <w:p w14:paraId="642DE2D6">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100≤Y＜1000</w:t>
            </w:r>
          </w:p>
        </w:tc>
        <w:tc>
          <w:tcPr>
            <w:tcW w:w="899" w:type="dxa"/>
            <w:tcMar>
              <w:top w:w="0" w:type="dxa"/>
              <w:left w:w="108" w:type="dxa"/>
              <w:bottom w:w="0" w:type="dxa"/>
              <w:right w:w="108" w:type="dxa"/>
            </w:tcMar>
            <w:vAlign w:val="center"/>
          </w:tcPr>
          <w:p w14:paraId="4F641B29">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14:paraId="46B2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25DE1060">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邮政业</w:t>
            </w:r>
          </w:p>
        </w:tc>
        <w:tc>
          <w:tcPr>
            <w:tcW w:w="1560" w:type="dxa"/>
            <w:tcMar>
              <w:top w:w="0" w:type="dxa"/>
              <w:left w:w="108" w:type="dxa"/>
              <w:bottom w:w="0" w:type="dxa"/>
              <w:right w:w="108" w:type="dxa"/>
            </w:tcMar>
            <w:vAlign w:val="center"/>
          </w:tcPr>
          <w:p w14:paraId="5326F9E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194E1A9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645FD10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X≥1000</w:t>
            </w:r>
          </w:p>
        </w:tc>
        <w:tc>
          <w:tcPr>
            <w:tcW w:w="1523" w:type="dxa"/>
            <w:tcMar>
              <w:top w:w="0" w:type="dxa"/>
              <w:left w:w="108" w:type="dxa"/>
              <w:bottom w:w="0" w:type="dxa"/>
              <w:right w:w="108" w:type="dxa"/>
            </w:tcMar>
            <w:vAlign w:val="center"/>
          </w:tcPr>
          <w:p w14:paraId="4AE1D04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300≤X＜1000</w:t>
            </w:r>
          </w:p>
        </w:tc>
        <w:tc>
          <w:tcPr>
            <w:tcW w:w="1281" w:type="dxa"/>
            <w:tcMar>
              <w:top w:w="0" w:type="dxa"/>
              <w:left w:w="108" w:type="dxa"/>
              <w:bottom w:w="0" w:type="dxa"/>
              <w:right w:w="108" w:type="dxa"/>
            </w:tcMar>
            <w:vAlign w:val="center"/>
          </w:tcPr>
          <w:p w14:paraId="5400277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20≤X＜300</w:t>
            </w:r>
          </w:p>
        </w:tc>
        <w:tc>
          <w:tcPr>
            <w:tcW w:w="899" w:type="dxa"/>
            <w:tcMar>
              <w:top w:w="0" w:type="dxa"/>
              <w:left w:w="108" w:type="dxa"/>
              <w:bottom w:w="0" w:type="dxa"/>
              <w:right w:w="108" w:type="dxa"/>
            </w:tcMar>
            <w:vAlign w:val="center"/>
          </w:tcPr>
          <w:p w14:paraId="24F784E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w:t>
            </w:r>
          </w:p>
        </w:tc>
      </w:tr>
      <w:tr w14:paraId="0643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4B3225B8">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5DDDDC42">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2357B6B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7708F25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Y≥30000</w:t>
            </w:r>
          </w:p>
        </w:tc>
        <w:tc>
          <w:tcPr>
            <w:tcW w:w="1523" w:type="dxa"/>
            <w:tcMar>
              <w:top w:w="0" w:type="dxa"/>
              <w:left w:w="108" w:type="dxa"/>
              <w:bottom w:w="0" w:type="dxa"/>
              <w:right w:w="108" w:type="dxa"/>
            </w:tcMar>
            <w:vAlign w:val="center"/>
          </w:tcPr>
          <w:p w14:paraId="2D46542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2000≤Y＜30000</w:t>
            </w:r>
          </w:p>
        </w:tc>
        <w:tc>
          <w:tcPr>
            <w:tcW w:w="1281" w:type="dxa"/>
            <w:tcMar>
              <w:top w:w="0" w:type="dxa"/>
              <w:left w:w="108" w:type="dxa"/>
              <w:bottom w:w="0" w:type="dxa"/>
              <w:right w:w="108" w:type="dxa"/>
            </w:tcMar>
            <w:vAlign w:val="center"/>
          </w:tcPr>
          <w:p w14:paraId="7E17B7A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100≤Y＜2000</w:t>
            </w:r>
          </w:p>
        </w:tc>
        <w:tc>
          <w:tcPr>
            <w:tcW w:w="899" w:type="dxa"/>
            <w:tcMar>
              <w:top w:w="0" w:type="dxa"/>
              <w:left w:w="108" w:type="dxa"/>
              <w:bottom w:w="0" w:type="dxa"/>
              <w:right w:w="108" w:type="dxa"/>
            </w:tcMar>
            <w:vAlign w:val="center"/>
          </w:tcPr>
          <w:p w14:paraId="6EEC9CA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14:paraId="4FB1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542ED880">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住宿业</w:t>
            </w:r>
          </w:p>
        </w:tc>
        <w:tc>
          <w:tcPr>
            <w:tcW w:w="1560" w:type="dxa"/>
            <w:tcMar>
              <w:top w:w="0" w:type="dxa"/>
              <w:left w:w="108" w:type="dxa"/>
              <w:bottom w:w="0" w:type="dxa"/>
              <w:right w:w="108" w:type="dxa"/>
            </w:tcMar>
            <w:vAlign w:val="center"/>
          </w:tcPr>
          <w:p w14:paraId="2434809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0D34FAE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4489C9D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523" w:type="dxa"/>
            <w:tcMar>
              <w:top w:w="0" w:type="dxa"/>
              <w:left w:w="108" w:type="dxa"/>
              <w:bottom w:w="0" w:type="dxa"/>
              <w:right w:w="108" w:type="dxa"/>
            </w:tcMar>
            <w:vAlign w:val="center"/>
          </w:tcPr>
          <w:p w14:paraId="7511A5E8">
            <w:pPr>
              <w:widowControl/>
              <w:spacing w:afterLines="0" w:line="240" w:lineRule="auto"/>
              <w:ind w:left="1" w:hanging="108"/>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281" w:type="dxa"/>
            <w:tcMar>
              <w:top w:w="0" w:type="dxa"/>
              <w:left w:w="108" w:type="dxa"/>
              <w:bottom w:w="0" w:type="dxa"/>
              <w:right w:w="108" w:type="dxa"/>
            </w:tcMar>
            <w:vAlign w:val="center"/>
          </w:tcPr>
          <w:p w14:paraId="41169CD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10≤X＜100</w:t>
            </w:r>
          </w:p>
        </w:tc>
        <w:tc>
          <w:tcPr>
            <w:tcW w:w="899" w:type="dxa"/>
            <w:tcMar>
              <w:top w:w="0" w:type="dxa"/>
              <w:left w:w="108" w:type="dxa"/>
              <w:bottom w:w="0" w:type="dxa"/>
              <w:right w:w="108" w:type="dxa"/>
            </w:tcMar>
            <w:vAlign w:val="center"/>
          </w:tcPr>
          <w:p w14:paraId="1B8B726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14:paraId="4CC0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5E156817">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764734E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24C6BB53">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770D146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Y≥10000</w:t>
            </w:r>
          </w:p>
        </w:tc>
        <w:tc>
          <w:tcPr>
            <w:tcW w:w="1523" w:type="dxa"/>
            <w:tcMar>
              <w:top w:w="0" w:type="dxa"/>
              <w:left w:w="108" w:type="dxa"/>
              <w:bottom w:w="0" w:type="dxa"/>
              <w:right w:w="108" w:type="dxa"/>
            </w:tcMar>
            <w:vAlign w:val="center"/>
          </w:tcPr>
          <w:p w14:paraId="4BD5790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2000≤Y＜10000</w:t>
            </w:r>
          </w:p>
        </w:tc>
        <w:tc>
          <w:tcPr>
            <w:tcW w:w="1281" w:type="dxa"/>
            <w:tcMar>
              <w:top w:w="0" w:type="dxa"/>
              <w:left w:w="108" w:type="dxa"/>
              <w:bottom w:w="0" w:type="dxa"/>
              <w:right w:w="108" w:type="dxa"/>
            </w:tcMar>
            <w:vAlign w:val="center"/>
          </w:tcPr>
          <w:p w14:paraId="5791F7C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100≤Y＜2000</w:t>
            </w:r>
          </w:p>
        </w:tc>
        <w:tc>
          <w:tcPr>
            <w:tcW w:w="899" w:type="dxa"/>
            <w:tcMar>
              <w:top w:w="0" w:type="dxa"/>
              <w:left w:w="108" w:type="dxa"/>
              <w:bottom w:w="0" w:type="dxa"/>
              <w:right w:w="108" w:type="dxa"/>
            </w:tcMar>
            <w:vAlign w:val="center"/>
          </w:tcPr>
          <w:p w14:paraId="15DCA55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14:paraId="6A20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08C15638">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餐饮业</w:t>
            </w:r>
          </w:p>
        </w:tc>
        <w:tc>
          <w:tcPr>
            <w:tcW w:w="1560" w:type="dxa"/>
            <w:tcMar>
              <w:top w:w="0" w:type="dxa"/>
              <w:left w:w="108" w:type="dxa"/>
              <w:bottom w:w="0" w:type="dxa"/>
              <w:right w:w="108" w:type="dxa"/>
            </w:tcMar>
            <w:vAlign w:val="center"/>
          </w:tcPr>
          <w:p w14:paraId="7C155C69">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5A871F94">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0CD35F4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523" w:type="dxa"/>
            <w:tcMar>
              <w:top w:w="0" w:type="dxa"/>
              <w:left w:w="108" w:type="dxa"/>
              <w:bottom w:w="0" w:type="dxa"/>
              <w:right w:w="108" w:type="dxa"/>
            </w:tcMar>
            <w:vAlign w:val="center"/>
          </w:tcPr>
          <w:p w14:paraId="23FB4A4A">
            <w:pPr>
              <w:widowControl/>
              <w:spacing w:afterLines="0" w:line="240" w:lineRule="auto"/>
              <w:ind w:left="1" w:hanging="108"/>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281" w:type="dxa"/>
            <w:tcMar>
              <w:top w:w="0" w:type="dxa"/>
              <w:left w:w="108" w:type="dxa"/>
              <w:bottom w:w="0" w:type="dxa"/>
              <w:right w:w="108" w:type="dxa"/>
            </w:tcMar>
            <w:vAlign w:val="center"/>
          </w:tcPr>
          <w:p w14:paraId="7A5DB96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10≤X＜100</w:t>
            </w:r>
          </w:p>
        </w:tc>
        <w:tc>
          <w:tcPr>
            <w:tcW w:w="899" w:type="dxa"/>
            <w:tcMar>
              <w:top w:w="0" w:type="dxa"/>
              <w:left w:w="108" w:type="dxa"/>
              <w:bottom w:w="0" w:type="dxa"/>
              <w:right w:w="108" w:type="dxa"/>
            </w:tcMar>
            <w:vAlign w:val="center"/>
          </w:tcPr>
          <w:p w14:paraId="789E4096">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14:paraId="0240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065BFCC2">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11FC4BE3">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16F7F9C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4236884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Y≥10000</w:t>
            </w:r>
          </w:p>
        </w:tc>
        <w:tc>
          <w:tcPr>
            <w:tcW w:w="1523" w:type="dxa"/>
            <w:tcMar>
              <w:top w:w="0" w:type="dxa"/>
              <w:left w:w="108" w:type="dxa"/>
              <w:bottom w:w="0" w:type="dxa"/>
              <w:right w:w="108" w:type="dxa"/>
            </w:tcMar>
            <w:vAlign w:val="center"/>
          </w:tcPr>
          <w:p w14:paraId="411814F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2000≤Y＜10000</w:t>
            </w:r>
          </w:p>
        </w:tc>
        <w:tc>
          <w:tcPr>
            <w:tcW w:w="1281" w:type="dxa"/>
            <w:tcMar>
              <w:top w:w="0" w:type="dxa"/>
              <w:left w:w="108" w:type="dxa"/>
              <w:bottom w:w="0" w:type="dxa"/>
              <w:right w:w="108" w:type="dxa"/>
            </w:tcMar>
            <w:vAlign w:val="center"/>
          </w:tcPr>
          <w:p w14:paraId="53E83E03">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100≤Y＜2000</w:t>
            </w:r>
          </w:p>
        </w:tc>
        <w:tc>
          <w:tcPr>
            <w:tcW w:w="899" w:type="dxa"/>
            <w:tcMar>
              <w:top w:w="0" w:type="dxa"/>
              <w:left w:w="108" w:type="dxa"/>
              <w:bottom w:w="0" w:type="dxa"/>
              <w:right w:w="108" w:type="dxa"/>
            </w:tcMar>
            <w:vAlign w:val="center"/>
          </w:tcPr>
          <w:p w14:paraId="0F9FD87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14:paraId="7452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restart"/>
            <w:tcMar>
              <w:top w:w="0" w:type="dxa"/>
              <w:left w:w="108" w:type="dxa"/>
              <w:bottom w:w="0" w:type="dxa"/>
              <w:right w:w="108" w:type="dxa"/>
            </w:tcMar>
            <w:vAlign w:val="center"/>
          </w:tcPr>
          <w:p w14:paraId="7EF77BA6">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信息传输业 *</w:t>
            </w:r>
          </w:p>
        </w:tc>
        <w:tc>
          <w:tcPr>
            <w:tcW w:w="1560" w:type="dxa"/>
            <w:tcMar>
              <w:top w:w="0" w:type="dxa"/>
              <w:left w:w="108" w:type="dxa"/>
              <w:bottom w:w="0" w:type="dxa"/>
              <w:right w:w="108" w:type="dxa"/>
            </w:tcMar>
            <w:vAlign w:val="center"/>
          </w:tcPr>
          <w:p w14:paraId="774F794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3EEB9D63">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7001B2A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X≥2000</w:t>
            </w:r>
          </w:p>
        </w:tc>
        <w:tc>
          <w:tcPr>
            <w:tcW w:w="1523" w:type="dxa"/>
            <w:tcMar>
              <w:top w:w="0" w:type="dxa"/>
              <w:left w:w="108" w:type="dxa"/>
              <w:bottom w:w="0" w:type="dxa"/>
              <w:right w:w="108" w:type="dxa"/>
            </w:tcMar>
            <w:vAlign w:val="center"/>
          </w:tcPr>
          <w:p w14:paraId="0C2FD31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100≤X＜2000</w:t>
            </w:r>
          </w:p>
        </w:tc>
        <w:tc>
          <w:tcPr>
            <w:tcW w:w="1281" w:type="dxa"/>
            <w:tcMar>
              <w:top w:w="0" w:type="dxa"/>
              <w:left w:w="108" w:type="dxa"/>
              <w:bottom w:w="0" w:type="dxa"/>
              <w:right w:w="108" w:type="dxa"/>
            </w:tcMar>
            <w:vAlign w:val="center"/>
          </w:tcPr>
          <w:p w14:paraId="21C2D19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10≤X＜100</w:t>
            </w:r>
          </w:p>
        </w:tc>
        <w:tc>
          <w:tcPr>
            <w:tcW w:w="899" w:type="dxa"/>
            <w:tcMar>
              <w:top w:w="0" w:type="dxa"/>
              <w:left w:w="108" w:type="dxa"/>
              <w:bottom w:w="0" w:type="dxa"/>
              <w:right w:w="108" w:type="dxa"/>
            </w:tcMar>
            <w:vAlign w:val="center"/>
          </w:tcPr>
          <w:p w14:paraId="49EF16F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14:paraId="7154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vMerge w:val="continue"/>
            <w:vAlign w:val="center"/>
          </w:tcPr>
          <w:p w14:paraId="0BEDE564">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4085E7B3">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6C16849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36EA328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Y≥100000</w:t>
            </w:r>
          </w:p>
        </w:tc>
        <w:tc>
          <w:tcPr>
            <w:tcW w:w="1523" w:type="dxa"/>
            <w:tcMar>
              <w:top w:w="0" w:type="dxa"/>
              <w:left w:w="108" w:type="dxa"/>
              <w:bottom w:w="0" w:type="dxa"/>
              <w:right w:w="108" w:type="dxa"/>
            </w:tcMar>
            <w:vAlign w:val="center"/>
          </w:tcPr>
          <w:p w14:paraId="51A2625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1000≤Y＜100000</w:t>
            </w:r>
          </w:p>
        </w:tc>
        <w:tc>
          <w:tcPr>
            <w:tcW w:w="1281" w:type="dxa"/>
            <w:tcMar>
              <w:top w:w="0" w:type="dxa"/>
              <w:left w:w="108" w:type="dxa"/>
              <w:bottom w:w="0" w:type="dxa"/>
              <w:right w:w="108" w:type="dxa"/>
            </w:tcMar>
            <w:vAlign w:val="center"/>
          </w:tcPr>
          <w:p w14:paraId="5DA3FEB2">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100≤Y＜1000</w:t>
            </w:r>
          </w:p>
        </w:tc>
        <w:tc>
          <w:tcPr>
            <w:tcW w:w="899" w:type="dxa"/>
            <w:tcMar>
              <w:top w:w="0" w:type="dxa"/>
              <w:left w:w="108" w:type="dxa"/>
              <w:bottom w:w="0" w:type="dxa"/>
              <w:right w:w="108" w:type="dxa"/>
            </w:tcMar>
            <w:vAlign w:val="center"/>
          </w:tcPr>
          <w:p w14:paraId="776ED0F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14:paraId="24A7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42" w:type="dxa"/>
            <w:vMerge w:val="restart"/>
            <w:tcMar>
              <w:top w:w="0" w:type="dxa"/>
              <w:left w:w="108" w:type="dxa"/>
              <w:bottom w:w="0" w:type="dxa"/>
              <w:right w:w="108" w:type="dxa"/>
            </w:tcMar>
            <w:vAlign w:val="center"/>
          </w:tcPr>
          <w:p w14:paraId="5A8E2CBF">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pacing w:val="-12"/>
                <w:kern w:val="0"/>
                <w:szCs w:val="21"/>
                <w14:textFill>
                  <w14:solidFill>
                    <w14:schemeClr w14:val="tx1"/>
                  </w14:solidFill>
                </w14:textFill>
              </w:rPr>
              <w:t>软件和信息技术服</w:t>
            </w:r>
            <w:r>
              <w:rPr>
                <w:rFonts w:hint="eastAsia" w:ascii="宋体" w:hAnsi="宋体" w:cs="宋体"/>
                <w:color w:val="000000" w:themeColor="text1"/>
                <w:kern w:val="0"/>
                <w:szCs w:val="21"/>
                <w14:textFill>
                  <w14:solidFill>
                    <w14:schemeClr w14:val="tx1"/>
                  </w14:solidFill>
                </w14:textFill>
              </w:rPr>
              <w:t>务业</w:t>
            </w:r>
          </w:p>
        </w:tc>
        <w:tc>
          <w:tcPr>
            <w:tcW w:w="1560" w:type="dxa"/>
            <w:tcMar>
              <w:top w:w="0" w:type="dxa"/>
              <w:left w:w="108" w:type="dxa"/>
              <w:bottom w:w="0" w:type="dxa"/>
              <w:right w:w="108" w:type="dxa"/>
            </w:tcMar>
            <w:vAlign w:val="center"/>
          </w:tcPr>
          <w:p w14:paraId="1B578E1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08F358C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7AA2BD1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523" w:type="dxa"/>
            <w:tcMar>
              <w:top w:w="0" w:type="dxa"/>
              <w:left w:w="108" w:type="dxa"/>
              <w:bottom w:w="0" w:type="dxa"/>
              <w:right w:w="108" w:type="dxa"/>
            </w:tcMar>
            <w:vAlign w:val="center"/>
          </w:tcPr>
          <w:p w14:paraId="503DD90D">
            <w:pPr>
              <w:widowControl/>
              <w:spacing w:afterLines="0" w:line="240" w:lineRule="auto"/>
              <w:ind w:left="1" w:hanging="108"/>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281" w:type="dxa"/>
            <w:tcMar>
              <w:top w:w="0" w:type="dxa"/>
              <w:left w:w="108" w:type="dxa"/>
              <w:bottom w:w="0" w:type="dxa"/>
              <w:right w:w="108" w:type="dxa"/>
            </w:tcMar>
            <w:vAlign w:val="center"/>
          </w:tcPr>
          <w:p w14:paraId="6FBCA78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10≤X＜100</w:t>
            </w:r>
          </w:p>
        </w:tc>
        <w:tc>
          <w:tcPr>
            <w:tcW w:w="899" w:type="dxa"/>
            <w:tcMar>
              <w:top w:w="0" w:type="dxa"/>
              <w:left w:w="108" w:type="dxa"/>
              <w:bottom w:w="0" w:type="dxa"/>
              <w:right w:w="108" w:type="dxa"/>
            </w:tcMar>
            <w:vAlign w:val="center"/>
          </w:tcPr>
          <w:p w14:paraId="3374D8A4">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14:paraId="0CA2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42" w:type="dxa"/>
            <w:vMerge w:val="continue"/>
            <w:vAlign w:val="center"/>
          </w:tcPr>
          <w:p w14:paraId="54A3B360">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2725469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5C10D03D">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0C118A6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Y≥10000</w:t>
            </w:r>
          </w:p>
        </w:tc>
        <w:tc>
          <w:tcPr>
            <w:tcW w:w="1523" w:type="dxa"/>
            <w:tcMar>
              <w:top w:w="0" w:type="dxa"/>
              <w:left w:w="108" w:type="dxa"/>
              <w:bottom w:w="0" w:type="dxa"/>
              <w:right w:w="108" w:type="dxa"/>
            </w:tcMar>
            <w:vAlign w:val="center"/>
          </w:tcPr>
          <w:p w14:paraId="17F76DE2">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1000≤Y＜10000</w:t>
            </w:r>
          </w:p>
        </w:tc>
        <w:tc>
          <w:tcPr>
            <w:tcW w:w="1281" w:type="dxa"/>
            <w:tcMar>
              <w:top w:w="0" w:type="dxa"/>
              <w:left w:w="108" w:type="dxa"/>
              <w:bottom w:w="0" w:type="dxa"/>
              <w:right w:w="108" w:type="dxa"/>
            </w:tcMar>
            <w:vAlign w:val="center"/>
          </w:tcPr>
          <w:p w14:paraId="0A3F302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50≤Y＜1000</w:t>
            </w:r>
          </w:p>
        </w:tc>
        <w:tc>
          <w:tcPr>
            <w:tcW w:w="899" w:type="dxa"/>
            <w:tcMar>
              <w:top w:w="0" w:type="dxa"/>
              <w:left w:w="108" w:type="dxa"/>
              <w:bottom w:w="0" w:type="dxa"/>
              <w:right w:w="108" w:type="dxa"/>
            </w:tcMar>
            <w:vAlign w:val="center"/>
          </w:tcPr>
          <w:p w14:paraId="3525F7D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Y＜50</w:t>
            </w:r>
          </w:p>
        </w:tc>
      </w:tr>
      <w:tr w14:paraId="6EAD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42" w:type="dxa"/>
            <w:vMerge w:val="restart"/>
            <w:tcMar>
              <w:top w:w="0" w:type="dxa"/>
              <w:left w:w="108" w:type="dxa"/>
              <w:bottom w:w="0" w:type="dxa"/>
              <w:right w:w="108" w:type="dxa"/>
            </w:tcMar>
            <w:vAlign w:val="center"/>
          </w:tcPr>
          <w:p w14:paraId="5EB7DF7E">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房地产开发经营</w:t>
            </w:r>
          </w:p>
        </w:tc>
        <w:tc>
          <w:tcPr>
            <w:tcW w:w="1560" w:type="dxa"/>
            <w:tcMar>
              <w:top w:w="0" w:type="dxa"/>
              <w:left w:w="108" w:type="dxa"/>
              <w:bottom w:w="0" w:type="dxa"/>
              <w:right w:w="108" w:type="dxa"/>
            </w:tcMar>
            <w:vAlign w:val="center"/>
          </w:tcPr>
          <w:p w14:paraId="4F05DED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2F426719">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2179FC2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Y≥200000</w:t>
            </w:r>
          </w:p>
        </w:tc>
        <w:tc>
          <w:tcPr>
            <w:tcW w:w="1523" w:type="dxa"/>
            <w:tcMar>
              <w:top w:w="0" w:type="dxa"/>
              <w:left w:w="108" w:type="dxa"/>
              <w:bottom w:w="0" w:type="dxa"/>
              <w:right w:w="108" w:type="dxa"/>
            </w:tcMar>
            <w:vAlign w:val="center"/>
          </w:tcPr>
          <w:p w14:paraId="5FCA53D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1000≤Y＜200000</w:t>
            </w:r>
          </w:p>
        </w:tc>
        <w:tc>
          <w:tcPr>
            <w:tcW w:w="1281" w:type="dxa"/>
            <w:tcMar>
              <w:top w:w="0" w:type="dxa"/>
              <w:left w:w="108" w:type="dxa"/>
              <w:bottom w:w="0" w:type="dxa"/>
              <w:right w:w="108" w:type="dxa"/>
            </w:tcMar>
            <w:vAlign w:val="center"/>
          </w:tcPr>
          <w:p w14:paraId="6FFFD88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100≤Y＜1000</w:t>
            </w:r>
          </w:p>
        </w:tc>
        <w:tc>
          <w:tcPr>
            <w:tcW w:w="899" w:type="dxa"/>
            <w:tcMar>
              <w:top w:w="0" w:type="dxa"/>
              <w:left w:w="108" w:type="dxa"/>
              <w:bottom w:w="0" w:type="dxa"/>
              <w:right w:w="108" w:type="dxa"/>
            </w:tcMar>
            <w:vAlign w:val="center"/>
          </w:tcPr>
          <w:p w14:paraId="45231A1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14:paraId="7C73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42" w:type="dxa"/>
            <w:vMerge w:val="continue"/>
            <w:vAlign w:val="center"/>
          </w:tcPr>
          <w:p w14:paraId="230FB839">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2D1B1A6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资产总额(Z)</w:t>
            </w:r>
          </w:p>
        </w:tc>
        <w:tc>
          <w:tcPr>
            <w:tcW w:w="1008" w:type="dxa"/>
            <w:tcMar>
              <w:top w:w="0" w:type="dxa"/>
              <w:left w:w="108" w:type="dxa"/>
              <w:bottom w:w="0" w:type="dxa"/>
              <w:right w:w="108" w:type="dxa"/>
            </w:tcMar>
            <w:vAlign w:val="center"/>
          </w:tcPr>
          <w:p w14:paraId="03CFD382">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56F1D4A7">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Z≥10000</w:t>
            </w:r>
          </w:p>
        </w:tc>
        <w:tc>
          <w:tcPr>
            <w:tcW w:w="1523" w:type="dxa"/>
            <w:tcMar>
              <w:top w:w="0" w:type="dxa"/>
              <w:left w:w="108" w:type="dxa"/>
              <w:bottom w:w="0" w:type="dxa"/>
              <w:right w:w="108" w:type="dxa"/>
            </w:tcMar>
            <w:vAlign w:val="center"/>
          </w:tcPr>
          <w:p w14:paraId="1677EDE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5000≤Z＜10000</w:t>
            </w:r>
          </w:p>
        </w:tc>
        <w:tc>
          <w:tcPr>
            <w:tcW w:w="1281" w:type="dxa"/>
            <w:tcMar>
              <w:top w:w="0" w:type="dxa"/>
              <w:left w:w="108" w:type="dxa"/>
              <w:bottom w:w="0" w:type="dxa"/>
              <w:right w:w="108" w:type="dxa"/>
            </w:tcMar>
            <w:vAlign w:val="center"/>
          </w:tcPr>
          <w:p w14:paraId="11ED70B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2000≤Z＜5000  </w:t>
            </w:r>
          </w:p>
        </w:tc>
        <w:tc>
          <w:tcPr>
            <w:tcW w:w="899" w:type="dxa"/>
            <w:tcMar>
              <w:top w:w="0" w:type="dxa"/>
              <w:left w:w="108" w:type="dxa"/>
              <w:bottom w:w="0" w:type="dxa"/>
              <w:right w:w="108" w:type="dxa"/>
            </w:tcMar>
            <w:vAlign w:val="center"/>
          </w:tcPr>
          <w:p w14:paraId="5D0AA547">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Z＜2000</w:t>
            </w:r>
          </w:p>
        </w:tc>
      </w:tr>
      <w:tr w14:paraId="63BD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42" w:type="dxa"/>
            <w:vMerge w:val="restart"/>
            <w:tcMar>
              <w:top w:w="0" w:type="dxa"/>
              <w:left w:w="108" w:type="dxa"/>
              <w:bottom w:w="0" w:type="dxa"/>
              <w:right w:w="108" w:type="dxa"/>
            </w:tcMar>
            <w:vAlign w:val="center"/>
          </w:tcPr>
          <w:p w14:paraId="72EF53F4">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物业管理</w:t>
            </w:r>
          </w:p>
        </w:tc>
        <w:tc>
          <w:tcPr>
            <w:tcW w:w="1560" w:type="dxa"/>
            <w:tcMar>
              <w:top w:w="0" w:type="dxa"/>
              <w:left w:w="108" w:type="dxa"/>
              <w:bottom w:w="0" w:type="dxa"/>
              <w:right w:w="108" w:type="dxa"/>
            </w:tcMar>
            <w:vAlign w:val="center"/>
          </w:tcPr>
          <w:p w14:paraId="6274A4A9">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2FDDCC53">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6AF45954">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X≥1000</w:t>
            </w:r>
          </w:p>
        </w:tc>
        <w:tc>
          <w:tcPr>
            <w:tcW w:w="1523" w:type="dxa"/>
            <w:tcMar>
              <w:top w:w="0" w:type="dxa"/>
              <w:left w:w="108" w:type="dxa"/>
              <w:bottom w:w="0" w:type="dxa"/>
              <w:right w:w="108" w:type="dxa"/>
            </w:tcMar>
            <w:vAlign w:val="center"/>
          </w:tcPr>
          <w:p w14:paraId="3B13C8CD">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300≤X＜1000</w:t>
            </w:r>
          </w:p>
        </w:tc>
        <w:tc>
          <w:tcPr>
            <w:tcW w:w="1281" w:type="dxa"/>
            <w:tcMar>
              <w:top w:w="0" w:type="dxa"/>
              <w:left w:w="108" w:type="dxa"/>
              <w:bottom w:w="0" w:type="dxa"/>
              <w:right w:w="108" w:type="dxa"/>
            </w:tcMar>
            <w:vAlign w:val="center"/>
          </w:tcPr>
          <w:p w14:paraId="010B3FD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899" w:type="dxa"/>
            <w:tcMar>
              <w:top w:w="0" w:type="dxa"/>
              <w:left w:w="108" w:type="dxa"/>
              <w:bottom w:w="0" w:type="dxa"/>
              <w:right w:w="108" w:type="dxa"/>
            </w:tcMar>
            <w:vAlign w:val="center"/>
          </w:tcPr>
          <w:p w14:paraId="279D972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w:t>
            </w:r>
          </w:p>
        </w:tc>
      </w:tr>
      <w:tr w14:paraId="1B4B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42" w:type="dxa"/>
            <w:vMerge w:val="continue"/>
            <w:vAlign w:val="center"/>
          </w:tcPr>
          <w:p w14:paraId="64F319AB">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5D2C976D">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1008" w:type="dxa"/>
            <w:tcMar>
              <w:top w:w="0" w:type="dxa"/>
              <w:left w:w="108" w:type="dxa"/>
              <w:bottom w:w="0" w:type="dxa"/>
              <w:right w:w="108" w:type="dxa"/>
            </w:tcMar>
            <w:vAlign w:val="center"/>
          </w:tcPr>
          <w:p w14:paraId="12BA166E">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07FB27A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Y≥5000</w:t>
            </w:r>
          </w:p>
        </w:tc>
        <w:tc>
          <w:tcPr>
            <w:tcW w:w="1523" w:type="dxa"/>
            <w:tcMar>
              <w:top w:w="0" w:type="dxa"/>
              <w:left w:w="108" w:type="dxa"/>
              <w:bottom w:w="0" w:type="dxa"/>
              <w:right w:w="108" w:type="dxa"/>
            </w:tcMar>
            <w:vAlign w:val="center"/>
          </w:tcPr>
          <w:p w14:paraId="492D9D51">
            <w:pPr>
              <w:widowControl/>
              <w:spacing w:afterLines="0" w:line="240" w:lineRule="auto"/>
              <w:ind w:left="1" w:hanging="108"/>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1000≤Y＜5000</w:t>
            </w:r>
          </w:p>
        </w:tc>
        <w:tc>
          <w:tcPr>
            <w:tcW w:w="1281" w:type="dxa"/>
            <w:tcMar>
              <w:top w:w="0" w:type="dxa"/>
              <w:left w:w="108" w:type="dxa"/>
              <w:bottom w:w="0" w:type="dxa"/>
              <w:right w:w="108" w:type="dxa"/>
            </w:tcMar>
            <w:vAlign w:val="center"/>
          </w:tcPr>
          <w:p w14:paraId="75F9103A">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500≤Y＜1000</w:t>
            </w:r>
          </w:p>
        </w:tc>
        <w:tc>
          <w:tcPr>
            <w:tcW w:w="899" w:type="dxa"/>
            <w:tcMar>
              <w:top w:w="0" w:type="dxa"/>
              <w:left w:w="108" w:type="dxa"/>
              <w:bottom w:w="0" w:type="dxa"/>
              <w:right w:w="108" w:type="dxa"/>
            </w:tcMar>
            <w:vAlign w:val="center"/>
          </w:tcPr>
          <w:p w14:paraId="6EF07F2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Y＜500</w:t>
            </w:r>
          </w:p>
        </w:tc>
      </w:tr>
      <w:tr w14:paraId="2479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42" w:type="dxa"/>
            <w:vMerge w:val="restart"/>
            <w:tcMar>
              <w:top w:w="0" w:type="dxa"/>
              <w:left w:w="108" w:type="dxa"/>
              <w:bottom w:w="0" w:type="dxa"/>
              <w:right w:w="108" w:type="dxa"/>
            </w:tcMar>
            <w:vAlign w:val="center"/>
          </w:tcPr>
          <w:p w14:paraId="41A405D8">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租赁和商务服务业</w:t>
            </w:r>
          </w:p>
        </w:tc>
        <w:tc>
          <w:tcPr>
            <w:tcW w:w="1560" w:type="dxa"/>
            <w:tcMar>
              <w:top w:w="0" w:type="dxa"/>
              <w:left w:w="108" w:type="dxa"/>
              <w:bottom w:w="0" w:type="dxa"/>
              <w:right w:w="108" w:type="dxa"/>
            </w:tcMar>
            <w:vAlign w:val="center"/>
          </w:tcPr>
          <w:p w14:paraId="4C80F60D">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0A6C2E9D">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7344E0F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523" w:type="dxa"/>
            <w:tcMar>
              <w:top w:w="0" w:type="dxa"/>
              <w:left w:w="108" w:type="dxa"/>
              <w:bottom w:w="0" w:type="dxa"/>
              <w:right w:w="108" w:type="dxa"/>
            </w:tcMar>
            <w:vAlign w:val="center"/>
          </w:tcPr>
          <w:p w14:paraId="34789E08">
            <w:pPr>
              <w:widowControl/>
              <w:spacing w:afterLines="0" w:line="240" w:lineRule="auto"/>
              <w:ind w:left="1" w:hanging="108"/>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281" w:type="dxa"/>
            <w:tcMar>
              <w:top w:w="0" w:type="dxa"/>
              <w:left w:w="108" w:type="dxa"/>
              <w:bottom w:w="0" w:type="dxa"/>
              <w:right w:w="108" w:type="dxa"/>
            </w:tcMar>
            <w:vAlign w:val="center"/>
          </w:tcPr>
          <w:p w14:paraId="12537B71">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10≤X＜100</w:t>
            </w:r>
          </w:p>
        </w:tc>
        <w:tc>
          <w:tcPr>
            <w:tcW w:w="899" w:type="dxa"/>
            <w:tcMar>
              <w:top w:w="0" w:type="dxa"/>
              <w:left w:w="108" w:type="dxa"/>
              <w:bottom w:w="0" w:type="dxa"/>
              <w:right w:w="108" w:type="dxa"/>
            </w:tcMar>
            <w:vAlign w:val="center"/>
          </w:tcPr>
          <w:p w14:paraId="27B34C0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14:paraId="0474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42" w:type="dxa"/>
            <w:vMerge w:val="continue"/>
            <w:vAlign w:val="center"/>
          </w:tcPr>
          <w:p w14:paraId="697508D9">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p>
        </w:tc>
        <w:tc>
          <w:tcPr>
            <w:tcW w:w="1560" w:type="dxa"/>
            <w:tcMar>
              <w:top w:w="0" w:type="dxa"/>
              <w:left w:w="108" w:type="dxa"/>
              <w:bottom w:w="0" w:type="dxa"/>
              <w:right w:w="108" w:type="dxa"/>
            </w:tcMar>
            <w:vAlign w:val="center"/>
          </w:tcPr>
          <w:p w14:paraId="49E16C6F">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资产总额(Z)</w:t>
            </w:r>
          </w:p>
        </w:tc>
        <w:tc>
          <w:tcPr>
            <w:tcW w:w="1008" w:type="dxa"/>
            <w:tcMar>
              <w:top w:w="0" w:type="dxa"/>
              <w:left w:w="108" w:type="dxa"/>
              <w:bottom w:w="0" w:type="dxa"/>
              <w:right w:w="108" w:type="dxa"/>
            </w:tcMar>
            <w:vAlign w:val="center"/>
          </w:tcPr>
          <w:p w14:paraId="6809C4F9">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016" w:type="dxa"/>
            <w:tcMar>
              <w:top w:w="0" w:type="dxa"/>
              <w:left w:w="108" w:type="dxa"/>
              <w:bottom w:w="0" w:type="dxa"/>
              <w:right w:w="108" w:type="dxa"/>
            </w:tcMar>
            <w:vAlign w:val="center"/>
          </w:tcPr>
          <w:p w14:paraId="59D67ED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Z≥120000</w:t>
            </w:r>
          </w:p>
        </w:tc>
        <w:tc>
          <w:tcPr>
            <w:tcW w:w="1523" w:type="dxa"/>
            <w:tcMar>
              <w:top w:w="0" w:type="dxa"/>
              <w:left w:w="108" w:type="dxa"/>
              <w:bottom w:w="0" w:type="dxa"/>
              <w:right w:w="108" w:type="dxa"/>
            </w:tcMar>
            <w:vAlign w:val="center"/>
          </w:tcPr>
          <w:p w14:paraId="14CBE328">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8000≤Z＜120000</w:t>
            </w:r>
          </w:p>
        </w:tc>
        <w:tc>
          <w:tcPr>
            <w:tcW w:w="1281" w:type="dxa"/>
            <w:tcMar>
              <w:top w:w="0" w:type="dxa"/>
              <w:left w:w="108" w:type="dxa"/>
              <w:bottom w:w="0" w:type="dxa"/>
              <w:right w:w="108" w:type="dxa"/>
            </w:tcMar>
            <w:vAlign w:val="center"/>
          </w:tcPr>
          <w:p w14:paraId="6CD63717">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100≤Z＜8000</w:t>
            </w:r>
          </w:p>
        </w:tc>
        <w:tc>
          <w:tcPr>
            <w:tcW w:w="899" w:type="dxa"/>
            <w:tcMar>
              <w:top w:w="0" w:type="dxa"/>
              <w:left w:w="108" w:type="dxa"/>
              <w:bottom w:w="0" w:type="dxa"/>
              <w:right w:w="108" w:type="dxa"/>
            </w:tcMar>
            <w:vAlign w:val="center"/>
          </w:tcPr>
          <w:p w14:paraId="710C6B15">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Z＜100</w:t>
            </w:r>
          </w:p>
        </w:tc>
      </w:tr>
      <w:tr w14:paraId="5615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2" w:type="dxa"/>
            <w:tcMar>
              <w:top w:w="0" w:type="dxa"/>
              <w:left w:w="108" w:type="dxa"/>
              <w:bottom w:w="0" w:type="dxa"/>
              <w:right w:w="108" w:type="dxa"/>
            </w:tcMar>
            <w:vAlign w:val="center"/>
          </w:tcPr>
          <w:p w14:paraId="171C3E94">
            <w:pPr>
              <w:widowControl/>
              <w:spacing w:afterLines="0" w:line="24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其他未列明行业 *</w:t>
            </w:r>
          </w:p>
        </w:tc>
        <w:tc>
          <w:tcPr>
            <w:tcW w:w="1560" w:type="dxa"/>
            <w:tcMar>
              <w:top w:w="0" w:type="dxa"/>
              <w:left w:w="108" w:type="dxa"/>
              <w:bottom w:w="0" w:type="dxa"/>
              <w:right w:w="108" w:type="dxa"/>
            </w:tcMar>
            <w:vAlign w:val="center"/>
          </w:tcPr>
          <w:p w14:paraId="3199745B">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1008" w:type="dxa"/>
            <w:tcMar>
              <w:top w:w="0" w:type="dxa"/>
              <w:left w:w="108" w:type="dxa"/>
              <w:bottom w:w="0" w:type="dxa"/>
              <w:right w:w="108" w:type="dxa"/>
            </w:tcMar>
            <w:vAlign w:val="center"/>
          </w:tcPr>
          <w:p w14:paraId="67119090">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016" w:type="dxa"/>
            <w:tcMar>
              <w:top w:w="0" w:type="dxa"/>
              <w:left w:w="108" w:type="dxa"/>
              <w:bottom w:w="0" w:type="dxa"/>
              <w:right w:w="108" w:type="dxa"/>
            </w:tcMar>
            <w:vAlign w:val="center"/>
          </w:tcPr>
          <w:p w14:paraId="27E3C56C">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523" w:type="dxa"/>
            <w:tcMar>
              <w:top w:w="0" w:type="dxa"/>
              <w:left w:w="108" w:type="dxa"/>
              <w:bottom w:w="0" w:type="dxa"/>
              <w:right w:w="108" w:type="dxa"/>
            </w:tcMar>
            <w:vAlign w:val="center"/>
          </w:tcPr>
          <w:p w14:paraId="6819834B">
            <w:pPr>
              <w:widowControl/>
              <w:spacing w:afterLines="0" w:line="240" w:lineRule="auto"/>
              <w:ind w:left="1" w:hanging="108"/>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281" w:type="dxa"/>
            <w:tcMar>
              <w:top w:w="0" w:type="dxa"/>
              <w:left w:w="108" w:type="dxa"/>
              <w:bottom w:w="0" w:type="dxa"/>
              <w:right w:w="108" w:type="dxa"/>
            </w:tcMar>
            <w:vAlign w:val="center"/>
          </w:tcPr>
          <w:p w14:paraId="35CEC3E4">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10≤X＜100</w:t>
            </w:r>
          </w:p>
        </w:tc>
        <w:tc>
          <w:tcPr>
            <w:tcW w:w="899" w:type="dxa"/>
            <w:tcMar>
              <w:top w:w="0" w:type="dxa"/>
              <w:left w:w="108" w:type="dxa"/>
              <w:bottom w:w="0" w:type="dxa"/>
              <w:right w:w="108" w:type="dxa"/>
            </w:tcMar>
            <w:vAlign w:val="center"/>
          </w:tcPr>
          <w:p w14:paraId="583DCE07">
            <w:pPr>
              <w:widowControl/>
              <w:spacing w:afterLines="0" w:line="24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bl>
    <w:p w14:paraId="1F18FD0A">
      <w:pPr>
        <w:spacing w:after="60"/>
        <w:rPr>
          <w:rFonts w:hint="eastAsia" w:ascii="宋体" w:hAnsi="宋体"/>
          <w:color w:val="000000" w:themeColor="text1"/>
          <w14:textFill>
            <w14:solidFill>
              <w14:schemeClr w14:val="tx1"/>
            </w14:solidFill>
          </w14:textFill>
        </w:rPr>
      </w:pPr>
    </w:p>
    <w:p w14:paraId="1CB0190A">
      <w:pPr>
        <w:widowControl/>
        <w:shd w:val="clear" w:color="auto" w:fill="FFFFFF"/>
        <w:spacing w:afterLines="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说明：</w:t>
      </w:r>
    </w:p>
    <w:p w14:paraId="2ABD5526">
      <w:pPr>
        <w:widowControl/>
        <w:shd w:val="clear" w:color="auto" w:fill="FFFFFF"/>
        <w:spacing w:afterLines="0" w:line="360" w:lineRule="auto"/>
        <w:ind w:firstLine="452"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1.大型、中型和小型企业须同时满足所列指标的下限，否则下划一档；微型企业只须满足所列指标中的一项即可。</w:t>
      </w:r>
    </w:p>
    <w:p w14:paraId="3C785557">
      <w:pPr>
        <w:widowControl/>
        <w:shd w:val="clear" w:color="auto" w:fill="FFFFFF"/>
        <w:spacing w:afterLines="0" w:line="360" w:lineRule="auto"/>
        <w:ind w:firstLine="452"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F6ECFD5">
      <w:pPr>
        <w:widowControl/>
        <w:shd w:val="clear" w:color="auto" w:fill="FFFFFF"/>
        <w:spacing w:afterLines="0" w:line="360" w:lineRule="auto"/>
        <w:ind w:firstLine="452" w:firstLineChars="20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928076F">
      <w:pPr>
        <w:spacing w:after="60"/>
        <w:rPr>
          <w:rFonts w:hint="eastAsia" w:ascii="宋体" w:hAnsi="宋体"/>
          <w:color w:val="000000" w:themeColor="text1"/>
          <w14:textFill>
            <w14:solidFill>
              <w14:schemeClr w14:val="tx1"/>
            </w14:solidFill>
          </w14:textFill>
        </w:rPr>
      </w:pPr>
    </w:p>
    <w:p w14:paraId="5FB1D3E9">
      <w:pPr>
        <w:spacing w:after="6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附件4：</w:t>
      </w:r>
    </w:p>
    <w:p w14:paraId="441B8063">
      <w:pPr>
        <w:spacing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关于促进残疾人就业政府采购政策的通知（财库〔2017〕141号）</w:t>
      </w:r>
    </w:p>
    <w:p w14:paraId="6E1941A2">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59F7E4BA">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14:paraId="160E9D99">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一、享受政府采购支持政策的残疾人福利性单位应当同时满足以下条件：</w:t>
      </w:r>
    </w:p>
    <w:p w14:paraId="49C0AAE2">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（一）安置的残疾人占本单位在职职工人数的比例不低于25%（含25%），并且安置的残疾人人数不少于10人（含10人）；</w:t>
      </w:r>
    </w:p>
    <w:p w14:paraId="7F6871B2">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（二）依法与安置的每位残疾人签订了一年以上（含一年）的劳动合同或服务协议；</w:t>
      </w:r>
    </w:p>
    <w:p w14:paraId="64DEB272">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（三）为安置的每位残疾人按月足额缴纳了基本养老保险、基本医疗保险、失业保险、工伤保险和生育保险等社会保险费；</w:t>
      </w:r>
    </w:p>
    <w:p w14:paraId="4E70B81F">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14:paraId="55546F00">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233348DD">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17F156A">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3652FCB">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14:paraId="5BE73FA2">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供应商提供的《残疾人福利性单位声明函》与事实不符的，依照《政府采购法》第七十七条第一款的规定追究法律责任。</w:t>
      </w:r>
    </w:p>
    <w:p w14:paraId="51811ABA">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0EB293C">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14:paraId="3899D091">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FE3287C">
      <w:pPr>
        <w:spacing w:afterLines="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9506C5">
      <w:pPr>
        <w:spacing w:afterLines="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七、本通知自2017年10月1日起执行。</w:t>
      </w:r>
    </w:p>
    <w:p w14:paraId="183198CC">
      <w:pPr>
        <w:widowControl/>
        <w:spacing w:afterLines="0" w:line="24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41BF8CCC">
      <w:pPr>
        <w:spacing w:after="60"/>
        <w:rPr>
          <w:rFonts w:hint="eastAsia" w:ascii="宋体" w:hAnsi="宋体"/>
          <w:color w:val="000000" w:themeColor="text1"/>
          <w:szCs w:val="21"/>
          <w14:textFill>
            <w14:solidFill>
              <w14:schemeClr w14:val="tx1"/>
            </w14:solidFill>
          </w14:textFill>
        </w:rPr>
      </w:pPr>
    </w:p>
    <w:p w14:paraId="6C893AE9">
      <w:pPr>
        <w:pStyle w:val="3"/>
        <w:keepNext w:val="0"/>
        <w:keepLines w:val="0"/>
        <w:numPr>
          <w:ilvl w:val="0"/>
          <w:numId w:val="16"/>
        </w:numPr>
        <w:adjustRightInd w:val="0"/>
        <w:spacing w:before="120" w:beforeLines="50" w:after="240" w:afterLines="100" w:line="560" w:lineRule="exact"/>
        <w:jc w:val="center"/>
        <w:textAlignment w:val="baseline"/>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中标服务费</w:t>
      </w:r>
    </w:p>
    <w:p w14:paraId="67A5DD73">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服务费由中标人支付，中标服务费收费标准按《深圳市财政局员会关于规范深圳市社会采购代理机构管理有关事项的补充通知》（深财购〔2018〕27号）执行，按差额定率累进法计算收取，收费标准如下表所列：</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172"/>
        <w:gridCol w:w="1991"/>
        <w:gridCol w:w="1860"/>
      </w:tblGrid>
      <w:tr w14:paraId="36E8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7" w:type="dxa"/>
            <w:vMerge w:val="restart"/>
            <w:vAlign w:val="center"/>
          </w:tcPr>
          <w:p w14:paraId="612D78B1">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中标金额（万元）</w:t>
            </w:r>
          </w:p>
        </w:tc>
        <w:tc>
          <w:tcPr>
            <w:tcW w:w="6023" w:type="dxa"/>
            <w:gridSpan w:val="3"/>
            <w:vAlign w:val="center"/>
          </w:tcPr>
          <w:p w14:paraId="287BF811">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服务类型/费率</w:t>
            </w:r>
          </w:p>
        </w:tc>
      </w:tr>
      <w:tr w14:paraId="792A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7" w:type="dxa"/>
            <w:vMerge w:val="continue"/>
            <w:vAlign w:val="center"/>
          </w:tcPr>
          <w:p w14:paraId="0DF28B41">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p>
        </w:tc>
        <w:tc>
          <w:tcPr>
            <w:tcW w:w="2172" w:type="dxa"/>
            <w:vAlign w:val="center"/>
          </w:tcPr>
          <w:p w14:paraId="2CD4E41A">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货物</w:t>
            </w:r>
            <w:r>
              <w:rPr>
                <w:rFonts w:hint="eastAsia" w:ascii="宋体" w:hAnsi="宋体"/>
                <w:color w:val="000000" w:themeColor="text1"/>
                <w14:textFill>
                  <w14:solidFill>
                    <w14:schemeClr w14:val="tx1"/>
                  </w14:solidFill>
                </w14:textFill>
              </w:rPr>
              <w:t>采购</w:t>
            </w:r>
          </w:p>
        </w:tc>
        <w:tc>
          <w:tcPr>
            <w:tcW w:w="1991" w:type="dxa"/>
            <w:vAlign w:val="center"/>
          </w:tcPr>
          <w:p w14:paraId="7E3F88B7">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服务</w:t>
            </w:r>
            <w:r>
              <w:rPr>
                <w:rFonts w:hint="eastAsia" w:ascii="宋体" w:hAnsi="宋体"/>
                <w:color w:val="000000" w:themeColor="text1"/>
                <w14:textFill>
                  <w14:solidFill>
                    <w14:schemeClr w14:val="tx1"/>
                  </w14:solidFill>
                </w14:textFill>
              </w:rPr>
              <w:t>采购</w:t>
            </w:r>
          </w:p>
        </w:tc>
        <w:tc>
          <w:tcPr>
            <w:tcW w:w="1860" w:type="dxa"/>
            <w:vAlign w:val="center"/>
          </w:tcPr>
          <w:p w14:paraId="666CDB6D">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工程</w:t>
            </w:r>
            <w:r>
              <w:rPr>
                <w:rFonts w:hint="eastAsia" w:ascii="宋体" w:hAnsi="宋体"/>
                <w:color w:val="000000" w:themeColor="text1"/>
                <w14:textFill>
                  <w14:solidFill>
                    <w14:schemeClr w14:val="tx1"/>
                  </w14:solidFill>
                </w14:textFill>
              </w:rPr>
              <w:t>采购</w:t>
            </w:r>
          </w:p>
        </w:tc>
      </w:tr>
      <w:tr w14:paraId="0828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7" w:type="dxa"/>
            <w:vAlign w:val="center"/>
          </w:tcPr>
          <w:p w14:paraId="78A1D74E">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100以下</w:t>
            </w:r>
          </w:p>
        </w:tc>
        <w:tc>
          <w:tcPr>
            <w:tcW w:w="2172" w:type="dxa"/>
            <w:vAlign w:val="center"/>
          </w:tcPr>
          <w:p w14:paraId="73CDB728">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1.50%</w:t>
            </w:r>
          </w:p>
        </w:tc>
        <w:tc>
          <w:tcPr>
            <w:tcW w:w="1991" w:type="dxa"/>
            <w:vAlign w:val="center"/>
          </w:tcPr>
          <w:p w14:paraId="35F8620F">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1.50%</w:t>
            </w:r>
          </w:p>
        </w:tc>
        <w:tc>
          <w:tcPr>
            <w:tcW w:w="1860" w:type="dxa"/>
            <w:vAlign w:val="center"/>
          </w:tcPr>
          <w:p w14:paraId="14D69BEA">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1.00%</w:t>
            </w:r>
          </w:p>
        </w:tc>
      </w:tr>
      <w:tr w14:paraId="429E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7" w:type="dxa"/>
            <w:vAlign w:val="center"/>
          </w:tcPr>
          <w:p w14:paraId="0529E618">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100-500</w:t>
            </w:r>
          </w:p>
        </w:tc>
        <w:tc>
          <w:tcPr>
            <w:tcW w:w="2172" w:type="dxa"/>
            <w:vAlign w:val="center"/>
          </w:tcPr>
          <w:p w14:paraId="336CCCC9">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1.10%</w:t>
            </w:r>
          </w:p>
        </w:tc>
        <w:tc>
          <w:tcPr>
            <w:tcW w:w="1991" w:type="dxa"/>
            <w:vAlign w:val="center"/>
          </w:tcPr>
          <w:p w14:paraId="6FF8F8FC">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0.80%</w:t>
            </w:r>
          </w:p>
        </w:tc>
        <w:tc>
          <w:tcPr>
            <w:tcW w:w="1860" w:type="dxa"/>
            <w:vAlign w:val="center"/>
          </w:tcPr>
          <w:p w14:paraId="3D74BDB4">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0.70%</w:t>
            </w:r>
          </w:p>
        </w:tc>
      </w:tr>
      <w:tr w14:paraId="0ED4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7" w:type="dxa"/>
            <w:vAlign w:val="center"/>
          </w:tcPr>
          <w:p w14:paraId="54CBB835">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500-1000</w:t>
            </w:r>
          </w:p>
        </w:tc>
        <w:tc>
          <w:tcPr>
            <w:tcW w:w="2172" w:type="dxa"/>
            <w:vAlign w:val="center"/>
          </w:tcPr>
          <w:p w14:paraId="2666B8D3">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0.80%</w:t>
            </w:r>
          </w:p>
        </w:tc>
        <w:tc>
          <w:tcPr>
            <w:tcW w:w="1991" w:type="dxa"/>
            <w:vAlign w:val="center"/>
          </w:tcPr>
          <w:p w14:paraId="4DCD3BE3">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0.45%</w:t>
            </w:r>
          </w:p>
        </w:tc>
        <w:tc>
          <w:tcPr>
            <w:tcW w:w="1860" w:type="dxa"/>
            <w:vAlign w:val="center"/>
          </w:tcPr>
          <w:p w14:paraId="557F4702">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0.55%</w:t>
            </w:r>
          </w:p>
        </w:tc>
      </w:tr>
      <w:tr w14:paraId="62C7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7" w:type="dxa"/>
            <w:vAlign w:val="center"/>
          </w:tcPr>
          <w:p w14:paraId="76F2164C">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1000-5000</w:t>
            </w:r>
          </w:p>
        </w:tc>
        <w:tc>
          <w:tcPr>
            <w:tcW w:w="2172" w:type="dxa"/>
            <w:vAlign w:val="center"/>
          </w:tcPr>
          <w:p w14:paraId="404E5D17">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0.50%</w:t>
            </w:r>
          </w:p>
        </w:tc>
        <w:tc>
          <w:tcPr>
            <w:tcW w:w="1991" w:type="dxa"/>
            <w:vAlign w:val="center"/>
          </w:tcPr>
          <w:p w14:paraId="19562262">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0.25%</w:t>
            </w:r>
          </w:p>
        </w:tc>
        <w:tc>
          <w:tcPr>
            <w:tcW w:w="1860" w:type="dxa"/>
            <w:vAlign w:val="center"/>
          </w:tcPr>
          <w:p w14:paraId="1871DA14">
            <w:pPr>
              <w:widowControl/>
              <w:tabs>
                <w:tab w:val="left" w:pos="540"/>
              </w:tabs>
              <w:autoSpaceDE w:val="0"/>
              <w:autoSpaceDN w:val="0"/>
              <w:spacing w:afterLines="0" w:line="400" w:lineRule="exact"/>
              <w:ind w:right="17"/>
              <w:jc w:val="center"/>
              <w:textAlignment w:val="bottom"/>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0.35%</w:t>
            </w:r>
          </w:p>
        </w:tc>
      </w:tr>
    </w:tbl>
    <w:p w14:paraId="2A17D944">
      <w:pPr>
        <w:spacing w:after="60"/>
        <w:rPr>
          <w:rFonts w:hint="eastAsia" w:ascii="宋体" w:hAnsi="宋体"/>
          <w:color w:val="000000" w:themeColor="text1"/>
          <w14:textFill>
            <w14:solidFill>
              <w14:schemeClr w14:val="tx1"/>
            </w14:solidFill>
          </w14:textFill>
        </w:rPr>
      </w:pPr>
    </w:p>
    <w:p w14:paraId="6FF6CB75">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例如：某货物招标代理业务中标金额为600万元，计算招标代理服务收费额如下：</w:t>
      </w:r>
    </w:p>
    <w:p w14:paraId="69E84BD3">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100万元×1.5%=1.5万元</w:t>
      </w:r>
    </w:p>
    <w:p w14:paraId="0FB1D577">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（500-100）万元×1.1%=4.4万元</w:t>
      </w:r>
    </w:p>
    <w:p w14:paraId="3456FAB7">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（600-500）万元×0.8%=0.8万元</w:t>
      </w:r>
    </w:p>
    <w:p w14:paraId="07DD1913">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合计收费=1.5+4.4+0.8= 6.7万元</w:t>
      </w:r>
    </w:p>
    <w:p w14:paraId="4817922B">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注：(1)以中标通知书中确定的中标总金额作为缴费的计算基数。</w:t>
      </w:r>
    </w:p>
    <w:p w14:paraId="4B4F522A">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(2)招标代理服务费按差额定率累进法计算。</w:t>
      </w:r>
    </w:p>
    <w:p w14:paraId="3D0FE73B">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(3)领取中标通知书前向招标代理机构缴纳服务费。</w:t>
      </w:r>
    </w:p>
    <w:p w14:paraId="26269156">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)本项目收费7000元。</w:t>
      </w:r>
    </w:p>
    <w:p w14:paraId="30A24DFC">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缴纳服务费账户信息：</w:t>
      </w:r>
    </w:p>
    <w:p w14:paraId="5D9689CC">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开户行：</w:t>
      </w:r>
      <w:r>
        <w:rPr>
          <w:rFonts w:hint="eastAsia" w:ascii="宋体" w:hAnsi="宋体"/>
          <w:color w:val="000000" w:themeColor="text1"/>
          <w:szCs w:val="21"/>
          <w14:textFill>
            <w14:solidFill>
              <w14:schemeClr w14:val="tx1"/>
            </w14:solidFill>
          </w14:textFill>
        </w:rPr>
        <w:t>中国银行深圳笋岗支行</w:t>
      </w:r>
    </w:p>
    <w:p w14:paraId="73313B5C">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账户名称：</w:t>
      </w:r>
      <w:r>
        <w:rPr>
          <w:rFonts w:hint="eastAsia" w:ascii="宋体" w:hAnsi="宋体"/>
          <w:color w:val="000000" w:themeColor="text1"/>
          <w:szCs w:val="21"/>
          <w14:textFill>
            <w14:solidFill>
              <w14:schemeClr w14:val="tx1"/>
            </w14:solidFill>
          </w14:textFill>
        </w:rPr>
        <w:t>深圳市慧智工程顾问有限公司</w:t>
      </w:r>
    </w:p>
    <w:p w14:paraId="42BF39F9">
      <w:pPr>
        <w:widowControl/>
        <w:tabs>
          <w:tab w:val="left" w:pos="54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账号：761476684048</w:t>
      </w:r>
    </w:p>
    <w:p w14:paraId="3D1FE18B">
      <w:pPr>
        <w:widowControl/>
        <w:tabs>
          <w:tab w:val="left" w:pos="540"/>
          <w:tab w:val="left" w:pos="129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由中标人支付代理服务费的，中标人须在收到缴费通知函件或中标公示结束后</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个日历日内支付代理服务费。中标人不按照招标文件规定交纳招标代理服务费的视为放弃中标资格，由此造成的风险由投标人承担。</w:t>
      </w:r>
    </w:p>
    <w:p w14:paraId="0B1C7468">
      <w:pPr>
        <w:widowControl/>
        <w:tabs>
          <w:tab w:val="left" w:pos="540"/>
          <w:tab w:val="left" w:pos="1290"/>
        </w:tabs>
        <w:autoSpaceDE w:val="0"/>
        <w:autoSpaceDN w:val="0"/>
        <w:spacing w:after="60"/>
        <w:ind w:right="18" w:firstLine="420" w:firstLineChars="200"/>
        <w:textAlignment w:val="bottom"/>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中标人在领取中标通知书后，无论因何种原因撤回、放弃中标或无法履行合同的，其已交的招标代理服务费均不予退还。</w:t>
      </w:r>
    </w:p>
    <w:sectPr>
      <w:headerReference r:id="rId7" w:type="first"/>
      <w:footerReference r:id="rId10" w:type="first"/>
      <w:headerReference r:id="rId5" w:type="default"/>
      <w:footerReference r:id="rId8" w:type="default"/>
      <w:headerReference r:id="rId6" w:type="even"/>
      <w:footerReference r:id="rId9" w:type="even"/>
      <w:pgSz w:w="11906" w:h="16838"/>
      <w:pgMar w:top="1418" w:right="1335" w:bottom="1418" w:left="1531"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ヒラギノ角ゴ Pro W3">
    <w:altName w:val="MS Gothic"/>
    <w:panose1 w:val="00000000000000000000"/>
    <w:charset w:val="80"/>
    <w:family w:val="auto"/>
    <w:pitch w:val="default"/>
    <w:sig w:usb0="00000000" w:usb1="00000000" w:usb2="07040001" w:usb3="00000000" w:csb0="00020000" w:csb1="00000000"/>
  </w:font>
  <w:font w:name="MS Gothic">
    <w:panose1 w:val="020B0609070205080204"/>
    <w:charset w:val="80"/>
    <w:family w:val="auto"/>
    <w:pitch w:val="default"/>
    <w:sig w:usb0="E00002FF" w:usb1="6AC7FDFB" w:usb2="08000012" w:usb3="00000000" w:csb0="4002009F" w:csb1="DFD70000"/>
  </w:font>
  <w:font w:name="Calibri Light">
    <w:panose1 w:val="020F0302020204030204"/>
    <w:charset w:val="00"/>
    <w:family w:val="swiss"/>
    <w:pitch w:val="default"/>
    <w:sig w:usb0="E4002EFF" w:usb1="C200247B" w:usb2="00000009" w:usb3="00000000" w:csb0="200001FF" w:csb1="00000000"/>
  </w:font>
  <w:font w:name="@YuMincho +36p Kana Medium __L">
    <w:altName w:val="Times New Roman"/>
    <w:panose1 w:val="00000000000000000000"/>
    <w:charset w:val="00"/>
    <w:family w:val="auto"/>
    <w:pitch w:val="default"/>
    <w:sig w:usb0="00000000" w:usb1="00000000" w:usb2="00000000" w:usb3="00000000" w:csb0="0000009B" w:csb1="00000000"/>
  </w:font>
  <w:font w:name="方正小标宋_GBK">
    <w:altName w:val="微软雅黑"/>
    <w:panose1 w:val="00000000000000000000"/>
    <w:charset w:val="86"/>
    <w:family w:val="script"/>
    <w:pitch w:val="default"/>
    <w:sig w:usb0="00000000" w:usb1="00000000" w:usb2="0000001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1A1F">
    <w:pPr>
      <w:spacing w:after="60"/>
      <w:jc w:val="center"/>
      <w:rPr>
        <w:rFonts w:hint="eastAsia" w:ascii="宋体" w:hAnsi="宋体"/>
        <w:color w:val="808080" w:themeColor="background1" w:themeShade="80"/>
        <w:szCs w:val="21"/>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PAGE   \* MERGEFORMAT</w:instrText>
    </w:r>
    <w:r>
      <w:rPr>
        <w:rFonts w:ascii="宋体" w:hAnsi="宋体"/>
        <w:color w:val="000000" w:themeColor="text1"/>
        <w:szCs w:val="21"/>
        <w14:textFill>
          <w14:solidFill>
            <w14:schemeClr w14:val="tx1"/>
          </w14:solidFill>
        </w14:textFill>
      </w:rPr>
      <w:fldChar w:fldCharType="separate"/>
    </w:r>
    <w:r>
      <w:rPr>
        <w:rFonts w:ascii="宋体" w:hAnsi="宋体"/>
        <w:color w:val="000000" w:themeColor="text1"/>
        <w:szCs w:val="21"/>
        <w:lang w:val="zh-CN"/>
        <w14:textFill>
          <w14:solidFill>
            <w14:schemeClr w14:val="tx1"/>
          </w14:solidFill>
        </w14:textFill>
      </w:rPr>
      <w:t>-</w:t>
    </w:r>
    <w:r>
      <w:rPr>
        <w:rFonts w:ascii="宋体" w:hAnsi="宋体"/>
        <w:color w:val="000000" w:themeColor="text1"/>
        <w:szCs w:val="21"/>
        <w14:textFill>
          <w14:solidFill>
            <w14:schemeClr w14:val="tx1"/>
          </w14:solidFill>
        </w14:textFill>
      </w:rPr>
      <w:t xml:space="preserve"> 25 -</w:t>
    </w:r>
    <w:r>
      <w:rPr>
        <w:rFonts w:ascii="宋体" w:hAnsi="宋体"/>
        <w:color w:val="000000" w:themeColor="text1"/>
        <w:szCs w:val="21"/>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53D7">
    <w:pPr>
      <w:framePr w:wrap="around" w:vAnchor="text" w:hAnchor="margin" w:xAlign="center" w:y="1"/>
      <w:spacing w:afterLines="0"/>
      <w:rPr>
        <w:rStyle w:val="50"/>
      </w:rPr>
    </w:pPr>
    <w:r>
      <w:fldChar w:fldCharType="begin"/>
    </w:r>
    <w:r>
      <w:rPr>
        <w:rStyle w:val="50"/>
      </w:rPr>
      <w:instrText xml:space="preserve">PAGE  </w:instrText>
    </w:r>
    <w:r>
      <w:fldChar w:fldCharType="end"/>
    </w:r>
  </w:p>
  <w:p w14:paraId="08C50FAA">
    <w:pPr>
      <w:spacing w:afterLine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9B5E">
    <w:pPr>
      <w:spacing w:afterLine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FF13">
    <w:pPr>
      <w:pStyle w:val="30"/>
      <w:pBdr>
        <w:bottom w:val="none" w:color="auto" w:sz="0" w:space="0"/>
      </w:pBdr>
      <w:rPr>
        <w:rFonts w:hint="eastAsia"/>
        <w:u w:val="none"/>
      </w:rPr>
    </w:pPr>
  </w:p>
  <w:p w14:paraId="333BEBD9">
    <w:pPr>
      <w:pStyle w:val="30"/>
      <w:pBdr>
        <w:bottom w:val="none" w:color="auto" w:sz="0" w:space="0"/>
      </w:pBdr>
      <w:rPr>
        <w:rFonts w:hint="eastAsia" w:ascii="宋体" w:hAnsi="宋体"/>
        <w:color w:val="000000" w:themeColor="text1"/>
        <w:sz w:val="21"/>
        <w:szCs w:val="21"/>
        <w14:textFill>
          <w14:solidFill>
            <w14:schemeClr w14:val="tx1"/>
          </w14:solidFill>
        </w14:textFill>
      </w:rPr>
    </w:pPr>
    <w:r>
      <w:rPr>
        <w:rFonts w:hint="eastAsia"/>
        <w:u w:val="single"/>
      </w:rPr>
      <w:t xml:space="preserve">项目名称：深圳市第七幼儿园2026年1月-2026年12月年度保安服务项目     </w:t>
    </w:r>
    <w:r>
      <w:rPr>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项目编号：</w:t>
    </w:r>
    <w:r>
      <w:rPr>
        <w:rFonts w:ascii="宋体" w:hAnsi="宋体"/>
        <w:color w:val="000000" w:themeColor="text1"/>
        <w:u w:val="single"/>
        <w14:textFill>
          <w14:solidFill>
            <w14:schemeClr w14:val="tx1"/>
          </w14:solidFill>
        </w14:textFill>
      </w:rPr>
      <w:t>SZHZ202</w:t>
    </w:r>
    <w:r>
      <w:rPr>
        <w:rFonts w:hint="eastAsia" w:ascii="宋体" w:hAnsi="宋体"/>
        <w:color w:val="000000" w:themeColor="text1"/>
        <w:u w:val="single"/>
        <w:lang w:val="en-US" w:eastAsia="zh-CN"/>
        <w14:textFill>
          <w14:solidFill>
            <w14:schemeClr w14:val="tx1"/>
          </w14:solidFill>
        </w14:textFill>
      </w:rPr>
      <w:t>5</w:t>
    </w:r>
    <w:r>
      <w:rPr>
        <w:rFonts w:ascii="宋体" w:hAnsi="宋体"/>
        <w:color w:val="000000" w:themeColor="text1"/>
        <w:u w:val="single"/>
        <w14:textFill>
          <w14:solidFill>
            <w14:schemeClr w14:val="tx1"/>
          </w14:solidFill>
        </w14:textFill>
      </w:rPr>
      <w:t>-</w:t>
    </w:r>
    <w:r>
      <w:rPr>
        <w:rFonts w:hint="eastAsia" w:ascii="宋体" w:hAnsi="宋体"/>
        <w:color w:val="000000" w:themeColor="text1"/>
        <w:u w:val="single"/>
        <w14:textFill>
          <w14:solidFill>
            <w14:schemeClr w14:val="tx1"/>
          </w14:solidFill>
        </w14:textFill>
      </w:rPr>
      <w:t>QB00</w:t>
    </w:r>
    <w:r>
      <w:rPr>
        <w:rFonts w:hint="eastAsia" w:ascii="宋体" w:hAnsi="宋体"/>
        <w:color w:val="000000" w:themeColor="text1"/>
        <w:u w:val="single"/>
        <w:lang w:val="en-US" w:eastAsia="zh-CN"/>
        <w14:textFill>
          <w14:solidFill>
            <w14:schemeClr w14:val="tx1"/>
          </w14:solidFill>
        </w14:textFill>
      </w:rPr>
      <w:t>27</w:t>
    </w:r>
    <w:r>
      <w:rPr>
        <w:rFonts w:ascii="宋体" w:hAnsi="宋体"/>
        <w:color w:val="000000" w:themeColor="text1"/>
        <w:sz w:val="21"/>
        <w:szCs w:val="21"/>
        <w14:textFill>
          <w14:solidFill>
            <w14:schemeClr w14:val="tx1"/>
          </w14:solidFill>
        </w14:textFil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A4E1">
    <w:pPr>
      <w:spacing w:afterLine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CD28">
    <w:pP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1BFA7"/>
    <w:multiLevelType w:val="singleLevel"/>
    <w:tmpl w:val="BEC1BFA7"/>
    <w:lvl w:ilvl="0" w:tentative="0">
      <w:start w:val="3"/>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29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0000000E"/>
    <w:multiLevelType w:val="multilevel"/>
    <w:tmpl w:val="0000000E"/>
    <w:lvl w:ilvl="0" w:tentative="0">
      <w:start w:val="1"/>
      <w:numFmt w:val="decimal"/>
      <w:suff w:val="nothing"/>
      <w:lvlText w:val="%1. "/>
      <w:lvlJc w:val="left"/>
      <w:pPr>
        <w:ind w:left="624" w:firstLine="0"/>
      </w:pPr>
      <w:rPr>
        <w:rFonts w:hint="default" w:ascii="Times New Roman" w:hAnsi="Times New Roman" w:cs="Times New Roman"/>
        <w:b/>
        <w:i w:val="0"/>
        <w:sz w:val="30"/>
      </w:rPr>
    </w:lvl>
    <w:lvl w:ilvl="1" w:tentative="0">
      <w:start w:val="1"/>
      <w:numFmt w:val="decimal"/>
      <w:isLgl/>
      <w:suff w:val="nothing"/>
      <w:lvlText w:val="%1.%2  "/>
      <w:lvlJc w:val="left"/>
      <w:pPr>
        <w:ind w:left="624" w:firstLine="0"/>
      </w:pPr>
      <w:rPr>
        <w:rFonts w:hint="default" w:ascii="Times New Roman" w:hAnsi="Times New Roman" w:cs="Times New Roman"/>
        <w:b/>
        <w:i w:val="0"/>
      </w:rPr>
    </w:lvl>
    <w:lvl w:ilvl="2" w:tentative="0">
      <w:start w:val="1"/>
      <w:numFmt w:val="decimal"/>
      <w:isLgl/>
      <w:suff w:val="nothing"/>
      <w:lvlText w:val="%1.%2.%3  "/>
      <w:lvlJc w:val="left"/>
      <w:pPr>
        <w:ind w:left="624" w:firstLine="0"/>
      </w:pPr>
      <w:rPr>
        <w:rFonts w:hint="default" w:ascii="Times New Roman" w:hAnsi="Times New Roman" w:cs="Times New Roman"/>
        <w:b/>
        <w:i w:val="0"/>
        <w:sz w:val="28"/>
      </w:rPr>
    </w:lvl>
    <w:lvl w:ilvl="3" w:tentative="0">
      <w:start w:val="1"/>
      <w:numFmt w:val="decimal"/>
      <w:suff w:val="nothing"/>
      <w:lvlText w:val="%4）"/>
      <w:lvlJc w:val="left"/>
      <w:pPr>
        <w:ind w:left="624" w:firstLine="624"/>
      </w:pPr>
      <w:rPr>
        <w:rFonts w:hint="default" w:ascii="Times New Roman" w:hAnsi="Times New Roman" w:cs="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lvl>
    <w:lvl w:ilvl="6" w:tentative="0">
      <w:start w:val="1"/>
      <w:numFmt w:val="none"/>
      <w:pStyle w:val="9"/>
      <w:suff w:val="nothing"/>
      <w:lvlText w:val=""/>
      <w:lvlJc w:val="left"/>
      <w:pPr>
        <w:ind w:left="624" w:firstLine="0"/>
      </w:pPr>
    </w:lvl>
    <w:lvl w:ilvl="7" w:tentative="0">
      <w:start w:val="1"/>
      <w:numFmt w:val="none"/>
      <w:pStyle w:val="10"/>
      <w:suff w:val="nothing"/>
      <w:lvlText w:val=""/>
      <w:lvlJc w:val="left"/>
      <w:pPr>
        <w:ind w:left="624" w:firstLine="0"/>
      </w:pPr>
    </w:lvl>
    <w:lvl w:ilvl="8" w:tentative="0">
      <w:start w:val="1"/>
      <w:numFmt w:val="none"/>
      <w:pStyle w:val="11"/>
      <w:suff w:val="nothing"/>
      <w:lvlText w:val=""/>
      <w:lvlJc w:val="left"/>
      <w:pPr>
        <w:ind w:left="624" w:firstLine="0"/>
      </w:pPr>
    </w:lvl>
  </w:abstractNum>
  <w:abstractNum w:abstractNumId="4">
    <w:nsid w:val="0000002C"/>
    <w:multiLevelType w:val="multilevel"/>
    <w:tmpl w:val="0000002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C0004A8"/>
    <w:multiLevelType w:val="singleLevel"/>
    <w:tmpl w:val="0C0004A8"/>
    <w:lvl w:ilvl="0" w:tentative="0">
      <w:start w:val="1"/>
      <w:numFmt w:val="chineseCounting"/>
      <w:suff w:val="space"/>
      <w:lvlText w:val="第%1章"/>
      <w:lvlJc w:val="left"/>
      <w:rPr>
        <w:rFonts w:hint="eastAsia"/>
      </w:rPr>
    </w:lvl>
  </w:abstractNum>
  <w:abstractNum w:abstractNumId="6">
    <w:nsid w:val="12503483"/>
    <w:multiLevelType w:val="multilevel"/>
    <w:tmpl w:val="12503483"/>
    <w:lvl w:ilvl="0" w:tentative="0">
      <w:start w:val="1"/>
      <w:numFmt w:val="bullet"/>
      <w:pStyle w:val="298"/>
      <w:lvlText w:val=""/>
      <w:lvlJc w:val="left"/>
      <w:pPr>
        <w:tabs>
          <w:tab w:val="left" w:pos="420"/>
        </w:tabs>
        <w:ind w:left="420" w:hanging="420"/>
      </w:pPr>
      <w:rPr>
        <w:rFonts w:hint="default" w:ascii="Wingdings" w:hAnsi="Wingdings"/>
      </w:rPr>
    </w:lvl>
    <w:lvl w:ilvl="1" w:tentative="0">
      <w:start w:val="1"/>
      <w:numFmt w:val="bullet"/>
      <w:pStyle w:val="27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300"/>
      <w:lvlText w:val=""/>
      <w:lvlJc w:val="left"/>
      <w:pPr>
        <w:tabs>
          <w:tab w:val="left" w:pos="840"/>
        </w:tabs>
        <w:ind w:left="840" w:hanging="420"/>
      </w:pPr>
      <w:rPr>
        <w:rFonts w:hint="default" w:ascii="Wingdings" w:hAnsi="Wingdings"/>
      </w:rPr>
    </w:lvl>
    <w:lvl w:ilvl="1" w:tentative="0">
      <w:start w:val="1"/>
      <w:numFmt w:val="bullet"/>
      <w:pStyle w:val="2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2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657EBBD"/>
    <w:multiLevelType w:val="singleLevel"/>
    <w:tmpl w:val="3657EBBD"/>
    <w:lvl w:ilvl="0" w:tentative="0">
      <w:start w:val="1"/>
      <w:numFmt w:val="chineseCounting"/>
      <w:suff w:val="space"/>
      <w:lvlText w:val="第%1章"/>
      <w:lvlJc w:val="left"/>
      <w:rPr>
        <w:rFonts w:hint="eastAsia"/>
      </w:rPr>
    </w:lvl>
  </w:abstractNum>
  <w:abstractNum w:abstractNumId="10">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96414D8"/>
    <w:multiLevelType w:val="singleLevel"/>
    <w:tmpl w:val="596414D8"/>
    <w:lvl w:ilvl="0" w:tentative="0">
      <w:start w:val="1"/>
      <w:numFmt w:val="decimal"/>
      <w:lvlText w:val="(%1)"/>
      <w:lvlJc w:val="left"/>
      <w:pPr>
        <w:ind w:left="425" w:hanging="425"/>
      </w:pPr>
      <w:rPr>
        <w:rFonts w:hint="default"/>
      </w:rPr>
    </w:lvl>
  </w:abstractNum>
  <w:abstractNum w:abstractNumId="12">
    <w:nsid w:val="619F5928"/>
    <w:multiLevelType w:val="multilevel"/>
    <w:tmpl w:val="619F592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6E6F60E5"/>
    <w:multiLevelType w:val="multilevel"/>
    <w:tmpl w:val="6E6F60E5"/>
    <w:lvl w:ilvl="0" w:tentative="0">
      <w:start w:val="1"/>
      <w:numFmt w:val="decimal"/>
      <w:pStyle w:val="241"/>
      <w:lvlText w:val="%1."/>
      <w:lvlJc w:val="left"/>
      <w:pPr>
        <w:ind w:left="420" w:hanging="420"/>
        <w:textAlignment w:val="baseline"/>
      </w:pPr>
      <w:rPr>
        <w:sz w:val="44"/>
        <w:szCs w:val="44"/>
      </w:rPr>
    </w:lvl>
    <w:lvl w:ilvl="1" w:tentative="0">
      <w:start w:val="1"/>
      <w:numFmt w:val="decimal"/>
      <w:pStyle w:val="242"/>
      <w:suff w:val="space"/>
      <w:lvlText w:val="%1.%2"/>
      <w:lvlJc w:val="left"/>
      <w:pPr>
        <w:ind w:left="567" w:hanging="567"/>
        <w:textAlignment w:val="baseline"/>
      </w:pPr>
    </w:lvl>
    <w:lvl w:ilvl="2" w:tentative="0">
      <w:start w:val="1"/>
      <w:numFmt w:val="decimal"/>
      <w:pStyle w:val="243"/>
      <w:suff w:val="space"/>
      <w:lvlText w:val="%1.%2.%3"/>
      <w:lvlJc w:val="left"/>
      <w:pPr>
        <w:ind w:left="6238" w:hanging="425"/>
        <w:textAlignment w:val="baseline"/>
      </w:pPr>
      <w:rPr>
        <w:b w:val="0"/>
        <w:bCs w:val="0"/>
        <w:i w:val="0"/>
        <w:iCs w:val="0"/>
        <w:caps w:val="0"/>
        <w:smallCaps w:val="0"/>
        <w:strike w:val="0"/>
        <w:dstrike w:val="0"/>
        <w:vanish w:val="0"/>
        <w:color w:val="000000"/>
        <w:position w:val="0"/>
      </w:rPr>
    </w:lvl>
    <w:lvl w:ilvl="3" w:tentative="0">
      <w:start w:val="1"/>
      <w:numFmt w:val="decimal"/>
      <w:pStyle w:val="244"/>
      <w:suff w:val="space"/>
      <w:lvlText w:val="%1.%2.%3.%4"/>
      <w:lvlJc w:val="left"/>
      <w:pPr>
        <w:ind w:left="425" w:hanging="425"/>
        <w:textAlignment w:val="baseline"/>
      </w:pPr>
      <w:rPr>
        <w:b w:val="0"/>
        <w:bCs w:val="0"/>
        <w:i w:val="0"/>
        <w:iCs w:val="0"/>
        <w:caps w:val="0"/>
        <w:smallCaps w:val="0"/>
        <w:strike w:val="0"/>
        <w:dstrike w:val="0"/>
        <w:vanish w:val="0"/>
        <w:color w:val="000000"/>
        <w:position w:val="0"/>
      </w:rPr>
    </w:lvl>
    <w:lvl w:ilvl="4" w:tentative="0">
      <w:start w:val="1"/>
      <w:numFmt w:val="decimal"/>
      <w:pStyle w:val="245"/>
      <w:suff w:val="space"/>
      <w:lvlText w:val="%1.%2.%3.%4.%5"/>
      <w:lvlJc w:val="left"/>
      <w:pPr>
        <w:ind w:left="1418" w:hanging="425"/>
        <w:textAlignment w:val="baseline"/>
      </w:pPr>
      <w:rPr>
        <w:rFonts w:ascii="Times New Roman" w:hAnsi="Times New Roman"/>
        <w:sz w:val="24"/>
        <w:szCs w:val="24"/>
      </w:rPr>
    </w:lvl>
    <w:lvl w:ilvl="5" w:tentative="0">
      <w:start w:val="1"/>
      <w:numFmt w:val="decimal"/>
      <w:pStyle w:val="246"/>
      <w:lvlText w:val="%1.%2.%3.%4.%5.%6"/>
      <w:lvlJc w:val="left"/>
      <w:pPr>
        <w:tabs>
          <w:tab w:val="left" w:pos="1152"/>
        </w:tabs>
        <w:ind w:left="1152" w:hanging="1152"/>
        <w:textAlignment w:val="baseline"/>
      </w:pPr>
    </w:lvl>
    <w:lvl w:ilvl="6" w:tentative="0">
      <w:start w:val="1"/>
      <w:numFmt w:val="decimal"/>
      <w:lvlText w:val="%1.%2.%3.%4.%5.%6.%7"/>
      <w:lvlJc w:val="left"/>
      <w:pPr>
        <w:tabs>
          <w:tab w:val="left" w:pos="4557"/>
        </w:tabs>
        <w:ind w:left="4557" w:hanging="1296"/>
        <w:textAlignment w:val="baseline"/>
      </w:pPr>
    </w:lvl>
    <w:lvl w:ilvl="7" w:tentative="0">
      <w:start w:val="1"/>
      <w:numFmt w:val="decimal"/>
      <w:pStyle w:val="248"/>
      <w:lvlText w:val="%1.%2.%3.%4.%5.%6.%7.%8"/>
      <w:lvlJc w:val="left"/>
      <w:pPr>
        <w:tabs>
          <w:tab w:val="left" w:pos="1440"/>
        </w:tabs>
        <w:ind w:left="1440" w:hanging="1440"/>
        <w:textAlignment w:val="baseline"/>
      </w:pPr>
    </w:lvl>
    <w:lvl w:ilvl="8" w:tentative="0">
      <w:start w:val="1"/>
      <w:numFmt w:val="decimal"/>
      <w:pStyle w:val="247"/>
      <w:lvlText w:val="%1.%2.%3.%4.%5.%6.%7.%8.%9"/>
      <w:lvlJc w:val="left"/>
      <w:pPr>
        <w:tabs>
          <w:tab w:val="left" w:pos="1584"/>
        </w:tabs>
        <w:ind w:left="1584" w:hanging="1584"/>
        <w:textAlignment w:val="baseline"/>
      </w:pPr>
    </w:lvl>
  </w:abstractNum>
  <w:abstractNum w:abstractNumId="14">
    <w:nsid w:val="7AEF7716"/>
    <w:multiLevelType w:val="multilevel"/>
    <w:tmpl w:val="7AEF7716"/>
    <w:lvl w:ilvl="0" w:tentative="0">
      <w:start w:val="1"/>
      <w:numFmt w:val="chineseCountingThousand"/>
      <w:pStyle w:val="26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B5FEC7E"/>
    <w:multiLevelType w:val="singleLevel"/>
    <w:tmpl w:val="7B5FEC7E"/>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3"/>
  </w:num>
  <w:num w:numId="4">
    <w:abstractNumId w:val="14"/>
  </w:num>
  <w:num w:numId="5">
    <w:abstractNumId w:val="8"/>
  </w:num>
  <w:num w:numId="6">
    <w:abstractNumId w:val="6"/>
  </w:num>
  <w:num w:numId="7">
    <w:abstractNumId w:val="1"/>
  </w:num>
  <w:num w:numId="8">
    <w:abstractNumId w:val="7"/>
  </w:num>
  <w:num w:numId="9">
    <w:abstractNumId w:val="9"/>
  </w:num>
  <w:num w:numId="10">
    <w:abstractNumId w:val="0"/>
  </w:num>
  <w:num w:numId="11">
    <w:abstractNumId w:val="4"/>
  </w:num>
  <w:num w:numId="12">
    <w:abstractNumId w:val="15"/>
  </w:num>
  <w:num w:numId="13">
    <w:abstractNumId w:val="12"/>
  </w:num>
  <w:num w:numId="14">
    <w:abstractNumId w:val="1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wMDA1Yzc3MTJjNDc1NmJhZDAxMDYyNGU4ZDM0NmUifQ=="/>
  </w:docVars>
  <w:rsids>
    <w:rsidRoot w:val="00172A27"/>
    <w:rsid w:val="00000193"/>
    <w:rsid w:val="00000231"/>
    <w:rsid w:val="0000074A"/>
    <w:rsid w:val="00000928"/>
    <w:rsid w:val="0000150A"/>
    <w:rsid w:val="00002C46"/>
    <w:rsid w:val="00003DC6"/>
    <w:rsid w:val="0000454F"/>
    <w:rsid w:val="000053A5"/>
    <w:rsid w:val="00005CDD"/>
    <w:rsid w:val="00006273"/>
    <w:rsid w:val="00010397"/>
    <w:rsid w:val="00011A20"/>
    <w:rsid w:val="00011EAF"/>
    <w:rsid w:val="000120FF"/>
    <w:rsid w:val="000132B6"/>
    <w:rsid w:val="0001388A"/>
    <w:rsid w:val="00013C24"/>
    <w:rsid w:val="00014413"/>
    <w:rsid w:val="0001471D"/>
    <w:rsid w:val="00014D9E"/>
    <w:rsid w:val="00015491"/>
    <w:rsid w:val="000154CC"/>
    <w:rsid w:val="000155E0"/>
    <w:rsid w:val="0001644F"/>
    <w:rsid w:val="00016AF2"/>
    <w:rsid w:val="00016C07"/>
    <w:rsid w:val="00017283"/>
    <w:rsid w:val="000175B1"/>
    <w:rsid w:val="00017BBC"/>
    <w:rsid w:val="00017C96"/>
    <w:rsid w:val="00017E30"/>
    <w:rsid w:val="00020163"/>
    <w:rsid w:val="0002061B"/>
    <w:rsid w:val="00020956"/>
    <w:rsid w:val="00020D8F"/>
    <w:rsid w:val="000213ED"/>
    <w:rsid w:val="0002170E"/>
    <w:rsid w:val="00021C43"/>
    <w:rsid w:val="00021DE9"/>
    <w:rsid w:val="00022DBA"/>
    <w:rsid w:val="000239E7"/>
    <w:rsid w:val="00025039"/>
    <w:rsid w:val="000251C4"/>
    <w:rsid w:val="0002592D"/>
    <w:rsid w:val="0002594F"/>
    <w:rsid w:val="00025AE2"/>
    <w:rsid w:val="00026689"/>
    <w:rsid w:val="00026DE0"/>
    <w:rsid w:val="00026F23"/>
    <w:rsid w:val="00027114"/>
    <w:rsid w:val="00027954"/>
    <w:rsid w:val="00030A70"/>
    <w:rsid w:val="00030AC5"/>
    <w:rsid w:val="00030E21"/>
    <w:rsid w:val="000315F9"/>
    <w:rsid w:val="000321F6"/>
    <w:rsid w:val="00033056"/>
    <w:rsid w:val="00033EC2"/>
    <w:rsid w:val="00033EE7"/>
    <w:rsid w:val="00034129"/>
    <w:rsid w:val="000342C8"/>
    <w:rsid w:val="000345A8"/>
    <w:rsid w:val="00035327"/>
    <w:rsid w:val="00035759"/>
    <w:rsid w:val="00035867"/>
    <w:rsid w:val="00040B47"/>
    <w:rsid w:val="000411A5"/>
    <w:rsid w:val="00042456"/>
    <w:rsid w:val="00042725"/>
    <w:rsid w:val="00043579"/>
    <w:rsid w:val="000441F8"/>
    <w:rsid w:val="00044287"/>
    <w:rsid w:val="00045115"/>
    <w:rsid w:val="0004546D"/>
    <w:rsid w:val="00045970"/>
    <w:rsid w:val="00045A62"/>
    <w:rsid w:val="00045B12"/>
    <w:rsid w:val="00046919"/>
    <w:rsid w:val="000469A1"/>
    <w:rsid w:val="00046CAF"/>
    <w:rsid w:val="0004750B"/>
    <w:rsid w:val="000508E3"/>
    <w:rsid w:val="00050B7A"/>
    <w:rsid w:val="00050CAD"/>
    <w:rsid w:val="00051371"/>
    <w:rsid w:val="00051DD6"/>
    <w:rsid w:val="000521A8"/>
    <w:rsid w:val="0005265F"/>
    <w:rsid w:val="000527F9"/>
    <w:rsid w:val="000538E7"/>
    <w:rsid w:val="00053B17"/>
    <w:rsid w:val="00053FF7"/>
    <w:rsid w:val="00054153"/>
    <w:rsid w:val="000541FB"/>
    <w:rsid w:val="0005477A"/>
    <w:rsid w:val="00054787"/>
    <w:rsid w:val="00054B6E"/>
    <w:rsid w:val="00055A8B"/>
    <w:rsid w:val="00056445"/>
    <w:rsid w:val="000568EF"/>
    <w:rsid w:val="00060268"/>
    <w:rsid w:val="000602C5"/>
    <w:rsid w:val="00060E8A"/>
    <w:rsid w:val="00061EA6"/>
    <w:rsid w:val="00062F53"/>
    <w:rsid w:val="000633CD"/>
    <w:rsid w:val="000633DF"/>
    <w:rsid w:val="00063484"/>
    <w:rsid w:val="0006356D"/>
    <w:rsid w:val="00063F8A"/>
    <w:rsid w:val="00064303"/>
    <w:rsid w:val="00064D5A"/>
    <w:rsid w:val="00065050"/>
    <w:rsid w:val="000653EC"/>
    <w:rsid w:val="00066029"/>
    <w:rsid w:val="00066595"/>
    <w:rsid w:val="00066809"/>
    <w:rsid w:val="00070C44"/>
    <w:rsid w:val="00070E78"/>
    <w:rsid w:val="00071981"/>
    <w:rsid w:val="000720AE"/>
    <w:rsid w:val="000725AA"/>
    <w:rsid w:val="0007268A"/>
    <w:rsid w:val="00072EB1"/>
    <w:rsid w:val="00073483"/>
    <w:rsid w:val="00074576"/>
    <w:rsid w:val="00074CAE"/>
    <w:rsid w:val="00074D50"/>
    <w:rsid w:val="00074F43"/>
    <w:rsid w:val="00075C5F"/>
    <w:rsid w:val="00076156"/>
    <w:rsid w:val="000779F6"/>
    <w:rsid w:val="00077E0D"/>
    <w:rsid w:val="00080A95"/>
    <w:rsid w:val="000811A5"/>
    <w:rsid w:val="00081D31"/>
    <w:rsid w:val="00081DB5"/>
    <w:rsid w:val="0008212C"/>
    <w:rsid w:val="000821A7"/>
    <w:rsid w:val="000822E5"/>
    <w:rsid w:val="00083229"/>
    <w:rsid w:val="00083A1A"/>
    <w:rsid w:val="00083C3A"/>
    <w:rsid w:val="00083C7A"/>
    <w:rsid w:val="00083CCA"/>
    <w:rsid w:val="00083F43"/>
    <w:rsid w:val="00084E38"/>
    <w:rsid w:val="000853E1"/>
    <w:rsid w:val="00085677"/>
    <w:rsid w:val="0008584D"/>
    <w:rsid w:val="00085B6E"/>
    <w:rsid w:val="000862E7"/>
    <w:rsid w:val="00086791"/>
    <w:rsid w:val="00086A1C"/>
    <w:rsid w:val="00086A50"/>
    <w:rsid w:val="000875FA"/>
    <w:rsid w:val="00087811"/>
    <w:rsid w:val="0008782D"/>
    <w:rsid w:val="000879A2"/>
    <w:rsid w:val="00090A1D"/>
    <w:rsid w:val="0009173A"/>
    <w:rsid w:val="00091D75"/>
    <w:rsid w:val="000927A0"/>
    <w:rsid w:val="0009365E"/>
    <w:rsid w:val="00093713"/>
    <w:rsid w:val="000939FD"/>
    <w:rsid w:val="00093E0D"/>
    <w:rsid w:val="00093E32"/>
    <w:rsid w:val="00095B31"/>
    <w:rsid w:val="00095E0D"/>
    <w:rsid w:val="0009685D"/>
    <w:rsid w:val="00097AEF"/>
    <w:rsid w:val="00097DEC"/>
    <w:rsid w:val="000A06BD"/>
    <w:rsid w:val="000A08CE"/>
    <w:rsid w:val="000A1140"/>
    <w:rsid w:val="000A15AB"/>
    <w:rsid w:val="000A2BAE"/>
    <w:rsid w:val="000A3341"/>
    <w:rsid w:val="000A3617"/>
    <w:rsid w:val="000A5341"/>
    <w:rsid w:val="000A5520"/>
    <w:rsid w:val="000A56A0"/>
    <w:rsid w:val="000A6560"/>
    <w:rsid w:val="000A7223"/>
    <w:rsid w:val="000A7234"/>
    <w:rsid w:val="000B05E3"/>
    <w:rsid w:val="000B05E6"/>
    <w:rsid w:val="000B1989"/>
    <w:rsid w:val="000B2837"/>
    <w:rsid w:val="000B36E1"/>
    <w:rsid w:val="000B3CE0"/>
    <w:rsid w:val="000B4034"/>
    <w:rsid w:val="000B4374"/>
    <w:rsid w:val="000B4BF7"/>
    <w:rsid w:val="000B614C"/>
    <w:rsid w:val="000B616E"/>
    <w:rsid w:val="000B63A5"/>
    <w:rsid w:val="000B71D6"/>
    <w:rsid w:val="000C0408"/>
    <w:rsid w:val="000C1464"/>
    <w:rsid w:val="000C1A95"/>
    <w:rsid w:val="000C1B14"/>
    <w:rsid w:val="000C2896"/>
    <w:rsid w:val="000C2E75"/>
    <w:rsid w:val="000C2ECD"/>
    <w:rsid w:val="000C317F"/>
    <w:rsid w:val="000C357A"/>
    <w:rsid w:val="000C3FB6"/>
    <w:rsid w:val="000C418F"/>
    <w:rsid w:val="000C5F67"/>
    <w:rsid w:val="000C60A9"/>
    <w:rsid w:val="000C6B0F"/>
    <w:rsid w:val="000C71D1"/>
    <w:rsid w:val="000C71DF"/>
    <w:rsid w:val="000C736E"/>
    <w:rsid w:val="000C76CA"/>
    <w:rsid w:val="000D02F2"/>
    <w:rsid w:val="000D11D1"/>
    <w:rsid w:val="000D2993"/>
    <w:rsid w:val="000D3151"/>
    <w:rsid w:val="000D38E1"/>
    <w:rsid w:val="000D3C3A"/>
    <w:rsid w:val="000D4568"/>
    <w:rsid w:val="000D5740"/>
    <w:rsid w:val="000D577B"/>
    <w:rsid w:val="000D5914"/>
    <w:rsid w:val="000D5B37"/>
    <w:rsid w:val="000D5BED"/>
    <w:rsid w:val="000D5F68"/>
    <w:rsid w:val="000D607C"/>
    <w:rsid w:val="000D610D"/>
    <w:rsid w:val="000D65D7"/>
    <w:rsid w:val="000E0607"/>
    <w:rsid w:val="000E0FE9"/>
    <w:rsid w:val="000E126F"/>
    <w:rsid w:val="000E18F1"/>
    <w:rsid w:val="000E1C8B"/>
    <w:rsid w:val="000E2A9F"/>
    <w:rsid w:val="000E319D"/>
    <w:rsid w:val="000E4171"/>
    <w:rsid w:val="000E4F0A"/>
    <w:rsid w:val="000E55B3"/>
    <w:rsid w:val="000E5FF1"/>
    <w:rsid w:val="000E616D"/>
    <w:rsid w:val="000E6477"/>
    <w:rsid w:val="000E651E"/>
    <w:rsid w:val="000E706A"/>
    <w:rsid w:val="000E71B2"/>
    <w:rsid w:val="000E75C1"/>
    <w:rsid w:val="000F03FC"/>
    <w:rsid w:val="000F0522"/>
    <w:rsid w:val="000F075B"/>
    <w:rsid w:val="000F0F6B"/>
    <w:rsid w:val="000F13D4"/>
    <w:rsid w:val="000F1ABC"/>
    <w:rsid w:val="000F23D1"/>
    <w:rsid w:val="000F2425"/>
    <w:rsid w:val="000F3251"/>
    <w:rsid w:val="000F3746"/>
    <w:rsid w:val="000F3C4C"/>
    <w:rsid w:val="000F5225"/>
    <w:rsid w:val="000F5C43"/>
    <w:rsid w:val="000F6CEB"/>
    <w:rsid w:val="000F6D36"/>
    <w:rsid w:val="000F747B"/>
    <w:rsid w:val="000F7A74"/>
    <w:rsid w:val="000F7AAD"/>
    <w:rsid w:val="000F7B46"/>
    <w:rsid w:val="00100BAA"/>
    <w:rsid w:val="00100CCC"/>
    <w:rsid w:val="001012B1"/>
    <w:rsid w:val="001012D8"/>
    <w:rsid w:val="0010138E"/>
    <w:rsid w:val="0010248A"/>
    <w:rsid w:val="001025A6"/>
    <w:rsid w:val="001029D0"/>
    <w:rsid w:val="00102A6A"/>
    <w:rsid w:val="00102B69"/>
    <w:rsid w:val="00103A2E"/>
    <w:rsid w:val="00103D4A"/>
    <w:rsid w:val="00103EF6"/>
    <w:rsid w:val="0010422F"/>
    <w:rsid w:val="00105D41"/>
    <w:rsid w:val="00105F59"/>
    <w:rsid w:val="00106A8F"/>
    <w:rsid w:val="001071C6"/>
    <w:rsid w:val="00107989"/>
    <w:rsid w:val="0011065E"/>
    <w:rsid w:val="00111406"/>
    <w:rsid w:val="001115CF"/>
    <w:rsid w:val="00111A6C"/>
    <w:rsid w:val="00111D67"/>
    <w:rsid w:val="00111DAE"/>
    <w:rsid w:val="00113333"/>
    <w:rsid w:val="00113C63"/>
    <w:rsid w:val="00113E75"/>
    <w:rsid w:val="00113FA3"/>
    <w:rsid w:val="0011413C"/>
    <w:rsid w:val="001143AA"/>
    <w:rsid w:val="001145C3"/>
    <w:rsid w:val="001150CA"/>
    <w:rsid w:val="001152DF"/>
    <w:rsid w:val="00115673"/>
    <w:rsid w:val="00116558"/>
    <w:rsid w:val="001173BE"/>
    <w:rsid w:val="00117BBC"/>
    <w:rsid w:val="00117C56"/>
    <w:rsid w:val="00120283"/>
    <w:rsid w:val="001203CA"/>
    <w:rsid w:val="001216FE"/>
    <w:rsid w:val="00121921"/>
    <w:rsid w:val="00121AC3"/>
    <w:rsid w:val="00121B93"/>
    <w:rsid w:val="0012235A"/>
    <w:rsid w:val="001227C9"/>
    <w:rsid w:val="001233A3"/>
    <w:rsid w:val="00123595"/>
    <w:rsid w:val="0012359E"/>
    <w:rsid w:val="00123CA2"/>
    <w:rsid w:val="001242C0"/>
    <w:rsid w:val="0012488F"/>
    <w:rsid w:val="00124A6E"/>
    <w:rsid w:val="0012678B"/>
    <w:rsid w:val="00126E6F"/>
    <w:rsid w:val="0012719F"/>
    <w:rsid w:val="001277CA"/>
    <w:rsid w:val="001277DC"/>
    <w:rsid w:val="00130439"/>
    <w:rsid w:val="00130771"/>
    <w:rsid w:val="00130876"/>
    <w:rsid w:val="0013166C"/>
    <w:rsid w:val="001316EA"/>
    <w:rsid w:val="00132913"/>
    <w:rsid w:val="00132E32"/>
    <w:rsid w:val="00133862"/>
    <w:rsid w:val="001341A6"/>
    <w:rsid w:val="001357D7"/>
    <w:rsid w:val="00135DD1"/>
    <w:rsid w:val="001360CE"/>
    <w:rsid w:val="001362BD"/>
    <w:rsid w:val="00136B21"/>
    <w:rsid w:val="0013711A"/>
    <w:rsid w:val="001371D7"/>
    <w:rsid w:val="0014060E"/>
    <w:rsid w:val="001408E2"/>
    <w:rsid w:val="00140CC1"/>
    <w:rsid w:val="00140CC7"/>
    <w:rsid w:val="00140EE9"/>
    <w:rsid w:val="00142246"/>
    <w:rsid w:val="001432C8"/>
    <w:rsid w:val="00144E78"/>
    <w:rsid w:val="001452E0"/>
    <w:rsid w:val="00145385"/>
    <w:rsid w:val="001462AE"/>
    <w:rsid w:val="001463FE"/>
    <w:rsid w:val="00146A43"/>
    <w:rsid w:val="00146BE9"/>
    <w:rsid w:val="00147713"/>
    <w:rsid w:val="00147ACC"/>
    <w:rsid w:val="00147C95"/>
    <w:rsid w:val="001500B9"/>
    <w:rsid w:val="0015073E"/>
    <w:rsid w:val="001508E8"/>
    <w:rsid w:val="00150A5A"/>
    <w:rsid w:val="00150C41"/>
    <w:rsid w:val="00150D6F"/>
    <w:rsid w:val="00151A7E"/>
    <w:rsid w:val="00152604"/>
    <w:rsid w:val="0015388E"/>
    <w:rsid w:val="00154466"/>
    <w:rsid w:val="001544DB"/>
    <w:rsid w:val="0015479D"/>
    <w:rsid w:val="00154C9B"/>
    <w:rsid w:val="00154EC7"/>
    <w:rsid w:val="00155519"/>
    <w:rsid w:val="001556B6"/>
    <w:rsid w:val="00155A3E"/>
    <w:rsid w:val="00155E74"/>
    <w:rsid w:val="00157281"/>
    <w:rsid w:val="001574BF"/>
    <w:rsid w:val="00160F09"/>
    <w:rsid w:val="00161E50"/>
    <w:rsid w:val="00162B9D"/>
    <w:rsid w:val="00162DAE"/>
    <w:rsid w:val="001632A5"/>
    <w:rsid w:val="00163998"/>
    <w:rsid w:val="00163E18"/>
    <w:rsid w:val="0016450C"/>
    <w:rsid w:val="00164A6D"/>
    <w:rsid w:val="00164DE6"/>
    <w:rsid w:val="0016569D"/>
    <w:rsid w:val="0016729B"/>
    <w:rsid w:val="001701E3"/>
    <w:rsid w:val="00170887"/>
    <w:rsid w:val="00170940"/>
    <w:rsid w:val="00171580"/>
    <w:rsid w:val="00171995"/>
    <w:rsid w:val="0017210D"/>
    <w:rsid w:val="00172536"/>
    <w:rsid w:val="00172A27"/>
    <w:rsid w:val="00173432"/>
    <w:rsid w:val="00174AB1"/>
    <w:rsid w:val="00174BE5"/>
    <w:rsid w:val="00174DEA"/>
    <w:rsid w:val="0017523A"/>
    <w:rsid w:val="0017540A"/>
    <w:rsid w:val="00175BBD"/>
    <w:rsid w:val="00175DCA"/>
    <w:rsid w:val="00177367"/>
    <w:rsid w:val="001778B4"/>
    <w:rsid w:val="00177E5E"/>
    <w:rsid w:val="00180CF9"/>
    <w:rsid w:val="00180D10"/>
    <w:rsid w:val="0018136D"/>
    <w:rsid w:val="00181A5A"/>
    <w:rsid w:val="00181B93"/>
    <w:rsid w:val="00182502"/>
    <w:rsid w:val="001826AF"/>
    <w:rsid w:val="00182EC6"/>
    <w:rsid w:val="00183C2B"/>
    <w:rsid w:val="00184FE7"/>
    <w:rsid w:val="0018593B"/>
    <w:rsid w:val="00186D16"/>
    <w:rsid w:val="0018711E"/>
    <w:rsid w:val="00187C25"/>
    <w:rsid w:val="0019051F"/>
    <w:rsid w:val="001909CC"/>
    <w:rsid w:val="00190F89"/>
    <w:rsid w:val="00191146"/>
    <w:rsid w:val="0019130F"/>
    <w:rsid w:val="001918A4"/>
    <w:rsid w:val="001941AF"/>
    <w:rsid w:val="00194DBC"/>
    <w:rsid w:val="00195632"/>
    <w:rsid w:val="00195F5B"/>
    <w:rsid w:val="00196212"/>
    <w:rsid w:val="00196C6D"/>
    <w:rsid w:val="00197A68"/>
    <w:rsid w:val="00197E85"/>
    <w:rsid w:val="001A05B6"/>
    <w:rsid w:val="001A0664"/>
    <w:rsid w:val="001A0E36"/>
    <w:rsid w:val="001A1E93"/>
    <w:rsid w:val="001A1F42"/>
    <w:rsid w:val="001A271F"/>
    <w:rsid w:val="001A2E2D"/>
    <w:rsid w:val="001A3F40"/>
    <w:rsid w:val="001A4494"/>
    <w:rsid w:val="001A4800"/>
    <w:rsid w:val="001A495E"/>
    <w:rsid w:val="001A4D77"/>
    <w:rsid w:val="001A57F3"/>
    <w:rsid w:val="001A598E"/>
    <w:rsid w:val="001A5BAC"/>
    <w:rsid w:val="001A7AD8"/>
    <w:rsid w:val="001A7AF3"/>
    <w:rsid w:val="001B0A95"/>
    <w:rsid w:val="001B0CB5"/>
    <w:rsid w:val="001B0F53"/>
    <w:rsid w:val="001B1782"/>
    <w:rsid w:val="001B17FA"/>
    <w:rsid w:val="001B1AE5"/>
    <w:rsid w:val="001B23C5"/>
    <w:rsid w:val="001B37E9"/>
    <w:rsid w:val="001B38E9"/>
    <w:rsid w:val="001B3B56"/>
    <w:rsid w:val="001B3E5F"/>
    <w:rsid w:val="001B4685"/>
    <w:rsid w:val="001B4DFC"/>
    <w:rsid w:val="001B70C8"/>
    <w:rsid w:val="001C0C64"/>
    <w:rsid w:val="001C115C"/>
    <w:rsid w:val="001C1D90"/>
    <w:rsid w:val="001C1DAC"/>
    <w:rsid w:val="001C1ECB"/>
    <w:rsid w:val="001C29F4"/>
    <w:rsid w:val="001C2E90"/>
    <w:rsid w:val="001C3198"/>
    <w:rsid w:val="001C3923"/>
    <w:rsid w:val="001C44C0"/>
    <w:rsid w:val="001C4C11"/>
    <w:rsid w:val="001C5420"/>
    <w:rsid w:val="001C5C17"/>
    <w:rsid w:val="001C6639"/>
    <w:rsid w:val="001C6E1E"/>
    <w:rsid w:val="001C7DBB"/>
    <w:rsid w:val="001C7FF2"/>
    <w:rsid w:val="001D01FA"/>
    <w:rsid w:val="001D0700"/>
    <w:rsid w:val="001D233F"/>
    <w:rsid w:val="001D2BBA"/>
    <w:rsid w:val="001D2E4E"/>
    <w:rsid w:val="001D3020"/>
    <w:rsid w:val="001D31FA"/>
    <w:rsid w:val="001D378B"/>
    <w:rsid w:val="001D40E0"/>
    <w:rsid w:val="001D41E2"/>
    <w:rsid w:val="001D496C"/>
    <w:rsid w:val="001D4A14"/>
    <w:rsid w:val="001D51A5"/>
    <w:rsid w:val="001D5276"/>
    <w:rsid w:val="001D6689"/>
    <w:rsid w:val="001D6B0C"/>
    <w:rsid w:val="001D6FCC"/>
    <w:rsid w:val="001D7246"/>
    <w:rsid w:val="001E04B9"/>
    <w:rsid w:val="001E04E1"/>
    <w:rsid w:val="001E0549"/>
    <w:rsid w:val="001E0D94"/>
    <w:rsid w:val="001E0EB5"/>
    <w:rsid w:val="001E143A"/>
    <w:rsid w:val="001E151D"/>
    <w:rsid w:val="001E152B"/>
    <w:rsid w:val="001E23E1"/>
    <w:rsid w:val="001E280D"/>
    <w:rsid w:val="001E2A12"/>
    <w:rsid w:val="001E3D77"/>
    <w:rsid w:val="001E4090"/>
    <w:rsid w:val="001E4141"/>
    <w:rsid w:val="001E44DB"/>
    <w:rsid w:val="001E4A05"/>
    <w:rsid w:val="001E4C5F"/>
    <w:rsid w:val="001E5D19"/>
    <w:rsid w:val="001E71A3"/>
    <w:rsid w:val="001E7245"/>
    <w:rsid w:val="001E7A79"/>
    <w:rsid w:val="001E7A86"/>
    <w:rsid w:val="001E7B2C"/>
    <w:rsid w:val="001F0341"/>
    <w:rsid w:val="001F0401"/>
    <w:rsid w:val="001F057C"/>
    <w:rsid w:val="001F0D7F"/>
    <w:rsid w:val="001F1473"/>
    <w:rsid w:val="001F1A5C"/>
    <w:rsid w:val="001F1C4E"/>
    <w:rsid w:val="001F2B8D"/>
    <w:rsid w:val="001F3EBD"/>
    <w:rsid w:val="001F4018"/>
    <w:rsid w:val="001F4446"/>
    <w:rsid w:val="001F4B79"/>
    <w:rsid w:val="001F52A1"/>
    <w:rsid w:val="001F658E"/>
    <w:rsid w:val="001F6840"/>
    <w:rsid w:val="001F6A1C"/>
    <w:rsid w:val="001F7211"/>
    <w:rsid w:val="001F7D02"/>
    <w:rsid w:val="00200382"/>
    <w:rsid w:val="00200C83"/>
    <w:rsid w:val="00201048"/>
    <w:rsid w:val="00201448"/>
    <w:rsid w:val="00201CA3"/>
    <w:rsid w:val="002031E9"/>
    <w:rsid w:val="0020365C"/>
    <w:rsid w:val="00204BC9"/>
    <w:rsid w:val="002055D1"/>
    <w:rsid w:val="0020567D"/>
    <w:rsid w:val="00206918"/>
    <w:rsid w:val="00207247"/>
    <w:rsid w:val="002072DE"/>
    <w:rsid w:val="002073EC"/>
    <w:rsid w:val="002074F9"/>
    <w:rsid w:val="00207F3B"/>
    <w:rsid w:val="002114A2"/>
    <w:rsid w:val="0021160B"/>
    <w:rsid w:val="00213574"/>
    <w:rsid w:val="00213BC1"/>
    <w:rsid w:val="00214490"/>
    <w:rsid w:val="002151A3"/>
    <w:rsid w:val="002151E1"/>
    <w:rsid w:val="00216154"/>
    <w:rsid w:val="002169B2"/>
    <w:rsid w:val="00220640"/>
    <w:rsid w:val="00220D36"/>
    <w:rsid w:val="00222399"/>
    <w:rsid w:val="00222438"/>
    <w:rsid w:val="00222A6C"/>
    <w:rsid w:val="00224F29"/>
    <w:rsid w:val="00225863"/>
    <w:rsid w:val="002264AA"/>
    <w:rsid w:val="002269C0"/>
    <w:rsid w:val="00226A99"/>
    <w:rsid w:val="002271D9"/>
    <w:rsid w:val="00227CF1"/>
    <w:rsid w:val="00227EAF"/>
    <w:rsid w:val="00231E2A"/>
    <w:rsid w:val="00231EBD"/>
    <w:rsid w:val="00232AAF"/>
    <w:rsid w:val="00233875"/>
    <w:rsid w:val="00233B63"/>
    <w:rsid w:val="0023432A"/>
    <w:rsid w:val="00234A52"/>
    <w:rsid w:val="00235534"/>
    <w:rsid w:val="00235B66"/>
    <w:rsid w:val="002375E7"/>
    <w:rsid w:val="00237D3D"/>
    <w:rsid w:val="00237E07"/>
    <w:rsid w:val="00240CC9"/>
    <w:rsid w:val="00241BA3"/>
    <w:rsid w:val="00242531"/>
    <w:rsid w:val="00242767"/>
    <w:rsid w:val="0024346E"/>
    <w:rsid w:val="0024357D"/>
    <w:rsid w:val="00243723"/>
    <w:rsid w:val="002446EB"/>
    <w:rsid w:val="00244757"/>
    <w:rsid w:val="00245430"/>
    <w:rsid w:val="0024633A"/>
    <w:rsid w:val="00246675"/>
    <w:rsid w:val="002477A9"/>
    <w:rsid w:val="00247EEA"/>
    <w:rsid w:val="00250D78"/>
    <w:rsid w:val="00251612"/>
    <w:rsid w:val="00251AC7"/>
    <w:rsid w:val="00251E08"/>
    <w:rsid w:val="0025253B"/>
    <w:rsid w:val="00252AC5"/>
    <w:rsid w:val="00252D1A"/>
    <w:rsid w:val="00253FB5"/>
    <w:rsid w:val="0025467E"/>
    <w:rsid w:val="00254986"/>
    <w:rsid w:val="00255CA4"/>
    <w:rsid w:val="00256FEA"/>
    <w:rsid w:val="00260B0E"/>
    <w:rsid w:val="00260BA6"/>
    <w:rsid w:val="00260D76"/>
    <w:rsid w:val="002623E2"/>
    <w:rsid w:val="00262D66"/>
    <w:rsid w:val="002636FF"/>
    <w:rsid w:val="00263BB4"/>
    <w:rsid w:val="00263BD3"/>
    <w:rsid w:val="00263FBB"/>
    <w:rsid w:val="00265381"/>
    <w:rsid w:val="00265981"/>
    <w:rsid w:val="00265E2D"/>
    <w:rsid w:val="00265EF6"/>
    <w:rsid w:val="002663C0"/>
    <w:rsid w:val="00267233"/>
    <w:rsid w:val="0026724D"/>
    <w:rsid w:val="002679BD"/>
    <w:rsid w:val="00270353"/>
    <w:rsid w:val="00271FC5"/>
    <w:rsid w:val="00272A0D"/>
    <w:rsid w:val="00272B32"/>
    <w:rsid w:val="002732A9"/>
    <w:rsid w:val="0027385A"/>
    <w:rsid w:val="002741E7"/>
    <w:rsid w:val="00275206"/>
    <w:rsid w:val="002755F4"/>
    <w:rsid w:val="00275619"/>
    <w:rsid w:val="0027562B"/>
    <w:rsid w:val="0027634C"/>
    <w:rsid w:val="0027673A"/>
    <w:rsid w:val="00276955"/>
    <w:rsid w:val="00277428"/>
    <w:rsid w:val="002779AE"/>
    <w:rsid w:val="002800AF"/>
    <w:rsid w:val="00281492"/>
    <w:rsid w:val="002815D1"/>
    <w:rsid w:val="0028201A"/>
    <w:rsid w:val="002822A4"/>
    <w:rsid w:val="00283429"/>
    <w:rsid w:val="0028367C"/>
    <w:rsid w:val="00283715"/>
    <w:rsid w:val="002837FA"/>
    <w:rsid w:val="00283C7A"/>
    <w:rsid w:val="00284C45"/>
    <w:rsid w:val="0028501F"/>
    <w:rsid w:val="00285614"/>
    <w:rsid w:val="00285710"/>
    <w:rsid w:val="00285824"/>
    <w:rsid w:val="00285981"/>
    <w:rsid w:val="00285AF0"/>
    <w:rsid w:val="00285F88"/>
    <w:rsid w:val="00286D33"/>
    <w:rsid w:val="00290135"/>
    <w:rsid w:val="002903F2"/>
    <w:rsid w:val="0029041B"/>
    <w:rsid w:val="00290C69"/>
    <w:rsid w:val="002929E3"/>
    <w:rsid w:val="00292C4A"/>
    <w:rsid w:val="0029302B"/>
    <w:rsid w:val="00293181"/>
    <w:rsid w:val="00293876"/>
    <w:rsid w:val="00294D77"/>
    <w:rsid w:val="0029535C"/>
    <w:rsid w:val="002960D2"/>
    <w:rsid w:val="0029625B"/>
    <w:rsid w:val="00296493"/>
    <w:rsid w:val="00296BC2"/>
    <w:rsid w:val="002978DF"/>
    <w:rsid w:val="00297D63"/>
    <w:rsid w:val="002A0166"/>
    <w:rsid w:val="002A0769"/>
    <w:rsid w:val="002A10EF"/>
    <w:rsid w:val="002A1297"/>
    <w:rsid w:val="002A19CF"/>
    <w:rsid w:val="002A2D59"/>
    <w:rsid w:val="002A34C1"/>
    <w:rsid w:val="002A369C"/>
    <w:rsid w:val="002A3F0A"/>
    <w:rsid w:val="002A471A"/>
    <w:rsid w:val="002A61F0"/>
    <w:rsid w:val="002A6398"/>
    <w:rsid w:val="002A63E9"/>
    <w:rsid w:val="002A675A"/>
    <w:rsid w:val="002A7597"/>
    <w:rsid w:val="002A7E7D"/>
    <w:rsid w:val="002B00D1"/>
    <w:rsid w:val="002B04E4"/>
    <w:rsid w:val="002B05C0"/>
    <w:rsid w:val="002B0BF7"/>
    <w:rsid w:val="002B1113"/>
    <w:rsid w:val="002B1882"/>
    <w:rsid w:val="002B1D9A"/>
    <w:rsid w:val="002B2FE9"/>
    <w:rsid w:val="002B3C09"/>
    <w:rsid w:val="002B447D"/>
    <w:rsid w:val="002B59A1"/>
    <w:rsid w:val="002B5BA7"/>
    <w:rsid w:val="002B6027"/>
    <w:rsid w:val="002B6283"/>
    <w:rsid w:val="002B6306"/>
    <w:rsid w:val="002B67AB"/>
    <w:rsid w:val="002B6A99"/>
    <w:rsid w:val="002B6B77"/>
    <w:rsid w:val="002B7180"/>
    <w:rsid w:val="002B7F2F"/>
    <w:rsid w:val="002C00E8"/>
    <w:rsid w:val="002C027A"/>
    <w:rsid w:val="002C0A25"/>
    <w:rsid w:val="002C1C81"/>
    <w:rsid w:val="002C3972"/>
    <w:rsid w:val="002C398D"/>
    <w:rsid w:val="002C39B4"/>
    <w:rsid w:val="002C3A82"/>
    <w:rsid w:val="002C40C3"/>
    <w:rsid w:val="002C4BAB"/>
    <w:rsid w:val="002C5060"/>
    <w:rsid w:val="002C569D"/>
    <w:rsid w:val="002C64A6"/>
    <w:rsid w:val="002C65BA"/>
    <w:rsid w:val="002C6B54"/>
    <w:rsid w:val="002C6D06"/>
    <w:rsid w:val="002D07CE"/>
    <w:rsid w:val="002D2E6A"/>
    <w:rsid w:val="002D346A"/>
    <w:rsid w:val="002D42F3"/>
    <w:rsid w:val="002D4B56"/>
    <w:rsid w:val="002D4F5B"/>
    <w:rsid w:val="002D4F77"/>
    <w:rsid w:val="002D52E9"/>
    <w:rsid w:val="002D573C"/>
    <w:rsid w:val="002D5D46"/>
    <w:rsid w:val="002D5DAB"/>
    <w:rsid w:val="002D642D"/>
    <w:rsid w:val="002D6BE3"/>
    <w:rsid w:val="002D7AA2"/>
    <w:rsid w:val="002D7B6E"/>
    <w:rsid w:val="002E0037"/>
    <w:rsid w:val="002E018F"/>
    <w:rsid w:val="002E07CB"/>
    <w:rsid w:val="002E1846"/>
    <w:rsid w:val="002E1C13"/>
    <w:rsid w:val="002E1D2C"/>
    <w:rsid w:val="002E1F8E"/>
    <w:rsid w:val="002E23DF"/>
    <w:rsid w:val="002E2550"/>
    <w:rsid w:val="002E258B"/>
    <w:rsid w:val="002E2A76"/>
    <w:rsid w:val="002E362C"/>
    <w:rsid w:val="002E387C"/>
    <w:rsid w:val="002E3E31"/>
    <w:rsid w:val="002E4028"/>
    <w:rsid w:val="002E427A"/>
    <w:rsid w:val="002E55E3"/>
    <w:rsid w:val="002E56D9"/>
    <w:rsid w:val="002E5805"/>
    <w:rsid w:val="002E5AEF"/>
    <w:rsid w:val="002E5AF1"/>
    <w:rsid w:val="002E5B22"/>
    <w:rsid w:val="002E6283"/>
    <w:rsid w:val="002E6504"/>
    <w:rsid w:val="002E6641"/>
    <w:rsid w:val="002E6A96"/>
    <w:rsid w:val="002E6D45"/>
    <w:rsid w:val="002E7FCF"/>
    <w:rsid w:val="002F0A30"/>
    <w:rsid w:val="002F1A4A"/>
    <w:rsid w:val="002F1BCD"/>
    <w:rsid w:val="002F2E7C"/>
    <w:rsid w:val="002F3A2E"/>
    <w:rsid w:val="002F5106"/>
    <w:rsid w:val="002F6EC1"/>
    <w:rsid w:val="002F74C7"/>
    <w:rsid w:val="00300ABA"/>
    <w:rsid w:val="00300EA8"/>
    <w:rsid w:val="00301056"/>
    <w:rsid w:val="00301207"/>
    <w:rsid w:val="003019C4"/>
    <w:rsid w:val="00302019"/>
    <w:rsid w:val="0030264C"/>
    <w:rsid w:val="00302A47"/>
    <w:rsid w:val="00302AE7"/>
    <w:rsid w:val="00302DA2"/>
    <w:rsid w:val="00302EDB"/>
    <w:rsid w:val="00303191"/>
    <w:rsid w:val="003033F6"/>
    <w:rsid w:val="00303B0C"/>
    <w:rsid w:val="00304128"/>
    <w:rsid w:val="00306219"/>
    <w:rsid w:val="003076F7"/>
    <w:rsid w:val="00307FA7"/>
    <w:rsid w:val="003102E7"/>
    <w:rsid w:val="0031040A"/>
    <w:rsid w:val="003104E0"/>
    <w:rsid w:val="003110BA"/>
    <w:rsid w:val="00311D94"/>
    <w:rsid w:val="00312589"/>
    <w:rsid w:val="003127C8"/>
    <w:rsid w:val="00312841"/>
    <w:rsid w:val="00312B39"/>
    <w:rsid w:val="00312DCD"/>
    <w:rsid w:val="00313545"/>
    <w:rsid w:val="003138B3"/>
    <w:rsid w:val="0031510B"/>
    <w:rsid w:val="00315241"/>
    <w:rsid w:val="003153DC"/>
    <w:rsid w:val="003155D5"/>
    <w:rsid w:val="00315669"/>
    <w:rsid w:val="00316365"/>
    <w:rsid w:val="0031675F"/>
    <w:rsid w:val="00317385"/>
    <w:rsid w:val="003174A8"/>
    <w:rsid w:val="00320126"/>
    <w:rsid w:val="00320616"/>
    <w:rsid w:val="003207D2"/>
    <w:rsid w:val="0032155C"/>
    <w:rsid w:val="00321ED7"/>
    <w:rsid w:val="00322823"/>
    <w:rsid w:val="00323038"/>
    <w:rsid w:val="0032337B"/>
    <w:rsid w:val="00323441"/>
    <w:rsid w:val="00323FF6"/>
    <w:rsid w:val="00324DE0"/>
    <w:rsid w:val="00325359"/>
    <w:rsid w:val="0032560A"/>
    <w:rsid w:val="00325992"/>
    <w:rsid w:val="003263A4"/>
    <w:rsid w:val="00326A3A"/>
    <w:rsid w:val="00326CFB"/>
    <w:rsid w:val="00327571"/>
    <w:rsid w:val="00327839"/>
    <w:rsid w:val="003304A8"/>
    <w:rsid w:val="003313B0"/>
    <w:rsid w:val="003328B7"/>
    <w:rsid w:val="00333B1D"/>
    <w:rsid w:val="003347A3"/>
    <w:rsid w:val="00334A41"/>
    <w:rsid w:val="00334A78"/>
    <w:rsid w:val="00334AAC"/>
    <w:rsid w:val="00334C30"/>
    <w:rsid w:val="00334DD1"/>
    <w:rsid w:val="00334E46"/>
    <w:rsid w:val="00334E93"/>
    <w:rsid w:val="00334EAA"/>
    <w:rsid w:val="00335308"/>
    <w:rsid w:val="00335C6E"/>
    <w:rsid w:val="0033770A"/>
    <w:rsid w:val="0033777C"/>
    <w:rsid w:val="00337952"/>
    <w:rsid w:val="00337E88"/>
    <w:rsid w:val="00337F8A"/>
    <w:rsid w:val="00340CD7"/>
    <w:rsid w:val="003414AC"/>
    <w:rsid w:val="0034192E"/>
    <w:rsid w:val="00341DF9"/>
    <w:rsid w:val="00341FB4"/>
    <w:rsid w:val="003427D2"/>
    <w:rsid w:val="00342E8C"/>
    <w:rsid w:val="0034346A"/>
    <w:rsid w:val="00343966"/>
    <w:rsid w:val="00343B2C"/>
    <w:rsid w:val="00343B2F"/>
    <w:rsid w:val="00343D3A"/>
    <w:rsid w:val="003442A6"/>
    <w:rsid w:val="00344395"/>
    <w:rsid w:val="003452DA"/>
    <w:rsid w:val="00345E9E"/>
    <w:rsid w:val="00346C27"/>
    <w:rsid w:val="0034745E"/>
    <w:rsid w:val="00347B78"/>
    <w:rsid w:val="00347D52"/>
    <w:rsid w:val="0035006B"/>
    <w:rsid w:val="003500DF"/>
    <w:rsid w:val="003510BB"/>
    <w:rsid w:val="00351BBC"/>
    <w:rsid w:val="0035243A"/>
    <w:rsid w:val="0035260C"/>
    <w:rsid w:val="00353088"/>
    <w:rsid w:val="00353F55"/>
    <w:rsid w:val="00353F9B"/>
    <w:rsid w:val="00354468"/>
    <w:rsid w:val="0035475D"/>
    <w:rsid w:val="00354D4C"/>
    <w:rsid w:val="00354EDB"/>
    <w:rsid w:val="00355CB6"/>
    <w:rsid w:val="0035622E"/>
    <w:rsid w:val="00356434"/>
    <w:rsid w:val="0035681E"/>
    <w:rsid w:val="00357500"/>
    <w:rsid w:val="003576EE"/>
    <w:rsid w:val="00357CA3"/>
    <w:rsid w:val="00360C20"/>
    <w:rsid w:val="00360F03"/>
    <w:rsid w:val="00361542"/>
    <w:rsid w:val="003624F6"/>
    <w:rsid w:val="003629B2"/>
    <w:rsid w:val="00362C2C"/>
    <w:rsid w:val="00362E73"/>
    <w:rsid w:val="0036351D"/>
    <w:rsid w:val="00363781"/>
    <w:rsid w:val="003639EC"/>
    <w:rsid w:val="00363C42"/>
    <w:rsid w:val="0036407A"/>
    <w:rsid w:val="003642C3"/>
    <w:rsid w:val="0036439A"/>
    <w:rsid w:val="003651C7"/>
    <w:rsid w:val="0036588D"/>
    <w:rsid w:val="0036595D"/>
    <w:rsid w:val="00365C2A"/>
    <w:rsid w:val="00365CF3"/>
    <w:rsid w:val="00366E20"/>
    <w:rsid w:val="00366ED6"/>
    <w:rsid w:val="00367446"/>
    <w:rsid w:val="00370AE6"/>
    <w:rsid w:val="00370F5E"/>
    <w:rsid w:val="003713CD"/>
    <w:rsid w:val="00371821"/>
    <w:rsid w:val="00372700"/>
    <w:rsid w:val="00372F9D"/>
    <w:rsid w:val="003731BC"/>
    <w:rsid w:val="00373ABB"/>
    <w:rsid w:val="00374524"/>
    <w:rsid w:val="00374C8A"/>
    <w:rsid w:val="003750D7"/>
    <w:rsid w:val="003752BA"/>
    <w:rsid w:val="00375341"/>
    <w:rsid w:val="00376280"/>
    <w:rsid w:val="003774A5"/>
    <w:rsid w:val="00380258"/>
    <w:rsid w:val="00380DE1"/>
    <w:rsid w:val="0038148B"/>
    <w:rsid w:val="003814CE"/>
    <w:rsid w:val="003816B0"/>
    <w:rsid w:val="00382A07"/>
    <w:rsid w:val="00382B05"/>
    <w:rsid w:val="00383029"/>
    <w:rsid w:val="003835E8"/>
    <w:rsid w:val="00383629"/>
    <w:rsid w:val="00384590"/>
    <w:rsid w:val="00384611"/>
    <w:rsid w:val="00385029"/>
    <w:rsid w:val="00385A12"/>
    <w:rsid w:val="0038625D"/>
    <w:rsid w:val="00386334"/>
    <w:rsid w:val="00386430"/>
    <w:rsid w:val="00387BB6"/>
    <w:rsid w:val="00387CA8"/>
    <w:rsid w:val="00387E7C"/>
    <w:rsid w:val="00390657"/>
    <w:rsid w:val="003907D8"/>
    <w:rsid w:val="0039090A"/>
    <w:rsid w:val="00390C14"/>
    <w:rsid w:val="00390F07"/>
    <w:rsid w:val="00391483"/>
    <w:rsid w:val="003925AC"/>
    <w:rsid w:val="0039392D"/>
    <w:rsid w:val="003946FB"/>
    <w:rsid w:val="00394845"/>
    <w:rsid w:val="00394858"/>
    <w:rsid w:val="00394A95"/>
    <w:rsid w:val="00394C2B"/>
    <w:rsid w:val="00394F27"/>
    <w:rsid w:val="003957C8"/>
    <w:rsid w:val="00396A0E"/>
    <w:rsid w:val="00396DB2"/>
    <w:rsid w:val="00396F77"/>
    <w:rsid w:val="00397260"/>
    <w:rsid w:val="00397538"/>
    <w:rsid w:val="00397845"/>
    <w:rsid w:val="00397FA9"/>
    <w:rsid w:val="003A0438"/>
    <w:rsid w:val="003A0BA7"/>
    <w:rsid w:val="003A230D"/>
    <w:rsid w:val="003A29B4"/>
    <w:rsid w:val="003A2F6C"/>
    <w:rsid w:val="003A3434"/>
    <w:rsid w:val="003A3CA3"/>
    <w:rsid w:val="003A3DF6"/>
    <w:rsid w:val="003A4BAD"/>
    <w:rsid w:val="003A4D9A"/>
    <w:rsid w:val="003A5BF6"/>
    <w:rsid w:val="003A5DEA"/>
    <w:rsid w:val="003A6C50"/>
    <w:rsid w:val="003A727D"/>
    <w:rsid w:val="003A7E65"/>
    <w:rsid w:val="003B0301"/>
    <w:rsid w:val="003B06F7"/>
    <w:rsid w:val="003B08FA"/>
    <w:rsid w:val="003B12FA"/>
    <w:rsid w:val="003B2070"/>
    <w:rsid w:val="003B28DA"/>
    <w:rsid w:val="003B3334"/>
    <w:rsid w:val="003B49FE"/>
    <w:rsid w:val="003B5873"/>
    <w:rsid w:val="003B6DAE"/>
    <w:rsid w:val="003C05A9"/>
    <w:rsid w:val="003C160E"/>
    <w:rsid w:val="003C179E"/>
    <w:rsid w:val="003C1C8A"/>
    <w:rsid w:val="003C1E24"/>
    <w:rsid w:val="003C2000"/>
    <w:rsid w:val="003C2EF7"/>
    <w:rsid w:val="003C2F2B"/>
    <w:rsid w:val="003C33F1"/>
    <w:rsid w:val="003C3B1D"/>
    <w:rsid w:val="003C46C9"/>
    <w:rsid w:val="003C523F"/>
    <w:rsid w:val="003C5D7F"/>
    <w:rsid w:val="003C600D"/>
    <w:rsid w:val="003C62F0"/>
    <w:rsid w:val="003C7168"/>
    <w:rsid w:val="003C7BFF"/>
    <w:rsid w:val="003D055D"/>
    <w:rsid w:val="003D0ED6"/>
    <w:rsid w:val="003D1286"/>
    <w:rsid w:val="003D18B1"/>
    <w:rsid w:val="003D18E5"/>
    <w:rsid w:val="003D1BD8"/>
    <w:rsid w:val="003D1FBF"/>
    <w:rsid w:val="003D21B2"/>
    <w:rsid w:val="003D23B7"/>
    <w:rsid w:val="003D2CDC"/>
    <w:rsid w:val="003D33CB"/>
    <w:rsid w:val="003D3D69"/>
    <w:rsid w:val="003D4AD5"/>
    <w:rsid w:val="003D6628"/>
    <w:rsid w:val="003D6C4E"/>
    <w:rsid w:val="003D6C60"/>
    <w:rsid w:val="003D6F53"/>
    <w:rsid w:val="003D7036"/>
    <w:rsid w:val="003D7248"/>
    <w:rsid w:val="003D7C53"/>
    <w:rsid w:val="003D7CDC"/>
    <w:rsid w:val="003E0BED"/>
    <w:rsid w:val="003E18C4"/>
    <w:rsid w:val="003E1AF3"/>
    <w:rsid w:val="003E2A31"/>
    <w:rsid w:val="003E348F"/>
    <w:rsid w:val="003E36A6"/>
    <w:rsid w:val="003E4F2F"/>
    <w:rsid w:val="003E5A75"/>
    <w:rsid w:val="003E62C9"/>
    <w:rsid w:val="003E6870"/>
    <w:rsid w:val="003E6BCC"/>
    <w:rsid w:val="003F05F9"/>
    <w:rsid w:val="003F0A86"/>
    <w:rsid w:val="003F0B1D"/>
    <w:rsid w:val="003F18FF"/>
    <w:rsid w:val="003F2A34"/>
    <w:rsid w:val="003F3399"/>
    <w:rsid w:val="003F43BC"/>
    <w:rsid w:val="003F45D6"/>
    <w:rsid w:val="003F4774"/>
    <w:rsid w:val="003F4DCE"/>
    <w:rsid w:val="003F5A2E"/>
    <w:rsid w:val="003F5B77"/>
    <w:rsid w:val="003F6C58"/>
    <w:rsid w:val="003F734B"/>
    <w:rsid w:val="00400973"/>
    <w:rsid w:val="00400B3F"/>
    <w:rsid w:val="00400D33"/>
    <w:rsid w:val="00400D4D"/>
    <w:rsid w:val="0040136E"/>
    <w:rsid w:val="00401E82"/>
    <w:rsid w:val="004023D4"/>
    <w:rsid w:val="004024CD"/>
    <w:rsid w:val="00402C85"/>
    <w:rsid w:val="00403278"/>
    <w:rsid w:val="004032EB"/>
    <w:rsid w:val="004037D3"/>
    <w:rsid w:val="00403B03"/>
    <w:rsid w:val="00404227"/>
    <w:rsid w:val="004042EF"/>
    <w:rsid w:val="004047D1"/>
    <w:rsid w:val="0040485C"/>
    <w:rsid w:val="00404D00"/>
    <w:rsid w:val="0040542A"/>
    <w:rsid w:val="004059D4"/>
    <w:rsid w:val="00405D2F"/>
    <w:rsid w:val="0040614A"/>
    <w:rsid w:val="00406698"/>
    <w:rsid w:val="0040695B"/>
    <w:rsid w:val="00406D0A"/>
    <w:rsid w:val="00406D73"/>
    <w:rsid w:val="00410339"/>
    <w:rsid w:val="00410FE0"/>
    <w:rsid w:val="00411055"/>
    <w:rsid w:val="004111B4"/>
    <w:rsid w:val="00411560"/>
    <w:rsid w:val="00411CAB"/>
    <w:rsid w:val="00412DBB"/>
    <w:rsid w:val="004136D6"/>
    <w:rsid w:val="0041383B"/>
    <w:rsid w:val="004143CA"/>
    <w:rsid w:val="00416204"/>
    <w:rsid w:val="004169A0"/>
    <w:rsid w:val="00417360"/>
    <w:rsid w:val="0041751D"/>
    <w:rsid w:val="00420471"/>
    <w:rsid w:val="004207D0"/>
    <w:rsid w:val="004214B3"/>
    <w:rsid w:val="0042178E"/>
    <w:rsid w:val="00421984"/>
    <w:rsid w:val="00422225"/>
    <w:rsid w:val="0042222D"/>
    <w:rsid w:val="00422977"/>
    <w:rsid w:val="00423A5F"/>
    <w:rsid w:val="00423F10"/>
    <w:rsid w:val="00424BB0"/>
    <w:rsid w:val="004255DF"/>
    <w:rsid w:val="004256A0"/>
    <w:rsid w:val="00426D56"/>
    <w:rsid w:val="00426F5A"/>
    <w:rsid w:val="00427DE9"/>
    <w:rsid w:val="0043051C"/>
    <w:rsid w:val="00430837"/>
    <w:rsid w:val="004319C3"/>
    <w:rsid w:val="00431A04"/>
    <w:rsid w:val="00431BC8"/>
    <w:rsid w:val="00432581"/>
    <w:rsid w:val="00432E7E"/>
    <w:rsid w:val="00433058"/>
    <w:rsid w:val="004331DA"/>
    <w:rsid w:val="00433E70"/>
    <w:rsid w:val="0043472F"/>
    <w:rsid w:val="00434B27"/>
    <w:rsid w:val="00434B82"/>
    <w:rsid w:val="00434C1C"/>
    <w:rsid w:val="00435492"/>
    <w:rsid w:val="004356F4"/>
    <w:rsid w:val="00435D96"/>
    <w:rsid w:val="00435E6B"/>
    <w:rsid w:val="00435FE5"/>
    <w:rsid w:val="0043607C"/>
    <w:rsid w:val="0043633D"/>
    <w:rsid w:val="00436399"/>
    <w:rsid w:val="00436EE2"/>
    <w:rsid w:val="00440C27"/>
    <w:rsid w:val="00440DEA"/>
    <w:rsid w:val="00441988"/>
    <w:rsid w:val="00442022"/>
    <w:rsid w:val="0044232F"/>
    <w:rsid w:val="00442474"/>
    <w:rsid w:val="00442EB2"/>
    <w:rsid w:val="00443D5F"/>
    <w:rsid w:val="00443E31"/>
    <w:rsid w:val="00444DA6"/>
    <w:rsid w:val="004464DB"/>
    <w:rsid w:val="004466CB"/>
    <w:rsid w:val="0044688D"/>
    <w:rsid w:val="00446B28"/>
    <w:rsid w:val="00446D5D"/>
    <w:rsid w:val="00447088"/>
    <w:rsid w:val="00447CC6"/>
    <w:rsid w:val="00447D79"/>
    <w:rsid w:val="0045082B"/>
    <w:rsid w:val="00450921"/>
    <w:rsid w:val="004510F4"/>
    <w:rsid w:val="004518D1"/>
    <w:rsid w:val="00451DD2"/>
    <w:rsid w:val="004523FA"/>
    <w:rsid w:val="004527C2"/>
    <w:rsid w:val="00452806"/>
    <w:rsid w:val="00452837"/>
    <w:rsid w:val="00452FA7"/>
    <w:rsid w:val="004536EC"/>
    <w:rsid w:val="00453EFE"/>
    <w:rsid w:val="00454D38"/>
    <w:rsid w:val="00455ACA"/>
    <w:rsid w:val="00456345"/>
    <w:rsid w:val="00456860"/>
    <w:rsid w:val="00456B53"/>
    <w:rsid w:val="0046187A"/>
    <w:rsid w:val="0046208B"/>
    <w:rsid w:val="0046222C"/>
    <w:rsid w:val="00462265"/>
    <w:rsid w:val="004623A7"/>
    <w:rsid w:val="00464FA9"/>
    <w:rsid w:val="00465397"/>
    <w:rsid w:val="0046598D"/>
    <w:rsid w:val="004661E6"/>
    <w:rsid w:val="00466EF6"/>
    <w:rsid w:val="00467949"/>
    <w:rsid w:val="00467D17"/>
    <w:rsid w:val="00467DD9"/>
    <w:rsid w:val="00467E91"/>
    <w:rsid w:val="00470CC1"/>
    <w:rsid w:val="00470DA5"/>
    <w:rsid w:val="00470F5B"/>
    <w:rsid w:val="00470FE4"/>
    <w:rsid w:val="00472141"/>
    <w:rsid w:val="004726A3"/>
    <w:rsid w:val="00472F6C"/>
    <w:rsid w:val="004730D8"/>
    <w:rsid w:val="004734B9"/>
    <w:rsid w:val="004738B4"/>
    <w:rsid w:val="00473F29"/>
    <w:rsid w:val="004743BA"/>
    <w:rsid w:val="00474444"/>
    <w:rsid w:val="004745FB"/>
    <w:rsid w:val="00474DAB"/>
    <w:rsid w:val="00474E88"/>
    <w:rsid w:val="0047615C"/>
    <w:rsid w:val="0047769E"/>
    <w:rsid w:val="0048139E"/>
    <w:rsid w:val="004821D1"/>
    <w:rsid w:val="00482425"/>
    <w:rsid w:val="00482628"/>
    <w:rsid w:val="00484338"/>
    <w:rsid w:val="00485E57"/>
    <w:rsid w:val="00486442"/>
    <w:rsid w:val="00486713"/>
    <w:rsid w:val="00486EDF"/>
    <w:rsid w:val="0048758F"/>
    <w:rsid w:val="00487E5A"/>
    <w:rsid w:val="0049067E"/>
    <w:rsid w:val="00491EF3"/>
    <w:rsid w:val="00492F84"/>
    <w:rsid w:val="0049415B"/>
    <w:rsid w:val="004947E7"/>
    <w:rsid w:val="00494F68"/>
    <w:rsid w:val="00495901"/>
    <w:rsid w:val="00495C90"/>
    <w:rsid w:val="00496181"/>
    <w:rsid w:val="0049655B"/>
    <w:rsid w:val="00496C69"/>
    <w:rsid w:val="00497962"/>
    <w:rsid w:val="004A09C4"/>
    <w:rsid w:val="004A16B5"/>
    <w:rsid w:val="004A2179"/>
    <w:rsid w:val="004A28E9"/>
    <w:rsid w:val="004A292C"/>
    <w:rsid w:val="004A3043"/>
    <w:rsid w:val="004A366B"/>
    <w:rsid w:val="004A413F"/>
    <w:rsid w:val="004A4501"/>
    <w:rsid w:val="004A4CA4"/>
    <w:rsid w:val="004A59A1"/>
    <w:rsid w:val="004A64FA"/>
    <w:rsid w:val="004A6E46"/>
    <w:rsid w:val="004A74B0"/>
    <w:rsid w:val="004A7DA4"/>
    <w:rsid w:val="004B088A"/>
    <w:rsid w:val="004B0E7E"/>
    <w:rsid w:val="004B30C2"/>
    <w:rsid w:val="004B395D"/>
    <w:rsid w:val="004B3CCC"/>
    <w:rsid w:val="004B3F6A"/>
    <w:rsid w:val="004B43C0"/>
    <w:rsid w:val="004B442F"/>
    <w:rsid w:val="004B46F6"/>
    <w:rsid w:val="004B503E"/>
    <w:rsid w:val="004B56EE"/>
    <w:rsid w:val="004B5C90"/>
    <w:rsid w:val="004B6F58"/>
    <w:rsid w:val="004B7548"/>
    <w:rsid w:val="004C0D72"/>
    <w:rsid w:val="004C144F"/>
    <w:rsid w:val="004C1847"/>
    <w:rsid w:val="004C1BF9"/>
    <w:rsid w:val="004C3A10"/>
    <w:rsid w:val="004C3B1A"/>
    <w:rsid w:val="004C3C45"/>
    <w:rsid w:val="004C4C38"/>
    <w:rsid w:val="004C4D0E"/>
    <w:rsid w:val="004C507A"/>
    <w:rsid w:val="004C5EB4"/>
    <w:rsid w:val="004C6401"/>
    <w:rsid w:val="004C6C51"/>
    <w:rsid w:val="004C6CE5"/>
    <w:rsid w:val="004C75D0"/>
    <w:rsid w:val="004C79F9"/>
    <w:rsid w:val="004D0236"/>
    <w:rsid w:val="004D0600"/>
    <w:rsid w:val="004D07D3"/>
    <w:rsid w:val="004D133F"/>
    <w:rsid w:val="004D1415"/>
    <w:rsid w:val="004D1E7E"/>
    <w:rsid w:val="004D29AA"/>
    <w:rsid w:val="004D29FC"/>
    <w:rsid w:val="004D2E61"/>
    <w:rsid w:val="004D343B"/>
    <w:rsid w:val="004D3573"/>
    <w:rsid w:val="004D3593"/>
    <w:rsid w:val="004D4259"/>
    <w:rsid w:val="004D56E8"/>
    <w:rsid w:val="004D59BA"/>
    <w:rsid w:val="004D5D1B"/>
    <w:rsid w:val="004D66B6"/>
    <w:rsid w:val="004D6F50"/>
    <w:rsid w:val="004D70BC"/>
    <w:rsid w:val="004D77CD"/>
    <w:rsid w:val="004E190B"/>
    <w:rsid w:val="004E1C96"/>
    <w:rsid w:val="004E240F"/>
    <w:rsid w:val="004E2497"/>
    <w:rsid w:val="004E25B4"/>
    <w:rsid w:val="004E2C6D"/>
    <w:rsid w:val="004E3395"/>
    <w:rsid w:val="004E3785"/>
    <w:rsid w:val="004E3C65"/>
    <w:rsid w:val="004E43B1"/>
    <w:rsid w:val="004E4C1F"/>
    <w:rsid w:val="004E4F5E"/>
    <w:rsid w:val="004E53F0"/>
    <w:rsid w:val="004E55C5"/>
    <w:rsid w:val="004E60EA"/>
    <w:rsid w:val="004E6C45"/>
    <w:rsid w:val="004E6F44"/>
    <w:rsid w:val="004E78A3"/>
    <w:rsid w:val="004E78E6"/>
    <w:rsid w:val="004E7AC0"/>
    <w:rsid w:val="004E7F6E"/>
    <w:rsid w:val="004F15BD"/>
    <w:rsid w:val="004F18A5"/>
    <w:rsid w:val="004F25EB"/>
    <w:rsid w:val="004F28B9"/>
    <w:rsid w:val="004F2AF0"/>
    <w:rsid w:val="004F35BC"/>
    <w:rsid w:val="004F36CB"/>
    <w:rsid w:val="004F3778"/>
    <w:rsid w:val="004F46B3"/>
    <w:rsid w:val="004F4893"/>
    <w:rsid w:val="004F4B46"/>
    <w:rsid w:val="004F6279"/>
    <w:rsid w:val="004F63C6"/>
    <w:rsid w:val="004F7CF8"/>
    <w:rsid w:val="005004A1"/>
    <w:rsid w:val="00500918"/>
    <w:rsid w:val="00500D23"/>
    <w:rsid w:val="00500ED1"/>
    <w:rsid w:val="00500FAC"/>
    <w:rsid w:val="005017CB"/>
    <w:rsid w:val="00501B5A"/>
    <w:rsid w:val="00501DC9"/>
    <w:rsid w:val="00502AC3"/>
    <w:rsid w:val="00502CCE"/>
    <w:rsid w:val="005034A2"/>
    <w:rsid w:val="00503527"/>
    <w:rsid w:val="0050401A"/>
    <w:rsid w:val="00504428"/>
    <w:rsid w:val="00504897"/>
    <w:rsid w:val="0050572B"/>
    <w:rsid w:val="00506059"/>
    <w:rsid w:val="00506546"/>
    <w:rsid w:val="00510290"/>
    <w:rsid w:val="00510CCC"/>
    <w:rsid w:val="0051241D"/>
    <w:rsid w:val="005126AF"/>
    <w:rsid w:val="00512812"/>
    <w:rsid w:val="00512B51"/>
    <w:rsid w:val="0051348E"/>
    <w:rsid w:val="005139F2"/>
    <w:rsid w:val="0051425E"/>
    <w:rsid w:val="005144A7"/>
    <w:rsid w:val="00514562"/>
    <w:rsid w:val="00514E81"/>
    <w:rsid w:val="005157AE"/>
    <w:rsid w:val="00515C34"/>
    <w:rsid w:val="00515EE3"/>
    <w:rsid w:val="0051651B"/>
    <w:rsid w:val="0051697A"/>
    <w:rsid w:val="00516B5D"/>
    <w:rsid w:val="00517751"/>
    <w:rsid w:val="00517A5A"/>
    <w:rsid w:val="005202EA"/>
    <w:rsid w:val="00520D34"/>
    <w:rsid w:val="00520DF5"/>
    <w:rsid w:val="005215B4"/>
    <w:rsid w:val="005215CA"/>
    <w:rsid w:val="0052183D"/>
    <w:rsid w:val="00521B2C"/>
    <w:rsid w:val="0052271B"/>
    <w:rsid w:val="005229E9"/>
    <w:rsid w:val="00522F81"/>
    <w:rsid w:val="00523969"/>
    <w:rsid w:val="00523D15"/>
    <w:rsid w:val="00524A62"/>
    <w:rsid w:val="00524EA9"/>
    <w:rsid w:val="005252C2"/>
    <w:rsid w:val="00525404"/>
    <w:rsid w:val="00525734"/>
    <w:rsid w:val="005257FE"/>
    <w:rsid w:val="00525D42"/>
    <w:rsid w:val="00526B87"/>
    <w:rsid w:val="00527115"/>
    <w:rsid w:val="00527848"/>
    <w:rsid w:val="00530194"/>
    <w:rsid w:val="005307AC"/>
    <w:rsid w:val="005308C0"/>
    <w:rsid w:val="005311A1"/>
    <w:rsid w:val="00531C4E"/>
    <w:rsid w:val="00532658"/>
    <w:rsid w:val="005330E5"/>
    <w:rsid w:val="005332E1"/>
    <w:rsid w:val="0053371E"/>
    <w:rsid w:val="00533B72"/>
    <w:rsid w:val="005347FF"/>
    <w:rsid w:val="005349B5"/>
    <w:rsid w:val="00534A2F"/>
    <w:rsid w:val="00534C99"/>
    <w:rsid w:val="005351B6"/>
    <w:rsid w:val="005355EC"/>
    <w:rsid w:val="00535691"/>
    <w:rsid w:val="00535C48"/>
    <w:rsid w:val="0053717C"/>
    <w:rsid w:val="00540333"/>
    <w:rsid w:val="00540373"/>
    <w:rsid w:val="00540D55"/>
    <w:rsid w:val="00541099"/>
    <w:rsid w:val="005412E8"/>
    <w:rsid w:val="005413B3"/>
    <w:rsid w:val="00541851"/>
    <w:rsid w:val="00541854"/>
    <w:rsid w:val="005418F0"/>
    <w:rsid w:val="00542442"/>
    <w:rsid w:val="00542E30"/>
    <w:rsid w:val="005435DC"/>
    <w:rsid w:val="0054427A"/>
    <w:rsid w:val="0054429E"/>
    <w:rsid w:val="005445A0"/>
    <w:rsid w:val="00544FAB"/>
    <w:rsid w:val="005452FA"/>
    <w:rsid w:val="00545494"/>
    <w:rsid w:val="00545C35"/>
    <w:rsid w:val="0054657E"/>
    <w:rsid w:val="00546588"/>
    <w:rsid w:val="005468A3"/>
    <w:rsid w:val="005469DF"/>
    <w:rsid w:val="00546D42"/>
    <w:rsid w:val="00546D92"/>
    <w:rsid w:val="005471E6"/>
    <w:rsid w:val="005477BA"/>
    <w:rsid w:val="005503CA"/>
    <w:rsid w:val="00550C0A"/>
    <w:rsid w:val="005514D1"/>
    <w:rsid w:val="005524A1"/>
    <w:rsid w:val="00552AD3"/>
    <w:rsid w:val="00552CF8"/>
    <w:rsid w:val="00552F5D"/>
    <w:rsid w:val="005532BE"/>
    <w:rsid w:val="00553F18"/>
    <w:rsid w:val="00554192"/>
    <w:rsid w:val="00554922"/>
    <w:rsid w:val="00554D4D"/>
    <w:rsid w:val="0055557A"/>
    <w:rsid w:val="0055577D"/>
    <w:rsid w:val="00556125"/>
    <w:rsid w:val="00556684"/>
    <w:rsid w:val="00556E0D"/>
    <w:rsid w:val="00557B0D"/>
    <w:rsid w:val="00557E09"/>
    <w:rsid w:val="00561D98"/>
    <w:rsid w:val="0056361F"/>
    <w:rsid w:val="00563A7D"/>
    <w:rsid w:val="00564350"/>
    <w:rsid w:val="00564615"/>
    <w:rsid w:val="0056466A"/>
    <w:rsid w:val="00564851"/>
    <w:rsid w:val="00564C71"/>
    <w:rsid w:val="00564E59"/>
    <w:rsid w:val="00565626"/>
    <w:rsid w:val="0056577A"/>
    <w:rsid w:val="00565785"/>
    <w:rsid w:val="005658DF"/>
    <w:rsid w:val="00565C5C"/>
    <w:rsid w:val="00566591"/>
    <w:rsid w:val="00566BC4"/>
    <w:rsid w:val="00566BD8"/>
    <w:rsid w:val="00566FE7"/>
    <w:rsid w:val="0056791A"/>
    <w:rsid w:val="005679A5"/>
    <w:rsid w:val="00570A43"/>
    <w:rsid w:val="00570A9A"/>
    <w:rsid w:val="00570B8E"/>
    <w:rsid w:val="00570BCA"/>
    <w:rsid w:val="00571370"/>
    <w:rsid w:val="0057137F"/>
    <w:rsid w:val="00572815"/>
    <w:rsid w:val="00572FE1"/>
    <w:rsid w:val="005738DB"/>
    <w:rsid w:val="005771F6"/>
    <w:rsid w:val="005775BF"/>
    <w:rsid w:val="005800FF"/>
    <w:rsid w:val="00580C7E"/>
    <w:rsid w:val="00581BDE"/>
    <w:rsid w:val="00581D06"/>
    <w:rsid w:val="00581DC6"/>
    <w:rsid w:val="00582A53"/>
    <w:rsid w:val="00583268"/>
    <w:rsid w:val="005842FB"/>
    <w:rsid w:val="00584439"/>
    <w:rsid w:val="00584978"/>
    <w:rsid w:val="00584EE5"/>
    <w:rsid w:val="0058505A"/>
    <w:rsid w:val="0058517A"/>
    <w:rsid w:val="00585501"/>
    <w:rsid w:val="00587022"/>
    <w:rsid w:val="00590162"/>
    <w:rsid w:val="005903F1"/>
    <w:rsid w:val="0059136C"/>
    <w:rsid w:val="00591552"/>
    <w:rsid w:val="00591978"/>
    <w:rsid w:val="00591995"/>
    <w:rsid w:val="00591D0A"/>
    <w:rsid w:val="0059293E"/>
    <w:rsid w:val="00592E23"/>
    <w:rsid w:val="005932C6"/>
    <w:rsid w:val="00593F72"/>
    <w:rsid w:val="005941B7"/>
    <w:rsid w:val="0059543B"/>
    <w:rsid w:val="005956BE"/>
    <w:rsid w:val="00595709"/>
    <w:rsid w:val="00595DBF"/>
    <w:rsid w:val="00595E7B"/>
    <w:rsid w:val="005962F7"/>
    <w:rsid w:val="00596FE2"/>
    <w:rsid w:val="005A17E6"/>
    <w:rsid w:val="005A1A95"/>
    <w:rsid w:val="005A1E4B"/>
    <w:rsid w:val="005A2297"/>
    <w:rsid w:val="005A28DC"/>
    <w:rsid w:val="005A329D"/>
    <w:rsid w:val="005A39F4"/>
    <w:rsid w:val="005A3C8E"/>
    <w:rsid w:val="005A4287"/>
    <w:rsid w:val="005A59D1"/>
    <w:rsid w:val="005A5B1B"/>
    <w:rsid w:val="005A5DDA"/>
    <w:rsid w:val="005A6292"/>
    <w:rsid w:val="005A703C"/>
    <w:rsid w:val="005A7518"/>
    <w:rsid w:val="005A7E05"/>
    <w:rsid w:val="005B10B6"/>
    <w:rsid w:val="005B10C5"/>
    <w:rsid w:val="005B12AD"/>
    <w:rsid w:val="005B1B04"/>
    <w:rsid w:val="005B1D36"/>
    <w:rsid w:val="005B2A2D"/>
    <w:rsid w:val="005B2FB7"/>
    <w:rsid w:val="005B3549"/>
    <w:rsid w:val="005B3DD2"/>
    <w:rsid w:val="005B425A"/>
    <w:rsid w:val="005B4540"/>
    <w:rsid w:val="005B49BE"/>
    <w:rsid w:val="005B58D3"/>
    <w:rsid w:val="005B697D"/>
    <w:rsid w:val="005B7272"/>
    <w:rsid w:val="005B7499"/>
    <w:rsid w:val="005B7A32"/>
    <w:rsid w:val="005B7CA9"/>
    <w:rsid w:val="005C137A"/>
    <w:rsid w:val="005C14F8"/>
    <w:rsid w:val="005C1EE4"/>
    <w:rsid w:val="005C1F2A"/>
    <w:rsid w:val="005C2511"/>
    <w:rsid w:val="005C2B52"/>
    <w:rsid w:val="005C32BF"/>
    <w:rsid w:val="005C3B7A"/>
    <w:rsid w:val="005C5EEB"/>
    <w:rsid w:val="005C6A43"/>
    <w:rsid w:val="005C6D5A"/>
    <w:rsid w:val="005C70A9"/>
    <w:rsid w:val="005C73E3"/>
    <w:rsid w:val="005C75E3"/>
    <w:rsid w:val="005C7781"/>
    <w:rsid w:val="005C7CED"/>
    <w:rsid w:val="005D0701"/>
    <w:rsid w:val="005D1150"/>
    <w:rsid w:val="005D15B0"/>
    <w:rsid w:val="005D31A5"/>
    <w:rsid w:val="005D3492"/>
    <w:rsid w:val="005D3810"/>
    <w:rsid w:val="005D43B3"/>
    <w:rsid w:val="005D5910"/>
    <w:rsid w:val="005D5DD6"/>
    <w:rsid w:val="005D5E54"/>
    <w:rsid w:val="005D601D"/>
    <w:rsid w:val="005D60F2"/>
    <w:rsid w:val="005D6906"/>
    <w:rsid w:val="005D6E7A"/>
    <w:rsid w:val="005D7104"/>
    <w:rsid w:val="005E0F45"/>
    <w:rsid w:val="005E120F"/>
    <w:rsid w:val="005E125D"/>
    <w:rsid w:val="005E2A03"/>
    <w:rsid w:val="005E2AC3"/>
    <w:rsid w:val="005E2FEA"/>
    <w:rsid w:val="005E3864"/>
    <w:rsid w:val="005E386D"/>
    <w:rsid w:val="005E3BAA"/>
    <w:rsid w:val="005E4FCD"/>
    <w:rsid w:val="005E5289"/>
    <w:rsid w:val="005E52CE"/>
    <w:rsid w:val="005E5533"/>
    <w:rsid w:val="005E5838"/>
    <w:rsid w:val="005E73FC"/>
    <w:rsid w:val="005E76E7"/>
    <w:rsid w:val="005E7C76"/>
    <w:rsid w:val="005E7F93"/>
    <w:rsid w:val="005F095F"/>
    <w:rsid w:val="005F0BE5"/>
    <w:rsid w:val="005F0F81"/>
    <w:rsid w:val="005F2272"/>
    <w:rsid w:val="005F253F"/>
    <w:rsid w:val="005F27DC"/>
    <w:rsid w:val="005F2836"/>
    <w:rsid w:val="005F2BB0"/>
    <w:rsid w:val="005F3820"/>
    <w:rsid w:val="005F507D"/>
    <w:rsid w:val="005F5ABE"/>
    <w:rsid w:val="005F6315"/>
    <w:rsid w:val="005F656B"/>
    <w:rsid w:val="005F71A6"/>
    <w:rsid w:val="005F7765"/>
    <w:rsid w:val="005F78CC"/>
    <w:rsid w:val="005F7B5D"/>
    <w:rsid w:val="005F7F13"/>
    <w:rsid w:val="00600995"/>
    <w:rsid w:val="0060108D"/>
    <w:rsid w:val="006014D8"/>
    <w:rsid w:val="006019E6"/>
    <w:rsid w:val="00601B43"/>
    <w:rsid w:val="00601F95"/>
    <w:rsid w:val="00602323"/>
    <w:rsid w:val="00603E55"/>
    <w:rsid w:val="006057EA"/>
    <w:rsid w:val="00605E02"/>
    <w:rsid w:val="00607610"/>
    <w:rsid w:val="00610504"/>
    <w:rsid w:val="00610D9C"/>
    <w:rsid w:val="00611AA7"/>
    <w:rsid w:val="00612199"/>
    <w:rsid w:val="006122EC"/>
    <w:rsid w:val="00612BAC"/>
    <w:rsid w:val="0061310A"/>
    <w:rsid w:val="00614067"/>
    <w:rsid w:val="0061456A"/>
    <w:rsid w:val="0061499E"/>
    <w:rsid w:val="00614AC1"/>
    <w:rsid w:val="00614D75"/>
    <w:rsid w:val="006150AF"/>
    <w:rsid w:val="006153AF"/>
    <w:rsid w:val="0061548F"/>
    <w:rsid w:val="00615A52"/>
    <w:rsid w:val="006168DC"/>
    <w:rsid w:val="00617197"/>
    <w:rsid w:val="0061798D"/>
    <w:rsid w:val="00617C17"/>
    <w:rsid w:val="00617C57"/>
    <w:rsid w:val="00617DCC"/>
    <w:rsid w:val="00620419"/>
    <w:rsid w:val="006205FF"/>
    <w:rsid w:val="00620D01"/>
    <w:rsid w:val="006214CA"/>
    <w:rsid w:val="00621575"/>
    <w:rsid w:val="00621675"/>
    <w:rsid w:val="00621F47"/>
    <w:rsid w:val="0062202D"/>
    <w:rsid w:val="006243A6"/>
    <w:rsid w:val="00624533"/>
    <w:rsid w:val="00624F7C"/>
    <w:rsid w:val="00625691"/>
    <w:rsid w:val="00626561"/>
    <w:rsid w:val="006265DE"/>
    <w:rsid w:val="006269B6"/>
    <w:rsid w:val="00626A45"/>
    <w:rsid w:val="006273C4"/>
    <w:rsid w:val="00627735"/>
    <w:rsid w:val="00630CAA"/>
    <w:rsid w:val="0063153B"/>
    <w:rsid w:val="0063164A"/>
    <w:rsid w:val="00631740"/>
    <w:rsid w:val="00631802"/>
    <w:rsid w:val="006318B9"/>
    <w:rsid w:val="00631DB8"/>
    <w:rsid w:val="006326E1"/>
    <w:rsid w:val="00632818"/>
    <w:rsid w:val="00633883"/>
    <w:rsid w:val="00633F8A"/>
    <w:rsid w:val="00634194"/>
    <w:rsid w:val="00634222"/>
    <w:rsid w:val="00634596"/>
    <w:rsid w:val="00634730"/>
    <w:rsid w:val="006355F6"/>
    <w:rsid w:val="00636057"/>
    <w:rsid w:val="0063682B"/>
    <w:rsid w:val="00636C7D"/>
    <w:rsid w:val="00637DA4"/>
    <w:rsid w:val="00640047"/>
    <w:rsid w:val="0064018D"/>
    <w:rsid w:val="00640460"/>
    <w:rsid w:val="00640CE2"/>
    <w:rsid w:val="00641175"/>
    <w:rsid w:val="00641880"/>
    <w:rsid w:val="00641E13"/>
    <w:rsid w:val="00642306"/>
    <w:rsid w:val="00642406"/>
    <w:rsid w:val="00642E41"/>
    <w:rsid w:val="00643533"/>
    <w:rsid w:val="006435FA"/>
    <w:rsid w:val="006437EB"/>
    <w:rsid w:val="00643C8C"/>
    <w:rsid w:val="00643E16"/>
    <w:rsid w:val="00644307"/>
    <w:rsid w:val="006445E3"/>
    <w:rsid w:val="00644C28"/>
    <w:rsid w:val="00644E15"/>
    <w:rsid w:val="00645236"/>
    <w:rsid w:val="006460F7"/>
    <w:rsid w:val="00647207"/>
    <w:rsid w:val="00647BD2"/>
    <w:rsid w:val="00650BBB"/>
    <w:rsid w:val="006511FE"/>
    <w:rsid w:val="006525B8"/>
    <w:rsid w:val="00652C81"/>
    <w:rsid w:val="00653066"/>
    <w:rsid w:val="00653501"/>
    <w:rsid w:val="00653DD7"/>
    <w:rsid w:val="00653DE3"/>
    <w:rsid w:val="0065446C"/>
    <w:rsid w:val="00655002"/>
    <w:rsid w:val="00655761"/>
    <w:rsid w:val="006559A7"/>
    <w:rsid w:val="00656FD8"/>
    <w:rsid w:val="00661470"/>
    <w:rsid w:val="00661B10"/>
    <w:rsid w:val="00662118"/>
    <w:rsid w:val="00662441"/>
    <w:rsid w:val="00662DD8"/>
    <w:rsid w:val="00662FEF"/>
    <w:rsid w:val="0066364D"/>
    <w:rsid w:val="0066474F"/>
    <w:rsid w:val="00664D05"/>
    <w:rsid w:val="00665B12"/>
    <w:rsid w:val="00666981"/>
    <w:rsid w:val="00667479"/>
    <w:rsid w:val="00667DAE"/>
    <w:rsid w:val="00667F2D"/>
    <w:rsid w:val="00671DE6"/>
    <w:rsid w:val="006721CC"/>
    <w:rsid w:val="006727E4"/>
    <w:rsid w:val="00672AB6"/>
    <w:rsid w:val="00672F36"/>
    <w:rsid w:val="00673335"/>
    <w:rsid w:val="00673741"/>
    <w:rsid w:val="00673CFF"/>
    <w:rsid w:val="0067416E"/>
    <w:rsid w:val="006756BC"/>
    <w:rsid w:val="00675B9C"/>
    <w:rsid w:val="006762DB"/>
    <w:rsid w:val="00677602"/>
    <w:rsid w:val="00677B3C"/>
    <w:rsid w:val="00677DE1"/>
    <w:rsid w:val="006806D0"/>
    <w:rsid w:val="006809A7"/>
    <w:rsid w:val="00680B3F"/>
    <w:rsid w:val="006810A0"/>
    <w:rsid w:val="0068245C"/>
    <w:rsid w:val="00682468"/>
    <w:rsid w:val="00682AFA"/>
    <w:rsid w:val="00682B15"/>
    <w:rsid w:val="00682BC9"/>
    <w:rsid w:val="006830A6"/>
    <w:rsid w:val="006831B5"/>
    <w:rsid w:val="006835D6"/>
    <w:rsid w:val="00685186"/>
    <w:rsid w:val="00686435"/>
    <w:rsid w:val="00686B01"/>
    <w:rsid w:val="006871B9"/>
    <w:rsid w:val="00687A07"/>
    <w:rsid w:val="00687A37"/>
    <w:rsid w:val="00687D7B"/>
    <w:rsid w:val="006904ED"/>
    <w:rsid w:val="00690DCB"/>
    <w:rsid w:val="006912FD"/>
    <w:rsid w:val="006926D3"/>
    <w:rsid w:val="00694048"/>
    <w:rsid w:val="00694221"/>
    <w:rsid w:val="00694580"/>
    <w:rsid w:val="0069462C"/>
    <w:rsid w:val="0069484F"/>
    <w:rsid w:val="00696CD8"/>
    <w:rsid w:val="00697826"/>
    <w:rsid w:val="006A07B2"/>
    <w:rsid w:val="006A0C5A"/>
    <w:rsid w:val="006A10EA"/>
    <w:rsid w:val="006A1A1D"/>
    <w:rsid w:val="006A26B9"/>
    <w:rsid w:val="006A2818"/>
    <w:rsid w:val="006A2ACD"/>
    <w:rsid w:val="006A3556"/>
    <w:rsid w:val="006A3D6D"/>
    <w:rsid w:val="006A3E63"/>
    <w:rsid w:val="006A3EB3"/>
    <w:rsid w:val="006A4BD3"/>
    <w:rsid w:val="006A4CF5"/>
    <w:rsid w:val="006A588E"/>
    <w:rsid w:val="006A65C0"/>
    <w:rsid w:val="006A76F2"/>
    <w:rsid w:val="006A7D5C"/>
    <w:rsid w:val="006B031B"/>
    <w:rsid w:val="006B03C7"/>
    <w:rsid w:val="006B0529"/>
    <w:rsid w:val="006B0CDB"/>
    <w:rsid w:val="006B11B2"/>
    <w:rsid w:val="006B18A4"/>
    <w:rsid w:val="006B1CE6"/>
    <w:rsid w:val="006B1E6E"/>
    <w:rsid w:val="006B2351"/>
    <w:rsid w:val="006B3CF6"/>
    <w:rsid w:val="006B3F1C"/>
    <w:rsid w:val="006B420E"/>
    <w:rsid w:val="006B4785"/>
    <w:rsid w:val="006B5775"/>
    <w:rsid w:val="006B67A7"/>
    <w:rsid w:val="006B7C17"/>
    <w:rsid w:val="006C0F25"/>
    <w:rsid w:val="006C0FDE"/>
    <w:rsid w:val="006C10C7"/>
    <w:rsid w:val="006C10CE"/>
    <w:rsid w:val="006C1806"/>
    <w:rsid w:val="006C1AFB"/>
    <w:rsid w:val="006C2705"/>
    <w:rsid w:val="006C388D"/>
    <w:rsid w:val="006C3AFC"/>
    <w:rsid w:val="006C43C9"/>
    <w:rsid w:val="006C45EA"/>
    <w:rsid w:val="006C4A4E"/>
    <w:rsid w:val="006C640E"/>
    <w:rsid w:val="006C7D9E"/>
    <w:rsid w:val="006D064C"/>
    <w:rsid w:val="006D184A"/>
    <w:rsid w:val="006D1C37"/>
    <w:rsid w:val="006D1FDC"/>
    <w:rsid w:val="006D225F"/>
    <w:rsid w:val="006D5952"/>
    <w:rsid w:val="006D798E"/>
    <w:rsid w:val="006D7B87"/>
    <w:rsid w:val="006E0204"/>
    <w:rsid w:val="006E042C"/>
    <w:rsid w:val="006E09DE"/>
    <w:rsid w:val="006E1BD4"/>
    <w:rsid w:val="006E1BF3"/>
    <w:rsid w:val="006E25B4"/>
    <w:rsid w:val="006E3A6D"/>
    <w:rsid w:val="006E451C"/>
    <w:rsid w:val="006E48D0"/>
    <w:rsid w:val="006E50DF"/>
    <w:rsid w:val="006E5694"/>
    <w:rsid w:val="006E5D5B"/>
    <w:rsid w:val="006E5F57"/>
    <w:rsid w:val="006E60BD"/>
    <w:rsid w:val="006E624C"/>
    <w:rsid w:val="006E78B7"/>
    <w:rsid w:val="006E79D6"/>
    <w:rsid w:val="006F0CAF"/>
    <w:rsid w:val="006F109D"/>
    <w:rsid w:val="006F115D"/>
    <w:rsid w:val="006F178A"/>
    <w:rsid w:val="006F1AAA"/>
    <w:rsid w:val="006F21B2"/>
    <w:rsid w:val="006F260E"/>
    <w:rsid w:val="006F2B8E"/>
    <w:rsid w:val="006F2B9C"/>
    <w:rsid w:val="006F3235"/>
    <w:rsid w:val="006F327C"/>
    <w:rsid w:val="006F3326"/>
    <w:rsid w:val="006F3940"/>
    <w:rsid w:val="006F51D9"/>
    <w:rsid w:val="006F634B"/>
    <w:rsid w:val="006F787B"/>
    <w:rsid w:val="00700051"/>
    <w:rsid w:val="007003A5"/>
    <w:rsid w:val="007003FC"/>
    <w:rsid w:val="00700BC7"/>
    <w:rsid w:val="00701543"/>
    <w:rsid w:val="007015D1"/>
    <w:rsid w:val="0070274E"/>
    <w:rsid w:val="00702A24"/>
    <w:rsid w:val="00703568"/>
    <w:rsid w:val="0070378F"/>
    <w:rsid w:val="00703ADB"/>
    <w:rsid w:val="007044C0"/>
    <w:rsid w:val="00704567"/>
    <w:rsid w:val="0070456F"/>
    <w:rsid w:val="007051EE"/>
    <w:rsid w:val="007056D4"/>
    <w:rsid w:val="007059FA"/>
    <w:rsid w:val="00705C60"/>
    <w:rsid w:val="00705F48"/>
    <w:rsid w:val="007062FF"/>
    <w:rsid w:val="007064D6"/>
    <w:rsid w:val="0070684E"/>
    <w:rsid w:val="00706C16"/>
    <w:rsid w:val="00706C3F"/>
    <w:rsid w:val="007076DB"/>
    <w:rsid w:val="00707D6A"/>
    <w:rsid w:val="00711567"/>
    <w:rsid w:val="00714958"/>
    <w:rsid w:val="00714DFB"/>
    <w:rsid w:val="00715B31"/>
    <w:rsid w:val="00715BB4"/>
    <w:rsid w:val="00716912"/>
    <w:rsid w:val="00716D09"/>
    <w:rsid w:val="007176CD"/>
    <w:rsid w:val="0071780C"/>
    <w:rsid w:val="00717BE9"/>
    <w:rsid w:val="00720A0A"/>
    <w:rsid w:val="00720A6C"/>
    <w:rsid w:val="00720BE0"/>
    <w:rsid w:val="00721E17"/>
    <w:rsid w:val="00722176"/>
    <w:rsid w:val="00722465"/>
    <w:rsid w:val="00722A9E"/>
    <w:rsid w:val="00722ABF"/>
    <w:rsid w:val="00722BC8"/>
    <w:rsid w:val="007234CD"/>
    <w:rsid w:val="00724DD7"/>
    <w:rsid w:val="00725531"/>
    <w:rsid w:val="00725989"/>
    <w:rsid w:val="00725DC0"/>
    <w:rsid w:val="007265ED"/>
    <w:rsid w:val="00726642"/>
    <w:rsid w:val="007267A1"/>
    <w:rsid w:val="00726834"/>
    <w:rsid w:val="00726D9F"/>
    <w:rsid w:val="00727D47"/>
    <w:rsid w:val="00727F39"/>
    <w:rsid w:val="00730472"/>
    <w:rsid w:val="00730474"/>
    <w:rsid w:val="00730FEA"/>
    <w:rsid w:val="00731182"/>
    <w:rsid w:val="0073141F"/>
    <w:rsid w:val="007322E3"/>
    <w:rsid w:val="00732461"/>
    <w:rsid w:val="00733ED6"/>
    <w:rsid w:val="00733EDA"/>
    <w:rsid w:val="00733FFA"/>
    <w:rsid w:val="007345DF"/>
    <w:rsid w:val="0073462F"/>
    <w:rsid w:val="00734D7B"/>
    <w:rsid w:val="00735642"/>
    <w:rsid w:val="007357D3"/>
    <w:rsid w:val="00735B3A"/>
    <w:rsid w:val="00736A7D"/>
    <w:rsid w:val="00736B43"/>
    <w:rsid w:val="007371F6"/>
    <w:rsid w:val="0073762E"/>
    <w:rsid w:val="00737BA6"/>
    <w:rsid w:val="00740ADD"/>
    <w:rsid w:val="00741E7A"/>
    <w:rsid w:val="007427D6"/>
    <w:rsid w:val="00742BA2"/>
    <w:rsid w:val="00743089"/>
    <w:rsid w:val="007436E2"/>
    <w:rsid w:val="0074406B"/>
    <w:rsid w:val="00744143"/>
    <w:rsid w:val="00744386"/>
    <w:rsid w:val="0074581E"/>
    <w:rsid w:val="00745D0A"/>
    <w:rsid w:val="0074654A"/>
    <w:rsid w:val="007476FF"/>
    <w:rsid w:val="00750011"/>
    <w:rsid w:val="00750C28"/>
    <w:rsid w:val="00750FBD"/>
    <w:rsid w:val="007518B0"/>
    <w:rsid w:val="007525A6"/>
    <w:rsid w:val="007531D0"/>
    <w:rsid w:val="007537E8"/>
    <w:rsid w:val="007540E8"/>
    <w:rsid w:val="00754AD4"/>
    <w:rsid w:val="00754C99"/>
    <w:rsid w:val="00755132"/>
    <w:rsid w:val="00755450"/>
    <w:rsid w:val="00755A1E"/>
    <w:rsid w:val="007563BD"/>
    <w:rsid w:val="00756A43"/>
    <w:rsid w:val="00756B20"/>
    <w:rsid w:val="00757E3F"/>
    <w:rsid w:val="007602DF"/>
    <w:rsid w:val="0076112B"/>
    <w:rsid w:val="0076164E"/>
    <w:rsid w:val="007631F0"/>
    <w:rsid w:val="00763B56"/>
    <w:rsid w:val="007642ED"/>
    <w:rsid w:val="00764CCD"/>
    <w:rsid w:val="007652AB"/>
    <w:rsid w:val="00765BD1"/>
    <w:rsid w:val="0076680A"/>
    <w:rsid w:val="00767D51"/>
    <w:rsid w:val="007702B4"/>
    <w:rsid w:val="00770645"/>
    <w:rsid w:val="007721C1"/>
    <w:rsid w:val="007722AF"/>
    <w:rsid w:val="007731EA"/>
    <w:rsid w:val="00773326"/>
    <w:rsid w:val="00775454"/>
    <w:rsid w:val="00775837"/>
    <w:rsid w:val="00775876"/>
    <w:rsid w:val="00775BED"/>
    <w:rsid w:val="00776D8F"/>
    <w:rsid w:val="00776F58"/>
    <w:rsid w:val="007777C3"/>
    <w:rsid w:val="00780A7B"/>
    <w:rsid w:val="00781095"/>
    <w:rsid w:val="00781B85"/>
    <w:rsid w:val="00781C65"/>
    <w:rsid w:val="00781D19"/>
    <w:rsid w:val="007825E0"/>
    <w:rsid w:val="00782849"/>
    <w:rsid w:val="007834C9"/>
    <w:rsid w:val="0078377A"/>
    <w:rsid w:val="00784008"/>
    <w:rsid w:val="00784827"/>
    <w:rsid w:val="00785109"/>
    <w:rsid w:val="00785C0B"/>
    <w:rsid w:val="00786D33"/>
    <w:rsid w:val="00786EED"/>
    <w:rsid w:val="00787259"/>
    <w:rsid w:val="0078789F"/>
    <w:rsid w:val="00787FA9"/>
    <w:rsid w:val="007901AB"/>
    <w:rsid w:val="0079028A"/>
    <w:rsid w:val="007902A7"/>
    <w:rsid w:val="0079184A"/>
    <w:rsid w:val="0079187F"/>
    <w:rsid w:val="00791C91"/>
    <w:rsid w:val="00791D59"/>
    <w:rsid w:val="00791E02"/>
    <w:rsid w:val="00791EF0"/>
    <w:rsid w:val="00792524"/>
    <w:rsid w:val="00793A12"/>
    <w:rsid w:val="00793AA0"/>
    <w:rsid w:val="00793D45"/>
    <w:rsid w:val="00794174"/>
    <w:rsid w:val="007948E9"/>
    <w:rsid w:val="00795468"/>
    <w:rsid w:val="0079566B"/>
    <w:rsid w:val="00796E90"/>
    <w:rsid w:val="00797359"/>
    <w:rsid w:val="00797BB0"/>
    <w:rsid w:val="007A01A2"/>
    <w:rsid w:val="007A0402"/>
    <w:rsid w:val="007A04FD"/>
    <w:rsid w:val="007A06FC"/>
    <w:rsid w:val="007A07CA"/>
    <w:rsid w:val="007A0A7C"/>
    <w:rsid w:val="007A107B"/>
    <w:rsid w:val="007A20EB"/>
    <w:rsid w:val="007A244E"/>
    <w:rsid w:val="007A2EF0"/>
    <w:rsid w:val="007A30EA"/>
    <w:rsid w:val="007A3549"/>
    <w:rsid w:val="007A3B03"/>
    <w:rsid w:val="007A3C21"/>
    <w:rsid w:val="007A3FD3"/>
    <w:rsid w:val="007A40DA"/>
    <w:rsid w:val="007A4127"/>
    <w:rsid w:val="007A5159"/>
    <w:rsid w:val="007A524C"/>
    <w:rsid w:val="007A5628"/>
    <w:rsid w:val="007A762D"/>
    <w:rsid w:val="007B02DB"/>
    <w:rsid w:val="007B0F19"/>
    <w:rsid w:val="007B142C"/>
    <w:rsid w:val="007B1657"/>
    <w:rsid w:val="007B1C40"/>
    <w:rsid w:val="007B261D"/>
    <w:rsid w:val="007B2700"/>
    <w:rsid w:val="007B2DDF"/>
    <w:rsid w:val="007B3EA3"/>
    <w:rsid w:val="007B40ED"/>
    <w:rsid w:val="007B4984"/>
    <w:rsid w:val="007B5D29"/>
    <w:rsid w:val="007B5F96"/>
    <w:rsid w:val="007B602A"/>
    <w:rsid w:val="007B61A4"/>
    <w:rsid w:val="007B6480"/>
    <w:rsid w:val="007B66D1"/>
    <w:rsid w:val="007B6F18"/>
    <w:rsid w:val="007B73E5"/>
    <w:rsid w:val="007B7BBE"/>
    <w:rsid w:val="007C00CF"/>
    <w:rsid w:val="007C0D61"/>
    <w:rsid w:val="007C16AF"/>
    <w:rsid w:val="007C1833"/>
    <w:rsid w:val="007C18A0"/>
    <w:rsid w:val="007C1A1C"/>
    <w:rsid w:val="007C1EF8"/>
    <w:rsid w:val="007C229E"/>
    <w:rsid w:val="007C276C"/>
    <w:rsid w:val="007C2B7F"/>
    <w:rsid w:val="007C32E6"/>
    <w:rsid w:val="007C37C0"/>
    <w:rsid w:val="007C643E"/>
    <w:rsid w:val="007C6D7A"/>
    <w:rsid w:val="007C70F0"/>
    <w:rsid w:val="007C7397"/>
    <w:rsid w:val="007D07A2"/>
    <w:rsid w:val="007D0B22"/>
    <w:rsid w:val="007D0FA7"/>
    <w:rsid w:val="007D0FEB"/>
    <w:rsid w:val="007D24B2"/>
    <w:rsid w:val="007D2FA5"/>
    <w:rsid w:val="007D35B7"/>
    <w:rsid w:val="007D35C8"/>
    <w:rsid w:val="007D37D7"/>
    <w:rsid w:val="007D3AE5"/>
    <w:rsid w:val="007D3E46"/>
    <w:rsid w:val="007D4ACA"/>
    <w:rsid w:val="007D57CB"/>
    <w:rsid w:val="007D591B"/>
    <w:rsid w:val="007D5BB3"/>
    <w:rsid w:val="007D66D5"/>
    <w:rsid w:val="007D71BD"/>
    <w:rsid w:val="007D7A82"/>
    <w:rsid w:val="007E0521"/>
    <w:rsid w:val="007E16FF"/>
    <w:rsid w:val="007E1D49"/>
    <w:rsid w:val="007E208C"/>
    <w:rsid w:val="007E20EA"/>
    <w:rsid w:val="007E2161"/>
    <w:rsid w:val="007E2593"/>
    <w:rsid w:val="007E2C7C"/>
    <w:rsid w:val="007E311B"/>
    <w:rsid w:val="007E694B"/>
    <w:rsid w:val="007E6CDB"/>
    <w:rsid w:val="007E6ED8"/>
    <w:rsid w:val="007E7AC1"/>
    <w:rsid w:val="007E7BD5"/>
    <w:rsid w:val="007F025D"/>
    <w:rsid w:val="007F098E"/>
    <w:rsid w:val="007F1CFC"/>
    <w:rsid w:val="007F1DA2"/>
    <w:rsid w:val="007F2705"/>
    <w:rsid w:val="007F2E45"/>
    <w:rsid w:val="007F3002"/>
    <w:rsid w:val="007F3EDE"/>
    <w:rsid w:val="007F4BE4"/>
    <w:rsid w:val="007F571E"/>
    <w:rsid w:val="007F6263"/>
    <w:rsid w:val="007F62DB"/>
    <w:rsid w:val="007F6C64"/>
    <w:rsid w:val="007F6D01"/>
    <w:rsid w:val="007F7272"/>
    <w:rsid w:val="0080000D"/>
    <w:rsid w:val="00800F95"/>
    <w:rsid w:val="008013FB"/>
    <w:rsid w:val="00801C77"/>
    <w:rsid w:val="008020D6"/>
    <w:rsid w:val="008024AA"/>
    <w:rsid w:val="00802C7D"/>
    <w:rsid w:val="00803895"/>
    <w:rsid w:val="00803963"/>
    <w:rsid w:val="008039A3"/>
    <w:rsid w:val="00803A1C"/>
    <w:rsid w:val="0080557D"/>
    <w:rsid w:val="008061BF"/>
    <w:rsid w:val="00806ADF"/>
    <w:rsid w:val="00806D22"/>
    <w:rsid w:val="00806E2C"/>
    <w:rsid w:val="0080746F"/>
    <w:rsid w:val="00807B42"/>
    <w:rsid w:val="00810CD0"/>
    <w:rsid w:val="0081131C"/>
    <w:rsid w:val="00811767"/>
    <w:rsid w:val="008120C7"/>
    <w:rsid w:val="0081307F"/>
    <w:rsid w:val="00813269"/>
    <w:rsid w:val="008137A9"/>
    <w:rsid w:val="00813D88"/>
    <w:rsid w:val="00813E22"/>
    <w:rsid w:val="00814968"/>
    <w:rsid w:val="00815F38"/>
    <w:rsid w:val="00816FA9"/>
    <w:rsid w:val="00817203"/>
    <w:rsid w:val="008173C4"/>
    <w:rsid w:val="008208FD"/>
    <w:rsid w:val="00820C19"/>
    <w:rsid w:val="00821132"/>
    <w:rsid w:val="008212F9"/>
    <w:rsid w:val="00821368"/>
    <w:rsid w:val="00821768"/>
    <w:rsid w:val="0082246B"/>
    <w:rsid w:val="00822688"/>
    <w:rsid w:val="00822858"/>
    <w:rsid w:val="008231F6"/>
    <w:rsid w:val="0082329E"/>
    <w:rsid w:val="008238A7"/>
    <w:rsid w:val="00823BF0"/>
    <w:rsid w:val="0082423A"/>
    <w:rsid w:val="00824946"/>
    <w:rsid w:val="00824D4F"/>
    <w:rsid w:val="008250AF"/>
    <w:rsid w:val="008252C2"/>
    <w:rsid w:val="0082581B"/>
    <w:rsid w:val="00825C07"/>
    <w:rsid w:val="0082737D"/>
    <w:rsid w:val="008274B8"/>
    <w:rsid w:val="008278CB"/>
    <w:rsid w:val="00827AA1"/>
    <w:rsid w:val="00830118"/>
    <w:rsid w:val="008304D7"/>
    <w:rsid w:val="008307C0"/>
    <w:rsid w:val="00830C8F"/>
    <w:rsid w:val="00830E69"/>
    <w:rsid w:val="008312C6"/>
    <w:rsid w:val="00831554"/>
    <w:rsid w:val="0083167F"/>
    <w:rsid w:val="008319DA"/>
    <w:rsid w:val="0083228A"/>
    <w:rsid w:val="008322F7"/>
    <w:rsid w:val="00832850"/>
    <w:rsid w:val="00832F9B"/>
    <w:rsid w:val="00833108"/>
    <w:rsid w:val="00833767"/>
    <w:rsid w:val="00833AAE"/>
    <w:rsid w:val="00833E42"/>
    <w:rsid w:val="008343B2"/>
    <w:rsid w:val="0083484C"/>
    <w:rsid w:val="00834AAB"/>
    <w:rsid w:val="00835317"/>
    <w:rsid w:val="0083634E"/>
    <w:rsid w:val="008400CA"/>
    <w:rsid w:val="00840A05"/>
    <w:rsid w:val="0084136B"/>
    <w:rsid w:val="00841486"/>
    <w:rsid w:val="0084241B"/>
    <w:rsid w:val="00842626"/>
    <w:rsid w:val="00843B85"/>
    <w:rsid w:val="0084408E"/>
    <w:rsid w:val="00844555"/>
    <w:rsid w:val="008449B5"/>
    <w:rsid w:val="00846127"/>
    <w:rsid w:val="0084621F"/>
    <w:rsid w:val="00846274"/>
    <w:rsid w:val="00846D4A"/>
    <w:rsid w:val="00847038"/>
    <w:rsid w:val="00850129"/>
    <w:rsid w:val="0085065E"/>
    <w:rsid w:val="0085127A"/>
    <w:rsid w:val="0085285A"/>
    <w:rsid w:val="00852AC0"/>
    <w:rsid w:val="00853056"/>
    <w:rsid w:val="008535BA"/>
    <w:rsid w:val="00853DD3"/>
    <w:rsid w:val="008540CC"/>
    <w:rsid w:val="008544EF"/>
    <w:rsid w:val="00854BE7"/>
    <w:rsid w:val="00854D09"/>
    <w:rsid w:val="0085586A"/>
    <w:rsid w:val="00855D7A"/>
    <w:rsid w:val="00856019"/>
    <w:rsid w:val="0085617A"/>
    <w:rsid w:val="0085621F"/>
    <w:rsid w:val="0085636C"/>
    <w:rsid w:val="0085638E"/>
    <w:rsid w:val="00856682"/>
    <w:rsid w:val="00856E76"/>
    <w:rsid w:val="00857316"/>
    <w:rsid w:val="008573F6"/>
    <w:rsid w:val="00860A17"/>
    <w:rsid w:val="00861386"/>
    <w:rsid w:val="00861750"/>
    <w:rsid w:val="00861B24"/>
    <w:rsid w:val="00862AF5"/>
    <w:rsid w:val="008633DA"/>
    <w:rsid w:val="00863C7D"/>
    <w:rsid w:val="00864213"/>
    <w:rsid w:val="008650B8"/>
    <w:rsid w:val="008656BE"/>
    <w:rsid w:val="008656C3"/>
    <w:rsid w:val="00866001"/>
    <w:rsid w:val="008668D0"/>
    <w:rsid w:val="00866D50"/>
    <w:rsid w:val="00866FD5"/>
    <w:rsid w:val="00867EBB"/>
    <w:rsid w:val="008700A5"/>
    <w:rsid w:val="008704AD"/>
    <w:rsid w:val="00870D86"/>
    <w:rsid w:val="00871A84"/>
    <w:rsid w:val="00871FA2"/>
    <w:rsid w:val="00872568"/>
    <w:rsid w:val="008725BD"/>
    <w:rsid w:val="008729D3"/>
    <w:rsid w:val="008729F9"/>
    <w:rsid w:val="008734ED"/>
    <w:rsid w:val="008739EB"/>
    <w:rsid w:val="00873F5E"/>
    <w:rsid w:val="00874B42"/>
    <w:rsid w:val="00875A07"/>
    <w:rsid w:val="00875DEA"/>
    <w:rsid w:val="008765CC"/>
    <w:rsid w:val="00876671"/>
    <w:rsid w:val="008767C8"/>
    <w:rsid w:val="00876837"/>
    <w:rsid w:val="008778BF"/>
    <w:rsid w:val="0088037E"/>
    <w:rsid w:val="008805BD"/>
    <w:rsid w:val="008807AC"/>
    <w:rsid w:val="00881A74"/>
    <w:rsid w:val="00881C52"/>
    <w:rsid w:val="00882748"/>
    <w:rsid w:val="0088330B"/>
    <w:rsid w:val="008836CA"/>
    <w:rsid w:val="00883700"/>
    <w:rsid w:val="008840E1"/>
    <w:rsid w:val="00884DBC"/>
    <w:rsid w:val="00884DCC"/>
    <w:rsid w:val="00884EB3"/>
    <w:rsid w:val="00885436"/>
    <w:rsid w:val="00885B4C"/>
    <w:rsid w:val="008863D6"/>
    <w:rsid w:val="008865EA"/>
    <w:rsid w:val="008866B8"/>
    <w:rsid w:val="00887037"/>
    <w:rsid w:val="0088757B"/>
    <w:rsid w:val="00887729"/>
    <w:rsid w:val="00887810"/>
    <w:rsid w:val="00887A0C"/>
    <w:rsid w:val="0089055C"/>
    <w:rsid w:val="008910F1"/>
    <w:rsid w:val="00891211"/>
    <w:rsid w:val="0089161D"/>
    <w:rsid w:val="00891DDD"/>
    <w:rsid w:val="00891E7F"/>
    <w:rsid w:val="008921AA"/>
    <w:rsid w:val="00892448"/>
    <w:rsid w:val="008925D2"/>
    <w:rsid w:val="008929F8"/>
    <w:rsid w:val="0089327C"/>
    <w:rsid w:val="00893671"/>
    <w:rsid w:val="0089392F"/>
    <w:rsid w:val="00893DEB"/>
    <w:rsid w:val="008943D6"/>
    <w:rsid w:val="008944A2"/>
    <w:rsid w:val="008949A9"/>
    <w:rsid w:val="00894F7C"/>
    <w:rsid w:val="00895F70"/>
    <w:rsid w:val="00896369"/>
    <w:rsid w:val="00896759"/>
    <w:rsid w:val="00896799"/>
    <w:rsid w:val="0089689F"/>
    <w:rsid w:val="00896F3C"/>
    <w:rsid w:val="008973BD"/>
    <w:rsid w:val="008975B7"/>
    <w:rsid w:val="00897BAC"/>
    <w:rsid w:val="00897F8D"/>
    <w:rsid w:val="008A0D35"/>
    <w:rsid w:val="008A0E8C"/>
    <w:rsid w:val="008A1C90"/>
    <w:rsid w:val="008A22BF"/>
    <w:rsid w:val="008A2F8A"/>
    <w:rsid w:val="008A32BA"/>
    <w:rsid w:val="008A3920"/>
    <w:rsid w:val="008A4421"/>
    <w:rsid w:val="008A446F"/>
    <w:rsid w:val="008A4491"/>
    <w:rsid w:val="008A502F"/>
    <w:rsid w:val="008A51E0"/>
    <w:rsid w:val="008A5460"/>
    <w:rsid w:val="008A574A"/>
    <w:rsid w:val="008A5842"/>
    <w:rsid w:val="008A65DC"/>
    <w:rsid w:val="008A674E"/>
    <w:rsid w:val="008A6C25"/>
    <w:rsid w:val="008A6E22"/>
    <w:rsid w:val="008B0D38"/>
    <w:rsid w:val="008B104C"/>
    <w:rsid w:val="008B1650"/>
    <w:rsid w:val="008B1F4A"/>
    <w:rsid w:val="008B24FF"/>
    <w:rsid w:val="008B2752"/>
    <w:rsid w:val="008B31AE"/>
    <w:rsid w:val="008B3DCB"/>
    <w:rsid w:val="008B48BF"/>
    <w:rsid w:val="008B5493"/>
    <w:rsid w:val="008B551F"/>
    <w:rsid w:val="008B5AFE"/>
    <w:rsid w:val="008B5DD7"/>
    <w:rsid w:val="008B5E7A"/>
    <w:rsid w:val="008B5F65"/>
    <w:rsid w:val="008B68A8"/>
    <w:rsid w:val="008B7145"/>
    <w:rsid w:val="008B75A9"/>
    <w:rsid w:val="008B7602"/>
    <w:rsid w:val="008B7839"/>
    <w:rsid w:val="008C0036"/>
    <w:rsid w:val="008C0830"/>
    <w:rsid w:val="008C0946"/>
    <w:rsid w:val="008C103C"/>
    <w:rsid w:val="008C111C"/>
    <w:rsid w:val="008C112F"/>
    <w:rsid w:val="008C1BAB"/>
    <w:rsid w:val="008C201A"/>
    <w:rsid w:val="008C32DD"/>
    <w:rsid w:val="008C3CB1"/>
    <w:rsid w:val="008C474F"/>
    <w:rsid w:val="008C4761"/>
    <w:rsid w:val="008C5861"/>
    <w:rsid w:val="008C59AD"/>
    <w:rsid w:val="008C5DB8"/>
    <w:rsid w:val="008C6106"/>
    <w:rsid w:val="008C6A06"/>
    <w:rsid w:val="008C7007"/>
    <w:rsid w:val="008D005A"/>
    <w:rsid w:val="008D09C1"/>
    <w:rsid w:val="008D1C48"/>
    <w:rsid w:val="008D1E5B"/>
    <w:rsid w:val="008D2016"/>
    <w:rsid w:val="008D3128"/>
    <w:rsid w:val="008D3255"/>
    <w:rsid w:val="008D3E6B"/>
    <w:rsid w:val="008D41D6"/>
    <w:rsid w:val="008D450B"/>
    <w:rsid w:val="008D4B5E"/>
    <w:rsid w:val="008D59F1"/>
    <w:rsid w:val="008D61CB"/>
    <w:rsid w:val="008D6257"/>
    <w:rsid w:val="008D651B"/>
    <w:rsid w:val="008D6F4E"/>
    <w:rsid w:val="008D7491"/>
    <w:rsid w:val="008D7D33"/>
    <w:rsid w:val="008D7F4D"/>
    <w:rsid w:val="008E008A"/>
    <w:rsid w:val="008E09C2"/>
    <w:rsid w:val="008E28DC"/>
    <w:rsid w:val="008E3833"/>
    <w:rsid w:val="008E3D63"/>
    <w:rsid w:val="008E4077"/>
    <w:rsid w:val="008E4132"/>
    <w:rsid w:val="008E4479"/>
    <w:rsid w:val="008E44B7"/>
    <w:rsid w:val="008E549C"/>
    <w:rsid w:val="008E5B61"/>
    <w:rsid w:val="008E6F49"/>
    <w:rsid w:val="008E7469"/>
    <w:rsid w:val="008E7BDF"/>
    <w:rsid w:val="008E7E60"/>
    <w:rsid w:val="008F043E"/>
    <w:rsid w:val="008F05CF"/>
    <w:rsid w:val="008F1016"/>
    <w:rsid w:val="008F1AB8"/>
    <w:rsid w:val="008F235B"/>
    <w:rsid w:val="008F2773"/>
    <w:rsid w:val="008F3BB0"/>
    <w:rsid w:val="008F42EA"/>
    <w:rsid w:val="008F440F"/>
    <w:rsid w:val="008F4AF8"/>
    <w:rsid w:val="008F5C6E"/>
    <w:rsid w:val="008F61AB"/>
    <w:rsid w:val="008F663F"/>
    <w:rsid w:val="008F6AA2"/>
    <w:rsid w:val="008F6E67"/>
    <w:rsid w:val="008F6FE2"/>
    <w:rsid w:val="008F7AE2"/>
    <w:rsid w:val="008F7D8B"/>
    <w:rsid w:val="008F7E50"/>
    <w:rsid w:val="0090018B"/>
    <w:rsid w:val="009004A4"/>
    <w:rsid w:val="0090051E"/>
    <w:rsid w:val="009007C2"/>
    <w:rsid w:val="00900941"/>
    <w:rsid w:val="0090115E"/>
    <w:rsid w:val="00901B05"/>
    <w:rsid w:val="00901C89"/>
    <w:rsid w:val="00902152"/>
    <w:rsid w:val="00902249"/>
    <w:rsid w:val="00902C71"/>
    <w:rsid w:val="00902F67"/>
    <w:rsid w:val="00902FDA"/>
    <w:rsid w:val="00903CC0"/>
    <w:rsid w:val="0090411C"/>
    <w:rsid w:val="00904558"/>
    <w:rsid w:val="009045ED"/>
    <w:rsid w:val="0090536A"/>
    <w:rsid w:val="009053C7"/>
    <w:rsid w:val="009062E6"/>
    <w:rsid w:val="00907FBA"/>
    <w:rsid w:val="00910157"/>
    <w:rsid w:val="00910AEF"/>
    <w:rsid w:val="00910FD5"/>
    <w:rsid w:val="0091132C"/>
    <w:rsid w:val="00912FD4"/>
    <w:rsid w:val="00913A1D"/>
    <w:rsid w:val="009142BC"/>
    <w:rsid w:val="009150D7"/>
    <w:rsid w:val="009151FD"/>
    <w:rsid w:val="009155A8"/>
    <w:rsid w:val="00915809"/>
    <w:rsid w:val="00916692"/>
    <w:rsid w:val="0091739C"/>
    <w:rsid w:val="00920922"/>
    <w:rsid w:val="00920B89"/>
    <w:rsid w:val="00920FF7"/>
    <w:rsid w:val="00922954"/>
    <w:rsid w:val="00922C87"/>
    <w:rsid w:val="00923112"/>
    <w:rsid w:val="00924EED"/>
    <w:rsid w:val="00927133"/>
    <w:rsid w:val="00927528"/>
    <w:rsid w:val="00927607"/>
    <w:rsid w:val="009300A2"/>
    <w:rsid w:val="009300B8"/>
    <w:rsid w:val="00930CBC"/>
    <w:rsid w:val="00930EAF"/>
    <w:rsid w:val="00931524"/>
    <w:rsid w:val="009316AC"/>
    <w:rsid w:val="009316AE"/>
    <w:rsid w:val="00932149"/>
    <w:rsid w:val="00932E8D"/>
    <w:rsid w:val="00933094"/>
    <w:rsid w:val="00933A05"/>
    <w:rsid w:val="00935742"/>
    <w:rsid w:val="00935DF1"/>
    <w:rsid w:val="0093715C"/>
    <w:rsid w:val="009373F7"/>
    <w:rsid w:val="00937487"/>
    <w:rsid w:val="0093776E"/>
    <w:rsid w:val="00937B80"/>
    <w:rsid w:val="00940B01"/>
    <w:rsid w:val="00940FE4"/>
    <w:rsid w:val="009413FA"/>
    <w:rsid w:val="009419DF"/>
    <w:rsid w:val="00942150"/>
    <w:rsid w:val="00942201"/>
    <w:rsid w:val="00942412"/>
    <w:rsid w:val="00943174"/>
    <w:rsid w:val="00943D10"/>
    <w:rsid w:val="009447BA"/>
    <w:rsid w:val="00945995"/>
    <w:rsid w:val="00945F1D"/>
    <w:rsid w:val="009462F0"/>
    <w:rsid w:val="00946391"/>
    <w:rsid w:val="00946D4D"/>
    <w:rsid w:val="009479C3"/>
    <w:rsid w:val="00947B6B"/>
    <w:rsid w:val="00950DBC"/>
    <w:rsid w:val="00952EF0"/>
    <w:rsid w:val="00952F86"/>
    <w:rsid w:val="00953046"/>
    <w:rsid w:val="00953062"/>
    <w:rsid w:val="00953BEF"/>
    <w:rsid w:val="00954637"/>
    <w:rsid w:val="00955805"/>
    <w:rsid w:val="0095626C"/>
    <w:rsid w:val="0095686B"/>
    <w:rsid w:val="0095720B"/>
    <w:rsid w:val="009576BE"/>
    <w:rsid w:val="00960659"/>
    <w:rsid w:val="00961B34"/>
    <w:rsid w:val="00963E65"/>
    <w:rsid w:val="00964036"/>
    <w:rsid w:val="00964502"/>
    <w:rsid w:val="009646F2"/>
    <w:rsid w:val="00964AE3"/>
    <w:rsid w:val="00965121"/>
    <w:rsid w:val="00965770"/>
    <w:rsid w:val="009660D8"/>
    <w:rsid w:val="0096626D"/>
    <w:rsid w:val="009704A2"/>
    <w:rsid w:val="0097077E"/>
    <w:rsid w:val="009707B1"/>
    <w:rsid w:val="00970DBA"/>
    <w:rsid w:val="00970DF9"/>
    <w:rsid w:val="00970E45"/>
    <w:rsid w:val="009711CB"/>
    <w:rsid w:val="009725B7"/>
    <w:rsid w:val="0097263C"/>
    <w:rsid w:val="00972F6C"/>
    <w:rsid w:val="009730B3"/>
    <w:rsid w:val="00974E0D"/>
    <w:rsid w:val="00974EFD"/>
    <w:rsid w:val="00975007"/>
    <w:rsid w:val="00975287"/>
    <w:rsid w:val="00975911"/>
    <w:rsid w:val="00975B46"/>
    <w:rsid w:val="00975DAA"/>
    <w:rsid w:val="009765CA"/>
    <w:rsid w:val="00976790"/>
    <w:rsid w:val="00976E3E"/>
    <w:rsid w:val="00977551"/>
    <w:rsid w:val="00977C84"/>
    <w:rsid w:val="0098004B"/>
    <w:rsid w:val="009801E9"/>
    <w:rsid w:val="00980741"/>
    <w:rsid w:val="009808D1"/>
    <w:rsid w:val="00980B89"/>
    <w:rsid w:val="009811A9"/>
    <w:rsid w:val="009812A1"/>
    <w:rsid w:val="0098174F"/>
    <w:rsid w:val="009835C0"/>
    <w:rsid w:val="00983765"/>
    <w:rsid w:val="00983DBF"/>
    <w:rsid w:val="00983E72"/>
    <w:rsid w:val="0098490D"/>
    <w:rsid w:val="00985828"/>
    <w:rsid w:val="00985B73"/>
    <w:rsid w:val="00985ED2"/>
    <w:rsid w:val="00986C82"/>
    <w:rsid w:val="009870B0"/>
    <w:rsid w:val="00987748"/>
    <w:rsid w:val="0098798D"/>
    <w:rsid w:val="00987A36"/>
    <w:rsid w:val="00987E34"/>
    <w:rsid w:val="00990026"/>
    <w:rsid w:val="009909C2"/>
    <w:rsid w:val="00991B4F"/>
    <w:rsid w:val="00992146"/>
    <w:rsid w:val="009921F9"/>
    <w:rsid w:val="0099225B"/>
    <w:rsid w:val="00993A56"/>
    <w:rsid w:val="00993CC4"/>
    <w:rsid w:val="009940CF"/>
    <w:rsid w:val="009941A1"/>
    <w:rsid w:val="0099449C"/>
    <w:rsid w:val="00995267"/>
    <w:rsid w:val="00995545"/>
    <w:rsid w:val="00995E08"/>
    <w:rsid w:val="00996E14"/>
    <w:rsid w:val="00996EB6"/>
    <w:rsid w:val="009976F0"/>
    <w:rsid w:val="00997EC6"/>
    <w:rsid w:val="009A1C89"/>
    <w:rsid w:val="009A1D05"/>
    <w:rsid w:val="009A201B"/>
    <w:rsid w:val="009A226B"/>
    <w:rsid w:val="009A3324"/>
    <w:rsid w:val="009A3C94"/>
    <w:rsid w:val="009A4170"/>
    <w:rsid w:val="009A54B6"/>
    <w:rsid w:val="009A54F6"/>
    <w:rsid w:val="009A568F"/>
    <w:rsid w:val="009A7200"/>
    <w:rsid w:val="009A7381"/>
    <w:rsid w:val="009A7F2A"/>
    <w:rsid w:val="009B06FF"/>
    <w:rsid w:val="009B0715"/>
    <w:rsid w:val="009B109E"/>
    <w:rsid w:val="009B11C1"/>
    <w:rsid w:val="009B25E9"/>
    <w:rsid w:val="009B2CCE"/>
    <w:rsid w:val="009B2D25"/>
    <w:rsid w:val="009B2E4C"/>
    <w:rsid w:val="009B313C"/>
    <w:rsid w:val="009B3A4F"/>
    <w:rsid w:val="009B3C56"/>
    <w:rsid w:val="009B465A"/>
    <w:rsid w:val="009B48D7"/>
    <w:rsid w:val="009B581B"/>
    <w:rsid w:val="009B5D66"/>
    <w:rsid w:val="009B6073"/>
    <w:rsid w:val="009B754C"/>
    <w:rsid w:val="009C0CA2"/>
    <w:rsid w:val="009C0FE7"/>
    <w:rsid w:val="009C1AC5"/>
    <w:rsid w:val="009C2241"/>
    <w:rsid w:val="009C3328"/>
    <w:rsid w:val="009C3BDA"/>
    <w:rsid w:val="009C49F7"/>
    <w:rsid w:val="009C4ACE"/>
    <w:rsid w:val="009C5228"/>
    <w:rsid w:val="009C569C"/>
    <w:rsid w:val="009C5AB2"/>
    <w:rsid w:val="009C5F51"/>
    <w:rsid w:val="009C6590"/>
    <w:rsid w:val="009D015B"/>
    <w:rsid w:val="009D22B5"/>
    <w:rsid w:val="009D3344"/>
    <w:rsid w:val="009D34AE"/>
    <w:rsid w:val="009D35D7"/>
    <w:rsid w:val="009D3AA6"/>
    <w:rsid w:val="009D42F6"/>
    <w:rsid w:val="009D4A73"/>
    <w:rsid w:val="009D4D5D"/>
    <w:rsid w:val="009D4ECF"/>
    <w:rsid w:val="009D5263"/>
    <w:rsid w:val="009D7A03"/>
    <w:rsid w:val="009D7D56"/>
    <w:rsid w:val="009E0216"/>
    <w:rsid w:val="009E0482"/>
    <w:rsid w:val="009E0AC5"/>
    <w:rsid w:val="009E13B5"/>
    <w:rsid w:val="009E1F5D"/>
    <w:rsid w:val="009E20BA"/>
    <w:rsid w:val="009E2737"/>
    <w:rsid w:val="009E2E1F"/>
    <w:rsid w:val="009E366C"/>
    <w:rsid w:val="009E37B6"/>
    <w:rsid w:val="009E3A86"/>
    <w:rsid w:val="009E44DD"/>
    <w:rsid w:val="009E463A"/>
    <w:rsid w:val="009E56E9"/>
    <w:rsid w:val="009E5957"/>
    <w:rsid w:val="009E639F"/>
    <w:rsid w:val="009E65F2"/>
    <w:rsid w:val="009E6E3D"/>
    <w:rsid w:val="009F0076"/>
    <w:rsid w:val="009F0839"/>
    <w:rsid w:val="009F119A"/>
    <w:rsid w:val="009F13A6"/>
    <w:rsid w:val="009F1987"/>
    <w:rsid w:val="009F211C"/>
    <w:rsid w:val="009F239F"/>
    <w:rsid w:val="009F246A"/>
    <w:rsid w:val="009F29E5"/>
    <w:rsid w:val="009F2D3A"/>
    <w:rsid w:val="009F36EB"/>
    <w:rsid w:val="009F6642"/>
    <w:rsid w:val="009F72F6"/>
    <w:rsid w:val="009F7E8A"/>
    <w:rsid w:val="00A00FF3"/>
    <w:rsid w:val="00A011C3"/>
    <w:rsid w:val="00A01231"/>
    <w:rsid w:val="00A0167C"/>
    <w:rsid w:val="00A016BA"/>
    <w:rsid w:val="00A01BE2"/>
    <w:rsid w:val="00A031C1"/>
    <w:rsid w:val="00A038EE"/>
    <w:rsid w:val="00A048AD"/>
    <w:rsid w:val="00A04C16"/>
    <w:rsid w:val="00A04C9A"/>
    <w:rsid w:val="00A05810"/>
    <w:rsid w:val="00A05A58"/>
    <w:rsid w:val="00A06EE3"/>
    <w:rsid w:val="00A072E2"/>
    <w:rsid w:val="00A075CB"/>
    <w:rsid w:val="00A07ECB"/>
    <w:rsid w:val="00A07ED5"/>
    <w:rsid w:val="00A105CC"/>
    <w:rsid w:val="00A11C7D"/>
    <w:rsid w:val="00A11F2C"/>
    <w:rsid w:val="00A11FB1"/>
    <w:rsid w:val="00A129ED"/>
    <w:rsid w:val="00A12BEA"/>
    <w:rsid w:val="00A12D59"/>
    <w:rsid w:val="00A136B3"/>
    <w:rsid w:val="00A142FC"/>
    <w:rsid w:val="00A154E7"/>
    <w:rsid w:val="00A15B81"/>
    <w:rsid w:val="00A15F62"/>
    <w:rsid w:val="00A161E6"/>
    <w:rsid w:val="00A16AD1"/>
    <w:rsid w:val="00A17CDF"/>
    <w:rsid w:val="00A209D9"/>
    <w:rsid w:val="00A20EA4"/>
    <w:rsid w:val="00A20ECC"/>
    <w:rsid w:val="00A2114D"/>
    <w:rsid w:val="00A21A24"/>
    <w:rsid w:val="00A22F75"/>
    <w:rsid w:val="00A24F1D"/>
    <w:rsid w:val="00A25369"/>
    <w:rsid w:val="00A254A9"/>
    <w:rsid w:val="00A25689"/>
    <w:rsid w:val="00A25CC9"/>
    <w:rsid w:val="00A25FAD"/>
    <w:rsid w:val="00A26164"/>
    <w:rsid w:val="00A26412"/>
    <w:rsid w:val="00A26AB0"/>
    <w:rsid w:val="00A26C31"/>
    <w:rsid w:val="00A2754C"/>
    <w:rsid w:val="00A27771"/>
    <w:rsid w:val="00A31914"/>
    <w:rsid w:val="00A328B1"/>
    <w:rsid w:val="00A32DAF"/>
    <w:rsid w:val="00A33F4D"/>
    <w:rsid w:val="00A343BD"/>
    <w:rsid w:val="00A34B48"/>
    <w:rsid w:val="00A350C4"/>
    <w:rsid w:val="00A355CA"/>
    <w:rsid w:val="00A35622"/>
    <w:rsid w:val="00A35815"/>
    <w:rsid w:val="00A36177"/>
    <w:rsid w:val="00A36C50"/>
    <w:rsid w:val="00A3773C"/>
    <w:rsid w:val="00A3775D"/>
    <w:rsid w:val="00A37918"/>
    <w:rsid w:val="00A37C24"/>
    <w:rsid w:val="00A407E4"/>
    <w:rsid w:val="00A4143B"/>
    <w:rsid w:val="00A4176A"/>
    <w:rsid w:val="00A42044"/>
    <w:rsid w:val="00A426F3"/>
    <w:rsid w:val="00A42A08"/>
    <w:rsid w:val="00A4303E"/>
    <w:rsid w:val="00A43461"/>
    <w:rsid w:val="00A43ECE"/>
    <w:rsid w:val="00A44C9D"/>
    <w:rsid w:val="00A457D3"/>
    <w:rsid w:val="00A45DFE"/>
    <w:rsid w:val="00A461C6"/>
    <w:rsid w:val="00A4655A"/>
    <w:rsid w:val="00A465B4"/>
    <w:rsid w:val="00A46869"/>
    <w:rsid w:val="00A46B41"/>
    <w:rsid w:val="00A47072"/>
    <w:rsid w:val="00A4748A"/>
    <w:rsid w:val="00A5049F"/>
    <w:rsid w:val="00A52C82"/>
    <w:rsid w:val="00A53019"/>
    <w:rsid w:val="00A533CF"/>
    <w:rsid w:val="00A5421C"/>
    <w:rsid w:val="00A54321"/>
    <w:rsid w:val="00A5467F"/>
    <w:rsid w:val="00A54D56"/>
    <w:rsid w:val="00A55951"/>
    <w:rsid w:val="00A55AA4"/>
    <w:rsid w:val="00A55F33"/>
    <w:rsid w:val="00A5645E"/>
    <w:rsid w:val="00A567C5"/>
    <w:rsid w:val="00A568F9"/>
    <w:rsid w:val="00A571DF"/>
    <w:rsid w:val="00A577D6"/>
    <w:rsid w:val="00A57B33"/>
    <w:rsid w:val="00A57B90"/>
    <w:rsid w:val="00A57BED"/>
    <w:rsid w:val="00A6030B"/>
    <w:rsid w:val="00A6059A"/>
    <w:rsid w:val="00A609A7"/>
    <w:rsid w:val="00A61EE8"/>
    <w:rsid w:val="00A622C2"/>
    <w:rsid w:val="00A6298D"/>
    <w:rsid w:val="00A62D05"/>
    <w:rsid w:val="00A64B92"/>
    <w:rsid w:val="00A64BC5"/>
    <w:rsid w:val="00A64C5E"/>
    <w:rsid w:val="00A64D3F"/>
    <w:rsid w:val="00A6501F"/>
    <w:rsid w:val="00A65302"/>
    <w:rsid w:val="00A657AB"/>
    <w:rsid w:val="00A6585F"/>
    <w:rsid w:val="00A663C2"/>
    <w:rsid w:val="00A66C1F"/>
    <w:rsid w:val="00A66E22"/>
    <w:rsid w:val="00A66F30"/>
    <w:rsid w:val="00A67703"/>
    <w:rsid w:val="00A67D63"/>
    <w:rsid w:val="00A7064D"/>
    <w:rsid w:val="00A70AFC"/>
    <w:rsid w:val="00A712D1"/>
    <w:rsid w:val="00A71881"/>
    <w:rsid w:val="00A71C01"/>
    <w:rsid w:val="00A71DA6"/>
    <w:rsid w:val="00A72442"/>
    <w:rsid w:val="00A7278A"/>
    <w:rsid w:val="00A72C38"/>
    <w:rsid w:val="00A742FE"/>
    <w:rsid w:val="00A74474"/>
    <w:rsid w:val="00A75258"/>
    <w:rsid w:val="00A759A7"/>
    <w:rsid w:val="00A75BAF"/>
    <w:rsid w:val="00A7749F"/>
    <w:rsid w:val="00A777EA"/>
    <w:rsid w:val="00A8058B"/>
    <w:rsid w:val="00A80F36"/>
    <w:rsid w:val="00A82FC2"/>
    <w:rsid w:val="00A832F8"/>
    <w:rsid w:val="00A8330B"/>
    <w:rsid w:val="00A85193"/>
    <w:rsid w:val="00A854EE"/>
    <w:rsid w:val="00A85691"/>
    <w:rsid w:val="00A86136"/>
    <w:rsid w:val="00A868D6"/>
    <w:rsid w:val="00A8697B"/>
    <w:rsid w:val="00A86A93"/>
    <w:rsid w:val="00A8761E"/>
    <w:rsid w:val="00A9009B"/>
    <w:rsid w:val="00A90712"/>
    <w:rsid w:val="00A90CB6"/>
    <w:rsid w:val="00A90DC7"/>
    <w:rsid w:val="00A92505"/>
    <w:rsid w:val="00A93DBD"/>
    <w:rsid w:val="00A93EF4"/>
    <w:rsid w:val="00A94E41"/>
    <w:rsid w:val="00A9573D"/>
    <w:rsid w:val="00A95A41"/>
    <w:rsid w:val="00A95A61"/>
    <w:rsid w:val="00A96058"/>
    <w:rsid w:val="00A9698B"/>
    <w:rsid w:val="00A96A24"/>
    <w:rsid w:val="00A97757"/>
    <w:rsid w:val="00AA0114"/>
    <w:rsid w:val="00AA2BAD"/>
    <w:rsid w:val="00AA3036"/>
    <w:rsid w:val="00AA31E9"/>
    <w:rsid w:val="00AA3E50"/>
    <w:rsid w:val="00AA4535"/>
    <w:rsid w:val="00AA4808"/>
    <w:rsid w:val="00AA6023"/>
    <w:rsid w:val="00AA6A5B"/>
    <w:rsid w:val="00AA6D1A"/>
    <w:rsid w:val="00AB0532"/>
    <w:rsid w:val="00AB0AFD"/>
    <w:rsid w:val="00AB0BF0"/>
    <w:rsid w:val="00AB15DD"/>
    <w:rsid w:val="00AB1806"/>
    <w:rsid w:val="00AB1BD7"/>
    <w:rsid w:val="00AB2486"/>
    <w:rsid w:val="00AB295B"/>
    <w:rsid w:val="00AB2B60"/>
    <w:rsid w:val="00AB2CED"/>
    <w:rsid w:val="00AB2FE4"/>
    <w:rsid w:val="00AB35E6"/>
    <w:rsid w:val="00AB4089"/>
    <w:rsid w:val="00AB4C97"/>
    <w:rsid w:val="00AB537C"/>
    <w:rsid w:val="00AB53A3"/>
    <w:rsid w:val="00AB56EE"/>
    <w:rsid w:val="00AB5D40"/>
    <w:rsid w:val="00AB60BE"/>
    <w:rsid w:val="00AB60C2"/>
    <w:rsid w:val="00AB6E7C"/>
    <w:rsid w:val="00AB71FA"/>
    <w:rsid w:val="00AB74C6"/>
    <w:rsid w:val="00AB7BC6"/>
    <w:rsid w:val="00AC0288"/>
    <w:rsid w:val="00AC05AA"/>
    <w:rsid w:val="00AC0EAD"/>
    <w:rsid w:val="00AC11AB"/>
    <w:rsid w:val="00AC11B2"/>
    <w:rsid w:val="00AC12F3"/>
    <w:rsid w:val="00AC2540"/>
    <w:rsid w:val="00AC2634"/>
    <w:rsid w:val="00AC2C37"/>
    <w:rsid w:val="00AC328B"/>
    <w:rsid w:val="00AC3939"/>
    <w:rsid w:val="00AC3AE0"/>
    <w:rsid w:val="00AC45BD"/>
    <w:rsid w:val="00AC4DA0"/>
    <w:rsid w:val="00AC5624"/>
    <w:rsid w:val="00AC5723"/>
    <w:rsid w:val="00AC6182"/>
    <w:rsid w:val="00AC6DF6"/>
    <w:rsid w:val="00AC7633"/>
    <w:rsid w:val="00AC7F82"/>
    <w:rsid w:val="00AD089A"/>
    <w:rsid w:val="00AD09C5"/>
    <w:rsid w:val="00AD0A18"/>
    <w:rsid w:val="00AD0A2F"/>
    <w:rsid w:val="00AD0F23"/>
    <w:rsid w:val="00AD1026"/>
    <w:rsid w:val="00AD15A0"/>
    <w:rsid w:val="00AD25DB"/>
    <w:rsid w:val="00AD4AE5"/>
    <w:rsid w:val="00AD4B88"/>
    <w:rsid w:val="00AD500C"/>
    <w:rsid w:val="00AD529F"/>
    <w:rsid w:val="00AD5F80"/>
    <w:rsid w:val="00AD6413"/>
    <w:rsid w:val="00AE0033"/>
    <w:rsid w:val="00AE036C"/>
    <w:rsid w:val="00AE1756"/>
    <w:rsid w:val="00AE1E7F"/>
    <w:rsid w:val="00AE23B1"/>
    <w:rsid w:val="00AE2D17"/>
    <w:rsid w:val="00AE4852"/>
    <w:rsid w:val="00AE66F5"/>
    <w:rsid w:val="00AE6CD6"/>
    <w:rsid w:val="00AF0256"/>
    <w:rsid w:val="00AF0A0E"/>
    <w:rsid w:val="00AF0B34"/>
    <w:rsid w:val="00AF0F3F"/>
    <w:rsid w:val="00AF1055"/>
    <w:rsid w:val="00AF1322"/>
    <w:rsid w:val="00AF17DF"/>
    <w:rsid w:val="00AF1DF8"/>
    <w:rsid w:val="00AF1EDE"/>
    <w:rsid w:val="00AF27F6"/>
    <w:rsid w:val="00AF3696"/>
    <w:rsid w:val="00AF42AA"/>
    <w:rsid w:val="00AF4DF4"/>
    <w:rsid w:val="00AF5B94"/>
    <w:rsid w:val="00AF5FF2"/>
    <w:rsid w:val="00AF6130"/>
    <w:rsid w:val="00AF6362"/>
    <w:rsid w:val="00AF6973"/>
    <w:rsid w:val="00B00126"/>
    <w:rsid w:val="00B00AAA"/>
    <w:rsid w:val="00B0161C"/>
    <w:rsid w:val="00B01A22"/>
    <w:rsid w:val="00B020AD"/>
    <w:rsid w:val="00B02DB5"/>
    <w:rsid w:val="00B03769"/>
    <w:rsid w:val="00B03B30"/>
    <w:rsid w:val="00B03BF3"/>
    <w:rsid w:val="00B03D28"/>
    <w:rsid w:val="00B04C7F"/>
    <w:rsid w:val="00B04D4D"/>
    <w:rsid w:val="00B05774"/>
    <w:rsid w:val="00B05C66"/>
    <w:rsid w:val="00B05CB5"/>
    <w:rsid w:val="00B05FDC"/>
    <w:rsid w:val="00B068B5"/>
    <w:rsid w:val="00B0696A"/>
    <w:rsid w:val="00B07655"/>
    <w:rsid w:val="00B07CDF"/>
    <w:rsid w:val="00B10320"/>
    <w:rsid w:val="00B10E95"/>
    <w:rsid w:val="00B12755"/>
    <w:rsid w:val="00B12D94"/>
    <w:rsid w:val="00B1335C"/>
    <w:rsid w:val="00B134D0"/>
    <w:rsid w:val="00B136EA"/>
    <w:rsid w:val="00B13AED"/>
    <w:rsid w:val="00B14737"/>
    <w:rsid w:val="00B1567B"/>
    <w:rsid w:val="00B1589D"/>
    <w:rsid w:val="00B15B9A"/>
    <w:rsid w:val="00B16511"/>
    <w:rsid w:val="00B1684D"/>
    <w:rsid w:val="00B16AE8"/>
    <w:rsid w:val="00B16C0D"/>
    <w:rsid w:val="00B17A4E"/>
    <w:rsid w:val="00B20211"/>
    <w:rsid w:val="00B2048E"/>
    <w:rsid w:val="00B209D1"/>
    <w:rsid w:val="00B2240A"/>
    <w:rsid w:val="00B22962"/>
    <w:rsid w:val="00B22B88"/>
    <w:rsid w:val="00B22EAB"/>
    <w:rsid w:val="00B22EAE"/>
    <w:rsid w:val="00B241A2"/>
    <w:rsid w:val="00B2458B"/>
    <w:rsid w:val="00B24900"/>
    <w:rsid w:val="00B24AE8"/>
    <w:rsid w:val="00B2548D"/>
    <w:rsid w:val="00B27404"/>
    <w:rsid w:val="00B30037"/>
    <w:rsid w:val="00B3055D"/>
    <w:rsid w:val="00B30624"/>
    <w:rsid w:val="00B3096C"/>
    <w:rsid w:val="00B31902"/>
    <w:rsid w:val="00B31968"/>
    <w:rsid w:val="00B32781"/>
    <w:rsid w:val="00B330D3"/>
    <w:rsid w:val="00B33E3E"/>
    <w:rsid w:val="00B3477F"/>
    <w:rsid w:val="00B3481B"/>
    <w:rsid w:val="00B34A74"/>
    <w:rsid w:val="00B35598"/>
    <w:rsid w:val="00B3583B"/>
    <w:rsid w:val="00B35D1E"/>
    <w:rsid w:val="00B35EEB"/>
    <w:rsid w:val="00B36883"/>
    <w:rsid w:val="00B36BC2"/>
    <w:rsid w:val="00B37057"/>
    <w:rsid w:val="00B37410"/>
    <w:rsid w:val="00B37615"/>
    <w:rsid w:val="00B378E2"/>
    <w:rsid w:val="00B40272"/>
    <w:rsid w:val="00B40605"/>
    <w:rsid w:val="00B409DE"/>
    <w:rsid w:val="00B40BC2"/>
    <w:rsid w:val="00B413C3"/>
    <w:rsid w:val="00B414D7"/>
    <w:rsid w:val="00B41A65"/>
    <w:rsid w:val="00B41B2C"/>
    <w:rsid w:val="00B4215B"/>
    <w:rsid w:val="00B427B0"/>
    <w:rsid w:val="00B43623"/>
    <w:rsid w:val="00B43C5F"/>
    <w:rsid w:val="00B43E0F"/>
    <w:rsid w:val="00B43FC1"/>
    <w:rsid w:val="00B449B2"/>
    <w:rsid w:val="00B44A6D"/>
    <w:rsid w:val="00B4594E"/>
    <w:rsid w:val="00B46264"/>
    <w:rsid w:val="00B46475"/>
    <w:rsid w:val="00B466B7"/>
    <w:rsid w:val="00B46C8B"/>
    <w:rsid w:val="00B46E25"/>
    <w:rsid w:val="00B46FD5"/>
    <w:rsid w:val="00B47940"/>
    <w:rsid w:val="00B47C96"/>
    <w:rsid w:val="00B47DCB"/>
    <w:rsid w:val="00B50E87"/>
    <w:rsid w:val="00B5187B"/>
    <w:rsid w:val="00B52729"/>
    <w:rsid w:val="00B52C78"/>
    <w:rsid w:val="00B53381"/>
    <w:rsid w:val="00B539AD"/>
    <w:rsid w:val="00B55378"/>
    <w:rsid w:val="00B55813"/>
    <w:rsid w:val="00B56B4C"/>
    <w:rsid w:val="00B56EE9"/>
    <w:rsid w:val="00B57318"/>
    <w:rsid w:val="00B57907"/>
    <w:rsid w:val="00B60448"/>
    <w:rsid w:val="00B6047C"/>
    <w:rsid w:val="00B605CE"/>
    <w:rsid w:val="00B60992"/>
    <w:rsid w:val="00B60C72"/>
    <w:rsid w:val="00B61777"/>
    <w:rsid w:val="00B62431"/>
    <w:rsid w:val="00B62960"/>
    <w:rsid w:val="00B62CCC"/>
    <w:rsid w:val="00B639AB"/>
    <w:rsid w:val="00B63ADA"/>
    <w:rsid w:val="00B64567"/>
    <w:rsid w:val="00B648FD"/>
    <w:rsid w:val="00B64B7D"/>
    <w:rsid w:val="00B650EA"/>
    <w:rsid w:val="00B6589D"/>
    <w:rsid w:val="00B666C4"/>
    <w:rsid w:val="00B66D6B"/>
    <w:rsid w:val="00B67779"/>
    <w:rsid w:val="00B679EF"/>
    <w:rsid w:val="00B67CC7"/>
    <w:rsid w:val="00B704E8"/>
    <w:rsid w:val="00B70F39"/>
    <w:rsid w:val="00B70F5D"/>
    <w:rsid w:val="00B72057"/>
    <w:rsid w:val="00B72223"/>
    <w:rsid w:val="00B72275"/>
    <w:rsid w:val="00B743A7"/>
    <w:rsid w:val="00B74995"/>
    <w:rsid w:val="00B74998"/>
    <w:rsid w:val="00B74DD4"/>
    <w:rsid w:val="00B756EB"/>
    <w:rsid w:val="00B7658E"/>
    <w:rsid w:val="00B77625"/>
    <w:rsid w:val="00B802A7"/>
    <w:rsid w:val="00B80662"/>
    <w:rsid w:val="00B807C7"/>
    <w:rsid w:val="00B8107E"/>
    <w:rsid w:val="00B81777"/>
    <w:rsid w:val="00B81D6C"/>
    <w:rsid w:val="00B81E4E"/>
    <w:rsid w:val="00B81F6A"/>
    <w:rsid w:val="00B82DD2"/>
    <w:rsid w:val="00B8338D"/>
    <w:rsid w:val="00B836FD"/>
    <w:rsid w:val="00B8370B"/>
    <w:rsid w:val="00B840D4"/>
    <w:rsid w:val="00B843E6"/>
    <w:rsid w:val="00B84D42"/>
    <w:rsid w:val="00B86000"/>
    <w:rsid w:val="00B86980"/>
    <w:rsid w:val="00B873BA"/>
    <w:rsid w:val="00B87FE8"/>
    <w:rsid w:val="00B90030"/>
    <w:rsid w:val="00B90184"/>
    <w:rsid w:val="00B9037B"/>
    <w:rsid w:val="00B920D3"/>
    <w:rsid w:val="00B92377"/>
    <w:rsid w:val="00B94068"/>
    <w:rsid w:val="00B95C55"/>
    <w:rsid w:val="00B96335"/>
    <w:rsid w:val="00B971AE"/>
    <w:rsid w:val="00BA0ED3"/>
    <w:rsid w:val="00BA1260"/>
    <w:rsid w:val="00BA18C2"/>
    <w:rsid w:val="00BA1EB3"/>
    <w:rsid w:val="00BA296D"/>
    <w:rsid w:val="00BA2B7F"/>
    <w:rsid w:val="00BA2BFA"/>
    <w:rsid w:val="00BA2D6C"/>
    <w:rsid w:val="00BA2E29"/>
    <w:rsid w:val="00BA3069"/>
    <w:rsid w:val="00BA49A8"/>
    <w:rsid w:val="00BA4C5A"/>
    <w:rsid w:val="00BA5207"/>
    <w:rsid w:val="00BA5AE3"/>
    <w:rsid w:val="00BA64C2"/>
    <w:rsid w:val="00BA6CD4"/>
    <w:rsid w:val="00BA721E"/>
    <w:rsid w:val="00BA769E"/>
    <w:rsid w:val="00BA7859"/>
    <w:rsid w:val="00BA78BA"/>
    <w:rsid w:val="00BA7C86"/>
    <w:rsid w:val="00BB018D"/>
    <w:rsid w:val="00BB08BB"/>
    <w:rsid w:val="00BB122C"/>
    <w:rsid w:val="00BB13D2"/>
    <w:rsid w:val="00BB1854"/>
    <w:rsid w:val="00BB1F40"/>
    <w:rsid w:val="00BB21C4"/>
    <w:rsid w:val="00BB28E3"/>
    <w:rsid w:val="00BB2A8F"/>
    <w:rsid w:val="00BB2B05"/>
    <w:rsid w:val="00BB36D7"/>
    <w:rsid w:val="00BB479B"/>
    <w:rsid w:val="00BB4D8C"/>
    <w:rsid w:val="00BB5498"/>
    <w:rsid w:val="00BB6021"/>
    <w:rsid w:val="00BB6080"/>
    <w:rsid w:val="00BB624A"/>
    <w:rsid w:val="00BB6461"/>
    <w:rsid w:val="00BB745D"/>
    <w:rsid w:val="00BB74CD"/>
    <w:rsid w:val="00BB7628"/>
    <w:rsid w:val="00BB794E"/>
    <w:rsid w:val="00BC06AF"/>
    <w:rsid w:val="00BC086F"/>
    <w:rsid w:val="00BC2690"/>
    <w:rsid w:val="00BC276D"/>
    <w:rsid w:val="00BC30F3"/>
    <w:rsid w:val="00BC31F4"/>
    <w:rsid w:val="00BC435E"/>
    <w:rsid w:val="00BC4644"/>
    <w:rsid w:val="00BC50E3"/>
    <w:rsid w:val="00BC60F9"/>
    <w:rsid w:val="00BC6127"/>
    <w:rsid w:val="00BC6CA8"/>
    <w:rsid w:val="00BC7580"/>
    <w:rsid w:val="00BC7ED0"/>
    <w:rsid w:val="00BD010B"/>
    <w:rsid w:val="00BD0407"/>
    <w:rsid w:val="00BD12A8"/>
    <w:rsid w:val="00BD1A0E"/>
    <w:rsid w:val="00BD1D18"/>
    <w:rsid w:val="00BD21A4"/>
    <w:rsid w:val="00BD2DE2"/>
    <w:rsid w:val="00BD31D7"/>
    <w:rsid w:val="00BD3CDF"/>
    <w:rsid w:val="00BD3EE9"/>
    <w:rsid w:val="00BD42C5"/>
    <w:rsid w:val="00BD4958"/>
    <w:rsid w:val="00BD6273"/>
    <w:rsid w:val="00BD7053"/>
    <w:rsid w:val="00BD71AA"/>
    <w:rsid w:val="00BD743B"/>
    <w:rsid w:val="00BD7626"/>
    <w:rsid w:val="00BD7B16"/>
    <w:rsid w:val="00BE02E7"/>
    <w:rsid w:val="00BE0A6F"/>
    <w:rsid w:val="00BE0AD2"/>
    <w:rsid w:val="00BE0E3A"/>
    <w:rsid w:val="00BE0F20"/>
    <w:rsid w:val="00BE1429"/>
    <w:rsid w:val="00BE14F7"/>
    <w:rsid w:val="00BE1613"/>
    <w:rsid w:val="00BE1EB3"/>
    <w:rsid w:val="00BE24ED"/>
    <w:rsid w:val="00BE2774"/>
    <w:rsid w:val="00BE28D6"/>
    <w:rsid w:val="00BE2915"/>
    <w:rsid w:val="00BE38DE"/>
    <w:rsid w:val="00BE3BA8"/>
    <w:rsid w:val="00BE436E"/>
    <w:rsid w:val="00BE460F"/>
    <w:rsid w:val="00BE486C"/>
    <w:rsid w:val="00BE5418"/>
    <w:rsid w:val="00BE56EA"/>
    <w:rsid w:val="00BE597F"/>
    <w:rsid w:val="00BE5BEF"/>
    <w:rsid w:val="00BE5CE0"/>
    <w:rsid w:val="00BE5D5E"/>
    <w:rsid w:val="00BE610F"/>
    <w:rsid w:val="00BE61BC"/>
    <w:rsid w:val="00BE6C24"/>
    <w:rsid w:val="00BF181F"/>
    <w:rsid w:val="00BF1BBF"/>
    <w:rsid w:val="00BF1DDA"/>
    <w:rsid w:val="00BF2588"/>
    <w:rsid w:val="00BF2F75"/>
    <w:rsid w:val="00BF37FE"/>
    <w:rsid w:val="00BF3A24"/>
    <w:rsid w:val="00BF47CF"/>
    <w:rsid w:val="00BF4B4C"/>
    <w:rsid w:val="00BF4F97"/>
    <w:rsid w:val="00BF57BC"/>
    <w:rsid w:val="00BF596E"/>
    <w:rsid w:val="00BF6049"/>
    <w:rsid w:val="00BF61FB"/>
    <w:rsid w:val="00BF68EB"/>
    <w:rsid w:val="00BF6C63"/>
    <w:rsid w:val="00BF788C"/>
    <w:rsid w:val="00C00157"/>
    <w:rsid w:val="00C00257"/>
    <w:rsid w:val="00C00F2D"/>
    <w:rsid w:val="00C01C01"/>
    <w:rsid w:val="00C023FE"/>
    <w:rsid w:val="00C036B1"/>
    <w:rsid w:val="00C03A3B"/>
    <w:rsid w:val="00C05289"/>
    <w:rsid w:val="00C057B4"/>
    <w:rsid w:val="00C05E3A"/>
    <w:rsid w:val="00C0682C"/>
    <w:rsid w:val="00C06F97"/>
    <w:rsid w:val="00C07975"/>
    <w:rsid w:val="00C07998"/>
    <w:rsid w:val="00C07D6E"/>
    <w:rsid w:val="00C07EEB"/>
    <w:rsid w:val="00C10888"/>
    <w:rsid w:val="00C108E3"/>
    <w:rsid w:val="00C10AFC"/>
    <w:rsid w:val="00C112DF"/>
    <w:rsid w:val="00C11B6E"/>
    <w:rsid w:val="00C1249E"/>
    <w:rsid w:val="00C12CE0"/>
    <w:rsid w:val="00C12F75"/>
    <w:rsid w:val="00C13F53"/>
    <w:rsid w:val="00C14C09"/>
    <w:rsid w:val="00C1524E"/>
    <w:rsid w:val="00C15EE6"/>
    <w:rsid w:val="00C16244"/>
    <w:rsid w:val="00C16796"/>
    <w:rsid w:val="00C179AB"/>
    <w:rsid w:val="00C20220"/>
    <w:rsid w:val="00C21300"/>
    <w:rsid w:val="00C21898"/>
    <w:rsid w:val="00C21ACC"/>
    <w:rsid w:val="00C220EA"/>
    <w:rsid w:val="00C2238E"/>
    <w:rsid w:val="00C23208"/>
    <w:rsid w:val="00C25F79"/>
    <w:rsid w:val="00C25FC7"/>
    <w:rsid w:val="00C261C4"/>
    <w:rsid w:val="00C26348"/>
    <w:rsid w:val="00C26448"/>
    <w:rsid w:val="00C277CD"/>
    <w:rsid w:val="00C30746"/>
    <w:rsid w:val="00C31909"/>
    <w:rsid w:val="00C31EB6"/>
    <w:rsid w:val="00C32274"/>
    <w:rsid w:val="00C323A4"/>
    <w:rsid w:val="00C33091"/>
    <w:rsid w:val="00C335E9"/>
    <w:rsid w:val="00C33977"/>
    <w:rsid w:val="00C33CC3"/>
    <w:rsid w:val="00C34087"/>
    <w:rsid w:val="00C35027"/>
    <w:rsid w:val="00C35980"/>
    <w:rsid w:val="00C35A28"/>
    <w:rsid w:val="00C35F6B"/>
    <w:rsid w:val="00C361E8"/>
    <w:rsid w:val="00C36BDF"/>
    <w:rsid w:val="00C36C6F"/>
    <w:rsid w:val="00C37F19"/>
    <w:rsid w:val="00C40B14"/>
    <w:rsid w:val="00C40B6C"/>
    <w:rsid w:val="00C41578"/>
    <w:rsid w:val="00C42854"/>
    <w:rsid w:val="00C429F9"/>
    <w:rsid w:val="00C42CF0"/>
    <w:rsid w:val="00C431AA"/>
    <w:rsid w:val="00C44138"/>
    <w:rsid w:val="00C44509"/>
    <w:rsid w:val="00C44953"/>
    <w:rsid w:val="00C456E9"/>
    <w:rsid w:val="00C45786"/>
    <w:rsid w:val="00C47289"/>
    <w:rsid w:val="00C47719"/>
    <w:rsid w:val="00C4784E"/>
    <w:rsid w:val="00C500AD"/>
    <w:rsid w:val="00C502D4"/>
    <w:rsid w:val="00C5050D"/>
    <w:rsid w:val="00C50757"/>
    <w:rsid w:val="00C5085D"/>
    <w:rsid w:val="00C510BF"/>
    <w:rsid w:val="00C51214"/>
    <w:rsid w:val="00C514C8"/>
    <w:rsid w:val="00C5230D"/>
    <w:rsid w:val="00C52584"/>
    <w:rsid w:val="00C52F14"/>
    <w:rsid w:val="00C54562"/>
    <w:rsid w:val="00C54A16"/>
    <w:rsid w:val="00C54C2A"/>
    <w:rsid w:val="00C56393"/>
    <w:rsid w:val="00C566BA"/>
    <w:rsid w:val="00C568B8"/>
    <w:rsid w:val="00C56A25"/>
    <w:rsid w:val="00C5723D"/>
    <w:rsid w:val="00C57402"/>
    <w:rsid w:val="00C6019B"/>
    <w:rsid w:val="00C60DB9"/>
    <w:rsid w:val="00C61E08"/>
    <w:rsid w:val="00C628D0"/>
    <w:rsid w:val="00C62913"/>
    <w:rsid w:val="00C63159"/>
    <w:rsid w:val="00C6387E"/>
    <w:rsid w:val="00C6399D"/>
    <w:rsid w:val="00C641C0"/>
    <w:rsid w:val="00C647BC"/>
    <w:rsid w:val="00C64D0D"/>
    <w:rsid w:val="00C65AC4"/>
    <w:rsid w:val="00C65E45"/>
    <w:rsid w:val="00C66055"/>
    <w:rsid w:val="00C66476"/>
    <w:rsid w:val="00C66C43"/>
    <w:rsid w:val="00C66D77"/>
    <w:rsid w:val="00C66DD9"/>
    <w:rsid w:val="00C67415"/>
    <w:rsid w:val="00C67C40"/>
    <w:rsid w:val="00C70414"/>
    <w:rsid w:val="00C70537"/>
    <w:rsid w:val="00C70791"/>
    <w:rsid w:val="00C70A9B"/>
    <w:rsid w:val="00C70E0F"/>
    <w:rsid w:val="00C71059"/>
    <w:rsid w:val="00C71801"/>
    <w:rsid w:val="00C718A5"/>
    <w:rsid w:val="00C72A7C"/>
    <w:rsid w:val="00C7311B"/>
    <w:rsid w:val="00C73233"/>
    <w:rsid w:val="00C73FB8"/>
    <w:rsid w:val="00C75003"/>
    <w:rsid w:val="00C75899"/>
    <w:rsid w:val="00C75E5C"/>
    <w:rsid w:val="00C7641C"/>
    <w:rsid w:val="00C76C66"/>
    <w:rsid w:val="00C77781"/>
    <w:rsid w:val="00C800E9"/>
    <w:rsid w:val="00C80D48"/>
    <w:rsid w:val="00C80F77"/>
    <w:rsid w:val="00C815D4"/>
    <w:rsid w:val="00C81893"/>
    <w:rsid w:val="00C8295E"/>
    <w:rsid w:val="00C837E6"/>
    <w:rsid w:val="00C83AE6"/>
    <w:rsid w:val="00C84F00"/>
    <w:rsid w:val="00C84F02"/>
    <w:rsid w:val="00C853B9"/>
    <w:rsid w:val="00C85453"/>
    <w:rsid w:val="00C85C62"/>
    <w:rsid w:val="00C85CBE"/>
    <w:rsid w:val="00C86EAE"/>
    <w:rsid w:val="00C87D18"/>
    <w:rsid w:val="00C905DF"/>
    <w:rsid w:val="00C90A45"/>
    <w:rsid w:val="00C90C1A"/>
    <w:rsid w:val="00C90F1D"/>
    <w:rsid w:val="00C912E8"/>
    <w:rsid w:val="00C914BB"/>
    <w:rsid w:val="00C9158C"/>
    <w:rsid w:val="00C91FDE"/>
    <w:rsid w:val="00C922F9"/>
    <w:rsid w:val="00C92887"/>
    <w:rsid w:val="00C92B22"/>
    <w:rsid w:val="00C9389F"/>
    <w:rsid w:val="00C938DE"/>
    <w:rsid w:val="00C94144"/>
    <w:rsid w:val="00C95A5E"/>
    <w:rsid w:val="00C95DCB"/>
    <w:rsid w:val="00C9656D"/>
    <w:rsid w:val="00C9695C"/>
    <w:rsid w:val="00C96D6E"/>
    <w:rsid w:val="00CA03A7"/>
    <w:rsid w:val="00CA061C"/>
    <w:rsid w:val="00CA0A11"/>
    <w:rsid w:val="00CA0F81"/>
    <w:rsid w:val="00CA1F16"/>
    <w:rsid w:val="00CA2257"/>
    <w:rsid w:val="00CA3932"/>
    <w:rsid w:val="00CA461E"/>
    <w:rsid w:val="00CA4B7C"/>
    <w:rsid w:val="00CA4C99"/>
    <w:rsid w:val="00CA5602"/>
    <w:rsid w:val="00CA5CC6"/>
    <w:rsid w:val="00CA5CDA"/>
    <w:rsid w:val="00CA5CF7"/>
    <w:rsid w:val="00CA5F3D"/>
    <w:rsid w:val="00CA6F25"/>
    <w:rsid w:val="00CA767E"/>
    <w:rsid w:val="00CB02CF"/>
    <w:rsid w:val="00CB0B31"/>
    <w:rsid w:val="00CB0FDA"/>
    <w:rsid w:val="00CB100E"/>
    <w:rsid w:val="00CB135B"/>
    <w:rsid w:val="00CB221C"/>
    <w:rsid w:val="00CB2299"/>
    <w:rsid w:val="00CB269F"/>
    <w:rsid w:val="00CB2F2F"/>
    <w:rsid w:val="00CB46A3"/>
    <w:rsid w:val="00CB47F9"/>
    <w:rsid w:val="00CB493B"/>
    <w:rsid w:val="00CB4DF6"/>
    <w:rsid w:val="00CB62F6"/>
    <w:rsid w:val="00CB652B"/>
    <w:rsid w:val="00CB6BB9"/>
    <w:rsid w:val="00CB74C4"/>
    <w:rsid w:val="00CB7AF7"/>
    <w:rsid w:val="00CC0308"/>
    <w:rsid w:val="00CC1DFE"/>
    <w:rsid w:val="00CC1E28"/>
    <w:rsid w:val="00CC24B9"/>
    <w:rsid w:val="00CC261D"/>
    <w:rsid w:val="00CC2B79"/>
    <w:rsid w:val="00CC2C16"/>
    <w:rsid w:val="00CC2CF1"/>
    <w:rsid w:val="00CC3297"/>
    <w:rsid w:val="00CC3448"/>
    <w:rsid w:val="00CC3BF5"/>
    <w:rsid w:val="00CC4B9B"/>
    <w:rsid w:val="00CC4D00"/>
    <w:rsid w:val="00CC538D"/>
    <w:rsid w:val="00CC60B8"/>
    <w:rsid w:val="00CC6271"/>
    <w:rsid w:val="00CC6992"/>
    <w:rsid w:val="00CC6AE4"/>
    <w:rsid w:val="00CC725D"/>
    <w:rsid w:val="00CC7304"/>
    <w:rsid w:val="00CC7D0C"/>
    <w:rsid w:val="00CD255B"/>
    <w:rsid w:val="00CD3245"/>
    <w:rsid w:val="00CD3601"/>
    <w:rsid w:val="00CD369E"/>
    <w:rsid w:val="00CD4EBA"/>
    <w:rsid w:val="00CD4ED7"/>
    <w:rsid w:val="00CD50A3"/>
    <w:rsid w:val="00CD50F4"/>
    <w:rsid w:val="00CD53EA"/>
    <w:rsid w:val="00CD54FC"/>
    <w:rsid w:val="00CD5AF9"/>
    <w:rsid w:val="00CD5DA4"/>
    <w:rsid w:val="00CD62D1"/>
    <w:rsid w:val="00CD6364"/>
    <w:rsid w:val="00CD75E5"/>
    <w:rsid w:val="00CE14D1"/>
    <w:rsid w:val="00CE2093"/>
    <w:rsid w:val="00CE2605"/>
    <w:rsid w:val="00CE3159"/>
    <w:rsid w:val="00CE32AD"/>
    <w:rsid w:val="00CE3A37"/>
    <w:rsid w:val="00CE4508"/>
    <w:rsid w:val="00CE4834"/>
    <w:rsid w:val="00CE4AE0"/>
    <w:rsid w:val="00CE51C9"/>
    <w:rsid w:val="00CE5217"/>
    <w:rsid w:val="00CE6019"/>
    <w:rsid w:val="00CE72F0"/>
    <w:rsid w:val="00CE7620"/>
    <w:rsid w:val="00CE7DD6"/>
    <w:rsid w:val="00CE7F65"/>
    <w:rsid w:val="00CF0C2D"/>
    <w:rsid w:val="00CF0EA4"/>
    <w:rsid w:val="00CF17D4"/>
    <w:rsid w:val="00CF1E2C"/>
    <w:rsid w:val="00CF25EF"/>
    <w:rsid w:val="00CF297C"/>
    <w:rsid w:val="00CF3148"/>
    <w:rsid w:val="00CF3BBC"/>
    <w:rsid w:val="00CF3F26"/>
    <w:rsid w:val="00CF5611"/>
    <w:rsid w:val="00CF602F"/>
    <w:rsid w:val="00CF6FAB"/>
    <w:rsid w:val="00CF7221"/>
    <w:rsid w:val="00CF76B4"/>
    <w:rsid w:val="00D002A2"/>
    <w:rsid w:val="00D00D80"/>
    <w:rsid w:val="00D00DB5"/>
    <w:rsid w:val="00D0149A"/>
    <w:rsid w:val="00D0197F"/>
    <w:rsid w:val="00D036AE"/>
    <w:rsid w:val="00D0374B"/>
    <w:rsid w:val="00D039F7"/>
    <w:rsid w:val="00D049CB"/>
    <w:rsid w:val="00D0511C"/>
    <w:rsid w:val="00D05447"/>
    <w:rsid w:val="00D054E3"/>
    <w:rsid w:val="00D061A9"/>
    <w:rsid w:val="00D066B8"/>
    <w:rsid w:val="00D07217"/>
    <w:rsid w:val="00D0788F"/>
    <w:rsid w:val="00D07D1A"/>
    <w:rsid w:val="00D10FD6"/>
    <w:rsid w:val="00D111EC"/>
    <w:rsid w:val="00D117AC"/>
    <w:rsid w:val="00D117EA"/>
    <w:rsid w:val="00D14FB9"/>
    <w:rsid w:val="00D15014"/>
    <w:rsid w:val="00D16417"/>
    <w:rsid w:val="00D16A4D"/>
    <w:rsid w:val="00D16B0A"/>
    <w:rsid w:val="00D17E89"/>
    <w:rsid w:val="00D20D41"/>
    <w:rsid w:val="00D218D3"/>
    <w:rsid w:val="00D21CD0"/>
    <w:rsid w:val="00D223C7"/>
    <w:rsid w:val="00D22863"/>
    <w:rsid w:val="00D228E2"/>
    <w:rsid w:val="00D22996"/>
    <w:rsid w:val="00D229F8"/>
    <w:rsid w:val="00D2324F"/>
    <w:rsid w:val="00D25106"/>
    <w:rsid w:val="00D26760"/>
    <w:rsid w:val="00D31538"/>
    <w:rsid w:val="00D31794"/>
    <w:rsid w:val="00D318EC"/>
    <w:rsid w:val="00D32091"/>
    <w:rsid w:val="00D3211F"/>
    <w:rsid w:val="00D324F9"/>
    <w:rsid w:val="00D3298A"/>
    <w:rsid w:val="00D3366C"/>
    <w:rsid w:val="00D3381C"/>
    <w:rsid w:val="00D35F9D"/>
    <w:rsid w:val="00D36220"/>
    <w:rsid w:val="00D362E2"/>
    <w:rsid w:val="00D3698D"/>
    <w:rsid w:val="00D37048"/>
    <w:rsid w:val="00D37C03"/>
    <w:rsid w:val="00D41204"/>
    <w:rsid w:val="00D417CB"/>
    <w:rsid w:val="00D4182F"/>
    <w:rsid w:val="00D41EE0"/>
    <w:rsid w:val="00D41F17"/>
    <w:rsid w:val="00D42048"/>
    <w:rsid w:val="00D429B2"/>
    <w:rsid w:val="00D42EF7"/>
    <w:rsid w:val="00D43722"/>
    <w:rsid w:val="00D44AEC"/>
    <w:rsid w:val="00D45A96"/>
    <w:rsid w:val="00D46498"/>
    <w:rsid w:val="00D469D8"/>
    <w:rsid w:val="00D46A3F"/>
    <w:rsid w:val="00D46AF8"/>
    <w:rsid w:val="00D46D88"/>
    <w:rsid w:val="00D46DD5"/>
    <w:rsid w:val="00D47B02"/>
    <w:rsid w:val="00D5035D"/>
    <w:rsid w:val="00D504AB"/>
    <w:rsid w:val="00D5064E"/>
    <w:rsid w:val="00D507A6"/>
    <w:rsid w:val="00D50A51"/>
    <w:rsid w:val="00D50DD5"/>
    <w:rsid w:val="00D511BD"/>
    <w:rsid w:val="00D517BC"/>
    <w:rsid w:val="00D53089"/>
    <w:rsid w:val="00D532EA"/>
    <w:rsid w:val="00D541D2"/>
    <w:rsid w:val="00D54FF8"/>
    <w:rsid w:val="00D559DE"/>
    <w:rsid w:val="00D5610B"/>
    <w:rsid w:val="00D56110"/>
    <w:rsid w:val="00D565AB"/>
    <w:rsid w:val="00D60DF1"/>
    <w:rsid w:val="00D616C4"/>
    <w:rsid w:val="00D62F6E"/>
    <w:rsid w:val="00D631BB"/>
    <w:rsid w:val="00D63879"/>
    <w:rsid w:val="00D639CE"/>
    <w:rsid w:val="00D63E0E"/>
    <w:rsid w:val="00D640AA"/>
    <w:rsid w:val="00D64399"/>
    <w:rsid w:val="00D64E6D"/>
    <w:rsid w:val="00D66238"/>
    <w:rsid w:val="00D662A8"/>
    <w:rsid w:val="00D66A74"/>
    <w:rsid w:val="00D67F14"/>
    <w:rsid w:val="00D7095B"/>
    <w:rsid w:val="00D72362"/>
    <w:rsid w:val="00D7302E"/>
    <w:rsid w:val="00D73A61"/>
    <w:rsid w:val="00D74C81"/>
    <w:rsid w:val="00D7502C"/>
    <w:rsid w:val="00D75E72"/>
    <w:rsid w:val="00D763FD"/>
    <w:rsid w:val="00D7731D"/>
    <w:rsid w:val="00D778F7"/>
    <w:rsid w:val="00D802CB"/>
    <w:rsid w:val="00D814AB"/>
    <w:rsid w:val="00D81573"/>
    <w:rsid w:val="00D82532"/>
    <w:rsid w:val="00D82586"/>
    <w:rsid w:val="00D82E5A"/>
    <w:rsid w:val="00D83019"/>
    <w:rsid w:val="00D83061"/>
    <w:rsid w:val="00D83F57"/>
    <w:rsid w:val="00D8419D"/>
    <w:rsid w:val="00D84828"/>
    <w:rsid w:val="00D84960"/>
    <w:rsid w:val="00D854E5"/>
    <w:rsid w:val="00D86CEA"/>
    <w:rsid w:val="00D900BD"/>
    <w:rsid w:val="00D90AF3"/>
    <w:rsid w:val="00D90E34"/>
    <w:rsid w:val="00D91119"/>
    <w:rsid w:val="00D921B1"/>
    <w:rsid w:val="00D923F4"/>
    <w:rsid w:val="00D92CDE"/>
    <w:rsid w:val="00D93510"/>
    <w:rsid w:val="00D9387C"/>
    <w:rsid w:val="00D93E63"/>
    <w:rsid w:val="00D94858"/>
    <w:rsid w:val="00D94A8F"/>
    <w:rsid w:val="00D94C51"/>
    <w:rsid w:val="00D95536"/>
    <w:rsid w:val="00D9613F"/>
    <w:rsid w:val="00D96D10"/>
    <w:rsid w:val="00DA0B0A"/>
    <w:rsid w:val="00DA1629"/>
    <w:rsid w:val="00DA25F5"/>
    <w:rsid w:val="00DA2DEA"/>
    <w:rsid w:val="00DA318E"/>
    <w:rsid w:val="00DA3211"/>
    <w:rsid w:val="00DA3567"/>
    <w:rsid w:val="00DA35D1"/>
    <w:rsid w:val="00DA4294"/>
    <w:rsid w:val="00DA4500"/>
    <w:rsid w:val="00DA6461"/>
    <w:rsid w:val="00DA6ECD"/>
    <w:rsid w:val="00DA786A"/>
    <w:rsid w:val="00DA7992"/>
    <w:rsid w:val="00DB09BC"/>
    <w:rsid w:val="00DB0A54"/>
    <w:rsid w:val="00DB1CC0"/>
    <w:rsid w:val="00DB207C"/>
    <w:rsid w:val="00DB20F0"/>
    <w:rsid w:val="00DB20FE"/>
    <w:rsid w:val="00DB23BB"/>
    <w:rsid w:val="00DB298B"/>
    <w:rsid w:val="00DB2A54"/>
    <w:rsid w:val="00DB2C5F"/>
    <w:rsid w:val="00DB46DA"/>
    <w:rsid w:val="00DB5129"/>
    <w:rsid w:val="00DB731F"/>
    <w:rsid w:val="00DC04A4"/>
    <w:rsid w:val="00DC1BC3"/>
    <w:rsid w:val="00DC1E4E"/>
    <w:rsid w:val="00DC2066"/>
    <w:rsid w:val="00DC21AC"/>
    <w:rsid w:val="00DC229F"/>
    <w:rsid w:val="00DC276E"/>
    <w:rsid w:val="00DC2A93"/>
    <w:rsid w:val="00DC2E84"/>
    <w:rsid w:val="00DC2FCA"/>
    <w:rsid w:val="00DC3028"/>
    <w:rsid w:val="00DC30AB"/>
    <w:rsid w:val="00DC3271"/>
    <w:rsid w:val="00DC3B74"/>
    <w:rsid w:val="00DC3E2F"/>
    <w:rsid w:val="00DC4205"/>
    <w:rsid w:val="00DC4E9F"/>
    <w:rsid w:val="00DC54E8"/>
    <w:rsid w:val="00DC56FD"/>
    <w:rsid w:val="00DC5812"/>
    <w:rsid w:val="00DC5C38"/>
    <w:rsid w:val="00DC677C"/>
    <w:rsid w:val="00DC6E86"/>
    <w:rsid w:val="00DC6EB8"/>
    <w:rsid w:val="00DC7012"/>
    <w:rsid w:val="00DC7BCC"/>
    <w:rsid w:val="00DD084A"/>
    <w:rsid w:val="00DD0D63"/>
    <w:rsid w:val="00DD1258"/>
    <w:rsid w:val="00DD1DC6"/>
    <w:rsid w:val="00DD2A18"/>
    <w:rsid w:val="00DD35EA"/>
    <w:rsid w:val="00DD3A2D"/>
    <w:rsid w:val="00DD4454"/>
    <w:rsid w:val="00DD4696"/>
    <w:rsid w:val="00DD69C6"/>
    <w:rsid w:val="00DD6B04"/>
    <w:rsid w:val="00DD7099"/>
    <w:rsid w:val="00DD75C9"/>
    <w:rsid w:val="00DD7A6E"/>
    <w:rsid w:val="00DE01CC"/>
    <w:rsid w:val="00DE1C89"/>
    <w:rsid w:val="00DE2523"/>
    <w:rsid w:val="00DE2C85"/>
    <w:rsid w:val="00DE3733"/>
    <w:rsid w:val="00DE4DDD"/>
    <w:rsid w:val="00DE65B0"/>
    <w:rsid w:val="00DE662D"/>
    <w:rsid w:val="00DE6CDA"/>
    <w:rsid w:val="00DE6F22"/>
    <w:rsid w:val="00DE7140"/>
    <w:rsid w:val="00DF039D"/>
    <w:rsid w:val="00DF1DAC"/>
    <w:rsid w:val="00DF21A1"/>
    <w:rsid w:val="00DF2F30"/>
    <w:rsid w:val="00DF31E2"/>
    <w:rsid w:val="00DF33EE"/>
    <w:rsid w:val="00DF4C74"/>
    <w:rsid w:val="00DF4FAE"/>
    <w:rsid w:val="00DF664D"/>
    <w:rsid w:val="00DF6C4A"/>
    <w:rsid w:val="00DF767B"/>
    <w:rsid w:val="00E0156F"/>
    <w:rsid w:val="00E01A3F"/>
    <w:rsid w:val="00E01DCC"/>
    <w:rsid w:val="00E025AC"/>
    <w:rsid w:val="00E02D50"/>
    <w:rsid w:val="00E034C6"/>
    <w:rsid w:val="00E03D0D"/>
    <w:rsid w:val="00E05818"/>
    <w:rsid w:val="00E05B1F"/>
    <w:rsid w:val="00E05BA6"/>
    <w:rsid w:val="00E0630A"/>
    <w:rsid w:val="00E07E8F"/>
    <w:rsid w:val="00E1254C"/>
    <w:rsid w:val="00E129F8"/>
    <w:rsid w:val="00E13216"/>
    <w:rsid w:val="00E1355E"/>
    <w:rsid w:val="00E13D75"/>
    <w:rsid w:val="00E14F6B"/>
    <w:rsid w:val="00E150B1"/>
    <w:rsid w:val="00E154AB"/>
    <w:rsid w:val="00E15562"/>
    <w:rsid w:val="00E1561D"/>
    <w:rsid w:val="00E15864"/>
    <w:rsid w:val="00E15DA8"/>
    <w:rsid w:val="00E15F0B"/>
    <w:rsid w:val="00E164F5"/>
    <w:rsid w:val="00E1690E"/>
    <w:rsid w:val="00E16AB4"/>
    <w:rsid w:val="00E177E4"/>
    <w:rsid w:val="00E17C41"/>
    <w:rsid w:val="00E17FFB"/>
    <w:rsid w:val="00E20399"/>
    <w:rsid w:val="00E208FA"/>
    <w:rsid w:val="00E20D55"/>
    <w:rsid w:val="00E23486"/>
    <w:rsid w:val="00E2350A"/>
    <w:rsid w:val="00E24192"/>
    <w:rsid w:val="00E261A4"/>
    <w:rsid w:val="00E268C6"/>
    <w:rsid w:val="00E2712C"/>
    <w:rsid w:val="00E271B8"/>
    <w:rsid w:val="00E27365"/>
    <w:rsid w:val="00E27432"/>
    <w:rsid w:val="00E2761A"/>
    <w:rsid w:val="00E30297"/>
    <w:rsid w:val="00E303FB"/>
    <w:rsid w:val="00E31F21"/>
    <w:rsid w:val="00E31FAA"/>
    <w:rsid w:val="00E32321"/>
    <w:rsid w:val="00E324EF"/>
    <w:rsid w:val="00E329DF"/>
    <w:rsid w:val="00E33096"/>
    <w:rsid w:val="00E33BC5"/>
    <w:rsid w:val="00E33D5A"/>
    <w:rsid w:val="00E34FE4"/>
    <w:rsid w:val="00E34FF9"/>
    <w:rsid w:val="00E35147"/>
    <w:rsid w:val="00E3525A"/>
    <w:rsid w:val="00E35B38"/>
    <w:rsid w:val="00E35E89"/>
    <w:rsid w:val="00E369B9"/>
    <w:rsid w:val="00E36A8A"/>
    <w:rsid w:val="00E36F66"/>
    <w:rsid w:val="00E371C4"/>
    <w:rsid w:val="00E37255"/>
    <w:rsid w:val="00E3796E"/>
    <w:rsid w:val="00E37CA0"/>
    <w:rsid w:val="00E37F0B"/>
    <w:rsid w:val="00E40621"/>
    <w:rsid w:val="00E40AF3"/>
    <w:rsid w:val="00E40E60"/>
    <w:rsid w:val="00E41B81"/>
    <w:rsid w:val="00E41FCA"/>
    <w:rsid w:val="00E420DB"/>
    <w:rsid w:val="00E439A2"/>
    <w:rsid w:val="00E43ACB"/>
    <w:rsid w:val="00E43B26"/>
    <w:rsid w:val="00E447D4"/>
    <w:rsid w:val="00E44E02"/>
    <w:rsid w:val="00E46F69"/>
    <w:rsid w:val="00E47425"/>
    <w:rsid w:val="00E507F7"/>
    <w:rsid w:val="00E51D3D"/>
    <w:rsid w:val="00E52313"/>
    <w:rsid w:val="00E528D2"/>
    <w:rsid w:val="00E53146"/>
    <w:rsid w:val="00E53EB3"/>
    <w:rsid w:val="00E53FFE"/>
    <w:rsid w:val="00E547E9"/>
    <w:rsid w:val="00E548A2"/>
    <w:rsid w:val="00E55B0D"/>
    <w:rsid w:val="00E5619D"/>
    <w:rsid w:val="00E578A1"/>
    <w:rsid w:val="00E60268"/>
    <w:rsid w:val="00E603EF"/>
    <w:rsid w:val="00E60FE1"/>
    <w:rsid w:val="00E60FF1"/>
    <w:rsid w:val="00E623BC"/>
    <w:rsid w:val="00E6271A"/>
    <w:rsid w:val="00E62C96"/>
    <w:rsid w:val="00E63615"/>
    <w:rsid w:val="00E64597"/>
    <w:rsid w:val="00E64E23"/>
    <w:rsid w:val="00E66081"/>
    <w:rsid w:val="00E660FF"/>
    <w:rsid w:val="00E66C2D"/>
    <w:rsid w:val="00E6716C"/>
    <w:rsid w:val="00E67216"/>
    <w:rsid w:val="00E6721F"/>
    <w:rsid w:val="00E67837"/>
    <w:rsid w:val="00E70255"/>
    <w:rsid w:val="00E7039F"/>
    <w:rsid w:val="00E70A77"/>
    <w:rsid w:val="00E70C71"/>
    <w:rsid w:val="00E710A7"/>
    <w:rsid w:val="00E71478"/>
    <w:rsid w:val="00E720BC"/>
    <w:rsid w:val="00E728AF"/>
    <w:rsid w:val="00E74496"/>
    <w:rsid w:val="00E74B35"/>
    <w:rsid w:val="00E762F9"/>
    <w:rsid w:val="00E7668E"/>
    <w:rsid w:val="00E76760"/>
    <w:rsid w:val="00E76C89"/>
    <w:rsid w:val="00E76F14"/>
    <w:rsid w:val="00E77689"/>
    <w:rsid w:val="00E7771B"/>
    <w:rsid w:val="00E77A54"/>
    <w:rsid w:val="00E80B0D"/>
    <w:rsid w:val="00E83182"/>
    <w:rsid w:val="00E832BD"/>
    <w:rsid w:val="00E8363B"/>
    <w:rsid w:val="00E83A5A"/>
    <w:rsid w:val="00E83CAE"/>
    <w:rsid w:val="00E83EF6"/>
    <w:rsid w:val="00E84CD6"/>
    <w:rsid w:val="00E85F66"/>
    <w:rsid w:val="00E86002"/>
    <w:rsid w:val="00E8620F"/>
    <w:rsid w:val="00E867D6"/>
    <w:rsid w:val="00E8710F"/>
    <w:rsid w:val="00E87E0B"/>
    <w:rsid w:val="00E91143"/>
    <w:rsid w:val="00E91505"/>
    <w:rsid w:val="00E917DB"/>
    <w:rsid w:val="00E91A29"/>
    <w:rsid w:val="00E91CE9"/>
    <w:rsid w:val="00E92CD9"/>
    <w:rsid w:val="00E936BB"/>
    <w:rsid w:val="00E943FB"/>
    <w:rsid w:val="00E94923"/>
    <w:rsid w:val="00E94D7B"/>
    <w:rsid w:val="00E9630E"/>
    <w:rsid w:val="00E9643B"/>
    <w:rsid w:val="00E9782C"/>
    <w:rsid w:val="00E97AC5"/>
    <w:rsid w:val="00E97C66"/>
    <w:rsid w:val="00E97EEB"/>
    <w:rsid w:val="00E97F4C"/>
    <w:rsid w:val="00EA0AA6"/>
    <w:rsid w:val="00EA0CD2"/>
    <w:rsid w:val="00EA13D8"/>
    <w:rsid w:val="00EA15FF"/>
    <w:rsid w:val="00EA1989"/>
    <w:rsid w:val="00EA1B06"/>
    <w:rsid w:val="00EA2839"/>
    <w:rsid w:val="00EA2D62"/>
    <w:rsid w:val="00EA3A54"/>
    <w:rsid w:val="00EA3D79"/>
    <w:rsid w:val="00EA4AAB"/>
    <w:rsid w:val="00EA4B3A"/>
    <w:rsid w:val="00EA4FC2"/>
    <w:rsid w:val="00EA5D5A"/>
    <w:rsid w:val="00EA710F"/>
    <w:rsid w:val="00EA799D"/>
    <w:rsid w:val="00EB0BF5"/>
    <w:rsid w:val="00EB28BF"/>
    <w:rsid w:val="00EB28EB"/>
    <w:rsid w:val="00EB2E7E"/>
    <w:rsid w:val="00EB3501"/>
    <w:rsid w:val="00EB3519"/>
    <w:rsid w:val="00EB3559"/>
    <w:rsid w:val="00EB3838"/>
    <w:rsid w:val="00EB4003"/>
    <w:rsid w:val="00EB4038"/>
    <w:rsid w:val="00EB4271"/>
    <w:rsid w:val="00EB4353"/>
    <w:rsid w:val="00EB4DAE"/>
    <w:rsid w:val="00EB5D0A"/>
    <w:rsid w:val="00EB5E8D"/>
    <w:rsid w:val="00EB61A7"/>
    <w:rsid w:val="00EB6300"/>
    <w:rsid w:val="00EB6567"/>
    <w:rsid w:val="00EB6574"/>
    <w:rsid w:val="00EB752E"/>
    <w:rsid w:val="00EB78D7"/>
    <w:rsid w:val="00EC074E"/>
    <w:rsid w:val="00EC18F8"/>
    <w:rsid w:val="00EC1CAC"/>
    <w:rsid w:val="00EC3BBD"/>
    <w:rsid w:val="00EC3FF4"/>
    <w:rsid w:val="00EC47A9"/>
    <w:rsid w:val="00EC5B3A"/>
    <w:rsid w:val="00EC6607"/>
    <w:rsid w:val="00EC68A4"/>
    <w:rsid w:val="00EC6A9F"/>
    <w:rsid w:val="00ED0CBC"/>
    <w:rsid w:val="00ED1000"/>
    <w:rsid w:val="00ED1288"/>
    <w:rsid w:val="00ED14DD"/>
    <w:rsid w:val="00ED1799"/>
    <w:rsid w:val="00ED21DF"/>
    <w:rsid w:val="00ED2A78"/>
    <w:rsid w:val="00ED5134"/>
    <w:rsid w:val="00ED5F34"/>
    <w:rsid w:val="00ED7108"/>
    <w:rsid w:val="00ED7526"/>
    <w:rsid w:val="00ED774B"/>
    <w:rsid w:val="00ED7B03"/>
    <w:rsid w:val="00EE005F"/>
    <w:rsid w:val="00EE023E"/>
    <w:rsid w:val="00EE098D"/>
    <w:rsid w:val="00EE1584"/>
    <w:rsid w:val="00EE1C0F"/>
    <w:rsid w:val="00EE416C"/>
    <w:rsid w:val="00EE47E1"/>
    <w:rsid w:val="00EE4B0E"/>
    <w:rsid w:val="00EE4BC5"/>
    <w:rsid w:val="00EE4D51"/>
    <w:rsid w:val="00EE5349"/>
    <w:rsid w:val="00EE548D"/>
    <w:rsid w:val="00EE55CD"/>
    <w:rsid w:val="00EE5971"/>
    <w:rsid w:val="00EE61AF"/>
    <w:rsid w:val="00EE63ED"/>
    <w:rsid w:val="00EE6964"/>
    <w:rsid w:val="00EE74F2"/>
    <w:rsid w:val="00EE7963"/>
    <w:rsid w:val="00EE7D31"/>
    <w:rsid w:val="00EE7F11"/>
    <w:rsid w:val="00EF0A97"/>
    <w:rsid w:val="00EF0F07"/>
    <w:rsid w:val="00EF1DE6"/>
    <w:rsid w:val="00EF1FB0"/>
    <w:rsid w:val="00EF3E9F"/>
    <w:rsid w:val="00EF486C"/>
    <w:rsid w:val="00EF4D7D"/>
    <w:rsid w:val="00EF5690"/>
    <w:rsid w:val="00EF5C73"/>
    <w:rsid w:val="00EF7AD3"/>
    <w:rsid w:val="00EF7B7B"/>
    <w:rsid w:val="00EF7D90"/>
    <w:rsid w:val="00F003C2"/>
    <w:rsid w:val="00F007BD"/>
    <w:rsid w:val="00F009EF"/>
    <w:rsid w:val="00F010AA"/>
    <w:rsid w:val="00F0208C"/>
    <w:rsid w:val="00F02274"/>
    <w:rsid w:val="00F02728"/>
    <w:rsid w:val="00F03214"/>
    <w:rsid w:val="00F03243"/>
    <w:rsid w:val="00F03984"/>
    <w:rsid w:val="00F03CAD"/>
    <w:rsid w:val="00F04840"/>
    <w:rsid w:val="00F057C9"/>
    <w:rsid w:val="00F05989"/>
    <w:rsid w:val="00F05B79"/>
    <w:rsid w:val="00F06125"/>
    <w:rsid w:val="00F063F0"/>
    <w:rsid w:val="00F064A3"/>
    <w:rsid w:val="00F06750"/>
    <w:rsid w:val="00F068AC"/>
    <w:rsid w:val="00F06EDC"/>
    <w:rsid w:val="00F1014E"/>
    <w:rsid w:val="00F109A5"/>
    <w:rsid w:val="00F11516"/>
    <w:rsid w:val="00F11951"/>
    <w:rsid w:val="00F12281"/>
    <w:rsid w:val="00F12E6B"/>
    <w:rsid w:val="00F13961"/>
    <w:rsid w:val="00F141BB"/>
    <w:rsid w:val="00F14D53"/>
    <w:rsid w:val="00F15431"/>
    <w:rsid w:val="00F15635"/>
    <w:rsid w:val="00F1684C"/>
    <w:rsid w:val="00F1697A"/>
    <w:rsid w:val="00F170F5"/>
    <w:rsid w:val="00F17AD9"/>
    <w:rsid w:val="00F17C3E"/>
    <w:rsid w:val="00F20151"/>
    <w:rsid w:val="00F20582"/>
    <w:rsid w:val="00F220AB"/>
    <w:rsid w:val="00F220D8"/>
    <w:rsid w:val="00F22138"/>
    <w:rsid w:val="00F227D8"/>
    <w:rsid w:val="00F22BC1"/>
    <w:rsid w:val="00F22D3A"/>
    <w:rsid w:val="00F233A2"/>
    <w:rsid w:val="00F239C2"/>
    <w:rsid w:val="00F24053"/>
    <w:rsid w:val="00F241B2"/>
    <w:rsid w:val="00F24D2F"/>
    <w:rsid w:val="00F250DA"/>
    <w:rsid w:val="00F25339"/>
    <w:rsid w:val="00F2544B"/>
    <w:rsid w:val="00F26341"/>
    <w:rsid w:val="00F2738B"/>
    <w:rsid w:val="00F2797F"/>
    <w:rsid w:val="00F3019A"/>
    <w:rsid w:val="00F3130F"/>
    <w:rsid w:val="00F31FBB"/>
    <w:rsid w:val="00F32632"/>
    <w:rsid w:val="00F32937"/>
    <w:rsid w:val="00F33A86"/>
    <w:rsid w:val="00F34E7C"/>
    <w:rsid w:val="00F35459"/>
    <w:rsid w:val="00F35A44"/>
    <w:rsid w:val="00F37201"/>
    <w:rsid w:val="00F37804"/>
    <w:rsid w:val="00F405CA"/>
    <w:rsid w:val="00F408B6"/>
    <w:rsid w:val="00F41A6F"/>
    <w:rsid w:val="00F41C91"/>
    <w:rsid w:val="00F427E9"/>
    <w:rsid w:val="00F428A2"/>
    <w:rsid w:val="00F43038"/>
    <w:rsid w:val="00F43616"/>
    <w:rsid w:val="00F43C0D"/>
    <w:rsid w:val="00F43EC6"/>
    <w:rsid w:val="00F440C9"/>
    <w:rsid w:val="00F442A0"/>
    <w:rsid w:val="00F4467A"/>
    <w:rsid w:val="00F458E8"/>
    <w:rsid w:val="00F45B5D"/>
    <w:rsid w:val="00F469D1"/>
    <w:rsid w:val="00F46AA9"/>
    <w:rsid w:val="00F4705B"/>
    <w:rsid w:val="00F4723B"/>
    <w:rsid w:val="00F4757D"/>
    <w:rsid w:val="00F479D1"/>
    <w:rsid w:val="00F47CB3"/>
    <w:rsid w:val="00F5078B"/>
    <w:rsid w:val="00F50D1C"/>
    <w:rsid w:val="00F50F24"/>
    <w:rsid w:val="00F51236"/>
    <w:rsid w:val="00F52E36"/>
    <w:rsid w:val="00F533B2"/>
    <w:rsid w:val="00F5352A"/>
    <w:rsid w:val="00F5383A"/>
    <w:rsid w:val="00F53C13"/>
    <w:rsid w:val="00F54CF0"/>
    <w:rsid w:val="00F550C6"/>
    <w:rsid w:val="00F55477"/>
    <w:rsid w:val="00F55A84"/>
    <w:rsid w:val="00F55DC6"/>
    <w:rsid w:val="00F564AA"/>
    <w:rsid w:val="00F566DD"/>
    <w:rsid w:val="00F56F0A"/>
    <w:rsid w:val="00F57226"/>
    <w:rsid w:val="00F5735C"/>
    <w:rsid w:val="00F578CA"/>
    <w:rsid w:val="00F57FA7"/>
    <w:rsid w:val="00F60AC8"/>
    <w:rsid w:val="00F61BAD"/>
    <w:rsid w:val="00F61C4A"/>
    <w:rsid w:val="00F62CF3"/>
    <w:rsid w:val="00F63803"/>
    <w:rsid w:val="00F63FBE"/>
    <w:rsid w:val="00F642F8"/>
    <w:rsid w:val="00F655C0"/>
    <w:rsid w:val="00F65C35"/>
    <w:rsid w:val="00F65FBB"/>
    <w:rsid w:val="00F6641B"/>
    <w:rsid w:val="00F665C6"/>
    <w:rsid w:val="00F672F5"/>
    <w:rsid w:val="00F70094"/>
    <w:rsid w:val="00F704D9"/>
    <w:rsid w:val="00F7080D"/>
    <w:rsid w:val="00F713D8"/>
    <w:rsid w:val="00F71835"/>
    <w:rsid w:val="00F72A58"/>
    <w:rsid w:val="00F73F8B"/>
    <w:rsid w:val="00F74345"/>
    <w:rsid w:val="00F74B35"/>
    <w:rsid w:val="00F74C89"/>
    <w:rsid w:val="00F74D4E"/>
    <w:rsid w:val="00F7504E"/>
    <w:rsid w:val="00F75162"/>
    <w:rsid w:val="00F751D1"/>
    <w:rsid w:val="00F7528B"/>
    <w:rsid w:val="00F7530B"/>
    <w:rsid w:val="00F77088"/>
    <w:rsid w:val="00F77AFA"/>
    <w:rsid w:val="00F800C5"/>
    <w:rsid w:val="00F8025A"/>
    <w:rsid w:val="00F80DFA"/>
    <w:rsid w:val="00F80FF9"/>
    <w:rsid w:val="00F8246D"/>
    <w:rsid w:val="00F829F2"/>
    <w:rsid w:val="00F856B4"/>
    <w:rsid w:val="00F856C2"/>
    <w:rsid w:val="00F85A70"/>
    <w:rsid w:val="00F85B72"/>
    <w:rsid w:val="00F85D32"/>
    <w:rsid w:val="00F85EB8"/>
    <w:rsid w:val="00F86295"/>
    <w:rsid w:val="00F874D9"/>
    <w:rsid w:val="00F8797B"/>
    <w:rsid w:val="00F9012C"/>
    <w:rsid w:val="00F90439"/>
    <w:rsid w:val="00F91080"/>
    <w:rsid w:val="00F91BBC"/>
    <w:rsid w:val="00F92DCD"/>
    <w:rsid w:val="00F9313C"/>
    <w:rsid w:val="00F93229"/>
    <w:rsid w:val="00F93A5D"/>
    <w:rsid w:val="00F93CF5"/>
    <w:rsid w:val="00F93D3D"/>
    <w:rsid w:val="00F94933"/>
    <w:rsid w:val="00F95615"/>
    <w:rsid w:val="00F96002"/>
    <w:rsid w:val="00F96AD9"/>
    <w:rsid w:val="00F97D03"/>
    <w:rsid w:val="00FA006F"/>
    <w:rsid w:val="00FA157C"/>
    <w:rsid w:val="00FA1B57"/>
    <w:rsid w:val="00FA22C3"/>
    <w:rsid w:val="00FA2942"/>
    <w:rsid w:val="00FA3100"/>
    <w:rsid w:val="00FA3190"/>
    <w:rsid w:val="00FA3700"/>
    <w:rsid w:val="00FA37D9"/>
    <w:rsid w:val="00FA384D"/>
    <w:rsid w:val="00FA443E"/>
    <w:rsid w:val="00FA4C04"/>
    <w:rsid w:val="00FA4EB5"/>
    <w:rsid w:val="00FA540F"/>
    <w:rsid w:val="00FA541C"/>
    <w:rsid w:val="00FA543C"/>
    <w:rsid w:val="00FA5B2B"/>
    <w:rsid w:val="00FA5BF2"/>
    <w:rsid w:val="00FA65E9"/>
    <w:rsid w:val="00FA66B8"/>
    <w:rsid w:val="00FA74B7"/>
    <w:rsid w:val="00FB0F47"/>
    <w:rsid w:val="00FB1147"/>
    <w:rsid w:val="00FB1513"/>
    <w:rsid w:val="00FB19AD"/>
    <w:rsid w:val="00FB1E57"/>
    <w:rsid w:val="00FB2298"/>
    <w:rsid w:val="00FB281D"/>
    <w:rsid w:val="00FB2AA6"/>
    <w:rsid w:val="00FB2C75"/>
    <w:rsid w:val="00FB3486"/>
    <w:rsid w:val="00FB376E"/>
    <w:rsid w:val="00FB3F99"/>
    <w:rsid w:val="00FB406E"/>
    <w:rsid w:val="00FB4E43"/>
    <w:rsid w:val="00FB4E80"/>
    <w:rsid w:val="00FB4FEC"/>
    <w:rsid w:val="00FB5174"/>
    <w:rsid w:val="00FB5249"/>
    <w:rsid w:val="00FB5A1D"/>
    <w:rsid w:val="00FB5BD7"/>
    <w:rsid w:val="00FB5CAD"/>
    <w:rsid w:val="00FB628D"/>
    <w:rsid w:val="00FB668A"/>
    <w:rsid w:val="00FB7275"/>
    <w:rsid w:val="00FC01C8"/>
    <w:rsid w:val="00FC04E7"/>
    <w:rsid w:val="00FC0920"/>
    <w:rsid w:val="00FC0FC4"/>
    <w:rsid w:val="00FC124C"/>
    <w:rsid w:val="00FC16B1"/>
    <w:rsid w:val="00FC24A2"/>
    <w:rsid w:val="00FC306E"/>
    <w:rsid w:val="00FC3CA1"/>
    <w:rsid w:val="00FC50CB"/>
    <w:rsid w:val="00FC518A"/>
    <w:rsid w:val="00FC533F"/>
    <w:rsid w:val="00FC5539"/>
    <w:rsid w:val="00FC5A90"/>
    <w:rsid w:val="00FC5D42"/>
    <w:rsid w:val="00FC60AA"/>
    <w:rsid w:val="00FC6471"/>
    <w:rsid w:val="00FC7D45"/>
    <w:rsid w:val="00FD02B7"/>
    <w:rsid w:val="00FD1C70"/>
    <w:rsid w:val="00FD25C9"/>
    <w:rsid w:val="00FD3EE0"/>
    <w:rsid w:val="00FD53D8"/>
    <w:rsid w:val="00FD6818"/>
    <w:rsid w:val="00FD6934"/>
    <w:rsid w:val="00FD6B95"/>
    <w:rsid w:val="00FD79DA"/>
    <w:rsid w:val="00FD7FCA"/>
    <w:rsid w:val="00FE12B6"/>
    <w:rsid w:val="00FE1937"/>
    <w:rsid w:val="00FE1BB3"/>
    <w:rsid w:val="00FE2232"/>
    <w:rsid w:val="00FE24D8"/>
    <w:rsid w:val="00FE2ABD"/>
    <w:rsid w:val="00FE2C47"/>
    <w:rsid w:val="00FE2D0B"/>
    <w:rsid w:val="00FE4807"/>
    <w:rsid w:val="00FE5860"/>
    <w:rsid w:val="00FE58C1"/>
    <w:rsid w:val="00FE5CF8"/>
    <w:rsid w:val="00FE6E2E"/>
    <w:rsid w:val="00FE78EF"/>
    <w:rsid w:val="00FF00D0"/>
    <w:rsid w:val="00FF0524"/>
    <w:rsid w:val="00FF195E"/>
    <w:rsid w:val="00FF1CEA"/>
    <w:rsid w:val="00FF2213"/>
    <w:rsid w:val="00FF22CC"/>
    <w:rsid w:val="00FF2590"/>
    <w:rsid w:val="00FF2F79"/>
    <w:rsid w:val="00FF3471"/>
    <w:rsid w:val="00FF35DB"/>
    <w:rsid w:val="00FF3B9D"/>
    <w:rsid w:val="00FF413F"/>
    <w:rsid w:val="00FF51E9"/>
    <w:rsid w:val="00FF52DE"/>
    <w:rsid w:val="00FF539C"/>
    <w:rsid w:val="00FF548E"/>
    <w:rsid w:val="00FF573C"/>
    <w:rsid w:val="00FF6133"/>
    <w:rsid w:val="00FF78AB"/>
    <w:rsid w:val="00FF7CCB"/>
    <w:rsid w:val="00FF7CE2"/>
    <w:rsid w:val="00FF7CF5"/>
    <w:rsid w:val="016F329F"/>
    <w:rsid w:val="01A302BF"/>
    <w:rsid w:val="03374734"/>
    <w:rsid w:val="042A2CDB"/>
    <w:rsid w:val="04F01EE9"/>
    <w:rsid w:val="052120A3"/>
    <w:rsid w:val="07887138"/>
    <w:rsid w:val="07B74F40"/>
    <w:rsid w:val="07BC37FE"/>
    <w:rsid w:val="0AB07BE5"/>
    <w:rsid w:val="0AB25FCF"/>
    <w:rsid w:val="0AB42632"/>
    <w:rsid w:val="0B2E788F"/>
    <w:rsid w:val="0C9B6F3C"/>
    <w:rsid w:val="0D186481"/>
    <w:rsid w:val="0E1D5359"/>
    <w:rsid w:val="0E303356"/>
    <w:rsid w:val="0E7035A8"/>
    <w:rsid w:val="0ECD4CAE"/>
    <w:rsid w:val="0F3709DE"/>
    <w:rsid w:val="101B1F6A"/>
    <w:rsid w:val="10214ED1"/>
    <w:rsid w:val="10F92125"/>
    <w:rsid w:val="121A72EA"/>
    <w:rsid w:val="12CD386A"/>
    <w:rsid w:val="144B0EEA"/>
    <w:rsid w:val="14D53D80"/>
    <w:rsid w:val="15393574"/>
    <w:rsid w:val="15520056"/>
    <w:rsid w:val="15FD5694"/>
    <w:rsid w:val="16F5513D"/>
    <w:rsid w:val="17685A6B"/>
    <w:rsid w:val="18E66A0A"/>
    <w:rsid w:val="199C0AFB"/>
    <w:rsid w:val="19B025DE"/>
    <w:rsid w:val="19D00CD3"/>
    <w:rsid w:val="1AC825A3"/>
    <w:rsid w:val="1B493C74"/>
    <w:rsid w:val="1B8731EB"/>
    <w:rsid w:val="1B8C2514"/>
    <w:rsid w:val="1BA85683"/>
    <w:rsid w:val="1C6841B9"/>
    <w:rsid w:val="1CE30269"/>
    <w:rsid w:val="1CF00880"/>
    <w:rsid w:val="1D85546D"/>
    <w:rsid w:val="1E8B34D8"/>
    <w:rsid w:val="1EA35F02"/>
    <w:rsid w:val="1F231E65"/>
    <w:rsid w:val="1F2A1189"/>
    <w:rsid w:val="20B55EB1"/>
    <w:rsid w:val="215533A8"/>
    <w:rsid w:val="21EC465B"/>
    <w:rsid w:val="220D54DF"/>
    <w:rsid w:val="22567111"/>
    <w:rsid w:val="22727F09"/>
    <w:rsid w:val="22E27EF3"/>
    <w:rsid w:val="22EC3898"/>
    <w:rsid w:val="240C4414"/>
    <w:rsid w:val="253A042E"/>
    <w:rsid w:val="25572868"/>
    <w:rsid w:val="261C0CF9"/>
    <w:rsid w:val="27150ED8"/>
    <w:rsid w:val="27281631"/>
    <w:rsid w:val="27370D00"/>
    <w:rsid w:val="27C46B92"/>
    <w:rsid w:val="27CB6172"/>
    <w:rsid w:val="285443B9"/>
    <w:rsid w:val="28C3614D"/>
    <w:rsid w:val="28DE33DE"/>
    <w:rsid w:val="29B22306"/>
    <w:rsid w:val="29D3555C"/>
    <w:rsid w:val="2BC96225"/>
    <w:rsid w:val="2C222465"/>
    <w:rsid w:val="2C504E98"/>
    <w:rsid w:val="2CFC4EAC"/>
    <w:rsid w:val="2D731B04"/>
    <w:rsid w:val="2F546D56"/>
    <w:rsid w:val="2F69785D"/>
    <w:rsid w:val="2F7A45F4"/>
    <w:rsid w:val="3026350D"/>
    <w:rsid w:val="302659E6"/>
    <w:rsid w:val="30556F21"/>
    <w:rsid w:val="30DC7C8D"/>
    <w:rsid w:val="31176535"/>
    <w:rsid w:val="31BF0628"/>
    <w:rsid w:val="32C77FBA"/>
    <w:rsid w:val="3377328A"/>
    <w:rsid w:val="338B4A07"/>
    <w:rsid w:val="35117B9B"/>
    <w:rsid w:val="36453593"/>
    <w:rsid w:val="37B43001"/>
    <w:rsid w:val="387463B2"/>
    <w:rsid w:val="389D76B7"/>
    <w:rsid w:val="38EC373D"/>
    <w:rsid w:val="38F12207"/>
    <w:rsid w:val="390037A2"/>
    <w:rsid w:val="39D0344D"/>
    <w:rsid w:val="3A1B6836"/>
    <w:rsid w:val="3A1F234D"/>
    <w:rsid w:val="3A2E03FC"/>
    <w:rsid w:val="3A30088F"/>
    <w:rsid w:val="3AA74FC7"/>
    <w:rsid w:val="3B864C65"/>
    <w:rsid w:val="3BA23236"/>
    <w:rsid w:val="3C171E0D"/>
    <w:rsid w:val="3CFE1739"/>
    <w:rsid w:val="3D8A5D30"/>
    <w:rsid w:val="3DB23FF8"/>
    <w:rsid w:val="3E38578C"/>
    <w:rsid w:val="3E43485C"/>
    <w:rsid w:val="3EA90437"/>
    <w:rsid w:val="3F86075A"/>
    <w:rsid w:val="3FE600BC"/>
    <w:rsid w:val="405006D8"/>
    <w:rsid w:val="407231D7"/>
    <w:rsid w:val="413466DE"/>
    <w:rsid w:val="41654AEA"/>
    <w:rsid w:val="41961892"/>
    <w:rsid w:val="41AC4DBD"/>
    <w:rsid w:val="456B0C78"/>
    <w:rsid w:val="46333408"/>
    <w:rsid w:val="46472C89"/>
    <w:rsid w:val="47163A10"/>
    <w:rsid w:val="48FE4F85"/>
    <w:rsid w:val="4A674051"/>
    <w:rsid w:val="4BC209A0"/>
    <w:rsid w:val="4CAF22D5"/>
    <w:rsid w:val="4CE57F2D"/>
    <w:rsid w:val="4D422183"/>
    <w:rsid w:val="4D543C3C"/>
    <w:rsid w:val="4D902CFF"/>
    <w:rsid w:val="4E326A7F"/>
    <w:rsid w:val="4E875B0D"/>
    <w:rsid w:val="4E8812BF"/>
    <w:rsid w:val="506863A4"/>
    <w:rsid w:val="507B22E7"/>
    <w:rsid w:val="50991C6D"/>
    <w:rsid w:val="512F2A1E"/>
    <w:rsid w:val="51D33CF1"/>
    <w:rsid w:val="525564B4"/>
    <w:rsid w:val="527D4F2C"/>
    <w:rsid w:val="52B7716F"/>
    <w:rsid w:val="535215C1"/>
    <w:rsid w:val="53BC41E2"/>
    <w:rsid w:val="53F1530C"/>
    <w:rsid w:val="54493839"/>
    <w:rsid w:val="551308F4"/>
    <w:rsid w:val="55563F7E"/>
    <w:rsid w:val="56206A4B"/>
    <w:rsid w:val="56CB4F97"/>
    <w:rsid w:val="57AD0935"/>
    <w:rsid w:val="58006A96"/>
    <w:rsid w:val="5961523A"/>
    <w:rsid w:val="5B12094C"/>
    <w:rsid w:val="5B563EDA"/>
    <w:rsid w:val="5B7E1C4A"/>
    <w:rsid w:val="5B9A2419"/>
    <w:rsid w:val="5BA109BC"/>
    <w:rsid w:val="5BFD3E45"/>
    <w:rsid w:val="5CBB5328"/>
    <w:rsid w:val="5DA87DE0"/>
    <w:rsid w:val="5DEB230C"/>
    <w:rsid w:val="5E282CCF"/>
    <w:rsid w:val="5F131BD1"/>
    <w:rsid w:val="5F1A5DFA"/>
    <w:rsid w:val="5F444562"/>
    <w:rsid w:val="5F8D5401"/>
    <w:rsid w:val="602045A6"/>
    <w:rsid w:val="618B04CA"/>
    <w:rsid w:val="61B84B09"/>
    <w:rsid w:val="61DA0784"/>
    <w:rsid w:val="628E4E78"/>
    <w:rsid w:val="632E7168"/>
    <w:rsid w:val="638B442C"/>
    <w:rsid w:val="640F2784"/>
    <w:rsid w:val="65907678"/>
    <w:rsid w:val="68077DF9"/>
    <w:rsid w:val="687C2595"/>
    <w:rsid w:val="697646C3"/>
    <w:rsid w:val="6AF91462"/>
    <w:rsid w:val="6B3B6493"/>
    <w:rsid w:val="6CDA3FAB"/>
    <w:rsid w:val="6D020BD5"/>
    <w:rsid w:val="6D2F7531"/>
    <w:rsid w:val="6EB02F99"/>
    <w:rsid w:val="6ED529FF"/>
    <w:rsid w:val="6F6A75EB"/>
    <w:rsid w:val="6FDD5F4A"/>
    <w:rsid w:val="707D6EAA"/>
    <w:rsid w:val="72532CA6"/>
    <w:rsid w:val="727453AB"/>
    <w:rsid w:val="729A3D44"/>
    <w:rsid w:val="732D4DBE"/>
    <w:rsid w:val="738F426F"/>
    <w:rsid w:val="759E5397"/>
    <w:rsid w:val="76C45185"/>
    <w:rsid w:val="76E729D0"/>
    <w:rsid w:val="77242776"/>
    <w:rsid w:val="77457303"/>
    <w:rsid w:val="77FF6E7B"/>
    <w:rsid w:val="788828F3"/>
    <w:rsid w:val="7A911ED0"/>
    <w:rsid w:val="7AF16E13"/>
    <w:rsid w:val="7B285865"/>
    <w:rsid w:val="7C43369E"/>
    <w:rsid w:val="7DC95843"/>
    <w:rsid w:val="7E3F1920"/>
    <w:rsid w:val="7FAE7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6" w:lineRule="auto"/>
      <w:outlineLvl w:val="0"/>
    </w:pPr>
    <w:rPr>
      <w:kern w:val="44"/>
      <w:sz w:val="44"/>
      <w:szCs w:val="44"/>
    </w:rPr>
  </w:style>
  <w:style w:type="paragraph" w:styleId="3">
    <w:name w:val="heading 2"/>
    <w:basedOn w:val="1"/>
    <w:next w:val="1"/>
    <w:link w:val="57"/>
    <w:qFormat/>
    <w:uiPriority w:val="0"/>
    <w:pPr>
      <w:keepNext/>
      <w:keepLines/>
      <w:spacing w:before="260" w:line="415" w:lineRule="auto"/>
      <w:outlineLvl w:val="1"/>
    </w:pPr>
    <w:rPr>
      <w:rFonts w:eastAsia="黑体"/>
      <w:sz w:val="32"/>
      <w:szCs w:val="32"/>
    </w:rPr>
  </w:style>
  <w:style w:type="paragraph" w:styleId="4">
    <w:name w:val="heading 3"/>
    <w:basedOn w:val="1"/>
    <w:next w:val="1"/>
    <w:link w:val="58"/>
    <w:qFormat/>
    <w:uiPriority w:val="0"/>
    <w:pPr>
      <w:keepNext/>
      <w:keepLines/>
      <w:spacing w:before="260" w:line="415" w:lineRule="auto"/>
      <w:outlineLvl w:val="2"/>
    </w:pPr>
    <w:rPr>
      <w:sz w:val="32"/>
      <w:szCs w:val="32"/>
    </w:rPr>
  </w:style>
  <w:style w:type="paragraph" w:styleId="5">
    <w:name w:val="heading 4"/>
    <w:basedOn w:val="1"/>
    <w:next w:val="6"/>
    <w:link w:val="59"/>
    <w:qFormat/>
    <w:uiPriority w:val="0"/>
    <w:pPr>
      <w:keepNext/>
      <w:keepLines/>
      <w:spacing w:before="280" w:line="374" w:lineRule="auto"/>
      <w:outlineLvl w:val="3"/>
    </w:pPr>
    <w:rPr>
      <w:rFonts w:eastAsia="黑体"/>
      <w:sz w:val="28"/>
      <w:szCs w:val="28"/>
    </w:rPr>
  </w:style>
  <w:style w:type="paragraph" w:styleId="7">
    <w:name w:val="heading 5"/>
    <w:basedOn w:val="1"/>
    <w:next w:val="1"/>
    <w:link w:val="60"/>
    <w:qFormat/>
    <w:uiPriority w:val="0"/>
    <w:pPr>
      <w:keepNext/>
      <w:keepLines/>
      <w:spacing w:before="280" w:line="374" w:lineRule="auto"/>
      <w:outlineLvl w:val="4"/>
    </w:pPr>
    <w:rPr>
      <w:sz w:val="28"/>
      <w:szCs w:val="28"/>
    </w:rPr>
  </w:style>
  <w:style w:type="paragraph" w:styleId="8">
    <w:name w:val="heading 6"/>
    <w:basedOn w:val="1"/>
    <w:next w:val="6"/>
    <w:link w:val="62"/>
    <w:qFormat/>
    <w:uiPriority w:val="0"/>
    <w:pPr>
      <w:keepNext/>
      <w:keepLines/>
      <w:spacing w:before="240" w:afterLines="0" w:line="320" w:lineRule="auto"/>
      <w:outlineLvl w:val="5"/>
    </w:pPr>
    <w:rPr>
      <w:rFonts w:eastAsia="黑体"/>
      <w:b/>
      <w:sz w:val="24"/>
      <w:szCs w:val="20"/>
    </w:rPr>
  </w:style>
  <w:style w:type="paragraph" w:styleId="9">
    <w:name w:val="heading 7"/>
    <w:basedOn w:val="1"/>
    <w:next w:val="6"/>
    <w:link w:val="63"/>
    <w:qFormat/>
    <w:uiPriority w:val="0"/>
    <w:pPr>
      <w:keepNext/>
      <w:keepLines/>
      <w:numPr>
        <w:ilvl w:val="6"/>
        <w:numId w:val="1"/>
      </w:numPr>
      <w:adjustRightInd w:val="0"/>
      <w:snapToGrid w:val="0"/>
      <w:spacing w:before="240" w:afterLines="0" w:line="319" w:lineRule="auto"/>
      <w:outlineLvl w:val="6"/>
    </w:pPr>
    <w:rPr>
      <w:rFonts w:ascii="Times New Roman" w:hAnsi="Times New Roman"/>
      <w:b/>
      <w:sz w:val="28"/>
      <w:szCs w:val="20"/>
    </w:rPr>
  </w:style>
  <w:style w:type="paragraph" w:styleId="10">
    <w:name w:val="heading 8"/>
    <w:basedOn w:val="1"/>
    <w:next w:val="6"/>
    <w:link w:val="64"/>
    <w:qFormat/>
    <w:uiPriority w:val="0"/>
    <w:pPr>
      <w:keepNext/>
      <w:keepLines/>
      <w:numPr>
        <w:ilvl w:val="7"/>
        <w:numId w:val="1"/>
      </w:numPr>
      <w:adjustRightInd w:val="0"/>
      <w:snapToGrid w:val="0"/>
      <w:spacing w:before="240" w:afterLines="0" w:line="319" w:lineRule="auto"/>
      <w:outlineLvl w:val="7"/>
    </w:pPr>
    <w:rPr>
      <w:rFonts w:eastAsia="黑体"/>
      <w:sz w:val="28"/>
      <w:szCs w:val="20"/>
    </w:rPr>
  </w:style>
  <w:style w:type="paragraph" w:styleId="11">
    <w:name w:val="heading 9"/>
    <w:basedOn w:val="1"/>
    <w:next w:val="6"/>
    <w:link w:val="65"/>
    <w:qFormat/>
    <w:uiPriority w:val="0"/>
    <w:pPr>
      <w:keepNext/>
      <w:keepLines/>
      <w:numPr>
        <w:ilvl w:val="8"/>
        <w:numId w:val="1"/>
      </w:numPr>
      <w:adjustRightInd w:val="0"/>
      <w:snapToGrid w:val="0"/>
      <w:spacing w:before="240" w:afterLines="0" w:line="319" w:lineRule="auto"/>
      <w:outlineLvl w:val="8"/>
    </w:pPr>
    <w:rPr>
      <w:rFonts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61"/>
    <w:qFormat/>
    <w:uiPriority w:val="0"/>
    <w:pPr>
      <w:ind w:firstLine="420" w:firstLineChars="200"/>
    </w:pPr>
  </w:style>
  <w:style w:type="paragraph" w:styleId="12">
    <w:name w:val="toc 7"/>
    <w:basedOn w:val="1"/>
    <w:next w:val="1"/>
    <w:qFormat/>
    <w:uiPriority w:val="0"/>
    <w:pPr>
      <w:spacing w:afterLines="0" w:line="240" w:lineRule="auto"/>
      <w:ind w:left="1260"/>
      <w:jc w:val="left"/>
    </w:pPr>
    <w:rPr>
      <w:rFonts w:ascii="Calibri" w:hAnsi="Calibri"/>
      <w:szCs w:val="21"/>
    </w:rPr>
  </w:style>
  <w:style w:type="paragraph" w:styleId="13">
    <w:name w:val="caption"/>
    <w:basedOn w:val="1"/>
    <w:next w:val="1"/>
    <w:qFormat/>
    <w:uiPriority w:val="0"/>
    <w:pPr>
      <w:widowControl/>
      <w:spacing w:afterLines="0"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2"/>
      </w:numPr>
      <w:spacing w:afterLines="0" w:line="240" w:lineRule="auto"/>
    </w:pPr>
    <w:rPr>
      <w:rFonts w:ascii="Calibri" w:hAnsi="Calibri"/>
      <w:szCs w:val="20"/>
    </w:rPr>
  </w:style>
  <w:style w:type="paragraph" w:styleId="15">
    <w:name w:val="Document Map"/>
    <w:basedOn w:val="1"/>
    <w:link w:val="90"/>
    <w:qFormat/>
    <w:uiPriority w:val="0"/>
    <w:pPr>
      <w:shd w:val="clear" w:color="auto" w:fill="000080"/>
    </w:pPr>
  </w:style>
  <w:style w:type="paragraph" w:styleId="16">
    <w:name w:val="annotation text"/>
    <w:basedOn w:val="1"/>
    <w:link w:val="69"/>
    <w:unhideWhenUsed/>
    <w:qFormat/>
    <w:uiPriority w:val="0"/>
    <w:pPr>
      <w:spacing w:afterLines="0" w:line="240" w:lineRule="auto"/>
      <w:jc w:val="left"/>
    </w:pPr>
    <w:rPr>
      <w:rFonts w:eastAsia="黑体"/>
      <w:b/>
      <w:bCs/>
      <w:kern w:val="0"/>
      <w:sz w:val="32"/>
      <w:szCs w:val="32"/>
    </w:rPr>
  </w:style>
  <w:style w:type="paragraph" w:styleId="17">
    <w:name w:val="Salutation"/>
    <w:basedOn w:val="1"/>
    <w:next w:val="1"/>
    <w:qFormat/>
    <w:uiPriority w:val="0"/>
    <w:pPr>
      <w:spacing w:afterLines="0" w:line="240" w:lineRule="auto"/>
    </w:pPr>
    <w:rPr>
      <w:rFonts w:ascii="Times New Roman" w:hAnsi="Times New Roman"/>
      <w:sz w:val="24"/>
    </w:rPr>
  </w:style>
  <w:style w:type="paragraph" w:styleId="18">
    <w:name w:val="Body Text 3"/>
    <w:basedOn w:val="1"/>
    <w:link w:val="249"/>
    <w:qFormat/>
    <w:uiPriority w:val="0"/>
    <w:pPr>
      <w:spacing w:afterLines="0" w:line="240" w:lineRule="auto"/>
    </w:pPr>
    <w:rPr>
      <w:rFonts w:ascii="Calibri" w:hAnsi="Calibri"/>
      <w:sz w:val="16"/>
      <w:szCs w:val="16"/>
    </w:rPr>
  </w:style>
  <w:style w:type="paragraph" w:styleId="19">
    <w:name w:val="Body Text"/>
    <w:basedOn w:val="1"/>
    <w:next w:val="1"/>
    <w:link w:val="99"/>
    <w:qFormat/>
    <w:uiPriority w:val="0"/>
    <w:pPr>
      <w:tabs>
        <w:tab w:val="left" w:pos="4760"/>
      </w:tabs>
      <w:jc w:val="left"/>
    </w:pPr>
  </w:style>
  <w:style w:type="paragraph" w:styleId="20">
    <w:name w:val="Body Text Indent"/>
    <w:basedOn w:val="1"/>
    <w:next w:val="21"/>
    <w:link w:val="80"/>
    <w:qFormat/>
    <w:uiPriority w:val="0"/>
    <w:pPr>
      <w:ind w:left="420" w:leftChars="200"/>
    </w:pPr>
  </w:style>
  <w:style w:type="paragraph" w:styleId="21">
    <w:name w:val="envelope return"/>
    <w:basedOn w:val="1"/>
    <w:qFormat/>
    <w:uiPriority w:val="99"/>
  </w:style>
  <w:style w:type="paragraph" w:styleId="22">
    <w:name w:val="toc 5"/>
    <w:basedOn w:val="1"/>
    <w:next w:val="1"/>
    <w:qFormat/>
    <w:uiPriority w:val="0"/>
    <w:pPr>
      <w:spacing w:afterLines="0" w:line="240" w:lineRule="auto"/>
      <w:ind w:left="840"/>
      <w:jc w:val="left"/>
    </w:pPr>
    <w:rPr>
      <w:rFonts w:ascii="Calibri" w:hAnsi="Calibri"/>
      <w:szCs w:val="21"/>
    </w:rPr>
  </w:style>
  <w:style w:type="paragraph" w:styleId="23">
    <w:name w:val="toc 3"/>
    <w:basedOn w:val="1"/>
    <w:next w:val="1"/>
    <w:qFormat/>
    <w:uiPriority w:val="0"/>
    <w:pPr>
      <w:spacing w:afterLines="0" w:line="240" w:lineRule="auto"/>
      <w:ind w:left="420"/>
      <w:jc w:val="left"/>
    </w:pPr>
    <w:rPr>
      <w:rFonts w:ascii="Calibri" w:hAnsi="Calibri"/>
      <w:i/>
      <w:iCs/>
    </w:rPr>
  </w:style>
  <w:style w:type="paragraph" w:styleId="24">
    <w:name w:val="Plain Text"/>
    <w:basedOn w:val="1"/>
    <w:link w:val="100"/>
    <w:qFormat/>
    <w:uiPriority w:val="0"/>
    <w:pPr>
      <w:spacing w:line="240" w:lineRule="auto"/>
    </w:pPr>
    <w:rPr>
      <w:rFonts w:ascii="宋体" w:hAnsi="Courier New"/>
      <w:szCs w:val="20"/>
    </w:rPr>
  </w:style>
  <w:style w:type="paragraph" w:styleId="25">
    <w:name w:val="toc 8"/>
    <w:basedOn w:val="1"/>
    <w:next w:val="1"/>
    <w:qFormat/>
    <w:uiPriority w:val="0"/>
    <w:pPr>
      <w:spacing w:afterLines="0" w:line="240" w:lineRule="auto"/>
      <w:ind w:left="1470"/>
      <w:jc w:val="left"/>
    </w:pPr>
    <w:rPr>
      <w:rFonts w:ascii="Calibri" w:hAnsi="Calibri"/>
      <w:szCs w:val="21"/>
    </w:rPr>
  </w:style>
  <w:style w:type="paragraph" w:styleId="26">
    <w:name w:val="Date"/>
    <w:basedOn w:val="1"/>
    <w:next w:val="1"/>
    <w:link w:val="122"/>
    <w:qFormat/>
    <w:uiPriority w:val="0"/>
    <w:pPr>
      <w:autoSpaceDE w:val="0"/>
      <w:autoSpaceDN w:val="0"/>
      <w:adjustRightInd w:val="0"/>
      <w:spacing w:line="240" w:lineRule="auto"/>
    </w:pPr>
    <w:rPr>
      <w:rFonts w:ascii="宋体" w:hAnsi="Times New Roman"/>
      <w:kern w:val="0"/>
      <w:sz w:val="28"/>
      <w:szCs w:val="20"/>
    </w:rPr>
  </w:style>
  <w:style w:type="paragraph" w:styleId="27">
    <w:name w:val="Body Text Indent 2"/>
    <w:basedOn w:val="1"/>
    <w:link w:val="123"/>
    <w:qFormat/>
    <w:uiPriority w:val="0"/>
    <w:pPr>
      <w:spacing w:line="360" w:lineRule="auto"/>
      <w:ind w:left="840"/>
    </w:pPr>
    <w:rPr>
      <w:rFonts w:ascii="Times New Roman" w:hAnsi="Times New Roman"/>
    </w:rPr>
  </w:style>
  <w:style w:type="paragraph" w:styleId="28">
    <w:name w:val="Balloon Text"/>
    <w:basedOn w:val="1"/>
    <w:link w:val="74"/>
    <w:qFormat/>
    <w:uiPriority w:val="0"/>
    <w:pPr>
      <w:spacing w:line="240" w:lineRule="auto"/>
    </w:pPr>
    <w:rPr>
      <w:rFonts w:ascii="宋体" w:hAnsi="宋体"/>
      <w:sz w:val="18"/>
      <w:szCs w:val="18"/>
    </w:rPr>
  </w:style>
  <w:style w:type="paragraph" w:styleId="29">
    <w:name w:val="footer"/>
    <w:basedOn w:val="1"/>
    <w:link w:val="97"/>
    <w:qFormat/>
    <w:uiPriority w:val="0"/>
    <w:pPr>
      <w:tabs>
        <w:tab w:val="center" w:pos="4153"/>
        <w:tab w:val="right" w:pos="8306"/>
      </w:tabs>
      <w:snapToGrid w:val="0"/>
      <w:spacing w:afterLines="0" w:line="240" w:lineRule="auto"/>
      <w:jc w:val="left"/>
    </w:pPr>
    <w:rPr>
      <w:rFonts w:ascii="Times New Roman" w:hAnsi="Times New Roman"/>
      <w:kern w:val="0"/>
      <w:sz w:val="18"/>
      <w:szCs w:val="20"/>
    </w:rPr>
  </w:style>
  <w:style w:type="paragraph" w:styleId="30">
    <w:name w:val="header"/>
    <w:basedOn w:val="1"/>
    <w:link w:val="72"/>
    <w:qFormat/>
    <w:uiPriority w:val="0"/>
    <w:pPr>
      <w:pBdr>
        <w:bottom w:val="single" w:color="auto" w:sz="6" w:space="1"/>
      </w:pBdr>
      <w:tabs>
        <w:tab w:val="center" w:pos="4153"/>
        <w:tab w:val="right" w:pos="8306"/>
      </w:tabs>
      <w:snapToGrid w:val="0"/>
      <w:spacing w:after="60" w:line="240" w:lineRule="auto"/>
      <w:jc w:val="center"/>
    </w:pPr>
    <w:rPr>
      <w:sz w:val="18"/>
      <w:szCs w:val="18"/>
    </w:rPr>
  </w:style>
  <w:style w:type="paragraph" w:styleId="31">
    <w:name w:val="toc 1"/>
    <w:basedOn w:val="1"/>
    <w:next w:val="1"/>
    <w:unhideWhenUsed/>
    <w:qFormat/>
    <w:uiPriority w:val="0"/>
  </w:style>
  <w:style w:type="paragraph" w:styleId="32">
    <w:name w:val="toc 4"/>
    <w:basedOn w:val="1"/>
    <w:next w:val="1"/>
    <w:qFormat/>
    <w:uiPriority w:val="0"/>
    <w:pPr>
      <w:spacing w:afterLines="0" w:line="240" w:lineRule="auto"/>
      <w:ind w:left="630"/>
      <w:jc w:val="left"/>
    </w:pPr>
    <w:rPr>
      <w:rFonts w:ascii="Calibri" w:hAnsi="Calibri"/>
      <w:szCs w:val="21"/>
    </w:rPr>
  </w:style>
  <w:style w:type="paragraph" w:styleId="33">
    <w:name w:val="footnote text"/>
    <w:basedOn w:val="1"/>
    <w:unhideWhenUsed/>
    <w:qFormat/>
    <w:uiPriority w:val="0"/>
    <w:pPr>
      <w:snapToGrid w:val="0"/>
      <w:spacing w:afterLines="0" w:line="240" w:lineRule="auto"/>
      <w:jc w:val="left"/>
    </w:pPr>
    <w:rPr>
      <w:rFonts w:ascii="Calibri" w:hAnsi="Calibri"/>
      <w:sz w:val="18"/>
      <w:szCs w:val="18"/>
    </w:rPr>
  </w:style>
  <w:style w:type="paragraph" w:styleId="34">
    <w:name w:val="toc 6"/>
    <w:basedOn w:val="1"/>
    <w:next w:val="1"/>
    <w:qFormat/>
    <w:uiPriority w:val="0"/>
    <w:pPr>
      <w:spacing w:afterLines="0" w:line="240" w:lineRule="auto"/>
      <w:ind w:left="1050"/>
      <w:jc w:val="left"/>
    </w:pPr>
    <w:rPr>
      <w:rFonts w:ascii="Calibri" w:hAnsi="Calibri"/>
      <w:szCs w:val="21"/>
    </w:rPr>
  </w:style>
  <w:style w:type="paragraph" w:styleId="35">
    <w:name w:val="Body Text Indent 3"/>
    <w:basedOn w:val="1"/>
    <w:link w:val="239"/>
    <w:qFormat/>
    <w:uiPriority w:val="0"/>
    <w:pPr>
      <w:spacing w:after="120"/>
      <w:ind w:left="420" w:leftChars="200"/>
    </w:pPr>
    <w:rPr>
      <w:sz w:val="16"/>
      <w:szCs w:val="16"/>
    </w:rPr>
  </w:style>
  <w:style w:type="paragraph" w:styleId="36">
    <w:name w:val="toc 2"/>
    <w:basedOn w:val="1"/>
    <w:next w:val="1"/>
    <w:qFormat/>
    <w:uiPriority w:val="0"/>
    <w:pPr>
      <w:tabs>
        <w:tab w:val="right" w:leader="dot" w:pos="8296"/>
      </w:tabs>
      <w:spacing w:afterLines="0" w:line="240" w:lineRule="auto"/>
      <w:ind w:left="210"/>
      <w:jc w:val="left"/>
    </w:pPr>
    <w:rPr>
      <w:rFonts w:ascii="Calibri" w:hAnsi="Calibri"/>
      <w:smallCaps/>
    </w:rPr>
  </w:style>
  <w:style w:type="paragraph" w:styleId="37">
    <w:name w:val="toc 9"/>
    <w:basedOn w:val="1"/>
    <w:next w:val="1"/>
    <w:qFormat/>
    <w:uiPriority w:val="0"/>
    <w:pPr>
      <w:spacing w:afterLines="0" w:line="240" w:lineRule="auto"/>
      <w:ind w:left="1680"/>
      <w:jc w:val="left"/>
    </w:pPr>
    <w:rPr>
      <w:rFonts w:ascii="Calibri" w:hAnsi="Calibri"/>
      <w:szCs w:val="21"/>
    </w:rPr>
  </w:style>
  <w:style w:type="paragraph" w:styleId="38">
    <w:name w:val="Body Text 2"/>
    <w:basedOn w:val="1"/>
    <w:link w:val="112"/>
    <w:qFormat/>
    <w:uiPriority w:val="0"/>
    <w:pPr>
      <w:spacing w:line="480" w:lineRule="auto"/>
    </w:pPr>
  </w:style>
  <w:style w:type="paragraph" w:styleId="39">
    <w:name w:val="HTML Preformatted"/>
    <w:basedOn w:val="1"/>
    <w:link w:val="11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240" w:lineRule="auto"/>
      <w:jc w:val="left"/>
    </w:pPr>
    <w:rPr>
      <w:rFonts w:ascii="宋体" w:hAnsi="宋体" w:cs="宋体"/>
      <w:kern w:val="0"/>
      <w:sz w:val="24"/>
    </w:rPr>
  </w:style>
  <w:style w:type="paragraph" w:styleId="40">
    <w:name w:val="Normal (Web)"/>
    <w:basedOn w:val="1"/>
    <w:qFormat/>
    <w:uiPriority w:val="99"/>
    <w:pPr>
      <w:widowControl/>
      <w:spacing w:before="100" w:beforeAutospacing="1" w:afterLines="0" w:afterAutospacing="1" w:line="240" w:lineRule="auto"/>
      <w:jc w:val="left"/>
    </w:pPr>
    <w:rPr>
      <w:rFonts w:ascii="宋体" w:hAnsi="宋体" w:cs="宋体"/>
      <w:kern w:val="0"/>
      <w:sz w:val="24"/>
    </w:rPr>
  </w:style>
  <w:style w:type="paragraph" w:styleId="41">
    <w:name w:val="index 1"/>
    <w:basedOn w:val="1"/>
    <w:next w:val="1"/>
    <w:qFormat/>
    <w:uiPriority w:val="0"/>
    <w:pPr>
      <w:spacing w:afterLines="0" w:line="360" w:lineRule="auto"/>
      <w:jc w:val="center"/>
    </w:pPr>
    <w:rPr>
      <w:rFonts w:ascii="宋体" w:hAnsi="宋体"/>
      <w:bCs/>
    </w:rPr>
  </w:style>
  <w:style w:type="paragraph" w:styleId="42">
    <w:name w:val="Title"/>
    <w:basedOn w:val="1"/>
    <w:next w:val="1"/>
    <w:link w:val="82"/>
    <w:qFormat/>
    <w:uiPriority w:val="0"/>
    <w:pPr>
      <w:spacing w:before="240" w:afterLines="0" w:line="240" w:lineRule="auto"/>
      <w:jc w:val="center"/>
      <w:outlineLvl w:val="0"/>
    </w:pPr>
    <w:rPr>
      <w:rFonts w:ascii="Cambria" w:hAnsi="Cambria"/>
      <w:b/>
      <w:bCs/>
      <w:sz w:val="32"/>
      <w:szCs w:val="32"/>
    </w:rPr>
  </w:style>
  <w:style w:type="paragraph" w:styleId="43">
    <w:name w:val="annotation subject"/>
    <w:basedOn w:val="16"/>
    <w:next w:val="16"/>
    <w:link w:val="68"/>
    <w:unhideWhenUsed/>
    <w:qFormat/>
    <w:uiPriority w:val="0"/>
    <w:rPr>
      <w:rFonts w:ascii="宋体" w:hAnsi="宋体" w:eastAsia="宋体"/>
      <w:b w:val="0"/>
      <w:bCs w:val="0"/>
      <w:sz w:val="18"/>
      <w:szCs w:val="20"/>
    </w:rPr>
  </w:style>
  <w:style w:type="paragraph" w:styleId="44">
    <w:name w:val="Body Text First Indent"/>
    <w:basedOn w:val="19"/>
    <w:link w:val="250"/>
    <w:qFormat/>
    <w:uiPriority w:val="0"/>
    <w:pPr>
      <w:tabs>
        <w:tab w:val="clear" w:pos="4760"/>
      </w:tabs>
      <w:spacing w:afterLines="0" w:line="240" w:lineRule="auto"/>
      <w:ind w:firstLine="420" w:firstLineChars="100"/>
      <w:jc w:val="both"/>
    </w:pPr>
    <w:rPr>
      <w:rFonts w:ascii="Calibri" w:hAnsi="Calibri"/>
      <w:b/>
      <w:bCs/>
    </w:rPr>
  </w:style>
  <w:style w:type="paragraph" w:styleId="45">
    <w:name w:val="Body Text First Indent 2"/>
    <w:basedOn w:val="20"/>
    <w:link w:val="251"/>
    <w:unhideWhenUsed/>
    <w:qFormat/>
    <w:uiPriority w:val="99"/>
    <w:pPr>
      <w:spacing w:after="160" w:line="360" w:lineRule="auto"/>
      <w:ind w:firstLine="420" w:firstLineChars="200"/>
    </w:pPr>
    <w:rPr>
      <w:rFonts w:ascii="Calibri" w:hAnsi="Calibri"/>
    </w:rPr>
  </w:style>
  <w:style w:type="table" w:styleId="47">
    <w:name w:val="Table Grid"/>
    <w:basedOn w:val="46"/>
    <w:qFormat/>
    <w:uiPriority w:val="59"/>
    <w:pPr>
      <w:widowControl w:val="0"/>
      <w:spacing w:afterLines="25"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unhideWhenUsed/>
    <w:qFormat/>
    <w:uiPriority w:val="0"/>
    <w:rPr>
      <w:vertAlign w:val="superscript"/>
    </w:rPr>
  </w:style>
  <w:style w:type="paragraph" w:customStyle="1" w:styleId="56">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character" w:customStyle="1" w:styleId="57">
    <w:name w:val="标题 2 字符1"/>
    <w:link w:val="3"/>
    <w:qFormat/>
    <w:uiPriority w:val="0"/>
    <w:rPr>
      <w:rFonts w:ascii="Arial" w:hAnsi="Arial" w:eastAsia="黑体"/>
      <w:kern w:val="2"/>
      <w:sz w:val="32"/>
      <w:szCs w:val="32"/>
      <w:lang w:val="en-US" w:eastAsia="zh-CN" w:bidi="ar-SA"/>
    </w:rPr>
  </w:style>
  <w:style w:type="character" w:customStyle="1" w:styleId="58">
    <w:name w:val="标题 3 字符"/>
    <w:link w:val="4"/>
    <w:qFormat/>
    <w:uiPriority w:val="0"/>
    <w:rPr>
      <w:rFonts w:ascii="Arial" w:hAnsi="Arial" w:eastAsia="宋体"/>
      <w:kern w:val="2"/>
      <w:sz w:val="32"/>
      <w:szCs w:val="32"/>
      <w:lang w:val="en-US" w:eastAsia="zh-CN" w:bidi="ar-SA"/>
    </w:rPr>
  </w:style>
  <w:style w:type="character" w:customStyle="1" w:styleId="59">
    <w:name w:val="标题 4 字符"/>
    <w:link w:val="5"/>
    <w:qFormat/>
    <w:uiPriority w:val="0"/>
    <w:rPr>
      <w:rFonts w:ascii="Arial" w:hAnsi="Arial" w:eastAsia="黑体"/>
      <w:kern w:val="2"/>
      <w:sz w:val="28"/>
      <w:szCs w:val="28"/>
    </w:rPr>
  </w:style>
  <w:style w:type="character" w:customStyle="1" w:styleId="60">
    <w:name w:val="标题 5 字符"/>
    <w:link w:val="7"/>
    <w:qFormat/>
    <w:uiPriority w:val="0"/>
    <w:rPr>
      <w:rFonts w:ascii="Arial" w:hAnsi="Arial"/>
      <w:kern w:val="2"/>
      <w:sz w:val="28"/>
      <w:szCs w:val="28"/>
    </w:rPr>
  </w:style>
  <w:style w:type="character" w:customStyle="1" w:styleId="61">
    <w:name w:val="正文缩进 字符1"/>
    <w:link w:val="6"/>
    <w:qFormat/>
    <w:uiPriority w:val="0"/>
    <w:rPr>
      <w:rFonts w:ascii="Arial" w:hAnsi="Arial" w:eastAsia="宋体"/>
      <w:kern w:val="2"/>
      <w:sz w:val="21"/>
      <w:szCs w:val="24"/>
      <w:lang w:val="en-US" w:eastAsia="zh-CN" w:bidi="ar-SA"/>
    </w:rPr>
  </w:style>
  <w:style w:type="character" w:customStyle="1" w:styleId="62">
    <w:name w:val="标题 6 字符"/>
    <w:basedOn w:val="48"/>
    <w:link w:val="8"/>
    <w:qFormat/>
    <w:uiPriority w:val="0"/>
    <w:rPr>
      <w:rFonts w:ascii="Arial" w:hAnsi="Arial" w:eastAsia="黑体"/>
      <w:b/>
      <w:kern w:val="2"/>
      <w:sz w:val="24"/>
    </w:rPr>
  </w:style>
  <w:style w:type="character" w:customStyle="1" w:styleId="63">
    <w:name w:val="标题 7 字符"/>
    <w:link w:val="9"/>
    <w:qFormat/>
    <w:uiPriority w:val="0"/>
    <w:rPr>
      <w:rFonts w:ascii="Times New Roman" w:hAnsi="Times New Roman"/>
      <w:b/>
      <w:kern w:val="2"/>
      <w:sz w:val="28"/>
    </w:rPr>
  </w:style>
  <w:style w:type="character" w:customStyle="1" w:styleId="64">
    <w:name w:val="标题 8 字符"/>
    <w:link w:val="10"/>
    <w:qFormat/>
    <w:uiPriority w:val="0"/>
    <w:rPr>
      <w:rFonts w:ascii="Arial" w:hAnsi="Arial" w:eastAsia="黑体"/>
      <w:kern w:val="2"/>
      <w:sz w:val="28"/>
    </w:rPr>
  </w:style>
  <w:style w:type="character" w:customStyle="1" w:styleId="65">
    <w:name w:val="标题 9 字符"/>
    <w:link w:val="11"/>
    <w:qFormat/>
    <w:uiPriority w:val="0"/>
    <w:rPr>
      <w:rFonts w:ascii="Arial" w:hAnsi="Arial" w:eastAsia="黑体"/>
      <w:kern w:val="2"/>
      <w:sz w:val="21"/>
    </w:rPr>
  </w:style>
  <w:style w:type="character" w:customStyle="1" w:styleId="66">
    <w:name w:val="标题 1 Char"/>
    <w:qFormat/>
    <w:uiPriority w:val="0"/>
    <w:rPr>
      <w:rFonts w:hint="eastAsia" w:ascii="宋体" w:hAnsi="宋体" w:eastAsia="黑体"/>
      <w:b/>
      <w:bCs/>
      <w:kern w:val="44"/>
      <w:sz w:val="28"/>
      <w:szCs w:val="44"/>
      <w:lang w:val="en-US" w:eastAsia="zh-CN" w:bidi="ar-SA"/>
    </w:rPr>
  </w:style>
  <w:style w:type="character" w:customStyle="1" w:styleId="67">
    <w:name w:val="tit"/>
    <w:basedOn w:val="48"/>
    <w:qFormat/>
    <w:uiPriority w:val="0"/>
  </w:style>
  <w:style w:type="character" w:customStyle="1" w:styleId="68">
    <w:name w:val="批注主题 字符"/>
    <w:link w:val="43"/>
    <w:qFormat/>
    <w:uiPriority w:val="0"/>
    <w:rPr>
      <w:rFonts w:eastAsia="宋体"/>
      <w:sz w:val="18"/>
      <w:lang w:bidi="ar-SA"/>
    </w:rPr>
  </w:style>
  <w:style w:type="character" w:customStyle="1" w:styleId="69">
    <w:name w:val="批注文字 字符1"/>
    <w:link w:val="16"/>
    <w:qFormat/>
    <w:uiPriority w:val="0"/>
    <w:rPr>
      <w:rFonts w:ascii="Arial" w:hAnsi="Arial" w:eastAsia="黑体"/>
      <w:b/>
      <w:bCs/>
      <w:sz w:val="32"/>
      <w:szCs w:val="32"/>
      <w:lang w:bidi="ar-SA"/>
    </w:rPr>
  </w:style>
  <w:style w:type="character" w:customStyle="1" w:styleId="70">
    <w:name w:val="product_title_name"/>
    <w:basedOn w:val="48"/>
    <w:qFormat/>
    <w:uiPriority w:val="0"/>
  </w:style>
  <w:style w:type="character" w:customStyle="1" w:styleId="71">
    <w:name w:val="apple-converted-space"/>
    <w:basedOn w:val="48"/>
    <w:qFormat/>
    <w:uiPriority w:val="0"/>
  </w:style>
  <w:style w:type="character" w:customStyle="1" w:styleId="72">
    <w:name w:val="页眉 字符"/>
    <w:link w:val="30"/>
    <w:qFormat/>
    <w:uiPriority w:val="0"/>
    <w:rPr>
      <w:rFonts w:ascii="Arial" w:hAnsi="Arial"/>
      <w:kern w:val="2"/>
      <w:sz w:val="18"/>
      <w:szCs w:val="18"/>
    </w:rPr>
  </w:style>
  <w:style w:type="character" w:customStyle="1" w:styleId="73">
    <w:name w:val="样式 TimesNewRoman 小四"/>
    <w:qFormat/>
    <w:uiPriority w:val="0"/>
    <w:rPr>
      <w:rFonts w:ascii="TimesNewRoman" w:hAnsi="TimesNewRoman"/>
      <w:kern w:val="0"/>
      <w:sz w:val="24"/>
    </w:rPr>
  </w:style>
  <w:style w:type="character" w:customStyle="1" w:styleId="74">
    <w:name w:val="批注框文本 字符1"/>
    <w:link w:val="28"/>
    <w:qFormat/>
    <w:uiPriority w:val="0"/>
    <w:rPr>
      <w:kern w:val="2"/>
      <w:sz w:val="18"/>
      <w:szCs w:val="18"/>
    </w:rPr>
  </w:style>
  <w:style w:type="character" w:customStyle="1" w:styleId="75">
    <w:name w:val="文档结构图 Char1"/>
    <w:semiHidden/>
    <w:qFormat/>
    <w:uiPriority w:val="0"/>
    <w:rPr>
      <w:rFonts w:ascii="Microsoft YaHei UI" w:eastAsia="Microsoft YaHei UI"/>
      <w:kern w:val="2"/>
      <w:sz w:val="18"/>
      <w:szCs w:val="18"/>
    </w:rPr>
  </w:style>
  <w:style w:type="character" w:customStyle="1" w:styleId="76">
    <w:name w:val="批注文字 Char1"/>
    <w:semiHidden/>
    <w:qFormat/>
    <w:uiPriority w:val="0"/>
    <w:rPr>
      <w:kern w:val="2"/>
      <w:sz w:val="21"/>
      <w:szCs w:val="22"/>
    </w:rPr>
  </w:style>
  <w:style w:type="character" w:customStyle="1" w:styleId="77">
    <w:name w:val="批注主题 Char1"/>
    <w:semiHidden/>
    <w:qFormat/>
    <w:uiPriority w:val="0"/>
    <w:rPr>
      <w:b/>
      <w:bCs/>
      <w:kern w:val="2"/>
      <w:sz w:val="21"/>
    </w:rPr>
  </w:style>
  <w:style w:type="character" w:customStyle="1" w:styleId="78">
    <w:name w:val="文档结构图 Char2"/>
    <w:semiHidden/>
    <w:qFormat/>
    <w:uiPriority w:val="99"/>
    <w:rPr>
      <w:rFonts w:ascii="宋体"/>
      <w:kern w:val="2"/>
      <w:sz w:val="18"/>
      <w:szCs w:val="18"/>
    </w:rPr>
  </w:style>
  <w:style w:type="character" w:customStyle="1" w:styleId="79">
    <w:name w:val="main1"/>
    <w:qFormat/>
    <w:uiPriority w:val="0"/>
    <w:rPr>
      <w:color w:val="333333"/>
      <w:spacing w:val="31680"/>
      <w:sz w:val="24"/>
      <w:szCs w:val="24"/>
    </w:rPr>
  </w:style>
  <w:style w:type="character" w:customStyle="1" w:styleId="80">
    <w:name w:val="正文文本缩进 字符"/>
    <w:link w:val="20"/>
    <w:qFormat/>
    <w:uiPriority w:val="0"/>
    <w:rPr>
      <w:rFonts w:ascii="Arial" w:hAnsi="Arial" w:eastAsia="宋体"/>
      <w:kern w:val="2"/>
      <w:sz w:val="21"/>
      <w:szCs w:val="24"/>
      <w:lang w:val="en-US" w:eastAsia="zh-CN" w:bidi="ar-SA"/>
    </w:rPr>
  </w:style>
  <w:style w:type="character" w:customStyle="1" w:styleId="81">
    <w:name w:val="Char Char8"/>
    <w:qFormat/>
    <w:uiPriority w:val="0"/>
    <w:rPr>
      <w:rFonts w:ascii="Arial" w:hAnsi="Arial" w:eastAsia="宋体"/>
      <w:kern w:val="2"/>
      <w:sz w:val="18"/>
      <w:szCs w:val="18"/>
      <w:lang w:val="en-US" w:eastAsia="zh-CN" w:bidi="ar-SA"/>
    </w:rPr>
  </w:style>
  <w:style w:type="character" w:customStyle="1" w:styleId="82">
    <w:name w:val="标题 字符"/>
    <w:link w:val="42"/>
    <w:qFormat/>
    <w:uiPriority w:val="0"/>
    <w:rPr>
      <w:rFonts w:ascii="Cambria" w:hAnsi="Cambria" w:eastAsia="宋体"/>
      <w:b/>
      <w:bCs/>
      <w:kern w:val="2"/>
      <w:sz w:val="32"/>
      <w:szCs w:val="32"/>
      <w:lang w:val="en-US" w:eastAsia="zh-CN" w:bidi="ar-SA"/>
    </w:rPr>
  </w:style>
  <w:style w:type="character" w:customStyle="1" w:styleId="83">
    <w:name w:val="样式 样式 行距: 1.5 倍行距 + 加粗 Char"/>
    <w:qFormat/>
    <w:uiPriority w:val="0"/>
    <w:rPr>
      <w:rFonts w:eastAsia="宋体" w:cs="宋体"/>
      <w:b/>
      <w:bCs/>
      <w:kern w:val="2"/>
      <w:sz w:val="21"/>
      <w:szCs w:val="24"/>
      <w:lang w:val="en-US" w:eastAsia="zh-CN" w:bidi="ar-SA"/>
    </w:rPr>
  </w:style>
  <w:style w:type="character" w:customStyle="1" w:styleId="84">
    <w:name w:val="style241"/>
    <w:qFormat/>
    <w:uiPriority w:val="0"/>
    <w:rPr>
      <w:color w:val="003399"/>
      <w:sz w:val="22"/>
      <w:szCs w:val="22"/>
    </w:rPr>
  </w:style>
  <w:style w:type="character" w:customStyle="1" w:styleId="85">
    <w:name w:val="表格 Char Char"/>
    <w:link w:val="86"/>
    <w:qFormat/>
    <w:locked/>
    <w:uiPriority w:val="99"/>
    <w:rPr>
      <w:rFonts w:eastAsia="楷体_GB2312"/>
      <w:kern w:val="2"/>
      <w:sz w:val="24"/>
    </w:rPr>
  </w:style>
  <w:style w:type="paragraph" w:customStyle="1" w:styleId="86">
    <w:name w:val="表格"/>
    <w:basedOn w:val="1"/>
    <w:next w:val="1"/>
    <w:link w:val="85"/>
    <w:qFormat/>
    <w:uiPriority w:val="99"/>
    <w:pPr>
      <w:spacing w:afterLines="0" w:line="360" w:lineRule="exact"/>
      <w:jc w:val="left"/>
    </w:pPr>
    <w:rPr>
      <w:rFonts w:ascii="宋体" w:hAnsi="宋体" w:eastAsia="楷体_GB2312"/>
      <w:sz w:val="24"/>
      <w:szCs w:val="20"/>
    </w:rPr>
  </w:style>
  <w:style w:type="character" w:customStyle="1" w:styleId="87">
    <w:name w:val="h"/>
    <w:basedOn w:val="48"/>
    <w:qFormat/>
    <w:uiPriority w:val="0"/>
  </w:style>
  <w:style w:type="character" w:customStyle="1" w:styleId="88">
    <w:name w:val="列出段落 Char"/>
    <w:link w:val="89"/>
    <w:qFormat/>
    <w:uiPriority w:val="0"/>
    <w:rPr>
      <w:rFonts w:ascii="Calibri" w:hAnsi="Calibri" w:eastAsia="宋体"/>
      <w:kern w:val="2"/>
      <w:sz w:val="21"/>
      <w:szCs w:val="22"/>
      <w:lang w:val="en-US" w:eastAsia="zh-CN" w:bidi="ar-SA"/>
    </w:rPr>
  </w:style>
  <w:style w:type="paragraph" w:customStyle="1" w:styleId="89">
    <w:name w:val="列出段落1"/>
    <w:basedOn w:val="1"/>
    <w:link w:val="88"/>
    <w:qFormat/>
    <w:uiPriority w:val="0"/>
    <w:pPr>
      <w:spacing w:afterLines="0" w:line="240" w:lineRule="auto"/>
      <w:ind w:firstLine="420" w:firstLineChars="200"/>
    </w:pPr>
    <w:rPr>
      <w:rFonts w:ascii="Calibri" w:hAnsi="Calibri"/>
      <w:szCs w:val="22"/>
    </w:rPr>
  </w:style>
  <w:style w:type="character" w:customStyle="1" w:styleId="90">
    <w:name w:val="文档结构图 字符"/>
    <w:link w:val="15"/>
    <w:qFormat/>
    <w:uiPriority w:val="0"/>
    <w:rPr>
      <w:rFonts w:ascii="Arial" w:hAnsi="Arial" w:eastAsia="宋体"/>
      <w:kern w:val="2"/>
      <w:sz w:val="21"/>
      <w:szCs w:val="24"/>
      <w:lang w:val="en-US" w:eastAsia="zh-CN" w:bidi="ar-SA"/>
    </w:rPr>
  </w:style>
  <w:style w:type="character" w:customStyle="1" w:styleId="91">
    <w:name w:val="textnorm_chn"/>
    <w:basedOn w:val="48"/>
    <w:qFormat/>
    <w:uiPriority w:val="0"/>
  </w:style>
  <w:style w:type="character" w:customStyle="1" w:styleId="92">
    <w:name w:val="lineheigh201"/>
    <w:basedOn w:val="48"/>
    <w:qFormat/>
    <w:uiPriority w:val="0"/>
  </w:style>
  <w:style w:type="character" w:customStyle="1" w:styleId="93">
    <w:name w:val="批注框文本 字符"/>
    <w:semiHidden/>
    <w:qFormat/>
    <w:uiPriority w:val="99"/>
    <w:rPr>
      <w:rFonts w:ascii="Arial" w:hAnsi="Arial" w:eastAsia="宋体" w:cs="Times New Roman"/>
      <w:sz w:val="18"/>
      <w:szCs w:val="18"/>
    </w:rPr>
  </w:style>
  <w:style w:type="character" w:customStyle="1" w:styleId="94">
    <w:name w:val="shorttext1"/>
    <w:qFormat/>
    <w:uiPriority w:val="0"/>
  </w:style>
  <w:style w:type="character" w:customStyle="1" w:styleId="95">
    <w:name w:val="style11"/>
    <w:qFormat/>
    <w:uiPriority w:val="0"/>
    <w:rPr>
      <w:sz w:val="14"/>
      <w:szCs w:val="14"/>
    </w:rPr>
  </w:style>
  <w:style w:type="character" w:customStyle="1" w:styleId="96">
    <w:name w:val="mark8"/>
    <w:qFormat/>
    <w:uiPriority w:val="0"/>
    <w:rPr>
      <w:b/>
      <w:bCs/>
      <w:sz w:val="21"/>
      <w:szCs w:val="21"/>
    </w:rPr>
  </w:style>
  <w:style w:type="character" w:customStyle="1" w:styleId="97">
    <w:name w:val="页脚 字符"/>
    <w:link w:val="29"/>
    <w:qFormat/>
    <w:uiPriority w:val="0"/>
    <w:rPr>
      <w:rFonts w:ascii="Times New Roman" w:hAnsi="Times New Roman" w:eastAsia="宋体" w:cs="Times New Roman"/>
      <w:sz w:val="18"/>
      <w:szCs w:val="20"/>
    </w:rPr>
  </w:style>
  <w:style w:type="character" w:customStyle="1" w:styleId="98">
    <w:name w:val="批注文字 字符"/>
    <w:semiHidden/>
    <w:qFormat/>
    <w:uiPriority w:val="99"/>
    <w:rPr>
      <w:rFonts w:ascii="Arial" w:hAnsi="Arial" w:eastAsia="宋体" w:cs="Times New Roman"/>
      <w:szCs w:val="24"/>
    </w:rPr>
  </w:style>
  <w:style w:type="character" w:customStyle="1" w:styleId="99">
    <w:name w:val="正文文本 字符"/>
    <w:link w:val="19"/>
    <w:qFormat/>
    <w:uiPriority w:val="0"/>
    <w:rPr>
      <w:rFonts w:ascii="Arial" w:hAnsi="Arial" w:eastAsia="宋体"/>
      <w:kern w:val="2"/>
      <w:sz w:val="21"/>
      <w:szCs w:val="24"/>
      <w:lang w:val="en-US" w:eastAsia="zh-CN" w:bidi="ar-SA"/>
    </w:rPr>
  </w:style>
  <w:style w:type="character" w:customStyle="1" w:styleId="100">
    <w:name w:val="纯文本 字符"/>
    <w:link w:val="24"/>
    <w:qFormat/>
    <w:uiPriority w:val="0"/>
    <w:rPr>
      <w:rFonts w:ascii="宋体" w:hAnsi="Courier New" w:eastAsia="宋体"/>
      <w:kern w:val="2"/>
      <w:sz w:val="21"/>
      <w:lang w:val="en-US" w:eastAsia="zh-CN" w:bidi="ar-SA"/>
    </w:rPr>
  </w:style>
  <w:style w:type="character" w:customStyle="1" w:styleId="101">
    <w:name w:val="Char Char9"/>
    <w:qFormat/>
    <w:uiPriority w:val="0"/>
    <w:rPr>
      <w:rFonts w:ascii="宋体" w:hAnsi="Courier New" w:eastAsia="宋体" w:cs="Times New Roman"/>
      <w:szCs w:val="20"/>
    </w:rPr>
  </w:style>
  <w:style w:type="character" w:customStyle="1" w:styleId="102">
    <w:name w:val="apple-style-span"/>
    <w:basedOn w:val="48"/>
    <w:qFormat/>
    <w:uiPriority w:val="0"/>
  </w:style>
  <w:style w:type="character" w:customStyle="1" w:styleId="103">
    <w:name w:val="正文非缩进 Char1"/>
    <w:qFormat/>
    <w:uiPriority w:val="0"/>
    <w:rPr>
      <w:rFonts w:eastAsia="宋体"/>
      <w:kern w:val="2"/>
      <w:sz w:val="21"/>
      <w:lang w:val="en-US" w:eastAsia="zh-CN" w:bidi="ar-SA"/>
    </w:rPr>
  </w:style>
  <w:style w:type="character" w:customStyle="1" w:styleId="104">
    <w:name w:val="点 Char"/>
    <w:link w:val="105"/>
    <w:qFormat/>
    <w:uiPriority w:val="0"/>
    <w:rPr>
      <w:b/>
      <w:sz w:val="24"/>
      <w:szCs w:val="24"/>
    </w:rPr>
  </w:style>
  <w:style w:type="paragraph" w:customStyle="1" w:styleId="105">
    <w:name w:val="点"/>
    <w:basedOn w:val="1"/>
    <w:link w:val="104"/>
    <w:qFormat/>
    <w:uiPriority w:val="0"/>
    <w:pPr>
      <w:spacing w:afterLines="0" w:line="240" w:lineRule="auto"/>
    </w:pPr>
    <w:rPr>
      <w:rFonts w:ascii="宋体" w:hAnsi="宋体"/>
      <w:b/>
      <w:kern w:val="0"/>
      <w:sz w:val="24"/>
    </w:rPr>
  </w:style>
  <w:style w:type="character" w:customStyle="1" w:styleId="106">
    <w:name w:val="页脚 Char1"/>
    <w:qFormat/>
    <w:uiPriority w:val="99"/>
    <w:rPr>
      <w:rFonts w:ascii="Arial" w:hAnsi="Arial"/>
      <w:kern w:val="2"/>
      <w:sz w:val="18"/>
      <w:szCs w:val="18"/>
    </w:rPr>
  </w:style>
  <w:style w:type="character" w:customStyle="1" w:styleId="107">
    <w:name w:val="批注框文本 Char1"/>
    <w:semiHidden/>
    <w:qFormat/>
    <w:uiPriority w:val="0"/>
    <w:rPr>
      <w:kern w:val="2"/>
      <w:sz w:val="18"/>
      <w:szCs w:val="18"/>
    </w:rPr>
  </w:style>
  <w:style w:type="character" w:customStyle="1" w:styleId="108">
    <w:name w:val="页眉 Char2"/>
    <w:semiHidden/>
    <w:qFormat/>
    <w:uiPriority w:val="0"/>
    <w:rPr>
      <w:kern w:val="2"/>
      <w:sz w:val="18"/>
      <w:szCs w:val="18"/>
    </w:rPr>
  </w:style>
  <w:style w:type="character" w:customStyle="1" w:styleId="109">
    <w:name w:val="页眉 Char1"/>
    <w:qFormat/>
    <w:uiPriority w:val="99"/>
    <w:rPr>
      <w:kern w:val="2"/>
      <w:sz w:val="18"/>
      <w:szCs w:val="18"/>
    </w:rPr>
  </w:style>
  <w:style w:type="character" w:customStyle="1" w:styleId="110">
    <w:name w:val="批注主题 Char2"/>
    <w:semiHidden/>
    <w:qFormat/>
    <w:uiPriority w:val="99"/>
    <w:rPr>
      <w:b/>
      <w:bCs/>
      <w:kern w:val="2"/>
      <w:sz w:val="21"/>
      <w:szCs w:val="22"/>
    </w:rPr>
  </w:style>
  <w:style w:type="paragraph" w:customStyle="1" w:styleId="111">
    <w:name w:val="目录 31"/>
    <w:basedOn w:val="1"/>
    <w:next w:val="1"/>
    <w:qFormat/>
    <w:uiPriority w:val="39"/>
    <w:pPr>
      <w:ind w:left="840" w:leftChars="400"/>
    </w:pPr>
  </w:style>
  <w:style w:type="character" w:customStyle="1" w:styleId="112">
    <w:name w:val="正文文本 2 字符"/>
    <w:link w:val="38"/>
    <w:qFormat/>
    <w:uiPriority w:val="0"/>
    <w:rPr>
      <w:rFonts w:ascii="Arial" w:hAnsi="Arial"/>
      <w:kern w:val="2"/>
      <w:sz w:val="21"/>
      <w:szCs w:val="24"/>
    </w:rPr>
  </w:style>
  <w:style w:type="paragraph" w:customStyle="1" w:styleId="113">
    <w:name w:val="Char"/>
    <w:basedOn w:val="1"/>
    <w:qFormat/>
    <w:uiPriority w:val="0"/>
    <w:pPr>
      <w:widowControl/>
      <w:spacing w:afterLines="0" w:line="240" w:lineRule="exact"/>
      <w:jc w:val="left"/>
    </w:pPr>
    <w:rPr>
      <w:rFonts w:ascii="Verdana" w:hAnsi="Verdana" w:eastAsia="仿宋_GB2312"/>
      <w:kern w:val="0"/>
      <w:sz w:val="24"/>
      <w:szCs w:val="20"/>
      <w:lang w:eastAsia="en-US"/>
    </w:rPr>
  </w:style>
  <w:style w:type="character" w:customStyle="1" w:styleId="114">
    <w:name w:val="HTML 预设格式 字符"/>
    <w:link w:val="39"/>
    <w:qFormat/>
    <w:uiPriority w:val="0"/>
    <w:rPr>
      <w:rFonts w:cs="宋体"/>
      <w:sz w:val="24"/>
      <w:szCs w:val="24"/>
    </w:rPr>
  </w:style>
  <w:style w:type="paragraph" w:customStyle="1" w:styleId="115">
    <w:name w:val="目录 11"/>
    <w:basedOn w:val="1"/>
    <w:next w:val="1"/>
    <w:unhideWhenUsed/>
    <w:qFormat/>
    <w:uiPriority w:val="39"/>
    <w:pPr>
      <w:tabs>
        <w:tab w:val="right" w:leader="dot" w:pos="8296"/>
      </w:tabs>
      <w:spacing w:afterLines="0" w:line="360" w:lineRule="auto"/>
    </w:pPr>
    <w:rPr>
      <w:rFonts w:ascii="宋体" w:hAnsi="宋体"/>
      <w:sz w:val="24"/>
      <w:szCs w:val="32"/>
    </w:rPr>
  </w:style>
  <w:style w:type="paragraph" w:customStyle="1" w:styleId="116">
    <w:name w:val="2册标题1"/>
    <w:basedOn w:val="1"/>
    <w:next w:val="1"/>
    <w:qFormat/>
    <w:uiPriority w:val="0"/>
    <w:pPr>
      <w:spacing w:beforeLines="50" w:afterLines="50"/>
      <w:jc w:val="center"/>
      <w:outlineLvl w:val="0"/>
    </w:pPr>
    <w:rPr>
      <w:rFonts w:eastAsia="黑体"/>
      <w:sz w:val="32"/>
      <w:szCs w:val="32"/>
    </w:rPr>
  </w:style>
  <w:style w:type="paragraph" w:customStyle="1" w:styleId="11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b/>
      <w:bCs/>
      <w:kern w:val="0"/>
      <w:sz w:val="20"/>
      <w:szCs w:val="20"/>
    </w:rPr>
  </w:style>
  <w:style w:type="paragraph" w:customStyle="1" w:styleId="118">
    <w:name w:val="Char Char Char Char"/>
    <w:basedOn w:val="1"/>
    <w:qFormat/>
    <w:uiPriority w:val="0"/>
    <w:pPr>
      <w:widowControl/>
      <w:spacing w:line="400" w:lineRule="exact"/>
      <w:jc w:val="center"/>
    </w:pPr>
    <w:rPr>
      <w:rFonts w:ascii="Verdana" w:hAnsi="Verdana"/>
      <w:kern w:val="0"/>
      <w:szCs w:val="20"/>
      <w:lang w:eastAsia="en-US"/>
    </w:rPr>
  </w:style>
  <w:style w:type="paragraph" w:customStyle="1" w:styleId="119">
    <w:name w:val="1册标题2"/>
    <w:basedOn w:val="1"/>
    <w:next w:val="1"/>
    <w:qFormat/>
    <w:uiPriority w:val="0"/>
    <w:pPr>
      <w:adjustRightInd w:val="0"/>
      <w:spacing w:beforeLines="50" w:afterLines="50"/>
      <w:jc w:val="center"/>
      <w:outlineLvl w:val="1"/>
    </w:pPr>
    <w:rPr>
      <w:rFonts w:eastAsia="黑体"/>
      <w:bCs/>
      <w:kern w:val="0"/>
      <w:sz w:val="32"/>
    </w:rPr>
  </w:style>
  <w:style w:type="paragraph" w:customStyle="1" w:styleId="120">
    <w:name w:val="font12"/>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121">
    <w:name w:val="目录 21"/>
    <w:basedOn w:val="1"/>
    <w:next w:val="1"/>
    <w:qFormat/>
    <w:uiPriority w:val="39"/>
    <w:pPr>
      <w:ind w:left="420" w:leftChars="200"/>
    </w:pPr>
  </w:style>
  <w:style w:type="character" w:customStyle="1" w:styleId="122">
    <w:name w:val="日期 字符"/>
    <w:link w:val="26"/>
    <w:qFormat/>
    <w:uiPriority w:val="0"/>
    <w:rPr>
      <w:rFonts w:hAnsi="Times New Roman"/>
      <w:sz w:val="28"/>
    </w:rPr>
  </w:style>
  <w:style w:type="character" w:customStyle="1" w:styleId="123">
    <w:name w:val="正文文本缩进 2 字符"/>
    <w:link w:val="27"/>
    <w:qFormat/>
    <w:uiPriority w:val="0"/>
    <w:rPr>
      <w:rFonts w:ascii="Times New Roman" w:hAnsi="Times New Roman"/>
      <w:kern w:val="2"/>
      <w:sz w:val="21"/>
      <w:szCs w:val="24"/>
    </w:rPr>
  </w:style>
  <w:style w:type="paragraph" w:customStyle="1" w:styleId="124">
    <w:name w:val="xl76"/>
    <w:basedOn w:val="1"/>
    <w:qFormat/>
    <w:uiPriority w:val="0"/>
    <w:pPr>
      <w:widowControl/>
      <w:shd w:val="clear" w:color="000000" w:fill="F2F2F2"/>
      <w:spacing w:before="100" w:beforeAutospacing="1" w:afterLines="0" w:afterAutospacing="1" w:line="240" w:lineRule="auto"/>
      <w:jc w:val="left"/>
    </w:pPr>
    <w:rPr>
      <w:rFonts w:ascii="宋体" w:hAnsi="宋体" w:cs="宋体"/>
      <w:kern w:val="0"/>
      <w:sz w:val="24"/>
    </w:rPr>
  </w:style>
  <w:style w:type="paragraph" w:customStyle="1" w:styleId="125">
    <w:name w:val="font8"/>
    <w:basedOn w:val="1"/>
    <w:qFormat/>
    <w:uiPriority w:val="0"/>
    <w:pPr>
      <w:widowControl/>
      <w:spacing w:before="100" w:beforeAutospacing="1" w:afterLines="0" w:afterAutospacing="1" w:line="240" w:lineRule="auto"/>
      <w:jc w:val="left"/>
    </w:pPr>
    <w:rPr>
      <w:rFonts w:ascii="宋体" w:hAnsi="宋体" w:cs="宋体"/>
      <w:kern w:val="0"/>
      <w:sz w:val="18"/>
      <w:szCs w:val="18"/>
    </w:rPr>
  </w:style>
  <w:style w:type="paragraph" w:customStyle="1" w:styleId="126">
    <w:name w:val="Char3"/>
    <w:basedOn w:val="1"/>
    <w:qFormat/>
    <w:uiPriority w:val="0"/>
    <w:pPr>
      <w:widowControl/>
      <w:spacing w:afterLines="0" w:line="240" w:lineRule="exact"/>
      <w:jc w:val="left"/>
    </w:pPr>
    <w:rPr>
      <w:rFonts w:ascii="Calibri" w:hAnsi="Calibri"/>
      <w:szCs w:val="22"/>
    </w:rPr>
  </w:style>
  <w:style w:type="paragraph" w:customStyle="1" w:styleId="127">
    <w:name w:val="font11"/>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128">
    <w:name w:val="font0"/>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129">
    <w:name w:val="font10"/>
    <w:basedOn w:val="1"/>
    <w:qFormat/>
    <w:uiPriority w:val="0"/>
    <w:pPr>
      <w:widowControl/>
      <w:spacing w:before="100" w:beforeAutospacing="1" w:afterLines="0" w:afterAutospacing="1" w:line="240" w:lineRule="auto"/>
      <w:jc w:val="left"/>
    </w:pPr>
    <w:rPr>
      <w:rFonts w:ascii="宋体" w:hAnsi="宋体" w:cs="宋体"/>
      <w:kern w:val="0"/>
      <w:sz w:val="18"/>
      <w:szCs w:val="18"/>
    </w:rPr>
  </w:style>
  <w:style w:type="paragraph" w:customStyle="1" w:styleId="130">
    <w:name w:val="font7"/>
    <w:basedOn w:val="1"/>
    <w:qFormat/>
    <w:uiPriority w:val="0"/>
    <w:pPr>
      <w:widowControl/>
      <w:spacing w:before="100" w:beforeAutospacing="1" w:afterLines="0" w:afterAutospacing="1" w:line="240" w:lineRule="auto"/>
      <w:jc w:val="left"/>
    </w:pPr>
    <w:rPr>
      <w:rFonts w:ascii="宋体" w:hAnsi="宋体" w:cs="宋体"/>
      <w:kern w:val="0"/>
      <w:sz w:val="20"/>
      <w:szCs w:val="20"/>
    </w:rPr>
  </w:style>
  <w:style w:type="paragraph" w:customStyle="1" w:styleId="1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b/>
      <w:bCs/>
      <w:color w:val="FF0000"/>
      <w:kern w:val="0"/>
      <w:sz w:val="20"/>
      <w:szCs w:val="20"/>
    </w:rPr>
  </w:style>
  <w:style w:type="paragraph" w:customStyle="1" w:styleId="132">
    <w:name w:val="font9"/>
    <w:basedOn w:val="1"/>
    <w:qFormat/>
    <w:uiPriority w:val="0"/>
    <w:pPr>
      <w:widowControl/>
      <w:spacing w:before="100" w:beforeAutospacing="1" w:afterLines="0" w:afterAutospacing="1" w:line="240" w:lineRule="auto"/>
      <w:jc w:val="left"/>
    </w:pPr>
    <w:rPr>
      <w:rFonts w:ascii="宋体" w:hAnsi="宋体" w:cs="宋体"/>
      <w:kern w:val="0"/>
      <w:sz w:val="20"/>
      <w:szCs w:val="20"/>
    </w:rPr>
  </w:style>
  <w:style w:type="paragraph" w:customStyle="1" w:styleId="13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b/>
      <w:bCs/>
      <w:color w:val="FF0000"/>
      <w:kern w:val="0"/>
      <w:sz w:val="24"/>
    </w:rPr>
  </w:style>
  <w:style w:type="paragraph" w:customStyle="1" w:styleId="134">
    <w:name w:val="样式 宋体 小四 行距: 1.5 倍行距"/>
    <w:basedOn w:val="5"/>
    <w:qFormat/>
    <w:uiPriority w:val="0"/>
    <w:pPr>
      <w:spacing w:afterLines="0" w:line="360" w:lineRule="auto"/>
    </w:pPr>
    <w:rPr>
      <w:rFonts w:ascii="宋体" w:hAnsi="宋体" w:eastAsia="宋体"/>
      <w:bCs/>
      <w:sz w:val="24"/>
      <w:szCs w:val="20"/>
    </w:rPr>
  </w:style>
  <w:style w:type="paragraph" w:customStyle="1" w:styleId="13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right"/>
      <w:textAlignment w:val="center"/>
    </w:pPr>
    <w:rPr>
      <w:rFonts w:ascii="宋体" w:hAnsi="宋体" w:cs="宋体"/>
      <w:kern w:val="0"/>
      <w:sz w:val="20"/>
      <w:szCs w:val="20"/>
    </w:rPr>
  </w:style>
  <w:style w:type="paragraph" w:customStyle="1" w:styleId="1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彩色列表 - 强调文字颜色 11"/>
    <w:basedOn w:val="1"/>
    <w:qFormat/>
    <w:uiPriority w:val="0"/>
    <w:pPr>
      <w:spacing w:afterLines="0" w:line="240" w:lineRule="auto"/>
      <w:ind w:firstLine="420" w:firstLineChars="200"/>
    </w:pPr>
    <w:rPr>
      <w:rFonts w:ascii="Calibri" w:hAnsi="Calibri"/>
      <w:szCs w:val="22"/>
    </w:rPr>
  </w:style>
  <w:style w:type="paragraph" w:customStyle="1" w:styleId="138">
    <w:name w:val="默认段落字体 Para Char Char Char Char Char Char Char"/>
    <w:basedOn w:val="1"/>
    <w:qFormat/>
    <w:uiPriority w:val="0"/>
    <w:pPr>
      <w:spacing w:afterLines="0" w:line="240" w:lineRule="auto"/>
    </w:pPr>
    <w:rPr>
      <w:rFonts w:ascii="Tahoma" w:hAnsi="Tahoma"/>
      <w:sz w:val="24"/>
      <w:szCs w:val="20"/>
    </w:rPr>
  </w:style>
  <w:style w:type="paragraph" w:customStyle="1" w:styleId="13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center"/>
      <w:textAlignment w:val="center"/>
    </w:pPr>
    <w:rPr>
      <w:rFonts w:ascii="宋体" w:hAnsi="宋体" w:cs="宋体"/>
      <w:kern w:val="0"/>
      <w:sz w:val="20"/>
      <w:szCs w:val="20"/>
    </w:rPr>
  </w:style>
  <w:style w:type="paragraph" w:customStyle="1" w:styleId="140">
    <w:name w:val="Char5 Char Char Char Char Char Char"/>
    <w:basedOn w:val="1"/>
    <w:qFormat/>
    <w:uiPriority w:val="0"/>
    <w:pPr>
      <w:widowControl/>
      <w:spacing w:afterLines="0" w:line="240" w:lineRule="exact"/>
      <w:jc w:val="left"/>
    </w:pPr>
    <w:rPr>
      <w:rFonts w:ascii="Verdana" w:hAnsi="Verdana" w:eastAsia="仿宋_GB2312"/>
      <w:kern w:val="0"/>
      <w:sz w:val="24"/>
      <w:szCs w:val="20"/>
      <w:lang w:eastAsia="en-US"/>
    </w:rPr>
  </w:style>
  <w:style w:type="paragraph" w:customStyle="1" w:styleId="141">
    <w:name w:val="1册标题3"/>
    <w:basedOn w:val="1"/>
    <w:next w:val="1"/>
    <w:qFormat/>
    <w:uiPriority w:val="0"/>
    <w:pPr>
      <w:keepNext/>
      <w:keepLines/>
      <w:adjustRightInd w:val="0"/>
      <w:spacing w:beforeLines="50" w:afterLines="50"/>
      <w:outlineLvl w:val="2"/>
    </w:pPr>
    <w:rPr>
      <w:rFonts w:eastAsia="黑体"/>
      <w:kern w:val="0"/>
      <w:sz w:val="30"/>
      <w:szCs w:val="20"/>
    </w:rPr>
  </w:style>
  <w:style w:type="paragraph" w:customStyle="1" w:styleId="142">
    <w:name w:val="样式 行距: 1.5 倍行距"/>
    <w:basedOn w:val="1"/>
    <w:qFormat/>
    <w:uiPriority w:val="0"/>
    <w:pPr>
      <w:spacing w:afterLines="0" w:line="240" w:lineRule="auto"/>
    </w:pPr>
    <w:rPr>
      <w:rFonts w:ascii="Times New Roman" w:hAnsi="Times New Roman" w:cs="宋体"/>
    </w:rPr>
  </w:style>
  <w:style w:type="paragraph" w:customStyle="1" w:styleId="143">
    <w:name w:val="文档正文"/>
    <w:basedOn w:val="1"/>
    <w:qFormat/>
    <w:uiPriority w:val="0"/>
    <w:pPr>
      <w:spacing w:line="360" w:lineRule="auto"/>
    </w:pPr>
    <w:rPr>
      <w:rFonts w:cs="Arial"/>
      <w:bCs/>
    </w:rPr>
  </w:style>
  <w:style w:type="paragraph" w:customStyle="1" w:styleId="144">
    <w:name w:val="样式 行距: 1.5 倍行距1"/>
    <w:basedOn w:val="1"/>
    <w:qFormat/>
    <w:uiPriority w:val="0"/>
    <w:pPr>
      <w:spacing w:afterLines="0" w:line="240" w:lineRule="auto"/>
    </w:pPr>
    <w:rPr>
      <w:rFonts w:ascii="Times New Roman" w:hAnsi="Times New Roman" w:cs="宋体"/>
      <w:szCs w:val="20"/>
    </w:rPr>
  </w:style>
  <w:style w:type="paragraph" w:customStyle="1" w:styleId="145">
    <w:name w:val="默认段落字体 Para Char Char Char Char"/>
    <w:basedOn w:val="1"/>
    <w:qFormat/>
    <w:uiPriority w:val="0"/>
    <w:pPr>
      <w:spacing w:line="240" w:lineRule="auto"/>
    </w:pPr>
    <w:rPr>
      <w:rFonts w:ascii="Times New Roman" w:hAnsi="Times New Roman"/>
    </w:rPr>
  </w:style>
  <w:style w:type="paragraph" w:customStyle="1" w:styleId="146">
    <w:name w:val="样式 标题 3列表编号3h33rd level + 段前: 1 行"/>
    <w:basedOn w:val="4"/>
    <w:qFormat/>
    <w:uiPriority w:val="0"/>
    <w:pPr>
      <w:keepNext w:val="0"/>
      <w:keepLines w:val="0"/>
      <w:adjustRightInd w:val="0"/>
      <w:spacing w:beforeLines="100" w:afterLines="50" w:line="360" w:lineRule="auto"/>
    </w:pPr>
    <w:rPr>
      <w:rFonts w:ascii="宋体" w:hAnsi="Times New Roman"/>
      <w:b/>
      <w:kern w:val="0"/>
      <w:sz w:val="21"/>
      <w:szCs w:val="20"/>
    </w:rPr>
  </w:style>
  <w:style w:type="paragraph" w:customStyle="1" w:styleId="147">
    <w:name w:val="Char Char"/>
    <w:basedOn w:val="1"/>
    <w:qFormat/>
    <w:uiPriority w:val="0"/>
    <w:pPr>
      <w:widowControl/>
      <w:spacing w:afterLines="0" w:line="240" w:lineRule="exact"/>
      <w:jc w:val="left"/>
    </w:pPr>
    <w:rPr>
      <w:rFonts w:ascii="Verdana" w:hAnsi="Verdana" w:eastAsia="仿宋_GB2312"/>
      <w:kern w:val="0"/>
      <w:sz w:val="24"/>
      <w:szCs w:val="20"/>
      <w:lang w:eastAsia="en-US"/>
    </w:rPr>
  </w:style>
  <w:style w:type="paragraph" w:customStyle="1" w:styleId="14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left"/>
      <w:textAlignment w:val="center"/>
    </w:pPr>
    <w:rPr>
      <w:rFonts w:ascii="华文细黑" w:hAnsi="华文细黑" w:eastAsia="华文细黑" w:cs="宋体"/>
      <w:kern w:val="0"/>
      <w:sz w:val="22"/>
      <w:szCs w:val="22"/>
    </w:rPr>
  </w:style>
  <w:style w:type="paragraph" w:customStyle="1" w:styleId="149">
    <w:name w:val="font13"/>
    <w:basedOn w:val="1"/>
    <w:qFormat/>
    <w:uiPriority w:val="0"/>
    <w:pPr>
      <w:widowControl/>
      <w:spacing w:before="100" w:beforeAutospacing="1" w:afterLines="0" w:afterAutospacing="1" w:line="240" w:lineRule="auto"/>
      <w:jc w:val="left"/>
    </w:pPr>
    <w:rPr>
      <w:rFonts w:ascii="Times New Roman" w:hAnsi="Times New Roman"/>
      <w:kern w:val="0"/>
      <w:szCs w:val="21"/>
    </w:rPr>
  </w:style>
  <w:style w:type="paragraph" w:customStyle="1" w:styleId="150">
    <w:name w:val="2册标题3"/>
    <w:basedOn w:val="1"/>
    <w:next w:val="1"/>
    <w:qFormat/>
    <w:uiPriority w:val="0"/>
    <w:pPr>
      <w:spacing w:beforeLines="50" w:afterLines="50"/>
      <w:ind w:left="210" w:leftChars="100"/>
      <w:jc w:val="center"/>
      <w:outlineLvl w:val="2"/>
    </w:pPr>
    <w:rPr>
      <w:rFonts w:ascii="宋体" w:hAnsi="宋体" w:cs="Arial"/>
      <w:b/>
      <w:bCs/>
      <w:sz w:val="30"/>
      <w:szCs w:val="28"/>
    </w:rPr>
  </w:style>
  <w:style w:type="paragraph" w:customStyle="1" w:styleId="151">
    <w:name w:val="2册标题4"/>
    <w:basedOn w:val="1"/>
    <w:next w:val="1"/>
    <w:qFormat/>
    <w:uiPriority w:val="0"/>
    <w:pPr>
      <w:spacing w:beforeLines="50" w:afterLines="50"/>
      <w:ind w:left="420" w:leftChars="200"/>
      <w:outlineLvl w:val="3"/>
    </w:pPr>
    <w:rPr>
      <w:rFonts w:eastAsia="幼圆" w:cs="Arial"/>
      <w:b/>
      <w:sz w:val="24"/>
    </w:rPr>
  </w:style>
  <w:style w:type="paragraph" w:customStyle="1" w:styleId="15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Lines="0" w:afterAutospacing="1" w:line="240" w:lineRule="auto"/>
      <w:jc w:val="center"/>
      <w:textAlignment w:val="center"/>
    </w:pPr>
    <w:rPr>
      <w:rFonts w:ascii="宋体" w:hAnsi="宋体" w:cs="宋体"/>
      <w:b/>
      <w:bCs/>
      <w:color w:val="FF0000"/>
      <w:kern w:val="0"/>
      <w:sz w:val="20"/>
      <w:szCs w:val="20"/>
    </w:rPr>
  </w:style>
  <w:style w:type="paragraph" w:customStyle="1" w:styleId="153">
    <w:name w:val="USE 1"/>
    <w:basedOn w:val="1"/>
    <w:qFormat/>
    <w:uiPriority w:val="0"/>
    <w:pPr>
      <w:spacing w:afterLines="0" w:line="200" w:lineRule="atLeast"/>
      <w:jc w:val="left"/>
    </w:pPr>
    <w:rPr>
      <w:rFonts w:ascii="宋体" w:hAnsi="宋体"/>
      <w:b/>
      <w:sz w:val="24"/>
      <w:szCs w:val="28"/>
    </w:rPr>
  </w:style>
  <w:style w:type="paragraph" w:customStyle="1" w:styleId="15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right"/>
      <w:textAlignment w:val="center"/>
    </w:pPr>
    <w:rPr>
      <w:rFonts w:ascii="宋体" w:hAnsi="宋体" w:cs="宋体"/>
      <w:kern w:val="0"/>
      <w:sz w:val="20"/>
      <w:szCs w:val="20"/>
    </w:rPr>
  </w:style>
  <w:style w:type="paragraph" w:customStyle="1" w:styleId="155">
    <w:name w:val="Char5 Char Char Char Char Char Char1"/>
    <w:basedOn w:val="1"/>
    <w:qFormat/>
    <w:uiPriority w:val="0"/>
    <w:pPr>
      <w:widowControl/>
      <w:spacing w:afterLines="0" w:line="240" w:lineRule="exact"/>
      <w:jc w:val="left"/>
    </w:pPr>
    <w:rPr>
      <w:rFonts w:ascii="Verdana" w:hAnsi="Verdana" w:eastAsia="仿宋_GB2312"/>
      <w:kern w:val="0"/>
      <w:sz w:val="24"/>
      <w:szCs w:val="20"/>
      <w:lang w:eastAsia="en-US"/>
    </w:rPr>
  </w:style>
  <w:style w:type="paragraph" w:customStyle="1" w:styleId="15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center"/>
      <w:textAlignment w:val="center"/>
    </w:pPr>
    <w:rPr>
      <w:rFonts w:ascii="宋体" w:hAnsi="宋体" w:cs="宋体"/>
      <w:b/>
      <w:bCs/>
      <w:kern w:val="0"/>
      <w:sz w:val="20"/>
      <w:szCs w:val="20"/>
    </w:rPr>
  </w:style>
  <w:style w:type="paragraph" w:customStyle="1" w:styleId="1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left"/>
      <w:textAlignment w:val="center"/>
    </w:pPr>
    <w:rPr>
      <w:rFonts w:ascii="宋体" w:hAnsi="宋体" w:cs="宋体"/>
      <w:kern w:val="0"/>
      <w:sz w:val="20"/>
      <w:szCs w:val="20"/>
    </w:rPr>
  </w:style>
  <w:style w:type="paragraph" w:customStyle="1" w:styleId="158">
    <w:name w:val="修订1"/>
    <w:semiHidden/>
    <w:qFormat/>
    <w:uiPriority w:val="99"/>
    <w:rPr>
      <w:rFonts w:ascii="Arial" w:hAnsi="Arial" w:eastAsia="宋体" w:cs="Times New Roman"/>
      <w:kern w:val="2"/>
      <w:sz w:val="21"/>
      <w:szCs w:val="24"/>
      <w:lang w:val="en-US" w:eastAsia="zh-CN" w:bidi="ar-SA"/>
    </w:rPr>
  </w:style>
  <w:style w:type="paragraph" w:customStyle="1" w:styleId="15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Lines="0" w:afterAutospacing="1" w:line="240" w:lineRule="auto"/>
      <w:jc w:val="center"/>
      <w:textAlignment w:val="center"/>
    </w:pPr>
    <w:rPr>
      <w:rFonts w:ascii="宋体" w:hAnsi="宋体" w:cs="宋体"/>
      <w:b/>
      <w:bCs/>
      <w:kern w:val="0"/>
      <w:sz w:val="20"/>
      <w:szCs w:val="20"/>
    </w:rPr>
  </w:style>
  <w:style w:type="paragraph" w:customStyle="1" w:styleId="16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left"/>
      <w:textAlignment w:val="center"/>
    </w:pPr>
    <w:rPr>
      <w:rFonts w:ascii="宋体" w:hAnsi="宋体" w:cs="宋体"/>
      <w:b/>
      <w:bCs/>
      <w:kern w:val="0"/>
      <w:sz w:val="20"/>
      <w:szCs w:val="20"/>
    </w:rPr>
  </w:style>
  <w:style w:type="paragraph" w:customStyle="1" w:styleId="161">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62">
    <w:name w:val="1册标题1"/>
    <w:basedOn w:val="1"/>
    <w:next w:val="1"/>
    <w:qFormat/>
    <w:uiPriority w:val="0"/>
    <w:pPr>
      <w:spacing w:beforeLines="50" w:afterLines="50"/>
      <w:jc w:val="center"/>
      <w:outlineLvl w:val="0"/>
    </w:pPr>
    <w:rPr>
      <w:rFonts w:eastAsia="黑体"/>
      <w:b/>
      <w:bCs/>
      <w:sz w:val="48"/>
      <w:szCs w:val="20"/>
    </w:rPr>
  </w:style>
  <w:style w:type="paragraph" w:customStyle="1" w:styleId="163">
    <w:name w:val="样式  + 行距: 1.5 倍行距"/>
    <w:basedOn w:val="1"/>
    <w:next w:val="19"/>
    <w:qFormat/>
    <w:uiPriority w:val="0"/>
    <w:pPr>
      <w:spacing w:afterLines="0" w:line="240" w:lineRule="auto"/>
      <w:ind w:left="31"/>
    </w:pPr>
    <w:rPr>
      <w:rFonts w:ascii="楷体_GB2312" w:hAnsi="宋体" w:eastAsia="楷体_GB2312"/>
      <w:b/>
      <w:bCs/>
      <w:sz w:val="24"/>
    </w:rPr>
  </w:style>
  <w:style w:type="paragraph" w:customStyle="1" w:styleId="164">
    <w:name w:val="Char1 Char Char Char"/>
    <w:basedOn w:val="1"/>
    <w:qFormat/>
    <w:uiPriority w:val="0"/>
    <w:pPr>
      <w:widowControl/>
      <w:spacing w:afterLines="0" w:line="240" w:lineRule="exact"/>
      <w:jc w:val="left"/>
    </w:pPr>
    <w:rPr>
      <w:rFonts w:ascii="Verdana" w:hAnsi="Verdana"/>
      <w:kern w:val="0"/>
      <w:szCs w:val="20"/>
      <w:lang w:eastAsia="en-US"/>
    </w:rPr>
  </w:style>
  <w:style w:type="paragraph" w:customStyle="1" w:styleId="165">
    <w:name w:val="xl102"/>
    <w:basedOn w:val="1"/>
    <w:qFormat/>
    <w:uiPriority w:val="0"/>
    <w:pPr>
      <w:widowControl/>
      <w:pBdr>
        <w:top w:val="single" w:color="auto" w:sz="4" w:space="0"/>
        <w:left w:val="single" w:color="auto" w:sz="4" w:space="0"/>
        <w:bottom w:val="single" w:color="auto" w:sz="4" w:space="0"/>
      </w:pBdr>
      <w:spacing w:before="100" w:beforeAutospacing="1" w:afterLines="0" w:afterAutospacing="1" w:line="240" w:lineRule="auto"/>
      <w:jc w:val="right"/>
      <w:textAlignment w:val="center"/>
    </w:pPr>
    <w:rPr>
      <w:rFonts w:ascii="宋体" w:hAnsi="宋体" w:cs="宋体"/>
      <w:kern w:val="0"/>
      <w:sz w:val="20"/>
      <w:szCs w:val="20"/>
    </w:rPr>
  </w:style>
  <w:style w:type="paragraph" w:customStyle="1" w:styleId="166">
    <w:name w:val="2册标题2"/>
    <w:basedOn w:val="1"/>
    <w:next w:val="1"/>
    <w:qFormat/>
    <w:uiPriority w:val="0"/>
    <w:pPr>
      <w:spacing w:beforeLines="50" w:afterLines="50"/>
      <w:outlineLvl w:val="1"/>
    </w:pPr>
    <w:rPr>
      <w:rFonts w:eastAsia="黑体"/>
      <w:sz w:val="30"/>
      <w:szCs w:val="30"/>
    </w:rPr>
  </w:style>
  <w:style w:type="paragraph" w:customStyle="1" w:styleId="16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left"/>
      <w:textAlignment w:val="center"/>
    </w:pPr>
    <w:rPr>
      <w:rFonts w:ascii="宋体" w:hAnsi="宋体" w:cs="宋体"/>
      <w:b/>
      <w:bCs/>
      <w:color w:val="FF0000"/>
      <w:kern w:val="0"/>
      <w:sz w:val="20"/>
      <w:szCs w:val="20"/>
    </w:rPr>
  </w:style>
  <w:style w:type="paragraph" w:customStyle="1" w:styleId="168">
    <w:name w:val="Char2"/>
    <w:basedOn w:val="15"/>
    <w:qFormat/>
    <w:uiPriority w:val="0"/>
    <w:pPr>
      <w:spacing w:line="240" w:lineRule="auto"/>
    </w:pPr>
    <w:rPr>
      <w:rFonts w:ascii="Tahoma" w:hAnsi="Tahoma"/>
      <w:sz w:val="24"/>
    </w:rPr>
  </w:style>
  <w:style w:type="paragraph" w:customStyle="1" w:styleId="16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left"/>
      <w:textAlignment w:val="center"/>
    </w:pPr>
    <w:rPr>
      <w:rFonts w:ascii="微软雅黑" w:hAnsi="微软雅黑" w:eastAsia="微软雅黑" w:cs="宋体"/>
      <w:kern w:val="0"/>
      <w:sz w:val="16"/>
      <w:szCs w:val="16"/>
    </w:rPr>
  </w:style>
  <w:style w:type="paragraph" w:customStyle="1" w:styleId="170">
    <w:name w:val="font14"/>
    <w:basedOn w:val="1"/>
    <w:qFormat/>
    <w:uiPriority w:val="0"/>
    <w:pPr>
      <w:widowControl/>
      <w:spacing w:before="100" w:beforeAutospacing="1" w:afterLines="0" w:afterAutospacing="1" w:line="240" w:lineRule="auto"/>
      <w:jc w:val="left"/>
    </w:pPr>
    <w:rPr>
      <w:rFonts w:ascii="宋体" w:hAnsi="宋体" w:cs="宋体"/>
      <w:kern w:val="0"/>
      <w:sz w:val="18"/>
      <w:szCs w:val="18"/>
    </w:rPr>
  </w:style>
  <w:style w:type="paragraph" w:customStyle="1" w:styleId="17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center"/>
      <w:textAlignment w:val="center"/>
    </w:pPr>
    <w:rPr>
      <w:rFonts w:ascii="宋体" w:hAnsi="宋体" w:cs="宋体"/>
      <w:b/>
      <w:bCs/>
      <w:kern w:val="0"/>
      <w:sz w:val="24"/>
    </w:rPr>
  </w:style>
  <w:style w:type="paragraph" w:customStyle="1" w:styleId="172">
    <w:name w:val="正文 New New New New"/>
    <w:qFormat/>
    <w:uiPriority w:val="0"/>
    <w:pPr>
      <w:widowControl w:val="0"/>
      <w:jc w:val="both"/>
    </w:pPr>
    <w:rPr>
      <w:rFonts w:ascii="Calibri" w:hAnsi="Calibri" w:eastAsia="宋体" w:cs="Times New Roman"/>
      <w:sz w:val="21"/>
      <w:szCs w:val="24"/>
      <w:lang w:val="en-US" w:eastAsia="zh-CN" w:bidi="ar-SA"/>
    </w:rPr>
  </w:style>
  <w:style w:type="paragraph" w:customStyle="1" w:styleId="17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center"/>
      <w:textAlignment w:val="center"/>
    </w:pPr>
    <w:rPr>
      <w:rFonts w:ascii="宋体" w:hAnsi="宋体" w:cs="宋体"/>
      <w:kern w:val="0"/>
      <w:sz w:val="20"/>
      <w:szCs w:val="20"/>
    </w:rPr>
  </w:style>
  <w:style w:type="paragraph" w:customStyle="1" w:styleId="174">
    <w:name w:val="Char Char Char"/>
    <w:basedOn w:val="1"/>
    <w:qFormat/>
    <w:uiPriority w:val="0"/>
    <w:pPr>
      <w:spacing w:line="240" w:lineRule="auto"/>
    </w:pPr>
    <w:rPr>
      <w:rFonts w:ascii="Tahoma" w:hAnsi="Tahoma"/>
      <w:b/>
      <w:kern w:val="0"/>
      <w:sz w:val="28"/>
      <w:szCs w:val="20"/>
    </w:rPr>
  </w:style>
  <w:style w:type="paragraph" w:customStyle="1" w:styleId="17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kern w:val="0"/>
      <w:sz w:val="20"/>
      <w:szCs w:val="20"/>
    </w:rPr>
  </w:style>
  <w:style w:type="paragraph" w:customStyle="1" w:styleId="176">
    <w:name w:val="12册标题"/>
    <w:basedOn w:val="1"/>
    <w:next w:val="1"/>
    <w:qFormat/>
    <w:uiPriority w:val="0"/>
    <w:pPr>
      <w:spacing w:beforeLines="50" w:afterLines="50"/>
      <w:jc w:val="center"/>
      <w:outlineLvl w:val="0"/>
    </w:pPr>
    <w:rPr>
      <w:rFonts w:eastAsia="黑体"/>
      <w:sz w:val="44"/>
      <w:szCs w:val="20"/>
    </w:rPr>
  </w:style>
  <w:style w:type="paragraph" w:customStyle="1" w:styleId="17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Lines="0" w:afterAutospacing="1" w:line="240" w:lineRule="auto"/>
      <w:jc w:val="left"/>
      <w:textAlignment w:val="center"/>
    </w:pPr>
    <w:rPr>
      <w:rFonts w:ascii="宋体" w:hAnsi="宋体" w:cs="宋体"/>
      <w:kern w:val="0"/>
      <w:sz w:val="20"/>
      <w:szCs w:val="20"/>
    </w:rPr>
  </w:style>
  <w:style w:type="paragraph" w:customStyle="1" w:styleId="178">
    <w:name w:val="Char1"/>
    <w:basedOn w:val="15"/>
    <w:qFormat/>
    <w:uiPriority w:val="0"/>
    <w:pPr>
      <w:spacing w:afterLines="0" w:line="240" w:lineRule="auto"/>
    </w:pPr>
    <w:rPr>
      <w:rFonts w:ascii="仿宋_GB2312" w:hAnsi="Tahoma" w:eastAsia="仿宋_GB2312"/>
      <w:sz w:val="24"/>
    </w:rPr>
  </w:style>
  <w:style w:type="paragraph" w:customStyle="1" w:styleId="17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Lines="0" w:afterAutospacing="1" w:line="240" w:lineRule="auto"/>
      <w:jc w:val="center"/>
      <w:textAlignment w:val="center"/>
    </w:pPr>
    <w:rPr>
      <w:rFonts w:ascii="宋体" w:hAnsi="宋体" w:cs="宋体"/>
      <w:kern w:val="0"/>
      <w:sz w:val="20"/>
      <w:szCs w:val="20"/>
    </w:rPr>
  </w:style>
  <w:style w:type="paragraph" w:customStyle="1" w:styleId="180">
    <w:name w:val="font15"/>
    <w:basedOn w:val="1"/>
    <w:qFormat/>
    <w:uiPriority w:val="0"/>
    <w:pPr>
      <w:widowControl/>
      <w:spacing w:before="100" w:beforeAutospacing="1" w:afterLines="0" w:afterAutospacing="1" w:line="240" w:lineRule="auto"/>
      <w:jc w:val="left"/>
    </w:pPr>
    <w:rPr>
      <w:rFonts w:ascii="宋体" w:hAnsi="宋体" w:cs="宋体"/>
      <w:kern w:val="0"/>
      <w:sz w:val="20"/>
      <w:szCs w:val="20"/>
    </w:rPr>
  </w:style>
  <w:style w:type="paragraph" w:customStyle="1" w:styleId="181">
    <w:name w:val="about_main1"/>
    <w:basedOn w:val="1"/>
    <w:qFormat/>
    <w:uiPriority w:val="0"/>
    <w:pPr>
      <w:widowControl/>
      <w:spacing w:before="30" w:afterLines="0" w:afterAutospacing="1" w:line="240" w:lineRule="auto"/>
      <w:jc w:val="left"/>
    </w:pPr>
    <w:rPr>
      <w:rFonts w:ascii="宋体" w:hAnsi="宋体" w:cs="宋体"/>
      <w:kern w:val="0"/>
      <w:sz w:val="24"/>
    </w:rPr>
  </w:style>
  <w:style w:type="paragraph" w:customStyle="1" w:styleId="182">
    <w:name w:val="Char Char Char Char Char Char Char Char Char Char"/>
    <w:basedOn w:val="1"/>
    <w:qFormat/>
    <w:uiPriority w:val="0"/>
    <w:pPr>
      <w:widowControl/>
      <w:spacing w:afterLines="0" w:line="240" w:lineRule="exact"/>
      <w:jc w:val="left"/>
    </w:pPr>
    <w:rPr>
      <w:rFonts w:ascii="Verdana" w:hAnsi="Verdana" w:eastAsia="仿宋_GB2312"/>
      <w:kern w:val="0"/>
      <w:sz w:val="24"/>
      <w:szCs w:val="20"/>
      <w:lang w:eastAsia="en-US"/>
    </w:rPr>
  </w:style>
  <w:style w:type="paragraph" w:customStyle="1" w:styleId="183">
    <w:name w:val="列表段落1"/>
    <w:basedOn w:val="1"/>
    <w:qFormat/>
    <w:uiPriority w:val="0"/>
    <w:pPr>
      <w:spacing w:afterLines="0" w:line="240" w:lineRule="auto"/>
      <w:ind w:firstLine="200" w:firstLineChars="200"/>
    </w:pPr>
    <w:rPr>
      <w:rFonts w:ascii="Calibri" w:hAnsi="Calibri" w:cs="宋体"/>
      <w:szCs w:val="22"/>
    </w:rPr>
  </w:style>
  <w:style w:type="paragraph" w:customStyle="1" w:styleId="184">
    <w:name w:val="style1"/>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185">
    <w:name w:val="font5"/>
    <w:basedOn w:val="1"/>
    <w:qFormat/>
    <w:uiPriority w:val="0"/>
    <w:pPr>
      <w:widowControl/>
      <w:spacing w:before="100" w:beforeAutospacing="1" w:afterLines="0" w:afterAutospacing="1" w:line="240" w:lineRule="auto"/>
      <w:jc w:val="left"/>
    </w:pPr>
    <w:rPr>
      <w:rFonts w:ascii="宋体" w:hAnsi="宋体" w:cs="宋体"/>
      <w:kern w:val="0"/>
      <w:sz w:val="18"/>
      <w:szCs w:val="18"/>
    </w:rPr>
  </w:style>
  <w:style w:type="paragraph" w:customStyle="1" w:styleId="186">
    <w:name w:val="p0"/>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187">
    <w:name w:val="正文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88">
    <w:name w:val="内文1"/>
    <w:basedOn w:val="1"/>
    <w:qFormat/>
    <w:uiPriority w:val="0"/>
    <w:pPr>
      <w:adjustRightInd w:val="0"/>
      <w:snapToGrid w:val="0"/>
      <w:spacing w:beforeLines="30" w:afterLines="30" w:line="300" w:lineRule="atLeast"/>
      <w:ind w:left="1038"/>
    </w:pPr>
    <w:rPr>
      <w:rFonts w:cs="Arial"/>
      <w:sz w:val="20"/>
      <w:szCs w:val="20"/>
    </w:rPr>
  </w:style>
  <w:style w:type="paragraph" w:customStyle="1" w:styleId="189">
    <w:name w:val="彩色列表 - 强调文字颜色 12"/>
    <w:basedOn w:val="1"/>
    <w:qFormat/>
    <w:uiPriority w:val="0"/>
    <w:pPr>
      <w:spacing w:afterLines="0" w:line="240" w:lineRule="auto"/>
      <w:ind w:firstLine="420" w:firstLineChars="200"/>
    </w:pPr>
    <w:rPr>
      <w:rFonts w:ascii="Calibri" w:hAnsi="Calibri"/>
      <w:szCs w:val="22"/>
    </w:rPr>
  </w:style>
  <w:style w:type="paragraph" w:customStyle="1" w:styleId="190">
    <w:name w:val="样式1"/>
    <w:basedOn w:val="5"/>
    <w:qFormat/>
    <w:uiPriority w:val="0"/>
    <w:pPr>
      <w:spacing w:afterLines="0" w:line="376" w:lineRule="auto"/>
    </w:pPr>
    <w:rPr>
      <w:b/>
      <w:bCs/>
    </w:rPr>
  </w:style>
  <w:style w:type="paragraph" w:customStyle="1" w:styleId="191">
    <w:name w:val="xl89"/>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192">
    <w:name w:val="List Paragraph1"/>
    <w:basedOn w:val="1"/>
    <w:qFormat/>
    <w:uiPriority w:val="0"/>
    <w:pPr>
      <w:spacing w:afterLines="0" w:line="240" w:lineRule="auto"/>
      <w:ind w:firstLine="420" w:firstLineChars="200"/>
    </w:pPr>
    <w:rPr>
      <w:rFonts w:ascii="Calibri" w:hAnsi="Calibri" w:cs="Calibri"/>
      <w:szCs w:val="21"/>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left"/>
      <w:textAlignment w:val="center"/>
    </w:pPr>
    <w:rPr>
      <w:rFonts w:ascii="华文细黑" w:hAnsi="华文细黑" w:eastAsia="华文细黑" w:cs="宋体"/>
      <w:kern w:val="0"/>
      <w:sz w:val="18"/>
      <w:szCs w:val="18"/>
    </w:rPr>
  </w:style>
  <w:style w:type="paragraph" w:customStyle="1" w:styleId="194">
    <w:name w:val="a"/>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195">
    <w:name w:val="xl103"/>
    <w:basedOn w:val="1"/>
    <w:qFormat/>
    <w:uiPriority w:val="0"/>
    <w:pPr>
      <w:widowControl/>
      <w:pBdr>
        <w:top w:val="single" w:color="auto" w:sz="4" w:space="0"/>
        <w:bottom w:val="single" w:color="auto" w:sz="4" w:space="0"/>
      </w:pBdr>
      <w:spacing w:before="100" w:beforeAutospacing="1" w:afterLines="0" w:afterAutospacing="1" w:line="240" w:lineRule="auto"/>
      <w:jc w:val="right"/>
      <w:textAlignment w:val="center"/>
    </w:pPr>
    <w:rPr>
      <w:rFonts w:ascii="宋体" w:hAnsi="宋体" w:cs="宋体"/>
      <w:kern w:val="0"/>
      <w:sz w:val="20"/>
      <w:szCs w:val="20"/>
    </w:rPr>
  </w:style>
  <w:style w:type="paragraph" w:customStyle="1" w:styleId="196">
    <w:name w:val="正文 A"/>
    <w:qFormat/>
    <w:uiPriority w:val="0"/>
    <w:pPr>
      <w:widowControl w:val="0"/>
      <w:jc w:val="both"/>
    </w:pPr>
    <w:rPr>
      <w:rFonts w:ascii="宋体" w:hAnsi="宋体" w:eastAsia="ヒラギノ角ゴ Pro W3" w:cs="Times New Roman"/>
      <w:color w:val="000000"/>
      <w:kern w:val="2"/>
      <w:sz w:val="21"/>
      <w:szCs w:val="21"/>
      <w:lang w:val="en-US" w:eastAsia="zh-CN" w:bidi="ar-SA"/>
    </w:rPr>
  </w:style>
  <w:style w:type="paragraph" w:customStyle="1" w:styleId="197">
    <w:name w:val="列出段落11"/>
    <w:basedOn w:val="1"/>
    <w:qFormat/>
    <w:uiPriority w:val="99"/>
    <w:pPr>
      <w:widowControl/>
      <w:spacing w:afterLines="0" w:line="240" w:lineRule="auto"/>
      <w:ind w:firstLine="420" w:firstLineChars="200"/>
      <w:jc w:val="left"/>
    </w:pPr>
    <w:rPr>
      <w:rFonts w:ascii="Calibri" w:hAnsi="Calibri"/>
      <w:kern w:val="0"/>
      <w:sz w:val="20"/>
      <w:szCs w:val="20"/>
    </w:rPr>
  </w:style>
  <w:style w:type="paragraph" w:customStyle="1" w:styleId="198">
    <w:name w:val="font6"/>
    <w:basedOn w:val="1"/>
    <w:qFormat/>
    <w:uiPriority w:val="0"/>
    <w:pPr>
      <w:widowControl/>
      <w:spacing w:before="100" w:beforeAutospacing="1" w:afterLines="0" w:afterAutospacing="1" w:line="240" w:lineRule="auto"/>
      <w:jc w:val="left"/>
    </w:pPr>
    <w:rPr>
      <w:rFonts w:ascii="宋体" w:hAnsi="宋体" w:cs="宋体"/>
      <w:kern w:val="0"/>
      <w:sz w:val="20"/>
      <w:szCs w:val="20"/>
    </w:rPr>
  </w:style>
  <w:style w:type="paragraph" w:customStyle="1" w:styleId="199">
    <w:name w:val="_Style 6"/>
    <w:basedOn w:val="1"/>
    <w:qFormat/>
    <w:uiPriority w:val="0"/>
    <w:pPr>
      <w:widowControl/>
      <w:spacing w:afterLines="0" w:line="240" w:lineRule="exact"/>
      <w:jc w:val="left"/>
    </w:pPr>
    <w:rPr>
      <w:rFonts w:ascii="Times New Roman" w:hAnsi="Times New Roman"/>
    </w:rPr>
  </w:style>
  <w:style w:type="paragraph" w:customStyle="1" w:styleId="200">
    <w:name w:val="正文段落"/>
    <w:basedOn w:val="1"/>
    <w:qFormat/>
    <w:uiPriority w:val="0"/>
    <w:pPr>
      <w:spacing w:afterLines="0" w:line="360" w:lineRule="auto"/>
      <w:ind w:firstLine="440" w:firstLineChars="200"/>
    </w:pPr>
    <w:rPr>
      <w:rFonts w:ascii="宋体" w:hAnsi="宋体" w:cs="宋体"/>
      <w:kern w:val="0"/>
      <w:szCs w:val="20"/>
    </w:rPr>
  </w:style>
  <w:style w:type="paragraph" w:customStyle="1" w:styleId="201">
    <w:name w:val="_Style 5"/>
    <w:basedOn w:val="1"/>
    <w:qFormat/>
    <w:uiPriority w:val="34"/>
    <w:pPr>
      <w:spacing w:afterLines="0" w:line="240" w:lineRule="auto"/>
      <w:ind w:firstLine="420" w:firstLineChars="200"/>
    </w:pPr>
    <w:rPr>
      <w:rFonts w:ascii="Times New Roman" w:hAnsi="Times New Roman"/>
    </w:rPr>
  </w:style>
  <w:style w:type="paragraph" w:customStyle="1" w:styleId="202">
    <w:name w:val="普通(网站)1"/>
    <w:basedOn w:val="1"/>
    <w:qFormat/>
    <w:uiPriority w:val="0"/>
    <w:pPr>
      <w:widowControl/>
      <w:spacing w:before="100" w:beforeAutospacing="1" w:afterLines="0" w:afterAutospacing="1" w:line="240" w:lineRule="auto"/>
      <w:jc w:val="left"/>
    </w:pPr>
    <w:rPr>
      <w:rFonts w:hint="eastAsia" w:ascii="宋体" w:hAnsi="宋体"/>
      <w:sz w:val="24"/>
    </w:rPr>
  </w:style>
  <w:style w:type="paragraph" w:customStyle="1" w:styleId="203">
    <w:name w:val="TOC 标题1"/>
    <w:basedOn w:val="2"/>
    <w:next w:val="1"/>
    <w:qFormat/>
    <w:uiPriority w:val="39"/>
    <w:pPr>
      <w:widowControl/>
      <w:spacing w:before="240" w:afterLines="0" w:line="259" w:lineRule="auto"/>
      <w:jc w:val="left"/>
      <w:outlineLvl w:val="9"/>
    </w:pPr>
    <w:rPr>
      <w:rFonts w:ascii="Calibri Light" w:hAnsi="Calibri Light"/>
      <w:color w:val="2E74B5"/>
      <w:kern w:val="0"/>
      <w:sz w:val="32"/>
      <w:szCs w:val="32"/>
    </w:rPr>
  </w:style>
  <w:style w:type="paragraph" w:customStyle="1" w:styleId="20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left"/>
      <w:textAlignment w:val="center"/>
    </w:pPr>
    <w:rPr>
      <w:rFonts w:ascii="宋体" w:hAnsi="宋体" w:cs="宋体"/>
      <w:b/>
      <w:bCs/>
      <w:kern w:val="0"/>
      <w:sz w:val="20"/>
      <w:szCs w:val="20"/>
    </w:rPr>
  </w:style>
  <w:style w:type="paragraph" w:customStyle="1" w:styleId="205">
    <w:name w:val="标题4"/>
    <w:basedOn w:val="146"/>
    <w:qFormat/>
    <w:uiPriority w:val="0"/>
    <w:pPr>
      <w:spacing w:beforeLines="0" w:afterLines="0"/>
      <w:ind w:left="100" w:leftChars="100" w:firstLine="98" w:firstLineChars="98"/>
    </w:pPr>
  </w:style>
  <w:style w:type="paragraph" w:customStyle="1" w:styleId="206">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left"/>
      <w:textAlignment w:val="top"/>
    </w:pPr>
    <w:rPr>
      <w:rFonts w:ascii="微软雅黑" w:hAnsi="微软雅黑" w:eastAsia="微软雅黑" w:cs="宋体"/>
      <w:kern w:val="0"/>
      <w:sz w:val="16"/>
      <w:szCs w:val="16"/>
    </w:rPr>
  </w:style>
  <w:style w:type="paragraph" w:customStyle="1" w:styleId="207">
    <w:name w:val="样式 样式 样式 标题 3列表编号3h33rd level + (符号) 宋体 段前: 1 行 + 段前: 1.36 行 + 段..."/>
    <w:basedOn w:val="1"/>
    <w:qFormat/>
    <w:uiPriority w:val="0"/>
    <w:pPr>
      <w:adjustRightInd w:val="0"/>
      <w:spacing w:beforeLines="100" w:afterLines="0" w:line="360" w:lineRule="auto"/>
      <w:jc w:val="left"/>
      <w:outlineLvl w:val="2"/>
    </w:pPr>
    <w:rPr>
      <w:rFonts w:ascii="宋体" w:hAnsi="宋体"/>
      <w:b/>
      <w:bCs/>
      <w:kern w:val="0"/>
      <w:szCs w:val="20"/>
    </w:rPr>
  </w:style>
  <w:style w:type="paragraph" w:customStyle="1" w:styleId="208">
    <w:name w:val="Char Char Char Char Char Char Char Char Char Char1"/>
    <w:basedOn w:val="1"/>
    <w:qFormat/>
    <w:uiPriority w:val="0"/>
    <w:pPr>
      <w:widowControl/>
      <w:spacing w:afterLines="0" w:line="240" w:lineRule="exact"/>
      <w:jc w:val="left"/>
    </w:pPr>
    <w:rPr>
      <w:rFonts w:ascii="Verdana" w:hAnsi="Verdana" w:eastAsia="仿宋_GB2312"/>
      <w:kern w:val="0"/>
      <w:sz w:val="24"/>
      <w:szCs w:val="20"/>
      <w:lang w:eastAsia="en-US"/>
    </w:rPr>
  </w:style>
  <w:style w:type="paragraph" w:customStyle="1" w:styleId="209">
    <w:name w:val="font16"/>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210">
    <w:name w:val="xl104"/>
    <w:basedOn w:val="1"/>
    <w:qFormat/>
    <w:uiPriority w:val="0"/>
    <w:pPr>
      <w:widowControl/>
      <w:pBdr>
        <w:top w:val="single" w:color="auto" w:sz="4" w:space="0"/>
        <w:bottom w:val="single" w:color="auto" w:sz="4" w:space="0"/>
        <w:right w:val="single" w:color="auto" w:sz="4" w:space="0"/>
      </w:pBdr>
      <w:spacing w:before="100" w:beforeAutospacing="1" w:afterLines="0" w:afterAutospacing="1" w:line="240" w:lineRule="auto"/>
      <w:jc w:val="right"/>
      <w:textAlignment w:val="center"/>
    </w:pPr>
    <w:rPr>
      <w:rFonts w:ascii="宋体" w:hAnsi="宋体" w:cs="宋体"/>
      <w:kern w:val="0"/>
      <w:sz w:val="20"/>
      <w:szCs w:val="20"/>
    </w:rPr>
  </w:style>
  <w:style w:type="paragraph" w:customStyle="1" w:styleId="211">
    <w:name w:val="font17"/>
    <w:basedOn w:val="1"/>
    <w:qFormat/>
    <w:uiPriority w:val="0"/>
    <w:pPr>
      <w:widowControl/>
      <w:spacing w:before="100" w:beforeAutospacing="1" w:afterLines="0" w:afterAutospacing="1" w:line="240" w:lineRule="auto"/>
      <w:jc w:val="left"/>
    </w:pPr>
    <w:rPr>
      <w:rFonts w:ascii="宋体" w:hAnsi="宋体" w:cs="宋体"/>
      <w:kern w:val="0"/>
      <w:sz w:val="18"/>
      <w:szCs w:val="18"/>
    </w:rPr>
  </w:style>
  <w:style w:type="paragraph" w:customStyle="1" w:styleId="212">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Lines="0" w:afterAutospacing="1" w:line="240" w:lineRule="auto"/>
      <w:jc w:val="center"/>
      <w:textAlignment w:val="center"/>
    </w:pPr>
    <w:rPr>
      <w:rFonts w:ascii="宋体" w:hAnsi="宋体" w:cs="宋体"/>
      <w:kern w:val="0"/>
      <w:sz w:val="24"/>
    </w:rPr>
  </w:style>
  <w:style w:type="paragraph" w:customStyle="1" w:styleId="213">
    <w:name w:val="font18"/>
    <w:basedOn w:val="1"/>
    <w:qFormat/>
    <w:uiPriority w:val="0"/>
    <w:pPr>
      <w:widowControl/>
      <w:spacing w:before="100" w:beforeAutospacing="1" w:afterLines="0" w:afterAutospacing="1" w:line="240" w:lineRule="auto"/>
      <w:jc w:val="left"/>
    </w:pPr>
    <w:rPr>
      <w:rFonts w:ascii="宋体" w:hAnsi="宋体" w:cs="宋体"/>
      <w:kern w:val="0"/>
      <w:szCs w:val="21"/>
    </w:rPr>
  </w:style>
  <w:style w:type="paragraph" w:customStyle="1" w:styleId="2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kern w:val="0"/>
      <w:sz w:val="20"/>
      <w:szCs w:val="20"/>
    </w:rPr>
  </w:style>
  <w:style w:type="paragraph" w:customStyle="1" w:styleId="215">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Lines="0" w:afterAutospacing="1" w:line="240" w:lineRule="auto"/>
      <w:jc w:val="left"/>
    </w:pPr>
    <w:rPr>
      <w:rFonts w:ascii="宋体" w:hAnsi="宋体" w:cs="宋体"/>
      <w:kern w:val="0"/>
      <w:sz w:val="24"/>
    </w:rPr>
  </w:style>
  <w:style w:type="paragraph" w:customStyle="1" w:styleId="21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kern w:val="0"/>
      <w:sz w:val="24"/>
    </w:rPr>
  </w:style>
  <w:style w:type="paragraph" w:customStyle="1" w:styleId="2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kern w:val="0"/>
      <w:sz w:val="20"/>
      <w:szCs w:val="20"/>
    </w:rPr>
  </w:style>
  <w:style w:type="paragraph" w:customStyle="1" w:styleId="2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left"/>
      <w:textAlignment w:val="center"/>
    </w:pPr>
    <w:rPr>
      <w:rFonts w:ascii="宋体" w:hAnsi="宋体" w:cs="宋体"/>
      <w:kern w:val="0"/>
      <w:sz w:val="20"/>
      <w:szCs w:val="20"/>
    </w:rPr>
  </w:style>
  <w:style w:type="paragraph" w:customStyle="1" w:styleId="2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kern w:val="0"/>
      <w:sz w:val="24"/>
    </w:rPr>
  </w:style>
  <w:style w:type="paragraph" w:customStyle="1" w:styleId="220">
    <w:name w:val="xl106"/>
    <w:basedOn w:val="1"/>
    <w:qFormat/>
    <w:uiPriority w:val="0"/>
    <w:pPr>
      <w:widowControl/>
      <w:pBdr>
        <w:top w:val="single" w:color="auto" w:sz="4" w:space="0"/>
        <w:bottom w:val="single" w:color="auto" w:sz="4" w:space="0"/>
      </w:pBdr>
      <w:shd w:val="clear" w:color="000000" w:fill="FFCC99"/>
      <w:spacing w:before="100" w:beforeAutospacing="1" w:afterLines="0" w:afterAutospacing="1" w:line="240" w:lineRule="auto"/>
      <w:jc w:val="center"/>
      <w:textAlignment w:val="center"/>
    </w:pPr>
    <w:rPr>
      <w:rFonts w:ascii="宋体" w:hAnsi="宋体" w:cs="宋体"/>
      <w:kern w:val="0"/>
      <w:sz w:val="24"/>
    </w:rPr>
  </w:style>
  <w:style w:type="paragraph" w:customStyle="1" w:styleId="22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center"/>
      <w:textAlignment w:val="center"/>
    </w:pPr>
    <w:rPr>
      <w:rFonts w:ascii="宋体" w:hAnsi="宋体" w:cs="宋体"/>
      <w:kern w:val="0"/>
      <w:sz w:val="24"/>
    </w:rPr>
  </w:style>
  <w:style w:type="paragraph" w:customStyle="1" w:styleId="222">
    <w:name w:val="xl107"/>
    <w:basedOn w:val="1"/>
    <w:qFormat/>
    <w:uiPriority w:val="0"/>
    <w:pPr>
      <w:widowControl/>
      <w:pBdr>
        <w:top w:val="single" w:color="auto" w:sz="4" w:space="0"/>
        <w:bottom w:val="single" w:color="auto" w:sz="4" w:space="0"/>
        <w:right w:val="single" w:color="auto" w:sz="4" w:space="0"/>
      </w:pBdr>
      <w:shd w:val="clear" w:color="000000" w:fill="FFCC99"/>
      <w:spacing w:before="100" w:beforeAutospacing="1" w:afterLines="0" w:afterAutospacing="1" w:line="240" w:lineRule="auto"/>
      <w:jc w:val="center"/>
      <w:textAlignment w:val="center"/>
    </w:pPr>
    <w:rPr>
      <w:rFonts w:ascii="宋体" w:hAnsi="宋体" w:cs="宋体"/>
      <w:kern w:val="0"/>
      <w:sz w:val="24"/>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center"/>
      <w:textAlignment w:val="center"/>
    </w:pPr>
    <w:rPr>
      <w:rFonts w:ascii="宋体" w:hAnsi="宋体" w:cs="宋体"/>
      <w:kern w:val="0"/>
      <w:sz w:val="24"/>
    </w:rPr>
  </w:style>
  <w:style w:type="paragraph" w:customStyle="1" w:styleId="22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left"/>
      <w:textAlignment w:val="center"/>
    </w:pPr>
    <w:rPr>
      <w:rFonts w:ascii="宋体" w:hAnsi="宋体" w:cs="宋体"/>
      <w:kern w:val="0"/>
      <w:sz w:val="20"/>
      <w:szCs w:val="20"/>
    </w:rPr>
  </w:style>
  <w:style w:type="paragraph" w:customStyle="1" w:styleId="225">
    <w:name w:val="xl80"/>
    <w:basedOn w:val="1"/>
    <w:qFormat/>
    <w:uiPriority w:val="0"/>
    <w:pPr>
      <w:widowControl/>
      <w:shd w:val="clear" w:color="000000" w:fill="D8D8D8"/>
      <w:spacing w:before="100" w:beforeAutospacing="1" w:afterLines="0" w:afterAutospacing="1" w:line="240" w:lineRule="auto"/>
      <w:jc w:val="left"/>
    </w:pPr>
    <w:rPr>
      <w:rFonts w:ascii="宋体" w:hAnsi="宋体" w:cs="宋体"/>
      <w:kern w:val="0"/>
      <w:sz w:val="24"/>
    </w:rPr>
  </w:style>
  <w:style w:type="paragraph" w:customStyle="1" w:styleId="22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Lines="0" w:afterAutospacing="1" w:line="240" w:lineRule="auto"/>
      <w:jc w:val="center"/>
      <w:textAlignment w:val="center"/>
    </w:pPr>
    <w:rPr>
      <w:rFonts w:ascii="宋体" w:hAnsi="宋体" w:cs="宋体"/>
      <w:kern w:val="0"/>
      <w:sz w:val="20"/>
      <w:szCs w:val="20"/>
    </w:rPr>
  </w:style>
  <w:style w:type="paragraph" w:customStyle="1" w:styleId="22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Lines="0" w:afterAutospacing="1" w:line="240" w:lineRule="auto"/>
      <w:jc w:val="center"/>
      <w:textAlignment w:val="center"/>
    </w:pPr>
    <w:rPr>
      <w:rFonts w:ascii="华文细黑" w:hAnsi="华文细黑" w:eastAsia="华文细黑" w:cs="宋体"/>
      <w:kern w:val="0"/>
      <w:szCs w:val="21"/>
    </w:rPr>
  </w:style>
  <w:style w:type="paragraph" w:customStyle="1" w:styleId="22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kern w:val="0"/>
      <w:sz w:val="24"/>
    </w:rPr>
  </w:style>
  <w:style w:type="paragraph" w:customStyle="1" w:styleId="229">
    <w:name w:val="xl105"/>
    <w:basedOn w:val="1"/>
    <w:qFormat/>
    <w:uiPriority w:val="0"/>
    <w:pPr>
      <w:widowControl/>
      <w:pBdr>
        <w:top w:val="single" w:color="auto" w:sz="4" w:space="0"/>
        <w:left w:val="single" w:color="auto" w:sz="4" w:space="0"/>
        <w:bottom w:val="single" w:color="auto" w:sz="4" w:space="0"/>
      </w:pBdr>
      <w:shd w:val="clear" w:color="000000" w:fill="FFCC99"/>
      <w:spacing w:before="100" w:beforeAutospacing="1" w:afterLines="0" w:afterAutospacing="1" w:line="240" w:lineRule="auto"/>
      <w:jc w:val="center"/>
      <w:textAlignment w:val="center"/>
    </w:pPr>
    <w:rPr>
      <w:rFonts w:ascii="宋体" w:hAnsi="宋体" w:cs="宋体"/>
      <w:kern w:val="0"/>
      <w:sz w:val="24"/>
    </w:rPr>
  </w:style>
  <w:style w:type="paragraph" w:customStyle="1" w:styleId="230">
    <w:name w:val="Char Char Char Char Char Char Char Char Char Char2"/>
    <w:basedOn w:val="1"/>
    <w:qFormat/>
    <w:uiPriority w:val="0"/>
    <w:pPr>
      <w:widowControl/>
      <w:spacing w:afterLines="0" w:line="240" w:lineRule="exact"/>
      <w:jc w:val="left"/>
    </w:pPr>
    <w:rPr>
      <w:rFonts w:ascii="Verdana" w:hAnsi="Verdana" w:eastAsia="仿宋_GB2312"/>
      <w:kern w:val="0"/>
      <w:sz w:val="24"/>
      <w:szCs w:val="20"/>
      <w:lang w:eastAsia="en-US"/>
    </w:rPr>
  </w:style>
  <w:style w:type="paragraph" w:customStyle="1" w:styleId="231">
    <w:name w:val="正文 New New New New New"/>
    <w:basedOn w:val="1"/>
    <w:qFormat/>
    <w:uiPriority w:val="0"/>
    <w:pPr>
      <w:spacing w:afterLines="0" w:line="240" w:lineRule="auto"/>
    </w:pPr>
    <w:rPr>
      <w:rFonts w:ascii="Times New Roman" w:hAnsi="Times New Roman"/>
      <w:szCs w:val="21"/>
    </w:rPr>
  </w:style>
  <w:style w:type="paragraph" w:customStyle="1" w:styleId="232">
    <w:name w:val="列出段落2"/>
    <w:basedOn w:val="1"/>
    <w:semiHidden/>
    <w:qFormat/>
    <w:uiPriority w:val="0"/>
    <w:pPr>
      <w:spacing w:afterLines="0" w:line="240" w:lineRule="auto"/>
      <w:ind w:firstLine="420" w:firstLineChars="200"/>
    </w:pPr>
    <w:rPr>
      <w:rFonts w:ascii="Times New Roman" w:hAnsi="Times New Roman"/>
      <w:szCs w:val="21"/>
    </w:rPr>
  </w:style>
  <w:style w:type="paragraph" w:customStyle="1" w:styleId="233">
    <w:name w:val="Char Char Char Char1"/>
    <w:basedOn w:val="1"/>
    <w:qFormat/>
    <w:uiPriority w:val="0"/>
    <w:pPr>
      <w:widowControl/>
      <w:spacing w:afterLines="0" w:line="240" w:lineRule="exact"/>
      <w:jc w:val="left"/>
    </w:pPr>
    <w:rPr>
      <w:rFonts w:ascii="Verdana" w:hAnsi="Verdana" w:eastAsia="仿宋_GB2312"/>
      <w:kern w:val="0"/>
      <w:sz w:val="24"/>
      <w:szCs w:val="20"/>
      <w:lang w:eastAsia="en-US"/>
    </w:rPr>
  </w:style>
  <w:style w:type="table" w:customStyle="1" w:styleId="234">
    <w:name w:val="网格型1"/>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5">
    <w:name w:val="标题 2 字符"/>
    <w:qFormat/>
    <w:uiPriority w:val="9"/>
    <w:rPr>
      <w:rFonts w:ascii="Arial" w:hAnsi="Arial" w:eastAsia="黑体"/>
      <w:kern w:val="2"/>
      <w:sz w:val="32"/>
      <w:szCs w:val="32"/>
      <w:lang w:val="en-US" w:eastAsia="zh-CN" w:bidi="ar-SA"/>
    </w:rPr>
  </w:style>
  <w:style w:type="paragraph" w:styleId="236">
    <w:name w:val="List Paragraph"/>
    <w:basedOn w:val="1"/>
    <w:link w:val="237"/>
    <w:qFormat/>
    <w:uiPriority w:val="99"/>
    <w:pPr>
      <w:ind w:firstLine="420" w:firstLineChars="200"/>
    </w:pPr>
  </w:style>
  <w:style w:type="character" w:customStyle="1" w:styleId="237">
    <w:name w:val="列表段落 字符"/>
    <w:link w:val="236"/>
    <w:qFormat/>
    <w:locked/>
    <w:uiPriority w:val="34"/>
    <w:rPr>
      <w:rFonts w:ascii="Arial" w:hAnsi="Arial"/>
      <w:kern w:val="2"/>
      <w:sz w:val="21"/>
      <w:szCs w:val="24"/>
    </w:rPr>
  </w:style>
  <w:style w:type="character" w:customStyle="1" w:styleId="238">
    <w:name w:val="NormalCharacter"/>
    <w:semiHidden/>
    <w:qFormat/>
    <w:uiPriority w:val="0"/>
  </w:style>
  <w:style w:type="character" w:customStyle="1" w:styleId="239">
    <w:name w:val="正文文本缩进 3 字符"/>
    <w:basedOn w:val="48"/>
    <w:link w:val="35"/>
    <w:qFormat/>
    <w:uiPriority w:val="0"/>
    <w:rPr>
      <w:rFonts w:ascii="Arial" w:hAnsi="Arial"/>
      <w:kern w:val="2"/>
      <w:sz w:val="16"/>
      <w:szCs w:val="16"/>
    </w:rPr>
  </w:style>
  <w:style w:type="character" w:customStyle="1" w:styleId="240">
    <w:name w:val="UserStyle_26"/>
    <w:link w:val="241"/>
    <w:qFormat/>
    <w:uiPriority w:val="0"/>
    <w:rPr>
      <w:rFonts w:eastAsia="黑体"/>
      <w:b/>
      <w:bCs/>
      <w:kern w:val="44"/>
      <w:sz w:val="28"/>
      <w:szCs w:val="44"/>
    </w:rPr>
  </w:style>
  <w:style w:type="paragraph" w:customStyle="1" w:styleId="241">
    <w:name w:val="UserStyle_27"/>
    <w:basedOn w:val="1"/>
    <w:next w:val="1"/>
    <w:link w:val="240"/>
    <w:qFormat/>
    <w:uiPriority w:val="0"/>
    <w:pPr>
      <w:keepNext/>
      <w:keepLines/>
      <w:pageBreakBefore/>
      <w:widowControl/>
      <w:numPr>
        <w:ilvl w:val="0"/>
        <w:numId w:val="3"/>
      </w:numPr>
      <w:spacing w:afterLines="0" w:line="240" w:lineRule="auto"/>
      <w:ind w:firstLine="0"/>
      <w:jc w:val="left"/>
    </w:pPr>
    <w:rPr>
      <w:rFonts w:ascii="宋体" w:hAnsi="宋体" w:eastAsia="黑体"/>
      <w:b/>
      <w:bCs/>
      <w:kern w:val="44"/>
      <w:sz w:val="28"/>
      <w:szCs w:val="44"/>
    </w:rPr>
  </w:style>
  <w:style w:type="paragraph" w:customStyle="1" w:styleId="242">
    <w:name w:val="UserStyle_60"/>
    <w:basedOn w:val="1"/>
    <w:next w:val="1"/>
    <w:qFormat/>
    <w:uiPriority w:val="0"/>
    <w:pPr>
      <w:keepNext/>
      <w:keepLines/>
      <w:widowControl/>
      <w:numPr>
        <w:ilvl w:val="1"/>
        <w:numId w:val="3"/>
      </w:numPr>
      <w:spacing w:afterLines="0" w:line="240" w:lineRule="auto"/>
      <w:ind w:firstLine="0"/>
      <w:jc w:val="left"/>
    </w:pPr>
    <w:rPr>
      <w:rFonts w:ascii="@YuMincho +36p Kana Medium __L" w:hAnsi="@YuMincho +36p Kana Medium __L" w:eastAsia="方正小标宋_GBK"/>
      <w:sz w:val="30"/>
      <w:szCs w:val="30"/>
    </w:rPr>
  </w:style>
  <w:style w:type="paragraph" w:customStyle="1" w:styleId="243">
    <w:name w:val="UserStyle_79"/>
    <w:basedOn w:val="1"/>
    <w:next w:val="1"/>
    <w:qFormat/>
    <w:uiPriority w:val="0"/>
    <w:pPr>
      <w:keepNext/>
      <w:keepLines/>
      <w:widowControl/>
      <w:numPr>
        <w:ilvl w:val="2"/>
        <w:numId w:val="3"/>
      </w:numPr>
      <w:spacing w:afterLines="0" w:line="240" w:lineRule="auto"/>
      <w:ind w:left="425" w:firstLine="0"/>
    </w:pPr>
    <w:rPr>
      <w:rFonts w:ascii="Calibri" w:hAnsi="Calibri" w:eastAsia="方正小标宋_GBK"/>
      <w:sz w:val="30"/>
      <w:szCs w:val="30"/>
    </w:rPr>
  </w:style>
  <w:style w:type="paragraph" w:customStyle="1" w:styleId="244">
    <w:name w:val="UserStyle_82"/>
    <w:basedOn w:val="1"/>
    <w:next w:val="1"/>
    <w:qFormat/>
    <w:uiPriority w:val="0"/>
    <w:pPr>
      <w:keepNext/>
      <w:keepLines/>
      <w:widowControl/>
      <w:numPr>
        <w:ilvl w:val="3"/>
        <w:numId w:val="3"/>
      </w:numPr>
      <w:spacing w:afterLines="0" w:line="240" w:lineRule="auto"/>
      <w:ind w:firstLine="0"/>
      <w:jc w:val="left"/>
    </w:pPr>
    <w:rPr>
      <w:rFonts w:ascii="Times New Roman" w:hAnsi="Times New Roman"/>
      <w:sz w:val="18"/>
      <w:szCs w:val="18"/>
    </w:rPr>
  </w:style>
  <w:style w:type="paragraph" w:customStyle="1" w:styleId="245">
    <w:name w:val="UserStyle_86"/>
    <w:basedOn w:val="1"/>
    <w:next w:val="1"/>
    <w:qFormat/>
    <w:uiPriority w:val="0"/>
    <w:pPr>
      <w:keepNext/>
      <w:keepLines/>
      <w:widowControl/>
      <w:numPr>
        <w:ilvl w:val="4"/>
        <w:numId w:val="3"/>
      </w:numPr>
      <w:spacing w:afterLines="0" w:line="240" w:lineRule="auto"/>
      <w:ind w:firstLine="0"/>
      <w:jc w:val="left"/>
    </w:pPr>
    <w:rPr>
      <w:rFonts w:ascii="@YuMincho +36p Kana Medium __L" w:hAnsi="@YuMincho +36p Kana Medium __L" w:eastAsia="楷体_GB2312"/>
      <w:sz w:val="24"/>
    </w:rPr>
  </w:style>
  <w:style w:type="paragraph" w:customStyle="1" w:styleId="246">
    <w:name w:val="UserStyle_89"/>
    <w:basedOn w:val="1"/>
    <w:next w:val="1"/>
    <w:qFormat/>
    <w:uiPriority w:val="0"/>
    <w:pPr>
      <w:keepNext/>
      <w:keepLines/>
      <w:widowControl/>
      <w:numPr>
        <w:ilvl w:val="5"/>
        <w:numId w:val="3"/>
      </w:numPr>
      <w:spacing w:afterLines="0" w:line="240" w:lineRule="auto"/>
      <w:ind w:firstLine="0"/>
      <w:jc w:val="left"/>
    </w:pPr>
    <w:rPr>
      <w:rFonts w:eastAsia="黑体"/>
      <w:bCs/>
      <w:kern w:val="0"/>
      <w:sz w:val="24"/>
      <w:lang w:val="en-GB"/>
    </w:rPr>
  </w:style>
  <w:style w:type="paragraph" w:customStyle="1" w:styleId="247">
    <w:name w:val="UserStyle_90"/>
    <w:basedOn w:val="1"/>
    <w:next w:val="1"/>
    <w:qFormat/>
    <w:uiPriority w:val="0"/>
    <w:pPr>
      <w:keepNext/>
      <w:keepLines/>
      <w:widowControl/>
      <w:numPr>
        <w:ilvl w:val="8"/>
        <w:numId w:val="3"/>
      </w:numPr>
      <w:spacing w:before="240" w:afterLines="0" w:line="320" w:lineRule="auto"/>
      <w:ind w:firstLine="0"/>
      <w:jc w:val="left"/>
    </w:pPr>
    <w:rPr>
      <w:rFonts w:eastAsia="黑体"/>
      <w:kern w:val="0"/>
      <w:sz w:val="24"/>
      <w:szCs w:val="20"/>
      <w:lang w:val="en-GB"/>
    </w:rPr>
  </w:style>
  <w:style w:type="paragraph" w:customStyle="1" w:styleId="248">
    <w:name w:val="UserStyle_91"/>
    <w:basedOn w:val="1"/>
    <w:next w:val="1"/>
    <w:qFormat/>
    <w:uiPriority w:val="0"/>
    <w:pPr>
      <w:keepNext/>
      <w:keepLines/>
      <w:widowControl/>
      <w:numPr>
        <w:ilvl w:val="7"/>
        <w:numId w:val="3"/>
      </w:numPr>
      <w:spacing w:before="240" w:afterLines="0" w:line="319" w:lineRule="auto"/>
      <w:ind w:firstLine="0"/>
      <w:jc w:val="left"/>
    </w:pPr>
    <w:rPr>
      <w:rFonts w:eastAsia="黑体"/>
      <w:kern w:val="0"/>
      <w:sz w:val="24"/>
      <w:lang w:val="en-GB"/>
    </w:rPr>
  </w:style>
  <w:style w:type="character" w:customStyle="1" w:styleId="249">
    <w:name w:val="正文文本 3 字符"/>
    <w:basedOn w:val="48"/>
    <w:link w:val="18"/>
    <w:qFormat/>
    <w:uiPriority w:val="0"/>
    <w:rPr>
      <w:rFonts w:ascii="Calibri" w:hAnsi="Calibri"/>
      <w:kern w:val="2"/>
      <w:sz w:val="16"/>
      <w:szCs w:val="16"/>
    </w:rPr>
  </w:style>
  <w:style w:type="character" w:customStyle="1" w:styleId="250">
    <w:name w:val="正文文本首行缩进 字符"/>
    <w:basedOn w:val="99"/>
    <w:link w:val="44"/>
    <w:qFormat/>
    <w:uiPriority w:val="0"/>
    <w:rPr>
      <w:rFonts w:ascii="Calibri" w:hAnsi="Calibri" w:eastAsia="宋体"/>
      <w:b/>
      <w:bCs/>
      <w:kern w:val="2"/>
      <w:sz w:val="21"/>
      <w:szCs w:val="24"/>
      <w:lang w:val="en-US" w:eastAsia="zh-CN" w:bidi="ar-SA"/>
    </w:rPr>
  </w:style>
  <w:style w:type="character" w:customStyle="1" w:styleId="251">
    <w:name w:val="正文文本首行缩进 2 字符"/>
    <w:basedOn w:val="80"/>
    <w:link w:val="45"/>
    <w:qFormat/>
    <w:uiPriority w:val="99"/>
    <w:rPr>
      <w:rFonts w:ascii="Calibri" w:hAnsi="Calibri" w:eastAsia="宋体"/>
      <w:kern w:val="2"/>
      <w:sz w:val="21"/>
      <w:szCs w:val="24"/>
      <w:lang w:val="en-US" w:eastAsia="zh-CN" w:bidi="ar-SA"/>
    </w:rPr>
  </w:style>
  <w:style w:type="paragraph" w:customStyle="1" w:styleId="252">
    <w:name w:val="a14"/>
    <w:basedOn w:val="1"/>
    <w:qFormat/>
    <w:uiPriority w:val="0"/>
    <w:pPr>
      <w:widowControl/>
      <w:spacing w:before="100" w:beforeAutospacing="1" w:afterLines="0" w:afterAutospacing="1" w:line="300" w:lineRule="atLeast"/>
      <w:ind w:firstLine="375"/>
      <w:jc w:val="left"/>
    </w:pPr>
    <w:rPr>
      <w:rFonts w:ascii="宋体" w:hAnsi="宋体" w:cs="宋体"/>
      <w:kern w:val="0"/>
      <w:szCs w:val="21"/>
    </w:rPr>
  </w:style>
  <w:style w:type="paragraph" w:customStyle="1" w:styleId="253">
    <w:name w:val="style2"/>
    <w:basedOn w:val="1"/>
    <w:qFormat/>
    <w:uiPriority w:val="0"/>
    <w:pPr>
      <w:widowControl/>
      <w:spacing w:before="100" w:beforeAutospacing="1" w:afterLines="0" w:afterAutospacing="1" w:line="240" w:lineRule="auto"/>
      <w:jc w:val="left"/>
    </w:pPr>
    <w:rPr>
      <w:rFonts w:ascii="宋体" w:hAnsi="宋体" w:cs="宋体"/>
      <w:kern w:val="0"/>
      <w:sz w:val="18"/>
      <w:szCs w:val="18"/>
    </w:rPr>
  </w:style>
  <w:style w:type="paragraph" w:customStyle="1" w:styleId="254">
    <w:name w:val="--规划-小标题"/>
    <w:basedOn w:val="1"/>
    <w:next w:val="255"/>
    <w:qFormat/>
    <w:uiPriority w:val="0"/>
    <w:pPr>
      <w:keepNext/>
      <w:keepLines/>
      <w:spacing w:afterLines="0" w:line="360" w:lineRule="auto"/>
      <w:outlineLvl w:val="4"/>
    </w:pPr>
    <w:rPr>
      <w:rFonts w:ascii="Calibri" w:hAnsi="Calibri" w:eastAsia="黑体"/>
    </w:rPr>
  </w:style>
  <w:style w:type="paragraph" w:customStyle="1" w:styleId="255">
    <w:name w:val="--规划正文"/>
    <w:basedOn w:val="1"/>
    <w:qFormat/>
    <w:uiPriority w:val="0"/>
    <w:pPr>
      <w:spacing w:afterLines="0" w:line="360" w:lineRule="auto"/>
      <w:ind w:firstLine="200" w:firstLineChars="200"/>
    </w:pPr>
    <w:rPr>
      <w:rFonts w:ascii="Calibri" w:hAnsi="Calibri"/>
      <w:szCs w:val="20"/>
    </w:rPr>
  </w:style>
  <w:style w:type="paragraph" w:customStyle="1" w:styleId="256">
    <w:name w:val="汉议细等线简8"/>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257">
    <w:name w:val="样式4"/>
    <w:basedOn w:val="1"/>
    <w:qFormat/>
    <w:uiPriority w:val="0"/>
    <w:pPr>
      <w:tabs>
        <w:tab w:val="left" w:pos="842"/>
      </w:tabs>
      <w:spacing w:afterLines="0" w:line="360" w:lineRule="auto"/>
      <w:ind w:left="842" w:hanging="420"/>
    </w:pPr>
    <w:rPr>
      <w:rFonts w:ascii="Calibri" w:hAnsi="Calibri"/>
      <w:sz w:val="24"/>
    </w:rPr>
  </w:style>
  <w:style w:type="paragraph" w:customStyle="1" w:styleId="258">
    <w:name w:val="CM2"/>
    <w:basedOn w:val="161"/>
    <w:next w:val="161"/>
    <w:qFormat/>
    <w:uiPriority w:val="0"/>
    <w:pPr>
      <w:spacing w:line="200" w:lineRule="atLeast"/>
    </w:pPr>
    <w:rPr>
      <w:rFonts w:ascii="Arial" w:hAnsi="Arial" w:cs="Times New Roman"/>
      <w:color w:val="auto"/>
    </w:rPr>
  </w:style>
  <w:style w:type="paragraph" w:customStyle="1" w:styleId="259">
    <w:name w:val="段落正文"/>
    <w:basedOn w:val="24"/>
    <w:qFormat/>
    <w:uiPriority w:val="0"/>
    <w:pPr>
      <w:spacing w:afterLines="0"/>
      <w:ind w:firstLine="560" w:firstLineChars="200"/>
    </w:pPr>
    <w:rPr>
      <w:sz w:val="28"/>
    </w:rPr>
  </w:style>
  <w:style w:type="paragraph" w:customStyle="1" w:styleId="260">
    <w:name w:val="样式3"/>
    <w:basedOn w:val="2"/>
    <w:qFormat/>
    <w:uiPriority w:val="0"/>
    <w:pPr>
      <w:keepNext w:val="0"/>
      <w:keepLines w:val="0"/>
      <w:numPr>
        <w:ilvl w:val="0"/>
        <w:numId w:val="4"/>
      </w:numPr>
      <w:spacing w:before="240" w:afterLines="0" w:line="480" w:lineRule="auto"/>
      <w:ind w:right="210" w:rightChars="100"/>
      <w:jc w:val="left"/>
    </w:pPr>
    <w:rPr>
      <w:rFonts w:ascii="宋体" w:hAnsi="宋体" w:eastAsia="黑体"/>
      <w:sz w:val="32"/>
    </w:rPr>
  </w:style>
  <w:style w:type="paragraph" w:customStyle="1" w:styleId="261">
    <w:name w:val="正文(首行缩进)"/>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262">
    <w:name w:val="z-窗体底端1"/>
    <w:basedOn w:val="1"/>
    <w:next w:val="1"/>
    <w:qFormat/>
    <w:uiPriority w:val="0"/>
    <w:pPr>
      <w:widowControl/>
      <w:pBdr>
        <w:top w:val="single" w:color="auto" w:sz="6" w:space="1"/>
      </w:pBdr>
      <w:spacing w:afterLines="0" w:line="240" w:lineRule="auto"/>
      <w:jc w:val="center"/>
    </w:pPr>
    <w:rPr>
      <w:rFonts w:cs="Arial"/>
      <w:vanish/>
      <w:kern w:val="0"/>
      <w:sz w:val="16"/>
      <w:szCs w:val="16"/>
    </w:rPr>
  </w:style>
  <w:style w:type="paragraph" w:customStyle="1" w:styleId="263">
    <w:name w:val="Char Char Char Char Char Char1 Char"/>
    <w:basedOn w:val="1"/>
    <w:qFormat/>
    <w:uiPriority w:val="0"/>
    <w:pPr>
      <w:widowControl/>
      <w:spacing w:afterLines="0" w:line="240" w:lineRule="exact"/>
      <w:jc w:val="left"/>
    </w:pPr>
    <w:rPr>
      <w:rFonts w:ascii="Verdana" w:hAnsi="Verdana"/>
      <w:kern w:val="0"/>
      <w:szCs w:val="20"/>
      <w:lang w:eastAsia="en-US"/>
    </w:rPr>
  </w:style>
  <w:style w:type="paragraph" w:customStyle="1" w:styleId="264">
    <w:name w:val="z-窗体顶端1"/>
    <w:basedOn w:val="1"/>
    <w:next w:val="1"/>
    <w:qFormat/>
    <w:uiPriority w:val="0"/>
    <w:pPr>
      <w:widowControl/>
      <w:pBdr>
        <w:bottom w:val="single" w:color="auto" w:sz="6" w:space="1"/>
      </w:pBdr>
      <w:spacing w:afterLines="0" w:line="240" w:lineRule="auto"/>
      <w:jc w:val="center"/>
    </w:pPr>
    <w:rPr>
      <w:rFonts w:cs="Arial"/>
      <w:vanish/>
      <w:kern w:val="0"/>
      <w:sz w:val="16"/>
      <w:szCs w:val="16"/>
    </w:rPr>
  </w:style>
  <w:style w:type="paragraph" w:customStyle="1" w:styleId="265">
    <w:name w:val="Table Contents"/>
    <w:basedOn w:val="1"/>
    <w:qFormat/>
    <w:uiPriority w:val="0"/>
    <w:pPr>
      <w:suppressAutoHyphens/>
      <w:autoSpaceDE w:val="0"/>
      <w:spacing w:afterLines="0" w:line="240" w:lineRule="auto"/>
      <w:jc w:val="left"/>
    </w:pPr>
    <w:rPr>
      <w:rFonts w:ascii="Helvetica" w:hAnsi="Helvetica"/>
      <w:kern w:val="1"/>
      <w:sz w:val="20"/>
      <w:szCs w:val="20"/>
    </w:rPr>
  </w:style>
  <w:style w:type="paragraph" w:customStyle="1" w:styleId="266">
    <w:name w:val="--规划-图和表"/>
    <w:next w:val="255"/>
    <w:qFormat/>
    <w:uiPriority w:val="0"/>
    <w:pPr>
      <w:jc w:val="center"/>
    </w:pPr>
    <w:rPr>
      <w:rFonts w:ascii="Calibri" w:hAnsi="Calibri" w:eastAsia="宋体" w:cs="Times New Roman"/>
      <w:kern w:val="2"/>
      <w:sz w:val="21"/>
      <w:lang w:val="en-US" w:eastAsia="zh-CN" w:bidi="ar-SA"/>
    </w:rPr>
  </w:style>
  <w:style w:type="paragraph" w:customStyle="1" w:styleId="267">
    <w:name w:val="编号1"/>
    <w:basedOn w:val="1"/>
    <w:qFormat/>
    <w:uiPriority w:val="0"/>
    <w:pPr>
      <w:numPr>
        <w:ilvl w:val="0"/>
        <w:numId w:val="5"/>
      </w:numPr>
      <w:adjustRightInd w:val="0"/>
      <w:spacing w:afterLines="0"/>
      <w:ind w:right="210"/>
      <w:textAlignment w:val="center"/>
    </w:pPr>
    <w:rPr>
      <w:rFonts w:ascii="宋体" w:hAnsi="宋体"/>
      <w:snapToGrid w:val="0"/>
      <w:spacing w:val="10"/>
      <w:kern w:val="24"/>
    </w:rPr>
  </w:style>
  <w:style w:type="paragraph" w:customStyle="1" w:styleId="268">
    <w:name w:val="正文(首行缩进) Char"/>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269">
    <w:name w:val="8"/>
    <w:basedOn w:val="1"/>
    <w:next w:val="20"/>
    <w:qFormat/>
    <w:uiPriority w:val="0"/>
    <w:pPr>
      <w:spacing w:afterLines="0" w:line="240" w:lineRule="auto"/>
      <w:ind w:left="420" w:leftChars="200"/>
    </w:pPr>
    <w:rPr>
      <w:rFonts w:ascii="Calibri" w:hAnsi="Calibri"/>
    </w:rPr>
  </w:style>
  <w:style w:type="paragraph" w:customStyle="1" w:styleId="270">
    <w:name w:val="设计依据"/>
    <w:basedOn w:val="19"/>
    <w:qFormat/>
    <w:uiPriority w:val="0"/>
    <w:pPr>
      <w:numPr>
        <w:ilvl w:val="1"/>
        <w:numId w:val="6"/>
      </w:numPr>
      <w:tabs>
        <w:tab w:val="left" w:pos="1440"/>
        <w:tab w:val="clear" w:pos="840"/>
        <w:tab w:val="clear" w:pos="4760"/>
      </w:tabs>
      <w:adjustRightInd w:val="0"/>
      <w:spacing w:afterLines="0" w:line="360" w:lineRule="auto"/>
      <w:ind w:left="1440"/>
      <w:jc w:val="both"/>
      <w:textAlignment w:val="baseline"/>
    </w:pPr>
    <w:rPr>
      <w:rFonts w:ascii="宋体" w:hAnsi="宋体"/>
      <w:bCs/>
      <w:kern w:val="0"/>
      <w:sz w:val="28"/>
      <w:szCs w:val="18"/>
    </w:rPr>
  </w:style>
  <w:style w:type="paragraph" w:customStyle="1" w:styleId="271">
    <w:name w:val="--编号内缩进"/>
    <w:basedOn w:val="1"/>
    <w:qFormat/>
    <w:uiPriority w:val="0"/>
    <w:pPr>
      <w:spacing w:afterLines="0" w:line="360" w:lineRule="auto"/>
      <w:ind w:left="420" w:firstLine="200" w:firstLineChars="200"/>
    </w:pPr>
    <w:rPr>
      <w:rFonts w:ascii="Calibri" w:hAnsi="Calibri"/>
      <w:szCs w:val="21"/>
    </w:rPr>
  </w:style>
  <w:style w:type="paragraph" w:customStyle="1" w:styleId="272">
    <w:name w:val="6"/>
    <w:basedOn w:val="273"/>
    <w:qFormat/>
    <w:uiPriority w:val="0"/>
    <w:pPr>
      <w:spacing w:line="270" w:lineRule="atLeast"/>
      <w:jc w:val="both"/>
    </w:pPr>
    <w:rPr>
      <w:b w:val="0"/>
      <w:bCs w:val="0"/>
    </w:rPr>
  </w:style>
  <w:style w:type="paragraph" w:customStyle="1" w:styleId="273">
    <w:name w:val="5"/>
    <w:basedOn w:val="1"/>
    <w:qFormat/>
    <w:uiPriority w:val="0"/>
    <w:pPr>
      <w:autoSpaceDE w:val="0"/>
      <w:autoSpaceDN w:val="0"/>
      <w:adjustRightInd w:val="0"/>
      <w:spacing w:afterLines="0" w:line="240" w:lineRule="auto"/>
      <w:jc w:val="left"/>
    </w:pPr>
    <w:rPr>
      <w:rFonts w:ascii="宋体" w:hAnsi="Calibri"/>
      <w:b/>
      <w:bCs/>
      <w:kern w:val="0"/>
      <w:sz w:val="18"/>
      <w:szCs w:val="18"/>
    </w:rPr>
  </w:style>
  <w:style w:type="paragraph" w:customStyle="1" w:styleId="274">
    <w:name w:val="Table Paragraph"/>
    <w:basedOn w:val="1"/>
    <w:qFormat/>
    <w:uiPriority w:val="1"/>
    <w:pPr>
      <w:autoSpaceDE w:val="0"/>
      <w:autoSpaceDN w:val="0"/>
      <w:adjustRightInd w:val="0"/>
      <w:spacing w:afterLines="0" w:line="240" w:lineRule="auto"/>
      <w:jc w:val="left"/>
    </w:pPr>
    <w:rPr>
      <w:rFonts w:ascii="宋体" w:hAnsi="宋体" w:cs="宋体"/>
      <w:kern w:val="0"/>
      <w:sz w:val="24"/>
    </w:rPr>
  </w:style>
  <w:style w:type="paragraph" w:customStyle="1" w:styleId="275">
    <w:name w:val="缺省文本"/>
    <w:basedOn w:val="1"/>
    <w:qFormat/>
    <w:uiPriority w:val="0"/>
    <w:pPr>
      <w:autoSpaceDE w:val="0"/>
      <w:autoSpaceDN w:val="0"/>
      <w:adjustRightInd w:val="0"/>
      <w:spacing w:afterLines="0" w:line="240" w:lineRule="auto"/>
      <w:jc w:val="left"/>
    </w:pPr>
    <w:rPr>
      <w:rFonts w:ascii="Calibri" w:hAnsi="Calibri"/>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pPr>
    <w:rPr>
      <w:rFonts w:ascii="宋体" w:hAnsi="宋体" w:cs="宋体"/>
      <w:kern w:val="0"/>
      <w:sz w:val="20"/>
      <w:szCs w:val="20"/>
    </w:rPr>
  </w:style>
  <w:style w:type="paragraph" w:customStyle="1" w:styleId="277">
    <w:name w:val="_Style 1"/>
    <w:qFormat/>
    <w:uiPriority w:val="99"/>
    <w:pPr>
      <w:adjustRightInd w:val="0"/>
      <w:snapToGrid w:val="0"/>
    </w:pPr>
    <w:rPr>
      <w:rFonts w:ascii="Tahoma" w:hAnsi="Tahoma" w:eastAsia="宋体" w:cs="Times New Roman"/>
      <w:sz w:val="22"/>
      <w:szCs w:val="22"/>
      <w:lang w:val="en-US" w:eastAsia="zh-CN" w:bidi="ar-SA"/>
    </w:rPr>
  </w:style>
  <w:style w:type="paragraph" w:customStyle="1" w:styleId="278">
    <w:name w:val="xl34"/>
    <w:basedOn w:val="1"/>
    <w:qFormat/>
    <w:uiPriority w:val="0"/>
    <w:pPr>
      <w:widowControl/>
      <w:pBdr>
        <w:left w:val="single" w:color="auto" w:sz="4" w:space="0"/>
      </w:pBdr>
      <w:spacing w:before="100" w:beforeAutospacing="1" w:afterLines="0" w:afterAutospacing="1" w:line="240" w:lineRule="auto"/>
      <w:jc w:val="center"/>
      <w:textAlignment w:val="center"/>
    </w:pPr>
    <w:rPr>
      <w:rFonts w:ascii="宋体" w:hAnsi="宋体"/>
      <w:kern w:val="0"/>
      <w:sz w:val="24"/>
    </w:rPr>
  </w:style>
  <w:style w:type="paragraph" w:customStyle="1" w:styleId="279">
    <w:name w:val="封面文档标题"/>
    <w:basedOn w:val="1"/>
    <w:qFormat/>
    <w:uiPriority w:val="0"/>
    <w:pPr>
      <w:autoSpaceDE w:val="0"/>
      <w:autoSpaceDN w:val="0"/>
      <w:adjustRightInd w:val="0"/>
      <w:spacing w:afterLines="0" w:line="360" w:lineRule="auto"/>
      <w:jc w:val="center"/>
    </w:pPr>
    <w:rPr>
      <w:b/>
      <w:kern w:val="0"/>
      <w:sz w:val="56"/>
    </w:rPr>
  </w:style>
  <w:style w:type="paragraph" w:customStyle="1" w:styleId="280">
    <w:name w:val="00"/>
    <w:basedOn w:val="1"/>
    <w:qFormat/>
    <w:uiPriority w:val="0"/>
    <w:pPr>
      <w:autoSpaceDE w:val="0"/>
      <w:autoSpaceDN w:val="0"/>
      <w:adjustRightInd w:val="0"/>
      <w:spacing w:afterLines="0" w:line="240" w:lineRule="auto"/>
      <w:jc w:val="left"/>
    </w:pPr>
    <w:rPr>
      <w:rFonts w:ascii="黑体" w:hAnsi="Calibri" w:eastAsia="黑体"/>
      <w:b/>
      <w:bCs/>
      <w:kern w:val="0"/>
      <w:sz w:val="20"/>
      <w:szCs w:val="20"/>
    </w:rPr>
  </w:style>
  <w:style w:type="paragraph" w:customStyle="1" w:styleId="281">
    <w:name w:val="缩进正文"/>
    <w:basedOn w:val="1"/>
    <w:link w:val="282"/>
    <w:qFormat/>
    <w:uiPriority w:val="0"/>
    <w:pPr>
      <w:spacing w:afterLines="0" w:line="240" w:lineRule="auto"/>
      <w:ind w:firstLine="560" w:firstLineChars="200"/>
    </w:pPr>
    <w:rPr>
      <w:rFonts w:ascii="Calibri" w:hAnsi="Calibri" w:eastAsia="仿宋_GB2312" w:cs="宋体"/>
      <w:sz w:val="28"/>
      <w:szCs w:val="20"/>
    </w:rPr>
  </w:style>
  <w:style w:type="character" w:customStyle="1" w:styleId="282">
    <w:name w:val="缩进正文 Char"/>
    <w:link w:val="281"/>
    <w:qFormat/>
    <w:uiPriority w:val="0"/>
    <w:rPr>
      <w:rFonts w:ascii="Calibri" w:hAnsi="Calibri" w:eastAsia="仿宋_GB2312" w:cs="宋体"/>
      <w:kern w:val="2"/>
      <w:sz w:val="28"/>
    </w:rPr>
  </w:style>
  <w:style w:type="paragraph" w:customStyle="1" w:styleId="283">
    <w:name w:val="Normal Paragraph"/>
    <w:basedOn w:val="1"/>
    <w:qFormat/>
    <w:uiPriority w:val="0"/>
    <w:pPr>
      <w:widowControl/>
      <w:spacing w:before="120" w:afterLines="0" w:line="360" w:lineRule="auto"/>
      <w:ind w:firstLine="425"/>
    </w:pPr>
    <w:rPr>
      <w:rFonts w:ascii="Calibri" w:hAnsi="Calibri"/>
      <w:kern w:val="0"/>
      <w:sz w:val="24"/>
    </w:rPr>
  </w:style>
  <w:style w:type="paragraph" w:customStyle="1" w:styleId="284">
    <w:name w:val="text1"/>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285">
    <w:name w:val="9"/>
    <w:basedOn w:val="1"/>
    <w:next w:val="6"/>
    <w:qFormat/>
    <w:uiPriority w:val="0"/>
    <w:pPr>
      <w:autoSpaceDE w:val="0"/>
      <w:autoSpaceDN w:val="0"/>
      <w:adjustRightInd w:val="0"/>
      <w:spacing w:afterLines="0" w:line="240" w:lineRule="auto"/>
      <w:ind w:firstLine="420"/>
      <w:jc w:val="left"/>
      <w:textAlignment w:val="baseline"/>
    </w:pPr>
    <w:rPr>
      <w:rFonts w:ascii="宋体" w:hAnsi="Calibri"/>
      <w:kern w:val="0"/>
      <w:sz w:val="34"/>
      <w:szCs w:val="20"/>
    </w:rPr>
  </w:style>
  <w:style w:type="paragraph" w:customStyle="1" w:styleId="286">
    <w:name w:val="cont"/>
    <w:basedOn w:val="1"/>
    <w:qFormat/>
    <w:uiPriority w:val="0"/>
    <w:pPr>
      <w:adjustRightInd w:val="0"/>
      <w:spacing w:before="100" w:afterLines="0" w:line="360" w:lineRule="auto"/>
      <w:ind w:firstLine="200" w:firstLineChars="200"/>
      <w:jc w:val="left"/>
      <w:textAlignment w:val="baseline"/>
    </w:pPr>
    <w:rPr>
      <w:kern w:val="0"/>
      <w:sz w:val="24"/>
      <w:szCs w:val="20"/>
    </w:rPr>
  </w:style>
  <w:style w:type="paragraph" w:customStyle="1" w:styleId="287">
    <w:name w:val="--规划正文 Char"/>
    <w:basedOn w:val="1"/>
    <w:qFormat/>
    <w:uiPriority w:val="0"/>
    <w:pPr>
      <w:spacing w:afterLines="0" w:line="360" w:lineRule="auto"/>
      <w:ind w:firstLine="200" w:firstLineChars="200"/>
    </w:pPr>
    <w:rPr>
      <w:rFonts w:ascii="Calibri" w:hAnsi="Calibri"/>
      <w:sz w:val="24"/>
    </w:rPr>
  </w:style>
  <w:style w:type="paragraph" w:customStyle="1" w:styleId="288">
    <w:name w:val="Char Char Char Char Char Char Char Char Char Char Char Char Char Char Char Char Char Char Char Char Char Char"/>
    <w:basedOn w:val="1"/>
    <w:qFormat/>
    <w:uiPriority w:val="0"/>
    <w:pPr>
      <w:widowControl/>
      <w:spacing w:afterLines="0" w:line="400" w:lineRule="exact"/>
      <w:jc w:val="center"/>
    </w:pPr>
    <w:rPr>
      <w:rFonts w:ascii="Verdana" w:hAnsi="Verdana"/>
      <w:kern w:val="0"/>
      <w:szCs w:val="20"/>
      <w:lang w:eastAsia="en-US"/>
    </w:rPr>
  </w:style>
  <w:style w:type="paragraph" w:customStyle="1" w:styleId="289">
    <w:name w:val="--规划-表格-居中"/>
    <w:basedOn w:val="255"/>
    <w:qFormat/>
    <w:uiPriority w:val="0"/>
    <w:pPr>
      <w:spacing w:line="240" w:lineRule="auto"/>
      <w:ind w:firstLine="0" w:firstLineChars="0"/>
      <w:jc w:val="center"/>
    </w:pPr>
    <w:rPr>
      <w:sz w:val="20"/>
    </w:rPr>
  </w:style>
  <w:style w:type="paragraph" w:customStyle="1" w:styleId="2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left"/>
    </w:pPr>
    <w:rPr>
      <w:rFonts w:ascii="宋体" w:hAnsi="宋体"/>
      <w:kern w:val="0"/>
      <w:sz w:val="24"/>
    </w:rPr>
  </w:style>
  <w:style w:type="paragraph" w:customStyle="1" w:styleId="291">
    <w:name w:val="Char Char Char Char Char Char1 Char Char Char Char Char Char Char Char Char Char Char Char Char"/>
    <w:basedOn w:val="1"/>
    <w:qFormat/>
    <w:uiPriority w:val="0"/>
    <w:pPr>
      <w:widowControl/>
      <w:spacing w:afterLines="0" w:line="240" w:lineRule="exact"/>
      <w:jc w:val="left"/>
    </w:pPr>
    <w:rPr>
      <w:rFonts w:eastAsia="Times New Roman" w:cs="Verdana"/>
      <w:b/>
      <w:kern w:val="0"/>
      <w:sz w:val="24"/>
      <w:lang w:eastAsia="en-US"/>
    </w:rPr>
  </w:style>
  <w:style w:type="paragraph" w:customStyle="1" w:styleId="292">
    <w:name w:val="产品描述"/>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293">
    <w:name w:val="小标题 1"/>
    <w:basedOn w:val="1"/>
    <w:qFormat/>
    <w:uiPriority w:val="0"/>
    <w:pPr>
      <w:autoSpaceDE w:val="0"/>
      <w:autoSpaceDN w:val="0"/>
      <w:adjustRightInd w:val="0"/>
      <w:spacing w:afterLines="0" w:line="360" w:lineRule="atLeast"/>
    </w:pPr>
    <w:rPr>
      <w:rFonts w:ascii="文鼎粗黑" w:hAnsi="Calibri" w:eastAsia="文鼎粗黑"/>
      <w:kern w:val="0"/>
      <w:sz w:val="22"/>
      <w:szCs w:val="20"/>
    </w:rPr>
  </w:style>
  <w:style w:type="paragraph" w:customStyle="1" w:styleId="294">
    <w:name w:val="样式2"/>
    <w:basedOn w:val="42"/>
    <w:next w:val="190"/>
    <w:qFormat/>
    <w:uiPriority w:val="0"/>
    <w:pPr>
      <w:spacing w:before="120" w:after="120"/>
    </w:pPr>
    <w:rPr>
      <w:rFonts w:ascii="Arial" w:hAnsi="Arial" w:eastAsia="黑体" w:cs="Arial"/>
      <w:b w:val="0"/>
      <w:sz w:val="30"/>
      <w:szCs w:val="30"/>
    </w:rPr>
  </w:style>
  <w:style w:type="paragraph" w:customStyle="1" w:styleId="295">
    <w:name w:val="样式41"/>
    <w:basedOn w:val="1"/>
    <w:qFormat/>
    <w:uiPriority w:val="0"/>
    <w:pPr>
      <w:numPr>
        <w:ilvl w:val="0"/>
        <w:numId w:val="7"/>
      </w:numPr>
      <w:tabs>
        <w:tab w:val="left" w:pos="945"/>
      </w:tabs>
      <w:spacing w:afterLines="0" w:line="360" w:lineRule="auto"/>
    </w:pPr>
    <w:rPr>
      <w:rFonts w:ascii="Calibri" w:hAnsi="Calibri"/>
      <w:b/>
      <w:color w:val="000000"/>
      <w:sz w:val="24"/>
      <w:szCs w:val="20"/>
    </w:rPr>
  </w:style>
  <w:style w:type="paragraph" w:customStyle="1" w:styleId="296">
    <w:name w:val="blue1"/>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297">
    <w:name w:val="列表项目"/>
    <w:basedOn w:val="1"/>
    <w:qFormat/>
    <w:uiPriority w:val="0"/>
    <w:pPr>
      <w:tabs>
        <w:tab w:val="left" w:pos="420"/>
        <w:tab w:val="left" w:pos="1080"/>
      </w:tabs>
      <w:spacing w:afterLines="0" w:line="288" w:lineRule="auto"/>
      <w:ind w:left="1080" w:hanging="360"/>
    </w:pPr>
    <w:rPr>
      <w:rFonts w:ascii="Calibri" w:hAnsi="Calibri"/>
      <w:sz w:val="24"/>
      <w:szCs w:val="20"/>
    </w:rPr>
  </w:style>
  <w:style w:type="paragraph" w:customStyle="1" w:styleId="298">
    <w:name w:val="方案要点"/>
    <w:basedOn w:val="1"/>
    <w:qFormat/>
    <w:uiPriority w:val="0"/>
    <w:pPr>
      <w:numPr>
        <w:ilvl w:val="0"/>
        <w:numId w:val="6"/>
      </w:numPr>
      <w:spacing w:afterLines="0" w:line="360" w:lineRule="auto"/>
    </w:pPr>
    <w:rPr>
      <w:rFonts w:ascii="仿宋_GB2312" w:hAnsi="宋体" w:eastAsia="仿宋_GB2312"/>
      <w:color w:val="000000"/>
      <w:sz w:val="28"/>
      <w:szCs w:val="28"/>
    </w:rPr>
  </w:style>
  <w:style w:type="paragraph" w:customStyle="1" w:styleId="299">
    <w:name w:val="正文文字缩进项目"/>
    <w:basedOn w:val="20"/>
    <w:qFormat/>
    <w:uiPriority w:val="0"/>
    <w:pPr>
      <w:numPr>
        <w:ilvl w:val="1"/>
        <w:numId w:val="8"/>
      </w:numPr>
      <w:tabs>
        <w:tab w:val="left" w:pos="840"/>
        <w:tab w:val="clear" w:pos="1260"/>
      </w:tabs>
      <w:spacing w:afterLines="0" w:line="240" w:lineRule="auto"/>
      <w:ind w:left="840" w:leftChars="0" w:firstLine="0"/>
    </w:pPr>
    <w:rPr>
      <w:rFonts w:ascii="Tahoma" w:hAnsi="Tahoma"/>
      <w:sz w:val="22"/>
      <w:szCs w:val="20"/>
    </w:rPr>
  </w:style>
  <w:style w:type="paragraph" w:customStyle="1" w:styleId="300">
    <w:name w:val="RFI text from 3rd Level"/>
    <w:basedOn w:val="1"/>
    <w:qFormat/>
    <w:uiPriority w:val="0"/>
    <w:pPr>
      <w:widowControl/>
      <w:numPr>
        <w:ilvl w:val="0"/>
        <w:numId w:val="8"/>
      </w:numPr>
      <w:tabs>
        <w:tab w:val="left" w:pos="1080"/>
        <w:tab w:val="clear" w:pos="840"/>
      </w:tabs>
      <w:spacing w:beforeLines="50" w:afterLines="0" w:line="360" w:lineRule="auto"/>
      <w:ind w:left="0" w:firstLine="0"/>
    </w:pPr>
    <w:rPr>
      <w:rFonts w:ascii="Arial (W1)" w:hAnsi="Arial (W1)"/>
      <w:bCs/>
      <w:kern w:val="0"/>
      <w:sz w:val="24"/>
      <w:lang w:val="en-GB"/>
    </w:rPr>
  </w:style>
  <w:style w:type="paragraph" w:customStyle="1" w:styleId="301">
    <w:name w:val="Char11"/>
    <w:basedOn w:val="1"/>
    <w:qFormat/>
    <w:uiPriority w:val="0"/>
    <w:pPr>
      <w:widowControl/>
      <w:spacing w:afterLines="0" w:line="240" w:lineRule="exact"/>
      <w:jc w:val="left"/>
    </w:pPr>
    <w:rPr>
      <w:rFonts w:ascii="Verdana" w:hAnsi="Verdana" w:eastAsia="仿宋_GB2312"/>
      <w:kern w:val="0"/>
      <w:sz w:val="24"/>
      <w:szCs w:val="20"/>
      <w:lang w:eastAsia="en-US"/>
    </w:rPr>
  </w:style>
  <w:style w:type="paragraph" w:customStyle="1" w:styleId="302">
    <w:name w:val="汉仪细等线简9BOLD"/>
    <w:basedOn w:val="1"/>
    <w:qFormat/>
    <w:uiPriority w:val="0"/>
    <w:pPr>
      <w:autoSpaceDE w:val="0"/>
      <w:autoSpaceDN w:val="0"/>
      <w:adjustRightInd w:val="0"/>
      <w:spacing w:afterLines="0" w:line="240" w:lineRule="atLeast"/>
    </w:pPr>
    <w:rPr>
      <w:rFonts w:ascii="汉仪细等线简" w:hAnsi="Calibri" w:eastAsia="汉仪细等线简"/>
      <w:b/>
      <w:bCs/>
      <w:kern w:val="0"/>
      <w:sz w:val="18"/>
      <w:szCs w:val="18"/>
    </w:rPr>
  </w:style>
  <w:style w:type="paragraph" w:customStyle="1" w:styleId="30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pPr>
    <w:rPr>
      <w:rFonts w:ascii="宋体" w:hAnsi="宋体"/>
      <w:kern w:val="0"/>
      <w:sz w:val="24"/>
    </w:rPr>
  </w:style>
  <w:style w:type="paragraph" w:customStyle="1" w:styleId="304">
    <w:name w:val="评价"/>
    <w:basedOn w:val="1"/>
    <w:qFormat/>
    <w:uiPriority w:val="0"/>
    <w:pPr>
      <w:spacing w:afterLines="20" w:line="240" w:lineRule="auto"/>
      <w:ind w:firstLine="1446" w:firstLineChars="200"/>
    </w:pPr>
    <w:rPr>
      <w:rFonts w:ascii="Calibri" w:hAnsi="Calibri"/>
      <w:sz w:val="24"/>
    </w:rPr>
  </w:style>
  <w:style w:type="paragraph" w:customStyle="1" w:styleId="305">
    <w:name w:val="word"/>
    <w:basedOn w:val="1"/>
    <w:qFormat/>
    <w:uiPriority w:val="0"/>
    <w:pPr>
      <w:widowControl/>
      <w:spacing w:before="100" w:beforeAutospacing="1" w:afterLines="0" w:afterAutospacing="1" w:line="301" w:lineRule="atLeast"/>
      <w:jc w:val="left"/>
    </w:pPr>
    <w:rPr>
      <w:rFonts w:ascii="ˎ̥" w:hAnsi="ˎ̥"/>
      <w:color w:val="000000"/>
      <w:kern w:val="0"/>
      <w:sz w:val="20"/>
      <w:szCs w:val="20"/>
    </w:rPr>
  </w:style>
  <w:style w:type="paragraph" w:customStyle="1" w:styleId="306">
    <w:name w:val="样式 标题 2 + 段前: 13 磅 段后: 13 磅 行距: 单倍行距"/>
    <w:basedOn w:val="3"/>
    <w:qFormat/>
    <w:uiPriority w:val="0"/>
    <w:pPr>
      <w:keepNext w:val="0"/>
      <w:keepLines w:val="0"/>
      <w:spacing w:before="0" w:afterLines="0" w:line="240" w:lineRule="auto"/>
    </w:pPr>
    <w:rPr>
      <w:rFonts w:ascii="Cambria" w:hAnsi="Cambria" w:eastAsia="宋体" w:cs="宋体"/>
      <w:szCs w:val="20"/>
    </w:rPr>
  </w:style>
  <w:style w:type="paragraph" w:customStyle="1" w:styleId="307">
    <w:name w:val="Char Char Char Char Char"/>
    <w:basedOn w:val="1"/>
    <w:qFormat/>
    <w:uiPriority w:val="0"/>
    <w:pPr>
      <w:spacing w:afterLines="0" w:line="240" w:lineRule="auto"/>
    </w:pPr>
    <w:rPr>
      <w:rFonts w:ascii="Tahoma" w:hAnsi="Tahoma"/>
      <w:sz w:val="24"/>
      <w:szCs w:val="20"/>
    </w:rPr>
  </w:style>
  <w:style w:type="paragraph" w:customStyle="1" w:styleId="308">
    <w:name w:val="--规划-题注"/>
    <w:basedOn w:val="1"/>
    <w:next w:val="255"/>
    <w:qFormat/>
    <w:uiPriority w:val="0"/>
    <w:pPr>
      <w:spacing w:afterLines="0" w:line="360" w:lineRule="auto"/>
      <w:jc w:val="center"/>
    </w:pPr>
    <w:rPr>
      <w:rFonts w:ascii="Calibri" w:hAnsi="Calibri" w:eastAsia="黑体"/>
    </w:rPr>
  </w:style>
  <w:style w:type="paragraph" w:customStyle="1" w:styleId="309">
    <w:name w:val="--规划-表格-居左"/>
    <w:basedOn w:val="255"/>
    <w:qFormat/>
    <w:uiPriority w:val="0"/>
    <w:pPr>
      <w:spacing w:line="240" w:lineRule="auto"/>
      <w:ind w:firstLine="0" w:firstLineChars="0"/>
    </w:pPr>
    <w:rPr>
      <w:sz w:val="20"/>
    </w:rPr>
  </w:style>
  <w:style w:type="paragraph" w:customStyle="1" w:styleId="310">
    <w:name w:val="表格字"/>
    <w:basedOn w:val="1"/>
    <w:qFormat/>
    <w:uiPriority w:val="0"/>
    <w:pPr>
      <w:adjustRightInd w:val="0"/>
      <w:spacing w:afterLines="0" w:line="240" w:lineRule="auto"/>
      <w:jc w:val="center"/>
    </w:pPr>
    <w:rPr>
      <w:rFonts w:ascii="宋体" w:hAnsi="Calibri"/>
      <w:sz w:val="24"/>
      <w:szCs w:val="20"/>
    </w:rPr>
  </w:style>
  <w:style w:type="paragraph" w:customStyle="1" w:styleId="311">
    <w:name w:val="自定义正文"/>
    <w:basedOn w:val="1"/>
    <w:qFormat/>
    <w:uiPriority w:val="0"/>
    <w:pPr>
      <w:spacing w:afterLines="50" w:line="240" w:lineRule="auto"/>
      <w:ind w:left="600" w:leftChars="600"/>
    </w:pPr>
    <w:rPr>
      <w:rFonts w:ascii="Calibri" w:hAnsi="Calibri"/>
    </w:rPr>
  </w:style>
  <w:style w:type="paragraph" w:customStyle="1" w:styleId="312">
    <w:name w:val="正文样式"/>
    <w:basedOn w:val="1"/>
    <w:qFormat/>
    <w:uiPriority w:val="0"/>
    <w:pPr>
      <w:adjustRightInd w:val="0"/>
      <w:spacing w:afterLines="0" w:line="400" w:lineRule="atLeast"/>
      <w:ind w:firstLine="570" w:firstLineChars="203"/>
      <w:textAlignment w:val="baseline"/>
    </w:pPr>
    <w:rPr>
      <w:rFonts w:ascii="Calibri" w:hAnsi="Calibri" w:eastAsia="仿宋_GB2312"/>
      <w:kern w:val="0"/>
      <w:sz w:val="28"/>
      <w:szCs w:val="20"/>
    </w:rPr>
  </w:style>
  <w:style w:type="paragraph" w:customStyle="1" w:styleId="313">
    <w:name w:val="图"/>
    <w:basedOn w:val="1"/>
    <w:qFormat/>
    <w:uiPriority w:val="0"/>
    <w:pPr>
      <w:keepNext/>
      <w:adjustRightInd w:val="0"/>
      <w:snapToGrid w:val="0"/>
      <w:spacing w:before="60" w:afterLines="0"/>
      <w:jc w:val="center"/>
    </w:pPr>
    <w:rPr>
      <w:rFonts w:ascii="Calibri" w:hAnsi="Calibri"/>
      <w:spacing w:val="20"/>
      <w:kern w:val="0"/>
      <w:sz w:val="24"/>
      <w:szCs w:val="20"/>
    </w:rPr>
  </w:style>
  <w:style w:type="paragraph" w:customStyle="1" w:styleId="314">
    <w:name w:val="È±Ê¡ÎÄ±¾"/>
    <w:basedOn w:val="1"/>
    <w:qFormat/>
    <w:uiPriority w:val="0"/>
    <w:pPr>
      <w:widowControl/>
      <w:overflowPunct w:val="0"/>
      <w:autoSpaceDE w:val="0"/>
      <w:autoSpaceDN w:val="0"/>
      <w:adjustRightInd w:val="0"/>
      <w:spacing w:afterLines="0" w:line="240" w:lineRule="auto"/>
      <w:jc w:val="left"/>
      <w:textAlignment w:val="baseline"/>
    </w:pPr>
    <w:rPr>
      <w:rFonts w:ascii="Calibri" w:hAnsi="Calibri"/>
      <w:kern w:val="0"/>
      <w:sz w:val="24"/>
      <w:szCs w:val="20"/>
    </w:rPr>
  </w:style>
  <w:style w:type="paragraph" w:customStyle="1" w:styleId="315">
    <w:name w:val="文字"/>
    <w:basedOn w:val="1"/>
    <w:qFormat/>
    <w:uiPriority w:val="0"/>
    <w:pPr>
      <w:tabs>
        <w:tab w:val="left" w:pos="8520"/>
      </w:tabs>
      <w:spacing w:afterLines="0" w:line="312" w:lineRule="auto"/>
      <w:ind w:right="-210" w:firstLine="556"/>
    </w:pPr>
    <w:rPr>
      <w:rFonts w:ascii="宋体" w:hAnsi="Calibri"/>
      <w:sz w:val="28"/>
      <w:szCs w:val="20"/>
    </w:rPr>
  </w:style>
  <w:style w:type="paragraph" w:customStyle="1" w:styleId="316">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317">
    <w:name w:val="姜文清定义的正文"/>
    <w:basedOn w:val="1"/>
    <w:qFormat/>
    <w:uiPriority w:val="0"/>
    <w:pPr>
      <w:spacing w:afterLines="0" w:line="240" w:lineRule="atLeast"/>
      <w:ind w:firstLine="567"/>
    </w:pPr>
    <w:rPr>
      <w:rFonts w:ascii="Calibri" w:hAnsi="Calibri"/>
      <w:szCs w:val="20"/>
    </w:rPr>
  </w:style>
  <w:style w:type="paragraph" w:customStyle="1" w:styleId="318">
    <w:name w:val="7"/>
    <w:basedOn w:val="1"/>
    <w:qFormat/>
    <w:uiPriority w:val="0"/>
    <w:pPr>
      <w:autoSpaceDE w:val="0"/>
      <w:autoSpaceDN w:val="0"/>
      <w:adjustRightInd w:val="0"/>
      <w:spacing w:afterLines="0" w:line="270" w:lineRule="atLeast"/>
      <w:jc w:val="left"/>
    </w:pPr>
    <w:rPr>
      <w:rFonts w:ascii="宋体" w:hAnsi="Calibri"/>
      <w:kern w:val="0"/>
      <w:sz w:val="18"/>
      <w:szCs w:val="18"/>
    </w:rPr>
  </w:style>
  <w:style w:type="paragraph" w:customStyle="1" w:styleId="319">
    <w:name w:val="_Style 126"/>
    <w:basedOn w:val="1"/>
    <w:next w:val="236"/>
    <w:qFormat/>
    <w:uiPriority w:val="34"/>
    <w:pPr>
      <w:spacing w:afterLines="0" w:line="240" w:lineRule="auto"/>
      <w:ind w:firstLine="420" w:firstLineChars="200"/>
    </w:pPr>
    <w:rPr>
      <w:rFonts w:ascii="Calibri" w:hAnsi="Calibri"/>
      <w:szCs w:val="22"/>
    </w:rPr>
  </w:style>
  <w:style w:type="character" w:customStyle="1" w:styleId="320">
    <w:name w:val="标题 3 Char1"/>
    <w:qFormat/>
    <w:uiPriority w:val="0"/>
    <w:rPr>
      <w:rFonts w:ascii="宋体" w:hAnsi="宋体" w:eastAsia="宋体"/>
      <w:b/>
      <w:bCs/>
      <w:kern w:val="2"/>
      <w:sz w:val="28"/>
      <w:szCs w:val="32"/>
      <w:lang w:val="en-US" w:eastAsia="zh-CN" w:bidi="ar-SA"/>
    </w:rPr>
  </w:style>
  <w:style w:type="character" w:customStyle="1" w:styleId="321">
    <w:name w:val="content1"/>
    <w:qFormat/>
    <w:uiPriority w:val="0"/>
    <w:rPr>
      <w:rFonts w:hint="default" w:ascii="??" w:hAnsi="??"/>
      <w:sz w:val="16"/>
      <w:szCs w:val="16"/>
      <w:u w:val="none"/>
    </w:rPr>
  </w:style>
  <w:style w:type="character" w:customStyle="1" w:styleId="322">
    <w:name w:val="proddescription"/>
    <w:basedOn w:val="48"/>
    <w:qFormat/>
    <w:uiPriority w:val="0"/>
  </w:style>
  <w:style w:type="character" w:customStyle="1" w:styleId="323">
    <w:name w:val="prodheadlines"/>
    <w:basedOn w:val="48"/>
    <w:qFormat/>
    <w:uiPriority w:val="0"/>
  </w:style>
  <w:style w:type="character" w:customStyle="1" w:styleId="324">
    <w:name w:val="样式 小三 加粗"/>
    <w:qFormat/>
    <w:uiPriority w:val="0"/>
    <w:rPr>
      <w:rFonts w:eastAsia="宋体"/>
      <w:b/>
      <w:bCs/>
      <w:sz w:val="32"/>
    </w:rPr>
  </w:style>
  <w:style w:type="character" w:customStyle="1" w:styleId="325">
    <w:name w:val="标题 1 字符"/>
    <w:qFormat/>
    <w:uiPriority w:val="0"/>
    <w:rPr>
      <w:rFonts w:ascii="宋体" w:hAnsi="宋体" w:eastAsia="黑体"/>
      <w:b/>
      <w:bCs/>
      <w:kern w:val="44"/>
      <w:sz w:val="28"/>
      <w:szCs w:val="44"/>
      <w:lang w:val="en-US" w:eastAsia="zh-CN" w:bidi="ar-SA"/>
    </w:rPr>
  </w:style>
  <w:style w:type="character" w:customStyle="1" w:styleId="326">
    <w:name w:val="layui-layer-tabnow"/>
    <w:qFormat/>
    <w:uiPriority w:val="0"/>
    <w:rPr>
      <w:bdr w:val="single" w:color="CCCCCC" w:sz="6" w:space="0"/>
      <w:shd w:val="clear" w:color="auto" w:fill="FFFFFF"/>
    </w:rPr>
  </w:style>
  <w:style w:type="character" w:customStyle="1" w:styleId="327">
    <w:name w:val="标题 3 Char Char"/>
    <w:qFormat/>
    <w:uiPriority w:val="0"/>
    <w:rPr>
      <w:rFonts w:eastAsia="宋体"/>
      <w:b/>
      <w:bCs/>
      <w:kern w:val="2"/>
      <w:sz w:val="32"/>
      <w:szCs w:val="32"/>
      <w:lang w:val="en-US" w:eastAsia="zh-CN" w:bidi="ar-SA"/>
    </w:rPr>
  </w:style>
  <w:style w:type="character" w:customStyle="1" w:styleId="328">
    <w:name w:val="alt-edited1"/>
    <w:qFormat/>
    <w:uiPriority w:val="0"/>
    <w:rPr>
      <w:color w:val="4D90F0"/>
    </w:rPr>
  </w:style>
  <w:style w:type="character" w:customStyle="1" w:styleId="329">
    <w:name w:val="active6"/>
    <w:qFormat/>
    <w:uiPriority w:val="0"/>
    <w:rPr>
      <w:color w:val="FFFFFF"/>
    </w:rPr>
  </w:style>
  <w:style w:type="character" w:customStyle="1" w:styleId="330">
    <w:name w:val="--规划正文 Char Char"/>
    <w:qFormat/>
    <w:uiPriority w:val="0"/>
    <w:rPr>
      <w:rFonts w:eastAsia="宋体"/>
      <w:kern w:val="2"/>
      <w:sz w:val="24"/>
      <w:szCs w:val="24"/>
      <w:lang w:val="en-US" w:eastAsia="zh-CN" w:bidi="ar-SA"/>
    </w:rPr>
  </w:style>
  <w:style w:type="character" w:customStyle="1" w:styleId="331">
    <w:name w:val="第*章 Char"/>
    <w:qFormat/>
    <w:uiPriority w:val="0"/>
    <w:rPr>
      <w:rFonts w:ascii="Arial" w:hAnsi="Arial" w:eastAsia="黑体"/>
      <w:b/>
      <w:bCs/>
      <w:kern w:val="2"/>
      <w:sz w:val="32"/>
      <w:szCs w:val="32"/>
    </w:rPr>
  </w:style>
  <w:style w:type="character" w:customStyle="1" w:styleId="332">
    <w:name w:val="info4"/>
    <w:basedOn w:val="48"/>
    <w:qFormat/>
    <w:uiPriority w:val="0"/>
  </w:style>
  <w:style w:type="character" w:customStyle="1" w:styleId="333">
    <w:name w:val="text"/>
    <w:basedOn w:val="48"/>
    <w:qFormat/>
    <w:uiPriority w:val="0"/>
  </w:style>
  <w:style w:type="character" w:customStyle="1" w:styleId="334">
    <w:name w:val="unnamed3"/>
    <w:basedOn w:val="48"/>
    <w:qFormat/>
    <w:uiPriority w:val="0"/>
  </w:style>
  <w:style w:type="character" w:customStyle="1" w:styleId="335">
    <w:name w:val="blue"/>
    <w:basedOn w:val="48"/>
    <w:qFormat/>
    <w:uiPriority w:val="0"/>
  </w:style>
  <w:style w:type="character" w:customStyle="1" w:styleId="336">
    <w:name w:val="gray6"/>
    <w:basedOn w:val="48"/>
    <w:qFormat/>
    <w:uiPriority w:val="0"/>
  </w:style>
  <w:style w:type="character" w:customStyle="1" w:styleId="337">
    <w:name w:val="fielderror"/>
    <w:qFormat/>
    <w:uiPriority w:val="0"/>
    <w:rPr>
      <w:color w:val="800000"/>
    </w:rPr>
  </w:style>
  <w:style w:type="character" w:customStyle="1" w:styleId="338">
    <w:name w:val="H4 Char2"/>
    <w:qFormat/>
    <w:uiPriority w:val="0"/>
    <w:rPr>
      <w:rFonts w:ascii="Arial" w:hAnsi="Arial" w:eastAsia="黑体"/>
      <w:b/>
      <w:bCs/>
      <w:kern w:val="2"/>
      <w:sz w:val="28"/>
      <w:szCs w:val="28"/>
      <w:lang w:val="en-US" w:eastAsia="zh-CN" w:bidi="ar-SA"/>
    </w:rPr>
  </w:style>
  <w:style w:type="character" w:customStyle="1" w:styleId="339">
    <w:name w:val="font"/>
    <w:basedOn w:val="48"/>
    <w:qFormat/>
    <w:uiPriority w:val="0"/>
  </w:style>
  <w:style w:type="character" w:customStyle="1" w:styleId="340">
    <w:name w:val="active"/>
    <w:qFormat/>
    <w:uiPriority w:val="0"/>
    <w:rPr>
      <w:color w:val="FFFFFF"/>
    </w:rPr>
  </w:style>
  <w:style w:type="character" w:customStyle="1" w:styleId="341">
    <w:name w:val="unnamed4"/>
    <w:basedOn w:val="48"/>
    <w:qFormat/>
    <w:uiPriority w:val="0"/>
  </w:style>
  <w:style w:type="character" w:customStyle="1" w:styleId="342">
    <w:name w:val="font41"/>
    <w:qFormat/>
    <w:uiPriority w:val="0"/>
    <w:rPr>
      <w:color w:val="000000"/>
      <w:spacing w:val="260"/>
      <w:sz w:val="18"/>
      <w:szCs w:val="18"/>
      <w:u w:val="none"/>
    </w:rPr>
  </w:style>
  <w:style w:type="character" w:customStyle="1" w:styleId="343">
    <w:name w:val="inline-help"/>
    <w:basedOn w:val="48"/>
    <w:qFormat/>
    <w:uiPriority w:val="0"/>
  </w:style>
  <w:style w:type="character" w:customStyle="1" w:styleId="344">
    <w:name w:val="--规划正文 Char1"/>
    <w:qFormat/>
    <w:uiPriority w:val="0"/>
    <w:rPr>
      <w:rFonts w:eastAsia="宋体"/>
      <w:kern w:val="2"/>
      <w:sz w:val="21"/>
      <w:lang w:val="en-US" w:eastAsia="zh-CN" w:bidi="ar-SA"/>
    </w:rPr>
  </w:style>
  <w:style w:type="character" w:customStyle="1" w:styleId="345">
    <w:name w:val="hilite"/>
    <w:qFormat/>
    <w:uiPriority w:val="0"/>
    <w:rPr>
      <w:color w:val="000000"/>
    </w:rPr>
  </w:style>
  <w:style w:type="character" w:customStyle="1" w:styleId="346">
    <w:name w:val="style9"/>
    <w:basedOn w:val="48"/>
    <w:qFormat/>
    <w:uiPriority w:val="0"/>
  </w:style>
  <w:style w:type="character" w:customStyle="1" w:styleId="347">
    <w:name w:val="grame"/>
    <w:basedOn w:val="48"/>
    <w:qFormat/>
    <w:uiPriority w:val="0"/>
  </w:style>
  <w:style w:type="character" w:customStyle="1" w:styleId="348">
    <w:name w:val="正文文字首行缩进 Char"/>
    <w:qFormat/>
    <w:uiPriority w:val="0"/>
    <w:rPr>
      <w:kern w:val="2"/>
      <w:sz w:val="21"/>
      <w:szCs w:val="24"/>
    </w:rPr>
  </w:style>
  <w:style w:type="character" w:customStyle="1" w:styleId="349">
    <w:name w:val="font21"/>
    <w:qFormat/>
    <w:uiPriority w:val="0"/>
    <w:rPr>
      <w:rFonts w:hint="eastAsia" w:ascii="宋体" w:hAnsi="宋体" w:eastAsia="宋体" w:cs="宋体"/>
      <w:color w:val="000000"/>
      <w:sz w:val="24"/>
      <w:szCs w:val="24"/>
      <w:u w:val="none"/>
    </w:rPr>
  </w:style>
  <w:style w:type="character" w:customStyle="1" w:styleId="350">
    <w:name w:val="font2"/>
    <w:basedOn w:val="48"/>
    <w:qFormat/>
    <w:uiPriority w:val="0"/>
  </w:style>
  <w:style w:type="character" w:customStyle="1" w:styleId="351">
    <w:name w:val="章标题1 Char"/>
    <w:qFormat/>
    <w:uiPriority w:val="0"/>
    <w:rPr>
      <w:rFonts w:eastAsia="宋体"/>
      <w:b/>
      <w:bCs/>
      <w:kern w:val="2"/>
      <w:sz w:val="32"/>
      <w:szCs w:val="32"/>
      <w:lang w:val="en-US" w:eastAsia="zh-CN" w:bidi="ar-SA"/>
    </w:rPr>
  </w:style>
  <w:style w:type="character" w:customStyle="1" w:styleId="352">
    <w:name w:val="_Style 192"/>
    <w:unhideWhenUsed/>
    <w:qFormat/>
    <w:uiPriority w:val="99"/>
    <w:rPr>
      <w:color w:val="605E5C"/>
      <w:shd w:val="clear" w:color="auto" w:fill="E1DFDD"/>
    </w:rPr>
  </w:style>
  <w:style w:type="character" w:customStyle="1" w:styleId="353">
    <w:name w:val="active2"/>
    <w:qFormat/>
    <w:uiPriority w:val="0"/>
    <w:rPr>
      <w:color w:val="FFFFFF"/>
    </w:rPr>
  </w:style>
  <w:style w:type="character" w:customStyle="1" w:styleId="354">
    <w:name w:val="hilite6"/>
    <w:qFormat/>
    <w:uiPriority w:val="0"/>
    <w:rPr>
      <w:color w:val="000000"/>
    </w:rPr>
  </w:style>
  <w:style w:type="character" w:customStyle="1" w:styleId="355">
    <w:name w:val="first-child"/>
    <w:basedOn w:val="48"/>
    <w:qFormat/>
    <w:uiPriority w:val="0"/>
  </w:style>
  <w:style w:type="character" w:customStyle="1" w:styleId="356">
    <w:name w:val="mode"/>
    <w:basedOn w:val="48"/>
    <w:qFormat/>
    <w:uiPriority w:val="0"/>
  </w:style>
  <w:style w:type="paragraph" w:customStyle="1" w:styleId="357">
    <w:name w:val="保留正文"/>
    <w:basedOn w:val="19"/>
    <w:qFormat/>
    <w:uiPriority w:val="0"/>
    <w:pPr>
      <w:keepNext/>
      <w:tabs>
        <w:tab w:val="left" w:pos="562"/>
        <w:tab w:val="left" w:pos="3372"/>
        <w:tab w:val="left" w:pos="3653"/>
        <w:tab w:val="clear" w:pos="4760"/>
      </w:tabs>
      <w:spacing w:afterLines="0" w:line="360" w:lineRule="auto"/>
      <w:jc w:val="both"/>
    </w:pPr>
    <w:rPr>
      <w:rFonts w:ascii="Calibri" w:hAnsi="Calibri"/>
      <w:b/>
      <w:bCs/>
    </w:rPr>
  </w:style>
  <w:style w:type="character" w:customStyle="1" w:styleId="358">
    <w:name w:val="正文缩进 字符"/>
    <w:qFormat/>
    <w:uiPriority w:val="0"/>
  </w:style>
  <w:style w:type="character" w:customStyle="1" w:styleId="359">
    <w:name w:val="font31"/>
    <w:basedOn w:val="48"/>
    <w:qFormat/>
    <w:uiPriority w:val="0"/>
    <w:rPr>
      <w:rFonts w:hint="eastAsia" w:ascii="宋体" w:hAnsi="宋体" w:eastAsia="宋体" w:cs="宋体"/>
      <w:color w:val="000000"/>
      <w:sz w:val="21"/>
      <w:szCs w:val="21"/>
      <w:u w:val="none"/>
    </w:rPr>
  </w:style>
  <w:style w:type="character" w:customStyle="1" w:styleId="360">
    <w:name w:val="font01"/>
    <w:basedOn w:val="48"/>
    <w:qFormat/>
    <w:uiPriority w:val="0"/>
    <w:rPr>
      <w:rFonts w:hint="eastAsia" w:ascii="宋体" w:hAnsi="宋体" w:eastAsia="宋体" w:cs="宋体"/>
      <w:color w:val="000000"/>
      <w:sz w:val="21"/>
      <w:szCs w:val="21"/>
      <w:u w:val="none"/>
    </w:rPr>
  </w:style>
  <w:style w:type="paragraph" w:customStyle="1" w:styleId="361">
    <w:name w:val="*正文"/>
    <w:basedOn w:val="1"/>
    <w:qFormat/>
    <w:uiPriority w:val="0"/>
    <w:pPr>
      <w:spacing w:line="360" w:lineRule="auto"/>
      <w:ind w:firstLine="200" w:firstLineChars="200"/>
    </w:pPr>
    <w:rPr>
      <w:rFonts w:ascii="宋体" w:hAnsi="宋体"/>
      <w:kern w:val="0"/>
      <w:sz w:val="22"/>
    </w:rPr>
  </w:style>
  <w:style w:type="character" w:customStyle="1" w:styleId="362">
    <w:name w:val="未处理的提及1"/>
    <w:basedOn w:val="48"/>
    <w:semiHidden/>
    <w:unhideWhenUsed/>
    <w:qFormat/>
    <w:uiPriority w:val="99"/>
    <w:rPr>
      <w:color w:val="605E5C"/>
      <w:shd w:val="clear" w:color="auto" w:fill="E1DFDD"/>
    </w:rPr>
  </w:style>
  <w:style w:type="paragraph" w:customStyle="1" w:styleId="363">
    <w:name w:val="Other|1"/>
    <w:basedOn w:val="1"/>
    <w:qFormat/>
    <w:uiPriority w:val="0"/>
    <w:pPr>
      <w:widowControl/>
      <w:spacing w:afterLines="0" w:line="413" w:lineRule="auto"/>
      <w:ind w:firstLine="400"/>
      <w:jc w:val="left"/>
    </w:pPr>
    <w:rPr>
      <w:rFonts w:ascii="宋体" w:hAnsi="宋体" w:eastAsia="Times New Roman" w:cs="宋体"/>
      <w:kern w:val="0"/>
      <w:sz w:val="24"/>
      <w:lang w:val="zh-TW" w:eastAsia="zh-TW" w:bidi="zh-TW"/>
    </w:rPr>
  </w:style>
  <w:style w:type="paragraph" w:customStyle="1" w:styleId="364">
    <w:name w:val="样式 样式 行距: 1.5 倍行距 + 首行缩进:  2 字符"/>
    <w:next w:val="1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table" w:customStyle="1" w:styleId="365">
    <w:name w:val="网格型2"/>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64511-B9F9-480E-9F0D-BCAA94A0F3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76</Pages>
  <Words>12712</Words>
  <Characters>13410</Characters>
  <Lines>388</Lines>
  <Paragraphs>109</Paragraphs>
  <TotalTime>2</TotalTime>
  <ScaleCrop>false</ScaleCrop>
  <LinksUpToDate>false</LinksUpToDate>
  <CharactersWithSpaces>13518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2023-02-24T02:07:00Z</dcterms:created>
  <dc:creator>zuk</dc:creator>
  <cp:lastModifiedBy>Winston曾国荣</cp:lastModifiedBy>
  <cp:lastPrinted>2025-12-10T14:31:00Z</cp:lastPrinted>
  <dcterms:modified xsi:type="dcterms:W3CDTF">2025-12-11T03:03:55Z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AB2917DFB547443BB49F16E84F2B0BCD</vt:lpwstr>
  </property>
  <property fmtid="{D5CDD505-2E9C-101B-9397-08002B2CF9AE}" pid="4" name="KSOTemplateDocerSaveRecord">
    <vt:lpwstr>eyJoZGlkIjoiYTQwMDA1Yzc3MTJjNDc1NmJhZDAxMDYyNGU4ZDM0NmUiLCJ1c2VySWQiOiI1MjE1NjA0NDEifQ==</vt:lpwstr>
  </property>
</Properties>
</file>