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41A8E">
      <w:pPr>
        <w:widowControl/>
        <w:spacing w:before="0" w:beforeAutospacing="1" w:after="0" w:afterAutospacing="1"/>
        <w:jc w:val="center"/>
        <w:outlineLvl w:val="0"/>
        <w:rPr>
          <w:rFonts w:hint="eastAsia" w:ascii="黑体" w:hAnsi="宋体" w:eastAsia="黑体" w:cs="黑体"/>
          <w:sz w:val="40"/>
          <w:szCs w:val="40"/>
          <w:lang w:eastAsia="zh-CN"/>
        </w:rPr>
      </w:pPr>
      <w:r>
        <w:rPr>
          <w:rFonts w:hint="eastAsia" w:ascii="黑体" w:hAnsi="宋体" w:eastAsia="黑体" w:cs="黑体"/>
          <w:sz w:val="40"/>
          <w:szCs w:val="40"/>
          <w:lang w:eastAsia="zh-CN"/>
        </w:rPr>
        <w:t>招标文件信息</w:t>
      </w:r>
    </w:p>
    <w:p w14:paraId="0865C251">
      <w:pPr>
        <w:bidi w:val="0"/>
        <w:rPr>
          <w:rFonts w:hint="eastAsia"/>
          <w:lang w:eastAsia="zh-CN"/>
        </w:rPr>
      </w:pPr>
    </w:p>
    <w:p w14:paraId="0728EEE3">
      <w:pPr>
        <w:bidi w:val="0"/>
        <w:spacing w:line="720" w:lineRule="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项目编号：LHAZXDL-2024-00137</w:t>
      </w:r>
    </w:p>
    <w:p w14:paraId="03B26E63">
      <w:pPr>
        <w:bidi w:val="0"/>
        <w:spacing w:line="720" w:lineRule="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项目名称：初中物理化学实验教学及AI考评系统建设项目</w:t>
      </w:r>
    </w:p>
    <w:p w14:paraId="630F7C26">
      <w:pPr>
        <w:bidi w:val="0"/>
        <w:spacing w:line="720" w:lineRule="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项目类型：货物类</w:t>
      </w:r>
    </w:p>
    <w:p w14:paraId="301C2730">
      <w:pPr>
        <w:bidi w:val="0"/>
        <w:spacing w:line="720" w:lineRule="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采购方式：公开招标</w:t>
      </w:r>
    </w:p>
    <w:p w14:paraId="061D1145">
      <w:pPr>
        <w:bidi w:val="0"/>
        <w:spacing w:line="720" w:lineRule="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货币类型：人民币</w:t>
      </w:r>
    </w:p>
    <w:p w14:paraId="0DD60B80">
      <w:pPr>
        <w:bidi w:val="0"/>
        <w:spacing w:line="720" w:lineRule="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评标方法：综合评分法</w:t>
      </w:r>
    </w:p>
    <w:p w14:paraId="471BEB20">
      <w:pPr>
        <w:widowControl w:val="0"/>
        <w:tabs>
          <w:tab w:val="left" w:pos="2790"/>
        </w:tabs>
        <w:snapToGrid w:val="0"/>
        <w:spacing w:line="440" w:lineRule="exact"/>
        <w:jc w:val="left"/>
        <w:rPr>
          <w:rFonts w:hint="eastAsia" w:ascii="宋体" w:hAnsi="宋体" w:eastAsia="宋体"/>
          <w:kern w:val="2"/>
          <w:sz w:val="30"/>
          <w:szCs w:val="30"/>
          <w:lang w:eastAsia="zh-CN"/>
        </w:rPr>
      </w:pPr>
    </w:p>
    <w:p w14:paraId="5793DBEA">
      <w:pPr>
        <w:widowControl w:val="0"/>
        <w:jc w:val="both"/>
        <w:rPr>
          <w:rFonts w:hint="eastAsia" w:ascii="黑体" w:hAnsi="黑体" w:eastAsia="黑体"/>
          <w:kern w:val="2"/>
          <w:sz w:val="40"/>
          <w:szCs w:val="40"/>
          <w:lang w:eastAsia="zh-CN"/>
        </w:rPr>
      </w:pPr>
    </w:p>
    <w:p w14:paraId="5BAE3105">
      <w:pPr>
        <w:widowControl w:val="0"/>
        <w:tabs>
          <w:tab w:val="left" w:pos="2790"/>
        </w:tabs>
        <w:snapToGrid w:val="0"/>
        <w:jc w:val="center"/>
        <w:outlineLvl w:val="0"/>
        <w:rPr>
          <w:rFonts w:hint="eastAsia" w:ascii="黑体" w:hAnsi="宋体" w:eastAsia="黑体" w:cs="黑体"/>
          <w:sz w:val="40"/>
          <w:szCs w:val="40"/>
          <w:lang w:eastAsia="zh-CN"/>
        </w:rPr>
      </w:pPr>
      <w:r>
        <w:rPr>
          <w:rFonts w:hint="eastAsia" w:ascii="黑体" w:hAnsi="黑体" w:eastAsia="黑体"/>
          <w:kern w:val="2"/>
          <w:sz w:val="40"/>
          <w:szCs w:val="40"/>
          <w:lang w:eastAsia="zh-CN"/>
        </w:rPr>
        <w:br w:type="page"/>
      </w:r>
      <w:r>
        <w:rPr>
          <w:rFonts w:hint="eastAsia" w:ascii="黑体" w:hAnsi="宋体" w:eastAsia="黑体" w:cs="黑体"/>
          <w:sz w:val="40"/>
          <w:szCs w:val="40"/>
          <w:lang w:eastAsia="zh-CN"/>
        </w:rPr>
        <w:t>资格性审查表</w:t>
      </w:r>
    </w:p>
    <w:tbl>
      <w:tblPr>
        <w:tblStyle w:val="13"/>
        <w:tblW w:w="5396"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840"/>
        <w:gridCol w:w="8717"/>
      </w:tblGrid>
      <w:tr w14:paraId="0B6B45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95"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168A643">
            <w:pPr>
              <w:widowControl w:val="0"/>
              <w:spacing w:line="290" w:lineRule="exact"/>
              <w:jc w:val="center"/>
              <w:rPr>
                <w:rFonts w:hint="eastAsia" w:ascii="宋体" w:hAnsi="宋体" w:eastAsia="宋体" w:cs="宋体"/>
                <w:kern w:val="2"/>
                <w:sz w:val="21"/>
                <w:szCs w:val="21"/>
                <w:lang w:eastAsia="zh-CN"/>
              </w:rPr>
            </w:pPr>
            <w:r>
              <w:rPr>
                <w:rFonts w:ascii="宋体" w:hAnsi="宋体" w:eastAsia="宋体"/>
                <w:kern w:val="2"/>
                <w:sz w:val="21"/>
                <w:szCs w:val="21"/>
                <w:lang w:eastAsia="zh-CN"/>
              </w:rPr>
              <w:t>序号</w:t>
            </w:r>
          </w:p>
        </w:tc>
        <w:tc>
          <w:tcPr>
            <w:tcW w:w="871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737D1E8">
            <w:pPr>
              <w:widowControl w:val="0"/>
              <w:spacing w:line="290" w:lineRule="exact"/>
              <w:jc w:val="center"/>
              <w:rPr>
                <w:rFonts w:hint="eastAsia" w:ascii="宋体" w:hAnsi="宋体" w:eastAsia="宋体" w:cs="宋体"/>
                <w:kern w:val="2"/>
                <w:sz w:val="21"/>
                <w:szCs w:val="21"/>
                <w:lang w:eastAsia="zh-CN"/>
              </w:rPr>
            </w:pPr>
            <w:r>
              <w:rPr>
                <w:rFonts w:ascii="宋体" w:hAnsi="宋体" w:eastAsia="宋体"/>
                <w:kern w:val="2"/>
                <w:sz w:val="21"/>
                <w:szCs w:val="21"/>
                <w:lang w:eastAsia="zh-CN"/>
              </w:rPr>
              <w:t>内容</w:t>
            </w:r>
          </w:p>
        </w:tc>
      </w:tr>
      <w:tr w14:paraId="20E89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68" w:hRule="atLeast"/>
          <w:jc w:val="center"/>
        </w:trPr>
        <w:tc>
          <w:tcPr>
            <w:tcW w:w="840" w:type="dxa"/>
            <w:tcBorders>
              <w:top w:val="single" w:color="000000" w:sz="8" w:space="0"/>
              <w:left w:val="single" w:color="000000" w:sz="8" w:space="0"/>
              <w:bottom w:val="single" w:color="000000" w:sz="8" w:space="0"/>
              <w:right w:val="single" w:color="000000" w:sz="8" w:space="0"/>
            </w:tcBorders>
          </w:tcPr>
          <w:p w14:paraId="4930025C">
            <w:pPr>
              <w:widowControl w:val="0"/>
              <w:spacing w:line="290" w:lineRule="exact"/>
              <w:jc w:val="center"/>
              <w:rPr>
                <w:rFonts w:hint="eastAsia" w:ascii="宋体" w:hAnsi="宋体" w:eastAsia="宋体" w:cs="宋体"/>
                <w:kern w:val="2"/>
                <w:sz w:val="21"/>
                <w:szCs w:val="21"/>
                <w:lang w:eastAsia="zh-CN"/>
              </w:rPr>
            </w:pPr>
            <w:r>
              <w:rPr>
                <w:rFonts w:ascii="宋体" w:hAnsi="宋体" w:eastAsia="宋体"/>
                <w:kern w:val="2"/>
                <w:sz w:val="21"/>
                <w:szCs w:val="21"/>
                <w:lang w:eastAsia="zh-CN"/>
              </w:rPr>
              <w:t>1</w:t>
            </w:r>
          </w:p>
        </w:tc>
        <w:tc>
          <w:tcPr>
            <w:tcW w:w="8719" w:type="dxa"/>
            <w:tcBorders>
              <w:top w:val="single" w:color="000000" w:sz="8" w:space="0"/>
              <w:left w:val="single" w:color="000000" w:sz="8" w:space="0"/>
              <w:bottom w:val="single" w:color="000000" w:sz="8" w:space="0"/>
              <w:right w:val="single" w:color="000000" w:sz="8" w:space="0"/>
            </w:tcBorders>
          </w:tcPr>
          <w:p w14:paraId="45C603B1">
            <w:pPr>
              <w:widowControl w:val="0"/>
              <w:spacing w:line="290" w:lineRule="exact"/>
              <w:jc w:val="both"/>
              <w:rPr>
                <w:rFonts w:hint="eastAsia" w:ascii="宋体" w:hAnsi="宋体" w:eastAsia="宋体" w:cs="宋体"/>
                <w:kern w:val="2"/>
                <w:sz w:val="21"/>
                <w:szCs w:val="21"/>
                <w:lang w:eastAsia="zh-CN"/>
              </w:rPr>
            </w:pPr>
            <w:r>
              <w:rPr>
                <w:rFonts w:ascii="宋体" w:hAnsi="宋体" w:eastAsia="宋体" w:cs="宋体"/>
                <w:sz w:val="21"/>
                <w:szCs w:val="21"/>
                <w:lang w:eastAsia="zh-CN"/>
              </w:rPr>
              <w:t>投标人不</w:t>
            </w:r>
            <w:r>
              <w:rPr>
                <w:rFonts w:hint="eastAsia" w:ascii="宋体" w:hAnsi="宋体" w:eastAsia="宋体" w:cs="宋体"/>
                <w:sz w:val="21"/>
                <w:szCs w:val="21"/>
                <w:lang w:eastAsia="zh-CN"/>
              </w:rPr>
              <w:t>符合</w:t>
            </w:r>
            <w:r>
              <w:rPr>
                <w:rFonts w:ascii="宋体" w:hAnsi="宋体" w:eastAsia="宋体" w:cs="宋体"/>
                <w:sz w:val="21"/>
                <w:szCs w:val="21"/>
                <w:lang w:eastAsia="zh-CN"/>
              </w:rPr>
              <w:t>资格要求，或未提交相应的资格证明资料（详见招标公告</w:t>
            </w:r>
            <w:r>
              <w:rPr>
                <w:rFonts w:hint="eastAsia" w:ascii="宋体" w:hAnsi="宋体" w:eastAsia="宋体"/>
                <w:kern w:val="2"/>
                <w:sz w:val="21"/>
                <w:szCs w:val="21"/>
                <w:lang w:eastAsia="zh-CN"/>
              </w:rPr>
              <w:t>投标人资格要求，即申请人的资格要求</w:t>
            </w:r>
            <w:r>
              <w:rPr>
                <w:rFonts w:ascii="宋体" w:hAnsi="宋体" w:eastAsia="宋体" w:cs="宋体"/>
                <w:sz w:val="21"/>
                <w:szCs w:val="21"/>
                <w:lang w:eastAsia="zh-CN"/>
              </w:rPr>
              <w:t>）。</w:t>
            </w:r>
          </w:p>
        </w:tc>
      </w:tr>
    </w:tbl>
    <w:p w14:paraId="5077CC14">
      <w:pPr>
        <w:bidi w:val="0"/>
        <w:rPr>
          <w:rFonts w:hint="eastAsia"/>
          <w:lang w:eastAsia="zh-CN"/>
        </w:rPr>
      </w:pPr>
    </w:p>
    <w:p w14:paraId="6506689E">
      <w:pPr>
        <w:widowControl w:val="0"/>
        <w:tabs>
          <w:tab w:val="left" w:pos="2790"/>
        </w:tabs>
        <w:snapToGrid w:val="0"/>
        <w:jc w:val="center"/>
        <w:outlineLvl w:val="0"/>
        <w:rPr>
          <w:rFonts w:hint="eastAsia" w:ascii="黑体" w:hAnsi="黑体" w:eastAsia="黑体"/>
          <w:kern w:val="2"/>
          <w:sz w:val="40"/>
          <w:szCs w:val="40"/>
          <w:lang w:eastAsia="zh-CN"/>
        </w:rPr>
      </w:pPr>
      <w:r>
        <w:rPr>
          <w:rFonts w:hint="eastAsia" w:ascii="黑体" w:hAnsi="黑体" w:eastAsia="黑体"/>
          <w:kern w:val="2"/>
          <w:sz w:val="40"/>
          <w:szCs w:val="40"/>
          <w:lang w:eastAsia="zh-CN"/>
        </w:rPr>
        <w:t>符合性审查表</w:t>
      </w:r>
    </w:p>
    <w:tbl>
      <w:tblPr>
        <w:tblStyle w:val="13"/>
        <w:tblW w:w="954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9"/>
        <w:gridCol w:w="8714"/>
      </w:tblGrid>
      <w:tr w14:paraId="62057F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87" w:hRule="atLeast"/>
          <w:jc w:val="center"/>
        </w:trPr>
        <w:tc>
          <w:tcPr>
            <w:tcW w:w="82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D0D6443">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序号</w:t>
            </w:r>
          </w:p>
        </w:tc>
        <w:tc>
          <w:tcPr>
            <w:tcW w:w="871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AE8B3A2">
            <w:pPr>
              <w:widowControl/>
              <w:spacing w:line="360" w:lineRule="auto"/>
              <w:jc w:val="center"/>
              <w:rPr>
                <w:rFonts w:hint="eastAsia" w:ascii="宋体" w:hAnsi="宋体" w:eastAsia="宋体" w:cs="宋体"/>
                <w:sz w:val="21"/>
                <w:szCs w:val="21"/>
              </w:rPr>
            </w:pPr>
            <w:r>
              <w:rPr>
                <w:rFonts w:hint="eastAsia" w:ascii="宋体" w:hAnsi="宋体" w:eastAsia="宋体" w:cs="宋体"/>
                <w:kern w:val="0"/>
                <w:sz w:val="21"/>
                <w:szCs w:val="21"/>
              </w:rPr>
              <w:t>内容</w:t>
            </w:r>
          </w:p>
        </w:tc>
      </w:tr>
      <w:tr w14:paraId="62CAFF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87" w:hRule="atLeast"/>
          <w:jc w:val="center"/>
        </w:trPr>
        <w:tc>
          <w:tcPr>
            <w:tcW w:w="8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D4E1E0">
            <w:pPr>
              <w:widowControl/>
              <w:spacing w:line="360" w:lineRule="auto"/>
              <w:jc w:val="center"/>
              <w:textAlignment w:val="top"/>
              <w:rPr>
                <w:rFonts w:hint="eastAsia" w:ascii="宋体" w:hAnsi="宋体" w:eastAsia="宋体" w:cs="宋体"/>
                <w:sz w:val="21"/>
                <w:szCs w:val="21"/>
              </w:rPr>
            </w:pPr>
            <w:r>
              <w:rPr>
                <w:rFonts w:hint="eastAsia" w:ascii="宋体" w:hAnsi="宋体" w:eastAsia="宋体" w:cs="宋体"/>
                <w:kern w:val="0"/>
                <w:sz w:val="21"/>
                <w:szCs w:val="21"/>
              </w:rPr>
              <w:t>1</w:t>
            </w:r>
          </w:p>
        </w:tc>
        <w:tc>
          <w:tcPr>
            <w:tcW w:w="87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1DDEE8">
            <w:pPr>
              <w:widowControl/>
              <w:spacing w:line="360" w:lineRule="auto"/>
              <w:jc w:val="both"/>
              <w:textAlignment w:val="top"/>
              <w:rPr>
                <w:rFonts w:hint="eastAsia" w:ascii="宋体" w:hAnsi="宋体" w:eastAsia="宋体" w:cs="宋体"/>
                <w:sz w:val="21"/>
                <w:szCs w:val="21"/>
              </w:rPr>
            </w:pPr>
            <w:r>
              <w:rPr>
                <w:rFonts w:hint="eastAsia" w:ascii="宋体" w:hAnsi="宋体" w:eastAsia="宋体" w:cs="宋体"/>
                <w:sz w:val="21"/>
                <w:szCs w:val="21"/>
              </w:rPr>
              <w:t>不得将一个包的内容拆开投标；</w:t>
            </w:r>
          </w:p>
        </w:tc>
      </w:tr>
      <w:tr w14:paraId="28E87E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87" w:hRule="atLeast"/>
          <w:jc w:val="center"/>
        </w:trPr>
        <w:tc>
          <w:tcPr>
            <w:tcW w:w="8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94F47">
            <w:pPr>
              <w:widowControl/>
              <w:spacing w:line="360" w:lineRule="auto"/>
              <w:jc w:val="center"/>
              <w:textAlignment w:val="top"/>
              <w:rPr>
                <w:rFonts w:hint="eastAsia" w:ascii="宋体" w:hAnsi="宋体" w:eastAsia="宋体" w:cs="宋体"/>
                <w:sz w:val="21"/>
                <w:szCs w:val="21"/>
              </w:rPr>
            </w:pPr>
            <w:r>
              <w:rPr>
                <w:rFonts w:hint="eastAsia" w:ascii="宋体" w:hAnsi="宋体" w:eastAsia="宋体" w:cs="宋体"/>
                <w:kern w:val="0"/>
                <w:sz w:val="21"/>
                <w:szCs w:val="21"/>
              </w:rPr>
              <w:t>2</w:t>
            </w:r>
          </w:p>
        </w:tc>
        <w:tc>
          <w:tcPr>
            <w:tcW w:w="87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CFBCE5">
            <w:pPr>
              <w:widowControl/>
              <w:spacing w:line="360" w:lineRule="auto"/>
              <w:jc w:val="both"/>
              <w:textAlignment w:val="top"/>
              <w:rPr>
                <w:rFonts w:hint="eastAsia" w:ascii="宋体" w:hAnsi="宋体" w:eastAsia="宋体" w:cs="宋体"/>
                <w:sz w:val="21"/>
                <w:szCs w:val="21"/>
              </w:rPr>
            </w:pPr>
            <w:r>
              <w:rPr>
                <w:rFonts w:hint="eastAsia" w:ascii="宋体" w:hAnsi="宋体" w:eastAsia="宋体" w:cs="宋体"/>
                <w:sz w:val="21"/>
                <w:szCs w:val="21"/>
              </w:rPr>
              <w:t>对同一项目投标时，不得提供两套以上的投标方案（招标文件另有规定的除外）；</w:t>
            </w:r>
          </w:p>
        </w:tc>
      </w:tr>
      <w:tr w14:paraId="00A04C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8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57986">
            <w:pPr>
              <w:widowControl/>
              <w:spacing w:line="360" w:lineRule="auto"/>
              <w:jc w:val="center"/>
              <w:textAlignment w:val="top"/>
              <w:rPr>
                <w:rFonts w:hint="eastAsia" w:ascii="宋体" w:hAnsi="宋体" w:eastAsia="宋体" w:cs="宋体"/>
                <w:sz w:val="21"/>
                <w:szCs w:val="21"/>
              </w:rPr>
            </w:pPr>
            <w:r>
              <w:rPr>
                <w:rFonts w:hint="eastAsia" w:ascii="宋体" w:hAnsi="宋体" w:eastAsia="宋体" w:cs="宋体"/>
                <w:kern w:val="0"/>
                <w:sz w:val="21"/>
                <w:szCs w:val="21"/>
              </w:rPr>
              <w:t>3</w:t>
            </w:r>
          </w:p>
        </w:tc>
        <w:tc>
          <w:tcPr>
            <w:tcW w:w="87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C30EB9">
            <w:pPr>
              <w:widowControl/>
              <w:spacing w:line="360" w:lineRule="auto"/>
              <w:jc w:val="both"/>
              <w:textAlignment w:val="top"/>
              <w:rPr>
                <w:rFonts w:hint="eastAsia" w:ascii="宋体" w:hAnsi="宋体" w:eastAsia="宋体" w:cs="宋体"/>
                <w:sz w:val="21"/>
                <w:szCs w:val="21"/>
              </w:rPr>
            </w:pPr>
            <w:r>
              <w:rPr>
                <w:rFonts w:hint="eastAsia" w:ascii="宋体" w:hAnsi="宋体" w:eastAsia="宋体" w:cs="宋体"/>
                <w:sz w:val="21"/>
                <w:szCs w:val="21"/>
                <w:lang w:val="en-US" w:eastAsia="zh-CN"/>
              </w:rPr>
              <w:t>分项报价或投标总价不得高于相应预算金额（或设定的预算金额下的最高限价）；</w:t>
            </w:r>
          </w:p>
        </w:tc>
      </w:tr>
      <w:tr w14:paraId="53FE33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734" w:hRule="atLeast"/>
          <w:jc w:val="center"/>
        </w:trPr>
        <w:tc>
          <w:tcPr>
            <w:tcW w:w="8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4E84AD">
            <w:pPr>
              <w:widowControl/>
              <w:spacing w:line="360" w:lineRule="auto"/>
              <w:jc w:val="center"/>
              <w:textAlignment w:val="top"/>
              <w:rPr>
                <w:rFonts w:hint="eastAsia" w:ascii="宋体" w:hAnsi="宋体" w:eastAsia="宋体" w:cs="宋体"/>
                <w:sz w:val="21"/>
                <w:szCs w:val="21"/>
              </w:rPr>
            </w:pPr>
            <w:r>
              <w:rPr>
                <w:rFonts w:hint="eastAsia" w:ascii="宋体" w:hAnsi="宋体" w:eastAsia="宋体" w:cs="宋体"/>
                <w:kern w:val="0"/>
                <w:sz w:val="21"/>
                <w:szCs w:val="21"/>
              </w:rPr>
              <w:t>4</w:t>
            </w:r>
          </w:p>
        </w:tc>
        <w:tc>
          <w:tcPr>
            <w:tcW w:w="87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A9545E">
            <w:pPr>
              <w:widowControl/>
              <w:spacing w:line="360" w:lineRule="auto"/>
              <w:jc w:val="both"/>
              <w:textAlignment w:val="top"/>
              <w:rPr>
                <w:rFonts w:hint="eastAsia" w:ascii="宋体" w:hAnsi="宋体" w:eastAsia="宋体" w:cs="宋体"/>
                <w:sz w:val="21"/>
                <w:szCs w:val="21"/>
              </w:rPr>
            </w:pPr>
            <w:r>
              <w:rPr>
                <w:rFonts w:hint="eastAsia" w:ascii="宋体" w:hAnsi="宋体" w:eastAsia="宋体" w:cs="宋体"/>
                <w:sz w:val="21"/>
                <w:szCs w:val="21"/>
                <w:lang w:val="en-US"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52CA9D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24" w:hRule="atLeast"/>
          <w:jc w:val="center"/>
        </w:trPr>
        <w:tc>
          <w:tcPr>
            <w:tcW w:w="8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A299E">
            <w:pPr>
              <w:widowControl/>
              <w:spacing w:line="360" w:lineRule="auto"/>
              <w:jc w:val="center"/>
              <w:textAlignment w:val="top"/>
              <w:rPr>
                <w:rFonts w:hint="eastAsia" w:ascii="宋体" w:hAnsi="宋体" w:eastAsia="宋体" w:cs="宋体"/>
                <w:sz w:val="21"/>
                <w:szCs w:val="21"/>
              </w:rPr>
            </w:pPr>
            <w:r>
              <w:rPr>
                <w:rFonts w:hint="eastAsia" w:ascii="宋体" w:hAnsi="宋体" w:eastAsia="宋体" w:cs="宋体"/>
                <w:kern w:val="0"/>
                <w:sz w:val="21"/>
                <w:szCs w:val="21"/>
              </w:rPr>
              <w:t>5</w:t>
            </w:r>
          </w:p>
        </w:tc>
        <w:tc>
          <w:tcPr>
            <w:tcW w:w="87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1497EA">
            <w:pPr>
              <w:widowControl/>
              <w:spacing w:line="360" w:lineRule="auto"/>
              <w:jc w:val="both"/>
              <w:textAlignment w:val="top"/>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所投货物、服务在技术、商务等方面没有实质性满足招标文件要求的（是否实质性满足招标文件要求，由评审委员会根据实质性条款响应情况做出评判）；</w:t>
            </w:r>
          </w:p>
        </w:tc>
      </w:tr>
      <w:tr w14:paraId="025711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24" w:hRule="atLeast"/>
          <w:jc w:val="center"/>
        </w:trPr>
        <w:tc>
          <w:tcPr>
            <w:tcW w:w="8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924DF8">
            <w:pPr>
              <w:widowControl/>
              <w:spacing w:line="360" w:lineRule="auto"/>
              <w:jc w:val="center"/>
              <w:textAlignment w:val="top"/>
              <w:rPr>
                <w:rFonts w:hint="eastAsia" w:ascii="宋体" w:hAnsi="宋体" w:eastAsia="宋体" w:cs="宋体"/>
                <w:sz w:val="21"/>
                <w:szCs w:val="21"/>
              </w:rPr>
            </w:pPr>
            <w:r>
              <w:rPr>
                <w:rFonts w:hint="eastAsia" w:ascii="宋体" w:hAnsi="宋体" w:eastAsia="宋体" w:cs="宋体"/>
                <w:kern w:val="0"/>
                <w:sz w:val="21"/>
                <w:szCs w:val="21"/>
              </w:rPr>
              <w:t>6</w:t>
            </w:r>
          </w:p>
        </w:tc>
        <w:tc>
          <w:tcPr>
            <w:tcW w:w="87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E5E932">
            <w:pPr>
              <w:widowControl/>
              <w:spacing w:line="360" w:lineRule="auto"/>
              <w:jc w:val="both"/>
              <w:textAlignment w:val="top"/>
              <w:rPr>
                <w:rFonts w:hint="eastAsia" w:ascii="宋体" w:hAnsi="宋体" w:eastAsia="宋体" w:cs="宋体"/>
                <w:sz w:val="21"/>
                <w:szCs w:val="21"/>
              </w:rPr>
            </w:pPr>
            <w:r>
              <w:rPr>
                <w:rFonts w:hint="eastAsia" w:ascii="宋体" w:hAnsi="宋体" w:eastAsia="宋体" w:cs="宋体"/>
                <w:sz w:val="21"/>
                <w:szCs w:val="21"/>
              </w:rPr>
              <w:t>未按招标文件所提供的样式填写《投标函》；未按招标文件所提供的《政府采购投标及履约承诺函》进行承诺；未按招标文件对投标文件组成的要求提供投标文件；</w:t>
            </w:r>
          </w:p>
        </w:tc>
      </w:tr>
      <w:tr w14:paraId="32C0AD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99" w:hRule="atLeast"/>
          <w:jc w:val="center"/>
        </w:trPr>
        <w:tc>
          <w:tcPr>
            <w:tcW w:w="8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263E41">
            <w:pPr>
              <w:widowControl/>
              <w:spacing w:line="360" w:lineRule="auto"/>
              <w:jc w:val="center"/>
              <w:textAlignment w:val="top"/>
              <w:rPr>
                <w:rFonts w:hint="eastAsia" w:ascii="宋体" w:hAnsi="宋体" w:eastAsia="宋体" w:cs="宋体"/>
                <w:sz w:val="21"/>
                <w:szCs w:val="21"/>
              </w:rPr>
            </w:pPr>
            <w:r>
              <w:rPr>
                <w:rFonts w:hint="eastAsia" w:ascii="宋体" w:hAnsi="宋体" w:eastAsia="宋体" w:cs="宋体"/>
                <w:kern w:val="0"/>
                <w:sz w:val="21"/>
                <w:szCs w:val="21"/>
              </w:rPr>
              <w:t>7</w:t>
            </w:r>
          </w:p>
        </w:tc>
        <w:tc>
          <w:tcPr>
            <w:tcW w:w="87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43F06D">
            <w:pPr>
              <w:widowControl/>
              <w:jc w:val="both"/>
              <w:textAlignment w:val="top"/>
              <w:rPr>
                <w:rFonts w:hint="eastAsia" w:ascii="宋体" w:hAnsi="宋体" w:eastAsia="宋体" w:cs="宋体"/>
                <w:sz w:val="21"/>
                <w:szCs w:val="21"/>
              </w:rPr>
            </w:pPr>
            <w:r>
              <w:rPr>
                <w:rFonts w:hint="eastAsia" w:ascii="宋体" w:hAnsi="宋体" w:eastAsia="宋体" w:cs="宋体"/>
                <w:kern w:val="2"/>
                <w:sz w:val="21"/>
                <w:szCs w:val="21"/>
                <w:lang w:eastAsia="zh-CN"/>
              </w:rPr>
              <w:t>采购标的/所投产品/货物清单/报价等任意一类响应不全，或者对招标文件规定的项目需求内容或者需求数量进行修改，评审委员会判定投标响应不满足采购需求；</w:t>
            </w:r>
          </w:p>
        </w:tc>
      </w:tr>
      <w:tr w14:paraId="740034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87" w:hRule="atLeast"/>
          <w:jc w:val="center"/>
        </w:trPr>
        <w:tc>
          <w:tcPr>
            <w:tcW w:w="8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C2AA2">
            <w:pPr>
              <w:widowControl/>
              <w:spacing w:line="360" w:lineRule="auto"/>
              <w:jc w:val="center"/>
              <w:textAlignment w:val="top"/>
              <w:rPr>
                <w:rFonts w:hint="eastAsia" w:ascii="宋体" w:hAnsi="宋体" w:eastAsia="宋体" w:cs="宋体"/>
                <w:sz w:val="21"/>
                <w:szCs w:val="21"/>
              </w:rPr>
            </w:pPr>
            <w:r>
              <w:rPr>
                <w:rFonts w:hint="eastAsia" w:ascii="宋体" w:hAnsi="宋体" w:eastAsia="宋体" w:cs="宋体"/>
                <w:kern w:val="0"/>
                <w:sz w:val="21"/>
                <w:szCs w:val="21"/>
              </w:rPr>
              <w:t>8</w:t>
            </w:r>
          </w:p>
        </w:tc>
        <w:tc>
          <w:tcPr>
            <w:tcW w:w="87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9BCD3F">
            <w:pPr>
              <w:widowControl/>
              <w:jc w:val="both"/>
              <w:textAlignment w:val="top"/>
              <w:rPr>
                <w:rFonts w:hint="eastAsia" w:ascii="宋体" w:hAnsi="宋体" w:eastAsia="宋体" w:cs="宋体"/>
                <w:sz w:val="21"/>
                <w:szCs w:val="21"/>
              </w:rPr>
            </w:pPr>
            <w:r>
              <w:rPr>
                <w:rFonts w:hint="eastAsia" w:ascii="宋体" w:hAnsi="宋体" w:eastAsia="宋体" w:cs="宋体"/>
                <w:kern w:val="2"/>
                <w:sz w:val="21"/>
                <w:szCs w:val="21"/>
                <w:lang w:eastAsia="zh-CN"/>
              </w:rPr>
              <w:t>投标文件存在列放位置错误，导致属于信息公开情形的没有被公开；</w:t>
            </w:r>
          </w:p>
        </w:tc>
      </w:tr>
      <w:tr w14:paraId="651D03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87" w:hRule="atLeast"/>
          <w:jc w:val="center"/>
        </w:trPr>
        <w:tc>
          <w:tcPr>
            <w:tcW w:w="8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27C6F0">
            <w:pPr>
              <w:widowControl/>
              <w:spacing w:line="360" w:lineRule="auto"/>
              <w:jc w:val="center"/>
              <w:textAlignment w:val="top"/>
              <w:rPr>
                <w:rFonts w:hint="eastAsia" w:ascii="宋体" w:hAnsi="宋体" w:eastAsia="宋体" w:cs="宋体"/>
                <w:sz w:val="21"/>
                <w:szCs w:val="21"/>
              </w:rPr>
            </w:pPr>
            <w:r>
              <w:rPr>
                <w:rFonts w:hint="eastAsia" w:ascii="宋体" w:hAnsi="宋体" w:eastAsia="宋体" w:cs="宋体"/>
                <w:kern w:val="0"/>
                <w:sz w:val="21"/>
                <w:szCs w:val="21"/>
              </w:rPr>
              <w:t>9</w:t>
            </w:r>
          </w:p>
        </w:tc>
        <w:tc>
          <w:tcPr>
            <w:tcW w:w="87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9941CD">
            <w:pPr>
              <w:widowControl/>
              <w:jc w:val="both"/>
              <w:textAlignment w:val="top"/>
              <w:rPr>
                <w:rFonts w:hint="eastAsia" w:ascii="宋体" w:hAnsi="宋体" w:eastAsia="宋体" w:cs="宋体"/>
                <w:sz w:val="21"/>
                <w:szCs w:val="21"/>
              </w:rPr>
            </w:pPr>
            <w:r>
              <w:rPr>
                <w:rFonts w:hint="eastAsia" w:ascii="宋体" w:hAnsi="宋体" w:eastAsia="宋体" w:cs="宋体"/>
                <w:kern w:val="2"/>
                <w:sz w:val="21"/>
                <w:szCs w:val="21"/>
                <w:lang w:eastAsia="zh-CN"/>
              </w:rPr>
              <w:t>投标文件电子文档不得带病毒；</w:t>
            </w:r>
          </w:p>
        </w:tc>
      </w:tr>
      <w:tr w14:paraId="763BE1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87" w:hRule="atLeast"/>
          <w:jc w:val="center"/>
        </w:trPr>
        <w:tc>
          <w:tcPr>
            <w:tcW w:w="8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0000D0">
            <w:pPr>
              <w:widowControl/>
              <w:spacing w:line="360" w:lineRule="auto"/>
              <w:jc w:val="center"/>
              <w:textAlignment w:val="top"/>
              <w:rPr>
                <w:rFonts w:hint="eastAsia" w:ascii="宋体" w:hAnsi="宋体" w:eastAsia="宋体" w:cs="宋体"/>
                <w:sz w:val="21"/>
                <w:szCs w:val="21"/>
              </w:rPr>
            </w:pPr>
            <w:r>
              <w:rPr>
                <w:rFonts w:hint="eastAsia" w:ascii="宋体" w:hAnsi="宋体" w:eastAsia="宋体" w:cs="宋体"/>
                <w:kern w:val="0"/>
                <w:sz w:val="21"/>
                <w:szCs w:val="21"/>
              </w:rPr>
              <w:t>10</w:t>
            </w:r>
          </w:p>
        </w:tc>
        <w:tc>
          <w:tcPr>
            <w:tcW w:w="87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9D6992">
            <w:pPr>
              <w:widowControl/>
              <w:jc w:val="both"/>
              <w:textAlignment w:val="top"/>
              <w:rPr>
                <w:rFonts w:hint="eastAsia" w:ascii="宋体" w:hAnsi="宋体" w:eastAsia="宋体" w:cs="宋体"/>
                <w:sz w:val="21"/>
                <w:szCs w:val="21"/>
              </w:rPr>
            </w:pPr>
            <w:r>
              <w:rPr>
                <w:rFonts w:hint="eastAsia" w:ascii="宋体" w:hAnsi="宋体" w:eastAsia="宋体" w:cs="宋体"/>
                <w:kern w:val="2"/>
                <w:sz w:val="21"/>
                <w:szCs w:val="21"/>
                <w:lang w:eastAsia="zh-CN"/>
              </w:rPr>
              <w:t>投标文件用不属于本公司的电子密钥或电子营业执照进行加密的；</w:t>
            </w:r>
          </w:p>
        </w:tc>
      </w:tr>
      <w:tr w14:paraId="6C39EE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87" w:hRule="atLeast"/>
          <w:jc w:val="center"/>
        </w:trPr>
        <w:tc>
          <w:tcPr>
            <w:tcW w:w="8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66FC14">
            <w:pPr>
              <w:widowControl/>
              <w:spacing w:line="360" w:lineRule="auto"/>
              <w:jc w:val="center"/>
              <w:textAlignment w:val="top"/>
              <w:rPr>
                <w:rFonts w:hint="eastAsia" w:ascii="宋体" w:hAnsi="宋体" w:eastAsia="宋体" w:cs="宋体"/>
                <w:sz w:val="21"/>
                <w:szCs w:val="21"/>
              </w:rPr>
            </w:pPr>
            <w:r>
              <w:rPr>
                <w:rFonts w:hint="eastAsia" w:ascii="宋体" w:hAnsi="宋体" w:eastAsia="宋体" w:cs="宋体"/>
                <w:sz w:val="21"/>
                <w:szCs w:val="21"/>
              </w:rPr>
              <w:t>11</w:t>
            </w:r>
          </w:p>
        </w:tc>
        <w:tc>
          <w:tcPr>
            <w:tcW w:w="87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5FB742">
            <w:pPr>
              <w:widowControl/>
              <w:jc w:val="both"/>
              <w:textAlignment w:val="top"/>
              <w:rPr>
                <w:rFonts w:hint="eastAsia" w:ascii="宋体" w:hAnsi="宋体" w:eastAsia="宋体" w:cs="宋体"/>
                <w:sz w:val="21"/>
                <w:szCs w:val="21"/>
              </w:rPr>
            </w:pPr>
            <w:r>
              <w:rPr>
                <w:rFonts w:hint="eastAsia" w:ascii="宋体" w:hAnsi="宋体" w:eastAsia="宋体" w:cs="宋体"/>
                <w:kern w:val="2"/>
                <w:sz w:val="21"/>
                <w:szCs w:val="21"/>
                <w:lang w:eastAsia="zh-CN"/>
              </w:rPr>
              <w:t>不同投标供应商投标文件“文件制作机器码”一致；</w:t>
            </w:r>
          </w:p>
        </w:tc>
      </w:tr>
      <w:tr w14:paraId="24D3C2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87" w:hRule="atLeast"/>
          <w:jc w:val="center"/>
        </w:trPr>
        <w:tc>
          <w:tcPr>
            <w:tcW w:w="8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FCFF2">
            <w:pPr>
              <w:widowControl/>
              <w:spacing w:line="360" w:lineRule="auto"/>
              <w:jc w:val="center"/>
              <w:textAlignment w:val="top"/>
              <w:rPr>
                <w:rFonts w:hint="eastAsia" w:ascii="宋体" w:hAnsi="宋体" w:eastAsia="宋体" w:cs="宋体"/>
                <w:sz w:val="21"/>
                <w:szCs w:val="21"/>
              </w:rPr>
            </w:pPr>
            <w:r>
              <w:rPr>
                <w:rFonts w:hint="eastAsia" w:ascii="宋体" w:hAnsi="宋体" w:eastAsia="宋体" w:cs="宋体"/>
                <w:sz w:val="21"/>
                <w:szCs w:val="21"/>
              </w:rPr>
              <w:t>12</w:t>
            </w:r>
          </w:p>
        </w:tc>
        <w:tc>
          <w:tcPr>
            <w:tcW w:w="87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1B0315">
            <w:pPr>
              <w:widowControl/>
              <w:jc w:val="both"/>
              <w:textAlignment w:val="top"/>
              <w:rPr>
                <w:rFonts w:hint="eastAsia" w:ascii="宋体" w:hAnsi="宋体" w:eastAsia="宋体" w:cs="宋体"/>
                <w:sz w:val="21"/>
                <w:szCs w:val="21"/>
              </w:rPr>
            </w:pPr>
            <w:r>
              <w:rPr>
                <w:rFonts w:hint="eastAsia" w:ascii="宋体" w:hAnsi="宋体" w:eastAsia="宋体" w:cs="宋体"/>
                <w:kern w:val="2"/>
                <w:sz w:val="21"/>
                <w:szCs w:val="21"/>
                <w:lang w:eastAsia="zh-CN"/>
              </w:rPr>
              <w:t>不同投标供应商投标文件“文件创建标识码”一致；</w:t>
            </w:r>
          </w:p>
        </w:tc>
      </w:tr>
      <w:tr w14:paraId="3A1CB8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87" w:hRule="atLeast"/>
          <w:jc w:val="center"/>
        </w:trPr>
        <w:tc>
          <w:tcPr>
            <w:tcW w:w="8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E8DAEA">
            <w:pPr>
              <w:widowControl/>
              <w:spacing w:line="360" w:lineRule="auto"/>
              <w:jc w:val="center"/>
              <w:textAlignment w:val="top"/>
              <w:rPr>
                <w:rFonts w:hint="eastAsia" w:ascii="宋体" w:hAnsi="宋体" w:eastAsia="宋体" w:cs="宋体"/>
                <w:sz w:val="21"/>
                <w:szCs w:val="21"/>
              </w:rPr>
            </w:pPr>
            <w:r>
              <w:rPr>
                <w:rFonts w:hint="eastAsia" w:ascii="宋体" w:hAnsi="宋体" w:eastAsia="宋体" w:cs="宋体"/>
                <w:kern w:val="0"/>
                <w:sz w:val="21"/>
                <w:szCs w:val="21"/>
              </w:rPr>
              <w:t>13</w:t>
            </w:r>
          </w:p>
        </w:tc>
        <w:tc>
          <w:tcPr>
            <w:tcW w:w="87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304CC1">
            <w:pPr>
              <w:widowControl/>
              <w:jc w:val="both"/>
              <w:textAlignment w:val="top"/>
              <w:rPr>
                <w:rFonts w:hint="eastAsia" w:ascii="宋体" w:hAnsi="宋体" w:eastAsia="宋体" w:cs="宋体"/>
                <w:sz w:val="21"/>
                <w:szCs w:val="21"/>
              </w:rPr>
            </w:pPr>
            <w:r>
              <w:rPr>
                <w:rFonts w:hint="eastAsia" w:ascii="宋体" w:hAnsi="宋体" w:eastAsia="宋体" w:cs="宋体"/>
                <w:kern w:val="2"/>
                <w:sz w:val="21"/>
                <w:szCs w:val="21"/>
                <w:lang w:eastAsia="zh-CN"/>
              </w:rPr>
              <w:t>法律、法规、规章、规范性文件规定的其他情形。</w:t>
            </w:r>
          </w:p>
        </w:tc>
      </w:tr>
    </w:tbl>
    <w:p w14:paraId="2AC0A074">
      <w:pPr>
        <w:widowControl/>
        <w:spacing w:before="100" w:beforeAutospacing="1" w:afterAutospacing="1"/>
        <w:jc w:val="center"/>
        <w:outlineLvl w:val="0"/>
        <w:rPr>
          <w:rFonts w:hint="eastAsia" w:ascii="黑体" w:hAnsi="宋体" w:eastAsia="黑体"/>
          <w:kern w:val="2"/>
          <w:sz w:val="40"/>
          <w:szCs w:val="40"/>
          <w:lang w:eastAsia="zh-CN"/>
        </w:rPr>
      </w:pPr>
      <w:r>
        <w:rPr>
          <w:rFonts w:hint="eastAsia" w:ascii="黑体" w:hAnsi="黑体" w:eastAsia="黑体" w:cstheme="minorBidi"/>
          <w:kern w:val="2"/>
          <w:sz w:val="40"/>
          <w:szCs w:val="40"/>
          <w:lang w:eastAsia="zh-CN"/>
        </w:rPr>
        <w:br w:type="page"/>
      </w:r>
      <w:r>
        <w:rPr>
          <w:rFonts w:hint="eastAsia" w:ascii="黑体" w:hAnsi="黑体" w:eastAsia="黑体" w:cstheme="minorBidi"/>
          <w:kern w:val="2"/>
          <w:sz w:val="40"/>
          <w:szCs w:val="40"/>
          <w:lang w:eastAsia="zh-CN"/>
        </w:rPr>
        <w:t>评标信息</w:t>
      </w:r>
    </w:p>
    <w:tbl>
      <w:tblPr>
        <w:tblStyle w:val="13"/>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8730"/>
      </w:tblGrid>
      <w:tr w14:paraId="70A7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8730" w:type="dxa"/>
            <w:shd w:val="clear" w:color="auto" w:fill="auto"/>
            <w:vAlign w:val="center"/>
          </w:tcPr>
          <w:p w14:paraId="402F7F16">
            <w:pPr>
              <w:widowControl w:val="0"/>
              <w:ind w:firstLine="420"/>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评审方法：综合评分法，是指投标文件满足采购文件全部实质性要求，且按照评审因素的量化指标评审得分最高的投标人为中标候选人的评审方法。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其他投标无效。</w:t>
            </w:r>
          </w:p>
          <w:p w14:paraId="0C293754">
            <w:pPr>
              <w:widowControl w:val="0"/>
              <w:ind w:firstLine="420"/>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价格分计算方法：</w:t>
            </w:r>
          </w:p>
          <w:p w14:paraId="2E2C21E8">
            <w:pPr>
              <w:widowControl w:val="0"/>
              <w:ind w:firstLine="420"/>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采用低价优先法计算，即满足采购文件要求且投标价格最低的投标报价为评审基准价，其价格分为满分。其他投标人的价格分统一按照下列公式计算：</w:t>
            </w:r>
          </w:p>
          <w:p w14:paraId="3A568733">
            <w:pPr>
              <w:widowControl w:val="0"/>
              <w:ind w:firstLine="420"/>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 xml:space="preserve">投标报价得分=(评审基准价／投标报价)×100 </w:t>
            </w:r>
          </w:p>
          <w:p w14:paraId="35B80FCC">
            <w:pPr>
              <w:widowControl w:val="0"/>
              <w:ind w:firstLine="420"/>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 xml:space="preserve">评审总得分＝F1×A1＋F2×A2＋……＋Fn×An </w:t>
            </w:r>
          </w:p>
          <w:p w14:paraId="47F7DC58">
            <w:pPr>
              <w:widowControl w:val="0"/>
              <w:ind w:firstLine="420"/>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F1、F2……Fn分别为各项评审因素的得分；</w:t>
            </w:r>
          </w:p>
          <w:p w14:paraId="67D79502">
            <w:pPr>
              <w:widowControl w:val="0"/>
              <w:ind w:firstLine="420"/>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A1、A2、……An 分别为各项评审因素所占的权重(A1＋A2＋……＋An＝1)。</w:t>
            </w:r>
          </w:p>
          <w:p w14:paraId="483A2D85">
            <w:pPr>
              <w:widowControl w:val="0"/>
              <w:ind w:firstLine="420"/>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评审过程中，不得去掉报价中的最高报价和最低报价。</w:t>
            </w:r>
          </w:p>
          <w:p w14:paraId="0F35D924">
            <w:pPr>
              <w:widowControl/>
              <w:spacing w:before="100" w:beforeAutospacing="0" w:afterAutospacing="0"/>
              <w:ind w:left="420"/>
              <w:jc w:val="left"/>
              <w:rPr>
                <w:rFonts w:hint="eastAsia" w:ascii="宋体" w:hAnsi="宋体" w:eastAsia="宋体"/>
                <w:kern w:val="2"/>
                <w:lang w:eastAsia="zh-CN"/>
              </w:rPr>
            </w:pPr>
            <w:r>
              <w:rPr>
                <w:rFonts w:hint="eastAsia" w:ascii="Calibri" w:hAnsi="Calibri" w:eastAsia="宋体" w:cstheme="minorBidi"/>
                <w:kern w:val="2"/>
                <w:sz w:val="21"/>
                <w:szCs w:val="21"/>
                <w:lang w:eastAsia="zh-CN"/>
              </w:rPr>
              <w:t>此方法适用于货物类、服务类、工程服务类项目。</w:t>
            </w:r>
          </w:p>
        </w:tc>
      </w:tr>
    </w:tbl>
    <w:tbl>
      <w:tblPr>
        <w:tblStyle w:val="13"/>
        <w:tblpPr w:leftFromText="180" w:rightFromText="180" w:vertAnchor="text" w:tblpXSpec="center" w:tblpY="1"/>
        <w:tblOverlap w:val="never"/>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14"/>
        <w:gridCol w:w="1174"/>
        <w:gridCol w:w="738"/>
        <w:gridCol w:w="5511"/>
      </w:tblGrid>
      <w:tr w14:paraId="3CA6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noWrap w:val="0"/>
            <w:vAlign w:val="center"/>
          </w:tcPr>
          <w:p w14:paraId="2E716904">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635" w:type="dxa"/>
            <w:gridSpan w:val="4"/>
            <w:noWrap w:val="0"/>
            <w:vAlign w:val="center"/>
          </w:tcPr>
          <w:p w14:paraId="24222FF5">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5511" w:type="dxa"/>
            <w:noWrap w:val="0"/>
            <w:vAlign w:val="center"/>
          </w:tcPr>
          <w:p w14:paraId="78DE7E08">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r>
      <w:tr w14:paraId="77C5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noWrap w:val="0"/>
            <w:vAlign w:val="center"/>
          </w:tcPr>
          <w:p w14:paraId="6DC2792E">
            <w:pPr>
              <w:spacing w:line="360" w:lineRule="auto"/>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1</w:t>
            </w:r>
          </w:p>
        </w:tc>
        <w:tc>
          <w:tcPr>
            <w:tcW w:w="2635" w:type="dxa"/>
            <w:gridSpan w:val="4"/>
            <w:noWrap w:val="0"/>
            <w:vAlign w:val="center"/>
          </w:tcPr>
          <w:p w14:paraId="66CFCCB4">
            <w:pPr>
              <w:spacing w:line="360" w:lineRule="auto"/>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价格</w:t>
            </w:r>
          </w:p>
        </w:tc>
        <w:tc>
          <w:tcPr>
            <w:tcW w:w="5511" w:type="dxa"/>
            <w:noWrap w:val="0"/>
            <w:vAlign w:val="center"/>
          </w:tcPr>
          <w:p w14:paraId="1A9D8678">
            <w:pPr>
              <w:spacing w:line="360" w:lineRule="auto"/>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30</w:t>
            </w:r>
          </w:p>
        </w:tc>
      </w:tr>
      <w:tr w14:paraId="5896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noWrap w:val="0"/>
            <w:vAlign w:val="center"/>
          </w:tcPr>
          <w:p w14:paraId="0EB555B7">
            <w:pPr>
              <w:spacing w:line="360" w:lineRule="auto"/>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2</w:t>
            </w:r>
          </w:p>
        </w:tc>
        <w:tc>
          <w:tcPr>
            <w:tcW w:w="2635" w:type="dxa"/>
            <w:gridSpan w:val="4"/>
            <w:noWrap w:val="0"/>
            <w:vAlign w:val="center"/>
          </w:tcPr>
          <w:p w14:paraId="7F802357">
            <w:pPr>
              <w:spacing w:line="360" w:lineRule="auto"/>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技术评分部分</w:t>
            </w:r>
          </w:p>
        </w:tc>
        <w:tc>
          <w:tcPr>
            <w:tcW w:w="5511" w:type="dxa"/>
            <w:noWrap w:val="0"/>
            <w:vAlign w:val="center"/>
          </w:tcPr>
          <w:p w14:paraId="5127C59C">
            <w:pPr>
              <w:spacing w:line="360" w:lineRule="auto"/>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52</w:t>
            </w:r>
          </w:p>
        </w:tc>
      </w:tr>
      <w:tr w14:paraId="4E59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restart"/>
            <w:noWrap w:val="0"/>
            <w:vAlign w:val="center"/>
          </w:tcPr>
          <w:p w14:paraId="0D4DCE7E">
            <w:pPr>
              <w:spacing w:line="360" w:lineRule="auto"/>
              <w:jc w:val="center"/>
              <w:rPr>
                <w:rFonts w:hint="eastAsia" w:ascii="宋体" w:hAnsi="宋体" w:eastAsia="宋体" w:cs="宋体"/>
                <w:sz w:val="21"/>
                <w:szCs w:val="21"/>
                <w:highlight w:val="none"/>
              </w:rPr>
            </w:pPr>
          </w:p>
        </w:tc>
        <w:tc>
          <w:tcPr>
            <w:tcW w:w="709" w:type="dxa"/>
            <w:noWrap w:val="0"/>
            <w:vAlign w:val="center"/>
          </w:tcPr>
          <w:p w14:paraId="51C8452D">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188" w:type="dxa"/>
            <w:gridSpan w:val="2"/>
            <w:noWrap w:val="0"/>
            <w:vAlign w:val="center"/>
          </w:tcPr>
          <w:p w14:paraId="5DC69EBE">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评分因素</w:t>
            </w:r>
          </w:p>
        </w:tc>
        <w:tc>
          <w:tcPr>
            <w:tcW w:w="738" w:type="dxa"/>
            <w:noWrap w:val="0"/>
            <w:vAlign w:val="center"/>
          </w:tcPr>
          <w:p w14:paraId="23EC26AB">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c>
          <w:tcPr>
            <w:tcW w:w="5511" w:type="dxa"/>
            <w:noWrap w:val="0"/>
            <w:vAlign w:val="center"/>
          </w:tcPr>
          <w:p w14:paraId="09AEF649">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评分准则</w:t>
            </w:r>
          </w:p>
        </w:tc>
      </w:tr>
      <w:tr w14:paraId="3DF2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continue"/>
            <w:noWrap w:val="0"/>
            <w:vAlign w:val="center"/>
          </w:tcPr>
          <w:p w14:paraId="0E441F86">
            <w:pPr>
              <w:keepNext/>
              <w:keepLines/>
              <w:spacing w:before="0" w:after="0" w:line="360" w:lineRule="auto"/>
              <w:jc w:val="center"/>
              <w:outlineLvl w:val="0"/>
              <w:rPr>
                <w:rFonts w:hint="eastAsia" w:ascii="宋体" w:hAnsi="宋体" w:eastAsia="宋体" w:cs="宋体"/>
                <w:sz w:val="21"/>
                <w:szCs w:val="21"/>
                <w:highlight w:val="none"/>
              </w:rPr>
            </w:pPr>
          </w:p>
        </w:tc>
        <w:tc>
          <w:tcPr>
            <w:tcW w:w="709" w:type="dxa"/>
            <w:noWrap w:val="0"/>
            <w:vAlign w:val="center"/>
          </w:tcPr>
          <w:p w14:paraId="5E5F5C6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88" w:type="dxa"/>
            <w:gridSpan w:val="2"/>
            <w:noWrap w:val="0"/>
            <w:vAlign w:val="center"/>
          </w:tcPr>
          <w:p w14:paraId="43FF8770">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rPr>
              <w:t>技术保障措施</w:t>
            </w:r>
          </w:p>
        </w:tc>
        <w:tc>
          <w:tcPr>
            <w:tcW w:w="738" w:type="dxa"/>
            <w:noWrap w:val="0"/>
            <w:vAlign w:val="center"/>
          </w:tcPr>
          <w:p w14:paraId="21E4851E">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rPr>
              <w:t>2</w:t>
            </w:r>
          </w:p>
        </w:tc>
        <w:tc>
          <w:tcPr>
            <w:tcW w:w="5511" w:type="dxa"/>
            <w:noWrap w:val="0"/>
            <w:vAlign w:val="top"/>
          </w:tcPr>
          <w:p w14:paraId="0738E135">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考察内容：</w:t>
            </w:r>
          </w:p>
          <w:p w14:paraId="26BD558E">
            <w:pPr>
              <w:spacing w:line="360" w:lineRule="auto"/>
              <w:rPr>
                <w:rFonts w:hint="eastAsia" w:ascii="宋体" w:hAnsi="宋体" w:eastAsia="宋体" w:cs="宋体"/>
                <w:sz w:val="21"/>
                <w:szCs w:val="21"/>
              </w:rPr>
            </w:pPr>
            <w:r>
              <w:rPr>
                <w:rFonts w:hint="eastAsia" w:ascii="宋体" w:hAnsi="宋体" w:eastAsia="宋体" w:cs="宋体"/>
                <w:sz w:val="21"/>
                <w:szCs w:val="21"/>
              </w:rPr>
              <w:t>投标人在投标文件中详细说明技术保障措施，包括但不限于：</w:t>
            </w:r>
          </w:p>
          <w:p w14:paraId="67D06DE4">
            <w:pPr>
              <w:spacing w:line="360" w:lineRule="auto"/>
              <w:rPr>
                <w:rFonts w:hint="eastAsia" w:ascii="宋体" w:hAnsi="宋体" w:eastAsia="宋体" w:cs="宋体"/>
                <w:sz w:val="21"/>
                <w:szCs w:val="21"/>
              </w:rPr>
            </w:pPr>
            <w:r>
              <w:rPr>
                <w:rFonts w:hint="eastAsia" w:ascii="宋体" w:hAnsi="宋体" w:eastAsia="宋体" w:cs="宋体"/>
                <w:sz w:val="21"/>
                <w:szCs w:val="21"/>
              </w:rPr>
              <w:t>1.技术方案；</w:t>
            </w:r>
          </w:p>
          <w:p w14:paraId="2DDDDAA5">
            <w:pPr>
              <w:spacing w:line="360" w:lineRule="auto"/>
              <w:rPr>
                <w:rFonts w:hint="eastAsia" w:ascii="宋体" w:hAnsi="宋体" w:eastAsia="宋体" w:cs="宋体"/>
                <w:sz w:val="21"/>
                <w:szCs w:val="21"/>
              </w:rPr>
            </w:pPr>
            <w:r>
              <w:rPr>
                <w:rFonts w:hint="eastAsia" w:ascii="宋体" w:hAnsi="宋体" w:eastAsia="宋体" w:cs="宋体"/>
                <w:sz w:val="21"/>
                <w:szCs w:val="21"/>
              </w:rPr>
              <w:t>2.项目管理方案；</w:t>
            </w:r>
          </w:p>
          <w:p w14:paraId="62A9458D">
            <w:pPr>
              <w:spacing w:line="360" w:lineRule="auto"/>
              <w:rPr>
                <w:rFonts w:hint="eastAsia" w:ascii="宋体" w:hAnsi="宋体" w:eastAsia="宋体" w:cs="宋体"/>
                <w:sz w:val="21"/>
                <w:szCs w:val="21"/>
              </w:rPr>
            </w:pPr>
            <w:r>
              <w:rPr>
                <w:rFonts w:hint="eastAsia" w:ascii="宋体" w:hAnsi="宋体" w:eastAsia="宋体" w:cs="宋体"/>
                <w:sz w:val="21"/>
                <w:szCs w:val="21"/>
              </w:rPr>
              <w:t>3.售后服务方案；</w:t>
            </w:r>
          </w:p>
          <w:p w14:paraId="1630152E">
            <w:pPr>
              <w:spacing w:line="360" w:lineRule="auto"/>
              <w:rPr>
                <w:rFonts w:hint="eastAsia" w:ascii="宋体" w:hAnsi="宋体" w:eastAsia="宋体" w:cs="宋体"/>
                <w:sz w:val="21"/>
                <w:szCs w:val="21"/>
              </w:rPr>
            </w:pPr>
            <w:r>
              <w:rPr>
                <w:rFonts w:hint="eastAsia" w:ascii="宋体" w:hAnsi="宋体" w:eastAsia="宋体" w:cs="宋体"/>
                <w:sz w:val="21"/>
                <w:szCs w:val="21"/>
              </w:rPr>
              <w:t>4.培训方案。</w:t>
            </w:r>
          </w:p>
          <w:p w14:paraId="47D43D72">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评审标准：</w:t>
            </w:r>
          </w:p>
          <w:p w14:paraId="412DC1F1">
            <w:pPr>
              <w:spacing w:line="360" w:lineRule="auto"/>
              <w:rPr>
                <w:rFonts w:hint="eastAsia" w:ascii="宋体" w:hAnsi="宋体" w:eastAsia="宋体" w:cs="宋体"/>
                <w:sz w:val="21"/>
                <w:szCs w:val="21"/>
              </w:rPr>
            </w:pPr>
            <w:r>
              <w:rPr>
                <w:rFonts w:hint="eastAsia" w:ascii="宋体" w:hAnsi="宋体" w:eastAsia="宋体" w:cs="宋体"/>
                <w:sz w:val="21"/>
                <w:szCs w:val="21"/>
              </w:rPr>
              <w:t>满足以上四项内容得1.4分，满足以上三项内容得1分，满足以上两项内容得0.6分，满足以上一项内容得0.2分，其他情况不得分。 在此基础上，专家根据方案响应情况进一步评审：</w:t>
            </w:r>
          </w:p>
          <w:p w14:paraId="78AE2267">
            <w:pPr>
              <w:spacing w:line="360" w:lineRule="auto"/>
              <w:rPr>
                <w:rFonts w:hint="eastAsia" w:ascii="宋体" w:hAnsi="宋体" w:eastAsia="宋体" w:cs="宋体"/>
                <w:sz w:val="21"/>
                <w:szCs w:val="21"/>
              </w:rPr>
            </w:pPr>
            <w:r>
              <w:rPr>
                <w:rFonts w:hint="eastAsia" w:ascii="宋体" w:hAnsi="宋体" w:eastAsia="宋体" w:cs="宋体"/>
                <w:sz w:val="21"/>
                <w:szCs w:val="21"/>
              </w:rPr>
              <w:t>1.方案符合实际、完整、规范、思路清晰，内容合理性强，加0.6分；</w:t>
            </w:r>
          </w:p>
          <w:p w14:paraId="0B5C5CDB">
            <w:pPr>
              <w:spacing w:line="360" w:lineRule="auto"/>
              <w:rPr>
                <w:rFonts w:hint="eastAsia" w:ascii="宋体" w:hAnsi="宋体" w:eastAsia="宋体" w:cs="宋体"/>
                <w:sz w:val="21"/>
                <w:szCs w:val="21"/>
              </w:rPr>
            </w:pPr>
            <w:r>
              <w:rPr>
                <w:rFonts w:hint="eastAsia" w:ascii="宋体" w:hAnsi="宋体" w:eastAsia="宋体" w:cs="宋体"/>
                <w:sz w:val="21"/>
                <w:szCs w:val="21"/>
              </w:rPr>
              <w:t>2.方案较符合实际、较完整规范、思路较清晰，内容合理性较强，加0.4分；</w:t>
            </w:r>
          </w:p>
          <w:p w14:paraId="2DD8EA70">
            <w:pPr>
              <w:spacing w:line="360" w:lineRule="auto"/>
              <w:rPr>
                <w:rFonts w:hint="eastAsia" w:ascii="宋体" w:hAnsi="宋体" w:eastAsia="宋体" w:cs="宋体"/>
                <w:sz w:val="21"/>
                <w:szCs w:val="21"/>
              </w:rPr>
            </w:pPr>
            <w:r>
              <w:rPr>
                <w:rFonts w:hint="eastAsia" w:ascii="宋体" w:hAnsi="宋体" w:eastAsia="宋体" w:cs="宋体"/>
                <w:sz w:val="21"/>
                <w:szCs w:val="21"/>
              </w:rPr>
              <w:t>3.方案较普通、完整性规范性一般，思路不够清晰，内容合理性一般，加0.2分；</w:t>
            </w:r>
          </w:p>
          <w:p w14:paraId="43E7C3CA">
            <w:pPr>
              <w:spacing w:line="360" w:lineRule="auto"/>
              <w:rPr>
                <w:rFonts w:hint="eastAsia" w:ascii="宋体" w:hAnsi="宋体" w:eastAsia="宋体" w:cs="宋体"/>
                <w:sz w:val="21"/>
                <w:szCs w:val="21"/>
                <w:highlight w:val="none"/>
              </w:rPr>
            </w:pPr>
            <w:r>
              <w:rPr>
                <w:rFonts w:hint="eastAsia" w:ascii="宋体" w:hAnsi="宋体" w:eastAsia="宋体" w:cs="宋体"/>
                <w:sz w:val="21"/>
                <w:szCs w:val="21"/>
              </w:rPr>
              <w:t>4.方案不全、不规范，思路不清晰，内容合理性差，不加分。</w:t>
            </w:r>
          </w:p>
        </w:tc>
      </w:tr>
      <w:tr w14:paraId="7CAD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continue"/>
            <w:noWrap w:val="0"/>
            <w:vAlign w:val="center"/>
          </w:tcPr>
          <w:p w14:paraId="56DA21B0">
            <w:pPr>
              <w:keepNext/>
              <w:keepLines/>
              <w:spacing w:before="0" w:after="0" w:line="360" w:lineRule="auto"/>
              <w:jc w:val="center"/>
              <w:outlineLvl w:val="2"/>
              <w:rPr>
                <w:rFonts w:hint="eastAsia" w:ascii="宋体" w:hAnsi="宋体" w:eastAsia="宋体" w:cs="宋体"/>
                <w:sz w:val="21"/>
                <w:szCs w:val="21"/>
                <w:highlight w:val="none"/>
              </w:rPr>
            </w:pPr>
          </w:p>
        </w:tc>
        <w:tc>
          <w:tcPr>
            <w:tcW w:w="709" w:type="dxa"/>
            <w:noWrap w:val="0"/>
            <w:vAlign w:val="center"/>
          </w:tcPr>
          <w:p w14:paraId="51331CF6">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1188" w:type="dxa"/>
            <w:gridSpan w:val="2"/>
            <w:noWrap w:val="0"/>
            <w:vAlign w:val="center"/>
          </w:tcPr>
          <w:p w14:paraId="07499484">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rPr>
              <w:t>技术参数响应情况</w:t>
            </w:r>
          </w:p>
        </w:tc>
        <w:tc>
          <w:tcPr>
            <w:tcW w:w="738" w:type="dxa"/>
            <w:noWrap w:val="0"/>
            <w:vAlign w:val="center"/>
          </w:tcPr>
          <w:p w14:paraId="35EAA7C2">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rPr>
              <w:t>25</w:t>
            </w:r>
          </w:p>
        </w:tc>
        <w:tc>
          <w:tcPr>
            <w:tcW w:w="5511" w:type="dxa"/>
            <w:noWrap w:val="0"/>
            <w:vAlign w:val="top"/>
          </w:tcPr>
          <w:p w14:paraId="205E2DFC">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考察内容：</w:t>
            </w:r>
          </w:p>
          <w:p w14:paraId="0AF611DF">
            <w:pPr>
              <w:spacing w:line="360" w:lineRule="auto"/>
              <w:rPr>
                <w:rFonts w:hint="eastAsia" w:ascii="宋体" w:hAnsi="宋体" w:eastAsia="宋体" w:cs="宋体"/>
                <w:sz w:val="21"/>
                <w:szCs w:val="21"/>
              </w:rPr>
            </w:pPr>
            <w:r>
              <w:rPr>
                <w:rFonts w:hint="eastAsia" w:ascii="宋体" w:hAnsi="宋体" w:eastAsia="宋体" w:cs="宋体"/>
                <w:sz w:val="21"/>
                <w:szCs w:val="21"/>
              </w:rPr>
              <w:t>评审委员会根据《技术要求偏离表》（以下简称“偏离表”）响应情况进行打分，全部满足的得25分，每有一条“▲”重要技术参数负偏离，扣3分；每有一条一般技术参数负偏离的，扣0.3分，扣完为止。</w:t>
            </w:r>
          </w:p>
          <w:p w14:paraId="3DE9222E">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证明文件：</w:t>
            </w:r>
          </w:p>
          <w:p w14:paraId="72A72D0C">
            <w:pPr>
              <w:spacing w:line="360" w:lineRule="auto"/>
              <w:rPr>
                <w:rFonts w:hint="eastAsia" w:ascii="宋体" w:hAnsi="宋体" w:eastAsia="宋体" w:cs="宋体"/>
                <w:sz w:val="21"/>
                <w:szCs w:val="21"/>
                <w:highlight w:val="none"/>
              </w:rPr>
            </w:pPr>
            <w:r>
              <w:rPr>
                <w:rFonts w:hint="eastAsia" w:ascii="宋体" w:hAnsi="宋体" w:eastAsia="宋体" w:cs="宋体"/>
                <w:sz w:val="21"/>
                <w:szCs w:val="21"/>
              </w:rPr>
              <w:t>偏离表应如实对应填写所投产品的具体参数。如要求提供证明资料的，需按要求提4F9B相关证明资料；提供的证明资料与所填写内容不一致的，以证明资料为准，原件备查。证明材料不能满足招标要求的，该项按负偏离处理。（未提供或未按要求提供或提供的不清晰导致评审委员会无法判断的，不得分）</w:t>
            </w:r>
          </w:p>
        </w:tc>
      </w:tr>
      <w:tr w14:paraId="3EFC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continue"/>
            <w:noWrap w:val="0"/>
            <w:vAlign w:val="center"/>
          </w:tcPr>
          <w:p w14:paraId="29318CB6">
            <w:pPr>
              <w:spacing w:line="360" w:lineRule="auto"/>
              <w:jc w:val="center"/>
              <w:rPr>
                <w:rFonts w:hint="eastAsia" w:ascii="宋体" w:hAnsi="宋体" w:eastAsia="宋体" w:cs="宋体"/>
                <w:sz w:val="21"/>
                <w:szCs w:val="21"/>
                <w:highlight w:val="none"/>
              </w:rPr>
            </w:pPr>
          </w:p>
        </w:tc>
        <w:tc>
          <w:tcPr>
            <w:tcW w:w="709" w:type="dxa"/>
            <w:noWrap w:val="0"/>
            <w:vAlign w:val="center"/>
          </w:tcPr>
          <w:p w14:paraId="471B9C15">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1188" w:type="dxa"/>
            <w:gridSpan w:val="2"/>
            <w:noWrap w:val="0"/>
            <w:vAlign w:val="center"/>
          </w:tcPr>
          <w:p w14:paraId="65B3EC3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rPr>
              <w:t>拟安排的项目负责人情况</w:t>
            </w:r>
            <w:r>
              <w:rPr>
                <w:rFonts w:hint="eastAsia" w:ascii="宋体" w:hAnsi="宋体" w:eastAsia="宋体" w:cs="宋体"/>
                <w:sz w:val="21"/>
                <w:szCs w:val="21"/>
              </w:rPr>
              <w:br w:type="textWrapping"/>
            </w:r>
            <w:r>
              <w:rPr>
                <w:rFonts w:hint="eastAsia" w:ascii="宋体" w:hAnsi="宋体" w:eastAsia="宋体" w:cs="宋体"/>
                <w:sz w:val="21"/>
                <w:szCs w:val="21"/>
              </w:rPr>
              <w:t>(仅限1人)</w:t>
            </w:r>
          </w:p>
        </w:tc>
        <w:tc>
          <w:tcPr>
            <w:tcW w:w="738" w:type="dxa"/>
            <w:noWrap w:val="0"/>
            <w:vAlign w:val="center"/>
          </w:tcPr>
          <w:p w14:paraId="7A506635">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rPr>
              <w:t>10</w:t>
            </w:r>
          </w:p>
        </w:tc>
        <w:tc>
          <w:tcPr>
            <w:tcW w:w="5511" w:type="dxa"/>
            <w:noWrap w:val="0"/>
            <w:vAlign w:val="top"/>
          </w:tcPr>
          <w:p w14:paraId="3AB60260">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考察内容：</w:t>
            </w:r>
          </w:p>
          <w:p w14:paraId="10599E79">
            <w:pPr>
              <w:spacing w:line="360" w:lineRule="auto"/>
              <w:rPr>
                <w:rFonts w:hint="eastAsia" w:ascii="宋体" w:hAnsi="宋体" w:eastAsia="宋体" w:cs="宋体"/>
                <w:sz w:val="21"/>
                <w:szCs w:val="21"/>
              </w:rPr>
            </w:pPr>
            <w:r>
              <w:rPr>
                <w:rFonts w:hint="eastAsia" w:ascii="宋体" w:hAnsi="宋体" w:eastAsia="宋体" w:cs="宋体"/>
                <w:sz w:val="21"/>
                <w:szCs w:val="21"/>
              </w:rPr>
              <w:t>拟安排的项目负责人（仅限1人）需为投标人自有员工（提供社保证明），否则本项不得分，在此基础上：</w:t>
            </w:r>
          </w:p>
          <w:p w14:paraId="031B1A80">
            <w:pPr>
              <w:spacing w:line="360" w:lineRule="auto"/>
              <w:rPr>
                <w:rFonts w:hint="eastAsia" w:ascii="宋体" w:hAnsi="宋体" w:eastAsia="宋体" w:cs="宋体"/>
                <w:sz w:val="21"/>
                <w:szCs w:val="21"/>
              </w:rPr>
            </w:pPr>
            <w:r>
              <w:rPr>
                <w:rFonts w:hint="eastAsia" w:ascii="宋体" w:hAnsi="宋体" w:eastAsia="宋体" w:cs="宋体"/>
                <w:sz w:val="21"/>
                <w:szCs w:val="21"/>
              </w:rPr>
              <w:t>1.具有人社部门颁发的计算机技术与软件专业技术资格（级别：高级，专业：系统与规划管理师）证书或计算机技术与软件专业技术资格（</w:t>
            </w:r>
            <w:r>
              <w:rPr>
                <w:rFonts w:hint="eastAsia" w:ascii="宋体" w:hAnsi="宋体" w:eastAsia="宋体" w:cs="宋体"/>
                <w:sz w:val="21"/>
                <w:szCs w:val="21"/>
                <w:lang w:val="en-US" w:eastAsia="zh-CN"/>
              </w:rPr>
              <w:t>专业：</w:t>
            </w:r>
            <w:r>
              <w:rPr>
                <w:rFonts w:hint="eastAsia" w:ascii="宋体" w:hAnsi="宋体" w:eastAsia="宋体" w:cs="宋体"/>
                <w:sz w:val="21"/>
                <w:szCs w:val="21"/>
              </w:rPr>
              <w:t xml:space="preserve">高级信息系统项目管理师），得2分； </w:t>
            </w:r>
          </w:p>
          <w:p w14:paraId="393A50DB">
            <w:pPr>
              <w:spacing w:line="360" w:lineRule="auto"/>
              <w:rPr>
                <w:rFonts w:hint="eastAsia" w:ascii="宋体" w:hAnsi="宋体" w:eastAsia="宋体" w:cs="宋体"/>
                <w:sz w:val="21"/>
                <w:szCs w:val="21"/>
              </w:rPr>
            </w:pPr>
            <w:r>
              <w:rPr>
                <w:rFonts w:hint="eastAsia" w:ascii="宋体" w:hAnsi="宋体" w:eastAsia="宋体" w:cs="宋体"/>
                <w:sz w:val="21"/>
                <w:szCs w:val="21"/>
              </w:rPr>
              <w:t>2.具有行政机关或事业单位颁发的注册信息安全工程师（CISE）证书或信息安全保障人员认证（CISAW）证书，得2分；</w:t>
            </w:r>
          </w:p>
          <w:p w14:paraId="1AD94244">
            <w:pPr>
              <w:spacing w:line="360" w:lineRule="auto"/>
              <w:rPr>
                <w:rFonts w:hint="eastAsia" w:ascii="宋体" w:hAnsi="宋体" w:eastAsia="宋体" w:cs="宋体"/>
                <w:sz w:val="21"/>
                <w:szCs w:val="21"/>
              </w:rPr>
            </w:pPr>
            <w:r>
              <w:rPr>
                <w:rFonts w:hint="eastAsia" w:ascii="宋体" w:hAnsi="宋体" w:eastAsia="宋体" w:cs="宋体"/>
                <w:sz w:val="21"/>
                <w:szCs w:val="21"/>
              </w:rPr>
              <w:t>3.具有人社部门或工信部门颁发的（高级）软件开发工程师证书，得2分；</w:t>
            </w:r>
          </w:p>
          <w:p w14:paraId="505CD424">
            <w:pPr>
              <w:spacing w:line="360" w:lineRule="auto"/>
              <w:rPr>
                <w:rFonts w:hint="eastAsia" w:ascii="宋体" w:hAnsi="宋体" w:eastAsia="宋体" w:cs="宋体"/>
                <w:sz w:val="21"/>
                <w:szCs w:val="21"/>
              </w:rPr>
            </w:pPr>
            <w:r>
              <w:rPr>
                <w:rFonts w:hint="eastAsia" w:ascii="宋体" w:hAnsi="宋体" w:eastAsia="宋体" w:cs="宋体"/>
                <w:sz w:val="21"/>
                <w:szCs w:val="21"/>
              </w:rPr>
              <w:t>4.具有人社部门或工信部门颁发的算力网络技术（高级）证书，得2分；</w:t>
            </w:r>
          </w:p>
          <w:p w14:paraId="78EF2D9B">
            <w:pPr>
              <w:spacing w:line="360" w:lineRule="auto"/>
              <w:rPr>
                <w:rFonts w:hint="eastAsia" w:ascii="宋体" w:hAnsi="宋体" w:eastAsia="宋体" w:cs="宋体"/>
                <w:sz w:val="21"/>
                <w:szCs w:val="21"/>
              </w:rPr>
            </w:pPr>
            <w:r>
              <w:rPr>
                <w:rFonts w:hint="eastAsia" w:ascii="宋体" w:hAnsi="宋体" w:eastAsia="宋体" w:cs="宋体"/>
                <w:sz w:val="21"/>
                <w:szCs w:val="21"/>
              </w:rPr>
              <w:t>5.具有工业和信息化部教育与考试中心颁发的智能化系统集成项目经理（</w:t>
            </w:r>
            <w:r>
              <w:rPr>
                <w:rFonts w:hint="eastAsia" w:ascii="宋体" w:hAnsi="宋体" w:eastAsia="宋体" w:cs="宋体"/>
                <w:sz w:val="21"/>
                <w:szCs w:val="21"/>
                <w:lang w:val="en-US" w:eastAsia="zh-CN"/>
              </w:rPr>
              <w:t>级别：</w:t>
            </w:r>
            <w:r>
              <w:rPr>
                <w:rFonts w:hint="eastAsia" w:ascii="宋体" w:hAnsi="宋体" w:eastAsia="宋体" w:cs="宋体"/>
                <w:sz w:val="21"/>
                <w:szCs w:val="21"/>
              </w:rPr>
              <w:t>高级））证书，得2分；</w:t>
            </w:r>
          </w:p>
          <w:p w14:paraId="4B3E27AA">
            <w:pPr>
              <w:spacing w:line="360" w:lineRule="auto"/>
              <w:rPr>
                <w:rFonts w:hint="eastAsia" w:ascii="宋体" w:hAnsi="宋体" w:eastAsia="宋体" w:cs="宋体"/>
                <w:sz w:val="21"/>
                <w:szCs w:val="21"/>
              </w:rPr>
            </w:pPr>
            <w:r>
              <w:rPr>
                <w:rFonts w:hint="eastAsia" w:ascii="宋体" w:hAnsi="宋体" w:eastAsia="宋体" w:cs="宋体"/>
                <w:sz w:val="21"/>
                <w:szCs w:val="21"/>
              </w:rPr>
              <w:t>以上5项累计得分，最高得10分。</w:t>
            </w:r>
          </w:p>
          <w:p w14:paraId="7D4EB1BC">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证明文件：</w:t>
            </w:r>
          </w:p>
          <w:p w14:paraId="43E13DDB">
            <w:pPr>
              <w:spacing w:line="360" w:lineRule="auto"/>
              <w:rPr>
                <w:rFonts w:hint="eastAsia" w:ascii="宋体" w:hAnsi="宋体" w:eastAsia="宋体" w:cs="宋体"/>
                <w:sz w:val="21"/>
                <w:szCs w:val="21"/>
              </w:rPr>
            </w:pPr>
            <w:r>
              <w:rPr>
                <w:rFonts w:hint="eastAsia" w:ascii="宋体" w:hAnsi="宋体" w:eastAsia="宋体" w:cs="宋体"/>
                <w:sz w:val="21"/>
                <w:szCs w:val="21"/>
              </w:rPr>
              <w:t>1.提供开标日前由投标人为拟投入本项目的负责人缴交的载有政府部门公章（或专用章）的2024年7月-2024年9月的社保缴交证明材料，如开标日上一个月的社保材料因政府部门原因暂时无法取得，则可以往前顺延一个月；社保资料至少显示缴交养老保险信息，未显示该信息的该社保资料则不符合要求，原件备查。如供应商为新成立企业且成立时间不足3个月的，需承诺相关人员为投标人自有员工，承诺函格式自拟并加盖公章；</w:t>
            </w:r>
          </w:p>
          <w:p w14:paraId="07E6F855">
            <w:pPr>
              <w:spacing w:line="360" w:lineRule="auto"/>
              <w:rPr>
                <w:rFonts w:hint="eastAsia" w:ascii="宋体" w:hAnsi="宋体" w:eastAsia="宋体" w:cs="宋体"/>
                <w:sz w:val="21"/>
                <w:szCs w:val="21"/>
              </w:rPr>
            </w:pPr>
            <w:r>
              <w:rPr>
                <w:rFonts w:hint="eastAsia" w:ascii="宋体" w:hAnsi="宋体" w:eastAsia="宋体" w:cs="宋体"/>
                <w:sz w:val="21"/>
                <w:szCs w:val="21"/>
              </w:rPr>
              <w:t>2.第1-5项提供证书扫描件；</w:t>
            </w:r>
          </w:p>
          <w:p w14:paraId="62887D87">
            <w:pPr>
              <w:spacing w:line="360" w:lineRule="auto"/>
              <w:rPr>
                <w:rFonts w:hint="eastAsia" w:ascii="宋体" w:hAnsi="宋体" w:eastAsia="宋体" w:cs="宋体"/>
                <w:sz w:val="21"/>
                <w:szCs w:val="21"/>
                <w:highlight w:val="none"/>
              </w:rPr>
            </w:pPr>
            <w:r>
              <w:rPr>
                <w:rFonts w:hint="eastAsia" w:ascii="宋体" w:hAnsi="宋体" w:eastAsia="宋体" w:cs="宋体"/>
                <w:sz w:val="21"/>
                <w:szCs w:val="21"/>
              </w:rPr>
              <w:t>3.未提供或未按要求提供或提供的不清晰导致评审委员会无法判断的，不得分。</w:t>
            </w:r>
          </w:p>
        </w:tc>
      </w:tr>
      <w:tr w14:paraId="5C8A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continue"/>
            <w:noWrap w:val="0"/>
            <w:vAlign w:val="center"/>
          </w:tcPr>
          <w:p w14:paraId="1DA74EB8">
            <w:pPr>
              <w:keepNext/>
              <w:keepLines/>
              <w:spacing w:before="0" w:after="0" w:line="360" w:lineRule="auto"/>
              <w:jc w:val="center"/>
              <w:outlineLvl w:val="2"/>
              <w:rPr>
                <w:rFonts w:hint="eastAsia" w:ascii="宋体" w:hAnsi="宋体" w:eastAsia="宋体" w:cs="宋体"/>
                <w:sz w:val="21"/>
                <w:szCs w:val="21"/>
                <w:highlight w:val="none"/>
              </w:rPr>
            </w:pPr>
          </w:p>
        </w:tc>
        <w:tc>
          <w:tcPr>
            <w:tcW w:w="709" w:type="dxa"/>
            <w:noWrap w:val="0"/>
            <w:vAlign w:val="center"/>
          </w:tcPr>
          <w:p w14:paraId="3FFC4569">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188" w:type="dxa"/>
            <w:gridSpan w:val="2"/>
            <w:noWrap w:val="0"/>
            <w:vAlign w:val="center"/>
          </w:tcPr>
          <w:p w14:paraId="0342F77A">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rPr>
              <w:t>拟安排的项目主要团队成员（主要技术人员）情况（项目负责人除外）</w:t>
            </w:r>
          </w:p>
        </w:tc>
        <w:tc>
          <w:tcPr>
            <w:tcW w:w="738" w:type="dxa"/>
            <w:noWrap w:val="0"/>
            <w:vAlign w:val="center"/>
          </w:tcPr>
          <w:p w14:paraId="5F463420">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rPr>
              <w:t>15</w:t>
            </w:r>
          </w:p>
        </w:tc>
        <w:tc>
          <w:tcPr>
            <w:tcW w:w="5511" w:type="dxa"/>
            <w:noWrap w:val="0"/>
            <w:vAlign w:val="top"/>
          </w:tcPr>
          <w:p w14:paraId="0EDEC539">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考察内容：</w:t>
            </w:r>
          </w:p>
          <w:p w14:paraId="280E8D52">
            <w:pPr>
              <w:spacing w:line="360" w:lineRule="auto"/>
              <w:rPr>
                <w:rFonts w:hint="eastAsia" w:ascii="宋体" w:hAnsi="宋体" w:eastAsia="宋体" w:cs="宋体"/>
                <w:sz w:val="21"/>
                <w:szCs w:val="21"/>
              </w:rPr>
            </w:pPr>
            <w:r>
              <w:rPr>
                <w:rFonts w:hint="eastAsia" w:ascii="宋体" w:hAnsi="宋体" w:eastAsia="宋体" w:cs="宋体"/>
                <w:sz w:val="21"/>
                <w:szCs w:val="21"/>
              </w:rPr>
              <w:t>拟安排项目团队成员（项目负责人除外）需为投标人自有员工（提供社保证明），否则本项不得分，在此基础上：</w:t>
            </w:r>
          </w:p>
          <w:p w14:paraId="10F2694D">
            <w:pPr>
              <w:rPr>
                <w:rFonts w:hint="eastAsia" w:ascii="宋体" w:hAnsi="宋体" w:eastAsia="宋体" w:cs="宋体"/>
                <w:b/>
                <w:bCs/>
                <w:sz w:val="21"/>
                <w:szCs w:val="21"/>
              </w:rPr>
            </w:pPr>
            <w:r>
              <w:rPr>
                <w:rFonts w:hint="eastAsia" w:ascii="宋体" w:hAnsi="宋体" w:eastAsia="宋体" w:cs="宋体"/>
                <w:b/>
                <w:bCs/>
                <w:sz w:val="21"/>
                <w:szCs w:val="21"/>
              </w:rPr>
              <w:t>一、技术负责人（1名）：</w:t>
            </w:r>
          </w:p>
          <w:p w14:paraId="14D30D44">
            <w:pPr>
              <w:spacing w:line="360" w:lineRule="auto"/>
              <w:rPr>
                <w:rFonts w:hint="eastAsia" w:ascii="宋体" w:hAnsi="宋体" w:eastAsia="宋体" w:cs="宋体"/>
                <w:sz w:val="21"/>
                <w:szCs w:val="21"/>
              </w:rPr>
            </w:pPr>
            <w:r>
              <w:rPr>
                <w:rFonts w:hint="eastAsia" w:ascii="宋体" w:hAnsi="宋体" w:eastAsia="宋体" w:cs="宋体"/>
                <w:sz w:val="21"/>
                <w:szCs w:val="21"/>
              </w:rPr>
              <w:t>1.具有中国网络安全审查技术与认证中心颁发的信息安全保障人员认证证书，得2分；</w:t>
            </w:r>
          </w:p>
          <w:p w14:paraId="719F9CE8">
            <w:pPr>
              <w:spacing w:line="360" w:lineRule="auto"/>
              <w:rPr>
                <w:rFonts w:hint="eastAsia" w:ascii="宋体" w:hAnsi="宋体" w:eastAsia="宋体" w:cs="宋体"/>
                <w:sz w:val="21"/>
                <w:szCs w:val="21"/>
              </w:rPr>
            </w:pPr>
            <w:r>
              <w:rPr>
                <w:rFonts w:hint="eastAsia" w:ascii="宋体" w:hAnsi="宋体" w:eastAsia="宋体" w:cs="宋体"/>
                <w:sz w:val="21"/>
                <w:szCs w:val="21"/>
              </w:rPr>
              <w:t>2.具有人力资源和社会保障部、工业和信息化部颁发的计算机技术与软件专业技术资格证书（</w:t>
            </w:r>
            <w:r>
              <w:rPr>
                <w:rFonts w:hint="eastAsia" w:ascii="宋体" w:hAnsi="宋体" w:eastAsia="宋体" w:cs="宋体"/>
                <w:sz w:val="21"/>
                <w:szCs w:val="21"/>
                <w:lang w:val="en-US" w:eastAsia="zh-CN"/>
              </w:rPr>
              <w:t>专业：</w:t>
            </w:r>
            <w:r>
              <w:rPr>
                <w:rFonts w:hint="eastAsia" w:ascii="宋体" w:hAnsi="宋体" w:eastAsia="宋体" w:cs="宋体"/>
                <w:sz w:val="21"/>
                <w:szCs w:val="21"/>
              </w:rPr>
              <w:t>高级信息系统项目管理师），得2分；</w:t>
            </w:r>
          </w:p>
          <w:p w14:paraId="0EEF831D">
            <w:pPr>
              <w:spacing w:line="360" w:lineRule="auto"/>
              <w:rPr>
                <w:rFonts w:hint="eastAsia" w:ascii="宋体" w:hAnsi="宋体" w:eastAsia="宋体" w:cs="宋体"/>
                <w:sz w:val="21"/>
                <w:szCs w:val="21"/>
              </w:rPr>
            </w:pPr>
            <w:r>
              <w:rPr>
                <w:rFonts w:hint="eastAsia" w:ascii="宋体" w:hAnsi="宋体" w:eastAsia="宋体" w:cs="宋体"/>
                <w:sz w:val="21"/>
                <w:szCs w:val="21"/>
              </w:rPr>
              <w:t>3.具有工业和信息化部教育与考试中心颁发的智能化系统工程师（高级）证书，得2分；</w:t>
            </w:r>
          </w:p>
          <w:p w14:paraId="357450F3">
            <w:pPr>
              <w:spacing w:line="360" w:lineRule="auto"/>
              <w:rPr>
                <w:rFonts w:hint="eastAsia" w:ascii="宋体" w:hAnsi="宋体" w:eastAsia="宋体" w:cs="宋体"/>
                <w:sz w:val="21"/>
                <w:szCs w:val="21"/>
              </w:rPr>
            </w:pPr>
            <w:r>
              <w:rPr>
                <w:rFonts w:hint="eastAsia" w:ascii="宋体" w:hAnsi="宋体" w:eastAsia="宋体" w:cs="宋体"/>
                <w:sz w:val="21"/>
                <w:szCs w:val="21"/>
              </w:rPr>
              <w:t>4.人力资源和社会保障部、工业和信息化部颁发的通信专业技术人员职业资格证书，得2分。</w:t>
            </w:r>
          </w:p>
          <w:p w14:paraId="7C9CD1AF">
            <w:pPr>
              <w:spacing w:line="360" w:lineRule="auto"/>
              <w:rPr>
                <w:rFonts w:hint="eastAsia" w:ascii="宋体" w:hAnsi="宋体" w:eastAsia="宋体" w:cs="宋体"/>
                <w:sz w:val="21"/>
                <w:szCs w:val="21"/>
              </w:rPr>
            </w:pPr>
            <w:r>
              <w:rPr>
                <w:rFonts w:hint="eastAsia" w:ascii="宋体" w:hAnsi="宋体" w:eastAsia="宋体" w:cs="宋体"/>
                <w:sz w:val="21"/>
                <w:szCs w:val="21"/>
              </w:rPr>
              <w:t>以上4小项累计得分，本项最高得8分。</w:t>
            </w:r>
          </w:p>
          <w:p w14:paraId="46463A8D">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二、终端及应急保障服务负责人（1名）：</w:t>
            </w:r>
          </w:p>
          <w:p w14:paraId="1A237FE7">
            <w:pPr>
              <w:spacing w:line="360" w:lineRule="auto"/>
              <w:rPr>
                <w:rFonts w:hint="eastAsia" w:ascii="宋体" w:hAnsi="宋体" w:eastAsia="宋体" w:cs="宋体"/>
                <w:sz w:val="21"/>
                <w:szCs w:val="21"/>
              </w:rPr>
            </w:pPr>
            <w:r>
              <w:rPr>
                <w:rFonts w:hint="eastAsia" w:ascii="宋体" w:hAnsi="宋体" w:eastAsia="宋体" w:cs="宋体"/>
                <w:sz w:val="21"/>
                <w:szCs w:val="21"/>
              </w:rPr>
              <w:t>1.具有行政机关或事业单位颁发的注册信息安全工程师（CISE）证书，得1分；</w:t>
            </w:r>
          </w:p>
          <w:p w14:paraId="64242D0E">
            <w:pPr>
              <w:spacing w:line="360" w:lineRule="auto"/>
              <w:rPr>
                <w:rFonts w:hint="eastAsia" w:ascii="宋体" w:hAnsi="宋体" w:eastAsia="宋体" w:cs="宋体"/>
                <w:sz w:val="21"/>
                <w:szCs w:val="21"/>
              </w:rPr>
            </w:pPr>
            <w:r>
              <w:rPr>
                <w:rFonts w:hint="eastAsia" w:ascii="宋体" w:hAnsi="宋体" w:eastAsia="宋体" w:cs="宋体"/>
                <w:sz w:val="21"/>
                <w:szCs w:val="21"/>
              </w:rPr>
              <w:t>2.具有行政机关或事业单位颁发的注册渗透测试工程师（CISP-PTE）证书，得1分；</w:t>
            </w:r>
          </w:p>
          <w:p w14:paraId="28B994C8">
            <w:pPr>
              <w:spacing w:line="360" w:lineRule="auto"/>
              <w:rPr>
                <w:rFonts w:hint="eastAsia" w:ascii="宋体" w:hAnsi="宋体" w:eastAsia="宋体" w:cs="宋体"/>
                <w:sz w:val="21"/>
                <w:szCs w:val="21"/>
              </w:rPr>
            </w:pPr>
            <w:r>
              <w:rPr>
                <w:rFonts w:hint="eastAsia" w:ascii="宋体" w:hAnsi="宋体" w:eastAsia="宋体" w:cs="宋体"/>
                <w:sz w:val="21"/>
                <w:szCs w:val="21"/>
              </w:rPr>
              <w:t>3.具有人社部门或工信部门颁发的信息系统运维管理工程师（高级）证书，得1分。</w:t>
            </w:r>
          </w:p>
          <w:p w14:paraId="005FC160">
            <w:pPr>
              <w:spacing w:line="360" w:lineRule="auto"/>
              <w:rPr>
                <w:rFonts w:hint="eastAsia" w:ascii="宋体" w:hAnsi="宋体" w:eastAsia="宋体" w:cs="宋体"/>
                <w:sz w:val="21"/>
                <w:szCs w:val="21"/>
              </w:rPr>
            </w:pPr>
            <w:r>
              <w:rPr>
                <w:rFonts w:hint="eastAsia" w:ascii="宋体" w:hAnsi="宋体" w:eastAsia="宋体" w:cs="宋体"/>
                <w:sz w:val="21"/>
                <w:szCs w:val="21"/>
              </w:rPr>
              <w:t>以上3项累计得分，本项最高得3分。</w:t>
            </w:r>
          </w:p>
          <w:p w14:paraId="72E19014">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三、安全售后负责人（1人）：</w:t>
            </w:r>
          </w:p>
          <w:p w14:paraId="7ABB5F6F">
            <w:pPr>
              <w:spacing w:line="360" w:lineRule="auto"/>
              <w:rPr>
                <w:rFonts w:hint="eastAsia" w:ascii="宋体" w:hAnsi="宋体" w:eastAsia="宋体" w:cs="宋体"/>
                <w:sz w:val="21"/>
                <w:szCs w:val="21"/>
              </w:rPr>
            </w:pPr>
            <w:r>
              <w:rPr>
                <w:rFonts w:hint="eastAsia" w:ascii="宋体" w:hAnsi="宋体" w:eastAsia="宋体" w:cs="宋体"/>
                <w:sz w:val="21"/>
                <w:szCs w:val="21"/>
              </w:rPr>
              <w:t>1.具有行政机关或事业单位颁发的信息安全保障人员认证证书（认证方向：安全集成），得1分；</w:t>
            </w:r>
          </w:p>
          <w:p w14:paraId="5D36087D">
            <w:pPr>
              <w:spacing w:line="360" w:lineRule="auto"/>
              <w:rPr>
                <w:rFonts w:hint="eastAsia" w:ascii="宋体" w:hAnsi="宋体" w:eastAsia="宋体" w:cs="宋体"/>
                <w:sz w:val="21"/>
                <w:szCs w:val="21"/>
              </w:rPr>
            </w:pPr>
            <w:r>
              <w:rPr>
                <w:rFonts w:hint="eastAsia" w:ascii="宋体" w:hAnsi="宋体" w:eastAsia="宋体" w:cs="宋体"/>
                <w:sz w:val="21"/>
                <w:szCs w:val="21"/>
              </w:rPr>
              <w:t>2.具有行政机关或事业单位颁发的注册信息安全工程师（CISE）证书，得1分。</w:t>
            </w:r>
          </w:p>
          <w:p w14:paraId="7AB72697">
            <w:pPr>
              <w:spacing w:line="360" w:lineRule="auto"/>
              <w:rPr>
                <w:rFonts w:hint="eastAsia" w:ascii="宋体" w:hAnsi="宋体" w:eastAsia="宋体" w:cs="宋体"/>
                <w:sz w:val="21"/>
                <w:szCs w:val="21"/>
              </w:rPr>
            </w:pPr>
            <w:r>
              <w:rPr>
                <w:rFonts w:hint="eastAsia" w:ascii="宋体" w:hAnsi="宋体" w:eastAsia="宋体" w:cs="宋体"/>
                <w:sz w:val="21"/>
                <w:szCs w:val="21"/>
              </w:rPr>
              <w:t>以上2项累计得分，本项最高得2分。</w:t>
            </w:r>
          </w:p>
          <w:p w14:paraId="075F80A9">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四、技术助理（1人）：</w:t>
            </w:r>
          </w:p>
          <w:p w14:paraId="7FF88422">
            <w:pPr>
              <w:spacing w:line="360" w:lineRule="auto"/>
              <w:rPr>
                <w:rFonts w:hint="eastAsia" w:ascii="宋体" w:hAnsi="宋体" w:eastAsia="宋体" w:cs="宋体"/>
                <w:sz w:val="21"/>
                <w:szCs w:val="21"/>
              </w:rPr>
            </w:pPr>
            <w:r>
              <w:rPr>
                <w:rFonts w:hint="eastAsia" w:ascii="宋体" w:hAnsi="宋体" w:eastAsia="宋体" w:cs="宋体"/>
                <w:sz w:val="21"/>
                <w:szCs w:val="21"/>
              </w:rPr>
              <w:t>具有人社部门或工信部门颁发的算力网络技术（高级）证书，得1分；</w:t>
            </w:r>
          </w:p>
          <w:p w14:paraId="27CBDD1D">
            <w:pPr>
              <w:spacing w:line="360" w:lineRule="auto"/>
              <w:rPr>
                <w:rFonts w:hint="eastAsia" w:ascii="宋体" w:hAnsi="宋体" w:eastAsia="宋体" w:cs="宋体"/>
                <w:sz w:val="21"/>
                <w:szCs w:val="21"/>
              </w:rPr>
            </w:pPr>
            <w:r>
              <w:rPr>
                <w:rFonts w:hint="eastAsia" w:ascii="宋体" w:hAnsi="宋体" w:eastAsia="宋体" w:cs="宋体"/>
                <w:sz w:val="21"/>
                <w:szCs w:val="21"/>
              </w:rPr>
              <w:t>具有人社部门或工信部门颁发的智能化系统工程师（高级）证书，得1分。</w:t>
            </w:r>
          </w:p>
          <w:p w14:paraId="2C268117">
            <w:pPr>
              <w:spacing w:line="360" w:lineRule="auto"/>
              <w:rPr>
                <w:rFonts w:hint="eastAsia" w:ascii="宋体" w:hAnsi="宋体" w:eastAsia="宋体" w:cs="宋体"/>
                <w:sz w:val="21"/>
                <w:szCs w:val="21"/>
              </w:rPr>
            </w:pPr>
            <w:r>
              <w:rPr>
                <w:rFonts w:hint="eastAsia" w:ascii="宋体" w:hAnsi="宋体" w:eastAsia="宋体" w:cs="宋体"/>
                <w:sz w:val="21"/>
                <w:szCs w:val="21"/>
              </w:rPr>
              <w:t>以上2项累计得分，本项最高得2分。</w:t>
            </w:r>
          </w:p>
          <w:p w14:paraId="08A1EED3">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证明文件：</w:t>
            </w:r>
          </w:p>
          <w:p w14:paraId="100261B0">
            <w:pPr>
              <w:spacing w:line="360" w:lineRule="auto"/>
              <w:rPr>
                <w:rFonts w:hint="eastAsia" w:ascii="宋体" w:hAnsi="宋体" w:eastAsia="宋体" w:cs="宋体"/>
                <w:sz w:val="21"/>
                <w:szCs w:val="21"/>
              </w:rPr>
            </w:pPr>
            <w:r>
              <w:rPr>
                <w:rFonts w:hint="eastAsia" w:ascii="宋体" w:hAnsi="宋体" w:eastAsia="宋体" w:cs="宋体"/>
                <w:sz w:val="21"/>
                <w:szCs w:val="21"/>
              </w:rPr>
              <w:t>1.提供开标日前由投标人为相关人员缴交的载有政府部门公章（或专用章）的2024年7月-2024年9月的社保缴交证明材料，如开标日上一个月的社保材料因政府部门原因暂时无法取得，则可以往前顺延一个月；社保资料至少显示缴交养老保险信息，未显示该信息的该社保资料则不符合要求，原件备查。如供应商为新成立企业且成立时间不足3个月的，需承诺相关人员为投标人自有员工，承诺函格式自拟并加盖公章；</w:t>
            </w:r>
          </w:p>
          <w:p w14:paraId="0CEE9FA2">
            <w:pPr>
              <w:spacing w:line="360" w:lineRule="auto"/>
              <w:rPr>
                <w:rFonts w:hint="eastAsia" w:ascii="宋体" w:hAnsi="宋体" w:eastAsia="宋体" w:cs="宋体"/>
                <w:sz w:val="21"/>
                <w:szCs w:val="21"/>
              </w:rPr>
            </w:pPr>
            <w:r>
              <w:rPr>
                <w:rFonts w:hint="eastAsia" w:ascii="宋体" w:hAnsi="宋体" w:eastAsia="宋体" w:cs="宋体"/>
                <w:sz w:val="21"/>
                <w:szCs w:val="21"/>
              </w:rPr>
              <w:t>2.提供上述评分项中对应的证书扫描件；</w:t>
            </w:r>
          </w:p>
          <w:p w14:paraId="45273452">
            <w:pPr>
              <w:spacing w:line="360" w:lineRule="auto"/>
              <w:rPr>
                <w:rFonts w:hint="eastAsia" w:ascii="宋体" w:hAnsi="宋体" w:eastAsia="宋体" w:cs="宋体"/>
                <w:sz w:val="21"/>
                <w:szCs w:val="21"/>
                <w:highlight w:val="none"/>
              </w:rPr>
            </w:pPr>
            <w:r>
              <w:rPr>
                <w:rFonts w:hint="eastAsia" w:ascii="宋体" w:hAnsi="宋体" w:eastAsia="宋体" w:cs="宋体"/>
                <w:sz w:val="21"/>
                <w:szCs w:val="21"/>
              </w:rPr>
              <w:t>3.未提供或未按要求提供或提供的不清晰导致评审委员会无法判断的，不得分。</w:t>
            </w:r>
          </w:p>
        </w:tc>
      </w:tr>
      <w:tr w14:paraId="03CD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noWrap w:val="0"/>
            <w:vAlign w:val="center"/>
          </w:tcPr>
          <w:p w14:paraId="52C50BC0">
            <w:pPr>
              <w:spacing w:line="360" w:lineRule="auto"/>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3</w:t>
            </w:r>
          </w:p>
        </w:tc>
        <w:tc>
          <w:tcPr>
            <w:tcW w:w="2635" w:type="dxa"/>
            <w:gridSpan w:val="4"/>
            <w:noWrap w:val="0"/>
            <w:vAlign w:val="center"/>
          </w:tcPr>
          <w:p w14:paraId="25CB983D">
            <w:pPr>
              <w:spacing w:line="360" w:lineRule="auto"/>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商务评分部分</w:t>
            </w:r>
          </w:p>
        </w:tc>
        <w:tc>
          <w:tcPr>
            <w:tcW w:w="5511" w:type="dxa"/>
            <w:noWrap w:val="0"/>
            <w:vAlign w:val="center"/>
          </w:tcPr>
          <w:p w14:paraId="6AAA49C1">
            <w:pPr>
              <w:spacing w:line="360" w:lineRule="auto"/>
              <w:jc w:val="center"/>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13</w:t>
            </w:r>
          </w:p>
        </w:tc>
      </w:tr>
      <w:tr w14:paraId="5FD5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restart"/>
            <w:noWrap w:val="0"/>
            <w:vAlign w:val="center"/>
          </w:tcPr>
          <w:p w14:paraId="26184B45">
            <w:pPr>
              <w:keepNext/>
              <w:keepLines/>
              <w:spacing w:before="0" w:after="0" w:line="360" w:lineRule="auto"/>
              <w:jc w:val="center"/>
              <w:outlineLvl w:val="0"/>
              <w:rPr>
                <w:rFonts w:hint="eastAsia" w:ascii="宋体" w:hAnsi="宋体" w:eastAsia="宋体" w:cs="宋体"/>
                <w:sz w:val="21"/>
                <w:szCs w:val="21"/>
                <w:highlight w:val="none"/>
              </w:rPr>
            </w:pPr>
          </w:p>
        </w:tc>
        <w:tc>
          <w:tcPr>
            <w:tcW w:w="723" w:type="dxa"/>
            <w:gridSpan w:val="2"/>
            <w:noWrap w:val="0"/>
            <w:vAlign w:val="center"/>
          </w:tcPr>
          <w:p w14:paraId="4E44D70F">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174" w:type="dxa"/>
            <w:noWrap w:val="0"/>
            <w:vAlign w:val="center"/>
          </w:tcPr>
          <w:p w14:paraId="3567C047">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评分因素</w:t>
            </w:r>
          </w:p>
        </w:tc>
        <w:tc>
          <w:tcPr>
            <w:tcW w:w="738" w:type="dxa"/>
            <w:noWrap w:val="0"/>
            <w:vAlign w:val="center"/>
          </w:tcPr>
          <w:p w14:paraId="0AF734E5">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c>
          <w:tcPr>
            <w:tcW w:w="5511" w:type="dxa"/>
            <w:noWrap w:val="0"/>
            <w:vAlign w:val="center"/>
          </w:tcPr>
          <w:p w14:paraId="14F5F1D9">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评分准则</w:t>
            </w:r>
          </w:p>
        </w:tc>
      </w:tr>
      <w:tr w14:paraId="29F5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continue"/>
            <w:noWrap w:val="0"/>
            <w:vAlign w:val="center"/>
          </w:tcPr>
          <w:p w14:paraId="2736AA20">
            <w:pPr>
              <w:keepNext/>
              <w:keepLines/>
              <w:spacing w:before="0" w:after="0" w:line="360" w:lineRule="auto"/>
              <w:jc w:val="center"/>
              <w:outlineLvl w:val="0"/>
              <w:rPr>
                <w:rFonts w:hint="eastAsia" w:ascii="宋体" w:hAnsi="宋体" w:eastAsia="宋体" w:cs="宋体"/>
                <w:sz w:val="21"/>
                <w:szCs w:val="21"/>
                <w:highlight w:val="none"/>
              </w:rPr>
            </w:pPr>
          </w:p>
        </w:tc>
        <w:tc>
          <w:tcPr>
            <w:tcW w:w="723" w:type="dxa"/>
            <w:gridSpan w:val="2"/>
            <w:noWrap w:val="0"/>
            <w:vAlign w:val="center"/>
          </w:tcPr>
          <w:p w14:paraId="53DA23A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74" w:type="dxa"/>
            <w:noWrap w:val="0"/>
            <w:vAlign w:val="center"/>
          </w:tcPr>
          <w:p w14:paraId="2D78221B">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rPr>
              <w:t>投标人认证情况</w:t>
            </w:r>
          </w:p>
        </w:tc>
        <w:tc>
          <w:tcPr>
            <w:tcW w:w="738" w:type="dxa"/>
            <w:noWrap w:val="0"/>
            <w:vAlign w:val="center"/>
          </w:tcPr>
          <w:p w14:paraId="76F8473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rPr>
              <w:t>3</w:t>
            </w:r>
          </w:p>
        </w:tc>
        <w:tc>
          <w:tcPr>
            <w:tcW w:w="5511" w:type="dxa"/>
            <w:noWrap w:val="0"/>
            <w:vAlign w:val="top"/>
          </w:tcPr>
          <w:p w14:paraId="76397A52">
            <w:pPr>
              <w:snapToGrid w:val="0"/>
              <w:rPr>
                <w:rFonts w:hint="eastAsia" w:ascii="宋体" w:hAnsi="宋体" w:eastAsia="宋体" w:cs="宋体"/>
                <w:b/>
                <w:bCs/>
                <w:sz w:val="21"/>
                <w:szCs w:val="21"/>
              </w:rPr>
            </w:pPr>
            <w:r>
              <w:rPr>
                <w:rFonts w:hint="eastAsia" w:ascii="宋体" w:hAnsi="宋体" w:eastAsia="宋体" w:cs="宋体"/>
                <w:b/>
                <w:bCs/>
                <w:sz w:val="21"/>
                <w:szCs w:val="21"/>
              </w:rPr>
              <w:t>考察内容：</w:t>
            </w:r>
          </w:p>
          <w:p w14:paraId="14D72440">
            <w:pPr>
              <w:spacing w:line="360" w:lineRule="auto"/>
              <w:rPr>
                <w:rFonts w:hint="eastAsia" w:ascii="宋体" w:hAnsi="宋体" w:eastAsia="宋体" w:cs="宋体"/>
                <w:sz w:val="21"/>
                <w:szCs w:val="21"/>
              </w:rPr>
            </w:pPr>
            <w:r>
              <w:rPr>
                <w:rFonts w:hint="eastAsia" w:ascii="宋体" w:hAnsi="宋体" w:eastAsia="宋体" w:cs="宋体"/>
                <w:sz w:val="21"/>
                <w:szCs w:val="21"/>
              </w:rPr>
              <w:t>1.具有质量管理体系认证证书；</w:t>
            </w:r>
          </w:p>
          <w:p w14:paraId="5D723A54">
            <w:pPr>
              <w:spacing w:line="360" w:lineRule="auto"/>
              <w:rPr>
                <w:rFonts w:hint="eastAsia" w:ascii="宋体" w:hAnsi="宋体" w:eastAsia="宋体" w:cs="宋体"/>
                <w:sz w:val="21"/>
                <w:szCs w:val="21"/>
              </w:rPr>
            </w:pPr>
            <w:r>
              <w:rPr>
                <w:rFonts w:hint="eastAsia" w:ascii="宋体" w:hAnsi="宋体" w:eastAsia="宋体" w:cs="宋体"/>
                <w:sz w:val="21"/>
                <w:szCs w:val="21"/>
              </w:rPr>
              <w:t>2.具有环境管理体系认证证书；</w:t>
            </w:r>
          </w:p>
          <w:p w14:paraId="77793A36">
            <w:pPr>
              <w:spacing w:line="360" w:lineRule="auto"/>
              <w:rPr>
                <w:rFonts w:hint="eastAsia" w:ascii="宋体" w:hAnsi="宋体" w:eastAsia="宋体" w:cs="宋体"/>
                <w:sz w:val="21"/>
                <w:szCs w:val="21"/>
              </w:rPr>
            </w:pPr>
            <w:r>
              <w:rPr>
                <w:rFonts w:hint="eastAsia" w:ascii="宋体" w:hAnsi="宋体" w:eastAsia="宋体" w:cs="宋体"/>
                <w:sz w:val="21"/>
                <w:szCs w:val="21"/>
              </w:rPr>
              <w:t>3.具有职业健康安全管理体系认证证书</w:t>
            </w:r>
          </w:p>
          <w:p w14:paraId="39F57F3E">
            <w:pPr>
              <w:spacing w:line="360" w:lineRule="auto"/>
              <w:rPr>
                <w:rFonts w:hint="eastAsia" w:ascii="宋体" w:hAnsi="宋体" w:eastAsia="宋体" w:cs="宋体"/>
                <w:sz w:val="21"/>
                <w:szCs w:val="21"/>
              </w:rPr>
            </w:pPr>
            <w:r>
              <w:rPr>
                <w:rFonts w:hint="eastAsia" w:ascii="宋体" w:hAnsi="宋体" w:eastAsia="宋体" w:cs="宋体"/>
                <w:sz w:val="21"/>
                <w:szCs w:val="21"/>
              </w:rPr>
              <w:t>提供以上任意一项得1分，累计最高得3分。</w:t>
            </w:r>
          </w:p>
          <w:p w14:paraId="66AEA8F6">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证明文件：</w:t>
            </w:r>
          </w:p>
          <w:p w14:paraId="4FD91BCC">
            <w:pPr>
              <w:spacing w:line="360" w:lineRule="auto"/>
              <w:rPr>
                <w:rFonts w:hint="eastAsia" w:ascii="宋体" w:hAnsi="宋体" w:eastAsia="宋体" w:cs="宋体"/>
                <w:sz w:val="21"/>
                <w:szCs w:val="21"/>
              </w:rPr>
            </w:pPr>
            <w:r>
              <w:rPr>
                <w:rFonts w:hint="eastAsia" w:ascii="宋体" w:hAnsi="宋体" w:eastAsia="宋体" w:cs="宋体"/>
                <w:sz w:val="21"/>
                <w:szCs w:val="21"/>
              </w:rPr>
              <w:t>1.提供证书扫描件及全国认证认可信息公共服务平台（cx.cnca.cn）认证信息查询截图（截图需显示证书状态为有效）。相关证书在公开渠道无法查询的，投标人需提供颁发部门或者监管机构的证明材料，证明证书真实有效且为合法机构颁发；</w:t>
            </w:r>
          </w:p>
          <w:p w14:paraId="6A03AFF1">
            <w:pPr>
              <w:spacing w:line="360" w:lineRule="auto"/>
              <w:rPr>
                <w:rFonts w:hint="eastAsia" w:ascii="宋体" w:hAnsi="宋体" w:eastAsia="宋体" w:cs="宋体"/>
                <w:sz w:val="21"/>
                <w:szCs w:val="21"/>
              </w:rPr>
            </w:pPr>
            <w:r>
              <w:rPr>
                <w:rFonts w:hint="eastAsia" w:ascii="宋体" w:hAnsi="宋体" w:eastAsia="宋体" w:cs="宋体"/>
                <w:sz w:val="21"/>
                <w:szCs w:val="21"/>
              </w:rPr>
              <w:t>2.如投标人为分支机构，提供其总公司的证书也可按照评分规则计分；证书单位名称需与投标人名称或其总公司名称一致，否则不得分；</w:t>
            </w:r>
          </w:p>
          <w:p w14:paraId="71393072">
            <w:pPr>
              <w:spacing w:line="360" w:lineRule="auto"/>
              <w:rPr>
                <w:rFonts w:hint="eastAsia" w:ascii="宋体" w:hAnsi="宋体" w:eastAsia="宋体" w:cs="宋体"/>
                <w:sz w:val="21"/>
                <w:szCs w:val="21"/>
                <w:highlight w:val="none"/>
              </w:rPr>
            </w:pPr>
            <w:r>
              <w:rPr>
                <w:rFonts w:hint="eastAsia" w:ascii="宋体" w:hAnsi="宋体" w:eastAsia="宋体" w:cs="宋体"/>
                <w:sz w:val="21"/>
                <w:szCs w:val="21"/>
              </w:rPr>
              <w:t>3.未提供或未按要求提供或提供的不清晰导致评审委员会无法判断的，不得分。</w:t>
            </w:r>
          </w:p>
        </w:tc>
      </w:tr>
      <w:tr w14:paraId="7BAD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continue"/>
            <w:noWrap w:val="0"/>
            <w:vAlign w:val="center"/>
          </w:tcPr>
          <w:p w14:paraId="66C24009">
            <w:pPr>
              <w:keepNext/>
              <w:keepLines/>
              <w:spacing w:before="0" w:after="0" w:line="360" w:lineRule="auto"/>
              <w:jc w:val="center"/>
              <w:outlineLvl w:val="2"/>
              <w:rPr>
                <w:rFonts w:hint="eastAsia" w:ascii="宋体" w:hAnsi="宋体" w:eastAsia="宋体" w:cs="宋体"/>
                <w:sz w:val="21"/>
                <w:szCs w:val="21"/>
                <w:highlight w:val="none"/>
              </w:rPr>
            </w:pPr>
          </w:p>
        </w:tc>
        <w:tc>
          <w:tcPr>
            <w:tcW w:w="723" w:type="dxa"/>
            <w:gridSpan w:val="2"/>
            <w:noWrap w:val="0"/>
            <w:vAlign w:val="center"/>
          </w:tcPr>
          <w:p w14:paraId="675EA501">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1174" w:type="dxa"/>
            <w:noWrap w:val="0"/>
            <w:vAlign w:val="center"/>
          </w:tcPr>
          <w:p w14:paraId="4C8B7403">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rPr>
              <w:t>投标人荣誉情况</w:t>
            </w:r>
          </w:p>
        </w:tc>
        <w:tc>
          <w:tcPr>
            <w:tcW w:w="738" w:type="dxa"/>
            <w:noWrap w:val="0"/>
            <w:vAlign w:val="center"/>
          </w:tcPr>
          <w:p w14:paraId="2B7EAA32">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rPr>
              <w:t>2</w:t>
            </w:r>
          </w:p>
        </w:tc>
        <w:tc>
          <w:tcPr>
            <w:tcW w:w="5511" w:type="dxa"/>
            <w:noWrap w:val="0"/>
            <w:vAlign w:val="top"/>
          </w:tcPr>
          <w:p w14:paraId="21E204FF">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考察内容：</w:t>
            </w:r>
          </w:p>
          <w:p w14:paraId="262ED21E">
            <w:pPr>
              <w:spacing w:line="360" w:lineRule="auto"/>
              <w:rPr>
                <w:rFonts w:hint="eastAsia" w:ascii="宋体" w:hAnsi="宋体" w:eastAsia="宋体" w:cs="宋体"/>
                <w:sz w:val="21"/>
                <w:szCs w:val="21"/>
              </w:rPr>
            </w:pPr>
            <w:r>
              <w:rPr>
                <w:rFonts w:hint="eastAsia" w:ascii="宋体" w:hAnsi="宋体" w:eastAsia="宋体" w:cs="宋体"/>
                <w:sz w:val="21"/>
                <w:szCs w:val="21"/>
              </w:rPr>
              <w:t>投标自2019年1月1日至本项目投标截止之日（以奖项颁发时间为准）获得过市级人民政府（或以上行政级别）颁发的科学技术进步奖（或科学技术奖励证书）情况,每获得一个，得0.4分，累计最高得分2分。</w:t>
            </w:r>
          </w:p>
          <w:p w14:paraId="2B93192D">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证明文件：</w:t>
            </w:r>
          </w:p>
          <w:p w14:paraId="3068445E">
            <w:pPr>
              <w:spacing w:line="360" w:lineRule="auto"/>
              <w:rPr>
                <w:rFonts w:hint="eastAsia" w:ascii="宋体" w:hAnsi="宋体" w:eastAsia="宋体" w:cs="宋体"/>
                <w:sz w:val="21"/>
                <w:szCs w:val="21"/>
              </w:rPr>
            </w:pPr>
            <w:r>
              <w:rPr>
                <w:rFonts w:hint="eastAsia" w:ascii="宋体" w:hAnsi="宋体" w:eastAsia="宋体" w:cs="宋体"/>
                <w:sz w:val="21"/>
                <w:szCs w:val="21"/>
              </w:rPr>
              <w:t>1.提供奖项照片或获奖（荣誉）证书等证明材料，如投标人为分支机构，提供其总公司获奖证书也可按照评分规则计分；获奖单位名称需与投标人名称或其总公司名称一致，否则不得分；</w:t>
            </w:r>
          </w:p>
          <w:p w14:paraId="28448AE9">
            <w:pPr>
              <w:spacing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rPr>
              <w:t>2.未提供或未按要求提供或提供的不清晰导致评审委员会无法判断的，不得分。</w:t>
            </w:r>
          </w:p>
        </w:tc>
      </w:tr>
      <w:tr w14:paraId="30B9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continue"/>
            <w:noWrap w:val="0"/>
            <w:vAlign w:val="center"/>
          </w:tcPr>
          <w:p w14:paraId="241A7D5D">
            <w:pPr>
              <w:keepNext/>
              <w:keepLines/>
              <w:spacing w:before="0" w:after="0" w:line="360" w:lineRule="auto"/>
              <w:jc w:val="center"/>
              <w:outlineLvl w:val="2"/>
              <w:rPr>
                <w:rFonts w:hint="eastAsia" w:ascii="宋体" w:hAnsi="宋体" w:eastAsia="宋体" w:cs="宋体"/>
                <w:sz w:val="21"/>
                <w:szCs w:val="21"/>
                <w:highlight w:val="none"/>
              </w:rPr>
            </w:pPr>
          </w:p>
        </w:tc>
        <w:tc>
          <w:tcPr>
            <w:tcW w:w="723" w:type="dxa"/>
            <w:gridSpan w:val="2"/>
            <w:noWrap w:val="0"/>
            <w:vAlign w:val="center"/>
          </w:tcPr>
          <w:p w14:paraId="386A58AC">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174" w:type="dxa"/>
            <w:noWrap w:val="0"/>
            <w:vAlign w:val="center"/>
          </w:tcPr>
          <w:p w14:paraId="726DC1AA">
            <w:pPr>
              <w:spacing w:line="360" w:lineRule="auto"/>
              <w:jc w:val="center"/>
              <w:rPr>
                <w:rFonts w:hint="eastAsia" w:ascii="宋体" w:hAnsi="宋体" w:eastAsia="宋体" w:cs="宋体"/>
                <w:sz w:val="21"/>
                <w:szCs w:val="21"/>
                <w:highlight w:val="none"/>
                <w:lang w:bidi="ar"/>
              </w:rPr>
            </w:pPr>
            <w:r>
              <w:rPr>
                <w:rFonts w:hint="eastAsia" w:ascii="宋体" w:hAnsi="宋体" w:eastAsia="宋体" w:cs="宋体"/>
                <w:sz w:val="21"/>
                <w:szCs w:val="21"/>
              </w:rPr>
              <w:t>投标人自主知识产权产品（创新、设计）情况</w:t>
            </w:r>
          </w:p>
        </w:tc>
        <w:tc>
          <w:tcPr>
            <w:tcW w:w="738" w:type="dxa"/>
            <w:noWrap w:val="0"/>
            <w:vAlign w:val="center"/>
          </w:tcPr>
          <w:p w14:paraId="7A09E613">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rPr>
              <w:t>6</w:t>
            </w:r>
          </w:p>
        </w:tc>
        <w:tc>
          <w:tcPr>
            <w:tcW w:w="5511" w:type="dxa"/>
            <w:noWrap w:val="0"/>
            <w:vAlign w:val="top"/>
          </w:tcPr>
          <w:p w14:paraId="596E9DEE">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考察内容：</w:t>
            </w:r>
          </w:p>
          <w:p w14:paraId="7EB14F75">
            <w:pPr>
              <w:spacing w:line="360" w:lineRule="auto"/>
              <w:rPr>
                <w:rFonts w:hint="eastAsia" w:ascii="宋体" w:hAnsi="宋体" w:eastAsia="宋体" w:cs="宋体"/>
                <w:sz w:val="21"/>
                <w:szCs w:val="21"/>
              </w:rPr>
            </w:pPr>
            <w:r>
              <w:rPr>
                <w:rFonts w:hint="eastAsia" w:ascii="宋体" w:hAnsi="宋体" w:eastAsia="宋体" w:cs="宋体"/>
                <w:sz w:val="21"/>
                <w:szCs w:val="21"/>
              </w:rPr>
              <w:t>1.具有数据采集治理分析管理及应用平台相关计算机软件著作权或专利证书得1.2分；</w:t>
            </w:r>
          </w:p>
          <w:p w14:paraId="13AF3C11">
            <w:pPr>
              <w:spacing w:line="360" w:lineRule="auto"/>
              <w:rPr>
                <w:rFonts w:hint="eastAsia" w:ascii="宋体" w:hAnsi="宋体" w:eastAsia="宋体" w:cs="宋体"/>
                <w:sz w:val="21"/>
                <w:szCs w:val="21"/>
              </w:rPr>
            </w:pPr>
            <w:r>
              <w:rPr>
                <w:rFonts w:hint="eastAsia" w:ascii="宋体" w:hAnsi="宋体" w:eastAsia="宋体" w:cs="宋体"/>
                <w:sz w:val="21"/>
                <w:szCs w:val="21"/>
              </w:rPr>
              <w:t>2.具有智慧校园平台相关计算机软件著作权或专利证书得1.2分；</w:t>
            </w:r>
          </w:p>
          <w:p w14:paraId="1004AAA3">
            <w:pPr>
              <w:spacing w:line="360" w:lineRule="auto"/>
              <w:rPr>
                <w:rFonts w:hint="eastAsia" w:ascii="宋体" w:hAnsi="宋体" w:eastAsia="宋体" w:cs="宋体"/>
                <w:sz w:val="21"/>
                <w:szCs w:val="21"/>
              </w:rPr>
            </w:pPr>
            <w:r>
              <w:rPr>
                <w:rFonts w:hint="eastAsia" w:ascii="宋体" w:hAnsi="宋体" w:eastAsia="宋体" w:cs="宋体"/>
                <w:sz w:val="21"/>
                <w:szCs w:val="21"/>
              </w:rPr>
              <w:t>3.具有网络数据安全管理系统相关计算机软件著作权或专利证书得1.2分；</w:t>
            </w:r>
          </w:p>
          <w:p w14:paraId="13420A67">
            <w:pPr>
              <w:spacing w:line="360" w:lineRule="auto"/>
              <w:rPr>
                <w:rFonts w:hint="eastAsia" w:ascii="宋体" w:hAnsi="宋体" w:eastAsia="宋体" w:cs="宋体"/>
                <w:sz w:val="21"/>
                <w:szCs w:val="21"/>
              </w:rPr>
            </w:pPr>
            <w:r>
              <w:rPr>
                <w:rFonts w:hint="eastAsia" w:ascii="宋体" w:hAnsi="宋体" w:eastAsia="宋体" w:cs="宋体"/>
                <w:sz w:val="21"/>
                <w:szCs w:val="21"/>
              </w:rPr>
              <w:t>4.具有重大突发事件应急调度处置分析系统相关计算机软件著作权或专利证书得1.2分；</w:t>
            </w:r>
          </w:p>
          <w:p w14:paraId="4C576061">
            <w:pPr>
              <w:spacing w:line="360" w:lineRule="auto"/>
              <w:rPr>
                <w:rFonts w:hint="eastAsia" w:ascii="宋体" w:hAnsi="宋体" w:eastAsia="宋体" w:cs="宋体"/>
                <w:sz w:val="21"/>
                <w:szCs w:val="21"/>
              </w:rPr>
            </w:pPr>
            <w:r>
              <w:rPr>
                <w:rFonts w:hint="eastAsia" w:ascii="宋体" w:hAnsi="宋体" w:eastAsia="宋体" w:cs="宋体"/>
                <w:sz w:val="21"/>
                <w:szCs w:val="21"/>
              </w:rPr>
              <w:t>5.具有智能运维平台类相关计算机软件著作权登记证书或专利证书得1.2分。</w:t>
            </w:r>
          </w:p>
          <w:p w14:paraId="2570DD4F">
            <w:pPr>
              <w:spacing w:line="360" w:lineRule="auto"/>
              <w:rPr>
                <w:rFonts w:hint="eastAsia" w:ascii="宋体" w:hAnsi="宋体" w:eastAsia="宋体" w:cs="宋体"/>
                <w:sz w:val="21"/>
                <w:szCs w:val="21"/>
              </w:rPr>
            </w:pPr>
            <w:r>
              <w:rPr>
                <w:rFonts w:hint="eastAsia" w:ascii="宋体" w:hAnsi="宋体" w:eastAsia="宋体" w:cs="宋体"/>
                <w:sz w:val="21"/>
                <w:szCs w:val="21"/>
              </w:rPr>
              <w:t>以上5项可累计得分，最高得6分。</w:t>
            </w:r>
          </w:p>
          <w:p w14:paraId="27FCDBB8">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评审标准：</w:t>
            </w:r>
          </w:p>
          <w:p w14:paraId="016CF142">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1.提供国家版权部门或国家知识产权部门颁发的证书扫描件（知识产权人或专利权人需为投标人，如投标人为分公司或分支机构，可提供总公司相应证书。证书单位名称需与投标人名称或其总公司名称一致，否则不得分）； </w:t>
            </w:r>
          </w:p>
          <w:p w14:paraId="52A3CD35">
            <w:pPr>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rPr>
              <w:t>2.未提供或未按要求提供或提供的不清晰导致评审委员会无法判断的，不得分。</w:t>
            </w:r>
          </w:p>
        </w:tc>
      </w:tr>
      <w:tr w14:paraId="73D3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continue"/>
            <w:noWrap w:val="0"/>
            <w:vAlign w:val="center"/>
          </w:tcPr>
          <w:p w14:paraId="015F22D4">
            <w:pPr>
              <w:keepNext/>
              <w:keepLines/>
              <w:spacing w:before="0" w:after="0" w:line="360" w:lineRule="auto"/>
              <w:jc w:val="center"/>
              <w:outlineLvl w:val="2"/>
              <w:rPr>
                <w:rFonts w:hint="eastAsia" w:ascii="宋体" w:hAnsi="宋体" w:eastAsia="宋体" w:cs="宋体"/>
                <w:sz w:val="21"/>
                <w:szCs w:val="21"/>
                <w:highlight w:val="none"/>
              </w:rPr>
            </w:pPr>
          </w:p>
        </w:tc>
        <w:tc>
          <w:tcPr>
            <w:tcW w:w="723" w:type="dxa"/>
            <w:gridSpan w:val="2"/>
            <w:noWrap w:val="0"/>
            <w:vAlign w:val="center"/>
          </w:tcPr>
          <w:p w14:paraId="0932293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p>
        </w:tc>
        <w:tc>
          <w:tcPr>
            <w:tcW w:w="1174" w:type="dxa"/>
            <w:noWrap w:val="0"/>
            <w:vAlign w:val="center"/>
          </w:tcPr>
          <w:p w14:paraId="15D83BD7">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rPr>
              <w:t>本地化服务</w:t>
            </w:r>
          </w:p>
        </w:tc>
        <w:tc>
          <w:tcPr>
            <w:tcW w:w="738" w:type="dxa"/>
            <w:noWrap w:val="0"/>
            <w:vAlign w:val="center"/>
          </w:tcPr>
          <w:p w14:paraId="618ED941">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rPr>
              <w:t>2</w:t>
            </w:r>
          </w:p>
        </w:tc>
        <w:tc>
          <w:tcPr>
            <w:tcW w:w="5511" w:type="dxa"/>
            <w:noWrap w:val="0"/>
            <w:vAlign w:val="top"/>
          </w:tcPr>
          <w:p w14:paraId="54F504D4">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考察内容：</w:t>
            </w:r>
          </w:p>
          <w:p w14:paraId="4592B802">
            <w:pPr>
              <w:spacing w:line="360" w:lineRule="auto"/>
              <w:rPr>
                <w:rFonts w:hint="eastAsia" w:ascii="宋体" w:hAnsi="宋体" w:eastAsia="宋体" w:cs="宋体"/>
                <w:sz w:val="21"/>
                <w:szCs w:val="21"/>
              </w:rPr>
            </w:pPr>
            <w:r>
              <w:rPr>
                <w:rFonts w:hint="eastAsia" w:ascii="宋体" w:hAnsi="宋体" w:eastAsia="宋体" w:cs="宋体"/>
                <w:sz w:val="21"/>
                <w:szCs w:val="21"/>
              </w:rPr>
              <w:t>投标人承诺中标后在深圳市范围内设有常驻服务机构的得2分（承诺函格式自拟）。</w:t>
            </w:r>
          </w:p>
          <w:p w14:paraId="68A0289C">
            <w:pPr>
              <w:spacing w:line="360" w:lineRule="auto"/>
              <w:rPr>
                <w:rFonts w:hint="eastAsia" w:ascii="宋体" w:hAnsi="宋体" w:eastAsia="宋体" w:cs="宋体"/>
                <w:sz w:val="21"/>
                <w:szCs w:val="21"/>
              </w:rPr>
            </w:pPr>
            <w:r>
              <w:rPr>
                <w:rFonts w:hint="eastAsia" w:ascii="宋体" w:hAnsi="宋体" w:eastAsia="宋体" w:cs="宋体"/>
                <w:sz w:val="21"/>
                <w:szCs w:val="21"/>
              </w:rPr>
              <w:t>以上不可累计得分。</w:t>
            </w:r>
          </w:p>
          <w:p w14:paraId="48C7B7EF">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证明文件：</w:t>
            </w:r>
          </w:p>
          <w:p w14:paraId="777BF714">
            <w:pPr>
              <w:spacing w:line="360" w:lineRule="auto"/>
              <w:rPr>
                <w:rFonts w:hint="eastAsia" w:ascii="宋体" w:hAnsi="宋体" w:eastAsia="宋体" w:cs="宋体"/>
                <w:sz w:val="21"/>
                <w:szCs w:val="21"/>
                <w:highlight w:val="none"/>
              </w:rPr>
            </w:pPr>
            <w:r>
              <w:rPr>
                <w:rFonts w:hint="eastAsia" w:ascii="宋体" w:hAnsi="宋体" w:eastAsia="宋体" w:cs="宋体"/>
                <w:sz w:val="21"/>
                <w:szCs w:val="21"/>
              </w:rPr>
              <w:t>投标人提供服务机构的营业执照或办公场所的房产证明或租赁合同扫描件；或提供符合上述要求的承诺函。未提供或未按要求提供或提供不清晰导致专家无法判断的不得分。</w:t>
            </w:r>
          </w:p>
        </w:tc>
      </w:tr>
      <w:tr w14:paraId="480B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noWrap w:val="0"/>
            <w:vAlign w:val="center"/>
          </w:tcPr>
          <w:p w14:paraId="3D447874">
            <w:pPr>
              <w:spacing w:line="360" w:lineRule="auto"/>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4</w:t>
            </w:r>
          </w:p>
        </w:tc>
        <w:tc>
          <w:tcPr>
            <w:tcW w:w="2635" w:type="dxa"/>
            <w:gridSpan w:val="4"/>
            <w:noWrap w:val="0"/>
            <w:vAlign w:val="center"/>
          </w:tcPr>
          <w:p w14:paraId="3D51ABA9">
            <w:pPr>
              <w:spacing w:line="360" w:lineRule="auto"/>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诚信部分</w:t>
            </w:r>
          </w:p>
        </w:tc>
        <w:tc>
          <w:tcPr>
            <w:tcW w:w="5511" w:type="dxa"/>
            <w:noWrap w:val="0"/>
            <w:vAlign w:val="center"/>
          </w:tcPr>
          <w:p w14:paraId="6E9E0635">
            <w:pPr>
              <w:spacing w:line="360" w:lineRule="auto"/>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5</w:t>
            </w:r>
          </w:p>
        </w:tc>
      </w:tr>
      <w:tr w14:paraId="6705A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restart"/>
            <w:noWrap w:val="0"/>
            <w:vAlign w:val="center"/>
          </w:tcPr>
          <w:p w14:paraId="21ADA973">
            <w:pPr>
              <w:keepNext/>
              <w:keepLines/>
              <w:spacing w:before="0" w:after="0" w:line="360" w:lineRule="auto"/>
              <w:jc w:val="center"/>
              <w:outlineLvl w:val="0"/>
              <w:rPr>
                <w:rFonts w:hint="eastAsia" w:ascii="宋体" w:hAnsi="宋体" w:eastAsia="宋体" w:cs="宋体"/>
                <w:sz w:val="21"/>
                <w:szCs w:val="21"/>
                <w:highlight w:val="none"/>
              </w:rPr>
            </w:pPr>
          </w:p>
        </w:tc>
        <w:tc>
          <w:tcPr>
            <w:tcW w:w="723" w:type="dxa"/>
            <w:gridSpan w:val="2"/>
            <w:noWrap w:val="0"/>
            <w:vAlign w:val="center"/>
          </w:tcPr>
          <w:p w14:paraId="047D2BF2">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174" w:type="dxa"/>
            <w:noWrap w:val="0"/>
            <w:vAlign w:val="center"/>
          </w:tcPr>
          <w:p w14:paraId="0D45E92A">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评分因素</w:t>
            </w:r>
          </w:p>
        </w:tc>
        <w:tc>
          <w:tcPr>
            <w:tcW w:w="738" w:type="dxa"/>
            <w:noWrap w:val="0"/>
            <w:vAlign w:val="center"/>
          </w:tcPr>
          <w:p w14:paraId="4A3A5621">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c>
          <w:tcPr>
            <w:tcW w:w="5511" w:type="dxa"/>
            <w:noWrap w:val="0"/>
            <w:vAlign w:val="center"/>
          </w:tcPr>
          <w:p w14:paraId="3F779BB7">
            <w:pPr>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评分准则</w:t>
            </w:r>
          </w:p>
        </w:tc>
      </w:tr>
      <w:tr w14:paraId="0239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dxa"/>
            <w:vMerge w:val="continue"/>
            <w:noWrap w:val="0"/>
            <w:vAlign w:val="center"/>
          </w:tcPr>
          <w:p w14:paraId="243FF60A">
            <w:pPr>
              <w:keepNext/>
              <w:keepLines/>
              <w:spacing w:before="0" w:after="0" w:line="360" w:lineRule="auto"/>
              <w:jc w:val="center"/>
              <w:outlineLvl w:val="0"/>
              <w:rPr>
                <w:rFonts w:hint="eastAsia" w:ascii="宋体" w:hAnsi="宋体" w:eastAsia="宋体" w:cs="宋体"/>
                <w:sz w:val="21"/>
                <w:szCs w:val="21"/>
                <w:highlight w:val="none"/>
              </w:rPr>
            </w:pPr>
          </w:p>
        </w:tc>
        <w:tc>
          <w:tcPr>
            <w:tcW w:w="723" w:type="dxa"/>
            <w:gridSpan w:val="2"/>
            <w:noWrap w:val="0"/>
            <w:vAlign w:val="center"/>
          </w:tcPr>
          <w:p w14:paraId="70E4577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74" w:type="dxa"/>
            <w:noWrap w:val="0"/>
            <w:vAlign w:val="center"/>
          </w:tcPr>
          <w:p w14:paraId="6A6AA8F2">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rPr>
              <w:t>诚信情况</w:t>
            </w:r>
          </w:p>
        </w:tc>
        <w:tc>
          <w:tcPr>
            <w:tcW w:w="738" w:type="dxa"/>
            <w:noWrap w:val="0"/>
            <w:vAlign w:val="center"/>
          </w:tcPr>
          <w:p w14:paraId="2ABE417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rPr>
              <w:t>5</w:t>
            </w:r>
          </w:p>
        </w:tc>
        <w:tc>
          <w:tcPr>
            <w:tcW w:w="5511" w:type="dxa"/>
            <w:noWrap w:val="0"/>
            <w:vAlign w:val="top"/>
          </w:tcPr>
          <w:p w14:paraId="5F6E62D3">
            <w:pPr>
              <w:spacing w:line="360" w:lineRule="auto"/>
              <w:rPr>
                <w:rFonts w:hint="eastAsia" w:ascii="宋体" w:hAnsi="宋体" w:eastAsia="宋体" w:cs="宋体"/>
                <w:sz w:val="21"/>
                <w:szCs w:val="21"/>
                <w:highlight w:val="none"/>
              </w:rPr>
            </w:pPr>
            <w:r>
              <w:rPr>
                <w:rFonts w:hint="eastAsia" w:ascii="宋体" w:hAnsi="宋体" w:eastAsia="宋体" w:cs="宋体"/>
                <w:sz w:val="21"/>
                <w:szCs w:val="21"/>
              </w:rPr>
              <w:t>响应供应商承诺在参与龙华区教育局自行采购活动中出现诚信或安全相关问题且在相关主管部门处理措施实施期限内的本项不得分，否则得满分。须提供《诚信承诺函》，按采购文件格式要求提供，不提供不得分。如被认定提供的陈述与事实不符受到行政处罚的，依法追究其责任。</w:t>
            </w:r>
          </w:p>
        </w:tc>
      </w:tr>
    </w:tbl>
    <w:p w14:paraId="24685F54">
      <w:pPr>
        <w:widowControl w:val="0"/>
        <w:jc w:val="both"/>
        <w:rPr>
          <w:rFonts w:ascii="Calibri" w:hAnsi="Calibri" w:eastAsia="宋体"/>
          <w:kern w:val="2"/>
          <w:sz w:val="21"/>
          <w:szCs w:val="22"/>
          <w:lang w:eastAsia="zh-CN"/>
        </w:rPr>
      </w:pPr>
    </w:p>
    <w:p w14:paraId="4B6FD9A8">
      <w:pPr>
        <w:widowControl w:val="0"/>
        <w:jc w:val="both"/>
        <w:rPr>
          <w:rFonts w:ascii="Calibri" w:hAnsi="Calibri" w:eastAsia="宋体"/>
          <w:kern w:val="2"/>
          <w:sz w:val="21"/>
          <w:szCs w:val="22"/>
          <w:lang w:eastAsia="zh-CN"/>
        </w:rPr>
      </w:pPr>
    </w:p>
    <w:p w14:paraId="3ED0A900">
      <w:pPr>
        <w:widowControl w:val="0"/>
        <w:ind w:firstLine="420" w:firstLineChars="200"/>
        <w:jc w:val="both"/>
        <w:rPr>
          <w:rFonts w:hint="eastAsia" w:ascii="Calibri" w:hAnsi="Calibri" w:eastAsia="宋体"/>
          <w:color w:val="0C0C0C"/>
          <w:kern w:val="2"/>
          <w:sz w:val="21"/>
          <w:szCs w:val="22"/>
          <w:lang w:eastAsia="zh-CN"/>
        </w:rPr>
      </w:pPr>
      <w:r>
        <w:rPr>
          <w:rFonts w:hint="eastAsia" w:ascii="Calibri" w:hAnsi="Calibri" w:eastAsia="宋体"/>
          <w:color w:val="0C0C0C"/>
          <w:kern w:val="2"/>
          <w:sz w:val="21"/>
          <w:szCs w:val="22"/>
          <w:lang w:eastAsia="zh-CN"/>
        </w:rPr>
        <w:t>备注：1.对于要求提供学历、学位证书的，须明确要求投标人提供证书复印件以及学信网查询记录。对于较早颁发的学历学位证书学信网无法查询的，除要求提供证书复印件外，还应要求提供毕业院校、人社部门等颁发机构或监管机构等单位出具的证明，否则应作不得分处理。</w:t>
      </w:r>
    </w:p>
    <w:p w14:paraId="730845F9">
      <w:pPr>
        <w:widowControl w:val="0"/>
        <w:ind w:firstLine="420" w:firstLineChars="200"/>
        <w:jc w:val="both"/>
        <w:rPr>
          <w:rFonts w:hint="eastAsia" w:ascii="Calibri" w:hAnsi="Calibri" w:eastAsia="宋体"/>
          <w:color w:val="0C0C0C"/>
          <w:kern w:val="2"/>
          <w:sz w:val="21"/>
          <w:szCs w:val="22"/>
          <w:lang w:eastAsia="zh-CN"/>
        </w:rPr>
      </w:pPr>
      <w:r>
        <w:rPr>
          <w:rFonts w:hint="eastAsia" w:ascii="Calibri" w:hAnsi="Calibri" w:eastAsia="宋体"/>
          <w:color w:val="0C0C0C"/>
          <w:kern w:val="2"/>
          <w:sz w:val="21"/>
          <w:szCs w:val="22"/>
          <w:lang w:eastAsia="zh-CN"/>
        </w:rPr>
        <w:t>2.若采购人将产品节能要求纳入评审因素，需考察属于本项目的所投产品。</w:t>
      </w:r>
    </w:p>
    <w:p w14:paraId="1532744D">
      <w:pPr>
        <w:widowControl w:val="0"/>
        <w:jc w:val="both"/>
        <w:rPr>
          <w:rFonts w:ascii="Calibri" w:hAnsi="Calibri" w:eastAsia="宋体"/>
          <w:b/>
          <w:kern w:val="2"/>
          <w:sz w:val="120"/>
          <w:szCs w:val="120"/>
          <w:lang w:eastAsia="zh-CN"/>
        </w:rPr>
      </w:pPr>
    </w:p>
    <w:p w14:paraId="3B55049E">
      <w:pPr>
        <w:widowControl w:val="0"/>
        <w:spacing w:line="360" w:lineRule="auto"/>
        <w:jc w:val="both"/>
        <w:rPr>
          <w:rFonts w:ascii="Calibri" w:hAnsi="Calibri" w:eastAsia="宋体"/>
          <w:b/>
          <w:kern w:val="2"/>
          <w:sz w:val="120"/>
          <w:szCs w:val="120"/>
          <w:lang w:eastAsia="zh-CN"/>
        </w:rPr>
      </w:pPr>
    </w:p>
    <w:p w14:paraId="3FE63204">
      <w:pPr>
        <w:widowControl w:val="0"/>
        <w:spacing w:line="360" w:lineRule="auto"/>
        <w:jc w:val="both"/>
        <w:rPr>
          <w:rFonts w:ascii="Calibri" w:hAnsi="Calibri" w:eastAsia="宋体"/>
          <w:b/>
          <w:kern w:val="2"/>
          <w:sz w:val="120"/>
          <w:szCs w:val="120"/>
          <w:lang w:eastAsia="zh-CN"/>
        </w:rPr>
      </w:pPr>
    </w:p>
    <w:p w14:paraId="282D0094">
      <w:pPr>
        <w:widowControl w:val="0"/>
        <w:jc w:val="center"/>
        <w:rPr>
          <w:rFonts w:hint="eastAsia" w:ascii="Calibri" w:hAnsi="Calibri" w:eastAsia="宋体" w:cstheme="minorBidi"/>
          <w:b/>
          <w:kern w:val="2"/>
          <w:sz w:val="120"/>
          <w:szCs w:val="120"/>
          <w:lang w:eastAsia="zh-CN"/>
        </w:rPr>
      </w:pPr>
      <w:r>
        <w:rPr>
          <w:rFonts w:hint="eastAsia" w:ascii="Calibri" w:hAnsi="Calibri" w:eastAsia="宋体" w:cstheme="minorBidi"/>
          <w:b/>
          <w:kern w:val="2"/>
          <w:sz w:val="120"/>
          <w:szCs w:val="120"/>
          <w:lang w:eastAsia="zh-CN"/>
        </w:rPr>
        <w:br w:type="page"/>
      </w:r>
    </w:p>
    <w:p w14:paraId="52D2142F">
      <w:pPr>
        <w:widowControl w:val="0"/>
        <w:jc w:val="center"/>
        <w:rPr>
          <w:rFonts w:ascii="Calibri" w:hAnsi="Calibri" w:eastAsia="宋体"/>
          <w:b/>
          <w:kern w:val="2"/>
          <w:sz w:val="120"/>
          <w:szCs w:val="120"/>
          <w:lang w:eastAsia="zh-CN"/>
        </w:rPr>
      </w:pPr>
      <w:r>
        <w:rPr>
          <w:rFonts w:hint="eastAsia" w:ascii="Calibri" w:hAnsi="Calibri" w:eastAsia="宋体" w:cstheme="minorBidi"/>
          <w:b/>
          <w:kern w:val="2"/>
          <w:sz w:val="120"/>
          <w:szCs w:val="120"/>
          <w:lang w:eastAsia="zh-CN"/>
        </w:rPr>
        <w:t>自行采购</w:t>
      </w:r>
    </w:p>
    <w:p w14:paraId="02C9BA91">
      <w:pPr>
        <w:widowControl w:val="0"/>
        <w:jc w:val="center"/>
        <w:rPr>
          <w:rFonts w:ascii="Calibri" w:hAnsi="Calibri" w:eastAsia="宋体"/>
          <w:b/>
          <w:kern w:val="2"/>
          <w:sz w:val="120"/>
          <w:szCs w:val="120"/>
          <w:lang w:eastAsia="zh-CN"/>
        </w:rPr>
      </w:pPr>
      <w:r>
        <w:rPr>
          <w:rFonts w:hint="eastAsia" w:ascii="Calibri" w:hAnsi="Calibri" w:eastAsia="宋体" w:cstheme="minorBidi"/>
          <w:b/>
          <w:kern w:val="2"/>
          <w:sz w:val="120"/>
          <w:szCs w:val="120"/>
          <w:lang w:eastAsia="zh-CN"/>
        </w:rPr>
        <w:t>招标文件</w:t>
      </w:r>
    </w:p>
    <w:p w14:paraId="1E0CF61D">
      <w:pPr>
        <w:widowControl w:val="0"/>
        <w:jc w:val="center"/>
        <w:rPr>
          <w:rFonts w:ascii="Calibri" w:hAnsi="Calibri" w:eastAsia="宋体"/>
          <w:b/>
          <w:kern w:val="2"/>
          <w:sz w:val="52"/>
          <w:szCs w:val="52"/>
          <w:lang w:eastAsia="zh-CN"/>
        </w:rPr>
      </w:pPr>
      <w:r>
        <w:rPr>
          <w:rFonts w:hint="eastAsia" w:ascii="Calibri" w:hAnsi="Calibri" w:eastAsia="宋体" w:cstheme="minorBidi"/>
          <w:b/>
          <w:kern w:val="2"/>
          <w:sz w:val="52"/>
          <w:szCs w:val="52"/>
          <w:lang w:eastAsia="zh-CN"/>
        </w:rPr>
        <w:t>（货物类）</w:t>
      </w:r>
    </w:p>
    <w:p w14:paraId="0DFBE746">
      <w:pPr>
        <w:widowControl w:val="0"/>
        <w:jc w:val="both"/>
        <w:rPr>
          <w:rFonts w:ascii="Calibri" w:hAnsi="Calibri" w:eastAsia="宋体"/>
          <w:kern w:val="2"/>
          <w:sz w:val="21"/>
          <w:szCs w:val="22"/>
          <w:lang w:eastAsia="zh-CN"/>
        </w:rPr>
      </w:pPr>
    </w:p>
    <w:p w14:paraId="25EC9976">
      <w:pPr>
        <w:widowControl w:val="0"/>
        <w:jc w:val="both"/>
        <w:rPr>
          <w:rFonts w:ascii="Calibri" w:hAnsi="Calibri" w:eastAsia="宋体"/>
          <w:kern w:val="2"/>
          <w:sz w:val="21"/>
          <w:szCs w:val="22"/>
          <w:lang w:eastAsia="zh-CN"/>
        </w:rPr>
      </w:pPr>
    </w:p>
    <w:p w14:paraId="15C409FA">
      <w:pPr>
        <w:widowControl w:val="0"/>
        <w:jc w:val="both"/>
        <w:rPr>
          <w:rFonts w:ascii="Calibri" w:hAnsi="Calibri" w:eastAsia="宋体"/>
          <w:kern w:val="2"/>
          <w:sz w:val="21"/>
          <w:szCs w:val="22"/>
          <w:lang w:eastAsia="zh-CN"/>
        </w:rPr>
      </w:pPr>
    </w:p>
    <w:p w14:paraId="5C63EDE5">
      <w:pPr>
        <w:widowControl w:val="0"/>
        <w:jc w:val="both"/>
        <w:rPr>
          <w:rFonts w:ascii="Calibri" w:hAnsi="Calibri" w:eastAsia="宋体"/>
          <w:kern w:val="2"/>
          <w:sz w:val="21"/>
          <w:szCs w:val="22"/>
          <w:lang w:eastAsia="zh-CN"/>
        </w:rPr>
      </w:pPr>
    </w:p>
    <w:p w14:paraId="3721ED21">
      <w:pPr>
        <w:widowControl w:val="0"/>
        <w:jc w:val="both"/>
        <w:rPr>
          <w:rFonts w:ascii="Calibri" w:hAnsi="Calibri" w:eastAsia="宋体"/>
          <w:kern w:val="2"/>
          <w:sz w:val="21"/>
          <w:szCs w:val="22"/>
          <w:lang w:eastAsia="zh-CN"/>
        </w:rPr>
      </w:pPr>
    </w:p>
    <w:p w14:paraId="3D1CD681">
      <w:pPr>
        <w:widowControl w:val="0"/>
        <w:jc w:val="both"/>
        <w:rPr>
          <w:rFonts w:ascii="Calibri" w:hAnsi="Calibri" w:eastAsia="宋体"/>
          <w:kern w:val="2"/>
          <w:sz w:val="21"/>
          <w:szCs w:val="22"/>
          <w:lang w:eastAsia="zh-CN"/>
        </w:rPr>
      </w:pPr>
    </w:p>
    <w:p w14:paraId="263FB727">
      <w:pPr>
        <w:widowControl w:val="0"/>
        <w:jc w:val="both"/>
        <w:rPr>
          <w:rFonts w:ascii="Calibri" w:hAnsi="Calibri" w:eastAsia="宋体"/>
          <w:kern w:val="2"/>
          <w:sz w:val="21"/>
          <w:szCs w:val="22"/>
          <w:lang w:eastAsia="zh-CN"/>
        </w:rPr>
      </w:pPr>
    </w:p>
    <w:p w14:paraId="3EDCD4BA">
      <w:pPr>
        <w:widowControl w:val="0"/>
        <w:jc w:val="both"/>
        <w:rPr>
          <w:rFonts w:ascii="Calibri" w:hAnsi="Calibri" w:eastAsia="宋体"/>
          <w:kern w:val="2"/>
          <w:sz w:val="21"/>
          <w:szCs w:val="22"/>
          <w:lang w:eastAsia="zh-CN"/>
        </w:rPr>
      </w:pPr>
    </w:p>
    <w:p w14:paraId="413398DC">
      <w:pPr>
        <w:widowControl w:val="0"/>
        <w:jc w:val="both"/>
        <w:rPr>
          <w:rFonts w:ascii="Calibri" w:hAnsi="Calibri" w:eastAsia="宋体"/>
          <w:kern w:val="2"/>
          <w:sz w:val="21"/>
          <w:szCs w:val="22"/>
          <w:lang w:eastAsia="zh-CN"/>
        </w:rPr>
      </w:pPr>
    </w:p>
    <w:p w14:paraId="0F9DC4A5">
      <w:pPr>
        <w:widowControl w:val="0"/>
        <w:jc w:val="both"/>
        <w:rPr>
          <w:rFonts w:ascii="Calibri" w:hAnsi="Calibri" w:eastAsia="宋体"/>
          <w:kern w:val="2"/>
          <w:sz w:val="21"/>
          <w:szCs w:val="22"/>
          <w:lang w:eastAsia="zh-CN"/>
        </w:rPr>
      </w:pPr>
    </w:p>
    <w:p w14:paraId="588B9D81">
      <w:pPr>
        <w:widowControl w:val="0"/>
        <w:jc w:val="both"/>
        <w:rPr>
          <w:rFonts w:ascii="Calibri" w:hAnsi="Calibri" w:eastAsia="宋体"/>
          <w:kern w:val="2"/>
          <w:sz w:val="21"/>
          <w:szCs w:val="22"/>
          <w:lang w:eastAsia="zh-CN"/>
        </w:rPr>
      </w:pPr>
    </w:p>
    <w:p w14:paraId="422FE191">
      <w:pPr>
        <w:widowControl w:val="0"/>
        <w:jc w:val="both"/>
        <w:rPr>
          <w:rFonts w:ascii="Calibri" w:hAnsi="Calibri" w:eastAsia="宋体"/>
          <w:kern w:val="2"/>
          <w:sz w:val="21"/>
          <w:szCs w:val="22"/>
          <w:lang w:eastAsia="zh-CN"/>
        </w:rPr>
      </w:pPr>
    </w:p>
    <w:p w14:paraId="1D223840">
      <w:pPr>
        <w:widowControl w:val="0"/>
        <w:jc w:val="center"/>
        <w:rPr>
          <w:rFonts w:hint="eastAsia" w:ascii="Calibri" w:hAnsi="Calibri" w:eastAsia="宋体"/>
          <w:b/>
          <w:kern w:val="2"/>
          <w:sz w:val="44"/>
          <w:szCs w:val="44"/>
          <w:lang w:eastAsia="zh-CN"/>
        </w:rPr>
      </w:pPr>
      <w:r>
        <w:rPr>
          <w:rFonts w:hint="eastAsia" w:ascii="宋体" w:hAnsi="宋体" w:eastAsia="宋体" w:cstheme="minorBidi"/>
          <w:b/>
          <w:kern w:val="2"/>
          <w:sz w:val="44"/>
          <w:szCs w:val="44"/>
          <w:lang w:eastAsia="zh-CN"/>
        </w:rPr>
        <w:t>深圳市拓泰实业有限公司</w:t>
      </w:r>
    </w:p>
    <w:p w14:paraId="16C8A6A0">
      <w:pPr>
        <w:widowControl w:val="0"/>
        <w:jc w:val="center"/>
        <w:rPr>
          <w:rFonts w:ascii="Calibri" w:hAnsi="Calibri" w:eastAsia="宋体"/>
          <w:b/>
          <w:kern w:val="2"/>
          <w:sz w:val="44"/>
          <w:szCs w:val="44"/>
          <w:lang w:eastAsia="zh-CN"/>
        </w:rPr>
      </w:pPr>
      <w:r>
        <w:rPr>
          <w:rFonts w:hint="eastAsia" w:ascii="宋体" w:hAnsi="宋体" w:eastAsia="宋体" w:cstheme="minorBidi"/>
          <w:b/>
          <w:kern w:val="2"/>
          <w:sz w:val="44"/>
          <w:szCs w:val="44"/>
          <w:lang w:eastAsia="zh-CN"/>
        </w:rPr>
        <w:t>（</w:t>
      </w:r>
      <w:r>
        <w:rPr>
          <w:rFonts w:ascii="Calibri" w:hAnsi="Calibri" w:eastAsia="宋体" w:cstheme="minorBidi"/>
          <w:b/>
          <w:kern w:val="2"/>
          <w:sz w:val="44"/>
          <w:szCs w:val="44"/>
          <w:lang w:eastAsia="zh-CN"/>
        </w:rPr>
        <w:t>20</w:t>
      </w:r>
      <w:r>
        <w:rPr>
          <w:rFonts w:hint="eastAsia" w:ascii="Calibri" w:hAnsi="Calibri" w:eastAsia="宋体" w:cstheme="minorBidi"/>
          <w:b/>
          <w:kern w:val="2"/>
          <w:sz w:val="44"/>
          <w:szCs w:val="44"/>
          <w:lang w:eastAsia="zh-CN"/>
        </w:rPr>
        <w:t>24</w:t>
      </w:r>
      <w:r>
        <w:rPr>
          <w:rFonts w:hint="eastAsia" w:ascii="宋体" w:hAnsi="宋体" w:eastAsia="宋体" w:cstheme="minorBidi"/>
          <w:b/>
          <w:kern w:val="2"/>
          <w:sz w:val="44"/>
          <w:szCs w:val="44"/>
          <w:lang w:eastAsia="zh-CN"/>
        </w:rPr>
        <w:t>）</w:t>
      </w:r>
    </w:p>
    <w:p w14:paraId="769DEAE7">
      <w:pPr>
        <w:widowControl w:val="0"/>
        <w:ind w:firstLine="2730" w:firstLineChars="1300"/>
        <w:jc w:val="center"/>
        <w:rPr>
          <w:rFonts w:ascii="Calibri" w:hAnsi="Calibri" w:eastAsia="宋体"/>
          <w:bCs/>
          <w:color w:val="FF0000"/>
          <w:kern w:val="2"/>
          <w:sz w:val="21"/>
          <w:szCs w:val="22"/>
          <w:lang w:eastAsia="zh-CN"/>
        </w:rPr>
      </w:pPr>
    </w:p>
    <w:p w14:paraId="6D61359B">
      <w:pPr>
        <w:widowControl w:val="0"/>
        <w:ind w:firstLine="3654" w:firstLineChars="1300"/>
        <w:jc w:val="both"/>
        <w:rPr>
          <w:rFonts w:hint="eastAsia" w:ascii="宋体" w:hAnsi="宋体" w:eastAsia="宋体"/>
          <w:color w:val="FF0000"/>
          <w:kern w:val="2"/>
          <w:sz w:val="21"/>
          <w:szCs w:val="21"/>
          <w:lang w:eastAsia="zh-CN"/>
        </w:rPr>
      </w:pPr>
      <w:bookmarkStart w:id="0" w:name="_Hlk73564573"/>
      <w:r>
        <w:rPr>
          <w:rFonts w:hint="eastAsia" w:ascii="宋体" w:hAnsi="宋体" w:eastAsia="黑体" w:cstheme="minorBidi"/>
          <w:b/>
          <w:bCs/>
          <w:color w:val="FF0000"/>
          <w:kern w:val="44"/>
          <w:sz w:val="28"/>
          <w:szCs w:val="44"/>
          <w:lang w:eastAsia="zh-CN"/>
        </w:rPr>
        <w:br w:type="page"/>
      </w:r>
      <w:r>
        <w:rPr>
          <w:rFonts w:hint="eastAsia" w:ascii="宋体" w:hAnsi="宋体" w:eastAsia="黑体" w:cstheme="minorBidi"/>
          <w:b/>
          <w:bCs/>
          <w:color w:val="FF0000"/>
          <w:kern w:val="44"/>
          <w:sz w:val="28"/>
          <w:szCs w:val="44"/>
          <w:lang w:eastAsia="zh-CN"/>
        </w:rPr>
        <w:t>警示条款</w:t>
      </w:r>
    </w:p>
    <w:p w14:paraId="6CD66EB7">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w:t>
      </w:r>
      <w:r>
        <w:rPr>
          <w:rFonts w:hint="eastAsia" w:ascii="宋体" w:hAnsi="宋体" w:eastAsia="宋体" w:cstheme="minorBidi"/>
          <w:b/>
          <w:bCs/>
          <w:color w:val="FF0000"/>
          <w:kern w:val="2"/>
          <w:sz w:val="20"/>
          <w:szCs w:val="20"/>
          <w:lang w:eastAsia="zh-CN"/>
        </w:rPr>
        <w:t>《深圳经济特区政府采购条例》第五十七条</w:t>
      </w:r>
      <w:r>
        <w:rPr>
          <w:rFonts w:hint="eastAsia" w:ascii="宋体" w:hAnsi="宋体" w:eastAsia="宋体" w:cstheme="minorBidi"/>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17C3B03E">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（一）在采购活动中应当回避而未回避的；</w:t>
      </w:r>
    </w:p>
    <w:p w14:paraId="3A40D64F">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（二）未按本条例规定签订、履行采购合同，造成严重后果的；</w:t>
      </w:r>
    </w:p>
    <w:p w14:paraId="2F27C640">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（三）隐瞒真实情况，提供虚假资料的；</w:t>
      </w:r>
    </w:p>
    <w:p w14:paraId="757E9AAE">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（四）以非法手段排斥其他供应商参与竞争的；</w:t>
      </w:r>
    </w:p>
    <w:p w14:paraId="6D75F2FC">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（五）与其他采购参加人串通投标的；</w:t>
      </w:r>
    </w:p>
    <w:p w14:paraId="2FD3CE08">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（六）恶意投诉的；</w:t>
      </w:r>
    </w:p>
    <w:p w14:paraId="4ED028DF">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（七）向采购项目相关人行贿或者提供其他不当利益的；</w:t>
      </w:r>
    </w:p>
    <w:p w14:paraId="5DA649D5">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（八）阻碍、抗拒主管部门监督检查的；</w:t>
      </w:r>
    </w:p>
    <w:p w14:paraId="4467F0B1">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（九）其他违反本条例规定的行为。</w:t>
      </w:r>
    </w:p>
    <w:p w14:paraId="38B7E180">
      <w:pPr>
        <w:widowControl w:val="0"/>
        <w:ind w:firstLine="402" w:firstLineChars="200"/>
        <w:jc w:val="both"/>
        <w:rPr>
          <w:rFonts w:hint="eastAsia"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 xml:space="preserve">二、《深圳经济特区政府采购条例实施细则》第七十五条 </w:t>
      </w:r>
      <w:r>
        <w:rPr>
          <w:rFonts w:hint="eastAsia" w:ascii="宋体" w:hAnsi="宋体" w:eastAsia="宋体" w:cstheme="minorBidi"/>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14B13695">
      <w:pPr>
        <w:widowControl w:val="0"/>
        <w:ind w:firstLine="402" w:firstLineChars="200"/>
        <w:jc w:val="both"/>
        <w:rPr>
          <w:rFonts w:hint="eastAsia"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 xml:space="preserve">三、《深圳经济特区政府采购条例实施细则》第七十七条 </w:t>
      </w:r>
      <w:r>
        <w:rPr>
          <w:rFonts w:hint="eastAsia" w:ascii="宋体" w:hAnsi="宋体" w:eastAsia="宋体" w:cstheme="minorBidi"/>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DA09F20">
      <w:pPr>
        <w:widowControl w:val="0"/>
        <w:ind w:firstLine="400" w:firstLineChars="200"/>
        <w:jc w:val="both"/>
        <w:rPr>
          <w:rFonts w:hint="eastAsia"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投标供应商不能提供项目负责人或者主要技术人员的劳动合同、社会保险等劳动关系证明材料的，视为存在前款第（三）项规定的情形。</w:t>
      </w:r>
    </w:p>
    <w:bookmarkEnd w:id="0"/>
    <w:p w14:paraId="5962A2DE">
      <w:pPr>
        <w:widowControl w:val="0"/>
        <w:ind w:firstLine="402" w:firstLineChars="200"/>
        <w:jc w:val="left"/>
        <w:rPr>
          <w:rFonts w:hint="eastAsia"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四、请投标供应商阅读《政府采购违法行为风险知悉确认书》（内容详见“投标文件附件”），并经各投标供应商负责人或投标授权代表签字并加盖单位公章后，扫描上传至投标文件一并提交。注：该风险知悉确认书用于对供应商违法行为的警示，不作为供应商资格性审查及符合性审查条件。</w:t>
      </w:r>
    </w:p>
    <w:p w14:paraId="5D103FA3">
      <w:pPr>
        <w:widowControl w:val="0"/>
        <w:snapToGrid w:val="0"/>
        <w:spacing w:line="360" w:lineRule="exact"/>
        <w:jc w:val="left"/>
        <w:rPr>
          <w:rFonts w:hint="eastAsia" w:ascii="宋体" w:hAnsi="宋体" w:eastAsia="宋体" w:cs="宋体"/>
          <w:color w:val="000000"/>
          <w:lang w:eastAsia="zh-CN"/>
        </w:rPr>
      </w:pPr>
    </w:p>
    <w:p w14:paraId="14A32BF3">
      <w:pPr>
        <w:widowControl w:val="0"/>
        <w:snapToGrid w:val="0"/>
        <w:spacing w:line="360" w:lineRule="exact"/>
        <w:jc w:val="left"/>
        <w:rPr>
          <w:rFonts w:hint="eastAsia" w:ascii="宋体" w:hAnsi="宋体" w:eastAsia="宋体" w:cs="宋体"/>
          <w:color w:val="000000"/>
          <w:lang w:eastAsia="zh-CN"/>
        </w:rPr>
      </w:pPr>
    </w:p>
    <w:p w14:paraId="7A789DFA">
      <w:pPr>
        <w:widowControl w:val="0"/>
        <w:snapToGrid w:val="0"/>
        <w:spacing w:line="360" w:lineRule="exact"/>
        <w:jc w:val="left"/>
        <w:rPr>
          <w:rFonts w:hint="eastAsia" w:ascii="宋体" w:hAnsi="宋体" w:eastAsia="宋体" w:cs="宋体"/>
          <w:color w:val="000000"/>
          <w:lang w:eastAsia="zh-CN"/>
        </w:rPr>
      </w:pPr>
    </w:p>
    <w:p w14:paraId="20BCB6CB">
      <w:pPr>
        <w:widowControl w:val="0"/>
        <w:snapToGrid w:val="0"/>
        <w:spacing w:line="360" w:lineRule="exact"/>
        <w:jc w:val="left"/>
        <w:rPr>
          <w:rFonts w:hint="eastAsia" w:ascii="宋体" w:hAnsi="宋体" w:eastAsia="宋体" w:cs="宋体"/>
          <w:color w:val="000000"/>
          <w:lang w:eastAsia="zh-CN"/>
        </w:rPr>
      </w:pPr>
    </w:p>
    <w:p w14:paraId="151C74C4">
      <w:pPr>
        <w:widowControl w:val="0"/>
        <w:snapToGrid w:val="0"/>
        <w:spacing w:line="360" w:lineRule="exact"/>
        <w:jc w:val="left"/>
        <w:rPr>
          <w:rFonts w:hint="eastAsia" w:ascii="宋体" w:hAnsi="宋体" w:eastAsia="宋体" w:cs="宋体"/>
          <w:color w:val="000000"/>
          <w:lang w:eastAsia="zh-CN"/>
        </w:rPr>
      </w:pPr>
    </w:p>
    <w:p w14:paraId="28C519BE">
      <w:pPr>
        <w:widowControl w:val="0"/>
        <w:snapToGrid w:val="0"/>
        <w:spacing w:line="360" w:lineRule="exact"/>
        <w:jc w:val="left"/>
        <w:rPr>
          <w:rFonts w:hint="eastAsia" w:ascii="宋体" w:hAnsi="宋体" w:eastAsia="宋体" w:cs="宋体"/>
          <w:color w:val="000000"/>
          <w:lang w:eastAsia="zh-CN"/>
        </w:rPr>
      </w:pPr>
    </w:p>
    <w:p w14:paraId="3D7C85EF">
      <w:pPr>
        <w:widowControl w:val="0"/>
        <w:snapToGrid w:val="0"/>
        <w:spacing w:line="360" w:lineRule="exact"/>
        <w:jc w:val="left"/>
        <w:rPr>
          <w:rFonts w:hint="eastAsia" w:ascii="宋体" w:hAnsi="宋体" w:eastAsia="宋体" w:cs="宋体"/>
          <w:color w:val="000000"/>
          <w:lang w:eastAsia="zh-CN"/>
        </w:rPr>
      </w:pPr>
    </w:p>
    <w:p w14:paraId="10B9C287">
      <w:pPr>
        <w:widowControl w:val="0"/>
        <w:snapToGrid w:val="0"/>
        <w:spacing w:line="360" w:lineRule="exact"/>
        <w:jc w:val="left"/>
        <w:rPr>
          <w:rFonts w:hint="eastAsia" w:ascii="宋体" w:hAnsi="宋体" w:eastAsia="宋体" w:cs="宋体"/>
          <w:color w:val="000000"/>
          <w:lang w:eastAsia="zh-CN"/>
        </w:rPr>
      </w:pPr>
    </w:p>
    <w:p w14:paraId="21A19F81">
      <w:pPr>
        <w:widowControl w:val="0"/>
        <w:snapToGrid w:val="0"/>
        <w:spacing w:line="360" w:lineRule="exact"/>
        <w:jc w:val="left"/>
        <w:rPr>
          <w:rFonts w:hint="eastAsia" w:ascii="宋体" w:hAnsi="宋体" w:eastAsia="宋体" w:cs="宋体"/>
          <w:color w:val="000000"/>
          <w:lang w:eastAsia="zh-CN"/>
        </w:rPr>
      </w:pPr>
    </w:p>
    <w:p w14:paraId="0C800462">
      <w:pPr>
        <w:widowControl w:val="0"/>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br w:type="page"/>
      </w:r>
      <w:r>
        <w:rPr>
          <w:rFonts w:hint="eastAsia" w:ascii="Arial" w:hAnsi="Arial" w:eastAsia="宋体"/>
          <w:b/>
          <w:bCs/>
          <w:kern w:val="44"/>
          <w:sz w:val="32"/>
          <w:szCs w:val="32"/>
          <w:lang w:eastAsia="zh-CN"/>
        </w:rPr>
        <w:t>目   录</w:t>
      </w:r>
    </w:p>
    <w:p w14:paraId="06517488">
      <w:pPr>
        <w:widowControl w:val="0"/>
        <w:jc w:val="both"/>
        <w:rPr>
          <w:rFonts w:ascii="Calibri" w:hAnsi="Calibri" w:eastAsia="宋体"/>
          <w:b/>
          <w:kern w:val="2"/>
          <w:lang w:eastAsia="zh-CN"/>
        </w:rPr>
      </w:pPr>
      <w:r>
        <w:rPr>
          <w:rFonts w:hint="eastAsia" w:ascii="Calibri" w:hAnsi="Calibri" w:eastAsia="宋体" w:cstheme="minorBidi"/>
          <w:b/>
          <w:kern w:val="2"/>
          <w:lang w:eastAsia="zh-CN"/>
        </w:rPr>
        <w:t>第一册  专用条款</w:t>
      </w:r>
    </w:p>
    <w:p w14:paraId="1B8104FC">
      <w:pPr>
        <w:widowControl w:val="0"/>
        <w:spacing w:line="360" w:lineRule="auto"/>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关键信息</w:t>
      </w:r>
    </w:p>
    <w:p w14:paraId="496F3D65">
      <w:pPr>
        <w:widowControl w:val="0"/>
        <w:spacing w:line="360" w:lineRule="auto"/>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第一章  招标公告</w:t>
      </w:r>
    </w:p>
    <w:p w14:paraId="5B115141">
      <w:pPr>
        <w:widowControl w:val="0"/>
        <w:spacing w:line="360" w:lineRule="auto"/>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第二章  对通用条款的补充内容及其他关键信息</w:t>
      </w:r>
    </w:p>
    <w:p w14:paraId="5EFA3ABB">
      <w:pPr>
        <w:widowControl w:val="0"/>
        <w:spacing w:line="360" w:lineRule="auto"/>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第三章 </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用户需求书</w:t>
      </w:r>
    </w:p>
    <w:p w14:paraId="12B98E67">
      <w:pPr>
        <w:widowControl w:val="0"/>
        <w:spacing w:line="360" w:lineRule="auto"/>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第四章 </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投标文件组成要求及格式</w:t>
      </w:r>
    </w:p>
    <w:p w14:paraId="5DD868F6">
      <w:pPr>
        <w:widowControl w:val="0"/>
        <w:spacing w:line="360" w:lineRule="auto"/>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第五章  合同条款及格式</w:t>
      </w:r>
    </w:p>
    <w:p w14:paraId="23F69234">
      <w:pPr>
        <w:widowControl w:val="0"/>
        <w:jc w:val="both"/>
        <w:rPr>
          <w:rFonts w:ascii="Calibri" w:hAnsi="Calibri" w:eastAsia="宋体"/>
          <w:b/>
          <w:kern w:val="2"/>
          <w:szCs w:val="22"/>
          <w:lang w:eastAsia="zh-CN"/>
        </w:rPr>
      </w:pPr>
    </w:p>
    <w:p w14:paraId="60159086">
      <w:pPr>
        <w:widowControl w:val="0"/>
        <w:jc w:val="both"/>
        <w:rPr>
          <w:rFonts w:ascii="Calibri" w:hAnsi="Calibri" w:eastAsia="宋体"/>
          <w:b/>
          <w:kern w:val="2"/>
          <w:lang w:eastAsia="zh-CN"/>
        </w:rPr>
      </w:pPr>
      <w:r>
        <w:rPr>
          <w:rFonts w:hint="eastAsia" w:ascii="Calibri" w:hAnsi="Calibri" w:eastAsia="宋体" w:cstheme="minorBidi"/>
          <w:b/>
          <w:kern w:val="2"/>
          <w:lang w:eastAsia="zh-CN"/>
        </w:rPr>
        <w:t>第二册  通用条款</w:t>
      </w:r>
    </w:p>
    <w:p w14:paraId="769844D1">
      <w:pPr>
        <w:widowControl w:val="0"/>
        <w:spacing w:line="360" w:lineRule="auto"/>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第一章  总则</w:t>
      </w:r>
    </w:p>
    <w:p w14:paraId="0456CAA7">
      <w:pPr>
        <w:widowControl w:val="0"/>
        <w:spacing w:line="360" w:lineRule="auto"/>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第二章  招标文件</w:t>
      </w:r>
    </w:p>
    <w:p w14:paraId="1D3E9206">
      <w:pPr>
        <w:widowControl w:val="0"/>
        <w:spacing w:line="360" w:lineRule="auto"/>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第三章  投标文件的编制</w:t>
      </w:r>
    </w:p>
    <w:p w14:paraId="6892DBE6">
      <w:pPr>
        <w:widowControl w:val="0"/>
        <w:spacing w:line="360" w:lineRule="auto"/>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第四章  投标文件的递交</w:t>
      </w:r>
    </w:p>
    <w:p w14:paraId="17E8F03A">
      <w:pPr>
        <w:widowControl w:val="0"/>
        <w:spacing w:line="360" w:lineRule="auto"/>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第五章  开标</w:t>
      </w:r>
    </w:p>
    <w:p w14:paraId="6A9248FD">
      <w:pPr>
        <w:widowControl w:val="0"/>
        <w:spacing w:line="360" w:lineRule="auto"/>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第六章  评审要求</w:t>
      </w:r>
    </w:p>
    <w:p w14:paraId="00FD4184">
      <w:pPr>
        <w:widowControl w:val="0"/>
        <w:spacing w:line="360" w:lineRule="auto"/>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第七章  评审程序及评审方法</w:t>
      </w:r>
    </w:p>
    <w:p w14:paraId="38E60E75">
      <w:pPr>
        <w:widowControl w:val="0"/>
        <w:spacing w:line="360" w:lineRule="auto"/>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第八章  定标及公示</w:t>
      </w:r>
    </w:p>
    <w:p w14:paraId="308ABFC2">
      <w:pPr>
        <w:widowControl w:val="0"/>
        <w:spacing w:line="360" w:lineRule="auto"/>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第九章  公开招标失败的后续处理</w:t>
      </w:r>
    </w:p>
    <w:p w14:paraId="4D44F28D">
      <w:pPr>
        <w:widowControl w:val="0"/>
        <w:spacing w:line="360" w:lineRule="auto"/>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第十章  合同的授予与备案</w:t>
      </w:r>
    </w:p>
    <w:p w14:paraId="50F40E08">
      <w:pPr>
        <w:widowControl w:val="0"/>
        <w:spacing w:line="360" w:lineRule="auto"/>
        <w:ind w:left="720" w:leftChars="300" w:firstLine="411" w:firstLineChars="196"/>
        <w:jc w:val="both"/>
        <w:rPr>
          <w:rFonts w:hint="eastAsia" w:ascii="宋体" w:hAnsi="宋体" w:eastAsia="宋体" w:cstheme="minorBidi"/>
          <w:kern w:val="2"/>
          <w:sz w:val="21"/>
          <w:szCs w:val="21"/>
          <w:lang w:eastAsia="zh-CN"/>
        </w:rPr>
      </w:pPr>
      <w:r>
        <w:rPr>
          <w:rFonts w:hint="eastAsia" w:ascii="宋体" w:hAnsi="宋体" w:eastAsia="宋体" w:cstheme="minorBidi"/>
          <w:kern w:val="2"/>
          <w:sz w:val="21"/>
          <w:szCs w:val="21"/>
          <w:lang w:eastAsia="zh-CN"/>
        </w:rPr>
        <w:t>第十一章  质疑处理</w:t>
      </w:r>
    </w:p>
    <w:p w14:paraId="2ECEEF65">
      <w:pPr>
        <w:widowControl w:val="0"/>
        <w:jc w:val="both"/>
        <w:rPr>
          <w:rFonts w:ascii="Calibri" w:hAnsi="Calibri" w:eastAsia="宋体"/>
          <w:kern w:val="2"/>
          <w:sz w:val="21"/>
          <w:szCs w:val="22"/>
          <w:lang w:eastAsia="zh-CN"/>
        </w:rPr>
      </w:pPr>
    </w:p>
    <w:p w14:paraId="77A4B053">
      <w:pPr>
        <w:widowControl w:val="0"/>
        <w:jc w:val="both"/>
        <w:rPr>
          <w:rFonts w:ascii="Calibri" w:hAnsi="Calibri" w:eastAsia="宋体"/>
          <w:kern w:val="2"/>
          <w:sz w:val="21"/>
          <w:szCs w:val="22"/>
          <w:lang w:eastAsia="zh-CN"/>
        </w:rPr>
      </w:pPr>
    </w:p>
    <w:p w14:paraId="5EBDC3DE">
      <w:pPr>
        <w:widowControl/>
        <w:jc w:val="left"/>
        <w:rPr>
          <w:rFonts w:ascii="Calibri" w:hAnsi="Calibri" w:eastAsia="宋体"/>
          <w:kern w:val="2"/>
          <w:sz w:val="21"/>
          <w:szCs w:val="22"/>
          <w:lang w:eastAsia="zh-CN"/>
        </w:rPr>
      </w:pPr>
    </w:p>
    <w:p w14:paraId="111B025F">
      <w:pPr>
        <w:keepNext/>
        <w:keepLines/>
        <w:widowControl w:val="0"/>
        <w:spacing w:before="340" w:after="78" w:afterLines="25" w:line="578" w:lineRule="auto"/>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br w:type="page"/>
      </w:r>
      <w:r>
        <w:rPr>
          <w:rFonts w:hint="eastAsia" w:ascii="Arial" w:hAnsi="Arial" w:eastAsia="宋体"/>
          <w:b/>
          <w:bCs/>
          <w:kern w:val="44"/>
          <w:sz w:val="32"/>
          <w:szCs w:val="32"/>
          <w:lang w:eastAsia="zh-CN"/>
        </w:rPr>
        <w:t>第一册  专用条款</w:t>
      </w:r>
    </w:p>
    <w:p w14:paraId="5D5CFA5B">
      <w:pPr>
        <w:keepNext/>
        <w:keepLines/>
        <w:widowControl w:val="0"/>
        <w:adjustRightInd w:val="0"/>
        <w:spacing w:before="260" w:after="26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t>第一章  招标公告</w:t>
      </w:r>
    </w:p>
    <w:p w14:paraId="5943BA44">
      <w:pPr>
        <w:widowControl w:val="0"/>
        <w:spacing w:line="360" w:lineRule="auto"/>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申请人的资格要求：</w:t>
      </w:r>
    </w:p>
    <w:p w14:paraId="5ED2D8C6">
      <w:pPr>
        <w:widowControl w:val="0"/>
        <w:spacing w:line="360" w:lineRule="auto"/>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扫描件，原件备查。</w:t>
      </w:r>
    </w:p>
    <w:p w14:paraId="69066E8B">
      <w:pPr>
        <w:widowControl w:val="0"/>
        <w:spacing w:line="360" w:lineRule="auto"/>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2、投标人必须为深圳市政府采购注册供应商（提供注册卡扫描件或网站信息查询截图http://zfcg.szggzy.com:8081/TPBidder/memberLogin登录后截图基本信息且显示验证通过）。</w:t>
      </w:r>
    </w:p>
    <w:p w14:paraId="6D319C61">
      <w:pPr>
        <w:widowControl w:val="0"/>
        <w:spacing w:line="360" w:lineRule="auto"/>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3、投标人须按截图要求提供通过“信用中国”网（www.creditchina.gov.cn）信用信息下载扫描件（详见采购文件相应章节）。</w:t>
      </w:r>
    </w:p>
    <w:p w14:paraId="189C6F67">
      <w:pPr>
        <w:widowControl w:val="0"/>
        <w:spacing w:line="360" w:lineRule="auto"/>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4、投标人必须按照采购文件所提供的《政府采购投标及履约承诺函》进行承诺。</w:t>
      </w:r>
    </w:p>
    <w:p w14:paraId="6A3FB7A3">
      <w:pPr>
        <w:widowControl w:val="0"/>
        <w:spacing w:line="360" w:lineRule="auto"/>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5、投标人需根据实际填写“股东构成审查表”（详见采购文件相应章节）。</w:t>
      </w:r>
    </w:p>
    <w:p w14:paraId="2E1568E6">
      <w:pPr>
        <w:widowControl w:val="0"/>
        <w:spacing w:line="360" w:lineRule="auto"/>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6、本项目不接受进口产品投标，不接受联合体投标。</w:t>
      </w:r>
    </w:p>
    <w:p w14:paraId="218A9686">
      <w:pPr>
        <w:widowControl w:val="0"/>
        <w:spacing w:line="360" w:lineRule="auto"/>
        <w:ind w:firstLine="630" w:firstLineChars="300"/>
        <w:jc w:val="both"/>
        <w:rPr>
          <w:rFonts w:hint="eastAsia" w:ascii="宋体" w:hAnsi="宋体" w:eastAsia="宋体" w:cs="宋体"/>
          <w:sz w:val="21"/>
          <w:szCs w:val="21"/>
          <w:highlight w:val="yellow"/>
          <w:lang w:eastAsia="zh-CN"/>
        </w:rPr>
      </w:pPr>
      <w:r>
        <w:rPr>
          <w:rFonts w:hint="eastAsia" w:ascii="宋体" w:hAnsi="宋体" w:eastAsia="宋体" w:cs="宋体"/>
          <w:sz w:val="21"/>
          <w:szCs w:val="21"/>
          <w:highlight w:val="yellow"/>
          <w:lang w:eastAsia="zh-CN"/>
        </w:rPr>
        <w:t>7、本项目是（否）专门面向中小企业采购：</w:t>
      </w:r>
      <w:r>
        <w:rPr>
          <w:rFonts w:hint="eastAsia" w:ascii="宋体" w:hAnsi="宋体" w:eastAsia="宋体" w:cs="宋体"/>
          <w:sz w:val="21"/>
          <w:szCs w:val="21"/>
          <w:highlight w:val="yellow"/>
          <w:lang w:val="en-US" w:eastAsia="zh-CN"/>
        </w:rPr>
        <w:t>否</w:t>
      </w:r>
      <w:r>
        <w:rPr>
          <w:rFonts w:hint="eastAsia" w:ascii="宋体" w:hAnsi="宋体" w:eastAsia="宋体" w:cs="宋体"/>
          <w:sz w:val="21"/>
          <w:szCs w:val="21"/>
          <w:highlight w:val="yellow"/>
          <w:lang w:eastAsia="zh-CN"/>
        </w:rPr>
        <w:t>。</w:t>
      </w:r>
    </w:p>
    <w:p w14:paraId="0EAF8F9A">
      <w:pPr>
        <w:widowControl w:val="0"/>
        <w:wordWrap w:val="0"/>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183668F9">
      <w:pPr>
        <w:widowControl w:val="0"/>
        <w:spacing w:line="360" w:lineRule="auto"/>
        <w:ind w:firstLine="420" w:firstLineChars="200"/>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（2）供应商投标（上传投标文件）必须先行办理注册手续，具体请按照本公告“六、其他补充事宜</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相关内容指引办理。</w:t>
      </w:r>
    </w:p>
    <w:p w14:paraId="09676A02">
      <w:pPr>
        <w:widowControl w:val="0"/>
        <w:spacing w:after="78" w:afterLines="25" w:line="360" w:lineRule="auto"/>
        <w:jc w:val="center"/>
        <w:rPr>
          <w:rFonts w:ascii="Calibri" w:hAnsi="Calibri" w:eastAsia="宋体"/>
          <w:b/>
          <w:color w:val="FF0000"/>
          <w:kern w:val="2"/>
          <w:sz w:val="28"/>
          <w:szCs w:val="28"/>
          <w:lang w:eastAsia="zh-CN"/>
        </w:rPr>
      </w:pPr>
      <w:r>
        <w:rPr>
          <w:rFonts w:hint="eastAsia" w:ascii="Arial" w:hAnsi="Arial" w:eastAsia="宋体"/>
          <w:b/>
          <w:color w:val="FF0000"/>
          <w:kern w:val="2"/>
          <w:sz w:val="28"/>
          <w:szCs w:val="28"/>
          <w:lang w:eastAsia="zh-CN"/>
        </w:rPr>
        <w:t>完整公告内容以网站公布信息为准，详见：深圳政府采购自行采购系统</w:t>
      </w:r>
      <w:r>
        <w:rPr>
          <w:rFonts w:hint="eastAsia" w:ascii="Calibri" w:hAnsi="Calibri" w:eastAsia="宋体" w:cstheme="minorBidi"/>
          <w:b/>
          <w:color w:val="FF0000"/>
          <w:kern w:val="2"/>
          <w:sz w:val="28"/>
          <w:szCs w:val="28"/>
          <w:lang w:eastAsia="zh-CN"/>
        </w:rPr>
        <w:t>网（https://zxcg.szggzy.com/home/index.html）</w:t>
      </w:r>
    </w:p>
    <w:p w14:paraId="6326D394">
      <w:pPr>
        <w:keepNext/>
        <w:keepLines/>
        <w:widowControl w:val="0"/>
        <w:spacing w:before="260" w:after="260" w:line="416" w:lineRule="auto"/>
        <w:jc w:val="center"/>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br w:type="page"/>
      </w:r>
      <w:r>
        <w:rPr>
          <w:rFonts w:hint="eastAsia" w:ascii="宋体" w:hAnsi="宋体" w:eastAsia="宋体"/>
          <w:b/>
          <w:bCs/>
          <w:sz w:val="28"/>
          <w:szCs w:val="28"/>
          <w:lang w:eastAsia="zh-CN"/>
        </w:rPr>
        <w:t xml:space="preserve">第二章 </w:t>
      </w:r>
      <w:bookmarkStart w:id="1" w:name="_Hlk71926094"/>
      <w:r>
        <w:rPr>
          <w:rFonts w:hint="eastAsia" w:ascii="宋体" w:hAnsi="宋体" w:eastAsia="宋体"/>
          <w:b/>
          <w:bCs/>
          <w:sz w:val="28"/>
          <w:szCs w:val="28"/>
          <w:lang w:eastAsia="zh-CN"/>
        </w:rPr>
        <w:t>对通用条款的补充内容及其他关键信息</w:t>
      </w:r>
      <w:bookmarkEnd w:id="1"/>
    </w:p>
    <w:p w14:paraId="68887D7C">
      <w:pPr>
        <w:keepNext/>
        <w:keepLines/>
        <w:widowControl w:val="0"/>
        <w:adjustRightInd w:val="0"/>
        <w:spacing w:before="156" w:beforeLines="50" w:after="156" w:afterLines="50"/>
        <w:jc w:val="center"/>
        <w:textAlignment w:val="baseline"/>
        <w:outlineLvl w:val="2"/>
        <w:rPr>
          <w:rFonts w:hint="eastAsia" w:ascii="宋体" w:hAnsi="宋体" w:eastAsia="宋体"/>
          <w:b/>
          <w:bCs/>
          <w:lang w:eastAsia="zh-CN"/>
        </w:rPr>
      </w:pPr>
      <w:bookmarkStart w:id="2" w:name="_Toc101074876"/>
      <w:bookmarkStart w:id="3" w:name="_Toc73518117"/>
      <w:bookmarkStart w:id="4" w:name="_Toc60560625"/>
      <w:bookmarkStart w:id="5" w:name="_Toc73521547"/>
      <w:bookmarkStart w:id="6" w:name="_Toc73517639"/>
      <w:bookmarkStart w:id="7" w:name="_Toc73521635"/>
      <w:bookmarkStart w:id="8" w:name="_Toc100052364"/>
      <w:bookmarkStart w:id="9" w:name="_Toc60631620"/>
      <w:r>
        <w:rPr>
          <w:rFonts w:hint="eastAsia" w:ascii="宋体" w:hAnsi="宋体" w:eastAsia="宋体"/>
          <w:b/>
          <w:bCs/>
          <w:lang w:eastAsia="zh-CN"/>
        </w:rPr>
        <w:t>一、对通用条款的补充内容</w:t>
      </w:r>
    </w:p>
    <w:tbl>
      <w:tblPr>
        <w:tblStyle w:val="13"/>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2"/>
        <w:gridCol w:w="1634"/>
        <w:gridCol w:w="6310"/>
      </w:tblGrid>
      <w:tr w14:paraId="0283F3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59B82C2">
            <w:pPr>
              <w:widowControl w:val="0"/>
              <w:spacing w:line="360" w:lineRule="auto"/>
              <w:jc w:val="center"/>
              <w:rPr>
                <w:rFonts w:hint="eastAsia" w:ascii="宋体" w:hAnsi="宋体" w:eastAsia="宋体"/>
                <w:b/>
                <w:bCs/>
                <w:kern w:val="2"/>
                <w:sz w:val="21"/>
                <w:szCs w:val="22"/>
                <w:lang w:eastAsia="zh-CN"/>
              </w:rPr>
            </w:pPr>
            <w:r>
              <w:rPr>
                <w:rFonts w:hint="eastAsia" w:ascii="宋体" w:hAnsi="宋体" w:eastAsia="宋体" w:cstheme="minorBidi"/>
                <w:b/>
                <w:bCs/>
                <w:kern w:val="2"/>
                <w:sz w:val="21"/>
                <w:szCs w:val="22"/>
                <w:lang w:eastAsia="zh-CN"/>
              </w:rPr>
              <w:t>通用条款序号</w:t>
            </w:r>
          </w:p>
        </w:tc>
        <w:tc>
          <w:tcPr>
            <w:tcW w:w="1755" w:type="dxa"/>
            <w:vAlign w:val="center"/>
          </w:tcPr>
          <w:p w14:paraId="5DD868A6">
            <w:pPr>
              <w:widowControl w:val="0"/>
              <w:spacing w:line="360" w:lineRule="auto"/>
              <w:jc w:val="center"/>
              <w:rPr>
                <w:rFonts w:hint="eastAsia" w:ascii="宋体" w:hAnsi="宋体" w:eastAsia="宋体"/>
                <w:b/>
                <w:bCs/>
                <w:kern w:val="2"/>
                <w:sz w:val="21"/>
                <w:szCs w:val="22"/>
                <w:lang w:eastAsia="zh-CN"/>
              </w:rPr>
            </w:pPr>
            <w:r>
              <w:rPr>
                <w:rFonts w:hint="eastAsia" w:ascii="宋体" w:hAnsi="宋体" w:eastAsia="宋体" w:cstheme="minorBidi"/>
                <w:b/>
                <w:bCs/>
                <w:kern w:val="2"/>
                <w:sz w:val="21"/>
                <w:szCs w:val="22"/>
                <w:lang w:eastAsia="zh-CN"/>
              </w:rPr>
              <w:t>涉及事项</w:t>
            </w:r>
          </w:p>
        </w:tc>
        <w:tc>
          <w:tcPr>
            <w:tcW w:w="6795" w:type="dxa"/>
            <w:vAlign w:val="center"/>
          </w:tcPr>
          <w:p w14:paraId="750393DE">
            <w:pPr>
              <w:widowControl w:val="0"/>
              <w:spacing w:line="360" w:lineRule="auto"/>
              <w:jc w:val="center"/>
              <w:rPr>
                <w:rFonts w:hint="eastAsia" w:ascii="宋体" w:hAnsi="宋体" w:eastAsia="宋体"/>
                <w:b/>
                <w:bCs/>
                <w:kern w:val="2"/>
                <w:sz w:val="21"/>
                <w:szCs w:val="22"/>
                <w:lang w:eastAsia="zh-CN"/>
              </w:rPr>
            </w:pPr>
            <w:r>
              <w:rPr>
                <w:rFonts w:hint="eastAsia" w:ascii="宋体" w:hAnsi="宋体" w:eastAsia="宋体" w:cstheme="minorBidi"/>
                <w:b/>
                <w:bCs/>
                <w:kern w:val="2"/>
                <w:sz w:val="21"/>
                <w:szCs w:val="22"/>
                <w:lang w:eastAsia="zh-CN"/>
              </w:rPr>
              <w:t xml:space="preserve">具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体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补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充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 xml:space="preserve">内 </w:t>
            </w:r>
            <w:r>
              <w:rPr>
                <w:rFonts w:ascii="宋体" w:hAnsi="宋体" w:eastAsia="宋体" w:cstheme="minorBidi"/>
                <w:b/>
                <w:bCs/>
                <w:kern w:val="2"/>
                <w:sz w:val="21"/>
                <w:szCs w:val="22"/>
                <w:lang w:eastAsia="zh-CN"/>
              </w:rPr>
              <w:t xml:space="preserve"> </w:t>
            </w:r>
            <w:r>
              <w:rPr>
                <w:rFonts w:hint="eastAsia" w:ascii="宋体" w:hAnsi="宋体" w:eastAsia="宋体" w:cstheme="minorBidi"/>
                <w:b/>
                <w:bCs/>
                <w:kern w:val="2"/>
                <w:sz w:val="21"/>
                <w:szCs w:val="22"/>
                <w:lang w:eastAsia="zh-CN"/>
              </w:rPr>
              <w:t>容</w:t>
            </w:r>
          </w:p>
        </w:tc>
      </w:tr>
      <w:tr w14:paraId="2C3A41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A0A4B4F">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.1</w:t>
            </w:r>
          </w:p>
        </w:tc>
        <w:tc>
          <w:tcPr>
            <w:tcW w:w="1755" w:type="dxa"/>
            <w:vAlign w:val="center"/>
          </w:tcPr>
          <w:p w14:paraId="13DE8247">
            <w:pPr>
              <w:widowControl w:val="0"/>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采购人</w:t>
            </w:r>
          </w:p>
        </w:tc>
        <w:tc>
          <w:tcPr>
            <w:tcW w:w="6795" w:type="dxa"/>
            <w:vAlign w:val="center"/>
          </w:tcPr>
          <w:p w14:paraId="2CD17167">
            <w:pPr>
              <w:widowControl w:val="0"/>
              <w:spacing w:line="360" w:lineRule="auto"/>
              <w:jc w:val="left"/>
              <w:rPr>
                <w:rFonts w:hint="eastAsia" w:ascii="宋体" w:hAnsi="宋体" w:eastAsia="宋体"/>
                <w:kern w:val="2"/>
                <w:sz w:val="21"/>
                <w:szCs w:val="22"/>
                <w:lang w:eastAsia="zh-CN"/>
              </w:rPr>
            </w:pPr>
            <w:r>
              <w:rPr>
                <w:rFonts w:hint="eastAsia" w:ascii="宋体" w:hAnsi="宋体" w:eastAsia="宋体"/>
                <w:kern w:val="2"/>
                <w:sz w:val="21"/>
                <w:szCs w:val="22"/>
                <w:lang w:eastAsia="zh-CN"/>
              </w:rPr>
              <w:t>深圳市观澜第二中学教育集团</w:t>
            </w:r>
          </w:p>
        </w:tc>
      </w:tr>
      <w:tr w14:paraId="1F7653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07BAFB9">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.2</w:t>
            </w:r>
          </w:p>
        </w:tc>
        <w:tc>
          <w:tcPr>
            <w:tcW w:w="1755" w:type="dxa"/>
            <w:vAlign w:val="center"/>
          </w:tcPr>
          <w:p w14:paraId="575897C6">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采购代理机构</w:t>
            </w:r>
          </w:p>
        </w:tc>
        <w:tc>
          <w:tcPr>
            <w:tcW w:w="6795" w:type="dxa"/>
            <w:vAlign w:val="center"/>
          </w:tcPr>
          <w:p w14:paraId="27E0B8E5">
            <w:pPr>
              <w:widowControl w:val="0"/>
              <w:spacing w:line="360" w:lineRule="auto"/>
              <w:jc w:val="left"/>
              <w:rPr>
                <w:rFonts w:hint="eastAsia" w:ascii="宋体" w:hAnsi="宋体" w:eastAsia="宋体"/>
                <w:kern w:val="2"/>
                <w:sz w:val="21"/>
                <w:szCs w:val="22"/>
                <w:lang w:eastAsia="zh-CN"/>
              </w:rPr>
            </w:pPr>
            <w:r>
              <w:rPr>
                <w:rFonts w:hint="eastAsia" w:ascii="宋体" w:hAnsi="宋体" w:eastAsia="宋体" w:cs="Arial"/>
                <w:kern w:val="2"/>
                <w:sz w:val="21"/>
                <w:szCs w:val="21"/>
                <w:lang w:eastAsia="zh-CN"/>
              </w:rPr>
              <w:t>本文件所述的“采购代理机构”</w:t>
            </w:r>
            <w:r>
              <w:rPr>
                <w:rFonts w:ascii="宋体" w:hAnsi="宋体" w:eastAsia="宋体" w:cs="Arial"/>
                <w:kern w:val="2"/>
                <w:sz w:val="21"/>
                <w:szCs w:val="21"/>
                <w:lang w:eastAsia="zh-CN"/>
              </w:rPr>
              <w:t>指</w:t>
            </w:r>
            <w:r>
              <w:rPr>
                <w:rFonts w:hint="eastAsia" w:ascii="宋体" w:hAnsi="宋体" w:eastAsia="宋体" w:cs="Arial"/>
                <w:b/>
                <w:bCs/>
                <w:kern w:val="2"/>
                <w:sz w:val="21"/>
                <w:szCs w:val="21"/>
                <w:lang w:eastAsia="zh-CN"/>
              </w:rPr>
              <w:t>深圳市拓泰实业有限公司</w:t>
            </w:r>
            <w:r>
              <w:rPr>
                <w:rFonts w:hint="eastAsia" w:ascii="Arial" w:hAnsi="Arial" w:eastAsia="宋体"/>
                <w:kern w:val="2"/>
                <w:sz w:val="21"/>
                <w:lang w:eastAsia="zh-CN"/>
              </w:rPr>
              <w:t>。本项目具体由深圳市拓泰实业有限公司执行</w:t>
            </w:r>
            <w:r>
              <w:rPr>
                <w:rFonts w:hint="eastAsia" w:ascii="Arial" w:hAnsi="Arial" w:eastAsia="宋体"/>
                <w:bCs/>
                <w:kern w:val="2"/>
                <w:sz w:val="21"/>
                <w:lang w:eastAsia="zh-CN"/>
              </w:rPr>
              <w:t>。</w:t>
            </w:r>
          </w:p>
        </w:tc>
      </w:tr>
      <w:tr w14:paraId="4C2341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6EC5E8D">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5</w:t>
            </w:r>
            <w:r>
              <w:rPr>
                <w:rFonts w:ascii="宋体" w:hAnsi="宋体" w:eastAsia="宋体" w:cstheme="minorBidi"/>
                <w:kern w:val="2"/>
                <w:sz w:val="21"/>
                <w:szCs w:val="22"/>
                <w:lang w:eastAsia="zh-CN"/>
              </w:rPr>
              <w:t>.3</w:t>
            </w:r>
          </w:p>
        </w:tc>
        <w:tc>
          <w:tcPr>
            <w:tcW w:w="1755" w:type="dxa"/>
            <w:vAlign w:val="center"/>
          </w:tcPr>
          <w:p w14:paraId="58EBAC2D">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联合体投标</w:t>
            </w:r>
          </w:p>
        </w:tc>
        <w:tc>
          <w:tcPr>
            <w:tcW w:w="6795" w:type="dxa"/>
            <w:vAlign w:val="center"/>
          </w:tcPr>
          <w:p w14:paraId="05A1356D">
            <w:pPr>
              <w:widowControl w:val="0"/>
              <w:spacing w:line="360" w:lineRule="auto"/>
              <w:jc w:val="left"/>
              <w:rPr>
                <w:rFonts w:ascii="Arial" w:hAnsi="Arial" w:eastAsia="宋体"/>
                <w:kern w:val="2"/>
                <w:sz w:val="21"/>
                <w:lang w:eastAsia="zh-CN"/>
              </w:rPr>
            </w:pPr>
            <w:r>
              <w:rPr>
                <w:rFonts w:hint="eastAsia" w:ascii="Arial" w:hAnsi="Arial" w:eastAsia="宋体"/>
                <w:kern w:val="2"/>
                <w:sz w:val="21"/>
                <w:lang w:eastAsia="zh-CN"/>
              </w:rPr>
              <w:t>不接受</w:t>
            </w:r>
          </w:p>
        </w:tc>
      </w:tr>
      <w:tr w14:paraId="2E9179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664D85D">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9</w:t>
            </w:r>
          </w:p>
        </w:tc>
        <w:tc>
          <w:tcPr>
            <w:tcW w:w="1755" w:type="dxa"/>
            <w:vAlign w:val="center"/>
          </w:tcPr>
          <w:p w14:paraId="43068064">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踏勘现场</w:t>
            </w:r>
          </w:p>
        </w:tc>
        <w:tc>
          <w:tcPr>
            <w:tcW w:w="6795" w:type="dxa"/>
            <w:vAlign w:val="center"/>
          </w:tcPr>
          <w:p w14:paraId="4DE16D08">
            <w:pPr>
              <w:widowControl w:val="0"/>
              <w:spacing w:line="360" w:lineRule="auto"/>
              <w:jc w:val="left"/>
              <w:rPr>
                <w:rFonts w:ascii="Arial" w:hAnsi="Arial" w:eastAsia="宋体"/>
                <w:kern w:val="2"/>
                <w:sz w:val="21"/>
                <w:lang w:eastAsia="zh-CN"/>
              </w:rPr>
            </w:pPr>
            <w:r>
              <w:rPr>
                <w:rFonts w:hint="eastAsia" w:ascii="Arial" w:hAnsi="Arial" w:eastAsia="宋体"/>
                <w:kern w:val="2"/>
                <w:sz w:val="21"/>
                <w:lang w:val="en-US" w:eastAsia="zh-CN"/>
              </w:rPr>
              <w:t>不</w:t>
            </w:r>
            <w:r>
              <w:rPr>
                <w:rFonts w:hint="eastAsia" w:ascii="Arial" w:hAnsi="Arial" w:eastAsia="宋体"/>
                <w:kern w:val="2"/>
                <w:sz w:val="21"/>
                <w:lang w:eastAsia="zh-CN"/>
              </w:rPr>
              <w:t>组织</w:t>
            </w:r>
          </w:p>
        </w:tc>
      </w:tr>
      <w:tr w14:paraId="0156E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3167F63">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0</w:t>
            </w:r>
          </w:p>
        </w:tc>
        <w:tc>
          <w:tcPr>
            <w:tcW w:w="1755" w:type="dxa"/>
            <w:vAlign w:val="center"/>
          </w:tcPr>
          <w:p w14:paraId="568E4291">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标前会议</w:t>
            </w:r>
          </w:p>
        </w:tc>
        <w:tc>
          <w:tcPr>
            <w:tcW w:w="6795" w:type="dxa"/>
            <w:vAlign w:val="center"/>
          </w:tcPr>
          <w:p w14:paraId="74880496">
            <w:pPr>
              <w:widowControl w:val="0"/>
              <w:spacing w:line="360" w:lineRule="auto"/>
              <w:jc w:val="left"/>
              <w:rPr>
                <w:rFonts w:ascii="Arial" w:hAnsi="Arial" w:eastAsia="宋体"/>
                <w:kern w:val="2"/>
                <w:sz w:val="21"/>
                <w:lang w:eastAsia="zh-CN"/>
              </w:rPr>
            </w:pPr>
            <w:r>
              <w:rPr>
                <w:rFonts w:hint="eastAsia" w:ascii="Arial" w:hAnsi="Arial" w:eastAsia="宋体"/>
                <w:kern w:val="2"/>
                <w:sz w:val="21"/>
                <w:lang w:eastAsia="zh-CN"/>
              </w:rPr>
              <w:t>不组织</w:t>
            </w:r>
          </w:p>
        </w:tc>
      </w:tr>
      <w:tr w14:paraId="7C0D2B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05BAED1">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3</w:t>
            </w:r>
          </w:p>
        </w:tc>
        <w:tc>
          <w:tcPr>
            <w:tcW w:w="1755" w:type="dxa"/>
            <w:vAlign w:val="center"/>
          </w:tcPr>
          <w:p w14:paraId="04CF554B">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招标文件的澄清和修改</w:t>
            </w:r>
          </w:p>
        </w:tc>
        <w:tc>
          <w:tcPr>
            <w:tcW w:w="6795" w:type="dxa"/>
            <w:vAlign w:val="center"/>
          </w:tcPr>
          <w:p w14:paraId="685CC682">
            <w:pPr>
              <w:widowControl w:val="0"/>
              <w:spacing w:line="360" w:lineRule="auto"/>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不晚于投标截止日三日前，投标人有义务在招标期间在采购代理机构网站浏览与本项目有关的澄清和修改信息。</w:t>
            </w:r>
          </w:p>
        </w:tc>
      </w:tr>
      <w:tr w14:paraId="70806C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D1DAA7D">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0</w:t>
            </w:r>
          </w:p>
        </w:tc>
        <w:tc>
          <w:tcPr>
            <w:tcW w:w="1755" w:type="dxa"/>
            <w:vAlign w:val="center"/>
          </w:tcPr>
          <w:p w14:paraId="08929405">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投标有效期</w:t>
            </w:r>
          </w:p>
        </w:tc>
        <w:tc>
          <w:tcPr>
            <w:tcW w:w="6795" w:type="dxa"/>
            <w:vAlign w:val="center"/>
          </w:tcPr>
          <w:p w14:paraId="08E6AB4A">
            <w:pPr>
              <w:widowControl w:val="0"/>
              <w:spacing w:line="360" w:lineRule="auto"/>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120日历天（从投标截止之日算起）</w:t>
            </w:r>
          </w:p>
        </w:tc>
      </w:tr>
      <w:tr w14:paraId="344BFE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33157B0">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2</w:t>
            </w:r>
          </w:p>
        </w:tc>
        <w:tc>
          <w:tcPr>
            <w:tcW w:w="1755" w:type="dxa"/>
            <w:vAlign w:val="center"/>
          </w:tcPr>
          <w:p w14:paraId="7BA4D39F">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投标人的替代方案</w:t>
            </w:r>
          </w:p>
        </w:tc>
        <w:tc>
          <w:tcPr>
            <w:tcW w:w="6795" w:type="dxa"/>
            <w:vAlign w:val="center"/>
          </w:tcPr>
          <w:p w14:paraId="555ABEAF">
            <w:pPr>
              <w:widowControl w:val="0"/>
              <w:spacing w:line="360" w:lineRule="auto"/>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不接受</w:t>
            </w:r>
          </w:p>
        </w:tc>
      </w:tr>
      <w:tr w14:paraId="5585AA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BDB09B0">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5</w:t>
            </w:r>
          </w:p>
        </w:tc>
        <w:tc>
          <w:tcPr>
            <w:tcW w:w="1755" w:type="dxa"/>
            <w:vAlign w:val="center"/>
          </w:tcPr>
          <w:p w14:paraId="61922264">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投标文件的大小</w:t>
            </w:r>
          </w:p>
        </w:tc>
        <w:tc>
          <w:tcPr>
            <w:tcW w:w="6795" w:type="dxa"/>
            <w:vAlign w:val="center"/>
          </w:tcPr>
          <w:p w14:paraId="1FF004FB">
            <w:pPr>
              <w:widowControl w:val="0"/>
              <w:spacing w:line="360" w:lineRule="auto"/>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投标文件大小不得超过100MB</w:t>
            </w:r>
          </w:p>
        </w:tc>
      </w:tr>
      <w:tr w14:paraId="016CCC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6250C82">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6</w:t>
            </w:r>
          </w:p>
        </w:tc>
        <w:tc>
          <w:tcPr>
            <w:tcW w:w="1755" w:type="dxa"/>
            <w:vAlign w:val="center"/>
          </w:tcPr>
          <w:p w14:paraId="7F5D726B">
            <w:pPr>
              <w:widowControl w:val="0"/>
              <w:spacing w:line="360" w:lineRule="auto"/>
              <w:jc w:val="center"/>
              <w:rPr>
                <w:rFonts w:hint="eastAsia" w:ascii="宋体" w:hAnsi="宋体" w:eastAsia="宋体"/>
                <w:kern w:val="2"/>
                <w:sz w:val="21"/>
                <w:szCs w:val="22"/>
                <w:lang w:eastAsia="zh-CN"/>
              </w:rPr>
            </w:pPr>
            <w:bookmarkStart w:id="10" w:name="_Hlk71664860"/>
            <w:r>
              <w:rPr>
                <w:rFonts w:hint="eastAsia" w:ascii="宋体" w:hAnsi="宋体" w:eastAsia="宋体" w:cstheme="minorBidi"/>
                <w:kern w:val="2"/>
                <w:sz w:val="21"/>
                <w:szCs w:val="22"/>
                <w:lang w:eastAsia="zh-CN"/>
              </w:rPr>
              <w:t>样品、现场演示、方案讲解</w:t>
            </w:r>
            <w:bookmarkEnd w:id="10"/>
          </w:p>
        </w:tc>
        <w:tc>
          <w:tcPr>
            <w:tcW w:w="6795" w:type="dxa"/>
            <w:vAlign w:val="center"/>
          </w:tcPr>
          <w:p w14:paraId="00E9D76B">
            <w:pPr>
              <w:widowControl w:val="0"/>
              <w:spacing w:line="360" w:lineRule="auto"/>
              <w:jc w:val="left"/>
              <w:rPr>
                <w:rFonts w:hint="eastAsia" w:ascii="宋体" w:hAnsi="宋体" w:eastAsia="宋体"/>
                <w:kern w:val="2"/>
                <w:sz w:val="21"/>
                <w:szCs w:val="22"/>
                <w:lang w:eastAsia="zh-CN"/>
              </w:rPr>
            </w:pPr>
            <w:r>
              <w:rPr>
                <w:rFonts w:hint="eastAsia" w:ascii="宋体" w:hAnsi="宋体" w:eastAsia="宋体" w:cs="宋体"/>
                <w:kern w:val="2"/>
                <w:sz w:val="21"/>
                <w:szCs w:val="22"/>
                <w:lang w:eastAsia="zh-CN"/>
              </w:rPr>
              <w:t>现场演示讲解要求，具体安排见其他关键信息章节</w:t>
            </w:r>
          </w:p>
        </w:tc>
      </w:tr>
      <w:tr w14:paraId="4353DB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BDB0948">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7</w:t>
            </w:r>
          </w:p>
        </w:tc>
        <w:tc>
          <w:tcPr>
            <w:tcW w:w="1755" w:type="dxa"/>
            <w:vAlign w:val="center"/>
          </w:tcPr>
          <w:p w14:paraId="4E26C9EC">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评审方法</w:t>
            </w:r>
          </w:p>
        </w:tc>
        <w:tc>
          <w:tcPr>
            <w:tcW w:w="6795" w:type="dxa"/>
            <w:vAlign w:val="center"/>
          </w:tcPr>
          <w:p w14:paraId="2BA33A1A">
            <w:pPr>
              <w:widowControl w:val="0"/>
              <w:spacing w:line="360" w:lineRule="auto"/>
              <w:jc w:val="left"/>
              <w:rPr>
                <w:rFonts w:hint="eastAsia" w:ascii="宋体" w:hAnsi="宋体" w:eastAsia="宋体"/>
                <w:kern w:val="2"/>
                <w:sz w:val="21"/>
                <w:szCs w:val="22"/>
                <w:lang w:eastAsia="zh-CN"/>
              </w:rPr>
            </w:pPr>
            <w:r>
              <w:rPr>
                <w:rFonts w:ascii="宋体" w:hAnsi="宋体" w:eastAsia="宋体" w:cstheme="minorBidi"/>
                <w:b/>
                <w:bCs/>
                <w:kern w:val="2"/>
                <w:sz w:val="21"/>
                <w:szCs w:val="22"/>
                <w:lang w:eastAsia="zh-CN"/>
              </w:rPr>
              <w:t>综合评分法</w:t>
            </w:r>
          </w:p>
        </w:tc>
      </w:tr>
      <w:tr w14:paraId="52F33D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BF8BA0B">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8</w:t>
            </w:r>
          </w:p>
        </w:tc>
        <w:tc>
          <w:tcPr>
            <w:tcW w:w="1755" w:type="dxa"/>
            <w:vAlign w:val="center"/>
          </w:tcPr>
          <w:p w14:paraId="3D600553">
            <w:pPr>
              <w:widowControl w:val="0"/>
              <w:spacing w:line="360" w:lineRule="auto"/>
              <w:jc w:val="center"/>
              <w:rPr>
                <w:rFonts w:hint="eastAsia" w:ascii="宋体" w:hAnsi="宋体" w:eastAsia="宋体"/>
                <w:kern w:val="2"/>
                <w:sz w:val="21"/>
                <w:szCs w:val="22"/>
                <w:highlight w:val="none"/>
                <w:lang w:eastAsia="zh-CN"/>
              </w:rPr>
            </w:pPr>
            <w:r>
              <w:rPr>
                <w:rFonts w:hint="eastAsia" w:ascii="宋体" w:hAnsi="宋体" w:eastAsia="宋体" w:cstheme="minorBidi"/>
                <w:kern w:val="2"/>
                <w:sz w:val="21"/>
                <w:szCs w:val="22"/>
                <w:highlight w:val="none"/>
                <w:lang w:eastAsia="zh-CN"/>
              </w:rPr>
              <w:t>定标方法</w:t>
            </w:r>
          </w:p>
        </w:tc>
        <w:tc>
          <w:tcPr>
            <w:tcW w:w="6795" w:type="dxa"/>
            <w:vAlign w:val="center"/>
          </w:tcPr>
          <w:p w14:paraId="3FB94CD8">
            <w:pPr>
              <w:widowControl w:val="0"/>
              <w:spacing w:line="360" w:lineRule="auto"/>
              <w:jc w:val="left"/>
              <w:rPr>
                <w:rFonts w:hint="eastAsia" w:ascii="宋体" w:hAnsi="宋体" w:eastAsia="宋体"/>
                <w:b/>
                <w:bCs/>
                <w:kern w:val="2"/>
                <w:sz w:val="21"/>
                <w:szCs w:val="22"/>
                <w:highlight w:val="none"/>
                <w:lang w:eastAsia="zh-CN"/>
              </w:rPr>
            </w:pPr>
            <w:r>
              <w:rPr>
                <w:rFonts w:hint="eastAsia" w:ascii="宋体" w:hAnsi="宋体" w:eastAsia="宋体"/>
                <w:b/>
                <w:bCs/>
                <w:kern w:val="2"/>
                <w:sz w:val="21"/>
                <w:szCs w:val="21"/>
                <w:highlight w:val="none"/>
                <w:lang w:eastAsia="zh-CN"/>
              </w:rPr>
              <w:t>非评定分离</w:t>
            </w:r>
          </w:p>
        </w:tc>
      </w:tr>
      <w:tr w14:paraId="4BB19E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AD5EA14">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4</w:t>
            </w:r>
            <w:r>
              <w:rPr>
                <w:rFonts w:ascii="宋体" w:hAnsi="宋体" w:eastAsia="宋体" w:cstheme="minorBidi"/>
                <w:kern w:val="2"/>
                <w:sz w:val="21"/>
                <w:szCs w:val="22"/>
                <w:lang w:eastAsia="zh-CN"/>
              </w:rPr>
              <w:t>6</w:t>
            </w:r>
          </w:p>
        </w:tc>
        <w:tc>
          <w:tcPr>
            <w:tcW w:w="1755" w:type="dxa"/>
            <w:vAlign w:val="center"/>
          </w:tcPr>
          <w:p w14:paraId="72561DE6">
            <w:pPr>
              <w:widowControl w:val="0"/>
              <w:spacing w:line="360" w:lineRule="auto"/>
              <w:jc w:val="center"/>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履约担保</w:t>
            </w:r>
          </w:p>
        </w:tc>
        <w:tc>
          <w:tcPr>
            <w:tcW w:w="6795" w:type="dxa"/>
            <w:vAlign w:val="center"/>
          </w:tcPr>
          <w:p w14:paraId="72A6D9C5">
            <w:pPr>
              <w:widowControl w:val="0"/>
              <w:spacing w:line="360" w:lineRule="auto"/>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不需要</w:t>
            </w:r>
          </w:p>
        </w:tc>
      </w:tr>
      <w:bookmarkEnd w:id="2"/>
      <w:bookmarkEnd w:id="3"/>
      <w:bookmarkEnd w:id="4"/>
      <w:bookmarkEnd w:id="5"/>
      <w:bookmarkEnd w:id="6"/>
      <w:bookmarkEnd w:id="7"/>
      <w:bookmarkEnd w:id="8"/>
      <w:bookmarkEnd w:id="9"/>
    </w:tbl>
    <w:p w14:paraId="7523D62D">
      <w:pPr>
        <w:widowControl/>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备注：本表是通用条款相关条款的补充和明确，如与通用条款内容相冲突的，以本表为准。</w:t>
      </w:r>
    </w:p>
    <w:p w14:paraId="285C170A">
      <w:pPr>
        <w:keepNext/>
        <w:keepLines/>
        <w:widowControl w:val="0"/>
        <w:adjustRightInd w:val="0"/>
        <w:spacing w:before="156" w:beforeLines="50" w:after="156" w:afterLines="50"/>
        <w:jc w:val="center"/>
        <w:textAlignment w:val="baseline"/>
        <w:outlineLvl w:val="2"/>
        <w:rPr>
          <w:rFonts w:hint="eastAsia" w:ascii="宋体" w:hAnsi="宋体" w:eastAsia="宋体"/>
          <w:b/>
          <w:bCs/>
          <w:lang w:eastAsia="zh-CN"/>
        </w:rPr>
      </w:pPr>
      <w:r>
        <w:rPr>
          <w:rFonts w:hint="eastAsia" w:ascii="宋体" w:hAnsi="宋体" w:eastAsia="宋体"/>
          <w:b/>
          <w:bCs/>
          <w:lang w:eastAsia="zh-CN"/>
        </w:rPr>
        <w:t>二、其他关键信息</w:t>
      </w:r>
    </w:p>
    <w:p w14:paraId="19E29AA6">
      <w:pPr>
        <w:widowControl w:val="0"/>
        <w:tabs>
          <w:tab w:val="left" w:pos="720"/>
        </w:tabs>
        <w:spacing w:line="360" w:lineRule="auto"/>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（一）</w:t>
      </w:r>
      <w:r>
        <w:rPr>
          <w:rFonts w:hint="eastAsia" w:ascii="黑体" w:hAnsi="宋体" w:eastAsia="黑体" w:cstheme="minorBidi"/>
          <w:bCs/>
          <w:kern w:val="2"/>
          <w:szCs w:val="22"/>
          <w:lang w:eastAsia="zh-CN"/>
        </w:rPr>
        <w:t>与“对通用条款的补充内容”章节相关的事项</w:t>
      </w:r>
    </w:p>
    <w:p w14:paraId="268D8080">
      <w:pPr>
        <w:widowControl w:val="0"/>
        <w:tabs>
          <w:tab w:val="left" w:pos="720"/>
        </w:tabs>
        <w:spacing w:line="360" w:lineRule="auto"/>
        <w:jc w:val="both"/>
        <w:rPr>
          <w:rFonts w:hint="eastAsia" w:ascii="黑体" w:hAnsi="宋体" w:eastAsia="黑体"/>
          <w:bCs/>
          <w:kern w:val="2"/>
          <w:szCs w:val="22"/>
          <w:lang w:eastAsia="zh-CN"/>
        </w:rPr>
      </w:pPr>
      <w:r>
        <w:rPr>
          <w:rFonts w:hint="eastAsia" w:ascii="黑体" w:hAnsi="宋体" w:eastAsia="黑体" w:cstheme="minorBidi"/>
          <w:bCs/>
          <w:kern w:val="2"/>
          <w:szCs w:val="22"/>
          <w:lang w:eastAsia="zh-CN"/>
        </w:rPr>
        <w:t>1、评标定标信息</w:t>
      </w:r>
    </w:p>
    <w:p w14:paraId="5781D182">
      <w:pPr>
        <w:widowControl w:val="0"/>
        <w:jc w:val="center"/>
        <w:rPr>
          <w:rFonts w:ascii="Calibri" w:hAnsi="Calibri" w:eastAsia="宋体"/>
          <w:kern w:val="2"/>
          <w:sz w:val="21"/>
          <w:szCs w:val="22"/>
          <w:lang w:eastAsia="zh-CN"/>
        </w:rPr>
      </w:pPr>
      <w:r>
        <w:rPr>
          <w:rFonts w:hint="eastAsia" w:ascii="Calibri" w:hAnsi="Calibri" w:eastAsia="宋体" w:cstheme="minorBidi"/>
          <w:b/>
          <w:kern w:val="2"/>
          <w:sz w:val="21"/>
          <w:szCs w:val="22"/>
          <w:lang w:eastAsia="zh-CN"/>
        </w:rPr>
        <w:t>非评定分离项目</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3"/>
        <w:gridCol w:w="3359"/>
        <w:gridCol w:w="2544"/>
      </w:tblGrid>
      <w:tr w14:paraId="66B4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4" w:type="dxa"/>
          </w:tcPr>
          <w:p w14:paraId="303A8524">
            <w:pPr>
              <w:widowControl w:val="0"/>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评标方法</w:t>
            </w:r>
          </w:p>
        </w:tc>
        <w:tc>
          <w:tcPr>
            <w:tcW w:w="3235" w:type="dxa"/>
          </w:tcPr>
          <w:p w14:paraId="76FE712F">
            <w:pPr>
              <w:widowControl w:val="0"/>
              <w:spacing w:line="360" w:lineRule="auto"/>
              <w:jc w:val="center"/>
              <w:rPr>
                <w:rFonts w:ascii="Calibri" w:hAnsi="Calibri" w:eastAsia="宋体"/>
                <w:kern w:val="2"/>
                <w:sz w:val="21"/>
                <w:szCs w:val="22"/>
                <w:lang w:eastAsia="zh-CN"/>
              </w:rPr>
            </w:pPr>
            <w:r>
              <w:rPr>
                <w:rFonts w:ascii="Wingdings" w:hAnsi="Wingdings" w:eastAsia="宋体" w:cstheme="minorBidi"/>
                <w:kern w:val="2"/>
                <w:sz w:val="21"/>
                <w:szCs w:val="22"/>
                <w:lang w:eastAsia="zh-CN"/>
              </w:rPr>
              <w:sym w:font="Wingdings" w:char="F0FE"/>
            </w:r>
            <w:r>
              <w:rPr>
                <w:rFonts w:hint="eastAsia" w:ascii="Calibri" w:hAnsi="Calibri" w:eastAsia="宋体" w:cstheme="minorBidi"/>
                <w:kern w:val="2"/>
                <w:sz w:val="21"/>
                <w:szCs w:val="22"/>
                <w:lang w:eastAsia="zh-CN"/>
              </w:rPr>
              <w:t>综合评分法</w:t>
            </w:r>
          </w:p>
        </w:tc>
        <w:tc>
          <w:tcPr>
            <w:tcW w:w="2450" w:type="dxa"/>
          </w:tcPr>
          <w:p w14:paraId="6E9571C4">
            <w:pPr>
              <w:widowControl w:val="0"/>
              <w:spacing w:line="360" w:lineRule="auto"/>
              <w:jc w:val="center"/>
              <w:rPr>
                <w:rFonts w:ascii="Calibri" w:hAnsi="Calibri" w:eastAsia="宋体"/>
                <w:kern w:val="2"/>
                <w:sz w:val="21"/>
                <w:szCs w:val="22"/>
                <w:lang w:eastAsia="zh-CN"/>
              </w:rPr>
            </w:pPr>
            <w:r>
              <w:rPr>
                <w:rFonts w:ascii="Wingdings" w:hAnsi="Wingdings" w:eastAsia="宋体" w:cstheme="minorBidi"/>
                <w:kern w:val="2"/>
                <w:sz w:val="21"/>
                <w:szCs w:val="22"/>
                <w:lang w:eastAsia="zh-CN"/>
              </w:rPr>
              <w:sym w:font="Wingdings" w:char="F0A8"/>
            </w:r>
            <w:r>
              <w:rPr>
                <w:rFonts w:hint="eastAsia" w:hAnsi="Calibri" w:eastAsia="宋体" w:cstheme="minorBidi"/>
                <w:kern w:val="2"/>
                <w:sz w:val="21"/>
                <w:szCs w:val="22"/>
                <w:lang w:eastAsia="zh-CN"/>
              </w:rPr>
              <w:t>最低价法</w:t>
            </w:r>
          </w:p>
        </w:tc>
      </w:tr>
      <w:tr w14:paraId="0D25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39E85566">
            <w:pPr>
              <w:widowControl w:val="0"/>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候选中标供应商家数</w:t>
            </w:r>
          </w:p>
        </w:tc>
        <w:tc>
          <w:tcPr>
            <w:tcW w:w="3235" w:type="dxa"/>
          </w:tcPr>
          <w:p w14:paraId="66F595A6">
            <w:pPr>
              <w:widowControl w:val="0"/>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w:t>
            </w:r>
          </w:p>
        </w:tc>
        <w:tc>
          <w:tcPr>
            <w:tcW w:w="2450" w:type="dxa"/>
          </w:tcPr>
          <w:p w14:paraId="045062DF">
            <w:pPr>
              <w:widowControl w:val="0"/>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w:t>
            </w:r>
          </w:p>
        </w:tc>
      </w:tr>
      <w:tr w14:paraId="584C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21E9A601">
            <w:pPr>
              <w:widowControl w:val="0"/>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中标供应商家数</w:t>
            </w:r>
          </w:p>
        </w:tc>
        <w:tc>
          <w:tcPr>
            <w:tcW w:w="3235" w:type="dxa"/>
          </w:tcPr>
          <w:p w14:paraId="7C571955">
            <w:pPr>
              <w:widowControl w:val="0"/>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2450" w:type="dxa"/>
          </w:tcPr>
          <w:p w14:paraId="59AB74EF">
            <w:pPr>
              <w:widowControl w:val="0"/>
              <w:spacing w:line="360" w:lineRule="auto"/>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r>
    </w:tbl>
    <w:p w14:paraId="36741892">
      <w:pPr>
        <w:widowControl w:val="0"/>
        <w:tabs>
          <w:tab w:val="left" w:pos="720"/>
        </w:tabs>
        <w:spacing w:line="360" w:lineRule="auto"/>
        <w:jc w:val="both"/>
        <w:rPr>
          <w:rFonts w:hint="eastAsia" w:ascii="黑体" w:hAnsi="宋体" w:eastAsia="黑体"/>
          <w:kern w:val="2"/>
          <w:szCs w:val="22"/>
          <w:lang w:eastAsia="zh-CN"/>
        </w:rPr>
      </w:pPr>
    </w:p>
    <w:p w14:paraId="1481FDB9">
      <w:pPr>
        <w:widowControl w:val="0"/>
        <w:tabs>
          <w:tab w:val="left" w:pos="720"/>
        </w:tabs>
        <w:spacing w:line="360" w:lineRule="auto"/>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（二）其他事项</w:t>
      </w:r>
    </w:p>
    <w:p w14:paraId="03977591">
      <w:pPr>
        <w:widowControl w:val="0"/>
        <w:tabs>
          <w:tab w:val="left" w:pos="720"/>
        </w:tabs>
        <w:spacing w:line="360" w:lineRule="auto"/>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1、关于享受优惠政策的主体、价格扣除比例及采购标的所属行业</w:t>
      </w:r>
    </w:p>
    <w:p w14:paraId="3ECEC340">
      <w:pPr>
        <w:widowControl w:val="0"/>
        <w:spacing w:line="360" w:lineRule="auto"/>
        <w:ind w:firstLine="411" w:firstLineChars="196"/>
        <w:jc w:val="both"/>
        <w:rPr>
          <w:rFonts w:hint="eastAsia" w:ascii="宋体" w:hAnsi="宋体" w:eastAsia="宋体"/>
          <w:b w:val="0"/>
          <w:bCs w:val="0"/>
          <w:kern w:val="2"/>
          <w:sz w:val="21"/>
          <w:szCs w:val="22"/>
          <w:lang w:eastAsia="zh-CN"/>
        </w:rPr>
      </w:pPr>
      <w:r>
        <w:rPr>
          <w:rFonts w:hint="eastAsia" w:ascii="宋体" w:hAnsi="宋体" w:eastAsia="宋体" w:cstheme="minorBidi"/>
          <w:b w:val="0"/>
          <w:bCs w:val="0"/>
          <w:kern w:val="2"/>
          <w:sz w:val="21"/>
          <w:szCs w:val="22"/>
          <w:lang w:eastAsia="zh-CN"/>
        </w:rPr>
        <w:t>（1）</w:t>
      </w:r>
      <w:r>
        <w:rPr>
          <w:rFonts w:hint="eastAsia" w:ascii="Calibri" w:hAnsi="Calibri" w:eastAsia="宋体" w:cstheme="minorBidi"/>
          <w:b w:val="0"/>
          <w:bCs w:val="0"/>
          <w:kern w:val="2"/>
          <w:sz w:val="21"/>
          <w:szCs w:val="22"/>
          <w:lang w:eastAsia="zh-CN"/>
        </w:rPr>
        <w:t>专门面向中小企业采购的项目（包括联合体或分包预留中小企业份额的项目），不再执行价格扣除比例。</w:t>
      </w:r>
    </w:p>
    <w:p w14:paraId="7035B97E">
      <w:pPr>
        <w:widowControl w:val="0"/>
        <w:spacing w:line="360" w:lineRule="auto"/>
        <w:ind w:firstLine="413" w:firstLineChars="196"/>
        <w:jc w:val="both"/>
        <w:rPr>
          <w:rFonts w:ascii="Arial" w:hAnsi="Arial" w:eastAsia="宋体"/>
          <w:b/>
          <w:bCs/>
          <w:color w:val="0000FF"/>
          <w:kern w:val="2"/>
          <w:sz w:val="21"/>
          <w:szCs w:val="21"/>
          <w:highlight w:val="yellow"/>
          <w:lang w:eastAsia="zh-CN"/>
        </w:rPr>
      </w:pPr>
      <w:r>
        <w:rPr>
          <w:rFonts w:hint="eastAsia" w:ascii="宋体" w:hAnsi="宋体" w:eastAsia="宋体" w:cstheme="minorBidi"/>
          <w:b/>
          <w:bCs/>
          <w:kern w:val="2"/>
          <w:sz w:val="21"/>
          <w:szCs w:val="22"/>
          <w:lang w:eastAsia="zh-CN"/>
        </w:rPr>
        <w:t>（2）</w:t>
      </w:r>
      <w:r>
        <w:rPr>
          <w:rFonts w:hint="eastAsia" w:ascii="Calibri" w:hAnsi="Calibri" w:eastAsia="宋体" w:cstheme="minorBidi"/>
          <w:b/>
          <w:bCs/>
          <w:kern w:val="2"/>
          <w:sz w:val="21"/>
          <w:szCs w:val="22"/>
          <w:lang w:eastAsia="zh-CN"/>
        </w:rPr>
        <w:t>非</w:t>
      </w:r>
      <w:r>
        <w:rPr>
          <w:rFonts w:hint="eastAsia" w:hAnsi="Calibri" w:eastAsia="宋体" w:cstheme="minorBidi"/>
          <w:b/>
          <w:bCs/>
          <w:kern w:val="2"/>
          <w:sz w:val="21"/>
          <w:szCs w:val="22"/>
          <w:lang w:eastAsia="zh-CN"/>
        </w:rPr>
        <w:t>专门面向中小企业采购的项目，</w:t>
      </w:r>
      <w:r>
        <w:rPr>
          <w:rFonts w:hint="eastAsia" w:ascii="Calibri" w:hAnsi="Calibri" w:eastAsia="宋体" w:cstheme="minorBidi"/>
          <w:b/>
          <w:bCs/>
          <w:kern w:val="2"/>
          <w:sz w:val="21"/>
          <w:szCs w:val="22"/>
          <w:lang w:eastAsia="zh-CN"/>
        </w:rPr>
        <w:t>应</w:t>
      </w:r>
      <w:r>
        <w:rPr>
          <w:rFonts w:hint="eastAsia" w:hAnsi="Calibri" w:eastAsia="宋体" w:cstheme="minorBidi"/>
          <w:b/>
          <w:bCs/>
          <w:kern w:val="2"/>
          <w:sz w:val="21"/>
          <w:szCs w:val="22"/>
          <w:lang w:eastAsia="zh-CN"/>
        </w:rPr>
        <w:t>执行价格扣除比例</w:t>
      </w:r>
      <w:r>
        <w:rPr>
          <w:rFonts w:hint="eastAsia" w:ascii="Calibri" w:hAnsi="Calibri" w:eastAsia="宋体" w:cstheme="minorBidi"/>
          <w:b/>
          <w:bCs/>
          <w:kern w:val="2"/>
          <w:sz w:val="21"/>
          <w:szCs w:val="22"/>
          <w:lang w:eastAsia="zh-CN"/>
        </w:rPr>
        <w:t>：</w:t>
      </w:r>
      <w:r>
        <w:rPr>
          <w:rFonts w:hint="eastAsia" w:ascii="宋体" w:hAnsi="宋体" w:eastAsia="宋体" w:cstheme="minorBidi"/>
          <w:b/>
          <w:bCs/>
          <w:kern w:val="2"/>
          <w:sz w:val="21"/>
          <w:szCs w:val="22"/>
          <w:lang w:eastAsia="zh-CN"/>
        </w:rPr>
        <w:t>投标人提供的货物（以招标文件用户需求书“货物需求明细”的“货物名称”一栏为准）全部均由优惠主体制造的，对其投标总价给予</w:t>
      </w:r>
      <w:r>
        <w:rPr>
          <w:rFonts w:hint="eastAsia" w:ascii="宋体" w:hAnsi="宋体" w:eastAsia="宋体" w:cstheme="minorBidi"/>
          <w:b/>
          <w:bCs/>
          <w:kern w:val="2"/>
          <w:sz w:val="21"/>
          <w:szCs w:val="22"/>
          <w:u w:val="single"/>
          <w:lang w:eastAsia="zh-CN"/>
        </w:rPr>
        <w:t xml:space="preserve"> 10%</w:t>
      </w:r>
      <w:r>
        <w:rPr>
          <w:rFonts w:hint="eastAsia" w:ascii="宋体" w:hAnsi="宋体" w:eastAsia="宋体"/>
          <w:b/>
          <w:bCs/>
          <w:kern w:val="2"/>
          <w:u w:val="single"/>
          <w:lang w:eastAsia="zh-CN"/>
        </w:rPr>
        <w:t xml:space="preserve">  </w:t>
      </w:r>
      <w:r>
        <w:rPr>
          <w:rFonts w:hint="eastAsia" w:ascii="宋体" w:hAnsi="宋体" w:eastAsia="宋体" w:cstheme="minorBidi"/>
          <w:b/>
          <w:bCs/>
          <w:kern w:val="2"/>
          <w:sz w:val="21"/>
          <w:szCs w:val="22"/>
          <w:lang w:eastAsia="zh-CN"/>
        </w:rPr>
        <w:t>的扣除，用扣除后的价格参与评审。满足多项优惠政策的企业，不重复享受多项价格扣除政策。</w:t>
      </w:r>
      <w:r>
        <w:rPr>
          <w:rFonts w:hint="eastAsia" w:ascii="Arial" w:hAnsi="Arial" w:eastAsia="宋体"/>
          <w:b/>
          <w:bCs/>
          <w:kern w:val="2"/>
          <w:sz w:val="21"/>
          <w:szCs w:val="21"/>
          <w:lang w:eastAsia="zh-CN"/>
        </w:rPr>
        <w:t>政策调整后价格仅作为评审依据，不作为中标价格。</w:t>
      </w:r>
    </w:p>
    <w:p w14:paraId="54A5EDBE">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备注：</w:t>
      </w:r>
      <w:r>
        <w:rPr>
          <w:rFonts w:hint="eastAsia" w:ascii="宋体" w:hAnsi="宋体" w:eastAsia="宋体" w:cs="宋体"/>
          <w:b/>
          <w:bCs/>
          <w:kern w:val="2"/>
          <w:sz w:val="21"/>
          <w:szCs w:val="21"/>
          <w:lang w:eastAsia="zh-CN"/>
        </w:rPr>
        <w:t>（a）</w:t>
      </w:r>
      <w:r>
        <w:rPr>
          <w:rFonts w:hint="eastAsia" w:ascii="宋体" w:hAnsi="宋体" w:eastAsia="宋体" w:cs="宋体"/>
          <w:kern w:val="2"/>
          <w:sz w:val="21"/>
          <w:szCs w:val="21"/>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eastAsia="宋体" w:cstheme="minorBidi"/>
          <w:kern w:val="2"/>
          <w:sz w:val="21"/>
          <w:szCs w:val="22"/>
          <w:lang w:eastAsia="zh-CN"/>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宋体" w:hAnsi="宋体" w:eastAsia="宋体" w:cs="宋体"/>
          <w:b/>
          <w:bCs/>
          <w:kern w:val="2"/>
          <w:sz w:val="21"/>
          <w:szCs w:val="21"/>
          <w:lang w:eastAsia="zh-CN"/>
        </w:rPr>
        <w:t>(b)</w:t>
      </w:r>
      <w:r>
        <w:rPr>
          <w:rFonts w:hint="eastAsia" w:ascii="宋体" w:hAnsi="宋体" w:eastAsia="宋体" w:cs="宋体"/>
          <w:kern w:val="2"/>
          <w:sz w:val="21"/>
          <w:szCs w:val="21"/>
          <w:lang w:eastAsia="zh-CN"/>
        </w:rPr>
        <w:t>优惠主体制造是指货物由优惠主体生产且使用该优惠主体商号或者注册商标；投标人提供的货物既有优惠主体制造货物，又有非优惠主体制造货物的，不给予价格扣除。</w:t>
      </w:r>
    </w:p>
    <w:p w14:paraId="30A79F1B">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bookmarkStart w:id="11" w:name="_Hlk71970739"/>
      <w:r>
        <w:rPr>
          <w:rFonts w:hint="eastAsia" w:ascii="宋体" w:hAnsi="宋体" w:eastAsia="宋体" w:cs="宋体"/>
          <w:kern w:val="2"/>
          <w:sz w:val="21"/>
          <w:szCs w:val="21"/>
          <w:lang w:eastAsia="zh-CN"/>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宋体" w:hAnsi="宋体" w:eastAsia="宋体" w:cs="宋体"/>
          <w:b/>
          <w:bCs/>
          <w:color w:val="FF0000"/>
          <w:kern w:val="2"/>
          <w:sz w:val="21"/>
          <w:szCs w:val="21"/>
          <w:lang w:eastAsia="zh-CN"/>
        </w:rPr>
        <w:t>《中小企业声明函》中相关企业所属行业应当与采购标的所属行业相一致。</w:t>
      </w:r>
      <w:r>
        <w:rPr>
          <w:rFonts w:hint="eastAsia" w:ascii="宋体" w:hAnsi="宋体" w:eastAsia="宋体" w:cs="宋体"/>
          <w:kern w:val="2"/>
          <w:sz w:val="21"/>
          <w:szCs w:val="21"/>
          <w:lang w:eastAsia="zh-CN"/>
        </w:rPr>
        <w:t>本项目</w:t>
      </w:r>
      <w:bookmarkStart w:id="12" w:name="_Hlk71924718"/>
      <w:r>
        <w:rPr>
          <w:rFonts w:hint="eastAsia" w:ascii="宋体" w:hAnsi="宋体" w:eastAsia="宋体" w:cs="宋体"/>
          <w:kern w:val="2"/>
          <w:sz w:val="21"/>
          <w:szCs w:val="21"/>
          <w:lang w:eastAsia="zh-CN"/>
        </w:rPr>
        <w:t>采购标的（货物）对应的中小企业划分标准所属行业</w:t>
      </w:r>
      <w:bookmarkEnd w:id="12"/>
      <w:r>
        <w:rPr>
          <w:rFonts w:hint="eastAsia" w:ascii="宋体" w:hAnsi="宋体" w:eastAsia="宋体" w:cs="宋体"/>
          <w:kern w:val="2"/>
          <w:sz w:val="21"/>
          <w:szCs w:val="21"/>
          <w:lang w:eastAsia="zh-CN"/>
        </w:rPr>
        <w:t>为</w:t>
      </w:r>
      <w:r>
        <w:rPr>
          <w:rFonts w:hint="eastAsia" w:ascii="宋体" w:hAnsi="宋体" w:eastAsia="宋体" w:cs="宋体"/>
          <w:color w:val="FF0000"/>
          <w:kern w:val="2"/>
          <w:sz w:val="21"/>
          <w:szCs w:val="21"/>
          <w:u w:val="single"/>
          <w:lang w:eastAsia="zh-CN"/>
        </w:rPr>
        <w:t xml:space="preserve"> </w:t>
      </w:r>
      <w:r>
        <w:rPr>
          <w:rFonts w:hint="eastAsia" w:ascii="宋体" w:hAnsi="宋体" w:eastAsia="宋体" w:cs="宋体"/>
          <w:b/>
          <w:bCs/>
          <w:color w:val="FF0000"/>
          <w:kern w:val="2"/>
          <w:highlight w:val="yellow"/>
          <w:u w:val="single"/>
          <w:lang w:eastAsia="zh-CN"/>
        </w:rPr>
        <w:t>软件和信息技术服务业</w:t>
      </w:r>
      <w:r>
        <w:rPr>
          <w:rFonts w:hint="eastAsia" w:ascii="宋体" w:hAnsi="宋体" w:eastAsia="宋体" w:cs="宋体"/>
          <w:color w:val="FF0000"/>
          <w:kern w:val="2"/>
          <w:sz w:val="21"/>
          <w:szCs w:val="21"/>
          <w:u w:val="single"/>
          <w:lang w:eastAsia="zh-CN"/>
        </w:rPr>
        <w:t xml:space="preserve"> </w:t>
      </w:r>
      <w:r>
        <w:rPr>
          <w:rFonts w:hint="eastAsia" w:ascii="宋体" w:hAnsi="宋体" w:eastAsia="宋体" w:cs="宋体"/>
          <w:kern w:val="2"/>
          <w:sz w:val="21"/>
          <w:szCs w:val="21"/>
          <w:lang w:eastAsia="zh-CN"/>
        </w:rPr>
        <w:t>。</w:t>
      </w:r>
      <w:bookmarkEnd w:id="11"/>
    </w:p>
    <w:p w14:paraId="71381180">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中小企业声明函、残疾人福利性单位声明函及监狱企业声明函”章节提供的格式）。</w:t>
      </w:r>
    </w:p>
    <w:p w14:paraId="41FACF68">
      <w:pPr>
        <w:widowControl w:val="0"/>
        <w:tabs>
          <w:tab w:val="left" w:pos="720"/>
        </w:tabs>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（5）享受价格扣除获得政府采购合同的，小微企业不得将合同分包给大中型企业。</w:t>
      </w:r>
    </w:p>
    <w:p w14:paraId="21DFE638">
      <w:pPr>
        <w:widowControl w:val="0"/>
        <w:tabs>
          <w:tab w:val="left" w:pos="720"/>
        </w:tabs>
        <w:spacing w:line="360" w:lineRule="auto"/>
        <w:ind w:firstLine="480" w:firstLineChars="200"/>
        <w:jc w:val="both"/>
        <w:rPr>
          <w:rFonts w:hint="eastAsia" w:ascii="黑体" w:hAnsi="宋体" w:eastAsia="黑体"/>
          <w:kern w:val="2"/>
          <w:szCs w:val="22"/>
          <w:lang w:eastAsia="zh-CN"/>
        </w:rPr>
      </w:pPr>
    </w:p>
    <w:p w14:paraId="30D2A58D">
      <w:pPr>
        <w:widowControl w:val="0"/>
        <w:spacing w:line="360" w:lineRule="auto"/>
        <w:jc w:val="both"/>
        <w:rPr>
          <w:rFonts w:hint="eastAsia" w:ascii="宋体" w:hAnsi="宋体" w:eastAsia="宋体" w:cs="宋体"/>
          <w:b/>
          <w:bCs/>
          <w:kern w:val="2"/>
          <w:sz w:val="21"/>
          <w:lang w:eastAsia="zh-CN"/>
        </w:rPr>
      </w:pPr>
      <w:r>
        <w:rPr>
          <w:rFonts w:hint="eastAsia" w:ascii="宋体" w:hAnsi="宋体" w:eastAsia="宋体" w:cs="宋体"/>
          <w:b/>
          <w:bCs/>
          <w:kern w:val="2"/>
          <w:sz w:val="21"/>
          <w:lang w:eastAsia="zh-CN"/>
        </w:rPr>
        <w:t>2.关于政府采购订单融资政策</w:t>
      </w:r>
    </w:p>
    <w:p w14:paraId="0EB20BB1">
      <w:pPr>
        <w:widowControl w:val="0"/>
        <w:spacing w:line="360" w:lineRule="auto"/>
        <w:ind w:firstLine="420" w:firstLineChars="200"/>
        <w:jc w:val="both"/>
        <w:rPr>
          <w:rFonts w:hint="eastAsia" w:ascii="宋体" w:hAnsi="宋体" w:eastAsia="宋体"/>
          <w:b/>
          <w:kern w:val="2"/>
          <w:sz w:val="21"/>
          <w:lang w:eastAsia="zh-CN"/>
        </w:rPr>
      </w:pPr>
      <w:r>
        <w:rPr>
          <w:rFonts w:hint="eastAsia" w:eastAsia="宋体"/>
          <w:color w:val="FF0000"/>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2B2FA9D3">
      <w:pPr>
        <w:widowControl w:val="0"/>
        <w:tabs>
          <w:tab w:val="left" w:pos="720"/>
        </w:tabs>
        <w:spacing w:line="360" w:lineRule="auto"/>
        <w:jc w:val="both"/>
        <w:rPr>
          <w:rFonts w:hint="eastAsia" w:ascii="宋体" w:hAnsi="宋体" w:eastAsia="宋体"/>
          <w:b/>
          <w:bCs/>
          <w:color w:val="FF0000"/>
          <w:kern w:val="2"/>
          <w:sz w:val="21"/>
          <w:szCs w:val="22"/>
          <w:lang w:eastAsia="zh-CN"/>
        </w:rPr>
      </w:pPr>
      <w:r>
        <w:rPr>
          <w:rFonts w:hint="eastAsia" w:ascii="宋体" w:hAnsi="宋体" w:eastAsia="宋体" w:cstheme="minorBidi"/>
          <w:b/>
          <w:bCs/>
          <w:color w:val="FF0000"/>
          <w:kern w:val="2"/>
          <w:sz w:val="21"/>
          <w:szCs w:val="22"/>
          <w:lang w:eastAsia="zh-CN"/>
        </w:rPr>
        <w:t>3、</w:t>
      </w:r>
      <w:r>
        <w:rPr>
          <w:rFonts w:ascii="宋体" w:hAnsi="宋体" w:eastAsia="宋体" w:cstheme="minorBidi"/>
          <w:b/>
          <w:bCs/>
          <w:color w:val="FF0000"/>
          <w:kern w:val="2"/>
          <w:sz w:val="21"/>
          <w:szCs w:val="22"/>
          <w:lang w:eastAsia="zh-CN"/>
        </w:rPr>
        <w:t>本项目为代理服务项目，将向中标</w:t>
      </w:r>
      <w:r>
        <w:rPr>
          <w:rFonts w:hint="eastAsia" w:ascii="宋体" w:hAnsi="宋体" w:eastAsia="宋体" w:cstheme="minorBidi"/>
          <w:b/>
          <w:bCs/>
          <w:color w:val="FF0000"/>
          <w:kern w:val="2"/>
          <w:sz w:val="21"/>
          <w:szCs w:val="22"/>
          <w:lang w:eastAsia="zh-CN"/>
        </w:rPr>
        <w:t>（成交）</w:t>
      </w:r>
      <w:r>
        <w:rPr>
          <w:rFonts w:ascii="宋体" w:hAnsi="宋体" w:eastAsia="宋体" w:cstheme="minorBidi"/>
          <w:b/>
          <w:bCs/>
          <w:color w:val="FF0000"/>
          <w:kern w:val="2"/>
          <w:sz w:val="21"/>
          <w:szCs w:val="22"/>
          <w:lang w:eastAsia="zh-CN"/>
        </w:rPr>
        <w:t>供应商收取代理服务费</w:t>
      </w:r>
      <w:r>
        <w:rPr>
          <w:rFonts w:hint="eastAsia" w:ascii="宋体" w:hAnsi="宋体" w:eastAsia="宋体" w:cstheme="minorBidi"/>
          <w:b/>
          <w:bCs/>
          <w:color w:val="FF0000"/>
          <w:kern w:val="2"/>
          <w:sz w:val="21"/>
          <w:szCs w:val="22"/>
          <w:lang w:eastAsia="zh-CN"/>
        </w:rPr>
        <w:t>。</w:t>
      </w:r>
    </w:p>
    <w:p w14:paraId="67FAAF27">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中标（成交）供应商在领取《中标（成交）通知书》之前须向深圳市拓泰实业有限公司交纳代理服务费。若因中标（成交）供应商交纳代理服务费所产生的时间影响到合同签订的，由中标（成交）供应商自行承担责任。代理服务费标准参照下列标准收取。本项目类型为</w:t>
      </w:r>
      <w:r>
        <w:rPr>
          <w:rFonts w:hint="eastAsia" w:ascii="宋体" w:hAnsi="宋体" w:eastAsia="宋体" w:cstheme="minorBidi"/>
          <w:b/>
          <w:bCs/>
          <w:color w:val="FF0000"/>
          <w:kern w:val="2"/>
          <w:sz w:val="21"/>
          <w:szCs w:val="21"/>
          <w:u w:val="single"/>
          <w:lang w:eastAsia="zh-CN"/>
        </w:rPr>
        <w:t>货物采购</w:t>
      </w:r>
      <w:r>
        <w:rPr>
          <w:rFonts w:hint="eastAsia" w:ascii="宋体" w:hAnsi="宋体" w:eastAsia="宋体" w:cstheme="minorBidi"/>
          <w:color w:val="FF0000"/>
          <w:kern w:val="2"/>
          <w:sz w:val="21"/>
          <w:szCs w:val="21"/>
          <w:lang w:eastAsia="zh-CN"/>
        </w:rPr>
        <w:t>：</w:t>
      </w:r>
    </w:p>
    <w:p w14:paraId="38B8C38C">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（1）代理服务费以《中标（成交）通知书》确定的中标（成交）金额作为计算基数，按差额定率累进法计算。</w:t>
      </w:r>
    </w:p>
    <w:p w14:paraId="1B5158D9">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（2）中标（成交）金额的各部分费率如下表：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870"/>
        <w:gridCol w:w="1870"/>
        <w:gridCol w:w="1870"/>
      </w:tblGrid>
      <w:tr w14:paraId="0EE1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1CB62E42">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中标（成交）金额</w:t>
            </w:r>
          </w:p>
        </w:tc>
        <w:tc>
          <w:tcPr>
            <w:tcW w:w="1799" w:type="dxa"/>
            <w:vAlign w:val="center"/>
          </w:tcPr>
          <w:p w14:paraId="0F517398">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货物采购</w:t>
            </w:r>
          </w:p>
        </w:tc>
        <w:tc>
          <w:tcPr>
            <w:tcW w:w="1799" w:type="dxa"/>
            <w:vAlign w:val="center"/>
          </w:tcPr>
          <w:p w14:paraId="04EE84C5">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服务采购</w:t>
            </w:r>
          </w:p>
        </w:tc>
        <w:tc>
          <w:tcPr>
            <w:tcW w:w="1799" w:type="dxa"/>
            <w:vAlign w:val="center"/>
          </w:tcPr>
          <w:p w14:paraId="210F2280">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工程采购</w:t>
            </w:r>
          </w:p>
        </w:tc>
      </w:tr>
      <w:tr w14:paraId="7D6A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11618BB">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100万元以下</w:t>
            </w:r>
          </w:p>
        </w:tc>
        <w:tc>
          <w:tcPr>
            <w:tcW w:w="1799" w:type="dxa"/>
            <w:vAlign w:val="center"/>
          </w:tcPr>
          <w:p w14:paraId="6A2A24BE">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1.5%</w:t>
            </w:r>
          </w:p>
        </w:tc>
        <w:tc>
          <w:tcPr>
            <w:tcW w:w="1799" w:type="dxa"/>
            <w:vAlign w:val="center"/>
          </w:tcPr>
          <w:p w14:paraId="2B627AC5">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1.5%</w:t>
            </w:r>
          </w:p>
        </w:tc>
        <w:tc>
          <w:tcPr>
            <w:tcW w:w="1799" w:type="dxa"/>
            <w:vAlign w:val="center"/>
          </w:tcPr>
          <w:p w14:paraId="35C5198F">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w:t>
            </w:r>
          </w:p>
        </w:tc>
      </w:tr>
      <w:tr w14:paraId="228E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47841C2">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100万元（含）-500万元</w:t>
            </w:r>
          </w:p>
        </w:tc>
        <w:tc>
          <w:tcPr>
            <w:tcW w:w="1799" w:type="dxa"/>
            <w:vAlign w:val="center"/>
          </w:tcPr>
          <w:p w14:paraId="2C85BAFA">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1.1%</w:t>
            </w:r>
          </w:p>
        </w:tc>
        <w:tc>
          <w:tcPr>
            <w:tcW w:w="1799" w:type="dxa"/>
            <w:vAlign w:val="center"/>
          </w:tcPr>
          <w:p w14:paraId="01C1B4DF">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0.8%</w:t>
            </w:r>
          </w:p>
        </w:tc>
        <w:tc>
          <w:tcPr>
            <w:tcW w:w="1799" w:type="dxa"/>
            <w:vAlign w:val="center"/>
          </w:tcPr>
          <w:p w14:paraId="2A78DB21">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0.7%</w:t>
            </w:r>
          </w:p>
        </w:tc>
      </w:tr>
      <w:tr w14:paraId="7A45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755F574">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500万元（含）-1000万元</w:t>
            </w:r>
          </w:p>
        </w:tc>
        <w:tc>
          <w:tcPr>
            <w:tcW w:w="1799" w:type="dxa"/>
            <w:vAlign w:val="center"/>
          </w:tcPr>
          <w:p w14:paraId="4CDB02EA">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0.8%</w:t>
            </w:r>
          </w:p>
        </w:tc>
        <w:tc>
          <w:tcPr>
            <w:tcW w:w="1799" w:type="dxa"/>
            <w:vAlign w:val="center"/>
          </w:tcPr>
          <w:p w14:paraId="08D47BE5">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0.45%</w:t>
            </w:r>
          </w:p>
        </w:tc>
        <w:tc>
          <w:tcPr>
            <w:tcW w:w="1799" w:type="dxa"/>
            <w:vAlign w:val="center"/>
          </w:tcPr>
          <w:p w14:paraId="464B4A3C">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0.55%</w:t>
            </w:r>
          </w:p>
        </w:tc>
      </w:tr>
      <w:tr w14:paraId="3D36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3779844">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1000万元（含）-5000万元</w:t>
            </w:r>
          </w:p>
        </w:tc>
        <w:tc>
          <w:tcPr>
            <w:tcW w:w="1799" w:type="dxa"/>
            <w:vAlign w:val="center"/>
          </w:tcPr>
          <w:p w14:paraId="04D60DFE">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0.5%</w:t>
            </w:r>
          </w:p>
        </w:tc>
        <w:tc>
          <w:tcPr>
            <w:tcW w:w="1799" w:type="dxa"/>
            <w:vAlign w:val="center"/>
          </w:tcPr>
          <w:p w14:paraId="23E57F3F">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0.25%</w:t>
            </w:r>
          </w:p>
        </w:tc>
        <w:tc>
          <w:tcPr>
            <w:tcW w:w="1799" w:type="dxa"/>
            <w:vAlign w:val="center"/>
          </w:tcPr>
          <w:p w14:paraId="55BADBC4">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0.35%</w:t>
            </w:r>
          </w:p>
        </w:tc>
      </w:tr>
      <w:tr w14:paraId="2DA4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7CFE759">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5000万元（含）-1亿元</w:t>
            </w:r>
          </w:p>
        </w:tc>
        <w:tc>
          <w:tcPr>
            <w:tcW w:w="1799" w:type="dxa"/>
            <w:vAlign w:val="center"/>
          </w:tcPr>
          <w:p w14:paraId="450A0ECD">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0.25%</w:t>
            </w:r>
          </w:p>
        </w:tc>
        <w:tc>
          <w:tcPr>
            <w:tcW w:w="1799" w:type="dxa"/>
            <w:vAlign w:val="center"/>
          </w:tcPr>
          <w:p w14:paraId="3BFF3FC8">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0.1%</w:t>
            </w:r>
          </w:p>
        </w:tc>
        <w:tc>
          <w:tcPr>
            <w:tcW w:w="1799" w:type="dxa"/>
            <w:vAlign w:val="center"/>
          </w:tcPr>
          <w:p w14:paraId="38B0DFEA">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0.2%</w:t>
            </w:r>
          </w:p>
        </w:tc>
      </w:tr>
      <w:tr w14:paraId="72E2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A0722E0">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1亿元（含）-5亿元</w:t>
            </w:r>
          </w:p>
        </w:tc>
        <w:tc>
          <w:tcPr>
            <w:tcW w:w="1799" w:type="dxa"/>
            <w:vAlign w:val="center"/>
          </w:tcPr>
          <w:p w14:paraId="69772B75">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0.05%</w:t>
            </w:r>
          </w:p>
        </w:tc>
        <w:tc>
          <w:tcPr>
            <w:tcW w:w="1799" w:type="dxa"/>
            <w:vAlign w:val="center"/>
          </w:tcPr>
          <w:p w14:paraId="7A1544C0">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0.05%</w:t>
            </w:r>
          </w:p>
        </w:tc>
        <w:tc>
          <w:tcPr>
            <w:tcW w:w="1799" w:type="dxa"/>
            <w:vAlign w:val="center"/>
          </w:tcPr>
          <w:p w14:paraId="4A179118">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0.05%</w:t>
            </w:r>
          </w:p>
        </w:tc>
      </w:tr>
      <w:tr w14:paraId="4BCF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6106CB6">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5亿元（含）-10亿元</w:t>
            </w:r>
          </w:p>
        </w:tc>
        <w:tc>
          <w:tcPr>
            <w:tcW w:w="1799" w:type="dxa"/>
            <w:vAlign w:val="center"/>
          </w:tcPr>
          <w:p w14:paraId="3B9EBCAC">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0.035%</w:t>
            </w:r>
          </w:p>
        </w:tc>
        <w:tc>
          <w:tcPr>
            <w:tcW w:w="1799" w:type="dxa"/>
            <w:vAlign w:val="center"/>
          </w:tcPr>
          <w:p w14:paraId="0F9C081C">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0.035%</w:t>
            </w:r>
          </w:p>
        </w:tc>
        <w:tc>
          <w:tcPr>
            <w:tcW w:w="1799" w:type="dxa"/>
            <w:vAlign w:val="center"/>
          </w:tcPr>
          <w:p w14:paraId="2200C4B7">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0.035%</w:t>
            </w:r>
          </w:p>
        </w:tc>
      </w:tr>
      <w:tr w14:paraId="4A09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7A1E8DF">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10亿元（含）-50亿元</w:t>
            </w:r>
          </w:p>
        </w:tc>
        <w:tc>
          <w:tcPr>
            <w:tcW w:w="1799" w:type="dxa"/>
            <w:vAlign w:val="center"/>
          </w:tcPr>
          <w:p w14:paraId="011088C4">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0.008%</w:t>
            </w:r>
          </w:p>
        </w:tc>
        <w:tc>
          <w:tcPr>
            <w:tcW w:w="1799" w:type="dxa"/>
            <w:vAlign w:val="center"/>
          </w:tcPr>
          <w:p w14:paraId="4D8474A6">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0.008%</w:t>
            </w:r>
          </w:p>
        </w:tc>
        <w:tc>
          <w:tcPr>
            <w:tcW w:w="1799" w:type="dxa"/>
            <w:vAlign w:val="center"/>
          </w:tcPr>
          <w:p w14:paraId="495FC14C">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0.008%</w:t>
            </w:r>
          </w:p>
        </w:tc>
      </w:tr>
      <w:tr w14:paraId="2410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87078F5">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50亿元（含）-100亿元</w:t>
            </w:r>
          </w:p>
        </w:tc>
        <w:tc>
          <w:tcPr>
            <w:tcW w:w="1799" w:type="dxa"/>
            <w:vAlign w:val="center"/>
          </w:tcPr>
          <w:p w14:paraId="77D9B1DE">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0.006%</w:t>
            </w:r>
          </w:p>
        </w:tc>
        <w:tc>
          <w:tcPr>
            <w:tcW w:w="1799" w:type="dxa"/>
            <w:vAlign w:val="center"/>
          </w:tcPr>
          <w:p w14:paraId="34FFB715">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0.006%</w:t>
            </w:r>
          </w:p>
        </w:tc>
        <w:tc>
          <w:tcPr>
            <w:tcW w:w="1799" w:type="dxa"/>
            <w:vAlign w:val="center"/>
          </w:tcPr>
          <w:p w14:paraId="7895C3DF">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0.006%</w:t>
            </w:r>
          </w:p>
        </w:tc>
      </w:tr>
      <w:tr w14:paraId="6175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A584B32">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100亿元（含）以上</w:t>
            </w:r>
          </w:p>
        </w:tc>
        <w:tc>
          <w:tcPr>
            <w:tcW w:w="1799" w:type="dxa"/>
            <w:vAlign w:val="center"/>
          </w:tcPr>
          <w:p w14:paraId="1C8481BD">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0.004%</w:t>
            </w:r>
          </w:p>
        </w:tc>
        <w:tc>
          <w:tcPr>
            <w:tcW w:w="1799" w:type="dxa"/>
            <w:vAlign w:val="center"/>
          </w:tcPr>
          <w:p w14:paraId="6F18CC1F">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0.004%</w:t>
            </w:r>
          </w:p>
        </w:tc>
        <w:tc>
          <w:tcPr>
            <w:tcW w:w="1799" w:type="dxa"/>
            <w:vAlign w:val="center"/>
          </w:tcPr>
          <w:p w14:paraId="2FCF5455">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0.004%</w:t>
            </w:r>
          </w:p>
        </w:tc>
      </w:tr>
    </w:tbl>
    <w:p w14:paraId="37B76B64">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备注：1.每宗交易代理服务费不低于</w:t>
      </w:r>
      <w:r>
        <w:rPr>
          <w:rFonts w:hint="eastAsia" w:ascii="宋体" w:hAnsi="宋体" w:eastAsia="宋体" w:cstheme="minorBidi"/>
          <w:color w:val="FF0000"/>
          <w:kern w:val="2"/>
          <w:sz w:val="21"/>
          <w:szCs w:val="21"/>
          <w:lang w:val="en-US" w:eastAsia="zh-CN"/>
        </w:rPr>
        <w:t>5</w:t>
      </w:r>
      <w:r>
        <w:rPr>
          <w:rFonts w:hint="eastAsia" w:ascii="宋体" w:hAnsi="宋体" w:eastAsia="宋体" w:cstheme="minorBidi"/>
          <w:color w:val="FF0000"/>
          <w:kern w:val="2"/>
          <w:sz w:val="21"/>
          <w:szCs w:val="21"/>
          <w:lang w:eastAsia="zh-CN"/>
        </w:rPr>
        <w:t>000</w:t>
      </w:r>
      <w:r>
        <w:rPr>
          <w:rFonts w:hint="eastAsia" w:ascii="宋体" w:hAnsi="宋体" w:eastAsia="宋体" w:cstheme="minorBidi"/>
          <w:color w:val="FF0000"/>
          <w:kern w:val="2"/>
          <w:sz w:val="21"/>
          <w:szCs w:val="21"/>
          <w:lang w:val="en-US" w:eastAsia="zh-CN"/>
        </w:rPr>
        <w:t>.00</w:t>
      </w:r>
      <w:r>
        <w:rPr>
          <w:rFonts w:hint="eastAsia" w:ascii="宋体" w:hAnsi="宋体" w:eastAsia="宋体" w:cstheme="minorBidi"/>
          <w:color w:val="FF0000"/>
          <w:kern w:val="2"/>
          <w:sz w:val="21"/>
          <w:szCs w:val="21"/>
          <w:lang w:eastAsia="zh-CN"/>
        </w:rPr>
        <w:t>元；</w:t>
      </w:r>
    </w:p>
    <w:p w14:paraId="0AC30BAF">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2.对于报总价的采购类项目，中标（成交）价为中标（成交）金额；对于报单价或折扣或费率的采购类项目，中标（成交）价为预算上限金额或经委托方与代理方确定的支付上限金额。</w:t>
      </w:r>
    </w:p>
    <w:p w14:paraId="53C56169">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如某货物采购项目，中标（成交）金额为600万元，总共交纳的代理服务费的具体计算过程如下：</w:t>
      </w:r>
    </w:p>
    <w:p w14:paraId="6577DEFC">
      <w:pPr>
        <w:widowControl/>
        <w:spacing w:line="360" w:lineRule="auto"/>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标准代理服务费＝（100万以下部分的代理服务费）+（100万～500万部分的代理服务费）+（500万～600万部分的代理服务费）＝100万元×1.5%+（500-100）万元×1.1%+（600-500）万元×0.8%=1.5万元+4.4万元+0.8万元＝6.7万元</w:t>
      </w:r>
    </w:p>
    <w:p w14:paraId="59DE6AC3">
      <w:pPr>
        <w:widowControl/>
        <w:spacing w:line="360" w:lineRule="auto"/>
        <w:ind w:firstLine="420"/>
        <w:jc w:val="left"/>
        <w:rPr>
          <w:rFonts w:hint="eastAsia" w:ascii="宋体" w:hAnsi="宋体" w:eastAsia="黑体"/>
          <w:bCs/>
          <w:kern w:val="44"/>
          <w:sz w:val="21"/>
          <w:szCs w:val="21"/>
          <w:lang w:eastAsia="zh-CN"/>
        </w:rPr>
      </w:pPr>
      <w:r>
        <w:rPr>
          <w:rFonts w:hint="eastAsia" w:ascii="宋体" w:hAnsi="宋体" w:eastAsia="宋体" w:cstheme="minorBidi"/>
          <w:color w:val="FF0000"/>
          <w:kern w:val="2"/>
          <w:sz w:val="21"/>
          <w:szCs w:val="21"/>
          <w:lang w:eastAsia="zh-CN"/>
        </w:rPr>
        <w:t>（3）中标（成交）供应商成交后，必须按规定采用银行对公转账方式向</w:t>
      </w:r>
      <w:r>
        <w:rPr>
          <w:rFonts w:hint="eastAsia" w:ascii="宋体" w:hAnsi="宋体" w:eastAsia="宋体" w:cstheme="minorBidi"/>
          <w:color w:val="FF0000"/>
          <w:kern w:val="2"/>
          <w:sz w:val="21"/>
          <w:szCs w:val="21"/>
          <w:lang w:val="en-US" w:eastAsia="zh-CN"/>
        </w:rPr>
        <w:t>代理机构</w:t>
      </w:r>
      <w:r>
        <w:rPr>
          <w:rFonts w:hint="eastAsia" w:ascii="宋体" w:hAnsi="宋体" w:eastAsia="宋体" w:cstheme="minorBidi"/>
          <w:color w:val="FF0000"/>
          <w:kern w:val="2"/>
          <w:sz w:val="21"/>
          <w:szCs w:val="21"/>
          <w:lang w:eastAsia="zh-CN"/>
        </w:rPr>
        <w:t>直接交纳代理服务费，交纳信息及要求按照缴款（付款）通知书执行。</w:t>
      </w:r>
    </w:p>
    <w:p w14:paraId="296B1D8D">
      <w:pPr>
        <w:widowControl/>
        <w:ind w:firstLine="420"/>
        <w:jc w:val="left"/>
        <w:rPr>
          <w:rFonts w:hint="eastAsia" w:ascii="宋体" w:hAnsi="宋体" w:eastAsia="宋体"/>
          <w:color w:val="FF0000"/>
          <w:kern w:val="2"/>
          <w:sz w:val="21"/>
          <w:szCs w:val="21"/>
          <w:lang w:eastAsia="zh-CN"/>
        </w:rPr>
      </w:pPr>
    </w:p>
    <w:p w14:paraId="11A86A69">
      <w:pPr>
        <w:widowControl/>
        <w:ind w:firstLine="420"/>
        <w:jc w:val="left"/>
        <w:rPr>
          <w:rFonts w:hint="eastAsia" w:ascii="宋体" w:hAnsi="宋体" w:eastAsia="黑体"/>
          <w:bCs/>
          <w:kern w:val="44"/>
          <w:sz w:val="21"/>
          <w:szCs w:val="21"/>
          <w:lang w:eastAsia="zh-CN"/>
        </w:rPr>
      </w:pPr>
    </w:p>
    <w:p w14:paraId="6172A7F0">
      <w:pPr>
        <w:widowControl/>
        <w:jc w:val="left"/>
        <w:rPr>
          <w:rFonts w:hint="eastAsia" w:ascii="宋体" w:hAnsi="宋体" w:eastAsia="黑体"/>
          <w:bCs/>
          <w:kern w:val="44"/>
          <w:sz w:val="28"/>
          <w:szCs w:val="44"/>
          <w:lang w:eastAsia="zh-CN"/>
        </w:rPr>
      </w:pPr>
    </w:p>
    <w:p w14:paraId="39B0DE7F">
      <w:pPr>
        <w:keepNext/>
        <w:keepLines/>
        <w:widowControl w:val="0"/>
        <w:adjustRightInd w:val="0"/>
        <w:spacing w:before="260" w:after="26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br w:type="page"/>
      </w:r>
      <w:r>
        <w:rPr>
          <w:rFonts w:hint="eastAsia" w:ascii="宋体" w:hAnsi="宋体" w:eastAsia="宋体"/>
          <w:b/>
          <w:bCs/>
          <w:sz w:val="28"/>
          <w:szCs w:val="28"/>
          <w:lang w:eastAsia="zh-CN"/>
        </w:rPr>
        <w:t>第三章 用户需求书</w:t>
      </w:r>
    </w:p>
    <w:p w14:paraId="46A79C0E">
      <w:pPr>
        <w:keepNext/>
        <w:keepLines/>
        <w:widowControl w:val="0"/>
        <w:spacing w:before="260" w:after="260" w:line="416" w:lineRule="auto"/>
        <w:jc w:val="center"/>
        <w:outlineLvl w:val="1"/>
        <w:rPr>
          <w:rFonts w:hint="eastAsia" w:ascii="Cambria" w:hAnsi="Cambria" w:eastAsia="宋体" w:cstheme="majorBidi"/>
          <w:b/>
          <w:bCs/>
          <w:kern w:val="2"/>
          <w:sz w:val="32"/>
          <w:szCs w:val="32"/>
          <w:lang w:eastAsia="zh-CN"/>
        </w:rPr>
      </w:pPr>
      <w:r>
        <w:rPr>
          <w:rFonts w:hint="eastAsia" w:ascii="Cambria" w:hAnsi="Cambria" w:eastAsia="宋体" w:cstheme="majorBidi"/>
          <w:b/>
          <w:bCs/>
          <w:kern w:val="2"/>
          <w:sz w:val="32"/>
          <w:szCs w:val="32"/>
          <w:lang w:eastAsia="zh-CN"/>
        </w:rPr>
        <w:t>一、项目基本信息</w:t>
      </w:r>
    </w:p>
    <w:tbl>
      <w:tblPr>
        <w:tblStyle w:val="13"/>
        <w:tblW w:w="5000" w:type="pct"/>
        <w:jc w:val="center"/>
        <w:tblLayout w:type="fixed"/>
        <w:tblCellMar>
          <w:top w:w="15" w:type="dxa"/>
          <w:left w:w="15" w:type="dxa"/>
          <w:bottom w:w="15" w:type="dxa"/>
          <w:right w:w="15" w:type="dxa"/>
        </w:tblCellMar>
      </w:tblPr>
      <w:tblGrid>
        <w:gridCol w:w="689"/>
        <w:gridCol w:w="2615"/>
        <w:gridCol w:w="2821"/>
        <w:gridCol w:w="2545"/>
      </w:tblGrid>
      <w:tr w14:paraId="722E50BF">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vAlign w:val="center"/>
          </w:tcPr>
          <w:p w14:paraId="58A3DDC6">
            <w:pPr>
              <w:widowControl w:val="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vAlign w:val="center"/>
          </w:tcPr>
          <w:p w14:paraId="2E164F43">
            <w:pPr>
              <w:widowControl w:val="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项目编号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vAlign w:val="center"/>
          </w:tcPr>
          <w:p w14:paraId="7E3EA9A0">
            <w:pPr>
              <w:widowControl w:val="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vAlign w:val="center"/>
          </w:tcPr>
          <w:p w14:paraId="56A8F01D">
            <w:pPr>
              <w:widowControl w:val="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财政预算限额（元）</w:t>
            </w:r>
          </w:p>
        </w:tc>
      </w:tr>
      <w:tr w14:paraId="7FAC120E">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3A7FF99F">
            <w:pPr>
              <w:widowControl w:val="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w:t>
            </w:r>
          </w:p>
        </w:tc>
        <w:tc>
          <w:tcPr>
            <w:tcW w:w="2693" w:type="dxa"/>
            <w:tcBorders>
              <w:top w:val="single" w:color="000000" w:sz="4" w:space="0"/>
              <w:left w:val="single" w:color="auto" w:sz="4" w:space="0"/>
              <w:bottom w:val="single" w:color="000000" w:sz="4" w:space="0"/>
              <w:right w:val="single" w:color="000000" w:sz="4" w:space="0"/>
            </w:tcBorders>
            <w:vAlign w:val="center"/>
          </w:tcPr>
          <w:p w14:paraId="28E1C9CD">
            <w:pPr>
              <w:widowControl w:val="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LHAZXDL-2024-00137</w:t>
            </w:r>
          </w:p>
        </w:tc>
        <w:tc>
          <w:tcPr>
            <w:tcW w:w="2906" w:type="dxa"/>
            <w:tcBorders>
              <w:top w:val="single" w:color="000000" w:sz="4" w:space="0"/>
              <w:left w:val="single" w:color="000000" w:sz="4" w:space="0"/>
              <w:bottom w:val="single" w:color="auto" w:sz="4" w:space="0"/>
              <w:right w:val="single" w:color="000000" w:sz="4" w:space="0"/>
            </w:tcBorders>
            <w:vAlign w:val="center"/>
          </w:tcPr>
          <w:p w14:paraId="55DD8539">
            <w:pPr>
              <w:widowControl w:val="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初中物理化学实验教学及AI考评系统建设项目</w:t>
            </w:r>
          </w:p>
        </w:tc>
        <w:tc>
          <w:tcPr>
            <w:tcW w:w="2622" w:type="dxa"/>
            <w:tcBorders>
              <w:top w:val="single" w:color="000000" w:sz="4" w:space="0"/>
              <w:left w:val="single" w:color="000000" w:sz="4" w:space="0"/>
              <w:bottom w:val="single" w:color="auto" w:sz="4" w:space="0"/>
              <w:right w:val="single" w:color="000000" w:sz="4" w:space="0"/>
            </w:tcBorders>
            <w:vAlign w:val="center"/>
          </w:tcPr>
          <w:p w14:paraId="22AF51FF">
            <w:pPr>
              <w:widowControl w:val="0"/>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840000.00</w:t>
            </w:r>
          </w:p>
        </w:tc>
      </w:tr>
    </w:tbl>
    <w:p w14:paraId="443FD443">
      <w:pPr>
        <w:widowControl w:val="0"/>
        <w:spacing w:line="360" w:lineRule="auto"/>
        <w:jc w:val="both"/>
        <w:rPr>
          <w:rFonts w:ascii="Calibri" w:hAnsi="Calibri" w:eastAsia="宋体"/>
          <w:kern w:val="2"/>
          <w:sz w:val="22"/>
          <w:szCs w:val="22"/>
          <w:lang w:eastAsia="zh-CN"/>
        </w:rPr>
      </w:pPr>
      <w:r>
        <w:rPr>
          <w:rFonts w:hint="eastAsia" w:ascii="Arial" w:hAnsi="Arial" w:eastAsia="宋体"/>
          <w:b/>
          <w:color w:val="FF0000"/>
          <w:kern w:val="2"/>
          <w:sz w:val="22"/>
          <w:szCs w:val="22"/>
          <w:lang w:eastAsia="zh-CN"/>
        </w:rPr>
        <w:t>备注：本项目《开标一览表》中不填写具体投标金额，投标人只需在开标一览表“投标报价”一栏填报唯一的折扣率，作为依据计算价格分，折扣率等于投标金额占预算金额的比例，（即折扣率=投标金额/预算金额）。投标人在填报系统《开标一览表》时，投标报价须填报相应折扣，折扣率大于1的将作投标无效处理。</w:t>
      </w:r>
    </w:p>
    <w:p w14:paraId="0901A205">
      <w:pPr>
        <w:keepNext/>
        <w:keepLines/>
        <w:widowControl w:val="0"/>
        <w:spacing w:before="260" w:after="260" w:line="416" w:lineRule="auto"/>
        <w:jc w:val="center"/>
        <w:outlineLvl w:val="1"/>
        <w:rPr>
          <w:rFonts w:hint="eastAsia" w:ascii="Cambria" w:hAnsi="Cambria" w:eastAsia="宋体" w:cstheme="majorBidi"/>
          <w:b/>
          <w:bCs/>
          <w:kern w:val="2"/>
          <w:sz w:val="32"/>
          <w:szCs w:val="32"/>
          <w:lang w:eastAsia="zh-CN"/>
        </w:rPr>
      </w:pPr>
      <w:r>
        <w:rPr>
          <w:rFonts w:hint="eastAsia" w:ascii="Cambria" w:hAnsi="Cambria" w:eastAsia="宋体" w:cstheme="majorBidi"/>
          <w:b/>
          <w:bCs/>
          <w:kern w:val="2"/>
          <w:sz w:val="32"/>
          <w:szCs w:val="32"/>
          <w:lang w:eastAsia="zh-CN"/>
        </w:rPr>
        <w:t>二、</w:t>
      </w:r>
      <w:r>
        <w:rPr>
          <w:rFonts w:hint="eastAsia" w:ascii="Cambria" w:hAnsi="Cambria" w:eastAsia="宋体" w:cstheme="majorBidi"/>
          <w:b/>
          <w:bCs/>
          <w:color w:val="FF0000"/>
          <w:kern w:val="2"/>
          <w:sz w:val="32"/>
          <w:szCs w:val="32"/>
          <w:lang w:eastAsia="zh-CN"/>
        </w:rPr>
        <w:t>★</w:t>
      </w:r>
      <w:r>
        <w:rPr>
          <w:rFonts w:hint="eastAsia" w:ascii="Cambria" w:hAnsi="Cambria" w:eastAsia="宋体" w:cstheme="majorBidi"/>
          <w:b/>
          <w:bCs/>
          <w:kern w:val="2"/>
          <w:sz w:val="32"/>
          <w:szCs w:val="32"/>
          <w:lang w:eastAsia="zh-CN"/>
        </w:rPr>
        <w:t>货物需求明细</w:t>
      </w:r>
    </w:p>
    <w:tbl>
      <w:tblPr>
        <w:tblStyle w:val="13"/>
        <w:tblW w:w="47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354"/>
        <w:gridCol w:w="808"/>
        <w:gridCol w:w="793"/>
        <w:gridCol w:w="1197"/>
        <w:gridCol w:w="1482"/>
      </w:tblGrid>
      <w:tr w14:paraId="6989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49" w:type="pct"/>
            <w:vMerge w:val="restart"/>
            <w:shd w:val="clear" w:color="auto" w:fill="8DB3E2" w:themeFill="text2" w:themeFillTint="66"/>
            <w:vAlign w:val="center"/>
          </w:tcPr>
          <w:p w14:paraId="36633C3C">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1999" w:type="pct"/>
            <w:vMerge w:val="restart"/>
            <w:shd w:val="clear" w:color="auto" w:fill="8DB3E2" w:themeFill="text2" w:themeFillTint="66"/>
            <w:vAlign w:val="center"/>
          </w:tcPr>
          <w:p w14:paraId="53BADA12">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货物名称</w:t>
            </w:r>
          </w:p>
        </w:tc>
        <w:tc>
          <w:tcPr>
            <w:tcW w:w="481" w:type="pct"/>
            <w:vMerge w:val="restart"/>
            <w:shd w:val="clear" w:color="auto" w:fill="8DB3E2" w:themeFill="text2" w:themeFillTint="66"/>
            <w:vAlign w:val="center"/>
          </w:tcPr>
          <w:p w14:paraId="66F340CA">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数量</w:t>
            </w:r>
          </w:p>
        </w:tc>
        <w:tc>
          <w:tcPr>
            <w:tcW w:w="472" w:type="pct"/>
            <w:vMerge w:val="restart"/>
            <w:shd w:val="clear" w:color="auto" w:fill="8DB3E2" w:themeFill="text2" w:themeFillTint="66"/>
            <w:vAlign w:val="center"/>
          </w:tcPr>
          <w:p w14:paraId="66839777">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单位</w:t>
            </w:r>
          </w:p>
        </w:tc>
        <w:tc>
          <w:tcPr>
            <w:tcW w:w="713" w:type="pct"/>
            <w:vMerge w:val="restart"/>
            <w:shd w:val="clear" w:color="auto" w:fill="8DB3E2" w:themeFill="text2" w:themeFillTint="66"/>
            <w:noWrap/>
            <w:vAlign w:val="center"/>
          </w:tcPr>
          <w:p w14:paraId="4064886C">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备注</w:t>
            </w:r>
          </w:p>
        </w:tc>
        <w:tc>
          <w:tcPr>
            <w:tcW w:w="883" w:type="pct"/>
            <w:vMerge w:val="restart"/>
            <w:shd w:val="clear" w:color="auto" w:fill="8DB3E2" w:themeFill="text2" w:themeFillTint="66"/>
            <w:noWrap/>
            <w:vAlign w:val="center"/>
          </w:tcPr>
          <w:p w14:paraId="661A6B9E">
            <w:pPr>
              <w:widowControl/>
              <w:spacing w:line="360" w:lineRule="auto"/>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预算金额（元）</w:t>
            </w:r>
          </w:p>
        </w:tc>
      </w:tr>
      <w:tr w14:paraId="4CE7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49" w:type="pct"/>
            <w:vMerge w:val="continue"/>
            <w:shd w:val="clear" w:color="auto" w:fill="8DB3E2" w:themeFill="text2" w:themeFillTint="66"/>
            <w:vAlign w:val="center"/>
          </w:tcPr>
          <w:p w14:paraId="781FA26B">
            <w:pPr>
              <w:widowControl/>
              <w:spacing w:line="360" w:lineRule="auto"/>
              <w:jc w:val="center"/>
              <w:textAlignment w:val="center"/>
              <w:rPr>
                <w:rFonts w:hint="eastAsia" w:ascii="宋体" w:hAnsi="宋体" w:eastAsia="宋体" w:cs="宋体"/>
                <w:sz w:val="24"/>
                <w:szCs w:val="24"/>
              </w:rPr>
            </w:pPr>
          </w:p>
        </w:tc>
        <w:tc>
          <w:tcPr>
            <w:tcW w:w="1999" w:type="pct"/>
            <w:vMerge w:val="continue"/>
            <w:shd w:val="clear" w:color="auto" w:fill="8DB3E2" w:themeFill="text2" w:themeFillTint="66"/>
            <w:vAlign w:val="center"/>
          </w:tcPr>
          <w:p w14:paraId="64184450">
            <w:pPr>
              <w:widowControl/>
              <w:spacing w:line="360" w:lineRule="auto"/>
              <w:jc w:val="center"/>
              <w:textAlignment w:val="center"/>
              <w:rPr>
                <w:rFonts w:hint="eastAsia" w:ascii="宋体" w:hAnsi="宋体" w:eastAsia="宋体" w:cs="宋体"/>
                <w:sz w:val="24"/>
                <w:szCs w:val="24"/>
              </w:rPr>
            </w:pPr>
          </w:p>
        </w:tc>
        <w:tc>
          <w:tcPr>
            <w:tcW w:w="481" w:type="pct"/>
            <w:vMerge w:val="continue"/>
            <w:shd w:val="clear" w:color="auto" w:fill="8DB3E2" w:themeFill="text2" w:themeFillTint="66"/>
            <w:vAlign w:val="center"/>
          </w:tcPr>
          <w:p w14:paraId="2B85FA93">
            <w:pPr>
              <w:widowControl/>
              <w:spacing w:line="360" w:lineRule="auto"/>
              <w:jc w:val="center"/>
              <w:textAlignment w:val="center"/>
              <w:rPr>
                <w:rFonts w:hint="eastAsia" w:ascii="宋体" w:hAnsi="宋体" w:eastAsia="宋体" w:cs="宋体"/>
                <w:sz w:val="24"/>
                <w:szCs w:val="24"/>
              </w:rPr>
            </w:pPr>
          </w:p>
        </w:tc>
        <w:tc>
          <w:tcPr>
            <w:tcW w:w="472" w:type="pct"/>
            <w:vMerge w:val="continue"/>
            <w:shd w:val="clear" w:color="auto" w:fill="8DB3E2" w:themeFill="text2" w:themeFillTint="66"/>
            <w:vAlign w:val="center"/>
          </w:tcPr>
          <w:p w14:paraId="6BF8D8EE">
            <w:pPr>
              <w:widowControl/>
              <w:spacing w:line="360" w:lineRule="auto"/>
              <w:jc w:val="center"/>
              <w:textAlignment w:val="center"/>
              <w:rPr>
                <w:rFonts w:hint="eastAsia" w:ascii="宋体" w:hAnsi="宋体" w:eastAsia="宋体" w:cs="宋体"/>
                <w:sz w:val="24"/>
                <w:szCs w:val="24"/>
              </w:rPr>
            </w:pPr>
          </w:p>
        </w:tc>
        <w:tc>
          <w:tcPr>
            <w:tcW w:w="713" w:type="pct"/>
            <w:vMerge w:val="continue"/>
            <w:shd w:val="clear" w:color="auto" w:fill="8DB3E2" w:themeFill="text2" w:themeFillTint="66"/>
            <w:noWrap/>
            <w:vAlign w:val="center"/>
          </w:tcPr>
          <w:p w14:paraId="458A9066">
            <w:pPr>
              <w:widowControl/>
              <w:spacing w:line="360" w:lineRule="auto"/>
              <w:jc w:val="center"/>
              <w:textAlignment w:val="center"/>
              <w:rPr>
                <w:rFonts w:hint="eastAsia" w:ascii="宋体" w:hAnsi="宋体" w:eastAsia="宋体" w:cs="宋体"/>
                <w:b/>
                <w:bCs/>
                <w:color w:val="000000"/>
                <w:kern w:val="0"/>
                <w:sz w:val="24"/>
                <w:szCs w:val="24"/>
              </w:rPr>
            </w:pPr>
          </w:p>
        </w:tc>
        <w:tc>
          <w:tcPr>
            <w:tcW w:w="883" w:type="pct"/>
            <w:vMerge w:val="continue"/>
            <w:shd w:val="clear" w:color="auto" w:fill="8DB3E2" w:themeFill="text2" w:themeFillTint="66"/>
            <w:noWrap/>
            <w:vAlign w:val="center"/>
          </w:tcPr>
          <w:p w14:paraId="3DDDF91B">
            <w:pPr>
              <w:widowControl/>
              <w:spacing w:line="360" w:lineRule="auto"/>
              <w:jc w:val="center"/>
              <w:textAlignment w:val="center"/>
              <w:rPr>
                <w:rFonts w:hint="eastAsia" w:ascii="宋体" w:hAnsi="宋体" w:eastAsia="宋体" w:cs="宋体"/>
                <w:b/>
                <w:bCs/>
                <w:color w:val="000000"/>
                <w:kern w:val="0"/>
                <w:sz w:val="24"/>
                <w:szCs w:val="24"/>
              </w:rPr>
            </w:pPr>
          </w:p>
        </w:tc>
      </w:tr>
      <w:tr w14:paraId="1284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49" w:type="pct"/>
            <w:shd w:val="clear" w:color="auto" w:fill="auto"/>
            <w:vAlign w:val="center"/>
          </w:tcPr>
          <w:p w14:paraId="0E0CF260">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bCs/>
                <w:sz w:val="24"/>
                <w:szCs w:val="24"/>
              </w:rPr>
              <w:t>1</w:t>
            </w:r>
          </w:p>
        </w:tc>
        <w:tc>
          <w:tcPr>
            <w:tcW w:w="1999" w:type="pct"/>
            <w:shd w:val="clear" w:color="auto" w:fill="auto"/>
            <w:vAlign w:val="center"/>
          </w:tcPr>
          <w:p w14:paraId="755A5D8E">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智慧实验校级管理系统软件（物理、化学）</w:t>
            </w:r>
          </w:p>
        </w:tc>
        <w:tc>
          <w:tcPr>
            <w:tcW w:w="481" w:type="pct"/>
            <w:shd w:val="clear" w:color="auto" w:fill="auto"/>
            <w:vAlign w:val="center"/>
          </w:tcPr>
          <w:p w14:paraId="53EAF521">
            <w:pPr>
              <w:widowControl/>
              <w:spacing w:line="30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2</w:t>
            </w:r>
          </w:p>
        </w:tc>
        <w:tc>
          <w:tcPr>
            <w:tcW w:w="472" w:type="pct"/>
            <w:shd w:val="clear" w:color="auto" w:fill="auto"/>
            <w:vAlign w:val="center"/>
          </w:tcPr>
          <w:p w14:paraId="52754CB7">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套</w:t>
            </w:r>
          </w:p>
        </w:tc>
        <w:tc>
          <w:tcPr>
            <w:tcW w:w="713" w:type="pct"/>
            <w:shd w:val="clear" w:color="auto" w:fill="auto"/>
            <w:noWrap/>
            <w:vAlign w:val="center"/>
          </w:tcPr>
          <w:p w14:paraId="343FBBFC">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拒绝进口</w:t>
            </w:r>
          </w:p>
        </w:tc>
        <w:tc>
          <w:tcPr>
            <w:tcW w:w="883" w:type="pct"/>
            <w:vMerge w:val="restart"/>
            <w:shd w:val="clear" w:color="auto" w:fill="auto"/>
            <w:noWrap/>
            <w:vAlign w:val="center"/>
          </w:tcPr>
          <w:p w14:paraId="4DA1A06B">
            <w:pPr>
              <w:widowControl/>
              <w:spacing w:line="30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840,000.00</w:t>
            </w:r>
          </w:p>
        </w:tc>
      </w:tr>
      <w:tr w14:paraId="2D15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49" w:type="pct"/>
            <w:shd w:val="clear" w:color="auto" w:fill="auto"/>
            <w:vAlign w:val="center"/>
          </w:tcPr>
          <w:p w14:paraId="3BC8D4C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bCs/>
                <w:sz w:val="24"/>
                <w:szCs w:val="24"/>
              </w:rPr>
              <w:t>2</w:t>
            </w:r>
          </w:p>
        </w:tc>
        <w:tc>
          <w:tcPr>
            <w:tcW w:w="1999" w:type="pct"/>
            <w:shd w:val="clear" w:color="auto" w:fill="auto"/>
            <w:vAlign w:val="center"/>
          </w:tcPr>
          <w:p w14:paraId="4AC591A0">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考试AI评分系统</w:t>
            </w:r>
          </w:p>
        </w:tc>
        <w:tc>
          <w:tcPr>
            <w:tcW w:w="481" w:type="pct"/>
            <w:shd w:val="clear" w:color="auto" w:fill="auto"/>
            <w:vAlign w:val="center"/>
          </w:tcPr>
          <w:p w14:paraId="38EFDCE3">
            <w:pPr>
              <w:widowControl/>
              <w:spacing w:line="30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2</w:t>
            </w:r>
          </w:p>
        </w:tc>
        <w:tc>
          <w:tcPr>
            <w:tcW w:w="472" w:type="pct"/>
            <w:shd w:val="clear" w:color="auto" w:fill="auto"/>
            <w:vAlign w:val="center"/>
          </w:tcPr>
          <w:p w14:paraId="5BCC7946">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套</w:t>
            </w:r>
          </w:p>
        </w:tc>
        <w:tc>
          <w:tcPr>
            <w:tcW w:w="713" w:type="pct"/>
            <w:shd w:val="clear" w:color="auto" w:fill="auto"/>
            <w:noWrap/>
            <w:vAlign w:val="center"/>
          </w:tcPr>
          <w:p w14:paraId="2C1246AC">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拒绝进口</w:t>
            </w:r>
          </w:p>
        </w:tc>
        <w:tc>
          <w:tcPr>
            <w:tcW w:w="883" w:type="pct"/>
            <w:vMerge w:val="continue"/>
            <w:shd w:val="clear" w:color="auto" w:fill="auto"/>
            <w:noWrap/>
            <w:vAlign w:val="center"/>
          </w:tcPr>
          <w:p w14:paraId="782FE63F">
            <w:pPr>
              <w:widowControl/>
              <w:spacing w:line="300" w:lineRule="auto"/>
              <w:jc w:val="center"/>
              <w:textAlignment w:val="center"/>
              <w:rPr>
                <w:rFonts w:hint="eastAsia" w:ascii="宋体" w:hAnsi="宋体" w:eastAsia="宋体" w:cs="宋体"/>
                <w:kern w:val="0"/>
                <w:sz w:val="24"/>
                <w:szCs w:val="24"/>
              </w:rPr>
            </w:pPr>
          </w:p>
        </w:tc>
      </w:tr>
      <w:tr w14:paraId="5800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49" w:type="pct"/>
            <w:shd w:val="clear" w:color="auto" w:fill="auto"/>
            <w:vAlign w:val="center"/>
          </w:tcPr>
          <w:p w14:paraId="0C48872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bCs/>
                <w:sz w:val="24"/>
                <w:szCs w:val="24"/>
              </w:rPr>
              <w:t>3</w:t>
            </w:r>
          </w:p>
        </w:tc>
        <w:tc>
          <w:tcPr>
            <w:tcW w:w="1999" w:type="pct"/>
            <w:shd w:val="clear" w:color="auto" w:fill="auto"/>
            <w:vAlign w:val="center"/>
          </w:tcPr>
          <w:p w14:paraId="71E6BB89">
            <w:pPr>
              <w:widowControl/>
              <w:spacing w:line="300" w:lineRule="auto"/>
              <w:jc w:val="center"/>
              <w:textAlignment w:val="center"/>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智能实验终端</w:t>
            </w:r>
          </w:p>
          <w:p w14:paraId="218E44E5">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b/>
                <w:bCs/>
                <w:color w:val="FF0000"/>
                <w:sz w:val="24"/>
                <w:szCs w:val="24"/>
              </w:rPr>
              <w:t>（核心产品）</w:t>
            </w:r>
          </w:p>
        </w:tc>
        <w:tc>
          <w:tcPr>
            <w:tcW w:w="481" w:type="pct"/>
            <w:shd w:val="clear" w:color="auto" w:fill="auto"/>
            <w:vAlign w:val="center"/>
          </w:tcPr>
          <w:p w14:paraId="68AEF59E">
            <w:pPr>
              <w:widowControl/>
              <w:spacing w:line="300" w:lineRule="auto"/>
              <w:jc w:val="center"/>
              <w:textAlignment w:val="center"/>
              <w:rPr>
                <w:rFonts w:hint="eastAsia" w:ascii="宋体" w:hAnsi="宋体" w:eastAsia="宋体" w:cs="宋体"/>
                <w:bCs/>
                <w:sz w:val="24"/>
                <w:szCs w:val="24"/>
              </w:rPr>
            </w:pPr>
            <w:r>
              <w:rPr>
                <w:rFonts w:hint="eastAsia" w:ascii="宋体" w:hAnsi="宋体" w:eastAsia="宋体" w:cs="宋体"/>
                <w:sz w:val="24"/>
                <w:szCs w:val="24"/>
              </w:rPr>
              <w:t>50</w:t>
            </w:r>
          </w:p>
        </w:tc>
        <w:tc>
          <w:tcPr>
            <w:tcW w:w="472" w:type="pct"/>
            <w:shd w:val="clear" w:color="auto" w:fill="auto"/>
            <w:vAlign w:val="center"/>
          </w:tcPr>
          <w:p w14:paraId="175B86CB">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台</w:t>
            </w:r>
          </w:p>
        </w:tc>
        <w:tc>
          <w:tcPr>
            <w:tcW w:w="713" w:type="pct"/>
            <w:shd w:val="clear" w:color="auto" w:fill="auto"/>
            <w:noWrap/>
            <w:vAlign w:val="center"/>
          </w:tcPr>
          <w:p w14:paraId="707A7400">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拒绝进口</w:t>
            </w:r>
          </w:p>
        </w:tc>
        <w:tc>
          <w:tcPr>
            <w:tcW w:w="883" w:type="pct"/>
            <w:vMerge w:val="continue"/>
            <w:shd w:val="clear" w:color="auto" w:fill="auto"/>
            <w:noWrap/>
            <w:vAlign w:val="center"/>
          </w:tcPr>
          <w:p w14:paraId="7693F8D4">
            <w:pPr>
              <w:widowControl/>
              <w:spacing w:line="300" w:lineRule="auto"/>
              <w:jc w:val="center"/>
              <w:textAlignment w:val="center"/>
              <w:rPr>
                <w:rFonts w:hint="eastAsia" w:ascii="宋体" w:hAnsi="宋体" w:eastAsia="宋体" w:cs="宋体"/>
                <w:kern w:val="0"/>
                <w:sz w:val="24"/>
                <w:szCs w:val="24"/>
              </w:rPr>
            </w:pPr>
          </w:p>
        </w:tc>
      </w:tr>
      <w:tr w14:paraId="6FDD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pct"/>
            <w:shd w:val="clear" w:color="auto" w:fill="auto"/>
            <w:vAlign w:val="center"/>
          </w:tcPr>
          <w:p w14:paraId="28C025E5">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bCs/>
                <w:sz w:val="24"/>
                <w:szCs w:val="24"/>
              </w:rPr>
              <w:t>4</w:t>
            </w:r>
          </w:p>
        </w:tc>
        <w:tc>
          <w:tcPr>
            <w:tcW w:w="1999" w:type="pct"/>
            <w:shd w:val="clear" w:color="auto" w:fill="auto"/>
            <w:vAlign w:val="center"/>
          </w:tcPr>
          <w:p w14:paraId="59FE6712">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智能实验终端软件</w:t>
            </w:r>
          </w:p>
        </w:tc>
        <w:tc>
          <w:tcPr>
            <w:tcW w:w="481" w:type="pct"/>
            <w:shd w:val="clear" w:color="auto" w:fill="auto"/>
            <w:vAlign w:val="center"/>
          </w:tcPr>
          <w:p w14:paraId="6468EF20">
            <w:pPr>
              <w:widowControl/>
              <w:spacing w:line="300" w:lineRule="auto"/>
              <w:jc w:val="center"/>
              <w:textAlignment w:val="center"/>
              <w:rPr>
                <w:rFonts w:hint="eastAsia" w:ascii="宋体" w:hAnsi="宋体" w:eastAsia="宋体" w:cs="宋体"/>
                <w:bCs/>
                <w:sz w:val="24"/>
                <w:szCs w:val="24"/>
              </w:rPr>
            </w:pPr>
            <w:r>
              <w:rPr>
                <w:rFonts w:hint="eastAsia" w:ascii="宋体" w:hAnsi="宋体" w:eastAsia="宋体" w:cs="宋体"/>
                <w:sz w:val="24"/>
                <w:szCs w:val="24"/>
              </w:rPr>
              <w:t>50</w:t>
            </w:r>
          </w:p>
        </w:tc>
        <w:tc>
          <w:tcPr>
            <w:tcW w:w="472" w:type="pct"/>
            <w:shd w:val="clear" w:color="auto" w:fill="auto"/>
            <w:vAlign w:val="center"/>
          </w:tcPr>
          <w:p w14:paraId="1DCA24F1">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w:t>
            </w:r>
          </w:p>
        </w:tc>
        <w:tc>
          <w:tcPr>
            <w:tcW w:w="713" w:type="pct"/>
            <w:shd w:val="clear" w:color="auto" w:fill="auto"/>
            <w:noWrap/>
            <w:vAlign w:val="center"/>
          </w:tcPr>
          <w:p w14:paraId="4E83579B">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拒绝进口</w:t>
            </w:r>
          </w:p>
        </w:tc>
        <w:tc>
          <w:tcPr>
            <w:tcW w:w="883" w:type="pct"/>
            <w:vMerge w:val="continue"/>
            <w:shd w:val="clear" w:color="auto" w:fill="auto"/>
            <w:noWrap/>
            <w:vAlign w:val="center"/>
          </w:tcPr>
          <w:p w14:paraId="3971EB73">
            <w:pPr>
              <w:widowControl/>
              <w:spacing w:line="300" w:lineRule="auto"/>
              <w:jc w:val="center"/>
              <w:textAlignment w:val="center"/>
              <w:rPr>
                <w:rFonts w:hint="eastAsia" w:ascii="宋体" w:hAnsi="宋体" w:eastAsia="宋体" w:cs="宋体"/>
                <w:kern w:val="0"/>
                <w:sz w:val="24"/>
                <w:szCs w:val="24"/>
              </w:rPr>
            </w:pPr>
          </w:p>
        </w:tc>
      </w:tr>
      <w:tr w14:paraId="6046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49" w:type="pct"/>
            <w:shd w:val="clear" w:color="auto" w:fill="auto"/>
            <w:vAlign w:val="center"/>
          </w:tcPr>
          <w:p w14:paraId="2F826F5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bCs/>
                <w:sz w:val="24"/>
                <w:szCs w:val="24"/>
              </w:rPr>
              <w:t>5</w:t>
            </w:r>
          </w:p>
        </w:tc>
        <w:tc>
          <w:tcPr>
            <w:tcW w:w="1999" w:type="pct"/>
            <w:shd w:val="clear" w:color="auto" w:fill="auto"/>
            <w:vAlign w:val="center"/>
          </w:tcPr>
          <w:p w14:paraId="695FEB6F">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考场交换机</w:t>
            </w:r>
          </w:p>
        </w:tc>
        <w:tc>
          <w:tcPr>
            <w:tcW w:w="481" w:type="pct"/>
            <w:shd w:val="clear" w:color="auto" w:fill="auto"/>
          </w:tcPr>
          <w:p w14:paraId="710795D9">
            <w:pPr>
              <w:widowControl/>
              <w:spacing w:line="30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2</w:t>
            </w:r>
          </w:p>
        </w:tc>
        <w:tc>
          <w:tcPr>
            <w:tcW w:w="472" w:type="pct"/>
            <w:shd w:val="clear" w:color="auto" w:fill="auto"/>
            <w:vAlign w:val="center"/>
          </w:tcPr>
          <w:p w14:paraId="0698FF23">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台</w:t>
            </w:r>
          </w:p>
        </w:tc>
        <w:tc>
          <w:tcPr>
            <w:tcW w:w="713" w:type="pct"/>
            <w:shd w:val="clear" w:color="auto" w:fill="auto"/>
            <w:noWrap/>
            <w:vAlign w:val="center"/>
          </w:tcPr>
          <w:p w14:paraId="4761A7BB">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拒绝进口</w:t>
            </w:r>
          </w:p>
        </w:tc>
        <w:tc>
          <w:tcPr>
            <w:tcW w:w="883" w:type="pct"/>
            <w:vMerge w:val="continue"/>
            <w:shd w:val="clear" w:color="auto" w:fill="auto"/>
            <w:noWrap/>
            <w:vAlign w:val="center"/>
          </w:tcPr>
          <w:p w14:paraId="597F109D">
            <w:pPr>
              <w:widowControl/>
              <w:spacing w:line="300" w:lineRule="auto"/>
              <w:jc w:val="center"/>
              <w:textAlignment w:val="center"/>
              <w:rPr>
                <w:rFonts w:hint="eastAsia" w:ascii="宋体" w:hAnsi="宋体" w:eastAsia="宋体" w:cs="宋体"/>
                <w:kern w:val="0"/>
                <w:sz w:val="24"/>
                <w:szCs w:val="24"/>
              </w:rPr>
            </w:pPr>
          </w:p>
        </w:tc>
      </w:tr>
      <w:tr w14:paraId="4199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49" w:type="pct"/>
            <w:shd w:val="clear" w:color="auto" w:fill="auto"/>
            <w:vAlign w:val="center"/>
          </w:tcPr>
          <w:p w14:paraId="5D0C3BAF">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bCs/>
                <w:sz w:val="24"/>
                <w:szCs w:val="24"/>
              </w:rPr>
              <w:t>6</w:t>
            </w:r>
          </w:p>
        </w:tc>
        <w:tc>
          <w:tcPr>
            <w:tcW w:w="1999" w:type="pct"/>
            <w:shd w:val="clear" w:color="auto" w:fill="auto"/>
            <w:vAlign w:val="center"/>
          </w:tcPr>
          <w:p w14:paraId="546EEA98">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小型机柜</w:t>
            </w:r>
          </w:p>
        </w:tc>
        <w:tc>
          <w:tcPr>
            <w:tcW w:w="481" w:type="pct"/>
            <w:shd w:val="clear" w:color="auto" w:fill="auto"/>
          </w:tcPr>
          <w:p w14:paraId="1F0075BD">
            <w:pPr>
              <w:widowControl/>
              <w:spacing w:line="30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2</w:t>
            </w:r>
          </w:p>
        </w:tc>
        <w:tc>
          <w:tcPr>
            <w:tcW w:w="472" w:type="pct"/>
            <w:shd w:val="clear" w:color="auto" w:fill="auto"/>
            <w:vAlign w:val="center"/>
          </w:tcPr>
          <w:p w14:paraId="339B1B99">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个</w:t>
            </w:r>
          </w:p>
        </w:tc>
        <w:tc>
          <w:tcPr>
            <w:tcW w:w="713" w:type="pct"/>
            <w:shd w:val="clear" w:color="auto" w:fill="auto"/>
            <w:noWrap/>
            <w:vAlign w:val="center"/>
          </w:tcPr>
          <w:p w14:paraId="196D3990">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拒绝进口</w:t>
            </w:r>
          </w:p>
        </w:tc>
        <w:tc>
          <w:tcPr>
            <w:tcW w:w="883" w:type="pct"/>
            <w:vMerge w:val="continue"/>
            <w:shd w:val="clear" w:color="auto" w:fill="auto"/>
            <w:noWrap/>
            <w:vAlign w:val="center"/>
          </w:tcPr>
          <w:p w14:paraId="179EBCF2">
            <w:pPr>
              <w:widowControl/>
              <w:spacing w:line="300" w:lineRule="auto"/>
              <w:jc w:val="center"/>
              <w:textAlignment w:val="center"/>
              <w:rPr>
                <w:rFonts w:hint="eastAsia" w:ascii="宋体" w:hAnsi="宋体" w:eastAsia="宋体" w:cs="宋体"/>
                <w:kern w:val="0"/>
                <w:sz w:val="24"/>
                <w:szCs w:val="24"/>
              </w:rPr>
            </w:pPr>
          </w:p>
        </w:tc>
      </w:tr>
      <w:tr w14:paraId="36F7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49" w:type="pct"/>
            <w:shd w:val="clear" w:color="auto" w:fill="auto"/>
            <w:vAlign w:val="center"/>
          </w:tcPr>
          <w:p w14:paraId="2BD006A0">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bCs/>
                <w:sz w:val="24"/>
                <w:szCs w:val="24"/>
              </w:rPr>
              <w:t>7</w:t>
            </w:r>
          </w:p>
        </w:tc>
        <w:tc>
          <w:tcPr>
            <w:tcW w:w="1999" w:type="pct"/>
            <w:shd w:val="clear" w:color="auto" w:fill="auto"/>
            <w:vAlign w:val="center"/>
          </w:tcPr>
          <w:p w14:paraId="311F189E">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移动硬盘</w:t>
            </w:r>
          </w:p>
        </w:tc>
        <w:tc>
          <w:tcPr>
            <w:tcW w:w="481" w:type="pct"/>
            <w:shd w:val="clear" w:color="auto" w:fill="auto"/>
          </w:tcPr>
          <w:p w14:paraId="643CBCFB">
            <w:pPr>
              <w:widowControl/>
              <w:spacing w:line="30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2</w:t>
            </w:r>
          </w:p>
        </w:tc>
        <w:tc>
          <w:tcPr>
            <w:tcW w:w="472" w:type="pct"/>
            <w:shd w:val="clear" w:color="auto" w:fill="auto"/>
            <w:vAlign w:val="center"/>
          </w:tcPr>
          <w:p w14:paraId="639D752B">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个</w:t>
            </w:r>
          </w:p>
        </w:tc>
        <w:tc>
          <w:tcPr>
            <w:tcW w:w="713" w:type="pct"/>
            <w:shd w:val="clear" w:color="auto" w:fill="auto"/>
            <w:noWrap/>
            <w:vAlign w:val="center"/>
          </w:tcPr>
          <w:p w14:paraId="21160B63">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拒绝进口</w:t>
            </w:r>
          </w:p>
        </w:tc>
        <w:tc>
          <w:tcPr>
            <w:tcW w:w="883" w:type="pct"/>
            <w:vMerge w:val="continue"/>
            <w:shd w:val="clear" w:color="auto" w:fill="auto"/>
            <w:noWrap/>
            <w:vAlign w:val="center"/>
          </w:tcPr>
          <w:p w14:paraId="58C76691">
            <w:pPr>
              <w:widowControl/>
              <w:spacing w:line="300" w:lineRule="auto"/>
              <w:jc w:val="center"/>
              <w:textAlignment w:val="center"/>
              <w:rPr>
                <w:rFonts w:hint="eastAsia" w:ascii="宋体" w:hAnsi="宋体" w:eastAsia="宋体" w:cs="宋体"/>
                <w:kern w:val="0"/>
                <w:sz w:val="24"/>
                <w:szCs w:val="24"/>
              </w:rPr>
            </w:pPr>
          </w:p>
        </w:tc>
      </w:tr>
      <w:tr w14:paraId="1FFD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pct"/>
            <w:shd w:val="clear" w:color="auto" w:fill="auto"/>
            <w:vAlign w:val="center"/>
          </w:tcPr>
          <w:p w14:paraId="366063CB">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bCs/>
                <w:sz w:val="24"/>
                <w:szCs w:val="24"/>
              </w:rPr>
              <w:t>8</w:t>
            </w:r>
          </w:p>
        </w:tc>
        <w:tc>
          <w:tcPr>
            <w:tcW w:w="1999" w:type="pct"/>
            <w:shd w:val="clear" w:color="auto" w:fill="auto"/>
          </w:tcPr>
          <w:p w14:paraId="17BDF342">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考场监考专用管理主机</w:t>
            </w:r>
          </w:p>
        </w:tc>
        <w:tc>
          <w:tcPr>
            <w:tcW w:w="481" w:type="pct"/>
            <w:shd w:val="clear" w:color="auto" w:fill="auto"/>
          </w:tcPr>
          <w:p w14:paraId="6E65EB39">
            <w:pPr>
              <w:widowControl/>
              <w:spacing w:line="30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2</w:t>
            </w:r>
          </w:p>
        </w:tc>
        <w:tc>
          <w:tcPr>
            <w:tcW w:w="472" w:type="pct"/>
            <w:shd w:val="clear" w:color="auto" w:fill="auto"/>
            <w:vAlign w:val="center"/>
          </w:tcPr>
          <w:p w14:paraId="288A4C66">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台</w:t>
            </w:r>
          </w:p>
        </w:tc>
        <w:tc>
          <w:tcPr>
            <w:tcW w:w="713" w:type="pct"/>
            <w:shd w:val="clear" w:color="auto" w:fill="auto"/>
            <w:noWrap/>
            <w:vAlign w:val="center"/>
          </w:tcPr>
          <w:p w14:paraId="2A98FC3B">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拒绝进口</w:t>
            </w:r>
          </w:p>
        </w:tc>
        <w:tc>
          <w:tcPr>
            <w:tcW w:w="883" w:type="pct"/>
            <w:vMerge w:val="continue"/>
            <w:shd w:val="clear" w:color="auto" w:fill="auto"/>
            <w:noWrap/>
            <w:vAlign w:val="center"/>
          </w:tcPr>
          <w:p w14:paraId="67DCD5D2">
            <w:pPr>
              <w:widowControl/>
              <w:spacing w:line="300" w:lineRule="auto"/>
              <w:jc w:val="center"/>
              <w:textAlignment w:val="center"/>
              <w:rPr>
                <w:rFonts w:hint="eastAsia" w:ascii="宋体" w:hAnsi="宋体" w:eastAsia="宋体" w:cs="宋体"/>
                <w:kern w:val="0"/>
                <w:sz w:val="24"/>
                <w:szCs w:val="24"/>
              </w:rPr>
            </w:pPr>
          </w:p>
        </w:tc>
      </w:tr>
      <w:tr w14:paraId="3D9D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pct"/>
            <w:shd w:val="clear" w:color="auto" w:fill="auto"/>
            <w:vAlign w:val="center"/>
          </w:tcPr>
          <w:p w14:paraId="6A0DFEAC">
            <w:pPr>
              <w:widowControl/>
              <w:spacing w:line="360" w:lineRule="auto"/>
              <w:jc w:val="center"/>
              <w:textAlignment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w:t>
            </w:r>
          </w:p>
        </w:tc>
        <w:tc>
          <w:tcPr>
            <w:tcW w:w="1999" w:type="pct"/>
            <w:shd w:val="clear" w:color="auto" w:fill="auto"/>
            <w:vAlign w:val="center"/>
          </w:tcPr>
          <w:p w14:paraId="4456C68D">
            <w:pPr>
              <w:widowControl/>
              <w:spacing w:line="30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供电专用主机</w:t>
            </w:r>
          </w:p>
        </w:tc>
        <w:tc>
          <w:tcPr>
            <w:tcW w:w="481" w:type="pct"/>
            <w:shd w:val="clear" w:color="auto" w:fill="auto"/>
            <w:vAlign w:val="top"/>
          </w:tcPr>
          <w:p w14:paraId="7533650C">
            <w:pPr>
              <w:widowControl/>
              <w:spacing w:line="30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2</w:t>
            </w:r>
          </w:p>
        </w:tc>
        <w:tc>
          <w:tcPr>
            <w:tcW w:w="472" w:type="pct"/>
            <w:shd w:val="clear" w:color="auto" w:fill="auto"/>
            <w:vAlign w:val="center"/>
          </w:tcPr>
          <w:p w14:paraId="75A0525F">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套</w:t>
            </w:r>
          </w:p>
        </w:tc>
        <w:tc>
          <w:tcPr>
            <w:tcW w:w="713" w:type="pct"/>
            <w:shd w:val="clear" w:color="auto" w:fill="auto"/>
            <w:noWrap/>
            <w:vAlign w:val="top"/>
          </w:tcPr>
          <w:p w14:paraId="771C1CB7">
            <w:pPr>
              <w:widowControl/>
              <w:spacing w:line="30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拒绝进口</w:t>
            </w:r>
          </w:p>
        </w:tc>
        <w:tc>
          <w:tcPr>
            <w:tcW w:w="883" w:type="pct"/>
            <w:vMerge w:val="continue"/>
            <w:shd w:val="clear" w:color="auto" w:fill="auto"/>
            <w:noWrap/>
            <w:vAlign w:val="center"/>
          </w:tcPr>
          <w:p w14:paraId="7896D379">
            <w:pPr>
              <w:widowControl/>
              <w:spacing w:line="300" w:lineRule="auto"/>
              <w:jc w:val="center"/>
              <w:textAlignment w:val="center"/>
              <w:rPr>
                <w:rFonts w:hint="eastAsia" w:ascii="宋体" w:hAnsi="宋体" w:eastAsia="宋体" w:cs="宋体"/>
                <w:kern w:val="0"/>
                <w:sz w:val="24"/>
                <w:szCs w:val="24"/>
              </w:rPr>
            </w:pPr>
          </w:p>
        </w:tc>
      </w:tr>
      <w:tr w14:paraId="2351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49" w:type="pct"/>
            <w:shd w:val="clear" w:color="auto" w:fill="auto"/>
            <w:vAlign w:val="center"/>
          </w:tcPr>
          <w:p w14:paraId="3997D8B3">
            <w:pPr>
              <w:widowControl/>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bCs/>
                <w:sz w:val="24"/>
                <w:szCs w:val="24"/>
                <w:lang w:val="en-US" w:eastAsia="zh-CN"/>
              </w:rPr>
              <w:t>10</w:t>
            </w:r>
          </w:p>
        </w:tc>
        <w:tc>
          <w:tcPr>
            <w:tcW w:w="1999" w:type="pct"/>
            <w:shd w:val="clear" w:color="auto" w:fill="auto"/>
            <w:vAlign w:val="center"/>
          </w:tcPr>
          <w:p w14:paraId="2E6B9418">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信号屏蔽器</w:t>
            </w:r>
          </w:p>
        </w:tc>
        <w:tc>
          <w:tcPr>
            <w:tcW w:w="481" w:type="pct"/>
            <w:shd w:val="clear" w:color="auto" w:fill="auto"/>
          </w:tcPr>
          <w:p w14:paraId="6B4EBFE8">
            <w:pPr>
              <w:widowControl/>
              <w:spacing w:line="30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2</w:t>
            </w:r>
          </w:p>
        </w:tc>
        <w:tc>
          <w:tcPr>
            <w:tcW w:w="472" w:type="pct"/>
            <w:shd w:val="clear" w:color="auto" w:fill="auto"/>
            <w:vAlign w:val="center"/>
          </w:tcPr>
          <w:p w14:paraId="3EB93413">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台</w:t>
            </w:r>
          </w:p>
        </w:tc>
        <w:tc>
          <w:tcPr>
            <w:tcW w:w="713" w:type="pct"/>
            <w:shd w:val="clear" w:color="auto" w:fill="auto"/>
            <w:noWrap/>
            <w:vAlign w:val="center"/>
          </w:tcPr>
          <w:p w14:paraId="5F5BB89C">
            <w:pPr>
              <w:widowControl/>
              <w:spacing w:line="300" w:lineRule="auto"/>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拒绝进口</w:t>
            </w:r>
          </w:p>
        </w:tc>
        <w:tc>
          <w:tcPr>
            <w:tcW w:w="883" w:type="pct"/>
            <w:vMerge w:val="continue"/>
            <w:shd w:val="clear" w:color="auto" w:fill="auto"/>
            <w:noWrap/>
            <w:vAlign w:val="center"/>
          </w:tcPr>
          <w:p w14:paraId="38FA1C1D">
            <w:pPr>
              <w:widowControl/>
              <w:spacing w:line="300" w:lineRule="auto"/>
              <w:jc w:val="center"/>
              <w:textAlignment w:val="center"/>
              <w:rPr>
                <w:rFonts w:hint="eastAsia" w:ascii="宋体" w:hAnsi="宋体" w:eastAsia="宋体" w:cs="宋体"/>
                <w:kern w:val="0"/>
                <w:sz w:val="24"/>
                <w:szCs w:val="24"/>
              </w:rPr>
            </w:pPr>
          </w:p>
        </w:tc>
      </w:tr>
      <w:tr w14:paraId="21D1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49" w:type="pct"/>
            <w:shd w:val="clear" w:color="auto" w:fill="auto"/>
            <w:vAlign w:val="center"/>
          </w:tcPr>
          <w:p w14:paraId="72A86B26">
            <w:pPr>
              <w:widowControl/>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bCs/>
                <w:sz w:val="24"/>
                <w:szCs w:val="24"/>
                <w:lang w:val="en-US" w:eastAsia="zh-CN"/>
              </w:rPr>
              <w:t>11</w:t>
            </w:r>
          </w:p>
        </w:tc>
        <w:tc>
          <w:tcPr>
            <w:tcW w:w="1999" w:type="pct"/>
            <w:shd w:val="clear" w:color="auto" w:fill="auto"/>
            <w:vAlign w:val="center"/>
          </w:tcPr>
          <w:p w14:paraId="76F44624">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bCs/>
                <w:sz w:val="24"/>
                <w:szCs w:val="24"/>
              </w:rPr>
              <w:t>巡考摄像头</w:t>
            </w:r>
          </w:p>
        </w:tc>
        <w:tc>
          <w:tcPr>
            <w:tcW w:w="481" w:type="pct"/>
            <w:shd w:val="clear" w:color="auto" w:fill="auto"/>
          </w:tcPr>
          <w:p w14:paraId="5F4E5F31">
            <w:pPr>
              <w:widowControl/>
              <w:spacing w:line="30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4</w:t>
            </w:r>
          </w:p>
        </w:tc>
        <w:tc>
          <w:tcPr>
            <w:tcW w:w="472" w:type="pct"/>
            <w:shd w:val="clear" w:color="auto" w:fill="auto"/>
            <w:vAlign w:val="center"/>
          </w:tcPr>
          <w:p w14:paraId="1713D191">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bCs/>
                <w:sz w:val="24"/>
                <w:szCs w:val="24"/>
              </w:rPr>
              <w:t>个</w:t>
            </w:r>
          </w:p>
        </w:tc>
        <w:tc>
          <w:tcPr>
            <w:tcW w:w="713" w:type="pct"/>
            <w:shd w:val="clear" w:color="auto" w:fill="auto"/>
            <w:noWrap/>
            <w:vAlign w:val="center"/>
          </w:tcPr>
          <w:p w14:paraId="0C1A3793">
            <w:pPr>
              <w:widowControl/>
              <w:spacing w:line="30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拒绝进口</w:t>
            </w:r>
          </w:p>
        </w:tc>
        <w:tc>
          <w:tcPr>
            <w:tcW w:w="883" w:type="pct"/>
            <w:vMerge w:val="continue"/>
            <w:shd w:val="clear" w:color="auto" w:fill="auto"/>
            <w:noWrap/>
            <w:vAlign w:val="center"/>
          </w:tcPr>
          <w:p w14:paraId="07445E2F">
            <w:pPr>
              <w:widowControl/>
              <w:spacing w:line="300" w:lineRule="auto"/>
              <w:jc w:val="center"/>
              <w:textAlignment w:val="center"/>
              <w:rPr>
                <w:rFonts w:hint="eastAsia" w:ascii="宋体" w:hAnsi="宋体" w:eastAsia="宋体" w:cs="宋体"/>
                <w:kern w:val="0"/>
                <w:sz w:val="24"/>
                <w:szCs w:val="24"/>
              </w:rPr>
            </w:pPr>
          </w:p>
        </w:tc>
      </w:tr>
      <w:tr w14:paraId="2829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49" w:type="pct"/>
            <w:shd w:val="clear" w:color="auto" w:fill="auto"/>
            <w:vAlign w:val="center"/>
          </w:tcPr>
          <w:p w14:paraId="68AEFED4">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2</w:t>
            </w:r>
          </w:p>
        </w:tc>
        <w:tc>
          <w:tcPr>
            <w:tcW w:w="1999" w:type="pct"/>
            <w:shd w:val="clear" w:color="auto" w:fill="auto"/>
            <w:vAlign w:val="center"/>
          </w:tcPr>
          <w:p w14:paraId="1955674C">
            <w:pPr>
              <w:widowControl/>
              <w:spacing w:line="300" w:lineRule="auto"/>
              <w:jc w:val="center"/>
              <w:textAlignment w:val="center"/>
              <w:rPr>
                <w:rFonts w:hint="eastAsia" w:ascii="宋体" w:hAnsi="宋体" w:eastAsia="宋体" w:cs="宋体"/>
                <w:bCs/>
                <w:sz w:val="24"/>
                <w:szCs w:val="24"/>
              </w:rPr>
            </w:pPr>
            <w:r>
              <w:rPr>
                <w:rFonts w:hint="eastAsia" w:ascii="宋体" w:hAnsi="宋体" w:eastAsia="宋体" w:cs="宋体"/>
                <w:color w:val="000000"/>
                <w:kern w:val="0"/>
                <w:sz w:val="24"/>
                <w:szCs w:val="24"/>
              </w:rPr>
              <w:t>显卡</w:t>
            </w:r>
          </w:p>
        </w:tc>
        <w:tc>
          <w:tcPr>
            <w:tcW w:w="481" w:type="pct"/>
            <w:shd w:val="clear" w:color="auto" w:fill="auto"/>
          </w:tcPr>
          <w:p w14:paraId="246FA25C">
            <w:pPr>
              <w:widowControl/>
              <w:spacing w:line="30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2</w:t>
            </w:r>
          </w:p>
        </w:tc>
        <w:tc>
          <w:tcPr>
            <w:tcW w:w="472" w:type="pct"/>
            <w:shd w:val="clear" w:color="auto" w:fill="auto"/>
            <w:vAlign w:val="center"/>
          </w:tcPr>
          <w:p w14:paraId="7AD028C9">
            <w:pPr>
              <w:widowControl/>
              <w:spacing w:line="300" w:lineRule="auto"/>
              <w:jc w:val="center"/>
              <w:textAlignment w:val="center"/>
              <w:rPr>
                <w:rFonts w:hint="eastAsia" w:ascii="宋体" w:hAnsi="宋体" w:eastAsia="宋体" w:cs="宋体"/>
                <w:bCs/>
                <w:sz w:val="24"/>
                <w:szCs w:val="24"/>
              </w:rPr>
            </w:pPr>
            <w:r>
              <w:rPr>
                <w:rFonts w:hint="eastAsia" w:ascii="宋体" w:hAnsi="宋体" w:eastAsia="宋体" w:cs="宋体"/>
                <w:color w:val="000000"/>
                <w:kern w:val="0"/>
                <w:sz w:val="24"/>
                <w:szCs w:val="24"/>
              </w:rPr>
              <w:t>块</w:t>
            </w:r>
          </w:p>
        </w:tc>
        <w:tc>
          <w:tcPr>
            <w:tcW w:w="713" w:type="pct"/>
            <w:shd w:val="clear" w:color="auto" w:fill="auto"/>
            <w:noWrap/>
            <w:vAlign w:val="center"/>
          </w:tcPr>
          <w:p w14:paraId="644A27D3">
            <w:pPr>
              <w:widowControl/>
              <w:spacing w:line="30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拒绝进口</w:t>
            </w:r>
          </w:p>
        </w:tc>
        <w:tc>
          <w:tcPr>
            <w:tcW w:w="883" w:type="pct"/>
            <w:vMerge w:val="continue"/>
            <w:shd w:val="clear" w:color="auto" w:fill="auto"/>
            <w:noWrap/>
            <w:vAlign w:val="center"/>
          </w:tcPr>
          <w:p w14:paraId="685D6236">
            <w:pPr>
              <w:widowControl/>
              <w:spacing w:line="300" w:lineRule="auto"/>
              <w:jc w:val="center"/>
              <w:textAlignment w:val="center"/>
              <w:rPr>
                <w:rFonts w:hint="eastAsia" w:ascii="宋体" w:hAnsi="宋体" w:eastAsia="宋体" w:cs="宋体"/>
                <w:color w:val="000000"/>
                <w:kern w:val="0"/>
                <w:sz w:val="24"/>
                <w:szCs w:val="24"/>
              </w:rPr>
            </w:pPr>
          </w:p>
        </w:tc>
      </w:tr>
      <w:tr w14:paraId="7990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49" w:type="pct"/>
            <w:shd w:val="clear" w:color="auto" w:fill="auto"/>
            <w:vAlign w:val="center"/>
          </w:tcPr>
          <w:p w14:paraId="7A59F11B">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3</w:t>
            </w:r>
          </w:p>
        </w:tc>
        <w:tc>
          <w:tcPr>
            <w:tcW w:w="1999" w:type="pct"/>
            <w:shd w:val="clear" w:color="auto" w:fill="auto"/>
            <w:vAlign w:val="center"/>
          </w:tcPr>
          <w:p w14:paraId="75357DB7">
            <w:pPr>
              <w:widowControl/>
              <w:spacing w:line="30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隔音机柜</w:t>
            </w:r>
          </w:p>
        </w:tc>
        <w:tc>
          <w:tcPr>
            <w:tcW w:w="481" w:type="pct"/>
            <w:shd w:val="clear" w:color="auto" w:fill="auto"/>
            <w:vAlign w:val="center"/>
          </w:tcPr>
          <w:p w14:paraId="2B53C6F0">
            <w:pPr>
              <w:widowControl/>
              <w:spacing w:line="30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1</w:t>
            </w:r>
          </w:p>
        </w:tc>
        <w:tc>
          <w:tcPr>
            <w:tcW w:w="472" w:type="pct"/>
            <w:shd w:val="clear" w:color="auto" w:fill="auto"/>
            <w:vAlign w:val="center"/>
          </w:tcPr>
          <w:p w14:paraId="1C5B4F68">
            <w:pPr>
              <w:widowControl/>
              <w:spacing w:line="30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713" w:type="pct"/>
            <w:shd w:val="clear" w:color="auto" w:fill="auto"/>
            <w:noWrap/>
            <w:vAlign w:val="center"/>
          </w:tcPr>
          <w:p w14:paraId="5A55541E">
            <w:pPr>
              <w:widowControl/>
              <w:spacing w:line="300" w:lineRule="auto"/>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拒绝进口</w:t>
            </w:r>
          </w:p>
        </w:tc>
        <w:tc>
          <w:tcPr>
            <w:tcW w:w="883" w:type="pct"/>
            <w:vMerge w:val="continue"/>
            <w:shd w:val="clear" w:color="auto" w:fill="auto"/>
            <w:noWrap/>
            <w:vAlign w:val="center"/>
          </w:tcPr>
          <w:p w14:paraId="612E4E37">
            <w:pPr>
              <w:widowControl/>
              <w:spacing w:line="300" w:lineRule="auto"/>
              <w:jc w:val="center"/>
              <w:textAlignment w:val="center"/>
              <w:rPr>
                <w:rFonts w:hint="eastAsia" w:ascii="宋体" w:hAnsi="宋体" w:eastAsia="宋体" w:cs="宋体"/>
                <w:color w:val="000000"/>
                <w:kern w:val="0"/>
                <w:sz w:val="24"/>
                <w:szCs w:val="24"/>
              </w:rPr>
            </w:pPr>
          </w:p>
        </w:tc>
      </w:tr>
    </w:tbl>
    <w:p w14:paraId="6A9A07E6">
      <w:pPr>
        <w:spacing w:line="360" w:lineRule="auto"/>
        <w:rPr>
          <w:rFonts w:hint="eastAsia" w:ascii="宋体" w:hAnsi="宋体" w:eastAsia="宋体" w:cs="宋体"/>
          <w:b/>
          <w:color w:val="FF0000"/>
          <w:szCs w:val="21"/>
        </w:rPr>
      </w:pPr>
      <w:r>
        <w:rPr>
          <w:rFonts w:hint="eastAsia" w:ascii="宋体" w:hAnsi="宋体" w:eastAsia="宋体" w:cs="宋体"/>
          <w:b/>
          <w:color w:val="FF0000"/>
          <w:szCs w:val="21"/>
        </w:rPr>
        <w:t>备注：全部货物清单单价乘以数量=财政预算总额</w:t>
      </w:r>
    </w:p>
    <w:p w14:paraId="18A5F362">
      <w:pPr>
        <w:spacing w:line="360" w:lineRule="auto"/>
        <w:rPr>
          <w:rFonts w:hint="eastAsia" w:ascii="宋体" w:hAnsi="宋体" w:eastAsia="宋体" w:cs="宋体"/>
          <w:b/>
          <w:color w:val="FF0000"/>
          <w:szCs w:val="21"/>
        </w:rPr>
      </w:pPr>
      <w:r>
        <w:rPr>
          <w:rFonts w:hint="eastAsia" w:ascii="宋体" w:hAnsi="宋体" w:eastAsia="宋体" w:cs="宋体"/>
          <w:b/>
          <w:color w:val="FF0000"/>
          <w:szCs w:val="21"/>
        </w:rPr>
        <w:t>本项目核心产品为：</w:t>
      </w:r>
      <w:r>
        <w:rPr>
          <w:rFonts w:hint="eastAsia" w:ascii="宋体" w:hAnsi="宋体" w:eastAsia="宋体" w:cs="宋体"/>
          <w:b/>
          <w:color w:val="FF0000"/>
          <w:szCs w:val="21"/>
          <w:u w:val="single"/>
        </w:rPr>
        <w:t>智能实验终端</w:t>
      </w:r>
    </w:p>
    <w:p w14:paraId="30081747">
      <w:pPr>
        <w:spacing w:line="360" w:lineRule="auto"/>
        <w:ind w:firstLine="440" w:firstLineChars="200"/>
        <w:rPr>
          <w:rFonts w:hint="eastAsia" w:ascii="宋体" w:hAnsi="宋体" w:eastAsia="宋体" w:cs="宋体"/>
          <w:bCs/>
          <w:color w:val="FF0000"/>
          <w:sz w:val="22"/>
          <w:szCs w:val="20"/>
        </w:rPr>
      </w:pPr>
      <w:r>
        <w:rPr>
          <w:rFonts w:hint="eastAsia" w:ascii="宋体" w:hAnsi="宋体" w:eastAsia="宋体" w:cs="宋体"/>
          <w:bCs/>
          <w:color w:val="FF0000"/>
          <w:sz w:val="22"/>
          <w:szCs w:val="20"/>
        </w:rPr>
        <w:t xml:space="preserve">备注：1.备注栏注明“拒绝进口”的产品不接受投标人选用进口产品参与投标；注明“接受进口”的产品允许投标人选用进口产品参与投标，但不排斥国内产品。 </w:t>
      </w:r>
    </w:p>
    <w:p w14:paraId="383069AC">
      <w:pPr>
        <w:spacing w:line="360" w:lineRule="auto"/>
        <w:rPr>
          <w:rFonts w:hint="eastAsia" w:ascii="宋体" w:hAnsi="宋体" w:eastAsia="宋体" w:cs="宋体"/>
          <w:bCs/>
          <w:color w:val="FF0000"/>
          <w:sz w:val="22"/>
          <w:szCs w:val="20"/>
        </w:rPr>
      </w:pPr>
      <w:r>
        <w:rPr>
          <w:rFonts w:hint="eastAsia" w:ascii="宋体" w:hAnsi="宋体" w:eastAsia="宋体" w:cs="宋体"/>
          <w:bCs/>
          <w:color w:val="FF0000"/>
          <w:sz w:val="22"/>
          <w:szCs w:val="20"/>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47C62D85">
      <w:pPr>
        <w:keepNext/>
        <w:keepLines/>
        <w:widowControl w:val="0"/>
        <w:spacing w:before="260" w:after="260" w:line="416" w:lineRule="auto"/>
        <w:jc w:val="center"/>
        <w:outlineLvl w:val="1"/>
        <w:rPr>
          <w:rFonts w:ascii="Cambria" w:hAnsi="Cambria" w:eastAsia="宋体"/>
          <w:b/>
          <w:bCs/>
          <w:kern w:val="2"/>
          <w:sz w:val="32"/>
          <w:szCs w:val="32"/>
          <w:lang w:eastAsia="zh-CN"/>
        </w:rPr>
      </w:pPr>
      <w:bookmarkStart w:id="13" w:name="_Toc128884461"/>
      <w:r>
        <w:rPr>
          <w:rFonts w:hint="eastAsia" w:ascii="Cambria" w:hAnsi="Cambria" w:eastAsia="宋体" w:cstheme="majorBidi"/>
          <w:b/>
          <w:bCs/>
          <w:kern w:val="2"/>
          <w:sz w:val="32"/>
          <w:szCs w:val="32"/>
          <w:lang w:eastAsia="zh-CN"/>
        </w:rPr>
        <w:t>三、实质性条款</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093"/>
      </w:tblGrid>
      <w:tr w14:paraId="05B0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705" w:type="dxa"/>
            <w:vAlign w:val="center"/>
          </w:tcPr>
          <w:p w14:paraId="22EDAE66">
            <w:pPr>
              <w:widowControl w:val="0"/>
              <w:spacing w:line="360"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序号</w:t>
            </w:r>
          </w:p>
        </w:tc>
        <w:tc>
          <w:tcPr>
            <w:tcW w:w="7483" w:type="dxa"/>
            <w:vAlign w:val="center"/>
          </w:tcPr>
          <w:p w14:paraId="1F230A30">
            <w:pPr>
              <w:widowControl w:val="0"/>
              <w:spacing w:line="360"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实质性条款具体内容</w:t>
            </w:r>
          </w:p>
        </w:tc>
      </w:tr>
      <w:tr w14:paraId="5804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8C0C7EF">
            <w:pPr>
              <w:widowControl w:val="0"/>
              <w:spacing w:line="360"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7483" w:type="dxa"/>
            <w:vAlign w:val="center"/>
          </w:tcPr>
          <w:p w14:paraId="59118A73">
            <w:pPr>
              <w:widowControl w:val="0"/>
              <w:spacing w:line="360" w:lineRule="auto"/>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本项目招标文件中所有带★号条款内容</w:t>
            </w:r>
          </w:p>
        </w:tc>
      </w:tr>
      <w:bookmarkEnd w:id="13"/>
    </w:tbl>
    <w:p w14:paraId="357F3E1C">
      <w:pPr>
        <w:widowControl w:val="0"/>
        <w:spacing w:line="360" w:lineRule="auto"/>
        <w:jc w:val="both"/>
        <w:rPr>
          <w:rFonts w:ascii="Calibri" w:hAnsi="Calibri" w:eastAsia="宋体"/>
          <w:b/>
          <w:color w:val="FF0000"/>
          <w:kern w:val="2"/>
          <w:sz w:val="21"/>
          <w:szCs w:val="22"/>
          <w:lang w:eastAsia="zh-CN"/>
        </w:rPr>
      </w:pPr>
      <w:r>
        <w:rPr>
          <w:rFonts w:hint="eastAsia" w:ascii="Calibri" w:hAnsi="Calibri" w:eastAsia="宋体" w:cstheme="minorBidi"/>
          <w:b/>
          <w:color w:val="FF0000"/>
          <w:kern w:val="2"/>
          <w:sz w:val="21"/>
          <w:szCs w:val="22"/>
          <w:lang w:eastAsia="zh-CN"/>
        </w:rPr>
        <w:t>注：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14:paraId="4EA08F34">
      <w:pPr>
        <w:keepNext/>
        <w:keepLines/>
        <w:widowControl w:val="0"/>
        <w:spacing w:before="260" w:after="260" w:line="416" w:lineRule="auto"/>
        <w:jc w:val="center"/>
        <w:outlineLvl w:val="1"/>
        <w:rPr>
          <w:rFonts w:hint="eastAsia" w:ascii="Cambria" w:hAnsi="Cambria" w:eastAsia="宋体" w:cstheme="majorBidi"/>
          <w:b/>
          <w:bCs/>
          <w:kern w:val="2"/>
          <w:sz w:val="32"/>
          <w:szCs w:val="32"/>
          <w:lang w:eastAsia="zh-CN"/>
        </w:rPr>
      </w:pPr>
      <w:r>
        <w:rPr>
          <w:rFonts w:hint="eastAsia" w:ascii="Cambria" w:hAnsi="Cambria" w:eastAsia="宋体" w:cstheme="majorBidi"/>
          <w:b/>
          <w:bCs/>
          <w:kern w:val="2"/>
          <w:sz w:val="32"/>
          <w:szCs w:val="32"/>
          <w:lang w:eastAsia="zh-CN"/>
        </w:rPr>
        <w:t>四、商务</w:t>
      </w:r>
      <w:r>
        <w:rPr>
          <w:rFonts w:hint="eastAsia" w:ascii="Cambria" w:hAnsi="Cambria" w:eastAsia="宋体" w:cstheme="majorBidi"/>
          <w:b/>
          <w:bCs/>
          <w:kern w:val="2"/>
          <w:sz w:val="32"/>
          <w:szCs w:val="32"/>
          <w:lang w:val="en-US" w:eastAsia="zh-CN"/>
        </w:rPr>
        <w:t>需求</w:t>
      </w:r>
    </w:p>
    <w:tbl>
      <w:tblPr>
        <w:tblStyle w:val="1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033"/>
        <w:gridCol w:w="5349"/>
      </w:tblGrid>
      <w:tr w14:paraId="0D61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0" w:type="dxa"/>
            <w:vAlign w:val="center"/>
          </w:tcPr>
          <w:p w14:paraId="0ADF3A6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33" w:type="dxa"/>
            <w:vAlign w:val="center"/>
          </w:tcPr>
          <w:p w14:paraId="72EB588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商务需求项</w:t>
            </w:r>
          </w:p>
        </w:tc>
        <w:tc>
          <w:tcPr>
            <w:tcW w:w="5349" w:type="dxa"/>
            <w:vAlign w:val="center"/>
          </w:tcPr>
          <w:p w14:paraId="0D703343">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招标商务要求</w:t>
            </w:r>
          </w:p>
        </w:tc>
      </w:tr>
      <w:tr w14:paraId="258D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222" w:type="dxa"/>
            <w:gridSpan w:val="3"/>
          </w:tcPr>
          <w:p w14:paraId="2B0B9562">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（一）免费保修期内售后服务要求</w:t>
            </w:r>
          </w:p>
        </w:tc>
      </w:tr>
      <w:tr w14:paraId="333C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0" w:type="dxa"/>
            <w:vAlign w:val="center"/>
          </w:tcPr>
          <w:p w14:paraId="3C10E23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033" w:type="dxa"/>
            <w:vAlign w:val="center"/>
          </w:tcPr>
          <w:p w14:paraId="5A6960C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维修响应及故障解决时间</w:t>
            </w:r>
          </w:p>
        </w:tc>
        <w:tc>
          <w:tcPr>
            <w:tcW w:w="5349" w:type="dxa"/>
          </w:tcPr>
          <w:p w14:paraId="7172CE1C">
            <w:pPr>
              <w:spacing w:line="360" w:lineRule="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在免费保修期内，一旦发生质量问题，中标人保证在接到通知4小时内赶到现场进行修理或更换，并承诺24小时内修复。</w:t>
            </w:r>
          </w:p>
        </w:tc>
      </w:tr>
      <w:tr w14:paraId="61D9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0" w:type="dxa"/>
            <w:vMerge w:val="restart"/>
            <w:vAlign w:val="center"/>
          </w:tcPr>
          <w:p w14:paraId="0765DA9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33" w:type="dxa"/>
            <w:vMerge w:val="restart"/>
            <w:vAlign w:val="center"/>
          </w:tcPr>
          <w:p w14:paraId="6E48B96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免费保修期</w:t>
            </w:r>
          </w:p>
        </w:tc>
        <w:tc>
          <w:tcPr>
            <w:tcW w:w="5349" w:type="dxa"/>
          </w:tcPr>
          <w:p w14:paraId="0203E7CD">
            <w:pPr>
              <w:spacing w:line="360" w:lineRule="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1.所有货物及系统集成免费保修期</w:t>
            </w:r>
            <w:r>
              <w:rPr>
                <w:rFonts w:hint="eastAsia" w:ascii="宋体" w:hAnsi="宋体" w:eastAsia="宋体" w:cs="宋体"/>
                <w:b/>
                <w:color w:val="auto"/>
                <w:sz w:val="21"/>
                <w:szCs w:val="21"/>
                <w:highlight w:val="none"/>
                <w:u w:val="single"/>
              </w:rPr>
              <w:t xml:space="preserve">  3  </w:t>
            </w:r>
            <w:r>
              <w:rPr>
                <w:rFonts w:hint="eastAsia" w:ascii="宋体" w:hAnsi="宋体" w:eastAsia="宋体" w:cs="宋体"/>
                <w:b/>
                <w:color w:val="auto"/>
                <w:sz w:val="21"/>
                <w:szCs w:val="21"/>
                <w:highlight w:val="none"/>
              </w:rPr>
              <w:t>年</w:t>
            </w:r>
            <w:r>
              <w:rPr>
                <w:rFonts w:hint="eastAsia" w:ascii="宋体" w:hAnsi="宋体" w:eastAsia="宋体" w:cs="宋体"/>
                <w:bCs/>
                <w:color w:val="auto"/>
                <w:sz w:val="21"/>
                <w:szCs w:val="21"/>
                <w:highlight w:val="none"/>
              </w:rPr>
              <w:t>，时间自最终验收合格并交付使用之日起计算。</w:t>
            </w:r>
          </w:p>
        </w:tc>
      </w:tr>
      <w:tr w14:paraId="6BAA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40" w:type="dxa"/>
            <w:vMerge w:val="continue"/>
            <w:vAlign w:val="center"/>
          </w:tcPr>
          <w:p w14:paraId="34D7709B">
            <w:pPr>
              <w:spacing w:line="360" w:lineRule="auto"/>
              <w:jc w:val="center"/>
              <w:rPr>
                <w:rFonts w:hint="eastAsia" w:ascii="宋体" w:hAnsi="宋体" w:eastAsia="宋体" w:cs="宋体"/>
                <w:b/>
                <w:color w:val="auto"/>
                <w:sz w:val="21"/>
                <w:szCs w:val="21"/>
                <w:highlight w:val="none"/>
              </w:rPr>
            </w:pPr>
          </w:p>
        </w:tc>
        <w:tc>
          <w:tcPr>
            <w:tcW w:w="2033" w:type="dxa"/>
            <w:vMerge w:val="continue"/>
            <w:vAlign w:val="center"/>
          </w:tcPr>
          <w:p w14:paraId="100A1130">
            <w:pPr>
              <w:spacing w:line="360" w:lineRule="auto"/>
              <w:jc w:val="center"/>
              <w:rPr>
                <w:rFonts w:hint="eastAsia" w:ascii="宋体" w:hAnsi="宋体" w:eastAsia="宋体" w:cs="宋体"/>
                <w:color w:val="auto"/>
                <w:sz w:val="21"/>
                <w:szCs w:val="21"/>
                <w:highlight w:val="none"/>
              </w:rPr>
            </w:pPr>
          </w:p>
        </w:tc>
        <w:tc>
          <w:tcPr>
            <w:tcW w:w="5349" w:type="dxa"/>
            <w:vAlign w:val="center"/>
          </w:tcPr>
          <w:p w14:paraId="0EEF3174">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2.免费保修期内，</w:t>
            </w:r>
            <w:r>
              <w:rPr>
                <w:rFonts w:hint="eastAsia" w:ascii="宋体" w:hAnsi="宋体" w:eastAsia="宋体" w:cs="宋体"/>
                <w:color w:val="auto"/>
                <w:sz w:val="21"/>
                <w:szCs w:val="21"/>
                <w:highlight w:val="none"/>
              </w:rPr>
              <w:t>所有服务及配件全部免费。</w:t>
            </w:r>
          </w:p>
        </w:tc>
      </w:tr>
      <w:tr w14:paraId="68C5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40" w:type="dxa"/>
            <w:vAlign w:val="center"/>
          </w:tcPr>
          <w:p w14:paraId="678BF518">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w:t>
            </w:r>
          </w:p>
        </w:tc>
        <w:tc>
          <w:tcPr>
            <w:tcW w:w="2033" w:type="dxa"/>
            <w:vAlign w:val="center"/>
          </w:tcPr>
          <w:p w14:paraId="45AF17E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技术文件</w:t>
            </w:r>
          </w:p>
        </w:tc>
        <w:tc>
          <w:tcPr>
            <w:tcW w:w="5349" w:type="dxa"/>
            <w:vAlign w:val="center"/>
          </w:tcPr>
          <w:p w14:paraId="282C31F1">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供应商应提供全套、完整的书面技术资料，包括仪器说明书、操作手册、简单维修说明、图纸等。</w:t>
            </w:r>
          </w:p>
        </w:tc>
      </w:tr>
      <w:tr w14:paraId="591B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40" w:type="dxa"/>
            <w:vAlign w:val="center"/>
          </w:tcPr>
          <w:p w14:paraId="2BC655D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2033" w:type="dxa"/>
            <w:vAlign w:val="center"/>
          </w:tcPr>
          <w:p w14:paraId="5372146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安装调试</w:t>
            </w:r>
          </w:p>
        </w:tc>
        <w:tc>
          <w:tcPr>
            <w:tcW w:w="5349" w:type="dxa"/>
            <w:vAlign w:val="center"/>
          </w:tcPr>
          <w:p w14:paraId="4A2DBCE7">
            <w:pPr>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中标人应派有经验的技术人员到现场进行培训、调试，直到设备正常使用。相关设备需要按照行业规范标准和</w:t>
            </w:r>
            <w:r>
              <w:rPr>
                <w:rFonts w:hint="eastAsia" w:ascii="宋体" w:hAnsi="宋体" w:eastAsia="宋体" w:cs="宋体"/>
                <w:color w:val="auto"/>
                <w:kern w:val="0"/>
                <w:sz w:val="21"/>
                <w:szCs w:val="21"/>
                <w:highlight w:val="none"/>
              </w:rPr>
              <w:t>采购单位信息主管部门要求实施部署，涉及二次调试、综合布线施工</w:t>
            </w:r>
            <w:r>
              <w:rPr>
                <w:rFonts w:hint="eastAsia" w:ascii="宋体" w:hAnsi="宋体" w:eastAsia="宋体" w:cs="宋体"/>
                <w:color w:val="auto"/>
                <w:sz w:val="21"/>
                <w:szCs w:val="21"/>
                <w:highlight w:val="none"/>
              </w:rPr>
              <w:t>等费用由中标方承担。</w:t>
            </w:r>
          </w:p>
        </w:tc>
      </w:tr>
      <w:tr w14:paraId="5520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2" w:type="dxa"/>
            <w:gridSpan w:val="3"/>
            <w:vAlign w:val="center"/>
          </w:tcPr>
          <w:p w14:paraId="67DF7BEB">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（二）免费保修期外售后服务要求</w:t>
            </w:r>
          </w:p>
        </w:tc>
      </w:tr>
      <w:tr w14:paraId="22A2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05FD367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033" w:type="dxa"/>
            <w:vMerge w:val="restart"/>
            <w:vAlign w:val="center"/>
          </w:tcPr>
          <w:p w14:paraId="674C71E4">
            <w:pPr>
              <w:spacing w:line="360" w:lineRule="auto"/>
              <w:jc w:val="center"/>
              <w:rPr>
                <w:rFonts w:hint="eastAsia" w:ascii="宋体" w:hAnsi="宋体" w:eastAsia="宋体" w:cs="宋体"/>
                <w:bCs/>
                <w:color w:val="auto"/>
                <w:sz w:val="21"/>
                <w:szCs w:val="21"/>
                <w:highlight w:val="none"/>
              </w:rPr>
            </w:pPr>
            <w:r>
              <w:rPr>
                <w:rStyle w:val="16"/>
                <w:rFonts w:hint="eastAsia" w:ascii="宋体" w:hAnsi="宋体" w:eastAsia="宋体" w:cs="宋体"/>
                <w:b w:val="0"/>
                <w:color w:val="auto"/>
                <w:sz w:val="21"/>
                <w:szCs w:val="21"/>
                <w:highlight w:val="none"/>
              </w:rPr>
              <w:t>维修零配件、消耗品和延续保修合同的报价</w:t>
            </w:r>
          </w:p>
        </w:tc>
        <w:tc>
          <w:tcPr>
            <w:tcW w:w="5349" w:type="dxa"/>
            <w:vAlign w:val="center"/>
          </w:tcPr>
          <w:p w14:paraId="216D8E84">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1.1由设备制造商提供售后服务，</w:t>
            </w:r>
            <w:r>
              <w:rPr>
                <w:rFonts w:hint="eastAsia" w:ascii="宋体" w:hAnsi="宋体" w:eastAsia="宋体" w:cs="宋体"/>
                <w:color w:val="auto"/>
                <w:sz w:val="21"/>
                <w:szCs w:val="21"/>
                <w:highlight w:val="none"/>
                <w:u w:val="single"/>
              </w:rPr>
              <w:t xml:space="preserve"> 4 </w:t>
            </w:r>
            <w:r>
              <w:rPr>
                <w:rFonts w:hint="eastAsia" w:ascii="宋体" w:hAnsi="宋体" w:eastAsia="宋体" w:cs="宋体"/>
                <w:color w:val="auto"/>
                <w:sz w:val="21"/>
                <w:szCs w:val="21"/>
                <w:highlight w:val="none"/>
              </w:rPr>
              <w:t>小时内响应，</w:t>
            </w:r>
            <w:r>
              <w:rPr>
                <w:rFonts w:hint="eastAsia" w:ascii="宋体" w:hAnsi="宋体" w:eastAsia="宋体" w:cs="宋体"/>
                <w:color w:val="auto"/>
                <w:sz w:val="21"/>
                <w:szCs w:val="21"/>
                <w:highlight w:val="none"/>
                <w:u w:val="single"/>
              </w:rPr>
              <w:t> 24 </w:t>
            </w:r>
            <w:r>
              <w:rPr>
                <w:rFonts w:hint="eastAsia" w:ascii="宋体" w:hAnsi="宋体" w:eastAsia="宋体" w:cs="宋体"/>
                <w:color w:val="auto"/>
                <w:sz w:val="21"/>
                <w:szCs w:val="21"/>
                <w:highlight w:val="none"/>
              </w:rPr>
              <w:t>小时维修到位，并在48小时内消除故障（不可抗力情况除外）。消耗品和零配件供应及时，特殊情况下可提供备用机。在境内有相对应的零配件保税库，于中标后出具证明文件。</w:t>
            </w:r>
          </w:p>
        </w:tc>
      </w:tr>
      <w:tr w14:paraId="7B91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5341CB51">
            <w:pPr>
              <w:spacing w:line="360" w:lineRule="auto"/>
              <w:jc w:val="center"/>
              <w:rPr>
                <w:rFonts w:hint="eastAsia" w:ascii="宋体" w:hAnsi="宋体" w:eastAsia="宋体" w:cs="宋体"/>
                <w:b/>
                <w:color w:val="auto"/>
                <w:sz w:val="21"/>
                <w:szCs w:val="21"/>
                <w:highlight w:val="none"/>
              </w:rPr>
            </w:pPr>
          </w:p>
        </w:tc>
        <w:tc>
          <w:tcPr>
            <w:tcW w:w="2033" w:type="dxa"/>
            <w:vMerge w:val="continue"/>
            <w:vAlign w:val="center"/>
          </w:tcPr>
          <w:p w14:paraId="56942DDF">
            <w:pPr>
              <w:spacing w:line="360" w:lineRule="auto"/>
              <w:rPr>
                <w:rStyle w:val="16"/>
                <w:rFonts w:hint="eastAsia" w:ascii="宋体" w:hAnsi="宋体" w:eastAsia="宋体" w:cs="宋体"/>
                <w:color w:val="auto"/>
                <w:sz w:val="21"/>
                <w:szCs w:val="21"/>
                <w:highlight w:val="none"/>
              </w:rPr>
            </w:pPr>
          </w:p>
        </w:tc>
        <w:tc>
          <w:tcPr>
            <w:tcW w:w="5349" w:type="dxa"/>
            <w:vAlign w:val="center"/>
          </w:tcPr>
          <w:p w14:paraId="24C2764A">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1.2对保修期外采购方设备发生故障需更换的，投标人免收上门服务费，并以优惠价格提供配件。</w:t>
            </w:r>
          </w:p>
        </w:tc>
      </w:tr>
      <w:tr w14:paraId="44C6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2" w:type="dxa"/>
            <w:gridSpan w:val="3"/>
            <w:vAlign w:val="center"/>
          </w:tcPr>
          <w:p w14:paraId="18D02CA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（三）其他商务要求</w:t>
            </w:r>
          </w:p>
        </w:tc>
      </w:tr>
      <w:tr w14:paraId="249D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55BCB4CD">
            <w:pPr>
              <w:spacing w:line="360" w:lineRule="auto"/>
              <w:jc w:val="center"/>
              <w:rPr>
                <w:rFonts w:hint="eastAsia" w:ascii="宋体" w:hAnsi="宋体" w:eastAsia="宋体" w:cs="宋体"/>
                <w:bCs/>
                <w:color w:val="auto"/>
                <w:sz w:val="21"/>
                <w:szCs w:val="21"/>
                <w:highlight w:val="none"/>
              </w:rPr>
            </w:pPr>
            <w:bookmarkStart w:id="14" w:name="_Hlk72260973"/>
            <w:r>
              <w:rPr>
                <w:rFonts w:hint="eastAsia" w:ascii="宋体" w:hAnsi="宋体" w:eastAsia="宋体" w:cs="宋体"/>
                <w:bCs/>
                <w:color w:val="auto"/>
                <w:sz w:val="21"/>
                <w:szCs w:val="21"/>
                <w:highlight w:val="none"/>
              </w:rPr>
              <w:t>1</w:t>
            </w:r>
          </w:p>
        </w:tc>
        <w:tc>
          <w:tcPr>
            <w:tcW w:w="2033" w:type="dxa"/>
            <w:vMerge w:val="restart"/>
            <w:vAlign w:val="center"/>
          </w:tcPr>
          <w:p w14:paraId="15BB1CFB">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交货条件及争议解决方法</w:t>
            </w:r>
          </w:p>
        </w:tc>
        <w:tc>
          <w:tcPr>
            <w:tcW w:w="5349" w:type="dxa"/>
            <w:vAlign w:val="center"/>
          </w:tcPr>
          <w:p w14:paraId="46E2B4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1.1交货时间和地点：合同签订之日起至货物运抵采购人指定地点，并且完成调试、培训，验收合格交付使用的时间。具体是指：合同签订后30日内。</w:t>
            </w:r>
          </w:p>
        </w:tc>
      </w:tr>
      <w:tr w14:paraId="4AB8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1BA4C9A7">
            <w:pPr>
              <w:spacing w:line="360" w:lineRule="auto"/>
              <w:jc w:val="center"/>
              <w:rPr>
                <w:rFonts w:hint="eastAsia" w:ascii="宋体" w:hAnsi="宋体" w:eastAsia="宋体" w:cs="宋体"/>
                <w:bCs/>
                <w:color w:val="auto"/>
                <w:sz w:val="21"/>
                <w:szCs w:val="21"/>
                <w:highlight w:val="none"/>
              </w:rPr>
            </w:pPr>
          </w:p>
        </w:tc>
        <w:tc>
          <w:tcPr>
            <w:tcW w:w="2033" w:type="dxa"/>
            <w:vMerge w:val="continue"/>
            <w:vAlign w:val="center"/>
          </w:tcPr>
          <w:p w14:paraId="7F68836F">
            <w:pPr>
              <w:spacing w:line="360" w:lineRule="auto"/>
              <w:jc w:val="center"/>
              <w:rPr>
                <w:rFonts w:hint="eastAsia" w:ascii="宋体" w:hAnsi="宋体" w:eastAsia="宋体" w:cs="宋体"/>
                <w:bCs/>
                <w:color w:val="auto"/>
                <w:sz w:val="21"/>
                <w:szCs w:val="21"/>
                <w:highlight w:val="none"/>
              </w:rPr>
            </w:pPr>
          </w:p>
        </w:tc>
        <w:tc>
          <w:tcPr>
            <w:tcW w:w="5349" w:type="dxa"/>
            <w:vAlign w:val="center"/>
          </w:tcPr>
          <w:p w14:paraId="197CA52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服务期：服务期为3年，时间自最终验收合格并交付使用之日起计算。</w:t>
            </w:r>
          </w:p>
        </w:tc>
      </w:tr>
      <w:tr w14:paraId="413B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4274C19E">
            <w:pPr>
              <w:spacing w:line="360" w:lineRule="auto"/>
              <w:jc w:val="center"/>
              <w:rPr>
                <w:rFonts w:hint="eastAsia" w:ascii="宋体" w:hAnsi="宋体" w:eastAsia="宋体" w:cs="宋体"/>
                <w:bCs/>
                <w:color w:val="auto"/>
                <w:sz w:val="21"/>
                <w:szCs w:val="21"/>
                <w:highlight w:val="none"/>
              </w:rPr>
            </w:pPr>
          </w:p>
        </w:tc>
        <w:tc>
          <w:tcPr>
            <w:tcW w:w="2033" w:type="dxa"/>
            <w:vMerge w:val="continue"/>
            <w:vAlign w:val="center"/>
          </w:tcPr>
          <w:p w14:paraId="0A31F176">
            <w:pPr>
              <w:spacing w:line="360" w:lineRule="auto"/>
              <w:jc w:val="center"/>
              <w:rPr>
                <w:rFonts w:hint="eastAsia" w:ascii="宋体" w:hAnsi="宋体" w:eastAsia="宋体" w:cs="宋体"/>
                <w:bCs/>
                <w:color w:val="auto"/>
                <w:sz w:val="21"/>
                <w:szCs w:val="21"/>
                <w:highlight w:val="none"/>
              </w:rPr>
            </w:pPr>
          </w:p>
        </w:tc>
        <w:tc>
          <w:tcPr>
            <w:tcW w:w="5349" w:type="dxa"/>
            <w:vAlign w:val="center"/>
          </w:tcPr>
          <w:p w14:paraId="0AEE692C">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1.3付款期限和方式：</w:t>
            </w:r>
          </w:p>
          <w:p w14:paraId="4CEF5EB7">
            <w:pPr>
              <w:pStyle w:val="2"/>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1、签订合同10天后支付40%首期款，验收合格之后一周之内支付60%。</w:t>
            </w:r>
          </w:p>
          <w:p w14:paraId="6A570C12">
            <w:pPr>
              <w:pStyle w:val="2"/>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因财政资金拨款未到位而导致甲方未在约定期限内支付合同费用的，中标供应商不得要求采购人承担逾期付款的违约责任。每次付款前，中标供应商应需先提供相应额度的正规发票给采购人，以便办理支付手续。</w:t>
            </w:r>
          </w:p>
        </w:tc>
      </w:tr>
      <w:tr w14:paraId="7BBE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40" w:type="dxa"/>
            <w:vMerge w:val="continue"/>
            <w:vAlign w:val="center"/>
          </w:tcPr>
          <w:p w14:paraId="2C666DF7">
            <w:pPr>
              <w:spacing w:line="360" w:lineRule="auto"/>
              <w:jc w:val="center"/>
              <w:rPr>
                <w:rFonts w:hint="eastAsia" w:ascii="宋体" w:hAnsi="宋体" w:eastAsia="宋体" w:cs="宋体"/>
                <w:bCs/>
                <w:color w:val="auto"/>
                <w:sz w:val="21"/>
                <w:szCs w:val="21"/>
                <w:highlight w:val="none"/>
              </w:rPr>
            </w:pPr>
          </w:p>
        </w:tc>
        <w:tc>
          <w:tcPr>
            <w:tcW w:w="2033" w:type="dxa"/>
            <w:vMerge w:val="continue"/>
            <w:vAlign w:val="center"/>
          </w:tcPr>
          <w:p w14:paraId="32D8E880">
            <w:pPr>
              <w:spacing w:line="360" w:lineRule="auto"/>
              <w:jc w:val="center"/>
              <w:rPr>
                <w:rFonts w:hint="eastAsia" w:ascii="宋体" w:hAnsi="宋体" w:eastAsia="宋体" w:cs="宋体"/>
                <w:bCs/>
                <w:color w:val="auto"/>
                <w:sz w:val="21"/>
                <w:szCs w:val="21"/>
                <w:highlight w:val="none"/>
              </w:rPr>
            </w:pPr>
          </w:p>
        </w:tc>
        <w:tc>
          <w:tcPr>
            <w:tcW w:w="5349" w:type="dxa"/>
            <w:vAlign w:val="center"/>
          </w:tcPr>
          <w:p w14:paraId="0015762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1.4验收条件：完成交货及安装调试后，由采购人和中标单位共同验收。上报验收报告时，除了表格中写明的材料外，还需要验收记录表</w:t>
            </w:r>
            <w:r>
              <w:rPr>
                <w:rFonts w:hint="eastAsia" w:ascii="宋体" w:hAnsi="宋体" w:eastAsia="宋体" w:cs="宋体"/>
                <w:b/>
                <w:bCs/>
                <w:color w:val="auto"/>
                <w:sz w:val="21"/>
                <w:szCs w:val="21"/>
                <w:highlight w:val="none"/>
              </w:rPr>
              <w:t>（需逐条审核产品技术参数符合情况）</w:t>
            </w:r>
            <w:r>
              <w:rPr>
                <w:rFonts w:hint="eastAsia" w:ascii="宋体" w:hAnsi="宋体" w:eastAsia="宋体" w:cs="宋体"/>
                <w:color w:val="auto"/>
                <w:sz w:val="21"/>
                <w:szCs w:val="21"/>
                <w:highlight w:val="none"/>
              </w:rPr>
              <w:t>、产品三证（指产品合格证、供货凭证（含生产厂家或代理商证明））、合同及附件。投标商必须确保所投产品中标后有能力通过验收，且提供的货物为正规渠道供货，不存在违反国家法律法规的情况。</w:t>
            </w:r>
          </w:p>
        </w:tc>
      </w:tr>
      <w:tr w14:paraId="6B1D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40" w:type="dxa"/>
            <w:vMerge w:val="continue"/>
            <w:vAlign w:val="center"/>
          </w:tcPr>
          <w:p w14:paraId="6CFBB4E6">
            <w:pPr>
              <w:spacing w:line="360" w:lineRule="auto"/>
              <w:rPr>
                <w:rFonts w:hint="eastAsia" w:ascii="宋体" w:hAnsi="宋体" w:eastAsia="宋体" w:cs="宋体"/>
                <w:color w:val="auto"/>
                <w:sz w:val="21"/>
                <w:szCs w:val="21"/>
                <w:highlight w:val="none"/>
              </w:rPr>
            </w:pPr>
          </w:p>
        </w:tc>
        <w:tc>
          <w:tcPr>
            <w:tcW w:w="2033" w:type="dxa"/>
            <w:vMerge w:val="continue"/>
            <w:vAlign w:val="center"/>
          </w:tcPr>
          <w:p w14:paraId="7494ECA8">
            <w:pPr>
              <w:spacing w:line="360" w:lineRule="auto"/>
              <w:rPr>
                <w:rFonts w:hint="eastAsia" w:ascii="宋体" w:hAnsi="宋体" w:eastAsia="宋体" w:cs="宋体"/>
                <w:color w:val="auto"/>
                <w:sz w:val="21"/>
                <w:szCs w:val="21"/>
                <w:highlight w:val="none"/>
              </w:rPr>
            </w:pPr>
          </w:p>
        </w:tc>
        <w:tc>
          <w:tcPr>
            <w:tcW w:w="5349" w:type="dxa"/>
          </w:tcPr>
          <w:p w14:paraId="14B955F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违约责任：如投标供应商未按照投标文件中承诺的时间交货或提供服务，投标供应商应承担延期交货和延期服务的违约责任并赔偿采购人因此造成的实际经济损失，实际经济损失超出合同总金额5%，采购人有权终止合同。</w:t>
            </w:r>
          </w:p>
        </w:tc>
      </w:tr>
      <w:bookmarkEnd w:id="14"/>
      <w:tr w14:paraId="055D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14FC7D62">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033" w:type="dxa"/>
            <w:vMerge w:val="restart"/>
            <w:vAlign w:val="center"/>
          </w:tcPr>
          <w:p w14:paraId="333521A1">
            <w:pPr>
              <w:spacing w:line="360" w:lineRule="auto"/>
              <w:jc w:val="center"/>
              <w:rPr>
                <w:rFonts w:hint="eastAsia" w:ascii="宋体" w:hAnsi="宋体" w:eastAsia="宋体" w:cs="宋体"/>
                <w:bCs/>
                <w:color w:val="auto"/>
                <w:sz w:val="21"/>
                <w:szCs w:val="21"/>
                <w:highlight w:val="none"/>
              </w:rPr>
            </w:pPr>
            <w:r>
              <w:rPr>
                <w:rStyle w:val="16"/>
                <w:rFonts w:hint="eastAsia" w:ascii="宋体" w:hAnsi="宋体" w:eastAsia="宋体" w:cs="宋体"/>
                <w:b w:val="0"/>
                <w:color w:val="auto"/>
                <w:sz w:val="21"/>
                <w:szCs w:val="21"/>
                <w:highlight w:val="none"/>
              </w:rPr>
              <w:t>运输、安装条件</w:t>
            </w:r>
          </w:p>
        </w:tc>
        <w:tc>
          <w:tcPr>
            <w:tcW w:w="5349" w:type="dxa"/>
          </w:tcPr>
          <w:p w14:paraId="2328159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2.1投标人负责将货物安全无损运抵采购人指定地点，并承担设备的包装、运输、保险、装卸、安装调试、培训、商检及计量检测、关税、增值税和进口代理等费用。</w:t>
            </w:r>
          </w:p>
        </w:tc>
      </w:tr>
      <w:tr w14:paraId="159C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840" w:type="dxa"/>
            <w:vMerge w:val="continue"/>
            <w:vAlign w:val="center"/>
          </w:tcPr>
          <w:p w14:paraId="268818A4">
            <w:pPr>
              <w:spacing w:line="360" w:lineRule="auto"/>
              <w:jc w:val="center"/>
              <w:rPr>
                <w:rFonts w:hint="eastAsia" w:ascii="宋体" w:hAnsi="宋体" w:eastAsia="宋体" w:cs="宋体"/>
                <w:bCs/>
                <w:color w:val="auto"/>
                <w:sz w:val="21"/>
                <w:szCs w:val="21"/>
                <w:highlight w:val="none"/>
              </w:rPr>
            </w:pPr>
          </w:p>
        </w:tc>
        <w:tc>
          <w:tcPr>
            <w:tcW w:w="2033" w:type="dxa"/>
            <w:vMerge w:val="continue"/>
            <w:vAlign w:val="center"/>
          </w:tcPr>
          <w:p w14:paraId="53EA356E">
            <w:pPr>
              <w:spacing w:line="360" w:lineRule="auto"/>
              <w:jc w:val="center"/>
              <w:rPr>
                <w:rFonts w:hint="eastAsia" w:ascii="宋体" w:hAnsi="宋体" w:eastAsia="宋体" w:cs="宋体"/>
                <w:bCs/>
                <w:color w:val="auto"/>
                <w:sz w:val="21"/>
                <w:szCs w:val="21"/>
                <w:highlight w:val="none"/>
              </w:rPr>
            </w:pPr>
          </w:p>
        </w:tc>
        <w:tc>
          <w:tcPr>
            <w:tcW w:w="5349" w:type="dxa"/>
          </w:tcPr>
          <w:p w14:paraId="5DA5320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采购人有权检验或测试货物，以确认货物是否符合合同规格的要求，并且不承担额外的费用。如果发现所交货物与投标文件中所承诺的不符或存在质量、技术缺陷等，采购人可以拒绝接收该货物，投标人应在10天内采取补足、更换或退货等措施，以满足规格的要求，由此发生的一切损失和费用由投标人承担。</w:t>
            </w:r>
          </w:p>
        </w:tc>
      </w:tr>
      <w:tr w14:paraId="5EA7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840" w:type="dxa"/>
            <w:vMerge w:val="continue"/>
            <w:vAlign w:val="center"/>
          </w:tcPr>
          <w:p w14:paraId="3247CFA0">
            <w:pPr>
              <w:tabs>
                <w:tab w:val="left" w:pos="1260"/>
              </w:tabs>
              <w:spacing w:line="360" w:lineRule="auto"/>
              <w:rPr>
                <w:rFonts w:hint="eastAsia" w:ascii="宋体" w:hAnsi="宋体" w:eastAsia="宋体" w:cs="宋体"/>
                <w:color w:val="auto"/>
                <w:sz w:val="21"/>
                <w:szCs w:val="21"/>
                <w:highlight w:val="none"/>
              </w:rPr>
            </w:pPr>
          </w:p>
        </w:tc>
        <w:tc>
          <w:tcPr>
            <w:tcW w:w="2033" w:type="dxa"/>
            <w:vMerge w:val="continue"/>
            <w:vAlign w:val="center"/>
          </w:tcPr>
          <w:p w14:paraId="09FAE85E">
            <w:pPr>
              <w:tabs>
                <w:tab w:val="left" w:pos="1260"/>
              </w:tabs>
              <w:spacing w:line="360" w:lineRule="auto"/>
              <w:rPr>
                <w:rFonts w:hint="eastAsia" w:ascii="宋体" w:hAnsi="宋体" w:eastAsia="宋体" w:cs="宋体"/>
                <w:color w:val="auto"/>
                <w:sz w:val="21"/>
                <w:szCs w:val="21"/>
                <w:highlight w:val="none"/>
              </w:rPr>
            </w:pPr>
          </w:p>
        </w:tc>
        <w:tc>
          <w:tcPr>
            <w:tcW w:w="5349" w:type="dxa"/>
          </w:tcPr>
          <w:p w14:paraId="3E4788F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2.3投标人负责货物的现场安装和调试，提供货物安装、调试和维修所需的专用工具和辅助材料。投标人应在货物运至指定地点后根据与申购人双方协定的时间开始安装调试，并在约定的时间内安装调试完毕。</w:t>
            </w:r>
          </w:p>
        </w:tc>
      </w:tr>
      <w:tr w14:paraId="418D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840" w:type="dxa"/>
            <w:vMerge w:val="continue"/>
            <w:vAlign w:val="center"/>
          </w:tcPr>
          <w:p w14:paraId="3E3BB02B">
            <w:pPr>
              <w:tabs>
                <w:tab w:val="left" w:pos="1260"/>
              </w:tabs>
              <w:spacing w:line="360" w:lineRule="auto"/>
              <w:rPr>
                <w:rFonts w:hint="eastAsia" w:ascii="宋体" w:hAnsi="宋体" w:eastAsia="宋体" w:cs="宋体"/>
                <w:bCs/>
                <w:color w:val="auto"/>
                <w:sz w:val="21"/>
                <w:szCs w:val="21"/>
                <w:highlight w:val="none"/>
              </w:rPr>
            </w:pPr>
          </w:p>
        </w:tc>
        <w:tc>
          <w:tcPr>
            <w:tcW w:w="2033" w:type="dxa"/>
            <w:vMerge w:val="continue"/>
            <w:vAlign w:val="center"/>
          </w:tcPr>
          <w:p w14:paraId="613C6AC6">
            <w:pPr>
              <w:tabs>
                <w:tab w:val="left" w:pos="1260"/>
              </w:tabs>
              <w:spacing w:line="360" w:lineRule="auto"/>
              <w:rPr>
                <w:rFonts w:hint="eastAsia" w:ascii="宋体" w:hAnsi="宋体" w:eastAsia="宋体" w:cs="宋体"/>
                <w:bCs/>
                <w:color w:val="auto"/>
                <w:sz w:val="21"/>
                <w:szCs w:val="21"/>
                <w:highlight w:val="none"/>
              </w:rPr>
            </w:pPr>
          </w:p>
        </w:tc>
        <w:tc>
          <w:tcPr>
            <w:tcW w:w="5349" w:type="dxa"/>
          </w:tcPr>
          <w:p w14:paraId="17E08B6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2.4安装要求：投标人承诺免费提供安装条件所需的配套水、电、气、承重等相关改造和装修收口修补处置，达到货物正常运行和开展的条件。</w:t>
            </w:r>
          </w:p>
        </w:tc>
      </w:tr>
      <w:tr w14:paraId="2519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14:paraId="749DB04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033" w:type="dxa"/>
            <w:vAlign w:val="center"/>
          </w:tcPr>
          <w:p w14:paraId="3F9A8FCD">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w:t>
            </w:r>
          </w:p>
        </w:tc>
        <w:tc>
          <w:tcPr>
            <w:tcW w:w="5349" w:type="dxa"/>
          </w:tcPr>
          <w:p w14:paraId="06D9C6E3">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3.1投标人应负责对采购单位人员进行全面技术培训。培训内容包括以系统（含软硬件）技术性能、使用、测试、维护及故障排除为主的培训内容。投标人须提出详细的用户培训计划，至少包括：</w:t>
            </w:r>
          </w:p>
          <w:p w14:paraId="10E219CA">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1)对用户、系统运行维护管理人员等不同对象的培训计划。</w:t>
            </w:r>
          </w:p>
          <w:p w14:paraId="4BF1C8D8">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2)受训人员经过培训后，应能熟练掌握和使用所培训的技术内容，并且系统运行维护管理人员能够独立承担和完成相应的系统维护和管理工作。</w:t>
            </w:r>
          </w:p>
        </w:tc>
      </w:tr>
      <w:tr w14:paraId="0F7B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14:paraId="188D8F7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2033" w:type="dxa"/>
            <w:vAlign w:val="center"/>
          </w:tcPr>
          <w:p w14:paraId="3BDC207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知识产权</w:t>
            </w:r>
          </w:p>
        </w:tc>
        <w:tc>
          <w:tcPr>
            <w:tcW w:w="5349" w:type="dxa"/>
          </w:tcPr>
          <w:p w14:paraId="394CAA3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采购人购买产品后，有权对该产品与其他设备进行配套、整合或适当改进，而免受侵犯专利权的起诉。</w:t>
            </w:r>
          </w:p>
        </w:tc>
      </w:tr>
      <w:tr w14:paraId="0F80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14:paraId="12F5146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2033" w:type="dxa"/>
            <w:vAlign w:val="center"/>
          </w:tcPr>
          <w:p w14:paraId="774E430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w:t>
            </w:r>
          </w:p>
        </w:tc>
        <w:tc>
          <w:tcPr>
            <w:tcW w:w="5349" w:type="dxa"/>
          </w:tcPr>
          <w:p w14:paraId="6F863D1B">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投标供应商应按其投标文件中的承诺，进行其他售后服务工作。为保障考试的顺利进行及考试系统的稳定性和持续性，必要时可针对本项目需求提供网络传输服务，如互联网服务。</w:t>
            </w:r>
          </w:p>
        </w:tc>
      </w:tr>
    </w:tbl>
    <w:p w14:paraId="6F77DF7E">
      <w:pPr>
        <w:widowControl w:val="0"/>
        <w:spacing w:line="360" w:lineRule="auto"/>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1"/>
          <w:lang w:eastAsia="zh-CN"/>
        </w:rPr>
        <w:t>说明：</w:t>
      </w:r>
      <w:r>
        <w:rPr>
          <w:rFonts w:ascii="Calibri" w:hAnsi="Calibri" w:eastAsia="宋体" w:cstheme="minorBidi"/>
          <w:b/>
          <w:kern w:val="2"/>
          <w:sz w:val="21"/>
          <w:szCs w:val="22"/>
          <w:lang w:eastAsia="zh-CN"/>
        </w:rPr>
        <w:t>1</w:t>
      </w:r>
      <w:r>
        <w:rPr>
          <w:rFonts w:hint="eastAsia" w:ascii="Calibri" w:hAnsi="Calibri" w:eastAsia="宋体" w:cstheme="minorBidi"/>
          <w:b/>
          <w:kern w:val="2"/>
          <w:sz w:val="21"/>
          <w:szCs w:val="22"/>
          <w:lang w:eastAsia="zh-CN"/>
        </w:rPr>
        <w:t>、评分时，如对一项招标商务要求（以划分框为准）中的内容存在两处（或以上）负偏离的，在评分时只作一项负偏离扣分。</w:t>
      </w:r>
    </w:p>
    <w:p w14:paraId="7B027448">
      <w:pPr>
        <w:widowControl w:val="0"/>
        <w:spacing w:line="360" w:lineRule="auto"/>
        <w:ind w:firstLine="422" w:firstLineChars="200"/>
        <w:jc w:val="both"/>
        <w:rPr>
          <w:rFonts w:ascii="Calibri" w:hAnsi="Calibri" w:eastAsia="宋体"/>
          <w:b/>
          <w:kern w:val="2"/>
          <w:sz w:val="21"/>
          <w:szCs w:val="21"/>
          <w:lang w:eastAsia="zh-CN"/>
        </w:rPr>
      </w:pPr>
      <w:r>
        <w:rPr>
          <w:rFonts w:ascii="Calibri" w:hAnsi="Calibri" w:eastAsia="宋体" w:cstheme="minorBidi"/>
          <w:b/>
          <w:kern w:val="2"/>
          <w:sz w:val="21"/>
          <w:szCs w:val="21"/>
          <w:lang w:eastAsia="zh-CN"/>
        </w:rPr>
        <w:t>2</w:t>
      </w:r>
      <w:r>
        <w:rPr>
          <w:rFonts w:hint="eastAsia" w:ascii="Calibri" w:hAnsi="Calibri" w:eastAsia="宋体" w:cstheme="minorBidi"/>
          <w:b/>
          <w:kern w:val="2"/>
          <w:sz w:val="21"/>
          <w:szCs w:val="21"/>
          <w:lang w:eastAsia="zh-CN"/>
        </w:rPr>
        <w:t>、带★号条款为不可偏离条款，不作为评分准则中的评分内容，如未响应或出现负偏离的，将作投标无效处理；带“</w:t>
      </w:r>
      <w:r>
        <w:rPr>
          <w:rFonts w:ascii="Calibri" w:hAnsi="Calibri" w:eastAsia="宋体" w:cstheme="minorBidi"/>
          <w:kern w:val="2"/>
          <w:sz w:val="21"/>
          <w:szCs w:val="22"/>
          <w:lang w:eastAsia="zh-CN"/>
        </w:rPr>
        <w:t>▲</w:t>
      </w:r>
      <w:r>
        <w:rPr>
          <w:rFonts w:hint="eastAsia" w:ascii="Calibri" w:hAnsi="Calibri" w:eastAsia="宋体" w:cstheme="minorBidi"/>
          <w:b/>
          <w:kern w:val="2"/>
          <w:sz w:val="21"/>
          <w:szCs w:val="21"/>
          <w:lang w:eastAsia="zh-CN"/>
        </w:rPr>
        <w:t>”指标项为重要参数，负偏离时依相关评分准则内容作重点扣分处理。</w:t>
      </w:r>
    </w:p>
    <w:p w14:paraId="1C80B9D3">
      <w:pPr>
        <w:keepNext/>
        <w:keepLines/>
        <w:widowControl w:val="0"/>
        <w:spacing w:before="260" w:after="260" w:line="416" w:lineRule="auto"/>
        <w:jc w:val="center"/>
        <w:outlineLvl w:val="1"/>
        <w:rPr>
          <w:rFonts w:hint="eastAsia" w:ascii="Cambria" w:hAnsi="Cambria" w:eastAsia="宋体" w:cstheme="majorBidi"/>
          <w:b/>
          <w:bCs/>
          <w:kern w:val="2"/>
          <w:sz w:val="32"/>
          <w:szCs w:val="32"/>
          <w:lang w:eastAsia="zh-CN"/>
        </w:rPr>
      </w:pPr>
      <w:r>
        <w:rPr>
          <w:rFonts w:hint="eastAsia" w:ascii="Cambria" w:hAnsi="Cambria" w:eastAsia="宋体" w:cstheme="majorBidi"/>
          <w:b/>
          <w:bCs/>
          <w:kern w:val="2"/>
          <w:sz w:val="32"/>
          <w:szCs w:val="32"/>
          <w:lang w:val="en-US" w:eastAsia="zh-CN"/>
        </w:rPr>
        <w:t>五、</w:t>
      </w:r>
      <w:r>
        <w:rPr>
          <w:rFonts w:hint="eastAsia" w:ascii="Cambria" w:hAnsi="Cambria" w:eastAsia="宋体" w:cstheme="majorBidi"/>
          <w:b/>
          <w:bCs/>
          <w:kern w:val="2"/>
          <w:sz w:val="32"/>
          <w:szCs w:val="32"/>
          <w:lang w:eastAsia="zh-CN"/>
        </w:rPr>
        <w:t>付款方式</w:t>
      </w:r>
    </w:p>
    <w:p w14:paraId="44B2465F">
      <w:pPr>
        <w:widowControl/>
        <w:spacing w:line="360" w:lineRule="auto"/>
        <w:ind w:firstLine="420" w:firstLineChars="200"/>
        <w:jc w:val="left"/>
        <w:rPr>
          <w:rFonts w:hint="eastAsia" w:ascii="Arial" w:hAnsi="Arial" w:eastAsia="宋体"/>
          <w:color w:val="FF0000"/>
          <w:kern w:val="2"/>
          <w:sz w:val="21"/>
          <w:lang w:eastAsia="zh-CN"/>
        </w:rPr>
      </w:pPr>
      <w:r>
        <w:rPr>
          <w:rFonts w:hint="eastAsia" w:ascii="Arial" w:hAnsi="Arial" w:eastAsia="宋体"/>
          <w:color w:val="FF0000"/>
          <w:kern w:val="2"/>
          <w:sz w:val="21"/>
          <w:lang w:eastAsia="zh-CN"/>
        </w:rPr>
        <w:t>1、签订合同10天后支付40%首期款，验收合格之后一周之内支付60%。</w:t>
      </w:r>
    </w:p>
    <w:p w14:paraId="28D22966">
      <w:pPr>
        <w:widowControl/>
        <w:spacing w:line="360" w:lineRule="auto"/>
        <w:ind w:firstLine="420" w:firstLineChars="200"/>
        <w:jc w:val="left"/>
        <w:rPr>
          <w:rFonts w:ascii="Arial" w:hAnsi="Arial" w:eastAsia="宋体"/>
          <w:kern w:val="2"/>
          <w:sz w:val="21"/>
          <w:lang w:eastAsia="zh-CN"/>
        </w:rPr>
      </w:pPr>
      <w:r>
        <w:rPr>
          <w:rFonts w:hint="eastAsia" w:ascii="Arial" w:hAnsi="Arial" w:eastAsia="宋体"/>
          <w:kern w:val="2"/>
          <w:sz w:val="21"/>
          <w:lang w:eastAsia="zh-CN"/>
        </w:rPr>
        <w:t>2、因财政资金拨款未到位而导致甲方未在约定期限内支付合同费用的，中标供应商不得要求采购人承担逾期付款的违约责任。每次付款前，中标供应商应需先提供相应额度的正规发票给采购人，以便办理支付手续。</w:t>
      </w:r>
    </w:p>
    <w:p w14:paraId="77B51431">
      <w:pPr>
        <w:keepNext/>
        <w:keepLines/>
        <w:widowControl w:val="0"/>
        <w:tabs>
          <w:tab w:val="left" w:pos="1680"/>
        </w:tabs>
        <w:spacing w:before="260" w:after="78" w:afterLines="25"/>
        <w:jc w:val="center"/>
        <w:outlineLvl w:val="2"/>
        <w:rPr>
          <w:rFonts w:ascii="Arial" w:hAnsi="Arial" w:eastAsia="宋体"/>
          <w:b/>
          <w:bCs/>
          <w:kern w:val="2"/>
          <w:sz w:val="32"/>
          <w:szCs w:val="32"/>
          <w:lang w:eastAsia="zh-CN"/>
        </w:rPr>
      </w:pPr>
      <w:r>
        <w:rPr>
          <w:rFonts w:hint="eastAsia" w:ascii="Arial" w:hAnsi="Arial" w:eastAsia="宋体"/>
          <w:b/>
          <w:bCs/>
          <w:kern w:val="2"/>
          <w:sz w:val="32"/>
          <w:szCs w:val="32"/>
          <w:lang w:val="en-US" w:eastAsia="zh-CN"/>
        </w:rPr>
        <w:t>六</w:t>
      </w:r>
      <w:r>
        <w:rPr>
          <w:rFonts w:hint="eastAsia" w:ascii="Arial" w:hAnsi="Arial" w:eastAsia="宋体"/>
          <w:b/>
          <w:bCs/>
          <w:kern w:val="2"/>
          <w:sz w:val="32"/>
          <w:szCs w:val="32"/>
          <w:lang w:eastAsia="zh-CN"/>
        </w:rPr>
        <w:t>、具体技术要求</w:t>
      </w:r>
    </w:p>
    <w:p w14:paraId="09BDC4BE">
      <w:pPr>
        <w:widowControl w:val="0"/>
        <w:spacing w:line="360" w:lineRule="auto"/>
        <w:ind w:firstLine="422" w:firstLineChars="20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val="en-US" w:eastAsia="zh-CN"/>
        </w:rPr>
        <w:t>6</w:t>
      </w:r>
      <w:r>
        <w:rPr>
          <w:rFonts w:hint="eastAsia" w:ascii="宋体" w:hAnsi="宋体" w:eastAsia="宋体"/>
          <w:b/>
          <w:color w:val="FF0000"/>
          <w:kern w:val="2"/>
          <w:sz w:val="21"/>
          <w:szCs w:val="21"/>
          <w:lang w:eastAsia="zh-CN"/>
        </w:rPr>
        <w:t>.1 项目背景</w:t>
      </w:r>
    </w:p>
    <w:p w14:paraId="4958A7A4">
      <w:pPr>
        <w:widowControl w:val="0"/>
        <w:spacing w:line="360" w:lineRule="auto"/>
        <w:ind w:firstLine="422" w:firstLineChars="200"/>
        <w:jc w:val="both"/>
        <w:rPr>
          <w:rFonts w:hint="default" w:ascii="宋体" w:hAnsi="宋体" w:eastAsia="宋体"/>
          <w:b/>
          <w:color w:val="FF0000"/>
          <w:kern w:val="2"/>
          <w:sz w:val="21"/>
          <w:szCs w:val="21"/>
          <w:lang w:val="en-US" w:eastAsia="zh-CN"/>
        </w:rPr>
      </w:pPr>
      <w:r>
        <w:rPr>
          <w:rFonts w:hint="eastAsia" w:ascii="宋体" w:hAnsi="宋体" w:eastAsia="宋体"/>
          <w:b/>
          <w:color w:val="FF0000"/>
          <w:kern w:val="2"/>
          <w:sz w:val="21"/>
          <w:szCs w:val="21"/>
          <w:lang w:val="en-US" w:eastAsia="zh-CN"/>
        </w:rPr>
        <w:t>/</w:t>
      </w:r>
    </w:p>
    <w:p w14:paraId="622A1080">
      <w:pPr>
        <w:widowControl w:val="0"/>
        <w:spacing w:line="360" w:lineRule="auto"/>
        <w:ind w:firstLine="422" w:firstLineChars="200"/>
        <w:jc w:val="both"/>
        <w:rPr>
          <w:rFonts w:hint="eastAsia" w:ascii="宋体" w:hAnsi="宋体" w:eastAsia="宋体"/>
          <w:b/>
          <w:color w:val="FF0000"/>
          <w:kern w:val="2"/>
          <w:sz w:val="21"/>
          <w:szCs w:val="21"/>
          <w:lang w:eastAsia="zh-CN"/>
        </w:rPr>
      </w:pPr>
      <w:r>
        <w:rPr>
          <w:rFonts w:hint="eastAsia" w:ascii="宋体" w:hAnsi="宋体" w:eastAsia="宋体"/>
          <w:b/>
          <w:color w:val="FF0000"/>
          <w:kern w:val="2"/>
          <w:sz w:val="21"/>
          <w:szCs w:val="21"/>
          <w:lang w:val="en-US" w:eastAsia="zh-CN"/>
        </w:rPr>
        <w:t>6</w:t>
      </w:r>
      <w:r>
        <w:rPr>
          <w:rFonts w:hint="eastAsia" w:ascii="宋体" w:hAnsi="宋体" w:eastAsia="宋体"/>
          <w:b/>
          <w:color w:val="FF0000"/>
          <w:kern w:val="2"/>
          <w:sz w:val="21"/>
          <w:szCs w:val="21"/>
          <w:lang w:eastAsia="zh-CN"/>
        </w:rPr>
        <w:t>.2 货物用途、功能说明</w:t>
      </w:r>
    </w:p>
    <w:p w14:paraId="60EA099C">
      <w:pPr>
        <w:widowControl w:val="0"/>
        <w:spacing w:line="360" w:lineRule="auto"/>
        <w:ind w:firstLine="422" w:firstLineChars="200"/>
        <w:jc w:val="both"/>
        <w:rPr>
          <w:rFonts w:hint="default" w:ascii="宋体" w:hAnsi="宋体" w:eastAsia="宋体"/>
          <w:b/>
          <w:color w:val="FF0000"/>
          <w:kern w:val="2"/>
          <w:sz w:val="21"/>
          <w:szCs w:val="21"/>
          <w:lang w:val="en-US" w:eastAsia="zh-CN"/>
        </w:rPr>
      </w:pPr>
      <w:r>
        <w:rPr>
          <w:rFonts w:hint="eastAsia" w:ascii="宋体" w:hAnsi="宋体" w:eastAsia="宋体"/>
          <w:b/>
          <w:color w:val="FF0000"/>
          <w:kern w:val="2"/>
          <w:sz w:val="21"/>
          <w:szCs w:val="21"/>
          <w:lang w:val="en-US" w:eastAsia="zh-CN"/>
        </w:rPr>
        <w:t>/</w:t>
      </w:r>
    </w:p>
    <w:p w14:paraId="18B65BCB">
      <w:pPr>
        <w:widowControl w:val="0"/>
        <w:spacing w:line="360" w:lineRule="auto"/>
        <w:ind w:firstLine="422" w:firstLineChars="200"/>
        <w:jc w:val="both"/>
        <w:rPr>
          <w:rFonts w:hint="eastAsia" w:ascii="宋体" w:hAnsi="宋体" w:eastAsia="宋体"/>
          <w:b/>
          <w:color w:val="FF0000"/>
          <w:kern w:val="2"/>
          <w:sz w:val="21"/>
          <w:szCs w:val="21"/>
          <w:lang w:val="en-US" w:eastAsia="zh-CN"/>
        </w:rPr>
      </w:pPr>
      <w:r>
        <w:rPr>
          <w:rFonts w:hint="eastAsia" w:ascii="宋体" w:hAnsi="宋体" w:eastAsia="宋体"/>
          <w:b/>
          <w:color w:val="FF0000"/>
          <w:kern w:val="2"/>
          <w:sz w:val="21"/>
          <w:szCs w:val="21"/>
          <w:lang w:val="en-US" w:eastAsia="zh-CN"/>
        </w:rPr>
        <w:t>6.3采购技术要求表</w:t>
      </w:r>
    </w:p>
    <w:p w14:paraId="29DEB523">
      <w:pPr>
        <w:widowControl w:val="0"/>
        <w:spacing w:line="360" w:lineRule="auto"/>
        <w:ind w:firstLine="422" w:firstLineChars="200"/>
        <w:jc w:val="both"/>
        <w:rPr>
          <w:rFonts w:hint="default" w:ascii="宋体" w:hAnsi="宋体" w:eastAsia="宋体"/>
          <w:b/>
          <w:color w:val="FF0000"/>
          <w:kern w:val="2"/>
          <w:sz w:val="21"/>
          <w:szCs w:val="21"/>
          <w:lang w:val="en-US" w:eastAsia="zh-CN"/>
        </w:rPr>
      </w:pPr>
      <w:r>
        <w:rPr>
          <w:rFonts w:hint="default" w:ascii="宋体" w:hAnsi="宋体" w:eastAsia="宋体"/>
          <w:b/>
          <w:color w:val="FF0000"/>
          <w:kern w:val="2"/>
          <w:sz w:val="21"/>
          <w:szCs w:val="21"/>
          <w:lang w:val="en-US" w:eastAsia="zh-CN"/>
        </w:rPr>
        <w:t>注意：带▲符合的为重点技术参数。带★符号的为实质性条款，若有一条不满足，则不满足采购要求，投标将被否决，非单一产品采购项目，请标注核心产品。</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883"/>
        <w:gridCol w:w="7368"/>
      </w:tblGrid>
      <w:tr w14:paraId="4C2A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shd w:val="clear" w:color="auto" w:fill="auto"/>
            <w:vAlign w:val="center"/>
          </w:tcPr>
          <w:p w14:paraId="3F8B92C2">
            <w:pPr>
              <w:widowControl/>
              <w:spacing w:line="36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827" w:type="dxa"/>
            <w:shd w:val="clear" w:color="auto" w:fill="auto"/>
            <w:vAlign w:val="center"/>
          </w:tcPr>
          <w:p w14:paraId="570886E3">
            <w:pPr>
              <w:widowControl/>
              <w:spacing w:line="36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名称</w:t>
            </w:r>
          </w:p>
        </w:tc>
        <w:tc>
          <w:tcPr>
            <w:tcW w:w="6902" w:type="dxa"/>
            <w:shd w:val="clear" w:color="auto" w:fill="auto"/>
            <w:vAlign w:val="center"/>
          </w:tcPr>
          <w:p w14:paraId="06A0C747">
            <w:pPr>
              <w:widowControl/>
              <w:spacing w:line="36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招标技术要求</w:t>
            </w:r>
          </w:p>
        </w:tc>
      </w:tr>
      <w:tr w14:paraId="0126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restart"/>
            <w:shd w:val="clear" w:color="auto" w:fill="auto"/>
            <w:vAlign w:val="center"/>
          </w:tcPr>
          <w:p w14:paraId="3320D5A6">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27" w:type="dxa"/>
            <w:vMerge w:val="restart"/>
            <w:shd w:val="clear" w:color="auto" w:fill="auto"/>
            <w:vAlign w:val="center"/>
          </w:tcPr>
          <w:p w14:paraId="41DD5AC3">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智慧实验校级管理系统软件（物理、化学）</w:t>
            </w:r>
          </w:p>
        </w:tc>
        <w:tc>
          <w:tcPr>
            <w:tcW w:w="6902" w:type="dxa"/>
            <w:shd w:val="clear" w:color="auto" w:fill="auto"/>
          </w:tcPr>
          <w:p w14:paraId="70B65015">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1.1角色管理：考务角色设置、权限管理、考试管理、阅卷管理等用户权限的设定，可以对阅卷的数据进行管理。</w:t>
            </w:r>
          </w:p>
        </w:tc>
      </w:tr>
      <w:tr w14:paraId="2B32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3AB317F7">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57956722">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7482B944">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1.2学校信息管理：新增学校、删除学校、修改学校信息、查询学校信息.</w:t>
            </w:r>
          </w:p>
        </w:tc>
      </w:tr>
      <w:tr w14:paraId="3558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2E00AB3B">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69EAACCE">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1CB062F7">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1.3考试配置：考试信息查看、新增考试、删除考试、编辑考试、试卷配置、考试流程设置、终端状态检测、考生批量编排。</w:t>
            </w:r>
          </w:p>
        </w:tc>
      </w:tr>
      <w:tr w14:paraId="5128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45F3130E">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77B2D1D2">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631B3CD3">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1.4考试管理：考试类型、考试安排、智能排考。</w:t>
            </w:r>
          </w:p>
        </w:tc>
      </w:tr>
      <w:tr w14:paraId="5279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2211399C">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0F711EF9">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31CD3CCA">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1.5视频监考：筛选画面、视角调整、信息查看、异常列表。</w:t>
            </w:r>
          </w:p>
        </w:tc>
      </w:tr>
      <w:tr w14:paraId="0600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25504CFA">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19B07280">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2E6949AF">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1.6成绩汇总：查询考试成绩、查看考试成绩的具体信息。</w:t>
            </w:r>
          </w:p>
        </w:tc>
      </w:tr>
      <w:tr w14:paraId="11C7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3A4A2308">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5C68B940">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76DC6420">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1.7成绩复核：查询考试、查看导入的名单、导入复核名单、导出复核结果。</w:t>
            </w:r>
          </w:p>
        </w:tc>
      </w:tr>
      <w:tr w14:paraId="1818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57CCA9FF">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47197309">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6F83E11F">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1.8试题管理：对理化生实验操作考试考题统一管理、考题信息包括考题名称、所属学科、总分、评分细则（包含评分项及分值、说明等）。考题类型可分为“AI试卷”、“非AI试卷”。支持查看题目、试题内容、器材清单、注意事项、答题卡、评分点等.</w:t>
            </w:r>
          </w:p>
        </w:tc>
      </w:tr>
      <w:tr w14:paraId="6B57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6FEAA569">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1CB6E0B1">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44993D61">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1.9阅卷管理系统：评卷配置、新增评卷配置、评卷管理、阅卷、仲裁、可以查看考试的整体阅卷进度、可以随机分配答卷进行正评、可以把答卷标记为怀疑卷以及正常卷。</w:t>
            </w:r>
          </w:p>
        </w:tc>
      </w:tr>
      <w:tr w14:paraId="787E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2312AF71">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1B16B1C0">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617F7E0A">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1.10答卷安全校验：支持终端、校级、区级三级数据存诸，并满足三级数据和MD5码完全一致。</w:t>
            </w:r>
          </w:p>
        </w:tc>
      </w:tr>
      <w:tr w14:paraId="5D55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4323D2F0">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1F08A203">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3F4001DB">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1.11考试安全保障系统：考场考生与考位核身，机考组卷与抽签，机考操作视频录制采集。</w:t>
            </w:r>
          </w:p>
        </w:tc>
      </w:tr>
      <w:tr w14:paraId="5462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restart"/>
            <w:shd w:val="clear" w:color="auto" w:fill="auto"/>
            <w:vAlign w:val="center"/>
          </w:tcPr>
          <w:p w14:paraId="2C2434F2">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27" w:type="dxa"/>
            <w:vMerge w:val="restart"/>
            <w:shd w:val="clear" w:color="auto" w:fill="auto"/>
            <w:vAlign w:val="center"/>
          </w:tcPr>
          <w:p w14:paraId="33DBE9E7">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考试AI评分系统</w:t>
            </w:r>
          </w:p>
        </w:tc>
        <w:tc>
          <w:tcPr>
            <w:tcW w:w="6902" w:type="dxa"/>
            <w:shd w:val="clear" w:color="auto" w:fill="auto"/>
            <w:vAlign w:val="center"/>
          </w:tcPr>
          <w:p w14:paraId="2B41EC00">
            <w:pPr>
              <w:widowControl/>
              <w:spacing w:line="360" w:lineRule="auto"/>
              <w:jc w:val="left"/>
              <w:rPr>
                <w:rFonts w:hint="eastAsia" w:ascii="宋体" w:hAnsi="宋体" w:eastAsia="宋体" w:cs="宋体"/>
                <w:kern w:val="0"/>
                <w:sz w:val="21"/>
                <w:szCs w:val="21"/>
              </w:rPr>
            </w:pPr>
            <w:r>
              <w:rPr>
                <w:rFonts w:hint="eastAsia" w:ascii="宋体" w:hAnsi="宋体" w:eastAsia="宋体" w:cs="宋体"/>
                <w:b/>
                <w:bCs/>
                <w:sz w:val="21"/>
                <w:szCs w:val="21"/>
              </w:rPr>
              <w:t>2.1▲物理、化学实验AI赋分功能：AI评分准确率≥96%，并支持查看物理、化学实验的AI评分成绩。（提供具有CMA或CNAS标志的检验检测报告扫描件及检验检测报告在全国认证认可信息公共服务平台（认e云）（http://cx.cnca.cn/）的查询记录截图，原件备查。）</w:t>
            </w:r>
          </w:p>
        </w:tc>
      </w:tr>
      <w:tr w14:paraId="5C19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2A450FF0">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6FC479B8">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6E78D76C">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2.2▲对实验操作视频进行逐帧分析的能力，利用AI识别，将视频根据评分点数量分解为同等数量的关键画面，供教师在评分界面预览大图和选取播放，选取时可一键跳转至对应画面后退至少5秒的位置开始播放。</w:t>
            </w:r>
          </w:p>
        </w:tc>
      </w:tr>
      <w:tr w14:paraId="6AF7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restart"/>
            <w:shd w:val="clear" w:color="auto" w:fill="auto"/>
            <w:vAlign w:val="center"/>
          </w:tcPr>
          <w:p w14:paraId="1931AA97">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27" w:type="dxa"/>
            <w:vMerge w:val="restart"/>
            <w:shd w:val="clear" w:color="auto" w:fill="auto"/>
            <w:vAlign w:val="center"/>
          </w:tcPr>
          <w:p w14:paraId="5793E4FE">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智能实验终端</w:t>
            </w:r>
          </w:p>
        </w:tc>
        <w:tc>
          <w:tcPr>
            <w:tcW w:w="6902" w:type="dxa"/>
            <w:shd w:val="clear" w:color="auto" w:fill="auto"/>
            <w:vAlign w:val="center"/>
          </w:tcPr>
          <w:p w14:paraId="42919D06">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3.1 一体化支架：使用过程中应稳定维持固定拍摄角度，不可自由伸缩和旋转；支架底座具备固定功能；支架线材不可完全外露；可用于标准实验桌；宜支持折叠收纳。</w:t>
            </w:r>
          </w:p>
        </w:tc>
      </w:tr>
      <w:tr w14:paraId="2F82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0B03DDEA">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1CB421EF">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119359A9">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3.2 ▲视频采集摄像头：自动白平衡；支持多码流传输；俯视角摄像头的广角不低于 86°；焦距不低于 2.8mm，俯视角摄像头需能在一个画面内拍摄整个实验台，侧视角摄像头需支持拍摄核心操作区内操作和刻度细节；帧率不低于25fps；支持 3D 数字降噪；不低于 200 万像素，其中至少一个摄像头不低于400 万像素；各摄像头视频同步偏差不高于 80ms；支持 H.265/H.264/MJPEG 视频压缩编码；自动曝光；支持宽动态，宽动态范围不低于 90dB。</w:t>
            </w:r>
          </w:p>
        </w:tc>
      </w:tr>
      <w:tr w14:paraId="7E39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16A8FA02">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7B18698F">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14855A43">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3.3 核心操作区标识：放置或粘贴在实验桌上，用于引导学生在核心区域操作，完成整个实验。</w:t>
            </w:r>
          </w:p>
        </w:tc>
      </w:tr>
      <w:tr w14:paraId="0B3F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3DDFD714">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63F6F940">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4F09108E">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3.4 显示器：尺寸不小于10英寸；分辨率不低于1280*800；支持多点(不低于10点)触控。</w:t>
            </w:r>
          </w:p>
        </w:tc>
      </w:tr>
      <w:tr w14:paraId="7D04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0C04FA75">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528EAB37">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085E9D2E">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3.5 处理器：不低于四核，主频不低于1.6GHz；或以云桌面形式部署。</w:t>
            </w:r>
          </w:p>
        </w:tc>
      </w:tr>
      <w:tr w14:paraId="0DB3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6A749DCB">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0D9F96C0">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0542BCDC">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3.6 内存：不低于4G。</w:t>
            </w:r>
          </w:p>
        </w:tc>
      </w:tr>
      <w:tr w14:paraId="134F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7F71E5A2">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4E018D56">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312F4D85">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3.7 存储：不低于32GB。</w:t>
            </w:r>
          </w:p>
        </w:tc>
      </w:tr>
      <w:tr w14:paraId="7CA9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78B744F5">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4EC04AAA">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0C3EF106">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3.8 电源接口：220V 持续供电，或支持“POE” 供电，或支持内置电池供电使用4 小时以上。</w:t>
            </w:r>
          </w:p>
        </w:tc>
      </w:tr>
      <w:tr w14:paraId="4EDB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2768B67E">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425310DC">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263E49AF">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3.9外设接口：至少1 个USB 2.0 接口；用于接入电子目镜或数码显微镜图像。</w:t>
            </w:r>
          </w:p>
        </w:tc>
      </w:tr>
      <w:tr w14:paraId="1993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0B25DC9F">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536FA0CA">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68170104">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3.10插线孔设计：产品应具备插线孔和束线器设计，网线和电源线接入终端须规范、整洁、安全，网口、电源口为隐藏设计。</w:t>
            </w:r>
          </w:p>
        </w:tc>
      </w:tr>
      <w:tr w14:paraId="4F02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64C0682A">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3A340672">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7575EDF9">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3.11网络模块：支持有线或无线联网。有线：不低于100M 网卡；无线：支持 2.4GHz 和 5GHz 双频段Wi-Fi6 或支持 5G。</w:t>
            </w:r>
          </w:p>
        </w:tc>
      </w:tr>
      <w:tr w14:paraId="13B5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4595E3A4">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0A044BC3">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2AF7ABFE">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3.12终端操作系统：内置开机自启动的操作系统。</w:t>
            </w:r>
          </w:p>
        </w:tc>
      </w:tr>
      <w:tr w14:paraId="6E3E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restart"/>
            <w:shd w:val="clear" w:color="auto" w:fill="auto"/>
            <w:vAlign w:val="center"/>
          </w:tcPr>
          <w:p w14:paraId="43744B87">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827" w:type="dxa"/>
            <w:vMerge w:val="restart"/>
            <w:shd w:val="clear" w:color="auto" w:fill="auto"/>
            <w:vAlign w:val="center"/>
          </w:tcPr>
          <w:p w14:paraId="00C1D689">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智能实验终端软件</w:t>
            </w:r>
          </w:p>
        </w:tc>
        <w:tc>
          <w:tcPr>
            <w:tcW w:w="6902" w:type="dxa"/>
            <w:shd w:val="clear" w:color="auto" w:fill="auto"/>
            <w:vAlign w:val="center"/>
          </w:tcPr>
          <w:p w14:paraId="1561629F">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b/>
                <w:bCs/>
                <w:color w:val="000000"/>
                <w:sz w:val="21"/>
                <w:szCs w:val="21"/>
              </w:rPr>
              <w:t>4.1▲测评模式：页面操作流程符合深圳市初中物理、化学实验操作考试相关要求；</w:t>
            </w:r>
          </w:p>
        </w:tc>
      </w:tr>
      <w:tr w14:paraId="5565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7224AAFD">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4B16AB2C">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1E2C4947">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4.2教学模式；支持播放教师实验教学平台中的演示视频或历史视频，录制保存学生实验操作过程；</w:t>
            </w:r>
          </w:p>
        </w:tc>
      </w:tr>
      <w:tr w14:paraId="7C521ED2">
        <w:tblPrEx>
          <w:tblCellMar>
            <w:top w:w="0" w:type="dxa"/>
            <w:left w:w="108" w:type="dxa"/>
            <w:bottom w:w="0" w:type="dxa"/>
            <w:right w:w="108" w:type="dxa"/>
          </w:tblCellMar>
        </w:tblPrEx>
        <w:trPr>
          <w:trHeight w:val="20" w:hRule="atLeast"/>
        </w:trPr>
        <w:tc>
          <w:tcPr>
            <w:tcW w:w="567" w:type="dxa"/>
            <w:vMerge w:val="continue"/>
            <w:vAlign w:val="center"/>
          </w:tcPr>
          <w:p w14:paraId="2C3FC472">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1D3F2D4A">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25DA38C9">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4.3自学模式：支持学生自主登录，选择实验进行操作；</w:t>
            </w:r>
          </w:p>
        </w:tc>
      </w:tr>
      <w:tr w14:paraId="497B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4967BD8D">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6C5A9EE4">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07BAF4B7">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4.4信息确认：学生可根据抽签结果对身份信息进行确认；</w:t>
            </w:r>
          </w:p>
        </w:tc>
      </w:tr>
      <w:tr w14:paraId="0C33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66872B35">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40C864CD">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7BF06FFA">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4.5实验数据接入：支持接入电子目镜或数码显微镜画面等实验数据；</w:t>
            </w:r>
          </w:p>
        </w:tc>
      </w:tr>
      <w:tr w14:paraId="7048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31A5ECDA">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3EC66F97">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76EABEFF">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4.6摄像头异常提醒：录制过程中如检测到摄像头拍摄范围偏离预期或被遮挡，在本机上有明显提示，并通知实验考务平台；</w:t>
            </w:r>
          </w:p>
        </w:tc>
      </w:tr>
      <w:tr w14:paraId="0444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217D6C71">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3D07FE55">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6394A633">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4.7学生自主抓拍：支持学生自主抓拍保存摄像头或电子目镜数据画面。</w:t>
            </w:r>
          </w:p>
        </w:tc>
      </w:tr>
      <w:tr w14:paraId="71E1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restart"/>
            <w:shd w:val="clear" w:color="auto" w:fill="auto"/>
            <w:vAlign w:val="center"/>
          </w:tcPr>
          <w:p w14:paraId="2594F631">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827" w:type="dxa"/>
            <w:vMerge w:val="restart"/>
            <w:shd w:val="clear" w:color="auto" w:fill="auto"/>
            <w:vAlign w:val="center"/>
          </w:tcPr>
          <w:p w14:paraId="6C260F8D">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考场交换机</w:t>
            </w:r>
          </w:p>
        </w:tc>
        <w:tc>
          <w:tcPr>
            <w:tcW w:w="6902" w:type="dxa"/>
            <w:shd w:val="clear" w:color="auto" w:fill="auto"/>
            <w:vAlign w:val="center"/>
          </w:tcPr>
          <w:p w14:paraId="73208EC9">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5.1 二层交换机</w:t>
            </w:r>
          </w:p>
        </w:tc>
      </w:tr>
      <w:tr w14:paraId="5526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196A0BC9">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162AE5D8">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1F15440D">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5.2端口描述：不少于48个千兆电口+4个万兆光口；</w:t>
            </w:r>
          </w:p>
        </w:tc>
      </w:tr>
      <w:tr w14:paraId="6AC1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36E43A84">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073FB4AD">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613665CB">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5.3包转发率：不低于132Mpps；</w:t>
            </w:r>
          </w:p>
        </w:tc>
      </w:tr>
      <w:tr w14:paraId="6CB0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06ED312B">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033B2BC6">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295668D6">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5.4交换容量：不低于336Gbps。</w:t>
            </w:r>
          </w:p>
        </w:tc>
      </w:tr>
      <w:tr w14:paraId="1801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restart"/>
            <w:shd w:val="clear" w:color="auto" w:fill="auto"/>
            <w:vAlign w:val="center"/>
          </w:tcPr>
          <w:p w14:paraId="2BE50C67">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827" w:type="dxa"/>
            <w:vMerge w:val="restart"/>
            <w:shd w:val="clear" w:color="auto" w:fill="auto"/>
            <w:vAlign w:val="center"/>
          </w:tcPr>
          <w:p w14:paraId="0D73EDC1">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小型机柜</w:t>
            </w:r>
          </w:p>
        </w:tc>
        <w:tc>
          <w:tcPr>
            <w:tcW w:w="6902" w:type="dxa"/>
            <w:shd w:val="clear" w:color="auto" w:fill="auto"/>
            <w:vAlign w:val="center"/>
          </w:tcPr>
          <w:p w14:paraId="782B7842">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6.1 22U网络机柜</w:t>
            </w:r>
          </w:p>
        </w:tc>
      </w:tr>
      <w:tr w14:paraId="5F37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12535C7D">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361A4F69">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6017FD81">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6.2尺寸W*D*H不小于600*800*1200(mm)；</w:t>
            </w:r>
          </w:p>
        </w:tc>
      </w:tr>
      <w:tr w14:paraId="3F1D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31200515">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0F37D0D2">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4AFB19E5">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6.3至少配备风扇*2，固定支脚*4，托盘*3，脚轮*4，螺丝*1包，电源插排*1。</w:t>
            </w:r>
          </w:p>
        </w:tc>
      </w:tr>
      <w:tr w14:paraId="3720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shd w:val="clear" w:color="auto" w:fill="auto"/>
            <w:vAlign w:val="center"/>
          </w:tcPr>
          <w:p w14:paraId="3435E628">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827" w:type="dxa"/>
            <w:shd w:val="clear" w:color="auto" w:fill="auto"/>
            <w:vAlign w:val="center"/>
          </w:tcPr>
          <w:p w14:paraId="2A0604CC">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移动硬盘</w:t>
            </w:r>
          </w:p>
        </w:tc>
        <w:tc>
          <w:tcPr>
            <w:tcW w:w="6902" w:type="dxa"/>
            <w:shd w:val="clear" w:color="auto" w:fill="auto"/>
            <w:vAlign w:val="center"/>
          </w:tcPr>
          <w:p w14:paraId="6D9520D6">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7.1不小于2TB移动固态硬盘，支持Type-C/USB2.0/USB3.1，读写速度不低于550/450MB/s，厚度不超过11mm，防震抗摔</w:t>
            </w:r>
          </w:p>
        </w:tc>
      </w:tr>
      <w:tr w14:paraId="214B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7" w:type="dxa"/>
            <w:shd w:val="clear" w:color="auto" w:fill="auto"/>
            <w:vAlign w:val="center"/>
          </w:tcPr>
          <w:p w14:paraId="78D5776A">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827" w:type="dxa"/>
            <w:shd w:val="clear" w:color="auto" w:fill="auto"/>
            <w:vAlign w:val="center"/>
          </w:tcPr>
          <w:p w14:paraId="408BB1D6">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考场监考专用管理主机</w:t>
            </w:r>
          </w:p>
        </w:tc>
        <w:tc>
          <w:tcPr>
            <w:tcW w:w="6902" w:type="dxa"/>
            <w:shd w:val="clear" w:color="auto" w:fill="auto"/>
            <w:vAlign w:val="center"/>
          </w:tcPr>
          <w:p w14:paraId="071E480A">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8.1商用台式机电脑主机，不低于4核CPU、16G内存、480GB SSD系统盘、1TB硬盘、千兆网口及21.45英寸显示器，支持WiFi，带操作系统。</w:t>
            </w:r>
          </w:p>
        </w:tc>
      </w:tr>
      <w:tr w14:paraId="3392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restart"/>
            <w:shd w:val="clear" w:color="auto" w:fill="auto"/>
            <w:vAlign w:val="center"/>
          </w:tcPr>
          <w:p w14:paraId="78199A84">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827" w:type="dxa"/>
            <w:vMerge w:val="restart"/>
            <w:shd w:val="clear" w:color="auto" w:fill="auto"/>
            <w:vAlign w:val="center"/>
          </w:tcPr>
          <w:p w14:paraId="23689173">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供电专用主机</w:t>
            </w:r>
          </w:p>
        </w:tc>
        <w:tc>
          <w:tcPr>
            <w:tcW w:w="6902" w:type="dxa"/>
            <w:shd w:val="clear" w:color="auto" w:fill="auto"/>
            <w:vAlign w:val="center"/>
          </w:tcPr>
          <w:p w14:paraId="25977607">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9.1满足单个考场考试终端和交换机设备续航≥60分钟；</w:t>
            </w:r>
          </w:p>
        </w:tc>
      </w:tr>
      <w:tr w14:paraId="7238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65CB0E0B">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0A896837">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4153A10B">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9.2 输入电压：120~275V AC；</w:t>
            </w:r>
          </w:p>
        </w:tc>
      </w:tr>
      <w:tr w14:paraId="43A0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56F2A5FC">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7F8E09CB">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3768EBEF">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9.3 输入频率：(40~70)Hz；</w:t>
            </w:r>
          </w:p>
        </w:tc>
      </w:tr>
      <w:tr w14:paraId="2FF7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57D510D0">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231DD083">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0D56F862">
            <w:pPr>
              <w:widowControl/>
              <w:spacing w:line="360" w:lineRule="auto"/>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9.4 输入功因：≥0.99；</w:t>
            </w:r>
          </w:p>
        </w:tc>
      </w:tr>
      <w:tr w14:paraId="65C9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shd w:val="clear" w:color="auto" w:fill="auto"/>
            <w:vAlign w:val="center"/>
          </w:tcPr>
          <w:p w14:paraId="105C9A90">
            <w:pPr>
              <w:widowControl/>
              <w:spacing w:line="360" w:lineRule="auto"/>
              <w:jc w:val="center"/>
              <w:rPr>
                <w:rFonts w:hint="eastAsia" w:ascii="宋体" w:hAnsi="宋体" w:eastAsia="宋体" w:cs="宋体"/>
                <w:color w:val="000000"/>
                <w:kern w:val="0"/>
                <w:sz w:val="21"/>
                <w:szCs w:val="21"/>
              </w:rPr>
            </w:pPr>
          </w:p>
        </w:tc>
        <w:tc>
          <w:tcPr>
            <w:tcW w:w="827" w:type="dxa"/>
            <w:vMerge w:val="continue"/>
            <w:shd w:val="clear" w:color="auto" w:fill="auto"/>
            <w:vAlign w:val="center"/>
          </w:tcPr>
          <w:p w14:paraId="70497163">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184E404F">
            <w:pPr>
              <w:widowControl/>
              <w:spacing w:line="360" w:lineRule="auto"/>
              <w:jc w:val="left"/>
              <w:rPr>
                <w:rFonts w:hint="eastAsia" w:ascii="宋体" w:hAnsi="宋体" w:eastAsia="宋体" w:cs="宋体"/>
                <w:kern w:val="0"/>
                <w:sz w:val="21"/>
                <w:szCs w:val="21"/>
              </w:rPr>
            </w:pPr>
            <w:r>
              <w:rPr>
                <w:rFonts w:hint="eastAsia" w:ascii="宋体" w:hAnsi="宋体" w:eastAsia="宋体" w:cs="宋体"/>
                <w:color w:val="000000"/>
                <w:sz w:val="21"/>
                <w:szCs w:val="21"/>
              </w:rPr>
              <w:t>9.5 输出电压：220V AC；</w:t>
            </w:r>
          </w:p>
        </w:tc>
      </w:tr>
      <w:tr w14:paraId="5AB2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01E4048E">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7B4F2485">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5CE39A0C">
            <w:pPr>
              <w:widowControl/>
              <w:spacing w:line="360" w:lineRule="auto"/>
              <w:jc w:val="left"/>
              <w:rPr>
                <w:rFonts w:hint="eastAsia" w:ascii="宋体" w:hAnsi="宋体" w:eastAsia="宋体" w:cs="宋体"/>
                <w:kern w:val="0"/>
                <w:sz w:val="21"/>
                <w:szCs w:val="21"/>
              </w:rPr>
            </w:pPr>
            <w:r>
              <w:rPr>
                <w:rFonts w:hint="eastAsia" w:ascii="宋体" w:hAnsi="宋体" w:eastAsia="宋体" w:cs="宋体"/>
                <w:color w:val="000000"/>
                <w:sz w:val="21"/>
                <w:szCs w:val="21"/>
              </w:rPr>
              <w:t>9.6 输出精度：±1%；</w:t>
            </w:r>
          </w:p>
        </w:tc>
      </w:tr>
      <w:tr w14:paraId="2087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2F395CF8">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29B4554A">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2BF85B89">
            <w:pPr>
              <w:widowControl/>
              <w:spacing w:line="360" w:lineRule="auto"/>
              <w:jc w:val="left"/>
              <w:rPr>
                <w:rFonts w:hint="eastAsia" w:ascii="宋体" w:hAnsi="宋体" w:eastAsia="宋体" w:cs="宋体"/>
                <w:kern w:val="0"/>
                <w:sz w:val="21"/>
                <w:szCs w:val="21"/>
              </w:rPr>
            </w:pPr>
            <w:r>
              <w:rPr>
                <w:rFonts w:hint="eastAsia" w:ascii="宋体" w:hAnsi="宋体" w:eastAsia="宋体" w:cs="宋体"/>
                <w:color w:val="000000"/>
                <w:sz w:val="21"/>
                <w:szCs w:val="21"/>
              </w:rPr>
              <w:t>9.7 输出频率：50/60Hz±0.2Hz；</w:t>
            </w:r>
          </w:p>
        </w:tc>
      </w:tr>
      <w:tr w14:paraId="6EE9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75514397">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3A0BA4AB">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7523983F">
            <w:pPr>
              <w:widowControl/>
              <w:spacing w:line="360" w:lineRule="auto"/>
              <w:jc w:val="left"/>
              <w:rPr>
                <w:rFonts w:hint="eastAsia" w:ascii="宋体" w:hAnsi="宋体" w:eastAsia="宋体" w:cs="宋体"/>
                <w:kern w:val="0"/>
                <w:sz w:val="21"/>
                <w:szCs w:val="21"/>
              </w:rPr>
            </w:pPr>
            <w:r>
              <w:rPr>
                <w:rFonts w:hint="eastAsia" w:ascii="宋体" w:hAnsi="宋体" w:eastAsia="宋体" w:cs="宋体"/>
                <w:color w:val="000000"/>
                <w:sz w:val="21"/>
                <w:szCs w:val="21"/>
              </w:rPr>
              <w:t>9.8 输出波形：纯净正弦输出；</w:t>
            </w:r>
          </w:p>
        </w:tc>
      </w:tr>
      <w:tr w14:paraId="2D13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06302D3D">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13E03ADD">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0927DEFC">
            <w:pPr>
              <w:widowControl/>
              <w:spacing w:line="360" w:lineRule="auto"/>
              <w:jc w:val="left"/>
              <w:rPr>
                <w:rFonts w:hint="eastAsia" w:ascii="宋体" w:hAnsi="宋体" w:eastAsia="宋体" w:cs="宋体"/>
                <w:kern w:val="0"/>
                <w:sz w:val="21"/>
                <w:szCs w:val="21"/>
              </w:rPr>
            </w:pPr>
            <w:r>
              <w:rPr>
                <w:rFonts w:hint="eastAsia" w:ascii="宋体" w:hAnsi="宋体" w:eastAsia="宋体" w:cs="宋体"/>
                <w:color w:val="000000"/>
                <w:sz w:val="21"/>
                <w:szCs w:val="21"/>
              </w:rPr>
              <w:t>9.9效率：市电模式&gt;94% ECO高效模式&gt;98%；</w:t>
            </w:r>
          </w:p>
        </w:tc>
      </w:tr>
      <w:tr w14:paraId="67A9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0FE0EFCE">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3E7D4C04">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2FA75FEF">
            <w:pPr>
              <w:widowControl/>
              <w:spacing w:line="360" w:lineRule="auto"/>
              <w:jc w:val="left"/>
              <w:rPr>
                <w:rFonts w:hint="eastAsia" w:ascii="宋体" w:hAnsi="宋体" w:eastAsia="宋体" w:cs="宋体"/>
                <w:kern w:val="0"/>
                <w:sz w:val="21"/>
                <w:szCs w:val="21"/>
              </w:rPr>
            </w:pPr>
            <w:r>
              <w:rPr>
                <w:rFonts w:hint="eastAsia" w:ascii="宋体" w:hAnsi="宋体" w:eastAsia="宋体" w:cs="宋体"/>
                <w:color w:val="000000"/>
                <w:sz w:val="21"/>
                <w:szCs w:val="21"/>
              </w:rPr>
              <w:t>9.10显示：负载/电量/输入/输出/运行模式；</w:t>
            </w:r>
          </w:p>
        </w:tc>
      </w:tr>
      <w:tr w14:paraId="09E0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442E0525">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26FC7F44">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74ACA92C">
            <w:pPr>
              <w:widowControl/>
              <w:spacing w:line="360" w:lineRule="auto"/>
              <w:jc w:val="left"/>
              <w:rPr>
                <w:rFonts w:hint="eastAsia" w:ascii="宋体" w:hAnsi="宋体" w:eastAsia="宋体" w:cs="宋体"/>
                <w:kern w:val="0"/>
                <w:sz w:val="21"/>
                <w:szCs w:val="21"/>
              </w:rPr>
            </w:pPr>
            <w:r>
              <w:rPr>
                <w:rFonts w:hint="eastAsia" w:ascii="宋体" w:hAnsi="宋体" w:eastAsia="宋体" w:cs="宋体"/>
                <w:color w:val="000000"/>
                <w:sz w:val="21"/>
                <w:szCs w:val="21"/>
              </w:rPr>
              <w:t>9.11连接：单相二线+接地；</w:t>
            </w:r>
          </w:p>
        </w:tc>
      </w:tr>
      <w:tr w14:paraId="3C72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29C32A58">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257606ED">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2CE9FF8E">
            <w:pPr>
              <w:widowControl/>
              <w:spacing w:line="360" w:lineRule="auto"/>
              <w:jc w:val="left"/>
              <w:rPr>
                <w:rFonts w:hint="eastAsia" w:ascii="宋体" w:hAnsi="宋体" w:eastAsia="宋体" w:cs="宋体"/>
                <w:kern w:val="0"/>
                <w:sz w:val="21"/>
                <w:szCs w:val="21"/>
              </w:rPr>
            </w:pPr>
            <w:r>
              <w:rPr>
                <w:rFonts w:hint="eastAsia" w:ascii="宋体" w:hAnsi="宋体" w:eastAsia="宋体" w:cs="宋体"/>
                <w:color w:val="000000"/>
                <w:sz w:val="21"/>
                <w:szCs w:val="21"/>
              </w:rPr>
              <w:t>9.12输出谐波失真：≤3%，输入THD-V&lt;1%，线性负载；</w:t>
            </w:r>
          </w:p>
        </w:tc>
      </w:tr>
      <w:tr w14:paraId="1805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7" w:type="dxa"/>
            <w:vMerge w:val="continue"/>
            <w:vAlign w:val="center"/>
          </w:tcPr>
          <w:p w14:paraId="706BDE3B">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0D1F26CA">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4D0809E2">
            <w:pPr>
              <w:widowControl/>
              <w:spacing w:line="360" w:lineRule="auto"/>
              <w:jc w:val="left"/>
              <w:rPr>
                <w:rFonts w:hint="eastAsia" w:ascii="宋体" w:hAnsi="宋体" w:eastAsia="宋体" w:cs="宋体"/>
                <w:kern w:val="0"/>
                <w:sz w:val="21"/>
                <w:szCs w:val="21"/>
              </w:rPr>
            </w:pPr>
            <w:r>
              <w:rPr>
                <w:rFonts w:hint="eastAsia" w:ascii="宋体" w:hAnsi="宋体" w:eastAsia="宋体" w:cs="宋体"/>
                <w:color w:val="000000"/>
                <w:sz w:val="21"/>
                <w:szCs w:val="21"/>
              </w:rPr>
              <w:t>9.13环境参数：温度0-40℃ 湿度20-90%(无凝露) 噪声&lt;50dB @距离1米；</w:t>
            </w:r>
          </w:p>
        </w:tc>
      </w:tr>
      <w:tr w14:paraId="5BE3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7" w:type="dxa"/>
            <w:vMerge w:val="restart"/>
            <w:vAlign w:val="center"/>
          </w:tcPr>
          <w:p w14:paraId="51E21B11">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827" w:type="dxa"/>
            <w:vMerge w:val="restart"/>
            <w:vAlign w:val="center"/>
          </w:tcPr>
          <w:p w14:paraId="056CEFCE">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信号屏蔽器</w:t>
            </w:r>
          </w:p>
        </w:tc>
        <w:tc>
          <w:tcPr>
            <w:tcW w:w="6902" w:type="dxa"/>
            <w:shd w:val="clear" w:color="auto" w:fill="auto"/>
            <w:vAlign w:val="center"/>
          </w:tcPr>
          <w:p w14:paraId="5990CD9A">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10.1功能：屏蔽手机2G+3G+4G+5G+wifi+蓝牙+热点，屏蔽窃听监听；</w:t>
            </w:r>
          </w:p>
        </w:tc>
      </w:tr>
      <w:tr w14:paraId="4CBE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7" w:type="dxa"/>
            <w:vMerge w:val="continue"/>
            <w:vAlign w:val="center"/>
          </w:tcPr>
          <w:p w14:paraId="5B69F5FD">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4EE6B867">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37FBF639">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10.2覆盖范围：20-30米（覆盖范围受基站影响会有所不同）；</w:t>
            </w:r>
          </w:p>
        </w:tc>
      </w:tr>
      <w:tr w14:paraId="1E23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7" w:type="dxa"/>
            <w:vMerge w:val="continue"/>
            <w:vAlign w:val="center"/>
          </w:tcPr>
          <w:p w14:paraId="4FCD4CC8">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6CCE451F">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6FE54E38">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10.3功率：≥90W；</w:t>
            </w:r>
          </w:p>
        </w:tc>
      </w:tr>
      <w:tr w14:paraId="5D62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7" w:type="dxa"/>
            <w:vMerge w:val="continue"/>
            <w:vAlign w:val="center"/>
          </w:tcPr>
          <w:p w14:paraId="7A5B71E0">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52C46FBF">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44632DCC">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10.4电源：输入AC110-240V  输出DC5V；</w:t>
            </w:r>
          </w:p>
        </w:tc>
      </w:tr>
      <w:tr w14:paraId="4A17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7" w:type="dxa"/>
            <w:vMerge w:val="restart"/>
            <w:vAlign w:val="center"/>
          </w:tcPr>
          <w:p w14:paraId="06565C23">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827" w:type="dxa"/>
            <w:vMerge w:val="restart"/>
            <w:vAlign w:val="center"/>
          </w:tcPr>
          <w:p w14:paraId="1C9B54A6">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巡考摄像头</w:t>
            </w:r>
          </w:p>
        </w:tc>
        <w:tc>
          <w:tcPr>
            <w:tcW w:w="6902" w:type="dxa"/>
            <w:shd w:val="clear" w:color="auto" w:fill="auto"/>
            <w:vAlign w:val="center"/>
          </w:tcPr>
          <w:p w14:paraId="42843035">
            <w:pPr>
              <w:widowControl/>
              <w:spacing w:line="360" w:lineRule="auto"/>
              <w:jc w:val="left"/>
              <w:rPr>
                <w:rFonts w:hint="eastAsia" w:ascii="宋体" w:hAnsi="宋体" w:eastAsia="宋体" w:cs="宋体"/>
                <w:color w:val="000000"/>
                <w:sz w:val="21"/>
                <w:szCs w:val="21"/>
              </w:rPr>
            </w:pPr>
            <w:r>
              <w:rPr>
                <w:rFonts w:hint="eastAsia" w:ascii="宋体" w:hAnsi="宋体" w:eastAsia="宋体" w:cs="宋体"/>
                <w:sz w:val="21"/>
                <w:szCs w:val="21"/>
              </w:rPr>
              <w:t>11.1支持双镜头拼接，水平视场角180°，画面比例20:9</w:t>
            </w:r>
          </w:p>
        </w:tc>
      </w:tr>
      <w:tr w14:paraId="4A21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7" w:type="dxa"/>
            <w:vMerge w:val="continue"/>
            <w:vAlign w:val="center"/>
          </w:tcPr>
          <w:p w14:paraId="0EC3EAA2">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3525640E">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350D0121">
            <w:pPr>
              <w:widowControl/>
              <w:spacing w:line="360" w:lineRule="auto"/>
              <w:jc w:val="left"/>
              <w:rPr>
                <w:rFonts w:hint="eastAsia" w:ascii="宋体" w:hAnsi="宋体" w:eastAsia="宋体" w:cs="宋体"/>
                <w:color w:val="000000"/>
                <w:sz w:val="21"/>
                <w:szCs w:val="21"/>
              </w:rPr>
            </w:pPr>
            <w:r>
              <w:rPr>
                <w:rFonts w:hint="eastAsia" w:ascii="宋体" w:hAnsi="宋体" w:eastAsia="宋体" w:cs="宋体"/>
                <w:sz w:val="21"/>
                <w:szCs w:val="21"/>
              </w:rPr>
              <w:t>11.2最大分辨率3632 × 1632 @20 fps，水平分辨率不低于1400线。</w:t>
            </w:r>
          </w:p>
        </w:tc>
      </w:tr>
      <w:tr w14:paraId="4D13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7" w:type="dxa"/>
            <w:vMerge w:val="continue"/>
            <w:vAlign w:val="center"/>
          </w:tcPr>
          <w:p w14:paraId="3C464BC4">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0859125F">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47BFA60F">
            <w:pPr>
              <w:widowControl/>
              <w:spacing w:line="360" w:lineRule="auto"/>
              <w:jc w:val="left"/>
              <w:rPr>
                <w:rFonts w:hint="eastAsia" w:ascii="宋体" w:hAnsi="宋体" w:eastAsia="宋体" w:cs="宋体"/>
                <w:color w:val="000000"/>
                <w:sz w:val="21"/>
                <w:szCs w:val="21"/>
              </w:rPr>
            </w:pPr>
            <w:r>
              <w:rPr>
                <w:rFonts w:hint="eastAsia" w:ascii="宋体" w:hAnsi="宋体" w:eastAsia="宋体" w:cs="宋体"/>
                <w:sz w:val="21"/>
                <w:szCs w:val="21"/>
              </w:rPr>
              <w:t>11.3最低照度彩色：0.005 lx。</w:t>
            </w:r>
          </w:p>
        </w:tc>
      </w:tr>
      <w:tr w14:paraId="756A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67" w:type="dxa"/>
            <w:vMerge w:val="continue"/>
            <w:vAlign w:val="center"/>
          </w:tcPr>
          <w:p w14:paraId="62A958A7">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437DF1E7">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vAlign w:val="center"/>
          </w:tcPr>
          <w:p w14:paraId="60A301F0">
            <w:pPr>
              <w:widowControl/>
              <w:spacing w:line="360" w:lineRule="auto"/>
              <w:jc w:val="left"/>
              <w:rPr>
                <w:rStyle w:val="38"/>
                <w:rFonts w:hint="eastAsia" w:ascii="宋体" w:hAnsi="宋体" w:eastAsia="宋体" w:cs="宋体"/>
                <w:color w:val="000000"/>
                <w:kern w:val="0"/>
                <w:sz w:val="21"/>
                <w:szCs w:val="21"/>
              </w:rPr>
            </w:pPr>
            <w:r>
              <w:rPr>
                <w:rFonts w:hint="eastAsia" w:ascii="宋体" w:hAnsi="宋体" w:eastAsia="宋体" w:cs="宋体"/>
                <w:sz w:val="21"/>
                <w:szCs w:val="21"/>
              </w:rPr>
              <w:t>11.4调节角度：垂直：-75°~75°</w:t>
            </w:r>
          </w:p>
        </w:tc>
      </w:tr>
      <w:tr w14:paraId="2DDB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67" w:type="dxa"/>
            <w:vMerge w:val="continue"/>
            <w:vAlign w:val="center"/>
          </w:tcPr>
          <w:p w14:paraId="5C72F7DC">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62C2EE60">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520F34D9">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11.5摄像机水平视场角不小于180°，垂直视场角不小于81°</w:t>
            </w:r>
          </w:p>
        </w:tc>
      </w:tr>
      <w:tr w14:paraId="069E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67" w:type="dxa"/>
            <w:vMerge w:val="continue"/>
            <w:vAlign w:val="center"/>
          </w:tcPr>
          <w:p w14:paraId="195ADAB0">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49A21495">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31D3EFAB">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11.6相机可听清距离10m处声级不小于70dB的声音。支持手动调节进行-75°~75°旋转。</w:t>
            </w:r>
          </w:p>
        </w:tc>
      </w:tr>
      <w:tr w14:paraId="6ACA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67" w:type="dxa"/>
            <w:vMerge w:val="continue"/>
            <w:vAlign w:val="center"/>
          </w:tcPr>
          <w:p w14:paraId="28538E39">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7AD2EF85">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14FDF18A">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11.7内置不少于1个麦克风，1个扬声器，1个报警输入，1个报警输出，1个音频输入，1个音频输出接口。</w:t>
            </w:r>
          </w:p>
        </w:tc>
      </w:tr>
      <w:tr w14:paraId="1CB57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67" w:type="dxa"/>
            <w:vMerge w:val="continue"/>
            <w:vAlign w:val="center"/>
          </w:tcPr>
          <w:p w14:paraId="35C09FF6">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0056892F">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2DB5B17D">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11.8红外补光时可识别不小于30米处的人体。</w:t>
            </w:r>
          </w:p>
        </w:tc>
      </w:tr>
      <w:tr w14:paraId="624F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67" w:type="dxa"/>
            <w:vMerge w:val="continue"/>
            <w:vAlign w:val="center"/>
          </w:tcPr>
          <w:p w14:paraId="72528B9A">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75821ED0">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11DCB7CB">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11.9支持DC12V和POE供电。</w:t>
            </w:r>
          </w:p>
        </w:tc>
      </w:tr>
      <w:tr w14:paraId="5CE1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7" w:type="dxa"/>
            <w:vMerge w:val="restart"/>
            <w:vAlign w:val="center"/>
          </w:tcPr>
          <w:p w14:paraId="40806DD4">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827" w:type="dxa"/>
            <w:vMerge w:val="restart"/>
            <w:vAlign w:val="center"/>
          </w:tcPr>
          <w:p w14:paraId="7078EB5D">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显卡</w:t>
            </w:r>
          </w:p>
        </w:tc>
        <w:tc>
          <w:tcPr>
            <w:tcW w:w="6902" w:type="dxa"/>
            <w:shd w:val="clear" w:color="auto" w:fill="auto"/>
            <w:vAlign w:val="center"/>
          </w:tcPr>
          <w:p w14:paraId="0688DDF6">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12.1 GPU：≥双宽GPU卡；</w:t>
            </w:r>
          </w:p>
        </w:tc>
      </w:tr>
      <w:tr w14:paraId="5404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7" w:type="dxa"/>
            <w:vMerge w:val="continue"/>
            <w:vAlign w:val="center"/>
          </w:tcPr>
          <w:p w14:paraId="35B463D1">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3660CB73">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06583275">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12.2 流处理器(管线)≥5888；</w:t>
            </w:r>
          </w:p>
        </w:tc>
      </w:tr>
      <w:tr w14:paraId="5882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7" w:type="dxa"/>
            <w:vMerge w:val="continue"/>
            <w:vAlign w:val="center"/>
          </w:tcPr>
          <w:p w14:paraId="371BFA41">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2078AD04">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34ECBEC8">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12.3  显存容量≥12GB；</w:t>
            </w:r>
          </w:p>
        </w:tc>
      </w:tr>
      <w:tr w14:paraId="595F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7" w:type="dxa"/>
            <w:vMerge w:val="continue"/>
            <w:vAlign w:val="center"/>
          </w:tcPr>
          <w:p w14:paraId="1FF3C6EB">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215C5632">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71B9AAF4">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12.4显存带宽≥504 GB/S；</w:t>
            </w:r>
          </w:p>
        </w:tc>
      </w:tr>
      <w:tr w14:paraId="694B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7" w:type="dxa"/>
            <w:vMerge w:val="continue"/>
            <w:vAlign w:val="center"/>
          </w:tcPr>
          <w:p w14:paraId="1A87E16E">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776205E1">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64761AAA">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12.5 显存位宽≥192 bit；</w:t>
            </w:r>
          </w:p>
        </w:tc>
      </w:tr>
      <w:tr w14:paraId="34C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7" w:type="dxa"/>
            <w:vMerge w:val="continue"/>
            <w:vAlign w:val="center"/>
          </w:tcPr>
          <w:p w14:paraId="467280D2">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47F542F8">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2E504616">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12.6 显存频率≥1313 MHZ；</w:t>
            </w:r>
          </w:p>
        </w:tc>
      </w:tr>
      <w:tr w14:paraId="18DB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7" w:type="dxa"/>
            <w:vMerge w:val="continue"/>
            <w:vAlign w:val="center"/>
          </w:tcPr>
          <w:p w14:paraId="68B40C07">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3B10BE5D">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4573B647">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12.7 核心频率≥1920 MHz；</w:t>
            </w:r>
          </w:p>
        </w:tc>
      </w:tr>
      <w:tr w14:paraId="3A78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7" w:type="dxa"/>
            <w:vMerge w:val="continue"/>
            <w:vAlign w:val="center"/>
          </w:tcPr>
          <w:p w14:paraId="3C9EEAE4">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1D777144">
            <w:pPr>
              <w:widowControl/>
              <w:spacing w:line="360" w:lineRule="auto"/>
              <w:jc w:val="center"/>
              <w:rPr>
                <w:rFonts w:hint="eastAsia" w:ascii="宋体" w:hAnsi="宋体" w:eastAsia="宋体" w:cs="宋体"/>
                <w:color w:val="000000"/>
                <w:kern w:val="0"/>
                <w:sz w:val="21"/>
                <w:szCs w:val="21"/>
              </w:rPr>
            </w:pPr>
          </w:p>
        </w:tc>
        <w:tc>
          <w:tcPr>
            <w:tcW w:w="6902" w:type="dxa"/>
            <w:shd w:val="clear" w:color="auto" w:fill="auto"/>
          </w:tcPr>
          <w:p w14:paraId="2D747B1B">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12.8 动态频率≥2475 MHz；</w:t>
            </w:r>
          </w:p>
        </w:tc>
      </w:tr>
      <w:tr w14:paraId="7BC0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7" w:type="dxa"/>
            <w:vMerge w:val="restart"/>
            <w:vAlign w:val="center"/>
          </w:tcPr>
          <w:p w14:paraId="5B2D95BF">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827" w:type="dxa"/>
            <w:vMerge w:val="restart"/>
            <w:vAlign w:val="center"/>
          </w:tcPr>
          <w:p w14:paraId="5D9EB1D6">
            <w:pPr>
              <w:widowControl/>
              <w:spacing w:line="36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隔音机柜</w:t>
            </w:r>
          </w:p>
        </w:tc>
        <w:tc>
          <w:tcPr>
            <w:tcW w:w="6902" w:type="dxa"/>
            <w:shd w:val="clear" w:color="auto" w:fill="auto"/>
            <w:vAlign w:val="center"/>
          </w:tcPr>
          <w:p w14:paraId="5F48A83F">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13.1 ≥12U隔音机柜</w:t>
            </w:r>
          </w:p>
        </w:tc>
      </w:tr>
      <w:tr w14:paraId="1BD6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7" w:type="dxa"/>
            <w:vMerge w:val="continue"/>
            <w:vAlign w:val="center"/>
          </w:tcPr>
          <w:p w14:paraId="2DCC9129">
            <w:pPr>
              <w:widowControl/>
              <w:spacing w:line="360" w:lineRule="auto"/>
              <w:jc w:val="center"/>
              <w:rPr>
                <w:rFonts w:hint="eastAsia" w:ascii="宋体" w:hAnsi="宋体" w:eastAsia="宋体" w:cs="宋体"/>
                <w:color w:val="000000"/>
                <w:kern w:val="0"/>
                <w:sz w:val="21"/>
                <w:szCs w:val="21"/>
              </w:rPr>
            </w:pPr>
          </w:p>
        </w:tc>
        <w:tc>
          <w:tcPr>
            <w:tcW w:w="827" w:type="dxa"/>
            <w:vMerge w:val="continue"/>
            <w:vAlign w:val="center"/>
          </w:tcPr>
          <w:p w14:paraId="072F0844">
            <w:pPr>
              <w:widowControl/>
              <w:spacing w:line="360" w:lineRule="auto"/>
              <w:jc w:val="left"/>
              <w:rPr>
                <w:rFonts w:hint="eastAsia" w:ascii="宋体" w:hAnsi="宋体" w:eastAsia="宋体" w:cs="宋体"/>
                <w:sz w:val="21"/>
                <w:szCs w:val="21"/>
              </w:rPr>
            </w:pPr>
          </w:p>
        </w:tc>
        <w:tc>
          <w:tcPr>
            <w:tcW w:w="6902" w:type="dxa"/>
            <w:shd w:val="clear" w:color="auto" w:fill="auto"/>
            <w:vAlign w:val="center"/>
          </w:tcPr>
          <w:p w14:paraId="049A7CA3">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13.2 可降低噪音分贝效果≥35%</w:t>
            </w:r>
          </w:p>
        </w:tc>
      </w:tr>
    </w:tbl>
    <w:p w14:paraId="3253B1D9">
      <w:pPr>
        <w:widowControl w:val="0"/>
        <w:spacing w:line="360" w:lineRule="auto"/>
        <w:ind w:firstLine="422" w:firstLineChars="200"/>
        <w:jc w:val="both"/>
        <w:rPr>
          <w:rFonts w:hint="eastAsia" w:ascii="宋体" w:hAnsi="宋体" w:eastAsia="宋体"/>
          <w:b/>
          <w:color w:val="FF0000"/>
          <w:kern w:val="2"/>
          <w:sz w:val="21"/>
          <w:szCs w:val="21"/>
          <w:highlight w:val="yellow"/>
          <w:lang w:eastAsia="zh-CN"/>
        </w:rPr>
      </w:pPr>
      <w:r>
        <w:rPr>
          <w:rFonts w:hint="eastAsia" w:ascii="宋体" w:hAnsi="宋体" w:eastAsia="宋体"/>
          <w:b/>
          <w:color w:val="FF0000"/>
          <w:kern w:val="2"/>
          <w:sz w:val="21"/>
          <w:szCs w:val="21"/>
          <w:lang w:eastAsia="zh-CN"/>
        </w:rPr>
        <w:t>1、带</w:t>
      </w:r>
      <w:r>
        <w:rPr>
          <w:rFonts w:hint="eastAsia" w:ascii="宋体" w:hAnsi="宋体" w:eastAsia="宋体"/>
          <w:b/>
          <w:bCs/>
          <w:color w:val="FF0000"/>
          <w:kern w:val="2"/>
          <w:sz w:val="21"/>
          <w:szCs w:val="21"/>
          <w:lang w:eastAsia="zh-CN"/>
        </w:rPr>
        <w:t>★</w:t>
      </w:r>
      <w:r>
        <w:rPr>
          <w:rFonts w:hint="eastAsia" w:ascii="宋体" w:hAnsi="宋体" w:eastAsia="宋体"/>
          <w:b/>
          <w:color w:val="FF0000"/>
          <w:kern w:val="2"/>
          <w:sz w:val="21"/>
          <w:szCs w:val="21"/>
          <w:lang w:eastAsia="zh-CN"/>
        </w:rPr>
        <w:t>号要求为不可偏离要求，如出现负偏离，将导致投标无效。带▲号参数为重要参数，其他参数（非▲号参数）为普通参数，如出现负偏离，将按照评分准则做扣分处理。</w:t>
      </w:r>
      <w:r>
        <w:rPr>
          <w:rFonts w:hint="eastAsia" w:ascii="宋体" w:hAnsi="宋体" w:eastAsia="宋体"/>
          <w:b/>
          <w:color w:val="FF0000"/>
          <w:kern w:val="2"/>
          <w:sz w:val="21"/>
          <w:szCs w:val="21"/>
          <w:highlight w:val="yellow"/>
          <w:lang w:eastAsia="zh-CN"/>
        </w:rPr>
        <w:t>如注明要求提供相关佐证材料的，需以佐证材料作为是否偏离的依据。</w:t>
      </w:r>
    </w:p>
    <w:p w14:paraId="040284DC">
      <w:pPr>
        <w:widowControl w:val="0"/>
        <w:spacing w:after="78" w:line="360" w:lineRule="auto"/>
        <w:ind w:firstLine="420" w:firstLineChars="200"/>
        <w:jc w:val="left"/>
        <w:rPr>
          <w:rFonts w:ascii="Calibri" w:hAnsi="Calibri" w:eastAsia="宋体"/>
          <w:color w:val="FF0000"/>
          <w:kern w:val="2"/>
          <w:sz w:val="21"/>
          <w:szCs w:val="21"/>
          <w:lang w:eastAsia="zh-CN"/>
        </w:rPr>
      </w:pPr>
      <w:r>
        <w:rPr>
          <w:rFonts w:hint="eastAsia" w:ascii="Calibri" w:hAnsi="Calibri" w:eastAsia="宋体"/>
          <w:color w:val="FF0000"/>
          <w:kern w:val="2"/>
          <w:sz w:val="21"/>
          <w:szCs w:val="21"/>
          <w:lang w:eastAsia="zh-CN"/>
        </w:rPr>
        <w:t>2、所列的技术</w:t>
      </w:r>
      <w:r>
        <w:rPr>
          <w:rFonts w:ascii="Calibri" w:hAnsi="Calibri" w:eastAsia="宋体"/>
          <w:color w:val="FF0000"/>
          <w:kern w:val="2"/>
          <w:sz w:val="21"/>
          <w:szCs w:val="21"/>
          <w:lang w:eastAsia="zh-CN"/>
        </w:rPr>
        <w:t>参数</w:t>
      </w:r>
      <w:r>
        <w:rPr>
          <w:rFonts w:hint="eastAsia" w:ascii="Calibri" w:hAnsi="Calibri" w:eastAsia="宋体"/>
          <w:color w:val="FF0000"/>
          <w:kern w:val="2"/>
          <w:sz w:val="21"/>
          <w:szCs w:val="21"/>
          <w:lang w:eastAsia="zh-CN"/>
        </w:rPr>
        <w:t>需求中如出现品牌信息仅供参考，不作为参数要求，目的只为投标人更清楚地了解采购需求，投标人可提供其他品牌设备投标。</w:t>
      </w:r>
    </w:p>
    <w:p w14:paraId="2691C933">
      <w:pPr>
        <w:widowControl w:val="0"/>
        <w:spacing w:after="78" w:line="360" w:lineRule="auto"/>
        <w:ind w:firstLine="420" w:firstLineChars="200"/>
        <w:jc w:val="left"/>
        <w:rPr>
          <w:rFonts w:ascii="Calibri" w:hAnsi="Calibri" w:eastAsia="宋体"/>
          <w:color w:val="FF0000"/>
          <w:kern w:val="2"/>
          <w:sz w:val="21"/>
          <w:szCs w:val="21"/>
          <w:lang w:eastAsia="zh-CN"/>
        </w:rPr>
      </w:pPr>
      <w:r>
        <w:rPr>
          <w:rFonts w:hint="eastAsia" w:ascii="Calibri" w:hAnsi="Calibri" w:eastAsia="宋体"/>
          <w:color w:val="FF0000"/>
          <w:kern w:val="2"/>
          <w:sz w:val="21"/>
          <w:szCs w:val="21"/>
          <w:lang w:eastAsia="zh-CN"/>
        </w:rPr>
        <w:t>3、如有</w:t>
      </w:r>
      <w:r>
        <w:rPr>
          <w:rFonts w:ascii="Calibri" w:hAnsi="Calibri" w:eastAsia="宋体"/>
          <w:color w:val="FF0000"/>
          <w:kern w:val="2"/>
          <w:sz w:val="21"/>
          <w:szCs w:val="21"/>
          <w:lang w:eastAsia="zh-CN"/>
        </w:rPr>
        <w:t>方案表述中有出现类似可实现、</w:t>
      </w:r>
      <w:r>
        <w:rPr>
          <w:rFonts w:hint="eastAsia" w:ascii="Calibri" w:hAnsi="Calibri" w:eastAsia="宋体"/>
          <w:color w:val="FF0000"/>
          <w:kern w:val="2"/>
          <w:sz w:val="21"/>
          <w:szCs w:val="21"/>
          <w:lang w:eastAsia="zh-CN"/>
        </w:rPr>
        <w:t>实现</w:t>
      </w:r>
      <w:r>
        <w:rPr>
          <w:rFonts w:ascii="Calibri" w:hAnsi="Calibri" w:eastAsia="宋体"/>
          <w:color w:val="FF0000"/>
          <w:kern w:val="2"/>
          <w:sz w:val="21"/>
          <w:szCs w:val="21"/>
          <w:lang w:eastAsia="zh-CN"/>
        </w:rPr>
        <w:t>、</w:t>
      </w:r>
      <w:r>
        <w:rPr>
          <w:rFonts w:hint="eastAsia" w:ascii="Calibri" w:hAnsi="Calibri" w:eastAsia="宋体"/>
          <w:color w:val="FF0000"/>
          <w:kern w:val="2"/>
          <w:sz w:val="21"/>
          <w:szCs w:val="21"/>
          <w:lang w:eastAsia="zh-CN"/>
        </w:rPr>
        <w:t>可</w:t>
      </w:r>
      <w:r>
        <w:rPr>
          <w:rFonts w:ascii="Calibri" w:hAnsi="Calibri" w:eastAsia="宋体"/>
          <w:color w:val="FF0000"/>
          <w:kern w:val="2"/>
          <w:sz w:val="21"/>
          <w:szCs w:val="21"/>
          <w:lang w:eastAsia="zh-CN"/>
        </w:rPr>
        <w:t>支持、支持</w:t>
      </w:r>
      <w:r>
        <w:rPr>
          <w:rFonts w:hint="eastAsia" w:ascii="Calibri" w:hAnsi="Calibri" w:eastAsia="宋体"/>
          <w:color w:val="FF0000"/>
          <w:kern w:val="2"/>
          <w:sz w:val="21"/>
          <w:szCs w:val="21"/>
          <w:lang w:eastAsia="zh-CN"/>
        </w:rPr>
        <w:t>等</w:t>
      </w:r>
      <w:r>
        <w:rPr>
          <w:rFonts w:ascii="Calibri" w:hAnsi="Calibri" w:eastAsia="宋体"/>
          <w:color w:val="FF0000"/>
          <w:kern w:val="2"/>
          <w:sz w:val="21"/>
          <w:szCs w:val="21"/>
          <w:lang w:eastAsia="zh-CN"/>
        </w:rPr>
        <w:t>描述的，均表示方案需要实现的功能或</w:t>
      </w:r>
      <w:r>
        <w:rPr>
          <w:rFonts w:hint="eastAsia" w:ascii="Calibri" w:hAnsi="Calibri" w:eastAsia="宋体"/>
          <w:color w:val="FF0000"/>
          <w:kern w:val="2"/>
          <w:sz w:val="21"/>
          <w:szCs w:val="21"/>
          <w:lang w:eastAsia="zh-CN"/>
        </w:rPr>
        <w:t>应满足的</w:t>
      </w:r>
      <w:r>
        <w:rPr>
          <w:rFonts w:ascii="Calibri" w:hAnsi="Calibri" w:eastAsia="宋体"/>
          <w:color w:val="FF0000"/>
          <w:kern w:val="2"/>
          <w:sz w:val="21"/>
          <w:szCs w:val="21"/>
          <w:lang w:eastAsia="zh-CN"/>
        </w:rPr>
        <w:t>要求，即项目在验收时无须增加其他</w:t>
      </w:r>
      <w:r>
        <w:rPr>
          <w:rFonts w:hint="eastAsia" w:ascii="Calibri" w:hAnsi="Calibri" w:eastAsia="宋体"/>
          <w:color w:val="FF0000"/>
          <w:kern w:val="2"/>
          <w:sz w:val="21"/>
          <w:szCs w:val="21"/>
          <w:lang w:eastAsia="zh-CN"/>
        </w:rPr>
        <w:t>额外</w:t>
      </w:r>
      <w:r>
        <w:rPr>
          <w:rFonts w:ascii="Calibri" w:hAnsi="Calibri" w:eastAsia="宋体"/>
          <w:color w:val="FF0000"/>
          <w:kern w:val="2"/>
          <w:sz w:val="21"/>
          <w:szCs w:val="21"/>
          <w:lang w:eastAsia="zh-CN"/>
        </w:rPr>
        <w:t>设备</w:t>
      </w:r>
      <w:r>
        <w:rPr>
          <w:rFonts w:hint="eastAsia" w:ascii="Calibri" w:hAnsi="Calibri" w:eastAsia="宋体"/>
          <w:color w:val="FF0000"/>
          <w:kern w:val="2"/>
          <w:sz w:val="21"/>
          <w:szCs w:val="21"/>
          <w:lang w:eastAsia="zh-CN"/>
        </w:rPr>
        <w:t>或</w:t>
      </w:r>
      <w:r>
        <w:rPr>
          <w:rFonts w:ascii="Calibri" w:hAnsi="Calibri" w:eastAsia="宋体"/>
          <w:color w:val="FF0000"/>
          <w:kern w:val="2"/>
          <w:sz w:val="21"/>
          <w:szCs w:val="21"/>
          <w:lang w:eastAsia="zh-CN"/>
        </w:rPr>
        <w:t>系统</w:t>
      </w:r>
      <w:r>
        <w:rPr>
          <w:rFonts w:hint="eastAsia" w:ascii="Calibri" w:hAnsi="Calibri" w:eastAsia="宋体"/>
          <w:color w:val="FF0000"/>
          <w:kern w:val="2"/>
          <w:sz w:val="21"/>
          <w:szCs w:val="21"/>
          <w:lang w:eastAsia="zh-CN"/>
        </w:rPr>
        <w:t>，</w:t>
      </w:r>
      <w:r>
        <w:rPr>
          <w:rFonts w:ascii="Calibri" w:hAnsi="Calibri" w:eastAsia="宋体"/>
          <w:color w:val="FF0000"/>
          <w:kern w:val="2"/>
          <w:sz w:val="21"/>
          <w:szCs w:val="21"/>
          <w:lang w:eastAsia="zh-CN"/>
        </w:rPr>
        <w:t>使用本项目中的设备或</w:t>
      </w:r>
      <w:r>
        <w:rPr>
          <w:rFonts w:hint="eastAsia" w:ascii="Calibri" w:hAnsi="Calibri" w:eastAsia="宋体"/>
          <w:color w:val="FF0000"/>
          <w:kern w:val="2"/>
          <w:sz w:val="21"/>
          <w:szCs w:val="21"/>
          <w:lang w:eastAsia="zh-CN"/>
        </w:rPr>
        <w:t>系统</w:t>
      </w:r>
      <w:r>
        <w:rPr>
          <w:rFonts w:ascii="Calibri" w:hAnsi="Calibri" w:eastAsia="宋体"/>
          <w:color w:val="FF0000"/>
          <w:kern w:val="2"/>
          <w:sz w:val="21"/>
          <w:szCs w:val="21"/>
          <w:lang w:eastAsia="zh-CN"/>
        </w:rPr>
        <w:t>即能实现</w:t>
      </w:r>
      <w:r>
        <w:rPr>
          <w:rFonts w:hint="eastAsia" w:ascii="Calibri" w:hAnsi="Calibri" w:eastAsia="宋体"/>
          <w:color w:val="FF0000"/>
          <w:kern w:val="2"/>
          <w:sz w:val="21"/>
          <w:szCs w:val="21"/>
          <w:lang w:eastAsia="zh-CN"/>
        </w:rPr>
        <w:t>相应功能</w:t>
      </w:r>
      <w:r>
        <w:rPr>
          <w:rFonts w:ascii="Calibri" w:hAnsi="Calibri" w:eastAsia="宋体"/>
          <w:color w:val="FF0000"/>
          <w:kern w:val="2"/>
          <w:sz w:val="21"/>
          <w:szCs w:val="21"/>
          <w:lang w:eastAsia="zh-CN"/>
        </w:rPr>
        <w:t>或</w:t>
      </w:r>
      <w:r>
        <w:rPr>
          <w:rFonts w:hint="eastAsia" w:ascii="Calibri" w:hAnsi="Calibri" w:eastAsia="宋体"/>
          <w:color w:val="FF0000"/>
          <w:kern w:val="2"/>
          <w:sz w:val="21"/>
          <w:szCs w:val="21"/>
          <w:lang w:eastAsia="zh-CN"/>
        </w:rPr>
        <w:t>满足相关</w:t>
      </w:r>
      <w:r>
        <w:rPr>
          <w:rFonts w:ascii="Calibri" w:hAnsi="Calibri" w:eastAsia="宋体"/>
          <w:color w:val="FF0000"/>
          <w:kern w:val="2"/>
          <w:sz w:val="21"/>
          <w:szCs w:val="21"/>
          <w:lang w:eastAsia="zh-CN"/>
        </w:rPr>
        <w:t>要求。</w:t>
      </w:r>
    </w:p>
    <w:p w14:paraId="6B1C342F">
      <w:pPr>
        <w:widowControl w:val="0"/>
        <w:spacing w:after="78" w:line="360" w:lineRule="auto"/>
        <w:ind w:firstLine="420" w:firstLineChars="200"/>
        <w:jc w:val="left"/>
        <w:rPr>
          <w:rFonts w:ascii="Calibri" w:hAnsi="Calibri" w:eastAsia="宋体"/>
          <w:color w:val="FF0000"/>
          <w:kern w:val="2"/>
          <w:sz w:val="21"/>
          <w:szCs w:val="21"/>
          <w:lang w:eastAsia="zh-CN"/>
        </w:rPr>
      </w:pPr>
      <w:r>
        <w:rPr>
          <w:rFonts w:ascii="Calibri" w:hAnsi="Calibri" w:eastAsia="宋体"/>
          <w:color w:val="FF0000"/>
          <w:kern w:val="2"/>
          <w:sz w:val="21"/>
          <w:szCs w:val="21"/>
          <w:lang w:eastAsia="zh-CN"/>
        </w:rPr>
        <w:t>4、针对招标文件产品技术参数如涉及相关既定值、单向范围值、区间范围值的，投标技术参数响应方式举例说明如下：</w:t>
      </w:r>
    </w:p>
    <w:p w14:paraId="516905E8">
      <w:pPr>
        <w:widowControl w:val="0"/>
        <w:spacing w:after="78" w:line="360" w:lineRule="auto"/>
        <w:jc w:val="left"/>
        <w:rPr>
          <w:rFonts w:ascii="Calibri" w:hAnsi="Calibri" w:eastAsia="宋体"/>
          <w:color w:val="FF0000"/>
          <w:kern w:val="2"/>
          <w:sz w:val="21"/>
          <w:szCs w:val="21"/>
          <w:lang w:eastAsia="zh-CN"/>
        </w:rPr>
      </w:pPr>
      <w:r>
        <w:rPr>
          <w:rFonts w:ascii="Calibri" w:hAnsi="Calibri" w:eastAsia="宋体"/>
          <w:color w:val="FF0000"/>
          <w:kern w:val="2"/>
          <w:sz w:val="21"/>
          <w:szCs w:val="21"/>
          <w:lang w:eastAsia="zh-CN"/>
        </w:rPr>
        <w:t>（1）涉及相关既定值的，例：招标技术参数要求值为“20L”，投标技术参数响应值与“20L”不一致的，均视为负偏离；</w:t>
      </w:r>
    </w:p>
    <w:p w14:paraId="4B277429">
      <w:pPr>
        <w:widowControl w:val="0"/>
        <w:spacing w:after="78" w:line="360" w:lineRule="auto"/>
        <w:jc w:val="left"/>
        <w:rPr>
          <w:rFonts w:ascii="Calibri" w:hAnsi="Calibri" w:eastAsia="宋体"/>
          <w:color w:val="FF0000"/>
          <w:kern w:val="2"/>
          <w:sz w:val="21"/>
          <w:szCs w:val="21"/>
          <w:lang w:eastAsia="zh-CN"/>
        </w:rPr>
      </w:pPr>
      <w:r>
        <w:rPr>
          <w:rFonts w:ascii="Calibri" w:hAnsi="Calibri" w:eastAsia="宋体"/>
          <w:color w:val="FF0000"/>
          <w:kern w:val="2"/>
          <w:sz w:val="21"/>
          <w:szCs w:val="21"/>
          <w:lang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14:paraId="7EA750DC">
      <w:pPr>
        <w:widowControl w:val="0"/>
        <w:spacing w:after="78" w:line="360" w:lineRule="auto"/>
        <w:jc w:val="left"/>
        <w:rPr>
          <w:rFonts w:hint="eastAsia" w:ascii="Calibri" w:hAnsi="Calibri" w:eastAsia="黑体"/>
          <w:kern w:val="44"/>
          <w:sz w:val="21"/>
          <w:szCs w:val="44"/>
          <w:lang w:eastAsia="zh-CN"/>
        </w:rPr>
      </w:pPr>
      <w:r>
        <w:rPr>
          <w:rFonts w:ascii="Calibri" w:hAnsi="Calibri" w:eastAsia="宋体"/>
          <w:color w:val="FF0000"/>
          <w:kern w:val="2"/>
          <w:sz w:val="21"/>
          <w:szCs w:val="21"/>
          <w:lang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14:paraId="47218F6D">
      <w:pPr>
        <w:keepNext/>
        <w:keepLines/>
        <w:widowControl w:val="0"/>
        <w:tabs>
          <w:tab w:val="left" w:pos="1680"/>
        </w:tabs>
        <w:spacing w:before="260" w:after="78" w:afterLines="25"/>
        <w:jc w:val="center"/>
        <w:outlineLvl w:val="2"/>
        <w:rPr>
          <w:rFonts w:hint="eastAsia" w:ascii="Arial" w:hAnsi="Arial" w:eastAsia="宋体"/>
          <w:b/>
          <w:bCs/>
          <w:kern w:val="2"/>
          <w:sz w:val="32"/>
          <w:szCs w:val="32"/>
          <w:lang w:val="en-US" w:eastAsia="zh-CN"/>
        </w:rPr>
      </w:pPr>
      <w:r>
        <w:rPr>
          <w:rFonts w:hint="eastAsia" w:ascii="Arial" w:hAnsi="Arial" w:eastAsia="宋体"/>
          <w:b/>
          <w:bCs/>
          <w:kern w:val="2"/>
          <w:sz w:val="32"/>
          <w:szCs w:val="32"/>
          <w:lang w:val="en-US" w:eastAsia="zh-CN"/>
        </w:rPr>
        <w:t>七、投标报价要求</w:t>
      </w:r>
    </w:p>
    <w:p w14:paraId="10D89179">
      <w:pPr>
        <w:pStyle w:val="12"/>
        <w:keepNext w:val="0"/>
        <w:keepLines w:val="0"/>
        <w:pageBreakBefore w:val="0"/>
        <w:kinsoku/>
        <w:wordWrap/>
        <w:overflowPunct/>
        <w:topLinePunct w:val="0"/>
        <w:autoSpaceDE/>
        <w:autoSpaceDN/>
        <w:bidi w:val="0"/>
        <w:adjustRightInd/>
        <w:snapToGrid/>
        <w:spacing w:before="0" w:beforeAutospacing="0" w:afterAutospacing="0" w:line="360" w:lineRule="auto"/>
        <w:ind w:firstLine="392" w:firstLineChars="187"/>
        <w:textAlignment w:val="auto"/>
        <w:rPr>
          <w:rFonts w:ascii="宋体" w:hAnsi="宋体" w:cs="宋体"/>
          <w:szCs w:val="21"/>
        </w:rPr>
      </w:pPr>
      <w:r>
        <w:rPr>
          <w:rFonts w:hint="eastAsia" w:ascii="宋体" w:hAnsi="宋体" w:cs="宋体"/>
          <w:sz w:val="21"/>
          <w:szCs w:val="21"/>
          <w:lang w:bidi="ar"/>
        </w:rPr>
        <w:t>1、本项目服务费采用包干制，应包括服务成本、法定税费和利润。由投标人根据采购文件所提供的资料自行测算投标报价；一经中标，投标报价总价作为中标单位与采购单位签定的合同金额，合同期限内不做调整；</w:t>
      </w:r>
    </w:p>
    <w:p w14:paraId="66941546">
      <w:pPr>
        <w:pStyle w:val="12"/>
        <w:keepNext w:val="0"/>
        <w:keepLines w:val="0"/>
        <w:pageBreakBefore w:val="0"/>
        <w:kinsoku/>
        <w:wordWrap/>
        <w:overflowPunct/>
        <w:topLinePunct w:val="0"/>
        <w:autoSpaceDE/>
        <w:autoSpaceDN/>
        <w:bidi w:val="0"/>
        <w:adjustRightInd/>
        <w:snapToGrid/>
        <w:spacing w:before="0" w:beforeAutospacing="0" w:afterAutospacing="0" w:line="360" w:lineRule="auto"/>
        <w:ind w:firstLine="392" w:firstLineChars="187"/>
        <w:textAlignment w:val="auto"/>
        <w:rPr>
          <w:rFonts w:ascii="宋体" w:hAnsi="宋体" w:cs="宋体"/>
          <w:bCs/>
          <w:sz w:val="21"/>
          <w:szCs w:val="21"/>
          <w:lang w:bidi="ar"/>
        </w:rPr>
      </w:pPr>
      <w:r>
        <w:rPr>
          <w:rFonts w:hint="eastAsia" w:ascii="宋体" w:hAnsi="宋体" w:cs="宋体"/>
          <w:sz w:val="21"/>
          <w:szCs w:val="21"/>
          <w:lang w:bidi="ar"/>
        </w:rPr>
        <w:t>2、投标人应根据其成本自行决定报价。</w:t>
      </w:r>
      <w:r>
        <w:rPr>
          <w:rFonts w:hint="eastAsia" w:ascii="宋体" w:hAnsi="宋体" w:cs="宋体"/>
          <w:b/>
          <w:sz w:val="21"/>
          <w:szCs w:val="21"/>
          <w:lang w:bidi="ar"/>
        </w:rPr>
        <w:t>评审小组</w:t>
      </w:r>
      <w:r>
        <w:rPr>
          <w:rFonts w:hint="eastAsia" w:ascii="宋体" w:hAnsi="宋体" w:cs="宋体"/>
          <w:sz w:val="21"/>
          <w:szCs w:val="21"/>
          <w:lang w:bidi="ar"/>
        </w:rPr>
        <w:t>认为投标人的报价明显低于其他通过符合性审查投标人的报价，有可能影响服务质量或不能诚信履约的，将会要求该投标人在评审现场合理的时间内提供书面说明，必要时提交相关证明材料。</w:t>
      </w:r>
      <w:r>
        <w:rPr>
          <w:rFonts w:hint="eastAsia" w:ascii="宋体" w:hAnsi="宋体" w:cs="宋体"/>
          <w:bCs/>
          <w:sz w:val="21"/>
          <w:szCs w:val="21"/>
          <w:lang w:bidi="ar"/>
        </w:rPr>
        <w:t>投标人不能证明其报价合理性的，评审委员会应将其作为无效投标处理。若</w:t>
      </w:r>
      <w:r>
        <w:rPr>
          <w:rFonts w:hint="eastAsia" w:ascii="宋体" w:hAnsi="宋体" w:cs="宋体"/>
          <w:b/>
          <w:bCs/>
          <w:sz w:val="21"/>
          <w:szCs w:val="21"/>
          <w:lang w:bidi="ar"/>
        </w:rPr>
        <w:t>评审小组</w:t>
      </w:r>
      <w:r>
        <w:rPr>
          <w:rFonts w:hint="eastAsia" w:ascii="宋体" w:hAnsi="宋体" w:cs="宋体"/>
          <w:bCs/>
          <w:sz w:val="21"/>
          <w:szCs w:val="21"/>
          <w:lang w:bidi="ar"/>
        </w:rPr>
        <w:t>对是否须由投标人作出报价合理性说明，以及书面说明是否采纳等判断不一致的，按照“少数服从多数”的原则确定</w:t>
      </w:r>
      <w:r>
        <w:rPr>
          <w:rFonts w:hint="eastAsia" w:ascii="宋体" w:hAnsi="宋体" w:cs="宋体"/>
          <w:b/>
          <w:bCs/>
          <w:sz w:val="21"/>
          <w:szCs w:val="21"/>
          <w:lang w:bidi="ar"/>
        </w:rPr>
        <w:t>评审小组</w:t>
      </w:r>
      <w:r>
        <w:rPr>
          <w:rFonts w:hint="eastAsia" w:ascii="宋体" w:hAnsi="宋体" w:cs="宋体"/>
          <w:bCs/>
          <w:sz w:val="21"/>
          <w:szCs w:val="21"/>
          <w:lang w:bidi="ar"/>
        </w:rPr>
        <w:t>的意见。</w:t>
      </w:r>
    </w:p>
    <w:p w14:paraId="182988D2">
      <w:pPr>
        <w:pStyle w:val="12"/>
        <w:keepNext w:val="0"/>
        <w:keepLines w:val="0"/>
        <w:pageBreakBefore w:val="0"/>
        <w:kinsoku/>
        <w:wordWrap/>
        <w:overflowPunct/>
        <w:topLinePunct w:val="0"/>
        <w:autoSpaceDE/>
        <w:autoSpaceDN/>
        <w:bidi w:val="0"/>
        <w:adjustRightInd/>
        <w:snapToGrid/>
        <w:spacing w:before="0" w:beforeAutospacing="0" w:afterAutospacing="0" w:line="360" w:lineRule="auto"/>
        <w:ind w:firstLine="392" w:firstLineChars="187"/>
        <w:textAlignment w:val="auto"/>
        <w:rPr>
          <w:rFonts w:ascii="宋体" w:hAnsi="宋体" w:cs="宋体"/>
          <w:szCs w:val="21"/>
        </w:rPr>
      </w:pPr>
      <w:r>
        <w:rPr>
          <w:rFonts w:hint="eastAsia" w:ascii="宋体" w:hAnsi="宋体" w:cs="宋体"/>
          <w:bCs/>
          <w:sz w:val="21"/>
          <w:szCs w:val="21"/>
          <w:lang w:bidi="ar"/>
        </w:rPr>
        <w:t>3、</w:t>
      </w:r>
      <w:r>
        <w:rPr>
          <w:rFonts w:hint="eastAsia" w:ascii="宋体" w:hAnsi="宋体" w:cs="宋体"/>
          <w:sz w:val="21"/>
          <w:szCs w:val="21"/>
          <w:lang w:bidi="ar"/>
        </w:rPr>
        <w:t>如果中标价低于财政预算限额的70%，该项目将被列为优先实施履约检查的项目。</w:t>
      </w:r>
    </w:p>
    <w:p w14:paraId="6A7ED9C8">
      <w:pPr>
        <w:pStyle w:val="12"/>
        <w:keepNext w:val="0"/>
        <w:keepLines w:val="0"/>
        <w:pageBreakBefore w:val="0"/>
        <w:kinsoku/>
        <w:wordWrap/>
        <w:overflowPunct/>
        <w:topLinePunct w:val="0"/>
        <w:autoSpaceDE/>
        <w:autoSpaceDN/>
        <w:bidi w:val="0"/>
        <w:adjustRightInd/>
        <w:snapToGrid/>
        <w:spacing w:before="0" w:beforeAutospacing="0" w:afterAutospacing="0" w:line="360" w:lineRule="auto"/>
        <w:ind w:firstLine="392" w:firstLineChars="187"/>
        <w:textAlignment w:val="auto"/>
        <w:rPr>
          <w:rFonts w:ascii="宋体" w:hAnsi="宋体" w:cs="宋体"/>
          <w:szCs w:val="21"/>
        </w:rPr>
      </w:pPr>
      <w:r>
        <w:rPr>
          <w:rFonts w:hint="eastAsia" w:ascii="宋体" w:hAnsi="宋体" w:cs="宋体"/>
          <w:sz w:val="21"/>
          <w:szCs w:val="21"/>
          <w:lang w:bidi="ar"/>
        </w:rPr>
        <w:t>4、投标人的投标报价不得超过财政预算限额，如设投标最高限价的，报价不得超过最高限价；</w:t>
      </w:r>
    </w:p>
    <w:p w14:paraId="074B69D3">
      <w:pPr>
        <w:pStyle w:val="12"/>
        <w:keepNext w:val="0"/>
        <w:keepLines w:val="0"/>
        <w:pageBreakBefore w:val="0"/>
        <w:kinsoku/>
        <w:wordWrap/>
        <w:overflowPunct/>
        <w:topLinePunct w:val="0"/>
        <w:autoSpaceDE/>
        <w:autoSpaceDN/>
        <w:bidi w:val="0"/>
        <w:adjustRightInd/>
        <w:snapToGrid/>
        <w:spacing w:before="0" w:beforeAutospacing="0" w:afterAutospacing="0" w:line="360" w:lineRule="auto"/>
        <w:ind w:firstLine="392" w:firstLineChars="187"/>
        <w:textAlignment w:val="auto"/>
        <w:rPr>
          <w:rFonts w:ascii="宋体" w:hAnsi="宋体" w:cs="宋体"/>
          <w:szCs w:val="21"/>
        </w:rPr>
      </w:pPr>
      <w:r>
        <w:rPr>
          <w:rFonts w:hint="eastAsia" w:ascii="宋体" w:hAnsi="宋体" w:cs="宋体"/>
          <w:sz w:val="21"/>
          <w:szCs w:val="21"/>
          <w:lang w:bidi="ar"/>
        </w:rPr>
        <w:t>5、投标人的投标报价，应是本项目采购范围和采购文件及合同条款上所列的各项内容中所述的全部，不得以任何理由予以重复，并以投标人在中提出的综合单价或总价为依据；</w:t>
      </w:r>
    </w:p>
    <w:p w14:paraId="54F7D961">
      <w:pPr>
        <w:pStyle w:val="12"/>
        <w:keepNext w:val="0"/>
        <w:keepLines w:val="0"/>
        <w:pageBreakBefore w:val="0"/>
        <w:kinsoku/>
        <w:wordWrap/>
        <w:overflowPunct/>
        <w:topLinePunct w:val="0"/>
        <w:autoSpaceDE/>
        <w:autoSpaceDN/>
        <w:bidi w:val="0"/>
        <w:adjustRightInd/>
        <w:snapToGrid/>
        <w:spacing w:before="0" w:beforeAutospacing="0" w:afterAutospacing="0" w:line="360" w:lineRule="auto"/>
        <w:ind w:firstLine="392" w:firstLineChars="187"/>
        <w:textAlignment w:val="auto"/>
        <w:rPr>
          <w:rFonts w:ascii="宋体" w:hAnsi="宋体" w:cs="宋体"/>
          <w:szCs w:val="21"/>
        </w:rPr>
      </w:pPr>
      <w:r>
        <w:rPr>
          <w:rFonts w:hint="eastAsia" w:ascii="宋体" w:hAnsi="宋体" w:cs="宋体"/>
          <w:sz w:val="21"/>
          <w:szCs w:val="21"/>
          <w:lang w:bidi="ar"/>
        </w:rPr>
        <w:t>6、除非</w:t>
      </w:r>
      <w:r>
        <w:rPr>
          <w:rFonts w:hint="eastAsia"/>
          <w:sz w:val="21"/>
          <w:szCs w:val="21"/>
        </w:rPr>
        <w:t>龙华区教育系统</w:t>
      </w:r>
      <w:r>
        <w:rPr>
          <w:rFonts w:hint="eastAsia" w:ascii="宋体" w:hAnsi="宋体" w:cs="宋体"/>
          <w:sz w:val="21"/>
          <w:szCs w:val="21"/>
          <w:lang w:bidi="ar"/>
        </w:rPr>
        <w:t>通过修改采购文件予以更正，否则，投标人应毫无例外地按采购文件所列的清单中项目和数量填报综合单价和合价。投标人未填综合单价或合价的项目，视作该项费用已包括在其它有价款的综合单价或合价内；</w:t>
      </w:r>
    </w:p>
    <w:p w14:paraId="1EA61324">
      <w:pPr>
        <w:pStyle w:val="12"/>
        <w:keepNext w:val="0"/>
        <w:keepLines w:val="0"/>
        <w:pageBreakBefore w:val="0"/>
        <w:kinsoku/>
        <w:wordWrap/>
        <w:overflowPunct/>
        <w:topLinePunct w:val="0"/>
        <w:autoSpaceDE/>
        <w:autoSpaceDN/>
        <w:bidi w:val="0"/>
        <w:adjustRightInd/>
        <w:snapToGrid/>
        <w:spacing w:before="0" w:beforeAutospacing="0" w:afterAutospacing="0" w:line="360" w:lineRule="auto"/>
        <w:ind w:firstLine="392" w:firstLineChars="187"/>
        <w:textAlignment w:val="auto"/>
        <w:rPr>
          <w:rFonts w:ascii="宋体" w:hAnsi="宋体" w:cs="宋体"/>
          <w:szCs w:val="21"/>
        </w:rPr>
      </w:pPr>
      <w:r>
        <w:rPr>
          <w:rFonts w:hint="eastAsia" w:ascii="宋体" w:hAnsi="宋体" w:cs="宋体"/>
          <w:sz w:val="21"/>
          <w:szCs w:val="21"/>
          <w:lang w:bidi="ar"/>
        </w:rPr>
        <w:t>7、投标人应先到项目地点踏勘以充分了解项目的位置、情况、道路及任何其它足以影响投标报价的情况，任何因忽视或误解项目情况而导致的索赔或服务期限延长申请将不获批准；</w:t>
      </w:r>
    </w:p>
    <w:p w14:paraId="15F5D4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Calibri" w:hAnsi="Calibri" w:eastAsia="宋体"/>
          <w:bCs/>
          <w:kern w:val="2"/>
          <w:sz w:val="21"/>
          <w:szCs w:val="21"/>
          <w:lang w:eastAsia="zh-CN"/>
        </w:rPr>
      </w:pPr>
      <w:r>
        <w:rPr>
          <w:rFonts w:hint="eastAsia" w:ascii="宋体" w:hAnsi="宋体" w:cs="宋体"/>
          <w:sz w:val="21"/>
          <w:szCs w:val="21"/>
          <w:lang w:bidi="ar"/>
        </w:rPr>
        <w:t>8、投标人不得期望通过索赔等方式获取补偿，否则，除可能遭到拒绝外，还可能将被作为不良行为记录在案，并可能影响其以后参加</w:t>
      </w:r>
      <w:r>
        <w:rPr>
          <w:rFonts w:hint="eastAsia"/>
          <w:sz w:val="21"/>
          <w:szCs w:val="21"/>
        </w:rPr>
        <w:t>龙华区教育系统自行采购</w:t>
      </w:r>
      <w:r>
        <w:rPr>
          <w:rFonts w:hint="eastAsia" w:ascii="宋体" w:hAnsi="宋体" w:cs="宋体"/>
          <w:sz w:val="21"/>
          <w:szCs w:val="21"/>
          <w:lang w:bidi="ar"/>
        </w:rPr>
        <w:t>的项目投标。各投标人在投标报价时，应充分考虑投标报价的风险。</w:t>
      </w:r>
    </w:p>
    <w:p w14:paraId="788F34A1">
      <w:pPr>
        <w:keepNext/>
        <w:keepLines/>
        <w:widowControl w:val="0"/>
        <w:tabs>
          <w:tab w:val="left" w:pos="1680"/>
        </w:tabs>
        <w:spacing w:before="260" w:after="78" w:afterLines="25"/>
        <w:jc w:val="center"/>
        <w:outlineLvl w:val="2"/>
        <w:rPr>
          <w:rFonts w:hint="eastAsia" w:ascii="Arial" w:hAnsi="Arial" w:eastAsia="宋体"/>
          <w:b/>
          <w:bCs/>
          <w:kern w:val="2"/>
          <w:sz w:val="32"/>
          <w:szCs w:val="32"/>
          <w:lang w:val="en-US" w:eastAsia="zh-CN"/>
        </w:rPr>
      </w:pPr>
      <w:r>
        <w:rPr>
          <w:rFonts w:hint="eastAsia" w:ascii="Arial" w:hAnsi="Arial" w:eastAsia="宋体"/>
          <w:b/>
          <w:bCs/>
          <w:kern w:val="2"/>
          <w:sz w:val="32"/>
          <w:szCs w:val="32"/>
          <w:lang w:val="en-US" w:eastAsia="zh-CN"/>
        </w:rPr>
        <w:t>八、注意事项</w:t>
      </w:r>
    </w:p>
    <w:p w14:paraId="4BACC1B7">
      <w:pPr>
        <w:pStyle w:val="7"/>
        <w:spacing w:line="360" w:lineRule="auto"/>
        <w:ind w:firstLine="392" w:firstLineChars="187"/>
        <w:rPr>
          <w:rFonts w:hint="eastAsia" w:ascii="宋体" w:hAnsi="宋体"/>
          <w:szCs w:val="21"/>
        </w:rPr>
      </w:pPr>
      <w:r>
        <w:rPr>
          <w:rFonts w:hint="eastAsia" w:ascii="宋体" w:hAnsi="宋体"/>
          <w:szCs w:val="21"/>
        </w:rPr>
        <w:t>1、中标供应商不得将项目非法分包或转包给任何单位和个人。否则，采购单位有权即刻终止合同，并要求中标供应商赔偿相应损失。</w:t>
      </w:r>
    </w:p>
    <w:p w14:paraId="7AA162C9">
      <w:pPr>
        <w:pStyle w:val="7"/>
        <w:spacing w:line="360" w:lineRule="auto"/>
        <w:ind w:firstLine="392" w:firstLineChars="187"/>
        <w:rPr>
          <w:rFonts w:hint="eastAsia" w:ascii="宋体" w:hAnsi="宋体"/>
          <w:szCs w:val="21"/>
        </w:rPr>
      </w:pPr>
      <w:r>
        <w:rPr>
          <w:rFonts w:hint="eastAsia" w:ascii="宋体" w:hAnsi="宋体"/>
          <w:szCs w:val="21"/>
        </w:rPr>
        <w:t>2、投标人使用的标准必须是国际公认或国家、或地方政府颁布的同等或更高的标准，如投标人使用的标准低于上述标准，评审委员会将有权不予接受，投标人必须列表将明显的差异详细说明。</w:t>
      </w:r>
    </w:p>
    <w:p w14:paraId="7436B7F1">
      <w:pPr>
        <w:pStyle w:val="7"/>
        <w:spacing w:line="360" w:lineRule="auto"/>
        <w:ind w:firstLine="392" w:firstLineChars="187"/>
        <w:rPr>
          <w:rFonts w:hint="eastAsia" w:ascii="宋体" w:hAnsi="宋体"/>
          <w:szCs w:val="21"/>
        </w:rPr>
      </w:pPr>
      <w:r>
        <w:rPr>
          <w:rFonts w:hint="eastAsia" w:ascii="宋体" w:hAnsi="宋体"/>
          <w:szCs w:val="21"/>
        </w:rPr>
        <w:t>3、供应商须在质疑期内一次性提出针对同一采购程序环节的质疑。</w:t>
      </w:r>
    </w:p>
    <w:p w14:paraId="2AE1299D">
      <w:pPr>
        <w:pStyle w:val="7"/>
        <w:spacing w:line="360" w:lineRule="auto"/>
        <w:ind w:firstLine="392" w:firstLineChars="187"/>
        <w:rPr>
          <w:rFonts w:hint="eastAsia" w:ascii="宋体" w:hAnsi="宋体" w:eastAsiaTheme="minorEastAsia"/>
          <w:szCs w:val="21"/>
          <w:lang w:eastAsia="zh-CN"/>
        </w:rPr>
      </w:pPr>
      <w:r>
        <w:rPr>
          <w:rFonts w:hint="eastAsia" w:ascii="宋体" w:hAnsi="宋体"/>
          <w:szCs w:val="21"/>
        </w:rPr>
        <w:t>4、本项目按照深圳市龙华区教育局的相关采购规定执行，招标文件未明确的事项，参照政府采购有关法律法规执行</w:t>
      </w:r>
      <w:r>
        <w:rPr>
          <w:rFonts w:hint="eastAsia" w:ascii="宋体" w:hAnsi="宋体"/>
          <w:szCs w:val="21"/>
          <w:lang w:eastAsia="zh-CN"/>
        </w:rPr>
        <w:t>。</w:t>
      </w:r>
    </w:p>
    <w:p w14:paraId="3825C86F">
      <w:pPr>
        <w:widowControl w:val="0"/>
        <w:jc w:val="both"/>
        <w:rPr>
          <w:rFonts w:hint="eastAsia" w:ascii="宋体" w:hAnsi="宋体" w:eastAsia="宋体"/>
          <w:b/>
          <w:bCs/>
          <w:sz w:val="28"/>
          <w:szCs w:val="28"/>
          <w:lang w:eastAsia="zh-CN"/>
        </w:rPr>
      </w:pPr>
    </w:p>
    <w:p w14:paraId="1AAD7F69">
      <w:pPr>
        <w:keepNext/>
        <w:keepLines/>
        <w:widowControl w:val="0"/>
        <w:adjustRightInd w:val="0"/>
        <w:spacing w:line="320" w:lineRule="atLeast"/>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br w:type="page"/>
      </w:r>
      <w:r>
        <w:rPr>
          <w:rFonts w:hint="eastAsia" w:ascii="宋体" w:hAnsi="宋体" w:eastAsia="宋体"/>
          <w:b/>
          <w:bCs/>
          <w:sz w:val="28"/>
          <w:szCs w:val="28"/>
          <w:lang w:eastAsia="zh-CN"/>
        </w:rPr>
        <w:t>第四章</w:t>
      </w:r>
      <w:r>
        <w:rPr>
          <w:rFonts w:ascii="宋体" w:hAnsi="宋体" w:eastAsia="宋体"/>
          <w:b/>
          <w:bCs/>
          <w:sz w:val="28"/>
          <w:szCs w:val="28"/>
          <w:lang w:eastAsia="zh-CN"/>
        </w:rPr>
        <w:t xml:space="preserve"> </w:t>
      </w:r>
      <w:r>
        <w:rPr>
          <w:rFonts w:hint="eastAsia" w:ascii="宋体" w:hAnsi="宋体" w:eastAsia="宋体"/>
          <w:b/>
          <w:bCs/>
          <w:sz w:val="28"/>
          <w:szCs w:val="28"/>
          <w:lang w:eastAsia="zh-CN"/>
        </w:rPr>
        <w:t xml:space="preserve"> 投标文件组成要求及格式</w:t>
      </w:r>
    </w:p>
    <w:p w14:paraId="65F510BD">
      <w:pPr>
        <w:widowControl w:val="0"/>
        <w:spacing w:line="360" w:lineRule="auto"/>
        <w:jc w:val="both"/>
        <w:rPr>
          <w:rFonts w:ascii="Calibri" w:hAnsi="Calibri" w:eastAsia="宋体"/>
          <w:b/>
          <w:bCs/>
          <w:kern w:val="2"/>
          <w:szCs w:val="22"/>
          <w:lang w:eastAsia="zh-CN"/>
        </w:rPr>
      </w:pPr>
      <w:bookmarkStart w:id="15" w:name="_Hlk72257167"/>
    </w:p>
    <w:bookmarkEnd w:id="15"/>
    <w:p w14:paraId="54D49153">
      <w:pPr>
        <w:widowControl/>
        <w:spacing w:line="360" w:lineRule="auto"/>
        <w:jc w:val="left"/>
        <w:outlineLvl w:val="2"/>
        <w:rPr>
          <w:rFonts w:hint="eastAsia" w:ascii="宋体" w:hAnsi="宋体" w:eastAsia="黑体"/>
          <w:bCs/>
          <w:kern w:val="44"/>
          <w:lang w:eastAsia="zh-CN"/>
        </w:rPr>
      </w:pPr>
      <w:r>
        <w:rPr>
          <w:rFonts w:hint="eastAsia" w:ascii="宋体" w:hAnsi="宋体" w:eastAsia="黑体"/>
          <w:bCs/>
          <w:kern w:val="44"/>
          <w:lang w:eastAsia="zh-CN"/>
        </w:rPr>
        <w:t>投标文件组成：</w:t>
      </w:r>
    </w:p>
    <w:p w14:paraId="7497F9F0">
      <w:pPr>
        <w:widowControl w:val="0"/>
        <w:spacing w:line="360" w:lineRule="auto"/>
        <w:ind w:left="821" w:leftChars="342" w:firstLine="1417" w:firstLineChars="675"/>
        <w:jc w:val="both"/>
        <w:rPr>
          <w:rFonts w:ascii="Calibri" w:hAnsi="Calibri" w:eastAsia="宋体"/>
          <w:kern w:val="2"/>
          <w:sz w:val="21"/>
          <w:szCs w:val="21"/>
          <w:lang w:eastAsia="zh-CN"/>
        </w:rPr>
      </w:pPr>
      <w:bookmarkStart w:id="16" w:name="_Hlk72257771"/>
      <w:r>
        <w:rPr>
          <w:rFonts w:hint="eastAsia" w:ascii="Calibri" w:hAnsi="Calibri" w:eastAsia="宋体" w:cstheme="minorBidi"/>
          <w:kern w:val="2"/>
          <w:sz w:val="21"/>
          <w:szCs w:val="21"/>
          <w:lang w:eastAsia="zh-CN"/>
        </w:rPr>
        <w:t>（1）</w:t>
      </w:r>
      <w:bookmarkStart w:id="17" w:name="_Hlk72070784"/>
      <w:r>
        <w:rPr>
          <w:rFonts w:hint="eastAsia" w:ascii="Calibri" w:hAnsi="Calibri" w:eastAsia="宋体" w:cstheme="minorBidi"/>
          <w:kern w:val="2"/>
          <w:sz w:val="21"/>
          <w:szCs w:val="21"/>
          <w:lang w:eastAsia="zh-CN"/>
        </w:rPr>
        <w:t>投标函</w:t>
      </w:r>
      <w:bookmarkEnd w:id="17"/>
    </w:p>
    <w:p w14:paraId="7811BC38">
      <w:pPr>
        <w:widowControl w:val="0"/>
        <w:spacing w:line="360" w:lineRule="auto"/>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（2）政府采购投标及履约承诺函</w:t>
      </w:r>
    </w:p>
    <w:p w14:paraId="5B22CE24">
      <w:pPr>
        <w:widowControl w:val="0"/>
        <w:spacing w:line="360" w:lineRule="auto"/>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w:t>
      </w:r>
      <w:r>
        <w:rPr>
          <w:rFonts w:ascii="Calibri" w:hAnsi="Calibri" w:eastAsia="宋体" w:cstheme="minorBidi"/>
          <w:kern w:val="2"/>
          <w:sz w:val="21"/>
          <w:szCs w:val="21"/>
          <w:lang w:eastAsia="zh-CN"/>
        </w:rPr>
        <w:t>3</w:t>
      </w:r>
      <w:r>
        <w:rPr>
          <w:rFonts w:hint="eastAsia" w:ascii="Calibri" w:hAnsi="Calibri" w:eastAsia="宋体" w:cstheme="minorBidi"/>
          <w:kern w:val="2"/>
          <w:sz w:val="21"/>
          <w:szCs w:val="21"/>
          <w:lang w:eastAsia="zh-CN"/>
        </w:rPr>
        <w:t>）投标人情况及资格证明文件</w:t>
      </w:r>
    </w:p>
    <w:p w14:paraId="4FEF2306">
      <w:pPr>
        <w:widowControl w:val="0"/>
        <w:spacing w:line="360" w:lineRule="auto"/>
        <w:ind w:left="821" w:leftChars="342" w:firstLine="1417" w:firstLineChars="675"/>
        <w:jc w:val="both"/>
        <w:rPr>
          <w:rFonts w:ascii="Calibri" w:hAnsi="Calibri" w:eastAsia="宋体"/>
          <w:kern w:val="2"/>
          <w:sz w:val="21"/>
          <w:szCs w:val="21"/>
          <w:lang w:eastAsia="zh-CN"/>
        </w:rPr>
      </w:pPr>
      <w:bookmarkStart w:id="18" w:name="_Hlk72257201"/>
      <w:r>
        <w:rPr>
          <w:rFonts w:hint="eastAsia" w:ascii="Calibri" w:hAnsi="Calibri" w:eastAsia="宋体" w:cstheme="minorBidi"/>
          <w:kern w:val="2"/>
          <w:sz w:val="21"/>
          <w:szCs w:val="21"/>
          <w:lang w:eastAsia="zh-CN"/>
        </w:rPr>
        <w:t>（</w:t>
      </w:r>
      <w:r>
        <w:rPr>
          <w:rFonts w:ascii="Calibri" w:hAnsi="Calibri" w:eastAsia="宋体" w:cstheme="minorBidi"/>
          <w:kern w:val="2"/>
          <w:sz w:val="21"/>
          <w:szCs w:val="21"/>
          <w:lang w:eastAsia="zh-CN"/>
        </w:rPr>
        <w:t>4</w:t>
      </w:r>
      <w:r>
        <w:rPr>
          <w:rFonts w:hint="eastAsia" w:ascii="Calibri" w:hAnsi="Calibri" w:eastAsia="宋体" w:cstheme="minorBidi"/>
          <w:kern w:val="2"/>
          <w:sz w:val="21"/>
          <w:szCs w:val="21"/>
          <w:lang w:eastAsia="zh-CN"/>
        </w:rPr>
        <w:t>）项目详细报价</w:t>
      </w:r>
    </w:p>
    <w:bookmarkEnd w:id="18"/>
    <w:p w14:paraId="13FDBF90">
      <w:pPr>
        <w:widowControl w:val="0"/>
        <w:spacing w:line="360" w:lineRule="auto"/>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（5）股东构成审查表</w:t>
      </w:r>
    </w:p>
    <w:p w14:paraId="6DD78985">
      <w:pPr>
        <w:widowControl w:val="0"/>
        <w:spacing w:line="360" w:lineRule="auto"/>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（6）法定代表人（负责人）证明书</w:t>
      </w:r>
    </w:p>
    <w:p w14:paraId="434F56DB">
      <w:pPr>
        <w:widowControl w:val="0"/>
        <w:spacing w:line="360" w:lineRule="auto"/>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（7）投标文件签署授权委托书</w:t>
      </w:r>
    </w:p>
    <w:p w14:paraId="2A6BE1BE">
      <w:pPr>
        <w:widowControl w:val="0"/>
        <w:spacing w:line="360" w:lineRule="auto"/>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（8）实质性条款响应情况表</w:t>
      </w:r>
    </w:p>
    <w:p w14:paraId="069E6480">
      <w:pPr>
        <w:widowControl w:val="0"/>
        <w:spacing w:line="360" w:lineRule="auto"/>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（9）技术要求偏离表</w:t>
      </w:r>
    </w:p>
    <w:p w14:paraId="4D8B5EBC">
      <w:pPr>
        <w:widowControl w:val="0"/>
        <w:spacing w:line="360" w:lineRule="auto"/>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（10）商务要求偏离表</w:t>
      </w:r>
    </w:p>
    <w:p w14:paraId="2AD4383E">
      <w:pPr>
        <w:widowControl w:val="0"/>
        <w:spacing w:line="360" w:lineRule="auto"/>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（11）</w:t>
      </w:r>
      <w:r>
        <w:rPr>
          <w:rFonts w:hint="eastAsia" w:ascii="宋体" w:hAnsi="宋体" w:eastAsia="宋体" w:cs="宋体"/>
          <w:kern w:val="2"/>
          <w:sz w:val="21"/>
          <w:szCs w:val="21"/>
          <w:lang w:eastAsia="zh-CN"/>
        </w:rPr>
        <w:t>技术保障措施</w:t>
      </w:r>
    </w:p>
    <w:p w14:paraId="7EE1DB9F">
      <w:pPr>
        <w:widowControl w:val="0"/>
        <w:spacing w:line="360" w:lineRule="auto"/>
        <w:ind w:left="821" w:leftChars="342" w:firstLine="1417" w:firstLineChars="675"/>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（12）技术参数响应情况</w:t>
      </w:r>
    </w:p>
    <w:p w14:paraId="3C7A7F14">
      <w:pPr>
        <w:widowControl w:val="0"/>
        <w:spacing w:line="360" w:lineRule="auto"/>
        <w:ind w:left="821" w:leftChars="342" w:firstLine="1417" w:firstLineChars="675"/>
        <w:jc w:val="both"/>
        <w:rPr>
          <w:rFonts w:hint="eastAsia" w:ascii="宋体" w:hAnsi="宋体" w:eastAsia="宋体" w:cs="宋体"/>
          <w:kern w:val="2"/>
          <w:sz w:val="21"/>
          <w:szCs w:val="21"/>
          <w:lang w:eastAsia="zh-CN"/>
        </w:rPr>
      </w:pPr>
      <w:r>
        <w:rPr>
          <w:rFonts w:hint="eastAsia" w:ascii="Calibri" w:hAnsi="Calibri" w:eastAsia="宋体" w:cstheme="minorBidi"/>
          <w:kern w:val="2"/>
          <w:sz w:val="21"/>
          <w:szCs w:val="21"/>
          <w:lang w:eastAsia="zh-CN"/>
        </w:rPr>
        <w:t>（13）拟安排的项目负责人情况(仅限1人)</w:t>
      </w:r>
    </w:p>
    <w:p w14:paraId="5DDB60B8">
      <w:pPr>
        <w:widowControl w:val="0"/>
        <w:spacing w:line="360" w:lineRule="auto"/>
        <w:ind w:left="821" w:leftChars="342" w:firstLine="1417" w:firstLineChars="675"/>
        <w:jc w:val="both"/>
        <w:rPr>
          <w:rFonts w:hint="eastAsia" w:ascii="Calibri" w:hAnsi="Calibri" w:eastAsia="宋体" w:cs="宋体"/>
          <w:kern w:val="2"/>
          <w:sz w:val="21"/>
          <w:szCs w:val="21"/>
          <w:lang w:eastAsia="zh-CN"/>
        </w:rPr>
      </w:pPr>
      <w:r>
        <w:rPr>
          <w:rFonts w:hint="eastAsia" w:ascii="Calibri" w:hAnsi="Calibri" w:eastAsia="宋体" w:cs="宋体"/>
          <w:kern w:val="2"/>
          <w:sz w:val="21"/>
          <w:szCs w:val="21"/>
          <w:lang w:eastAsia="zh-CN"/>
        </w:rPr>
        <w:t>（14）拟安排的项目主要团队成员（主要技术人员）情况（项目负责人除外）</w:t>
      </w:r>
    </w:p>
    <w:p w14:paraId="063F71D9">
      <w:pPr>
        <w:widowControl w:val="0"/>
        <w:spacing w:line="360" w:lineRule="auto"/>
        <w:ind w:left="821" w:leftChars="342" w:firstLine="1417" w:firstLineChars="675"/>
        <w:jc w:val="both"/>
        <w:rPr>
          <w:rFonts w:hint="eastAsia" w:ascii="宋体" w:hAnsi="宋体" w:eastAsia="宋体" w:cs="宋体"/>
          <w:kern w:val="2"/>
          <w:sz w:val="21"/>
          <w:szCs w:val="21"/>
          <w:lang w:eastAsia="zh-CN"/>
        </w:rPr>
      </w:pPr>
      <w:r>
        <w:rPr>
          <w:rFonts w:hint="eastAsia" w:ascii="Calibri" w:hAnsi="Calibri" w:eastAsia="宋体" w:cs="宋体"/>
          <w:kern w:val="2"/>
          <w:sz w:val="21"/>
          <w:szCs w:val="21"/>
          <w:lang w:eastAsia="zh-CN"/>
        </w:rPr>
        <w:t>（15）投标人认证情况</w:t>
      </w:r>
    </w:p>
    <w:p w14:paraId="0397CE80">
      <w:pPr>
        <w:widowControl w:val="0"/>
        <w:spacing w:line="360" w:lineRule="auto"/>
        <w:ind w:left="821" w:leftChars="342" w:firstLine="1417" w:firstLineChars="67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（16）投标人荣誉情况</w:t>
      </w:r>
    </w:p>
    <w:p w14:paraId="1E5674B5">
      <w:pPr>
        <w:widowControl w:val="0"/>
        <w:spacing w:line="360" w:lineRule="auto"/>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（17）投标人自主知识产权产品（创新、设计）情况</w:t>
      </w:r>
    </w:p>
    <w:p w14:paraId="1F235C64">
      <w:pPr>
        <w:widowControl w:val="0"/>
        <w:spacing w:line="360" w:lineRule="auto"/>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w:t>
      </w:r>
      <w:r>
        <w:rPr>
          <w:rFonts w:hint="eastAsia" w:ascii="Calibri" w:hAnsi="Calibri" w:eastAsia="宋体" w:cstheme="minorBidi"/>
          <w:kern w:val="2"/>
          <w:sz w:val="21"/>
          <w:szCs w:val="21"/>
          <w:lang w:val="en-US" w:eastAsia="zh-CN"/>
        </w:rPr>
        <w:t>18</w:t>
      </w:r>
      <w:r>
        <w:rPr>
          <w:rFonts w:hint="eastAsia" w:ascii="Calibri" w:hAnsi="Calibri" w:eastAsia="宋体" w:cstheme="minorBidi"/>
          <w:kern w:val="2"/>
          <w:sz w:val="21"/>
          <w:szCs w:val="21"/>
          <w:lang w:eastAsia="zh-CN"/>
        </w:rPr>
        <w:t>）本地化服务</w:t>
      </w:r>
    </w:p>
    <w:p w14:paraId="352C4CB3">
      <w:pPr>
        <w:widowControl w:val="0"/>
        <w:spacing w:line="360" w:lineRule="auto"/>
        <w:ind w:left="821" w:leftChars="342" w:firstLine="1417" w:firstLineChars="675"/>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（1</w:t>
      </w:r>
      <w:r>
        <w:rPr>
          <w:rFonts w:hint="eastAsia" w:ascii="Calibri" w:hAnsi="Calibri" w:eastAsia="宋体" w:cstheme="minorBidi"/>
          <w:kern w:val="2"/>
          <w:sz w:val="21"/>
          <w:szCs w:val="21"/>
          <w:lang w:val="en-US" w:eastAsia="zh-CN"/>
        </w:rPr>
        <w:t>9</w:t>
      </w:r>
      <w:r>
        <w:rPr>
          <w:rFonts w:hint="eastAsia" w:ascii="Calibri" w:hAnsi="Calibri" w:eastAsia="宋体" w:cstheme="minorBidi"/>
          <w:kern w:val="2"/>
          <w:sz w:val="21"/>
          <w:szCs w:val="21"/>
          <w:lang w:eastAsia="zh-CN"/>
        </w:rPr>
        <w:t>）投标人认为需要加以说明的其他内容</w:t>
      </w:r>
    </w:p>
    <w:p w14:paraId="6A54CB85">
      <w:pPr>
        <w:widowControl w:val="0"/>
        <w:spacing w:line="360" w:lineRule="auto"/>
        <w:jc w:val="both"/>
        <w:rPr>
          <w:rFonts w:hint="eastAsia" w:ascii="宋体" w:hAnsi="宋体" w:eastAsia="宋体"/>
          <w:b/>
          <w:kern w:val="2"/>
          <w:lang w:eastAsia="zh-CN"/>
        </w:rPr>
      </w:pPr>
      <w:r>
        <w:rPr>
          <w:rFonts w:hint="eastAsia" w:ascii="宋体" w:hAnsi="宋体" w:eastAsia="宋体" w:cstheme="minorBidi"/>
          <w:b/>
          <w:kern w:val="2"/>
          <w:lang w:eastAsia="zh-CN"/>
        </w:rPr>
        <w:t>备注：</w:t>
      </w:r>
    </w:p>
    <w:p w14:paraId="7F669DBA">
      <w:pPr>
        <w:widowControl w:val="0"/>
        <w:snapToGrid w:val="0"/>
        <w:spacing w:line="360" w:lineRule="auto"/>
        <w:ind w:firstLine="482" w:firstLineChars="200"/>
        <w:jc w:val="both"/>
        <w:rPr>
          <w:rFonts w:hint="eastAsia" w:ascii="宋体" w:hAnsi="宋体" w:eastAsia="宋体"/>
          <w:b/>
          <w:kern w:val="2"/>
          <w:lang w:eastAsia="zh-CN"/>
        </w:rPr>
      </w:pPr>
      <w:r>
        <w:rPr>
          <w:rFonts w:hint="eastAsia" w:ascii="宋体" w:hAnsi="宋体" w:eastAsia="宋体" w:cstheme="minorBidi"/>
          <w:b/>
          <w:kern w:val="2"/>
          <w:lang w:eastAsia="zh-CN"/>
        </w:rPr>
        <w:t>1.本项目为网上电子投标项目，投标文件不需法人或授权委托人另行签字，无需加盖单位公章，招标文件另有规定的除外。</w:t>
      </w:r>
    </w:p>
    <w:p w14:paraId="346B9FA8">
      <w:pPr>
        <w:widowControl w:val="0"/>
        <w:snapToGrid w:val="0"/>
        <w:spacing w:after="78" w:afterLines="25" w:line="360" w:lineRule="auto"/>
        <w:ind w:firstLine="482" w:firstLineChars="200"/>
        <w:jc w:val="both"/>
        <w:rPr>
          <w:rFonts w:hint="eastAsia" w:ascii="宋体" w:hAnsi="宋体" w:eastAsia="黑体"/>
          <w:bCs/>
          <w:kern w:val="44"/>
          <w:sz w:val="32"/>
          <w:szCs w:val="32"/>
          <w:lang w:eastAsia="zh-CN"/>
        </w:rPr>
      </w:pPr>
      <w:bookmarkStart w:id="19" w:name="_Hlk72263559"/>
      <w:r>
        <w:rPr>
          <w:rFonts w:hint="eastAsia" w:ascii="宋体" w:hAnsi="宋体" w:eastAsia="宋体" w:cstheme="minorBidi"/>
          <w:b/>
          <w:kern w:val="2"/>
          <w:lang w:eastAsia="zh-CN"/>
        </w:rPr>
        <w:t>2.关于填写“开标一览表”的说明：“开标一览表”中除“投标总价”外，其他信息不作评审依据。</w:t>
      </w:r>
      <w:bookmarkEnd w:id="16"/>
      <w:bookmarkEnd w:id="19"/>
      <w:r>
        <w:rPr>
          <w:rFonts w:ascii="宋体" w:hAnsi="宋体" w:eastAsia="黑体"/>
          <w:bCs/>
          <w:kern w:val="44"/>
          <w:sz w:val="32"/>
          <w:szCs w:val="32"/>
          <w:lang w:eastAsia="zh-CN"/>
        </w:rPr>
        <w:br w:type="page"/>
      </w:r>
    </w:p>
    <w:p w14:paraId="11BC0E44">
      <w:pPr>
        <w:widowControl/>
        <w:jc w:val="left"/>
        <w:outlineLvl w:val="2"/>
        <w:rPr>
          <w:rFonts w:hint="eastAsia" w:ascii="宋体" w:hAnsi="宋体" w:eastAsia="宋体" w:cs="宋体"/>
          <w:b/>
          <w:color w:val="FF0000"/>
          <w:sz w:val="32"/>
          <w:szCs w:val="32"/>
          <w:lang w:eastAsia="zh-CN"/>
        </w:rPr>
      </w:pPr>
      <w:r>
        <w:rPr>
          <w:rFonts w:hint="eastAsia" w:ascii="宋体" w:hAnsi="宋体" w:eastAsia="宋体" w:cs="宋体"/>
          <w:b/>
          <w:color w:val="FF0000"/>
          <w:sz w:val="32"/>
          <w:szCs w:val="32"/>
          <w:lang w:eastAsia="zh-CN"/>
        </w:rPr>
        <w:t>（一）投标文件正文</w:t>
      </w:r>
    </w:p>
    <w:p w14:paraId="1627F05E">
      <w:pPr>
        <w:keepNext/>
        <w:keepLines/>
        <w:widowControl w:val="0"/>
        <w:spacing w:before="260" w:after="260" w:line="240" w:lineRule="auto"/>
        <w:jc w:val="center"/>
        <w:outlineLvl w:val="2"/>
        <w:rPr>
          <w:rFonts w:hint="eastAsia" w:ascii="黑体" w:hAnsi="宋体" w:eastAsia="黑体"/>
          <w:bCs/>
          <w:kern w:val="2"/>
          <w:szCs w:val="32"/>
          <w:lang w:eastAsia="zh-CN"/>
        </w:rPr>
      </w:pPr>
      <w:r>
        <w:rPr>
          <w:rFonts w:hint="eastAsia" w:ascii="黑体" w:hAnsi="宋体" w:eastAsia="黑体" w:cstheme="minorBidi"/>
          <w:bCs/>
          <w:kern w:val="2"/>
          <w:szCs w:val="32"/>
          <w:lang w:eastAsia="zh-CN"/>
        </w:rPr>
        <w:t>一、投标函</w:t>
      </w:r>
    </w:p>
    <w:p w14:paraId="44706D2A">
      <w:pPr>
        <w:widowControl w:val="0"/>
        <w:spacing w:line="360" w:lineRule="auto"/>
        <w:jc w:val="both"/>
        <w:rPr>
          <w:rFonts w:hint="eastAsia" w:ascii="宋体" w:hAnsi="宋体" w:eastAsia="宋体"/>
          <w:kern w:val="2"/>
          <w:sz w:val="21"/>
          <w:szCs w:val="21"/>
          <w:lang w:eastAsia="zh-CN"/>
        </w:rPr>
      </w:pPr>
      <w:bookmarkStart w:id="20" w:name="_Hlk72257506"/>
      <w:r>
        <w:rPr>
          <w:rFonts w:hint="eastAsia" w:ascii="宋体" w:hAnsi="宋体" w:eastAsia="宋体" w:cstheme="minorBidi"/>
          <w:kern w:val="2"/>
          <w:sz w:val="21"/>
          <w:szCs w:val="21"/>
          <w:lang w:eastAsia="zh-CN"/>
        </w:rPr>
        <w:t>致：</w:t>
      </w:r>
      <w:r>
        <w:rPr>
          <w:rFonts w:hint="eastAsia" w:ascii="宋体" w:hAnsi="宋体" w:eastAsia="宋体" w:cstheme="minorBidi"/>
          <w:kern w:val="2"/>
          <w:sz w:val="21"/>
          <w:szCs w:val="21"/>
          <w:u w:val="single"/>
          <w:lang w:eastAsia="zh-CN"/>
        </w:rPr>
        <w:t>深圳市观澜第二中学教育集团、</w:t>
      </w:r>
      <w:r>
        <w:rPr>
          <w:rFonts w:hint="eastAsia" w:ascii="宋体" w:hAnsi="宋体" w:eastAsia="宋体" w:cstheme="minorBidi"/>
          <w:color w:val="FF0000"/>
          <w:kern w:val="2"/>
          <w:sz w:val="21"/>
          <w:szCs w:val="21"/>
          <w:u w:val="single"/>
          <w:lang w:eastAsia="zh-CN"/>
        </w:rPr>
        <w:t>深圳市拓泰实业有限公司</w:t>
      </w:r>
      <w:r>
        <w:rPr>
          <w:rFonts w:hint="eastAsia" w:ascii="宋体" w:hAnsi="宋体" w:eastAsia="宋体" w:cstheme="minorBidi"/>
          <w:kern w:val="2"/>
          <w:sz w:val="21"/>
          <w:szCs w:val="21"/>
          <w:u w:val="single"/>
          <w:lang w:eastAsia="zh-CN"/>
        </w:rPr>
        <w:t xml:space="preserve">  </w:t>
      </w:r>
    </w:p>
    <w:p w14:paraId="55292845">
      <w:pPr>
        <w:widowControl w:val="0"/>
        <w:spacing w:line="360" w:lineRule="auto"/>
        <w:ind w:firstLine="420" w:firstLineChars="200"/>
        <w:jc w:val="both"/>
        <w:rPr>
          <w:rFonts w:hint="eastAsia" w:ascii="宋体" w:hAnsi="宋体" w:eastAsia="宋体"/>
          <w:kern w:val="2"/>
          <w:sz w:val="21"/>
          <w:szCs w:val="21"/>
          <w:lang w:eastAsia="zh-CN"/>
        </w:rPr>
      </w:pPr>
      <w:bookmarkStart w:id="21" w:name="_Hlk73818812"/>
      <w:r>
        <w:rPr>
          <w:rFonts w:hint="eastAsia" w:ascii="Calibri" w:hAnsi="Calibri" w:eastAsia="宋体" w:cstheme="minorBidi"/>
          <w:kern w:val="2"/>
          <w:sz w:val="21"/>
          <w:szCs w:val="21"/>
          <w:lang w:eastAsia="zh-CN"/>
        </w:rPr>
        <w:t>1、根据已收到贵单位的项目编号为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的</w:t>
      </w:r>
      <w:r>
        <w:rPr>
          <w:rFonts w:hint="eastAsia" w:ascii="Calibri" w:hAnsi="Calibri" w:eastAsia="宋体" w:cstheme="minorBidi"/>
          <w:kern w:val="2"/>
          <w:sz w:val="21"/>
          <w:szCs w:val="21"/>
          <w:u w:val="thick"/>
          <w:lang w:eastAsia="zh-CN"/>
        </w:rPr>
        <w:t xml:space="preserve">   （项目名称）   </w:t>
      </w:r>
      <w:r>
        <w:rPr>
          <w:rFonts w:hint="eastAsia" w:ascii="Calibri" w:hAnsi="Calibri" w:eastAsia="宋体" w:cstheme="minorBidi"/>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22" w:name="_Hlk72263588"/>
      <w:r>
        <w:rPr>
          <w:rFonts w:hint="eastAsia" w:ascii="Calibri" w:hAnsi="Calibri" w:eastAsia="宋体" w:cstheme="minorBidi"/>
          <w:kern w:val="2"/>
          <w:sz w:val="21"/>
          <w:szCs w:val="21"/>
          <w:lang w:eastAsia="zh-CN"/>
        </w:rPr>
        <w:t>愿意按照招标文件要求承包上述项目并修补其任何缺陷。</w:t>
      </w:r>
      <w:bookmarkEnd w:id="22"/>
    </w:p>
    <w:p w14:paraId="13231ABE">
      <w:pPr>
        <w:widowControl w:val="0"/>
        <w:spacing w:line="360" w:lineRule="auto"/>
        <w:ind w:firstLine="420" w:firstLineChars="200"/>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w:t>
      </w:r>
      <w:bookmarkStart w:id="23" w:name="_Hlk73819847"/>
      <w:r>
        <w:rPr>
          <w:rFonts w:hint="eastAsia" w:ascii="宋体" w:hAnsi="宋体" w:eastAsia="宋体" w:cstheme="minorBidi"/>
          <w:kern w:val="2"/>
          <w:sz w:val="21"/>
          <w:szCs w:val="21"/>
          <w:lang w:eastAsia="zh-CN"/>
        </w:rPr>
        <w:t>投标价格见</w:t>
      </w:r>
      <w:r>
        <w:rPr>
          <w:rFonts w:hint="eastAsia" w:ascii="Calibri" w:hAnsi="Calibri" w:eastAsia="宋体" w:cstheme="minorBidi"/>
          <w:kern w:val="2"/>
          <w:sz w:val="21"/>
          <w:szCs w:val="21"/>
          <w:lang w:eastAsia="zh-CN"/>
        </w:rPr>
        <w:t>投标书编制软件中《开标一览表》中填写的投标总价。</w:t>
      </w:r>
      <w:bookmarkEnd w:id="23"/>
    </w:p>
    <w:p w14:paraId="39902FF6">
      <w:pPr>
        <w:widowControl w:val="0"/>
        <w:spacing w:line="360" w:lineRule="auto"/>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3、如果我单位中标，我单位将按照招标文件的要求足额提交履约担保。</w:t>
      </w:r>
    </w:p>
    <w:p w14:paraId="0686E309">
      <w:pPr>
        <w:widowControl w:val="0"/>
        <w:spacing w:line="360" w:lineRule="auto"/>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4、我单位同意所递交的投标文件在“对通用条款的补充内容”中明确的投标有效期内有效，在此期间内我单位的投标有可能中标，我方将受此约束。</w:t>
      </w:r>
    </w:p>
    <w:p w14:paraId="190C6130">
      <w:pPr>
        <w:widowControl w:val="0"/>
        <w:spacing w:line="360" w:lineRule="auto"/>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5、除非另外达成协议并生效，贵单位的中标通知书和本投标文件将构成合同的重要内容。</w:t>
      </w:r>
    </w:p>
    <w:p w14:paraId="31D40615">
      <w:pPr>
        <w:widowControl w:val="0"/>
        <w:spacing w:line="360" w:lineRule="auto"/>
        <w:ind w:firstLine="420" w:firstLineChars="200"/>
        <w:jc w:val="both"/>
        <w:rPr>
          <w:rFonts w:hint="eastAsia" w:ascii="宋体" w:hAnsi="宋体" w:eastAsia="宋体" w:cstheme="minorBidi"/>
          <w:kern w:val="2"/>
          <w:sz w:val="21"/>
          <w:szCs w:val="21"/>
          <w:lang w:eastAsia="zh-CN"/>
        </w:rPr>
      </w:pPr>
      <w:r>
        <w:rPr>
          <w:rFonts w:hint="eastAsia" w:ascii="宋体" w:hAnsi="宋体" w:eastAsia="宋体" w:cstheme="minorBidi"/>
          <w:kern w:val="2"/>
          <w:sz w:val="21"/>
          <w:szCs w:val="21"/>
          <w:lang w:eastAsia="zh-CN"/>
        </w:rPr>
        <w:t>6、我单位理解贵单位将不受必须接受所收到的最低报价或其它任何投标文件的约束。</w:t>
      </w:r>
      <w:bookmarkEnd w:id="21"/>
    </w:p>
    <w:p w14:paraId="6AFCE472">
      <w:pPr>
        <w:widowControl w:val="0"/>
        <w:spacing w:line="360" w:lineRule="auto"/>
        <w:ind w:firstLine="422" w:firstLineChars="200"/>
        <w:jc w:val="both"/>
        <w:rPr>
          <w:rFonts w:hint="eastAsia" w:ascii="宋体" w:hAnsi="宋体" w:eastAsia="宋体" w:cstheme="minorBidi"/>
          <w:b/>
          <w:bCs/>
          <w:kern w:val="2"/>
          <w:sz w:val="21"/>
          <w:szCs w:val="21"/>
          <w:lang w:eastAsia="zh-CN"/>
        </w:rPr>
      </w:pPr>
      <w:r>
        <w:rPr>
          <w:rFonts w:hint="eastAsia" w:ascii="宋体" w:hAnsi="宋体" w:eastAsia="宋体" w:cstheme="minorBidi"/>
          <w:b/>
          <w:bCs/>
          <w:kern w:val="2"/>
          <w:sz w:val="21"/>
          <w:szCs w:val="21"/>
          <w:lang w:eastAsia="zh-CN"/>
        </w:rPr>
        <w:t>7、如我单位提交样品，且未在规定时间内取回样品的，视同放弃取回，同意深圳市拓泰实业有限公司对我单位提交的样品进行清理。</w:t>
      </w:r>
    </w:p>
    <w:p w14:paraId="044AF06C">
      <w:pPr>
        <w:widowControl w:val="0"/>
        <w:ind w:left="480" w:leftChars="200" w:firstLine="210" w:firstLineChars="100"/>
        <w:jc w:val="both"/>
        <w:rPr>
          <w:rFonts w:ascii="Calibri" w:hAnsi="Calibri" w:eastAsia="宋体"/>
          <w:kern w:val="2"/>
          <w:sz w:val="21"/>
          <w:szCs w:val="21"/>
          <w:lang w:eastAsia="zh-CN"/>
        </w:rPr>
      </w:pPr>
    </w:p>
    <w:p w14:paraId="2ED4389F">
      <w:pPr>
        <w:widowControl w:val="0"/>
        <w:spacing w:line="360" w:lineRule="auto"/>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投标人：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  </w:t>
      </w:r>
    </w:p>
    <w:p w14:paraId="1D0A7871">
      <w:pPr>
        <w:widowControl w:val="0"/>
        <w:spacing w:line="360" w:lineRule="auto"/>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单位地址：</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6F04C52A">
      <w:pPr>
        <w:widowControl w:val="0"/>
        <w:spacing w:line="360" w:lineRule="auto"/>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法定代表人（负责人）或其授权委托代理人：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5072D141">
      <w:pPr>
        <w:widowControl w:val="0"/>
        <w:spacing w:line="360" w:lineRule="auto"/>
        <w:ind w:left="480" w:leftChars="200" w:firstLine="210" w:firstLineChars="100"/>
        <w:jc w:val="both"/>
        <w:rPr>
          <w:rFonts w:ascii="Calibri" w:hAnsi="Calibri" w:eastAsia="宋体"/>
          <w:kern w:val="2"/>
          <w:sz w:val="21"/>
          <w:szCs w:val="21"/>
          <w:lang w:eastAsia="zh-CN"/>
        </w:rPr>
      </w:pPr>
      <w:r>
        <w:rPr>
          <w:rFonts w:hint="eastAsia" w:hAnsi="Calibri" w:eastAsia="宋体" w:cstheme="minorBidi"/>
          <w:kern w:val="2"/>
          <w:sz w:val="21"/>
          <w:szCs w:val="21"/>
          <w:lang w:eastAsia="zh-CN"/>
        </w:rPr>
        <w:t>开户银行名称：</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12D4A067">
      <w:pPr>
        <w:widowControl w:val="0"/>
        <w:spacing w:line="360" w:lineRule="auto"/>
        <w:ind w:left="480" w:leftChars="200" w:firstLine="210" w:firstLineChars="100"/>
        <w:jc w:val="both"/>
        <w:rPr>
          <w:rFonts w:ascii="Calibri" w:hAnsi="Calibri" w:eastAsia="宋体"/>
          <w:kern w:val="2"/>
          <w:sz w:val="21"/>
          <w:szCs w:val="21"/>
          <w:lang w:eastAsia="zh-CN"/>
        </w:rPr>
      </w:pPr>
      <w:r>
        <w:rPr>
          <w:rFonts w:hint="eastAsia" w:hAnsi="Calibri" w:eastAsia="宋体" w:cstheme="minorBidi"/>
          <w:kern w:val="2"/>
          <w:sz w:val="21"/>
          <w:szCs w:val="21"/>
          <w:lang w:eastAsia="zh-CN"/>
        </w:rPr>
        <w:t>开户银行账号：</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08230183">
      <w:pPr>
        <w:widowControl w:val="0"/>
        <w:spacing w:line="360" w:lineRule="auto"/>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邮政编码：</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电话：</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传真：</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w:t>
      </w:r>
    </w:p>
    <w:p w14:paraId="2B1B5B0F">
      <w:pPr>
        <w:widowControl w:val="0"/>
        <w:spacing w:line="360" w:lineRule="auto"/>
        <w:ind w:left="480" w:leftChars="200" w:firstLine="210" w:firstLineChars="100"/>
        <w:jc w:val="both"/>
        <w:rPr>
          <w:rFonts w:ascii="Calibri" w:hAnsi="Calibri" w:eastAsia="宋体"/>
          <w:kern w:val="2"/>
          <w:szCs w:val="22"/>
          <w:lang w:eastAsia="zh-CN"/>
        </w:rPr>
      </w:pPr>
      <w:r>
        <w:rPr>
          <w:rFonts w:hint="eastAsia" w:ascii="宋体" w:hAnsi="宋体" w:eastAsia="宋体" w:cstheme="minorBidi"/>
          <w:kern w:val="2"/>
          <w:sz w:val="21"/>
          <w:szCs w:val="21"/>
          <w:lang w:eastAsia="zh-CN"/>
        </w:rPr>
        <w:t>日期：</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年</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月</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日</w:t>
      </w:r>
      <w:r>
        <w:rPr>
          <w:rFonts w:hint="eastAsia" w:ascii="Calibri" w:hAnsi="Calibri" w:eastAsia="宋体" w:cstheme="minorBidi"/>
          <w:kern w:val="2"/>
          <w:szCs w:val="22"/>
          <w:lang w:eastAsia="zh-CN"/>
        </w:rPr>
        <w:t xml:space="preserve">                                </w:t>
      </w:r>
    </w:p>
    <w:p w14:paraId="44C44F01">
      <w:pPr>
        <w:widowControl w:val="0"/>
        <w:jc w:val="both"/>
        <w:rPr>
          <w:rFonts w:hint="eastAsia" w:ascii="黑体" w:hAnsi="宋体" w:eastAsia="黑体"/>
          <w:kern w:val="2"/>
          <w:sz w:val="21"/>
          <w:szCs w:val="22"/>
          <w:lang w:eastAsia="zh-CN"/>
        </w:rPr>
      </w:pPr>
    </w:p>
    <w:p w14:paraId="5DE22741">
      <w:pPr>
        <w:widowControl w:val="0"/>
        <w:jc w:val="both"/>
        <w:rPr>
          <w:rFonts w:hint="eastAsia" w:ascii="黑体" w:hAnsi="宋体" w:eastAsia="黑体"/>
          <w:kern w:val="2"/>
          <w:sz w:val="21"/>
          <w:szCs w:val="22"/>
          <w:lang w:eastAsia="zh-CN"/>
        </w:rPr>
      </w:pPr>
    </w:p>
    <w:bookmarkEnd w:id="20"/>
    <w:p w14:paraId="65CECE51">
      <w:pPr>
        <w:keepNext/>
        <w:keepLines/>
        <w:widowControl w:val="0"/>
        <w:spacing w:before="260" w:after="260" w:line="240" w:lineRule="auto"/>
        <w:jc w:val="center"/>
        <w:outlineLvl w:val="2"/>
        <w:rPr>
          <w:rFonts w:hint="eastAsia" w:ascii="黑体" w:hAnsi="宋体" w:eastAsia="黑体"/>
          <w:bCs/>
          <w:kern w:val="2"/>
          <w:szCs w:val="32"/>
          <w:lang w:eastAsia="zh-CN"/>
        </w:rPr>
      </w:pPr>
      <w:r>
        <w:rPr>
          <w:rFonts w:hint="eastAsia" w:ascii="黑体" w:hAnsi="宋体" w:eastAsia="黑体" w:cstheme="minorBidi"/>
          <w:bCs/>
          <w:kern w:val="2"/>
          <w:szCs w:val="32"/>
          <w:lang w:eastAsia="zh-CN"/>
        </w:rPr>
        <w:br w:type="page"/>
      </w:r>
      <w:r>
        <w:rPr>
          <w:rFonts w:hint="eastAsia" w:ascii="黑体" w:hAnsi="宋体" w:eastAsia="黑体" w:cstheme="minorBidi"/>
          <w:bCs/>
          <w:kern w:val="2"/>
          <w:szCs w:val="32"/>
          <w:lang w:eastAsia="zh-CN"/>
        </w:rPr>
        <w:t>二、政府采购投标及履约承诺函</w:t>
      </w:r>
    </w:p>
    <w:p w14:paraId="3D31E68E">
      <w:pPr>
        <w:widowControl w:val="0"/>
        <w:spacing w:line="360" w:lineRule="auto"/>
        <w:jc w:val="both"/>
        <w:rPr>
          <w:rFonts w:hint="eastAsia" w:ascii="宋体" w:hAnsi="宋体" w:eastAsia="宋体"/>
          <w:color w:val="FF0000"/>
          <w:kern w:val="2"/>
          <w:sz w:val="21"/>
          <w:szCs w:val="21"/>
          <w:lang w:eastAsia="zh-CN"/>
        </w:rPr>
      </w:pPr>
      <w:bookmarkStart w:id="24" w:name="_Hlk72257530"/>
      <w:r>
        <w:rPr>
          <w:rFonts w:hint="eastAsia" w:ascii="宋体" w:hAnsi="宋体" w:eastAsia="宋体" w:cstheme="minorBidi"/>
          <w:color w:val="FF0000"/>
          <w:kern w:val="2"/>
          <w:sz w:val="21"/>
          <w:szCs w:val="21"/>
          <w:lang w:eastAsia="zh-CN"/>
        </w:rPr>
        <w:t>致：</w:t>
      </w:r>
      <w:r>
        <w:rPr>
          <w:rFonts w:hint="eastAsia" w:ascii="宋体" w:hAnsi="宋体" w:eastAsia="宋体" w:cstheme="minorBidi"/>
          <w:color w:val="FF0000"/>
          <w:kern w:val="2"/>
          <w:sz w:val="21"/>
          <w:szCs w:val="21"/>
          <w:u w:val="single"/>
          <w:lang w:eastAsia="zh-CN"/>
        </w:rPr>
        <w:t>深圳市观澜第二中学教育集团、深圳市拓泰实业有限公司</w:t>
      </w:r>
    </w:p>
    <w:bookmarkEnd w:id="24"/>
    <w:p w14:paraId="4F45A4B9">
      <w:pPr>
        <w:widowControl w:val="0"/>
        <w:spacing w:line="360" w:lineRule="auto"/>
        <w:ind w:right="-815"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我单位承诺：</w:t>
      </w:r>
    </w:p>
    <w:p w14:paraId="09A1DBB7">
      <w:pPr>
        <w:widowControl w:val="0"/>
        <w:spacing w:line="360" w:lineRule="auto"/>
        <w:ind w:firstLine="420" w:firstLineChars="200"/>
        <w:jc w:val="both"/>
        <w:rPr>
          <w:rFonts w:hint="eastAsia" w:ascii="宋体" w:hAnsi="宋体" w:eastAsia="宋体"/>
          <w:b/>
          <w:kern w:val="2"/>
          <w:sz w:val="21"/>
          <w:szCs w:val="21"/>
          <w:lang w:eastAsia="zh-CN"/>
        </w:rPr>
      </w:pPr>
      <w:r>
        <w:rPr>
          <w:rFonts w:hint="eastAsia" w:ascii="宋体" w:hAnsi="宋体" w:eastAsia="宋体" w:cstheme="minorBidi"/>
          <w:bCs/>
          <w:kern w:val="2"/>
          <w:sz w:val="21"/>
          <w:szCs w:val="21"/>
          <w:lang w:eastAsia="zh-CN"/>
        </w:rPr>
        <w:t>1.我单位参与本项目所投标（响应）的货物、工程或服务，不存在侵犯知识产权的情况。</w:t>
      </w:r>
    </w:p>
    <w:p w14:paraId="579A7E78">
      <w:pPr>
        <w:widowControl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2.我单位参与本项目</w:t>
      </w:r>
      <w:r>
        <w:rPr>
          <w:rFonts w:hint="eastAsia" w:ascii="Calibri" w:hAnsi="Calibri" w:eastAsia="宋体" w:cstheme="minorBidi"/>
          <w:kern w:val="2"/>
          <w:sz w:val="21"/>
          <w:szCs w:val="22"/>
          <w:lang w:eastAsia="zh-CN"/>
        </w:rPr>
        <w:t>政府采购活动时不存在被有关部门禁止参与政府采购活动且在有效期内的情况。</w:t>
      </w:r>
    </w:p>
    <w:p w14:paraId="13B236AB">
      <w:pPr>
        <w:widowControl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3.我单位具备《中华人民共和国政府采购法》第二十二条第一款规定的六项条件。</w:t>
      </w:r>
    </w:p>
    <w:p w14:paraId="5E1538FC">
      <w:pPr>
        <w:widowControl w:val="0"/>
        <w:spacing w:line="360" w:lineRule="auto"/>
        <w:ind w:firstLine="420" w:firstLineChars="200"/>
        <w:jc w:val="both"/>
        <w:rPr>
          <w:rFonts w:hint="eastAsia" w:ascii="Calibri" w:hAnsi="Calibri" w:eastAsia="宋体"/>
          <w:kern w:val="2"/>
          <w:sz w:val="21"/>
          <w:szCs w:val="22"/>
          <w:lang w:eastAsia="zh-CN"/>
        </w:rPr>
      </w:pPr>
      <w:r>
        <w:rPr>
          <w:rFonts w:hint="eastAsia" w:ascii="宋体" w:hAnsi="宋体" w:eastAsia="宋体" w:cstheme="minorBidi"/>
          <w:kern w:val="2"/>
          <w:sz w:val="21"/>
          <w:szCs w:val="21"/>
          <w:lang w:eastAsia="zh-CN"/>
        </w:rPr>
        <w:t>4.我单位</w:t>
      </w:r>
      <w:r>
        <w:rPr>
          <w:rFonts w:hint="eastAsia" w:ascii="Calibri" w:hAnsi="Calibri" w:eastAsia="宋体" w:cstheme="minorBidi"/>
          <w:kern w:val="2"/>
          <w:sz w:val="21"/>
          <w:szCs w:val="22"/>
          <w:lang w:eastAsia="zh-CN"/>
        </w:rPr>
        <w:t xml:space="preserve">未被列入失信被执行人、重大税收违法案件当事人名单、政府采购严重违法失信行为记录名单。 </w:t>
      </w:r>
    </w:p>
    <w:p w14:paraId="4E6DE9E9">
      <w:pPr>
        <w:widowControl w:val="0"/>
        <w:spacing w:line="360" w:lineRule="auto"/>
        <w:ind w:firstLine="420" w:firstLineChars="20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5.我单位不存在《深圳市财政局政府采购供应商信用信息管理办法》（深财规〔2023〕3号）列明的严重违法失信行为。</w:t>
      </w:r>
    </w:p>
    <w:p w14:paraId="58A60712">
      <w:pPr>
        <w:widowControl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w:t>
      </w:r>
      <w:bookmarkStart w:id="25" w:name="_Hlk72587269"/>
      <w:bookmarkStart w:id="26" w:name="_Hlk72587299"/>
      <w:r>
        <w:rPr>
          <w:rFonts w:hint="eastAsia" w:ascii="宋体" w:hAnsi="宋体" w:eastAsia="宋体" w:cstheme="minorBidi"/>
          <w:kern w:val="2"/>
          <w:sz w:val="21"/>
          <w:szCs w:val="21"/>
          <w:lang w:eastAsia="zh-C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5"/>
      <w:r>
        <w:rPr>
          <w:rFonts w:hint="eastAsia" w:ascii="宋体" w:hAnsi="宋体" w:eastAsia="宋体" w:cstheme="minorBidi"/>
          <w:kern w:val="2"/>
          <w:sz w:val="21"/>
          <w:szCs w:val="21"/>
          <w:lang w:eastAsia="zh-CN"/>
        </w:rPr>
        <w:t>。</w:t>
      </w:r>
    </w:p>
    <w:bookmarkEnd w:id="26"/>
    <w:p w14:paraId="2035F2C5">
      <w:pPr>
        <w:widowControl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A7920F6">
      <w:pPr>
        <w:widowControl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4D8A9E9">
      <w:pPr>
        <w:widowControl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71914F4">
      <w:pPr>
        <w:widowControl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9.我单位承诺中标后项目不转包，未经采购人同意不进行分包。</w:t>
      </w:r>
    </w:p>
    <w:p w14:paraId="1311A734">
      <w:pPr>
        <w:widowControl w:val="0"/>
        <w:spacing w:line="360" w:lineRule="auto"/>
        <w:ind w:firstLine="420" w:firstLineChars="200"/>
        <w:jc w:val="both"/>
        <w:rPr>
          <w:rFonts w:ascii="宋体" w:hAnsi="宋体" w:eastAsia="宋体"/>
          <w:kern w:val="2"/>
          <w:sz w:val="21"/>
          <w:szCs w:val="22"/>
          <w:lang w:eastAsia="zh-CN"/>
        </w:rPr>
      </w:pPr>
      <w:r>
        <w:rPr>
          <w:rFonts w:hint="eastAsia" w:ascii="宋体" w:hAnsi="宋体" w:eastAsia="宋体" w:cstheme="minorBidi"/>
          <w:kern w:val="2"/>
          <w:sz w:val="21"/>
          <w:szCs w:val="21"/>
          <w:lang w:eastAsia="zh-CN"/>
        </w:rPr>
        <w:t>10</w:t>
      </w:r>
      <w:r>
        <w:rPr>
          <w:rFonts w:ascii="宋体" w:hAnsi="宋体" w:eastAsia="宋体" w:cstheme="minorBidi"/>
          <w:kern w:val="2"/>
          <w:sz w:val="21"/>
          <w:szCs w:val="21"/>
          <w:lang w:eastAsia="zh-CN"/>
        </w:rPr>
        <w:t>.</w:t>
      </w:r>
      <w:r>
        <w:rPr>
          <w:rFonts w:hint="eastAsia" w:ascii="宋体" w:hAnsi="宋体" w:eastAsia="宋体" w:cstheme="minorBidi"/>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1AC0859">
      <w:pPr>
        <w:widowControl w:val="0"/>
        <w:spacing w:line="360" w:lineRule="auto"/>
        <w:ind w:firstLine="420" w:firstLineChars="200"/>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11</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我单位保证，若所投货物涉及</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财政部生态环境部关于印发节能产品政府采购品目清单的通知》（财库〔20</w:t>
      </w:r>
      <w:r>
        <w:rPr>
          <w:rFonts w:ascii="宋体" w:hAnsi="宋体" w:eastAsia="宋体" w:cstheme="minorBidi"/>
          <w:kern w:val="2"/>
          <w:sz w:val="21"/>
          <w:szCs w:val="22"/>
          <w:lang w:eastAsia="zh-CN"/>
        </w:rPr>
        <w:t>19</w:t>
      </w:r>
      <w:r>
        <w:rPr>
          <w:rFonts w:hint="eastAsia" w:ascii="宋体" w:hAnsi="宋体" w:eastAsia="宋体" w:cstheme="minorBidi"/>
          <w:kern w:val="2"/>
          <w:sz w:val="21"/>
          <w:szCs w:val="22"/>
          <w:lang w:eastAsia="zh-CN"/>
        </w:rPr>
        <w:t>〕</w:t>
      </w:r>
      <w:r>
        <w:rPr>
          <w:rFonts w:ascii="宋体" w:hAnsi="宋体" w:eastAsia="宋体" w:cstheme="minorBidi"/>
          <w:kern w:val="2"/>
          <w:sz w:val="21"/>
          <w:szCs w:val="22"/>
          <w:lang w:eastAsia="zh-CN"/>
        </w:rPr>
        <w:t>19</w:t>
      </w:r>
      <w:r>
        <w:rPr>
          <w:rFonts w:hint="eastAsia" w:ascii="宋体" w:hAnsi="宋体" w:eastAsia="宋体" w:cstheme="minorBidi"/>
          <w:kern w:val="2"/>
          <w:sz w:val="21"/>
          <w:szCs w:val="22"/>
          <w:lang w:eastAsia="zh-CN"/>
        </w:rPr>
        <w:t>号）列明的政府采购强制产品，则所投该产品符合节能产品的认证要求。若所投产品包括数据中心相关设备的，应满足</w:t>
      </w:r>
      <w:r>
        <w:rPr>
          <w:rFonts w:hint="eastAsia" w:ascii="Calibri" w:hAnsi="Calibri" w:eastAsia="宋体" w:cstheme="minorBidi"/>
          <w:kern w:val="2"/>
          <w:sz w:val="21"/>
          <w:szCs w:val="22"/>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14:paraId="490DFE86">
      <w:pPr>
        <w:widowControl w:val="0"/>
        <w:spacing w:line="360" w:lineRule="auto"/>
        <w:ind w:firstLine="420" w:firstLineChars="200"/>
        <w:jc w:val="both"/>
        <w:rPr>
          <w:rFonts w:ascii="宋体" w:hAnsi="宋体" w:eastAsia="宋体"/>
          <w:bCs/>
          <w:kern w:val="2"/>
          <w:sz w:val="21"/>
          <w:szCs w:val="22"/>
          <w:lang w:eastAsia="zh-CN"/>
        </w:rPr>
      </w:pPr>
      <w:r>
        <w:rPr>
          <w:rFonts w:hint="eastAsia" w:ascii="宋体" w:hAnsi="宋体" w:eastAsia="宋体" w:cs="宋体"/>
          <w:bCs/>
          <w:sz w:val="21"/>
          <w:szCs w:val="21"/>
          <w:lang w:eastAsia="zh-CN"/>
        </w:rPr>
        <w:t>12.</w:t>
      </w:r>
      <w:r>
        <w:rPr>
          <w:rFonts w:hint="eastAsia" w:ascii="宋体" w:hAnsi="宋体" w:eastAsia="宋体" w:cstheme="minorBidi"/>
          <w:bCs/>
          <w:kern w:val="2"/>
          <w:sz w:val="21"/>
          <w:szCs w:val="22"/>
          <w:lang w:eastAsia="zh-CN"/>
        </w:rPr>
        <w:t>我单位已知悉并同意中标（成交）结果信息公示（公开）的内容。</w:t>
      </w:r>
    </w:p>
    <w:p w14:paraId="79809A6A">
      <w:pPr>
        <w:widowControl w:val="0"/>
        <w:spacing w:line="360" w:lineRule="auto"/>
        <w:ind w:firstLine="420" w:firstLineChars="200"/>
        <w:jc w:val="both"/>
        <w:rPr>
          <w:rFonts w:hint="eastAsia" w:ascii="宋体" w:hAnsi="宋体" w:eastAsia="宋体" w:cs="宋体"/>
          <w:b/>
          <w:color w:val="FF0000"/>
          <w:sz w:val="21"/>
          <w:szCs w:val="21"/>
          <w:lang w:eastAsia="zh-CN"/>
        </w:rPr>
      </w:pPr>
      <w:r>
        <w:rPr>
          <w:rFonts w:hint="eastAsia" w:ascii="宋体" w:hAnsi="宋体" w:eastAsia="宋体" w:cstheme="minorBidi"/>
          <w:bCs/>
          <w:kern w:val="2"/>
          <w:sz w:val="21"/>
          <w:szCs w:val="22"/>
          <w:lang w:eastAsia="zh-CN"/>
        </w:rPr>
        <w:t>13</w:t>
      </w:r>
      <w:r>
        <w:rPr>
          <w:rFonts w:ascii="宋体" w:hAnsi="宋体" w:eastAsia="宋体" w:cstheme="minorBidi"/>
          <w:bCs/>
          <w:kern w:val="2"/>
          <w:sz w:val="21"/>
          <w:szCs w:val="22"/>
          <w:lang w:eastAsia="zh-CN"/>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eastAsia="宋体" w:cstheme="minorBidi"/>
          <w:bCs/>
          <w:kern w:val="2"/>
          <w:sz w:val="21"/>
          <w:szCs w:val="22"/>
          <w:lang w:eastAsia="zh-CN"/>
        </w:rPr>
        <w:t>，</w:t>
      </w:r>
      <w:r>
        <w:rPr>
          <w:rFonts w:hint="eastAsia" w:ascii="宋体" w:hAnsi="宋体" w:eastAsia="宋体" w:cstheme="minorBidi"/>
          <w:bCs/>
          <w:color w:val="FF0000"/>
          <w:kern w:val="2"/>
          <w:sz w:val="21"/>
          <w:szCs w:val="22"/>
          <w:lang w:eastAsia="zh-CN"/>
        </w:rPr>
        <w:t>我单位保证不存在串通投标、恶意串通或者视为串通投标的情形。</w:t>
      </w:r>
    </w:p>
    <w:p w14:paraId="47059E69">
      <w:pPr>
        <w:widowControl w:val="0"/>
        <w:spacing w:line="360" w:lineRule="auto"/>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14:paraId="3F92E3D6">
      <w:pPr>
        <w:widowControl w:val="0"/>
        <w:spacing w:line="360" w:lineRule="auto"/>
        <w:ind w:firstLine="420" w:firstLineChars="200"/>
        <w:jc w:val="both"/>
        <w:rPr>
          <w:rFonts w:ascii="宋体" w:hAnsi="宋体" w:eastAsia="宋体"/>
          <w:kern w:val="2"/>
          <w:sz w:val="21"/>
          <w:szCs w:val="22"/>
          <w:lang w:eastAsia="zh-CN"/>
        </w:rPr>
      </w:pPr>
    </w:p>
    <w:p w14:paraId="081132E4">
      <w:pPr>
        <w:widowControl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以上承诺，如有违反，愿依照国家相关法律法规处理，并承担由此给采购人带来的损失。</w:t>
      </w:r>
    </w:p>
    <w:p w14:paraId="48797844">
      <w:pPr>
        <w:widowControl w:val="0"/>
        <w:spacing w:before="78" w:beforeLines="25" w:after="78" w:afterLines="25" w:line="360" w:lineRule="auto"/>
        <w:ind w:firstLine="5460" w:firstLineChars="26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w:t>
      </w:r>
    </w:p>
    <w:p w14:paraId="169C6E5B">
      <w:pPr>
        <w:widowControl w:val="0"/>
        <w:spacing w:before="78" w:beforeLines="25" w:after="78" w:afterLines="25" w:line="360" w:lineRule="auto"/>
        <w:jc w:val="right"/>
        <w:rPr>
          <w:rFonts w:hint="eastAsia" w:ascii="Calibri" w:hAnsi="Calibri" w:eastAsia="宋体"/>
          <w:color w:val="FF0000"/>
          <w:kern w:val="2"/>
          <w:sz w:val="21"/>
          <w:szCs w:val="22"/>
          <w:lang w:eastAsia="zh-CN"/>
        </w:rPr>
      </w:pPr>
      <w:r>
        <w:rPr>
          <w:rFonts w:hint="eastAsia" w:ascii="Calibri" w:hAnsi="Calibri" w:eastAsia="宋体" w:cstheme="minorBidi"/>
          <w:color w:val="FF0000"/>
          <w:kern w:val="2"/>
          <w:sz w:val="21"/>
          <w:szCs w:val="21"/>
          <w:lang w:eastAsia="zh-CN"/>
        </w:rPr>
        <w:t>投标人：</w:t>
      </w:r>
      <w:r>
        <w:rPr>
          <w:rFonts w:hint="eastAsia" w:ascii="Calibri" w:hAnsi="Calibri" w:eastAsia="宋体" w:cstheme="minorBidi"/>
          <w:color w:val="FF0000"/>
          <w:kern w:val="2"/>
          <w:sz w:val="21"/>
          <w:szCs w:val="21"/>
          <w:u w:val="thick"/>
          <w:lang w:eastAsia="zh-CN"/>
        </w:rPr>
        <w:t xml:space="preserve">                           </w:t>
      </w:r>
      <w:r>
        <w:rPr>
          <w:rFonts w:hint="eastAsia" w:ascii="Calibri" w:hAnsi="Calibri" w:eastAsia="宋体" w:cstheme="minorBidi"/>
          <w:color w:val="FF0000"/>
          <w:kern w:val="2"/>
          <w:sz w:val="21"/>
          <w:szCs w:val="21"/>
          <w:lang w:eastAsia="zh-CN"/>
        </w:rPr>
        <w:t>.</w:t>
      </w:r>
    </w:p>
    <w:p w14:paraId="55D4F1E2">
      <w:pPr>
        <w:widowControl w:val="0"/>
        <w:spacing w:line="360" w:lineRule="auto"/>
        <w:jc w:val="right"/>
        <w:rPr>
          <w:rFonts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日期：</w:t>
      </w:r>
      <w:r>
        <w:rPr>
          <w:rFonts w:hint="eastAsia" w:ascii="Calibri" w:hAnsi="Calibri" w:eastAsia="宋体" w:cstheme="minorBidi"/>
          <w:color w:val="FF0000"/>
          <w:kern w:val="2"/>
          <w:sz w:val="21"/>
          <w:szCs w:val="21"/>
          <w:u w:val="thick"/>
          <w:lang w:eastAsia="zh-CN"/>
        </w:rPr>
        <w:t xml:space="preserve">        </w:t>
      </w:r>
      <w:r>
        <w:rPr>
          <w:rFonts w:hint="eastAsia" w:ascii="宋体" w:hAnsi="宋体" w:eastAsia="宋体" w:cstheme="minorBidi"/>
          <w:color w:val="FF0000"/>
          <w:kern w:val="2"/>
          <w:sz w:val="21"/>
          <w:szCs w:val="21"/>
          <w:lang w:eastAsia="zh-CN"/>
        </w:rPr>
        <w:t>年</w:t>
      </w:r>
      <w:r>
        <w:rPr>
          <w:rFonts w:hint="eastAsia" w:ascii="Calibri" w:hAnsi="Calibri" w:eastAsia="宋体" w:cstheme="minorBidi"/>
          <w:color w:val="FF0000"/>
          <w:kern w:val="2"/>
          <w:sz w:val="21"/>
          <w:szCs w:val="21"/>
          <w:u w:val="thick"/>
          <w:lang w:eastAsia="zh-CN"/>
        </w:rPr>
        <w:t xml:space="preserve">       </w:t>
      </w:r>
      <w:r>
        <w:rPr>
          <w:rFonts w:hint="eastAsia" w:ascii="宋体" w:hAnsi="宋体" w:eastAsia="宋体" w:cstheme="minorBidi"/>
          <w:color w:val="FF0000"/>
          <w:kern w:val="2"/>
          <w:sz w:val="21"/>
          <w:szCs w:val="21"/>
          <w:lang w:eastAsia="zh-CN"/>
        </w:rPr>
        <w:t>月</w:t>
      </w:r>
      <w:r>
        <w:rPr>
          <w:rFonts w:hint="eastAsia" w:ascii="Calibri" w:hAnsi="Calibri" w:eastAsia="宋体" w:cstheme="minorBidi"/>
          <w:color w:val="FF0000"/>
          <w:kern w:val="2"/>
          <w:sz w:val="21"/>
          <w:szCs w:val="21"/>
          <w:u w:val="thick"/>
          <w:lang w:eastAsia="zh-CN"/>
        </w:rPr>
        <w:t xml:space="preserve">       </w:t>
      </w:r>
      <w:r>
        <w:rPr>
          <w:rFonts w:hint="eastAsia" w:ascii="宋体" w:hAnsi="宋体" w:eastAsia="宋体" w:cstheme="minorBidi"/>
          <w:color w:val="FF0000"/>
          <w:kern w:val="2"/>
          <w:sz w:val="21"/>
          <w:szCs w:val="21"/>
          <w:lang w:eastAsia="zh-CN"/>
        </w:rPr>
        <w:t>日</w:t>
      </w:r>
    </w:p>
    <w:p w14:paraId="66544456">
      <w:pPr>
        <w:widowControl w:val="0"/>
        <w:ind w:firstLine="645"/>
        <w:jc w:val="both"/>
        <w:rPr>
          <w:rFonts w:hint="eastAsia" w:ascii="宋体" w:hAnsi="宋体" w:eastAsia="宋体"/>
          <w:kern w:val="2"/>
          <w:sz w:val="21"/>
          <w:szCs w:val="21"/>
          <w:lang w:eastAsia="zh-CN"/>
        </w:rPr>
      </w:pPr>
    </w:p>
    <w:p w14:paraId="6E3B5BDB">
      <w:pPr>
        <w:widowControl w:val="0"/>
        <w:jc w:val="both"/>
        <w:rPr>
          <w:rFonts w:ascii="宋体" w:hAnsi="Calibri" w:eastAsia="宋体"/>
          <w:b/>
          <w:kern w:val="2"/>
          <w:sz w:val="21"/>
          <w:szCs w:val="21"/>
          <w:lang w:eastAsia="zh-CN"/>
        </w:rPr>
      </w:pPr>
    </w:p>
    <w:p w14:paraId="4497F4B6">
      <w:pPr>
        <w:widowControl w:val="0"/>
        <w:ind w:firstLine="482" w:firstLineChars="200"/>
        <w:jc w:val="center"/>
        <w:rPr>
          <w:rFonts w:hint="eastAsia" w:ascii="Calibri" w:hAnsi="宋体" w:eastAsia="宋体"/>
          <w:b/>
          <w:bCs/>
          <w:kern w:val="2"/>
          <w:szCs w:val="22"/>
          <w:lang w:eastAsia="zh-CN"/>
        </w:rPr>
      </w:pPr>
    </w:p>
    <w:p w14:paraId="6A8A9481">
      <w:pPr>
        <w:keepNext/>
        <w:keepLines/>
        <w:widowControl w:val="0"/>
        <w:spacing w:before="260" w:after="260" w:line="240" w:lineRule="auto"/>
        <w:jc w:val="center"/>
        <w:outlineLvl w:val="2"/>
        <w:rPr>
          <w:rFonts w:hint="eastAsia" w:ascii="黑体" w:hAnsi="宋体" w:eastAsia="黑体"/>
          <w:bCs/>
          <w:kern w:val="2"/>
          <w:lang w:eastAsia="zh-CN"/>
        </w:rPr>
      </w:pPr>
      <w:r>
        <w:rPr>
          <w:rFonts w:hint="eastAsia" w:ascii="黑体" w:hAnsi="宋体" w:eastAsia="黑体" w:cstheme="minorBidi"/>
          <w:bCs/>
          <w:kern w:val="2"/>
          <w:lang w:eastAsia="zh-CN"/>
        </w:rPr>
        <w:br w:type="page"/>
      </w:r>
      <w:r>
        <w:rPr>
          <w:rFonts w:hint="eastAsia" w:ascii="黑体" w:hAnsi="宋体" w:eastAsia="黑体" w:cstheme="minorBidi"/>
          <w:bCs/>
          <w:kern w:val="2"/>
          <w:lang w:eastAsia="zh-CN"/>
        </w:rPr>
        <w:t>三、投标人情况及资格证明文件</w:t>
      </w:r>
    </w:p>
    <w:p w14:paraId="0D5DF3AB">
      <w:pPr>
        <w:widowControl w:val="0"/>
        <w:jc w:val="both"/>
        <w:rPr>
          <w:rFonts w:ascii="Calibri" w:hAnsi="Calibri" w:eastAsia="宋体"/>
          <w:b/>
          <w:bCs/>
          <w:kern w:val="2"/>
          <w:szCs w:val="22"/>
          <w:lang w:eastAsia="zh-CN"/>
        </w:rPr>
      </w:pPr>
    </w:p>
    <w:p w14:paraId="645BAE8C">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信用信息证明材料</w:t>
      </w:r>
    </w:p>
    <w:p w14:paraId="26D9FB9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查询要求（未按要求提供材料的，视为投标无效）：</w:t>
      </w:r>
    </w:p>
    <w:p w14:paraId="45DE86B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1）信用信息查询需登录信用中国查询网址www.creditchina.gov.cn、中国政府采购网查询网址www.ccgp.gov.cn下载企业信用信息，信用文档需体现信用中国、中国政府采购网站标志、投标人在信用中国的查询结果信息、报告生成时间（需下载完整的报告，以下截图为首页模板）。</w:t>
      </w:r>
    </w:p>
    <w:p w14:paraId="626F993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（2）信用信息生成时间须为采购公告发布之日后。</w:t>
      </w:r>
    </w:p>
    <w:p w14:paraId="3CA0CAF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（3）如查询结果存在“列入失信被执行人、重大税收违法案件当事人名单、政府采购严重违法失信行为记录名单”的，且仍处在有效时段及范围内的，则不符合投标人资格要求，其投标文件将被否决。</w:t>
      </w:r>
    </w:p>
    <w:p w14:paraId="3AD687B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（4）采购人、</w:t>
      </w:r>
      <w:r>
        <w:rPr>
          <w:rFonts w:hint="eastAsia" w:ascii="宋体" w:hAnsi="宋体" w:cs="宋体"/>
          <w:highlight w:val="none"/>
          <w:lang w:val="en-US" w:eastAsia="zh-CN"/>
        </w:rPr>
        <w:t>深圳市拓泰实业有限公司</w:t>
      </w:r>
      <w:r>
        <w:rPr>
          <w:rFonts w:hint="eastAsia" w:ascii="宋体" w:hAnsi="宋体" w:eastAsia="宋体" w:cs="宋体"/>
          <w:highlight w:val="none"/>
          <w:lang w:val="en-US" w:eastAsia="zh-CN"/>
        </w:rPr>
        <w:t>有权对该截图的真实性进行核实。</w:t>
      </w:r>
    </w:p>
    <w:p w14:paraId="389716DF">
      <w:pPr>
        <w:widowControl w:val="0"/>
        <w:jc w:val="both"/>
        <w:rPr>
          <w:rFonts w:ascii="Calibri" w:hAnsi="Calibri" w:eastAsia="宋体"/>
          <w:b/>
          <w:bCs/>
          <w:kern w:val="2"/>
          <w:szCs w:val="22"/>
          <w:lang w:eastAsia="zh-CN"/>
        </w:rPr>
      </w:pPr>
      <w:r>
        <w:rPr>
          <w:rFonts w:hint="eastAsia" w:ascii="宋体" w:hAnsi="宋体" w:eastAsia="宋体" w:cs="宋体"/>
          <w:color w:val="auto"/>
          <w:highlight w:val="none"/>
        </w:rPr>
        <w:drawing>
          <wp:inline distT="0" distB="0" distL="114300" distR="114300">
            <wp:extent cx="5265420" cy="2830830"/>
            <wp:effectExtent l="0" t="0" r="11430" b="7620"/>
            <wp:docPr id="5" name="图片 4" descr="查询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查询截图"/>
                    <pic:cNvPicPr>
                      <a:picLocks noChangeAspect="1"/>
                    </pic:cNvPicPr>
                  </pic:nvPicPr>
                  <pic:blipFill>
                    <a:blip r:embed="rId6"/>
                    <a:stretch>
                      <a:fillRect/>
                    </a:stretch>
                  </pic:blipFill>
                  <pic:spPr>
                    <a:xfrm>
                      <a:off x="0" y="0"/>
                      <a:ext cx="5265420" cy="2830830"/>
                    </a:xfrm>
                    <a:prstGeom prst="rect">
                      <a:avLst/>
                    </a:prstGeom>
                    <a:noFill/>
                    <a:ln>
                      <a:noFill/>
                    </a:ln>
                  </pic:spPr>
                </pic:pic>
              </a:graphicData>
            </a:graphic>
          </wp:inline>
        </w:drawing>
      </w:r>
      <w:r>
        <w:rPr>
          <w:rFonts w:hint="eastAsia" w:ascii="宋体" w:hAnsi="宋体" w:eastAsia="宋体" w:cs="宋体"/>
          <w:b/>
          <w:bCs/>
          <w:sz w:val="24"/>
          <w:szCs w:val="24"/>
          <w:highlight w:val="none"/>
        </w:rPr>
        <w:drawing>
          <wp:inline distT="0" distB="0" distL="114300" distR="114300">
            <wp:extent cx="4229735" cy="5253355"/>
            <wp:effectExtent l="0" t="0" r="18415" b="4445"/>
            <wp:docPr id="6" name="图片 5" descr="1572336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1572336271(1)"/>
                    <pic:cNvPicPr>
                      <a:picLocks noChangeAspect="1"/>
                    </pic:cNvPicPr>
                  </pic:nvPicPr>
                  <pic:blipFill>
                    <a:blip r:embed="rId7"/>
                    <a:stretch>
                      <a:fillRect/>
                    </a:stretch>
                  </pic:blipFill>
                  <pic:spPr>
                    <a:xfrm>
                      <a:off x="0" y="0"/>
                      <a:ext cx="4229735" cy="5253355"/>
                    </a:xfrm>
                    <a:prstGeom prst="rect">
                      <a:avLst/>
                    </a:prstGeom>
                    <a:noFill/>
                    <a:ln>
                      <a:noFill/>
                    </a:ln>
                  </pic:spPr>
                </pic:pic>
              </a:graphicData>
            </a:graphic>
          </wp:inline>
        </w:drawing>
      </w:r>
      <w:r>
        <w:rPr>
          <w:rFonts w:hint="eastAsia" w:ascii="宋体" w:hAnsi="宋体" w:eastAsia="宋体" w:cs="宋体"/>
          <w:highlight w:val="none"/>
        </w:rPr>
        <w:drawing>
          <wp:inline distT="0" distB="0" distL="114300" distR="114300">
            <wp:extent cx="5273040" cy="3253740"/>
            <wp:effectExtent l="0" t="0" r="3810" b="381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a:stretch>
                      <a:fillRect/>
                    </a:stretch>
                  </pic:blipFill>
                  <pic:spPr>
                    <a:xfrm>
                      <a:off x="0" y="0"/>
                      <a:ext cx="5273040" cy="3253740"/>
                    </a:xfrm>
                    <a:prstGeom prst="rect">
                      <a:avLst/>
                    </a:prstGeom>
                    <a:noFill/>
                    <a:ln>
                      <a:noFill/>
                    </a:ln>
                  </pic:spPr>
                </pic:pic>
              </a:graphicData>
            </a:graphic>
          </wp:inline>
        </w:drawing>
      </w:r>
    </w:p>
    <w:p w14:paraId="58A13DE0">
      <w:pPr>
        <w:widowControl w:val="0"/>
        <w:jc w:val="both"/>
        <w:rPr>
          <w:rFonts w:ascii="Calibri" w:hAnsi="Calibri" w:eastAsia="宋体"/>
          <w:b/>
          <w:bCs/>
          <w:kern w:val="2"/>
          <w:szCs w:val="22"/>
          <w:lang w:eastAsia="zh-CN"/>
        </w:rPr>
      </w:pPr>
    </w:p>
    <w:p w14:paraId="35B0DFD9">
      <w:pPr>
        <w:widowControl w:val="0"/>
        <w:ind w:firstLine="2640" w:firstLineChars="1100"/>
        <w:jc w:val="both"/>
        <w:outlineLvl w:val="3"/>
        <w:rPr>
          <w:rFonts w:hint="eastAsia" w:ascii="黑体" w:hAnsi="宋体" w:eastAsia="黑体"/>
          <w:bCs/>
          <w:szCs w:val="32"/>
          <w:lang w:eastAsia="zh-CN"/>
        </w:rPr>
      </w:pPr>
      <w:bookmarkStart w:id="27" w:name="_Hlk72257590"/>
      <w:r>
        <w:rPr>
          <w:rFonts w:hint="eastAsia" w:ascii="黑体" w:hAnsi="宋体" w:eastAsia="黑体" w:cstheme="minorBidi"/>
          <w:bCs/>
          <w:szCs w:val="32"/>
          <w:lang w:eastAsia="zh-CN"/>
        </w:rPr>
        <w:t>（一）投标人资格证明文件</w:t>
      </w:r>
    </w:p>
    <w:p w14:paraId="2F00D5B9">
      <w:pPr>
        <w:widowControl w:val="0"/>
        <w:spacing w:before="156" w:beforeLines="50"/>
        <w:ind w:firstLine="422" w:firstLineChars="200"/>
        <w:jc w:val="both"/>
        <w:rPr>
          <w:rFonts w:ascii="Calibri" w:hAnsi="Calibri" w:eastAsia="宋体"/>
          <w:b/>
          <w:bCs/>
          <w:color w:val="FF0000"/>
          <w:kern w:val="2"/>
          <w:sz w:val="21"/>
          <w:szCs w:val="22"/>
          <w:lang w:eastAsia="zh-CN"/>
        </w:rPr>
      </w:pPr>
      <w:r>
        <w:rPr>
          <w:rFonts w:hint="eastAsia" w:ascii="Calibri" w:hAnsi="Calibri" w:eastAsia="宋体" w:cstheme="minorBidi"/>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w:t>
      </w:r>
    </w:p>
    <w:p w14:paraId="5D2F719D">
      <w:pPr>
        <w:widowControl w:val="0"/>
        <w:jc w:val="both"/>
        <w:rPr>
          <w:rFonts w:ascii="Calibri" w:hAnsi="Calibri" w:eastAsia="宋体"/>
          <w:b/>
          <w:bCs/>
          <w:kern w:val="2"/>
          <w:szCs w:val="22"/>
          <w:lang w:eastAsia="zh-CN"/>
        </w:rPr>
      </w:pPr>
    </w:p>
    <w:p w14:paraId="2A941C7C">
      <w:pPr>
        <w:widowControl w:val="0"/>
        <w:ind w:firstLine="480" w:firstLineChars="200"/>
        <w:jc w:val="both"/>
        <w:outlineLvl w:val="3"/>
        <w:rPr>
          <w:rFonts w:hint="eastAsia" w:ascii="黑体" w:hAnsi="宋体" w:eastAsia="黑体"/>
          <w:bCs/>
          <w:szCs w:val="32"/>
          <w:lang w:eastAsia="zh-CN"/>
        </w:rPr>
      </w:pPr>
      <w:bookmarkStart w:id="28" w:name="_Hlk72257908"/>
      <w:r>
        <w:rPr>
          <w:rFonts w:hint="eastAsia" w:ascii="黑体" w:hAnsi="宋体" w:eastAsia="黑体" w:cstheme="minorBidi"/>
          <w:bCs/>
          <w:szCs w:val="32"/>
          <w:lang w:eastAsia="zh-CN"/>
        </w:rPr>
        <w:t>（二）中小企业声明函、残疾人福利性单位声明函及监狱企业声明函</w:t>
      </w:r>
    </w:p>
    <w:bookmarkEnd w:id="27"/>
    <w:p w14:paraId="4694DE8C">
      <w:pPr>
        <w:bidi w:val="0"/>
        <w:rPr>
          <w:rFonts w:hint="eastAsia"/>
          <w:lang w:eastAsia="zh-CN"/>
        </w:rPr>
      </w:pPr>
    </w:p>
    <w:p w14:paraId="03DD45E9">
      <w:pPr>
        <w:widowControl w:val="0"/>
        <w:spacing w:before="156" w:beforeLines="50"/>
        <w:ind w:firstLine="420" w:firstLineChars="200"/>
        <w:jc w:val="both"/>
        <w:rPr>
          <w:rFonts w:hint="eastAsia" w:ascii="Calibri" w:hAnsi="Calibri" w:eastAsia="宋体" w:cstheme="minorBidi"/>
          <w:b w:val="0"/>
          <w:bCs w:val="0"/>
          <w:color w:val="FF0000"/>
          <w:kern w:val="2"/>
          <w:sz w:val="21"/>
          <w:szCs w:val="22"/>
          <w:lang w:eastAsia="zh-CN"/>
        </w:rPr>
      </w:pPr>
      <w:r>
        <w:rPr>
          <w:rFonts w:hint="eastAsia" w:ascii="Calibri" w:hAnsi="Calibri" w:eastAsia="宋体" w:cstheme="minorBidi"/>
          <w:b w:val="0"/>
          <w:bCs w:val="0"/>
          <w:color w:val="FF0000"/>
          <w:kern w:val="2"/>
          <w:sz w:val="21"/>
          <w:szCs w:val="22"/>
          <w:lang w:eastAsia="zh-CN"/>
        </w:rPr>
        <w:t>填写指引：</w:t>
      </w:r>
    </w:p>
    <w:p w14:paraId="765A95BC">
      <w:pPr>
        <w:widowControl w:val="0"/>
        <w:spacing w:before="156" w:beforeLines="50"/>
        <w:ind w:firstLine="420" w:firstLineChars="200"/>
        <w:jc w:val="both"/>
        <w:rPr>
          <w:rFonts w:hint="eastAsia" w:ascii="Calibri" w:hAnsi="Calibri" w:eastAsia="宋体" w:cstheme="minorBidi"/>
          <w:b w:val="0"/>
          <w:bCs w:val="0"/>
          <w:color w:val="FF0000"/>
          <w:kern w:val="2"/>
          <w:sz w:val="21"/>
          <w:szCs w:val="22"/>
          <w:lang w:eastAsia="zh-CN"/>
        </w:rPr>
      </w:pPr>
      <w:r>
        <w:rPr>
          <w:rFonts w:hint="eastAsia" w:ascii="Calibri" w:hAnsi="Calibri" w:eastAsia="宋体" w:cstheme="minorBidi"/>
          <w:b w:val="0"/>
          <w:bCs w:val="0"/>
          <w:color w:val="FF0000"/>
          <w:kern w:val="2"/>
          <w:sz w:val="21"/>
          <w:szCs w:val="22"/>
          <w:lang w:eastAsia="zh-CN"/>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3F7BBCB2">
      <w:pPr>
        <w:widowControl w:val="0"/>
        <w:spacing w:before="156" w:beforeLines="50"/>
        <w:ind w:firstLine="420" w:firstLineChars="200"/>
        <w:jc w:val="both"/>
        <w:rPr>
          <w:rFonts w:hint="eastAsia" w:ascii="Calibri" w:hAnsi="Calibri" w:eastAsia="宋体" w:cstheme="minorBidi"/>
          <w:b w:val="0"/>
          <w:bCs w:val="0"/>
          <w:color w:val="FF0000"/>
          <w:kern w:val="2"/>
          <w:sz w:val="21"/>
          <w:szCs w:val="22"/>
          <w:lang w:eastAsia="zh-CN"/>
        </w:rPr>
      </w:pPr>
      <w:r>
        <w:rPr>
          <w:rFonts w:hint="eastAsia" w:ascii="Calibri" w:hAnsi="Calibri" w:eastAsia="宋体" w:cstheme="minorBidi"/>
          <w:b w:val="0"/>
          <w:bCs w:val="0"/>
          <w:color w:val="FF0000"/>
          <w:kern w:val="2"/>
          <w:sz w:val="21"/>
          <w:szCs w:val="22"/>
          <w:lang w:eastAsia="zh-CN"/>
        </w:rPr>
        <w:t>2、该部分内容填写需要参考的相关文件：</w:t>
      </w:r>
    </w:p>
    <w:p w14:paraId="4895C825">
      <w:pPr>
        <w:widowControl w:val="0"/>
        <w:spacing w:before="156" w:beforeLines="50"/>
        <w:ind w:firstLine="420" w:firstLineChars="200"/>
        <w:jc w:val="both"/>
        <w:rPr>
          <w:rFonts w:hint="eastAsia" w:ascii="Calibri" w:hAnsi="Calibri" w:eastAsia="宋体" w:cstheme="minorBidi"/>
          <w:b w:val="0"/>
          <w:bCs w:val="0"/>
          <w:color w:val="FF0000"/>
          <w:kern w:val="2"/>
          <w:sz w:val="21"/>
          <w:szCs w:val="22"/>
          <w:lang w:eastAsia="zh-CN"/>
        </w:rPr>
      </w:pPr>
      <w:r>
        <w:rPr>
          <w:rFonts w:hint="eastAsia" w:ascii="Calibri" w:hAnsi="Calibri" w:eastAsia="宋体" w:cstheme="minorBidi"/>
          <w:b w:val="0"/>
          <w:bCs w:val="0"/>
          <w:color w:val="FF0000"/>
          <w:kern w:val="2"/>
          <w:sz w:val="21"/>
          <w:szCs w:val="22"/>
          <w:lang w:eastAsia="zh-CN"/>
        </w:rPr>
        <w:t>(1)财政部《政府采购促进中小企业发展管理办法》（财库〔2020〕46号）；</w:t>
      </w:r>
    </w:p>
    <w:p w14:paraId="24224957">
      <w:pPr>
        <w:widowControl w:val="0"/>
        <w:spacing w:before="156" w:beforeLines="50"/>
        <w:ind w:firstLine="420" w:firstLineChars="200"/>
        <w:jc w:val="both"/>
        <w:rPr>
          <w:rFonts w:hint="eastAsia" w:ascii="Calibri" w:hAnsi="Calibri" w:eastAsia="宋体" w:cstheme="minorBidi"/>
          <w:b w:val="0"/>
          <w:bCs w:val="0"/>
          <w:color w:val="FF0000"/>
          <w:kern w:val="2"/>
          <w:sz w:val="21"/>
          <w:szCs w:val="22"/>
          <w:lang w:eastAsia="zh-CN"/>
        </w:rPr>
      </w:pPr>
      <w:r>
        <w:rPr>
          <w:rFonts w:hint="eastAsia" w:ascii="Calibri" w:hAnsi="Calibri" w:eastAsia="宋体" w:cstheme="minorBidi"/>
          <w:b w:val="0"/>
          <w:bCs w:val="0"/>
          <w:color w:val="FF0000"/>
          <w:kern w:val="2"/>
          <w:sz w:val="21"/>
          <w:szCs w:val="22"/>
          <w:lang w:eastAsia="zh-CN"/>
        </w:rPr>
        <w:t>(2)《工业和信息化部、国家统计局、国家发展和改革委员会、财政部关于印发中小企业划型标准规定的通知》（工信部联企业〔2011〕300 号，以下简称300号文）；</w:t>
      </w:r>
    </w:p>
    <w:p w14:paraId="6C0F3F61">
      <w:pPr>
        <w:widowControl w:val="0"/>
        <w:spacing w:before="156" w:beforeLines="50"/>
        <w:ind w:firstLine="420" w:firstLineChars="200"/>
        <w:jc w:val="both"/>
        <w:rPr>
          <w:rFonts w:hint="eastAsia" w:ascii="Calibri" w:hAnsi="Calibri" w:eastAsia="宋体" w:cstheme="minorBidi"/>
          <w:b w:val="0"/>
          <w:bCs w:val="0"/>
          <w:color w:val="FF0000"/>
          <w:kern w:val="2"/>
          <w:sz w:val="21"/>
          <w:szCs w:val="22"/>
          <w:lang w:eastAsia="zh-CN"/>
        </w:rPr>
      </w:pPr>
      <w:r>
        <w:rPr>
          <w:rFonts w:hint="eastAsia" w:ascii="Calibri" w:hAnsi="Calibri" w:eastAsia="宋体" w:cstheme="minorBidi"/>
          <w:b w:val="0"/>
          <w:bCs w:val="0"/>
          <w:color w:val="FF0000"/>
          <w:kern w:val="2"/>
          <w:sz w:val="21"/>
          <w:szCs w:val="22"/>
          <w:lang w:eastAsia="zh-CN"/>
        </w:rPr>
        <w:t>(3)《统计上大中小微型企业划分办法(2017)》（国统字〔2017〕213 号）；</w:t>
      </w:r>
    </w:p>
    <w:p w14:paraId="60D898F2">
      <w:pPr>
        <w:widowControl w:val="0"/>
        <w:spacing w:before="156" w:beforeLines="50"/>
        <w:ind w:firstLine="420" w:firstLineChars="200"/>
        <w:jc w:val="both"/>
        <w:rPr>
          <w:rFonts w:hint="eastAsia" w:ascii="Calibri" w:hAnsi="Calibri" w:eastAsia="宋体" w:cstheme="minorBidi"/>
          <w:b w:val="0"/>
          <w:bCs w:val="0"/>
          <w:color w:val="FF0000"/>
          <w:kern w:val="2"/>
          <w:sz w:val="21"/>
          <w:szCs w:val="22"/>
          <w:lang w:eastAsia="zh-CN"/>
        </w:rPr>
      </w:pPr>
      <w:r>
        <w:rPr>
          <w:rFonts w:hint="eastAsia" w:ascii="Calibri" w:hAnsi="Calibri" w:eastAsia="宋体" w:cstheme="minorBidi"/>
          <w:b w:val="0"/>
          <w:bCs w:val="0"/>
          <w:color w:val="FF0000"/>
          <w:kern w:val="2"/>
          <w:sz w:val="21"/>
          <w:szCs w:val="22"/>
          <w:lang w:eastAsia="zh-CN"/>
        </w:rPr>
        <w:t>(4)《关于促进残疾人就业政府采购政策的通知》（财库〔2017〕141号）；</w:t>
      </w:r>
    </w:p>
    <w:p w14:paraId="77267C66">
      <w:pPr>
        <w:widowControl w:val="0"/>
        <w:spacing w:before="156" w:beforeLines="50"/>
        <w:ind w:firstLine="420" w:firstLineChars="200"/>
        <w:jc w:val="both"/>
        <w:rPr>
          <w:rFonts w:hint="eastAsia" w:ascii="Calibri" w:hAnsi="Calibri" w:eastAsia="宋体" w:cstheme="minorBidi"/>
          <w:b w:val="0"/>
          <w:bCs w:val="0"/>
          <w:color w:val="FF0000"/>
          <w:kern w:val="2"/>
          <w:sz w:val="21"/>
          <w:szCs w:val="22"/>
          <w:lang w:eastAsia="zh-CN"/>
        </w:rPr>
      </w:pPr>
      <w:r>
        <w:rPr>
          <w:rFonts w:hint="eastAsia" w:ascii="Calibri" w:hAnsi="Calibri" w:eastAsia="宋体" w:cstheme="minorBidi"/>
          <w:b w:val="0"/>
          <w:bCs w:val="0"/>
          <w:color w:val="FF0000"/>
          <w:kern w:val="2"/>
          <w:sz w:val="21"/>
          <w:szCs w:val="22"/>
          <w:lang w:eastAsia="zh-CN"/>
        </w:rPr>
        <w:t>(5)《关于政府采购支持监狱企业发展有关问题的通知》（财库〔2014〕68号）</w:t>
      </w:r>
    </w:p>
    <w:p w14:paraId="108448B3">
      <w:pPr>
        <w:widowControl w:val="0"/>
        <w:spacing w:before="156" w:beforeLines="50"/>
        <w:ind w:firstLine="420" w:firstLineChars="200"/>
        <w:jc w:val="both"/>
        <w:rPr>
          <w:rFonts w:hint="eastAsia" w:ascii="Calibri" w:hAnsi="Calibri" w:eastAsia="宋体" w:cstheme="minorBidi"/>
          <w:b w:val="0"/>
          <w:bCs w:val="0"/>
          <w:color w:val="FF0000"/>
          <w:kern w:val="2"/>
          <w:sz w:val="21"/>
          <w:szCs w:val="22"/>
          <w:lang w:eastAsia="zh-CN"/>
        </w:rPr>
      </w:pPr>
      <w:r>
        <w:rPr>
          <w:rFonts w:hint="eastAsia" w:ascii="Calibri" w:hAnsi="Calibri" w:eastAsia="宋体" w:cstheme="minorBidi"/>
          <w:b w:val="0"/>
          <w:bCs w:val="0"/>
          <w:color w:val="FF0000"/>
          <w:kern w:val="2"/>
          <w:sz w:val="21"/>
          <w:szCs w:val="22"/>
          <w:lang w:eastAsia="zh-CN"/>
        </w:rPr>
        <w:t>3、请依照提供的格式和内容填写声明函，不要随意变更格式；声明函不需要盖章或签字；满足多项优惠政策的投标人，不重复享受多项价格扣除政策。</w:t>
      </w:r>
    </w:p>
    <w:p w14:paraId="506853EC">
      <w:pPr>
        <w:widowControl w:val="0"/>
        <w:spacing w:before="156" w:beforeLines="50"/>
        <w:ind w:firstLine="420" w:firstLineChars="200"/>
        <w:jc w:val="both"/>
        <w:rPr>
          <w:rFonts w:hint="eastAsia" w:ascii="Calibri" w:hAnsi="Calibri" w:eastAsia="宋体" w:cstheme="minorBidi"/>
          <w:b w:val="0"/>
          <w:bCs w:val="0"/>
          <w:color w:val="FF0000"/>
          <w:kern w:val="2"/>
          <w:sz w:val="21"/>
          <w:szCs w:val="22"/>
          <w:lang w:eastAsia="zh-CN"/>
        </w:rPr>
      </w:pPr>
      <w:r>
        <w:rPr>
          <w:rFonts w:hint="eastAsia" w:ascii="Calibri" w:hAnsi="Calibri" w:eastAsia="宋体" w:cstheme="minorBidi"/>
          <w:b w:val="0"/>
          <w:bCs w:val="0"/>
          <w:color w:val="FF0000"/>
          <w:kern w:val="2"/>
          <w:sz w:val="21"/>
          <w:szCs w:val="22"/>
          <w:lang w:eastAsia="zh-CN"/>
        </w:rPr>
        <w:t>4、声明函具体填写要求：</w:t>
      </w:r>
    </w:p>
    <w:p w14:paraId="0D9B636F">
      <w:pPr>
        <w:widowControl w:val="0"/>
        <w:spacing w:before="156" w:beforeLines="50"/>
        <w:ind w:firstLine="420" w:firstLineChars="200"/>
        <w:jc w:val="both"/>
        <w:rPr>
          <w:rFonts w:hint="eastAsia" w:ascii="Calibri" w:hAnsi="Calibri" w:eastAsia="宋体" w:cstheme="minorBidi"/>
          <w:b w:val="0"/>
          <w:bCs w:val="0"/>
          <w:color w:val="FF0000"/>
          <w:kern w:val="2"/>
          <w:sz w:val="21"/>
          <w:szCs w:val="22"/>
          <w:lang w:eastAsia="zh-CN"/>
        </w:rPr>
      </w:pPr>
      <w:r>
        <w:rPr>
          <w:rFonts w:hint="eastAsia" w:ascii="Calibri" w:hAnsi="Calibri" w:eastAsia="宋体" w:cstheme="minorBidi"/>
          <w:b w:val="0"/>
          <w:bCs w:val="0"/>
          <w:color w:val="FF0000"/>
          <w:kern w:val="2"/>
          <w:sz w:val="21"/>
          <w:szCs w:val="22"/>
          <w:lang w:eastAsia="zh-CN"/>
        </w:rPr>
        <w:t>（1）声明是中小企业须填写《中小企业声明函》的以下内容：</w:t>
      </w:r>
    </w:p>
    <w:p w14:paraId="44351C34">
      <w:pPr>
        <w:widowControl w:val="0"/>
        <w:spacing w:before="156" w:beforeLines="50"/>
        <w:ind w:firstLine="420" w:firstLineChars="200"/>
        <w:jc w:val="both"/>
        <w:rPr>
          <w:rFonts w:hint="eastAsia" w:ascii="Calibri" w:hAnsi="Calibri" w:eastAsia="宋体" w:cstheme="minorBidi"/>
          <w:b w:val="0"/>
          <w:bCs w:val="0"/>
          <w:color w:val="FF0000"/>
          <w:kern w:val="2"/>
          <w:sz w:val="21"/>
          <w:szCs w:val="22"/>
          <w:lang w:eastAsia="zh-CN"/>
        </w:rPr>
      </w:pPr>
      <w:r>
        <w:rPr>
          <w:rFonts w:hint="eastAsia" w:ascii="Calibri" w:hAnsi="Calibri" w:eastAsia="宋体" w:cstheme="minorBidi"/>
          <w:b w:val="0"/>
          <w:bCs w:val="0"/>
          <w:color w:val="FF0000"/>
          <w:kern w:val="2"/>
          <w:sz w:val="21"/>
          <w:szCs w:val="22"/>
          <w:lang w:eastAsia="zh-CN"/>
        </w:rPr>
        <w:t>第一处，在“单位名称”下划线处如实填写采购人名称（深圳市拓泰实业有限公司不是本项目的采购人，而是采购代理机构）；</w:t>
      </w:r>
    </w:p>
    <w:p w14:paraId="28028C4F">
      <w:pPr>
        <w:widowControl w:val="0"/>
        <w:spacing w:before="156" w:beforeLines="50"/>
        <w:ind w:firstLine="420" w:firstLineChars="200"/>
        <w:jc w:val="both"/>
        <w:rPr>
          <w:rFonts w:hint="eastAsia" w:ascii="Calibri" w:hAnsi="Calibri" w:eastAsia="宋体" w:cstheme="minorBidi"/>
          <w:b w:val="0"/>
          <w:bCs w:val="0"/>
          <w:color w:val="FF0000"/>
          <w:kern w:val="2"/>
          <w:sz w:val="21"/>
          <w:szCs w:val="22"/>
          <w:lang w:eastAsia="zh-CN"/>
        </w:rPr>
      </w:pPr>
      <w:r>
        <w:rPr>
          <w:rFonts w:hint="eastAsia" w:ascii="Calibri" w:hAnsi="Calibri" w:eastAsia="宋体" w:cstheme="minorBidi"/>
          <w:b w:val="0"/>
          <w:bCs w:val="0"/>
          <w:color w:val="FF0000"/>
          <w:kern w:val="2"/>
          <w:sz w:val="21"/>
          <w:szCs w:val="22"/>
          <w:lang w:eastAsia="zh-CN"/>
        </w:rPr>
        <w:t>第二处，在“项目名称”下划线处如实填写采购项目名称；</w:t>
      </w:r>
    </w:p>
    <w:p w14:paraId="3DA0A5E4">
      <w:pPr>
        <w:widowControl w:val="0"/>
        <w:spacing w:before="156" w:beforeLines="50"/>
        <w:ind w:firstLine="420" w:firstLineChars="200"/>
        <w:jc w:val="both"/>
        <w:rPr>
          <w:rFonts w:hint="eastAsia" w:ascii="Calibri" w:hAnsi="Calibri" w:eastAsia="宋体" w:cstheme="minorBidi"/>
          <w:b w:val="0"/>
          <w:bCs w:val="0"/>
          <w:color w:val="FF0000"/>
          <w:kern w:val="2"/>
          <w:sz w:val="21"/>
          <w:szCs w:val="22"/>
          <w:highlight w:val="yellow"/>
          <w:lang w:eastAsia="zh-CN"/>
        </w:rPr>
      </w:pPr>
      <w:r>
        <w:rPr>
          <w:rFonts w:hint="eastAsia" w:ascii="Calibri" w:hAnsi="Calibri" w:eastAsia="宋体" w:cstheme="minorBidi"/>
          <w:b w:val="0"/>
          <w:bCs w:val="0"/>
          <w:color w:val="FF0000"/>
          <w:kern w:val="2"/>
          <w:sz w:val="21"/>
          <w:szCs w:val="22"/>
          <w:highlight w:val="yellow"/>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4CC30CF8">
      <w:pPr>
        <w:widowControl w:val="0"/>
        <w:spacing w:before="156" w:beforeLines="50"/>
        <w:ind w:firstLine="420" w:firstLineChars="200"/>
        <w:jc w:val="both"/>
        <w:rPr>
          <w:rFonts w:hint="eastAsia" w:ascii="Calibri" w:hAnsi="Calibri" w:eastAsia="宋体" w:cstheme="minorBidi"/>
          <w:b w:val="0"/>
          <w:bCs w:val="0"/>
          <w:color w:val="FF0000"/>
          <w:kern w:val="2"/>
          <w:sz w:val="21"/>
          <w:szCs w:val="22"/>
          <w:lang w:eastAsia="zh-CN"/>
        </w:rPr>
      </w:pPr>
      <w:r>
        <w:rPr>
          <w:rFonts w:hint="eastAsia" w:ascii="Calibri" w:hAnsi="Calibri" w:eastAsia="宋体" w:cstheme="minorBidi"/>
          <w:b w:val="0"/>
          <w:bCs w:val="0"/>
          <w:color w:val="FF0000"/>
          <w:kern w:val="2"/>
          <w:sz w:val="21"/>
          <w:szCs w:val="22"/>
          <w:lang w:eastAsia="zh-CN"/>
        </w:rPr>
        <w:t>第四处，在“招标文件中明确的所属行业”下划线处填写采购标的对应的中小企业划分标准所属行业（所属行业可在招标文件第一册第二章“对通用条款的补充内容及其他关键信息”章节查看）；</w:t>
      </w:r>
    </w:p>
    <w:p w14:paraId="1A65BE35">
      <w:pPr>
        <w:widowControl w:val="0"/>
        <w:spacing w:before="156" w:beforeLines="50"/>
        <w:ind w:firstLine="420" w:firstLineChars="200"/>
        <w:jc w:val="both"/>
        <w:rPr>
          <w:rFonts w:hint="eastAsia" w:ascii="Calibri" w:hAnsi="Calibri" w:eastAsia="宋体" w:cstheme="minorBidi"/>
          <w:b w:val="0"/>
          <w:bCs w:val="0"/>
          <w:color w:val="FF0000"/>
          <w:kern w:val="2"/>
          <w:sz w:val="21"/>
          <w:szCs w:val="22"/>
          <w:lang w:eastAsia="zh-CN"/>
        </w:rPr>
      </w:pPr>
      <w:r>
        <w:rPr>
          <w:rFonts w:hint="eastAsia" w:ascii="Calibri" w:hAnsi="Calibri" w:eastAsia="宋体" w:cstheme="minorBidi"/>
          <w:b w:val="0"/>
          <w:bCs w:val="0"/>
          <w:color w:val="FF0000"/>
          <w:kern w:val="2"/>
          <w:sz w:val="21"/>
          <w:szCs w:val="22"/>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256DC3C8">
      <w:pPr>
        <w:widowControl w:val="0"/>
        <w:spacing w:before="156" w:beforeLines="50"/>
        <w:ind w:firstLine="420" w:firstLineChars="200"/>
        <w:jc w:val="both"/>
        <w:rPr>
          <w:rFonts w:hint="eastAsia" w:ascii="Calibri" w:hAnsi="Calibri" w:eastAsia="宋体" w:cstheme="minorBidi"/>
          <w:b w:val="0"/>
          <w:bCs w:val="0"/>
          <w:color w:val="FF0000"/>
          <w:kern w:val="2"/>
          <w:sz w:val="21"/>
          <w:szCs w:val="22"/>
          <w:lang w:eastAsia="zh-CN"/>
        </w:rPr>
      </w:pPr>
      <w:r>
        <w:rPr>
          <w:rFonts w:hint="eastAsia" w:ascii="Calibri" w:hAnsi="Calibri" w:eastAsia="宋体" w:cstheme="minorBidi"/>
          <w:b w:val="0"/>
          <w:bCs w:val="0"/>
          <w:color w:val="FF0000"/>
          <w:kern w:val="2"/>
          <w:sz w:val="21"/>
          <w:szCs w:val="22"/>
          <w:lang w:eastAsia="zh-CN"/>
        </w:rPr>
        <w:t>（2）声明是残疾人福利性单位须填写《残疾人福利性单位声明函》的相关内容，具体参照以上《中小企业声明函》填写要求执行。</w:t>
      </w:r>
    </w:p>
    <w:p w14:paraId="3AF1198B">
      <w:pPr>
        <w:widowControl w:val="0"/>
        <w:spacing w:before="156" w:beforeLines="50"/>
        <w:ind w:firstLine="420" w:firstLineChars="200"/>
        <w:jc w:val="both"/>
        <w:rPr>
          <w:rFonts w:hint="eastAsia" w:ascii="Calibri" w:hAnsi="Calibri" w:eastAsia="宋体" w:cstheme="minorBidi"/>
          <w:b w:val="0"/>
          <w:bCs w:val="0"/>
          <w:color w:val="FF0000"/>
          <w:kern w:val="2"/>
          <w:sz w:val="21"/>
          <w:szCs w:val="22"/>
          <w:lang w:eastAsia="zh-CN"/>
        </w:rPr>
      </w:pPr>
      <w:r>
        <w:rPr>
          <w:rFonts w:hint="eastAsia" w:ascii="Calibri" w:hAnsi="Calibri" w:eastAsia="宋体" w:cstheme="minorBidi"/>
          <w:b w:val="0"/>
          <w:bCs w:val="0"/>
          <w:color w:val="FF0000"/>
          <w:kern w:val="2"/>
          <w:sz w:val="21"/>
          <w:szCs w:val="22"/>
          <w:lang w:eastAsia="zh-CN"/>
        </w:rPr>
        <w:t>（3）声明是监狱企业须填写《监狱企业声明函》的三项内容（填写位置的字体已加粗），具体参照以上《中小企业声明函》填写要求执行。</w:t>
      </w:r>
    </w:p>
    <w:p w14:paraId="65824DA3">
      <w:pPr>
        <w:widowControl w:val="0"/>
        <w:spacing w:before="156" w:beforeLines="50"/>
        <w:ind w:firstLine="420" w:firstLineChars="200"/>
        <w:jc w:val="both"/>
        <w:rPr>
          <w:rFonts w:hint="eastAsia" w:ascii="Calibri" w:hAnsi="Calibri" w:eastAsia="宋体" w:cstheme="minorBidi"/>
          <w:b w:val="0"/>
          <w:bCs w:val="0"/>
          <w:color w:val="FF0000"/>
          <w:kern w:val="2"/>
          <w:sz w:val="21"/>
          <w:szCs w:val="22"/>
          <w:lang w:eastAsia="zh-CN"/>
        </w:rPr>
      </w:pPr>
      <w:r>
        <w:rPr>
          <w:rFonts w:hint="eastAsia" w:ascii="Calibri" w:hAnsi="Calibri" w:eastAsia="宋体" w:cstheme="minorBidi"/>
          <w:b w:val="0"/>
          <w:bCs w:val="0"/>
          <w:color w:val="FF0000"/>
          <w:kern w:val="2"/>
          <w:sz w:val="21"/>
          <w:szCs w:val="22"/>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1C633495">
      <w:pPr>
        <w:widowControl w:val="0"/>
        <w:ind w:firstLine="420" w:firstLineChars="200"/>
        <w:jc w:val="both"/>
        <w:rPr>
          <w:rFonts w:ascii="Calibri" w:hAnsi="Calibri" w:eastAsia="宋体"/>
          <w:kern w:val="2"/>
          <w:sz w:val="21"/>
          <w:szCs w:val="22"/>
          <w:lang w:eastAsia="zh-CN"/>
        </w:rPr>
      </w:pPr>
    </w:p>
    <w:p w14:paraId="7AA5C492">
      <w:pPr>
        <w:widowControl w:val="0"/>
        <w:numPr>
          <w:ilvl w:val="0"/>
          <w:numId w:val="0"/>
        </w:numPr>
        <w:jc w:val="center"/>
        <w:outlineLvl w:val="3"/>
        <w:rPr>
          <w:rFonts w:ascii="Calibri" w:hAnsi="Calibri" w:eastAsia="宋体"/>
          <w:b/>
          <w:kern w:val="2"/>
          <w:szCs w:val="22"/>
          <w:lang w:eastAsia="zh-CN"/>
        </w:rPr>
      </w:pPr>
      <w:r>
        <w:rPr>
          <w:rFonts w:ascii="Calibri" w:hAnsi="Calibri" w:eastAsia="宋体" w:cs="Times New Roman"/>
          <w:b/>
          <w:kern w:val="2"/>
          <w:sz w:val="24"/>
          <w:szCs w:val="22"/>
          <w:lang w:val="en-US" w:eastAsia="zh-CN" w:bidi="ar-SA"/>
        </w:rPr>
        <w:t>1、</w:t>
      </w:r>
      <w:r>
        <w:rPr>
          <w:rFonts w:ascii="Calibri" w:hAnsi="Calibri" w:eastAsia="宋体" w:cstheme="minorBidi"/>
          <w:b/>
          <w:kern w:val="2"/>
          <w:szCs w:val="22"/>
          <w:lang w:eastAsia="zh-CN"/>
        </w:rPr>
        <w:t>中小企业声明函（货物）</w:t>
      </w:r>
    </w:p>
    <w:p w14:paraId="5CD958C2">
      <w:pPr>
        <w:widowControl w:val="0"/>
        <w:spacing w:line="360" w:lineRule="auto"/>
        <w:jc w:val="both"/>
        <w:rPr>
          <w:rFonts w:ascii="Calibri" w:hAnsi="Calibri" w:eastAsia="宋体"/>
          <w:b/>
          <w:bCs/>
          <w:kern w:val="2"/>
          <w:szCs w:val="22"/>
          <w:lang w:eastAsia="zh-CN"/>
        </w:rPr>
      </w:pPr>
    </w:p>
    <w:p w14:paraId="7B869577">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本公司（联合体）郑重声明，根据《政府采购促进中小企业发展管理办法》（财库﹝2020﹞46号）的规定，本公司（联合体）参加</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采购活动，提供的货物全部由符合政策要求的中小企业制造。相关企业（含联合体中的中小企业、签订分包意向协议的中小企业）的具体情况如下：</w:t>
      </w:r>
    </w:p>
    <w:p w14:paraId="529B413D">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 xml:space="preserve">    （采购文件中明确的所属行业）    </w:t>
      </w:r>
      <w:r>
        <w:rPr>
          <w:rFonts w:hint="eastAsia" w:ascii="宋体" w:hAnsi="宋体" w:eastAsia="宋体" w:cs="宋体"/>
          <w:kern w:val="2"/>
          <w:sz w:val="21"/>
          <w:szCs w:val="21"/>
          <w:lang w:eastAsia="zh-CN"/>
        </w:rPr>
        <w:t>行业；制造商为</w:t>
      </w:r>
      <w:r>
        <w:rPr>
          <w:rFonts w:hint="eastAsia" w:ascii="宋体" w:hAnsi="宋体" w:eastAsia="宋体" w:cs="宋体"/>
          <w:b/>
          <w:bCs/>
          <w:i/>
          <w:iCs/>
          <w:kern w:val="2"/>
          <w:sz w:val="21"/>
          <w:szCs w:val="21"/>
          <w:u w:val="single"/>
          <w:lang w:eastAsia="zh-CN"/>
        </w:rPr>
        <w:t xml:space="preserve">    （企业名称，要求制造商本身所属行业应当与招标文件要求的行业相一致）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14:paraId="6C09281E">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b/>
          <w:bCs/>
          <w:i/>
          <w:iCs/>
          <w:kern w:val="2"/>
          <w:sz w:val="21"/>
          <w:szCs w:val="21"/>
          <w:u w:val="single"/>
          <w:lang w:eastAsia="zh-CN"/>
        </w:rPr>
        <w:t xml:space="preserve">    （标的名称）     </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 xml:space="preserve">    （采购文件中明确的所属行业）    </w:t>
      </w:r>
      <w:r>
        <w:rPr>
          <w:rFonts w:hint="eastAsia" w:ascii="宋体" w:hAnsi="宋体" w:eastAsia="宋体" w:cs="宋体"/>
          <w:kern w:val="2"/>
          <w:sz w:val="21"/>
          <w:szCs w:val="21"/>
          <w:lang w:eastAsia="zh-CN"/>
        </w:rPr>
        <w:t>行业；制造商为</w:t>
      </w:r>
      <w:r>
        <w:rPr>
          <w:rFonts w:hint="eastAsia" w:ascii="宋体" w:hAnsi="宋体" w:eastAsia="宋体" w:cs="宋体"/>
          <w:b/>
          <w:bCs/>
          <w:i/>
          <w:iCs/>
          <w:kern w:val="2"/>
          <w:sz w:val="21"/>
          <w:szCs w:val="21"/>
          <w:u w:val="single"/>
          <w:lang w:eastAsia="zh-CN"/>
        </w:rPr>
        <w:t xml:space="preserve">    （企业名称，要求制造商本身所属行业应当与招标文件要求的行业相一致）    </w:t>
      </w:r>
      <w:r>
        <w:rPr>
          <w:rFonts w:hint="eastAsia" w:ascii="宋体" w:hAnsi="宋体" w:eastAsia="宋体" w:cs="宋体"/>
          <w:kern w:val="2"/>
          <w:sz w:val="21"/>
          <w:szCs w:val="21"/>
          <w:lang w:eastAsia="zh-CN"/>
        </w:rPr>
        <w:t>，从业人员</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i/>
          <w:i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i/>
          <w:iCs/>
          <w:kern w:val="2"/>
          <w:sz w:val="21"/>
          <w:szCs w:val="21"/>
          <w:u w:val="single"/>
          <w:lang w:eastAsia="zh-CN"/>
        </w:rPr>
        <w:t xml:space="preserve">    （中型企业、小型企业、微型企业）    </w:t>
      </w:r>
      <w:r>
        <w:rPr>
          <w:rFonts w:hint="eastAsia" w:ascii="宋体" w:hAnsi="宋体" w:eastAsia="宋体" w:cs="宋体"/>
          <w:kern w:val="2"/>
          <w:sz w:val="21"/>
          <w:szCs w:val="21"/>
          <w:lang w:eastAsia="zh-CN"/>
        </w:rPr>
        <w:t>；</w:t>
      </w:r>
    </w:p>
    <w:p w14:paraId="22EF0E60">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p w14:paraId="1579BD2C">
      <w:pPr>
        <w:widowControl w:val="0"/>
        <w:spacing w:line="360" w:lineRule="auto"/>
        <w:ind w:firstLine="420" w:firstLineChars="200"/>
        <w:jc w:val="both"/>
        <w:rPr>
          <w:rFonts w:hint="eastAsia" w:ascii="宋体" w:hAnsi="宋体" w:eastAsia="宋体" w:cs="宋体"/>
          <w:kern w:val="2"/>
          <w:sz w:val="21"/>
          <w:szCs w:val="21"/>
          <w:lang w:eastAsia="zh-CN"/>
        </w:rPr>
      </w:pPr>
    </w:p>
    <w:p w14:paraId="1E534C7C">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以上企业，不属于大企业的分支机构，不存在控股股东为大企业的情形，也不存在与大企业的负责人为同一人的情形。</w:t>
      </w:r>
    </w:p>
    <w:p w14:paraId="7485C26A">
      <w:pPr>
        <w:widowControl w:val="0"/>
        <w:spacing w:line="360" w:lineRule="auto"/>
        <w:ind w:firstLine="420" w:firstLineChars="200"/>
        <w:jc w:val="both"/>
        <w:rPr>
          <w:rFonts w:hint="eastAsia" w:ascii="宋体" w:hAnsi="宋体" w:eastAsia="宋体" w:cs="宋体"/>
          <w:kern w:val="2"/>
          <w:sz w:val="21"/>
          <w:szCs w:val="21"/>
          <w:lang w:eastAsia="zh-CN"/>
        </w:rPr>
      </w:pPr>
      <w:bookmarkStart w:id="29" w:name="_Hlk73562203"/>
      <w:r>
        <w:rPr>
          <w:rFonts w:hint="eastAsia" w:ascii="宋体" w:hAnsi="宋体" w:eastAsia="宋体" w:cs="宋体"/>
          <w:kern w:val="2"/>
          <w:sz w:val="21"/>
          <w:szCs w:val="21"/>
          <w:lang w:eastAsia="zh-CN"/>
        </w:rPr>
        <w:t>本投标人对上述声明内容的真实性负责。如有虚假，将依法承担相应责任。</w:t>
      </w:r>
    </w:p>
    <w:p w14:paraId="67E7DBCA">
      <w:pPr>
        <w:widowControl w:val="0"/>
        <w:spacing w:line="360" w:lineRule="auto"/>
        <w:ind w:firstLine="420" w:firstLineChars="200"/>
        <w:jc w:val="both"/>
        <w:rPr>
          <w:rFonts w:eastAsia="宋体"/>
          <w:kern w:val="2"/>
          <w:lang w:eastAsia="zh-CN"/>
        </w:rPr>
      </w:pPr>
      <w:r>
        <w:rPr>
          <w:rFonts w:hint="eastAsia" w:ascii="宋体" w:hAnsi="宋体" w:eastAsia="宋体" w:cs="宋体"/>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29"/>
    </w:p>
    <w:p w14:paraId="55B66D84">
      <w:pPr>
        <w:bidi w:val="0"/>
        <w:rPr>
          <w:rFonts w:hint="eastAsia"/>
          <w:lang w:eastAsia="zh-CN"/>
        </w:rPr>
      </w:pPr>
    </w:p>
    <w:p w14:paraId="290FFE5A">
      <w:pPr>
        <w:widowControl w:val="0"/>
        <w:jc w:val="both"/>
        <w:rPr>
          <w:rFonts w:ascii="Calibri" w:hAnsi="Calibri" w:eastAsia="宋体"/>
          <w:kern w:val="2"/>
          <w:sz w:val="21"/>
          <w:szCs w:val="22"/>
          <w:lang w:eastAsia="zh-CN"/>
        </w:rPr>
      </w:pPr>
    </w:p>
    <w:p w14:paraId="6EB1A4D3">
      <w:pPr>
        <w:widowControl w:val="0"/>
        <w:ind w:firstLine="420" w:firstLineChars="200"/>
        <w:jc w:val="both"/>
        <w:rPr>
          <w:rFonts w:ascii="Calibri" w:hAnsi="Calibri" w:eastAsia="宋体"/>
          <w:kern w:val="2"/>
          <w:sz w:val="21"/>
          <w:szCs w:val="22"/>
          <w:lang w:eastAsia="zh-CN"/>
        </w:rPr>
      </w:pPr>
    </w:p>
    <w:p w14:paraId="2BE04B30">
      <w:pPr>
        <w:widowControl w:val="0"/>
        <w:jc w:val="center"/>
        <w:outlineLvl w:val="3"/>
        <w:rPr>
          <w:rFonts w:ascii="Calibri" w:hAnsi="Calibri" w:eastAsia="宋体"/>
          <w:b/>
          <w:kern w:val="2"/>
          <w:szCs w:val="22"/>
          <w:lang w:eastAsia="zh-CN"/>
        </w:rPr>
      </w:pPr>
      <w:r>
        <w:rPr>
          <w:rFonts w:hint="eastAsia" w:ascii="Calibri" w:hAnsi="Calibri" w:eastAsia="宋体" w:cstheme="minorBidi"/>
          <w:b/>
          <w:kern w:val="2"/>
          <w:szCs w:val="22"/>
          <w:lang w:eastAsia="zh-CN"/>
        </w:rPr>
        <w:t>2、残疾人福利性单位声明函（货物类）</w:t>
      </w:r>
    </w:p>
    <w:p w14:paraId="57264BF4">
      <w:pPr>
        <w:widowControl w:val="0"/>
        <w:jc w:val="both"/>
        <w:rPr>
          <w:rFonts w:ascii="Calibri" w:hAnsi="Calibri" w:eastAsia="宋体"/>
          <w:b/>
          <w:bCs/>
          <w:kern w:val="2"/>
          <w:sz w:val="21"/>
          <w:szCs w:val="22"/>
          <w:lang w:eastAsia="zh-CN"/>
        </w:rPr>
      </w:pPr>
    </w:p>
    <w:p w14:paraId="284E453A">
      <w:pPr>
        <w:widowControl w:val="0"/>
        <w:spacing w:line="360" w:lineRule="auto"/>
        <w:ind w:firstLine="420" w:firstLineChars="200"/>
        <w:jc w:val="both"/>
        <w:rPr>
          <w:rFonts w:hint="eastAsia" w:ascii="宋体" w:hAnsi="宋体" w:eastAsia="宋体" w:cs="宋体"/>
          <w:kern w:val="2"/>
          <w:sz w:val="21"/>
          <w:szCs w:val="21"/>
          <w:lang w:eastAsia="zh-CN"/>
        </w:rPr>
      </w:pPr>
      <w:bookmarkStart w:id="30" w:name="_Hlk73562331"/>
      <w:bookmarkStart w:id="31" w:name="_Hlk73562245"/>
      <w:r>
        <w:rPr>
          <w:rFonts w:hint="eastAsia" w:ascii="宋体" w:hAnsi="宋体" w:eastAsia="宋体" w:cs="宋体"/>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i/>
          <w:iCs/>
          <w:kern w:val="2"/>
          <w:sz w:val="21"/>
          <w:szCs w:val="21"/>
          <w:u w:val="single"/>
          <w:lang w:eastAsia="zh-CN"/>
        </w:rPr>
        <w:t xml:space="preserve">    （单位名称）    </w:t>
      </w:r>
      <w:r>
        <w:rPr>
          <w:rFonts w:hint="eastAsia" w:ascii="宋体" w:hAnsi="宋体" w:eastAsia="宋体" w:cs="宋体"/>
          <w:kern w:val="2"/>
          <w:sz w:val="21"/>
          <w:szCs w:val="21"/>
          <w:lang w:eastAsia="zh-CN"/>
        </w:rPr>
        <w:t>单位的</w:t>
      </w:r>
      <w:r>
        <w:rPr>
          <w:rFonts w:hint="eastAsia" w:ascii="宋体" w:hAnsi="宋体" w:eastAsia="宋体" w:cs="宋体"/>
          <w:b/>
          <w:bCs/>
          <w:i/>
          <w:iCs/>
          <w:kern w:val="2"/>
          <w:sz w:val="21"/>
          <w:szCs w:val="21"/>
          <w:u w:val="single"/>
          <w:lang w:eastAsia="zh-CN"/>
        </w:rPr>
        <w:t xml:space="preserve">    （项目名称）    </w:t>
      </w:r>
      <w:r>
        <w:rPr>
          <w:rFonts w:hint="eastAsia" w:ascii="宋体" w:hAnsi="宋体" w:eastAsia="宋体" w:cs="宋体"/>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14:paraId="76A4FC8C">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14:paraId="6C341EFC">
      <w:pPr>
        <w:widowControl w:val="0"/>
        <w:spacing w:line="36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30"/>
    </w:p>
    <w:bookmarkEnd w:id="31"/>
    <w:p w14:paraId="3D6FFAD8">
      <w:pPr>
        <w:widowControl w:val="0"/>
        <w:ind w:firstLine="420" w:firstLineChars="200"/>
        <w:jc w:val="both"/>
        <w:rPr>
          <w:rFonts w:hint="eastAsia" w:ascii="宋体" w:hAnsi="宋体" w:eastAsia="宋体"/>
          <w:kern w:val="2"/>
          <w:sz w:val="21"/>
          <w:szCs w:val="21"/>
          <w:lang w:eastAsia="zh-CN"/>
        </w:rPr>
      </w:pPr>
    </w:p>
    <w:p w14:paraId="7C366945">
      <w:pPr>
        <w:widowControl w:val="0"/>
        <w:ind w:firstLine="420" w:firstLineChars="200"/>
        <w:jc w:val="both"/>
        <w:rPr>
          <w:rFonts w:hint="eastAsia" w:ascii="宋体" w:hAnsi="宋体" w:eastAsia="宋体"/>
          <w:kern w:val="2"/>
          <w:sz w:val="21"/>
          <w:szCs w:val="21"/>
          <w:lang w:eastAsia="zh-CN"/>
        </w:rPr>
      </w:pPr>
    </w:p>
    <w:p w14:paraId="5D87599E">
      <w:pPr>
        <w:widowControl w:val="0"/>
        <w:jc w:val="center"/>
        <w:outlineLvl w:val="3"/>
        <w:rPr>
          <w:rFonts w:ascii="Calibri" w:hAnsi="Calibri" w:eastAsia="宋体"/>
          <w:b/>
          <w:kern w:val="2"/>
          <w:szCs w:val="22"/>
          <w:lang w:eastAsia="zh-CN"/>
        </w:rPr>
      </w:pPr>
      <w:r>
        <w:rPr>
          <w:rFonts w:hint="eastAsia" w:ascii="Calibri" w:hAnsi="Calibri" w:eastAsia="宋体" w:cstheme="minorBidi"/>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14:paraId="16B23486">
      <w:pPr>
        <w:widowControl w:val="0"/>
        <w:spacing w:line="360" w:lineRule="auto"/>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本投标人郑重声明，根据《财政部司法部关于政府采购支持监狱企业发展有关问题的通知》（财库〔</w:t>
      </w:r>
      <w:r>
        <w:rPr>
          <w:rFonts w:ascii="宋体" w:hAnsi="宋体" w:eastAsia="宋体" w:cstheme="minorBidi"/>
          <w:kern w:val="2"/>
          <w:sz w:val="21"/>
          <w:szCs w:val="21"/>
          <w:lang w:eastAsia="zh-CN"/>
        </w:rPr>
        <w:t>2014</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68</w:t>
      </w:r>
      <w:r>
        <w:rPr>
          <w:rFonts w:hint="eastAsia" w:ascii="宋体" w:hAnsi="宋体" w:eastAsia="宋体" w:cstheme="minorBidi"/>
          <w:kern w:val="2"/>
          <w:sz w:val="21"/>
          <w:szCs w:val="21"/>
          <w:lang w:eastAsia="zh-CN"/>
        </w:rPr>
        <w:t>号）的规定，本投标人</w:t>
      </w:r>
      <w:r>
        <w:rPr>
          <w:rFonts w:ascii="宋体" w:hAnsi="宋体" w:eastAsia="宋体" w:cstheme="minorBidi"/>
          <w:kern w:val="2"/>
          <w:sz w:val="21"/>
          <w:szCs w:val="21"/>
          <w:lang w:eastAsia="zh-CN"/>
        </w:rPr>
        <w:t>参加</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采购人</w:t>
      </w:r>
      <w:r>
        <w:rPr>
          <w:rFonts w:ascii="宋体" w:hAnsi="宋体" w:eastAsia="宋体" w:cstheme="minorBidi"/>
          <w:b/>
          <w:bCs/>
          <w:i/>
          <w:iCs/>
          <w:kern w:val="2"/>
          <w:sz w:val="21"/>
          <w:szCs w:val="21"/>
          <w:u w:val="single"/>
          <w:lang w:eastAsia="zh-CN"/>
        </w:rPr>
        <w:t>名称）</w:t>
      </w:r>
      <w:r>
        <w:rPr>
          <w:rFonts w:ascii="宋体" w:hAnsi="宋体" w:eastAsia="宋体" w:cstheme="minorBidi"/>
          <w:kern w:val="2"/>
          <w:sz w:val="21"/>
          <w:szCs w:val="21"/>
          <w:lang w:eastAsia="zh-CN"/>
        </w:rPr>
        <w:t>的</w:t>
      </w:r>
      <w:r>
        <w:rPr>
          <w:rFonts w:ascii="宋体" w:hAnsi="宋体" w:eastAsia="宋体" w:cstheme="minorBidi"/>
          <w:b/>
          <w:bCs/>
          <w:i/>
          <w:iCs/>
          <w:kern w:val="2"/>
          <w:sz w:val="21"/>
          <w:szCs w:val="21"/>
          <w:u w:val="single"/>
          <w:lang w:eastAsia="zh-CN"/>
        </w:rPr>
        <w:t>（项目名称）</w:t>
      </w:r>
      <w:r>
        <w:rPr>
          <w:rFonts w:ascii="宋体" w:hAnsi="宋体" w:eastAsia="宋体" w:cstheme="minorBidi"/>
          <w:kern w:val="2"/>
          <w:sz w:val="21"/>
          <w:szCs w:val="21"/>
          <w:lang w:eastAsia="zh-CN"/>
        </w:rPr>
        <w:t>采购活动，提供的货物全部由符合政策要求的</w:t>
      </w:r>
      <w:r>
        <w:rPr>
          <w:rFonts w:hint="eastAsia" w:ascii="宋体" w:hAnsi="宋体" w:eastAsia="宋体" w:cstheme="minorBidi"/>
          <w:kern w:val="2"/>
          <w:sz w:val="21"/>
          <w:szCs w:val="21"/>
          <w:lang w:eastAsia="zh-CN"/>
        </w:rPr>
        <w:t>监狱企业</w:t>
      </w:r>
      <w:r>
        <w:rPr>
          <w:rFonts w:ascii="宋体" w:hAnsi="宋体" w:eastAsia="宋体" w:cstheme="minorBidi"/>
          <w:kern w:val="2"/>
          <w:sz w:val="21"/>
          <w:szCs w:val="21"/>
          <w:lang w:eastAsia="zh-CN"/>
        </w:rPr>
        <w:t>制造。相关</w:t>
      </w:r>
      <w:r>
        <w:rPr>
          <w:rFonts w:hint="eastAsia" w:ascii="宋体" w:hAnsi="宋体" w:eastAsia="宋体" w:cstheme="minorBidi"/>
          <w:kern w:val="2"/>
          <w:sz w:val="21"/>
          <w:szCs w:val="21"/>
          <w:lang w:eastAsia="zh-CN"/>
        </w:rPr>
        <w:t>监狱企业</w:t>
      </w:r>
      <w:r>
        <w:rPr>
          <w:rFonts w:ascii="宋体" w:hAnsi="宋体" w:eastAsia="宋体" w:cstheme="minorBidi"/>
          <w:kern w:val="2"/>
          <w:sz w:val="21"/>
          <w:szCs w:val="21"/>
          <w:lang w:eastAsia="zh-CN"/>
        </w:rPr>
        <w:t>的具体情况如下：</w:t>
      </w:r>
    </w:p>
    <w:p w14:paraId="428C133C">
      <w:pPr>
        <w:widowControl w:val="0"/>
        <w:spacing w:line="360" w:lineRule="auto"/>
        <w:ind w:firstLine="420" w:firstLineChars="200"/>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ascii="宋体" w:hAnsi="宋体" w:eastAsia="宋体" w:cstheme="minorBidi"/>
          <w:b/>
          <w:bCs/>
          <w:i/>
          <w:iCs/>
          <w:kern w:val="2"/>
          <w:sz w:val="21"/>
          <w:szCs w:val="21"/>
          <w:u w:val="single"/>
          <w:lang w:eastAsia="zh-CN"/>
        </w:rPr>
        <w:t xml:space="preserve"> </w:t>
      </w:r>
      <w:r>
        <w:rPr>
          <w:rFonts w:hint="eastAsia" w:ascii="宋体" w:hAnsi="宋体" w:eastAsia="宋体" w:cstheme="minorBidi"/>
          <w:b/>
          <w:bCs/>
          <w:i/>
          <w:iCs/>
          <w:kern w:val="2"/>
          <w:sz w:val="21"/>
          <w:szCs w:val="21"/>
          <w:u w:val="single"/>
          <w:lang w:eastAsia="zh-CN"/>
        </w:rPr>
        <w:t xml:space="preserve">   </w:t>
      </w:r>
      <w:r>
        <w:rPr>
          <w:rFonts w:ascii="宋体" w:hAnsi="宋体" w:eastAsia="宋体" w:cstheme="minorBidi"/>
          <w:b/>
          <w:bCs/>
          <w:i/>
          <w:iCs/>
          <w:kern w:val="2"/>
          <w:sz w:val="21"/>
          <w:szCs w:val="21"/>
          <w:u w:val="single"/>
          <w:lang w:eastAsia="zh-CN"/>
        </w:rPr>
        <w:t>（标的名称）</w:t>
      </w:r>
      <w:r>
        <w:rPr>
          <w:rFonts w:hint="eastAsia" w:ascii="宋体" w:hAnsi="宋体" w:eastAsia="宋体" w:cstheme="minorBidi"/>
          <w:b/>
          <w:bCs/>
          <w:i/>
          <w:iCs/>
          <w:kern w:val="2"/>
          <w:sz w:val="21"/>
          <w:szCs w:val="21"/>
          <w:u w:val="single"/>
          <w:lang w:eastAsia="zh-CN"/>
        </w:rPr>
        <w:t xml:space="preserve">    </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制造商为</w:t>
      </w:r>
      <w:r>
        <w:rPr>
          <w:rFonts w:hint="eastAsia" w:ascii="宋体" w:hAnsi="宋体" w:eastAsia="宋体" w:cstheme="minorBidi"/>
          <w:kern w:val="2"/>
          <w:sz w:val="21"/>
          <w:szCs w:val="21"/>
          <w:u w:val="single"/>
          <w:lang w:eastAsia="zh-CN"/>
        </w:rPr>
        <w:t xml:space="preserve">    </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企业</w:t>
      </w:r>
      <w:r>
        <w:rPr>
          <w:rFonts w:ascii="宋体" w:hAnsi="宋体" w:eastAsia="宋体" w:cstheme="minorBidi"/>
          <w:b/>
          <w:bCs/>
          <w:i/>
          <w:iCs/>
          <w:kern w:val="2"/>
          <w:sz w:val="21"/>
          <w:szCs w:val="21"/>
          <w:u w:val="single"/>
          <w:lang w:eastAsia="zh-CN"/>
        </w:rPr>
        <w:t>名称）</w:t>
      </w:r>
      <w:r>
        <w:rPr>
          <w:rFonts w:hint="eastAsia" w:ascii="宋体" w:hAnsi="宋体" w:eastAsia="宋体" w:cstheme="minorBidi"/>
          <w:b/>
          <w:bCs/>
          <w:i/>
          <w:iCs/>
          <w:kern w:val="2"/>
          <w:sz w:val="21"/>
          <w:szCs w:val="21"/>
          <w:u w:val="single"/>
          <w:lang w:eastAsia="zh-CN"/>
        </w:rPr>
        <w:t xml:space="preserve">    </w:t>
      </w:r>
      <w:r>
        <w:rPr>
          <w:rFonts w:ascii="宋体" w:hAnsi="宋体" w:eastAsia="宋体" w:cstheme="minorBidi"/>
          <w:kern w:val="2"/>
          <w:sz w:val="21"/>
          <w:szCs w:val="21"/>
          <w:lang w:eastAsia="zh-CN"/>
        </w:rPr>
        <w:t>，属于</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b/>
          <w:bCs/>
          <w:kern w:val="2"/>
          <w:sz w:val="21"/>
          <w:szCs w:val="21"/>
          <w:u w:val="single"/>
          <w:lang w:eastAsia="zh-CN"/>
        </w:rPr>
        <w:t xml:space="preserve">监狱企业  </w:t>
      </w:r>
      <w:r>
        <w:rPr>
          <w:rFonts w:ascii="宋体" w:hAnsi="宋体" w:eastAsia="宋体" w:cstheme="minorBidi"/>
          <w:kern w:val="2"/>
          <w:sz w:val="21"/>
          <w:szCs w:val="21"/>
          <w:lang w:eastAsia="zh-CN"/>
        </w:rPr>
        <w:t>；</w:t>
      </w:r>
    </w:p>
    <w:p w14:paraId="11BD89B5">
      <w:pPr>
        <w:widowControl w:val="0"/>
        <w:spacing w:line="360" w:lineRule="auto"/>
        <w:ind w:firstLine="420" w:firstLineChars="200"/>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2.</w:t>
      </w:r>
      <w:r>
        <w:rPr>
          <w:rFonts w:ascii="宋体" w:hAnsi="宋体" w:eastAsia="宋体" w:cstheme="minorBidi"/>
          <w:b/>
          <w:bCs/>
          <w:i/>
          <w:iCs/>
          <w:kern w:val="2"/>
          <w:sz w:val="21"/>
          <w:szCs w:val="21"/>
          <w:u w:val="single"/>
          <w:lang w:eastAsia="zh-CN"/>
        </w:rPr>
        <w:t xml:space="preserve"> </w:t>
      </w:r>
      <w:r>
        <w:rPr>
          <w:rFonts w:hint="eastAsia" w:ascii="宋体" w:hAnsi="宋体" w:eastAsia="宋体" w:cstheme="minorBidi"/>
          <w:b/>
          <w:bCs/>
          <w:i/>
          <w:iCs/>
          <w:kern w:val="2"/>
          <w:sz w:val="21"/>
          <w:szCs w:val="21"/>
          <w:u w:val="single"/>
          <w:lang w:eastAsia="zh-CN"/>
        </w:rPr>
        <w:t xml:space="preserve">   </w:t>
      </w:r>
      <w:r>
        <w:rPr>
          <w:rFonts w:ascii="宋体" w:hAnsi="宋体" w:eastAsia="宋体" w:cstheme="minorBidi"/>
          <w:b/>
          <w:bCs/>
          <w:i/>
          <w:iCs/>
          <w:kern w:val="2"/>
          <w:sz w:val="21"/>
          <w:szCs w:val="21"/>
          <w:u w:val="single"/>
          <w:lang w:eastAsia="zh-CN"/>
        </w:rPr>
        <w:t>（标的名称）</w:t>
      </w:r>
      <w:r>
        <w:rPr>
          <w:rFonts w:hint="eastAsia" w:ascii="宋体" w:hAnsi="宋体" w:eastAsia="宋体" w:cstheme="minorBidi"/>
          <w:b/>
          <w:bCs/>
          <w:i/>
          <w:iCs/>
          <w:kern w:val="2"/>
          <w:sz w:val="21"/>
          <w:szCs w:val="21"/>
          <w:u w:val="single"/>
          <w:lang w:eastAsia="zh-CN"/>
        </w:rPr>
        <w:t xml:space="preserve">    </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制造商为</w:t>
      </w:r>
      <w:r>
        <w:rPr>
          <w:rFonts w:hint="eastAsia" w:ascii="宋体" w:hAnsi="宋体" w:eastAsia="宋体" w:cstheme="minorBidi"/>
          <w:kern w:val="2"/>
          <w:sz w:val="21"/>
          <w:szCs w:val="21"/>
          <w:u w:val="single"/>
          <w:lang w:eastAsia="zh-CN"/>
        </w:rPr>
        <w:t xml:space="preserve">    </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企业</w:t>
      </w:r>
      <w:r>
        <w:rPr>
          <w:rFonts w:ascii="宋体" w:hAnsi="宋体" w:eastAsia="宋体" w:cstheme="minorBidi"/>
          <w:b/>
          <w:bCs/>
          <w:i/>
          <w:iCs/>
          <w:kern w:val="2"/>
          <w:sz w:val="21"/>
          <w:szCs w:val="21"/>
          <w:u w:val="single"/>
          <w:lang w:eastAsia="zh-CN"/>
        </w:rPr>
        <w:t>名称）</w:t>
      </w:r>
      <w:r>
        <w:rPr>
          <w:rFonts w:hint="eastAsia" w:ascii="宋体" w:hAnsi="宋体" w:eastAsia="宋体" w:cstheme="minorBidi"/>
          <w:b/>
          <w:bCs/>
          <w:i/>
          <w:iCs/>
          <w:kern w:val="2"/>
          <w:sz w:val="21"/>
          <w:szCs w:val="21"/>
          <w:u w:val="single"/>
          <w:lang w:eastAsia="zh-CN"/>
        </w:rPr>
        <w:t xml:space="preserve">    </w:t>
      </w:r>
      <w:r>
        <w:rPr>
          <w:rFonts w:ascii="宋体" w:hAnsi="宋体" w:eastAsia="宋体" w:cstheme="minorBidi"/>
          <w:kern w:val="2"/>
          <w:sz w:val="21"/>
          <w:szCs w:val="21"/>
          <w:lang w:eastAsia="zh-CN"/>
        </w:rPr>
        <w:t>，属于</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b/>
          <w:bCs/>
          <w:kern w:val="2"/>
          <w:sz w:val="21"/>
          <w:szCs w:val="21"/>
          <w:u w:val="single"/>
          <w:lang w:eastAsia="zh-CN"/>
        </w:rPr>
        <w:t xml:space="preserve">监狱企业  </w:t>
      </w:r>
      <w:r>
        <w:rPr>
          <w:rFonts w:hint="eastAsia" w:ascii="宋体" w:hAnsi="宋体" w:eastAsia="宋体" w:cstheme="minorBidi"/>
          <w:kern w:val="2"/>
          <w:sz w:val="21"/>
          <w:szCs w:val="21"/>
          <w:lang w:eastAsia="zh-CN"/>
        </w:rPr>
        <w:t>。</w:t>
      </w:r>
    </w:p>
    <w:p w14:paraId="506F7A36">
      <w:pPr>
        <w:widowControl w:val="0"/>
        <w:spacing w:line="360" w:lineRule="auto"/>
        <w:ind w:firstLine="420" w:firstLineChars="200"/>
        <w:jc w:val="both"/>
        <w:rPr>
          <w:rFonts w:hint="eastAsia" w:ascii="宋体" w:hAnsi="宋体" w:eastAsia="宋体" w:cstheme="minorBidi"/>
          <w:kern w:val="2"/>
          <w:sz w:val="21"/>
          <w:szCs w:val="21"/>
          <w:lang w:eastAsia="zh-CN"/>
        </w:rPr>
      </w:pPr>
      <w:r>
        <w:rPr>
          <w:rFonts w:ascii="宋体" w:hAnsi="宋体" w:eastAsia="宋体" w:cstheme="minorBidi"/>
          <w:kern w:val="2"/>
          <w:sz w:val="21"/>
          <w:szCs w:val="21"/>
          <w:lang w:eastAsia="zh-CN"/>
        </w:rPr>
        <w:t xml:space="preserve">…… </w:t>
      </w:r>
    </w:p>
    <w:p w14:paraId="1AC973FD">
      <w:pPr>
        <w:widowControl w:val="0"/>
        <w:spacing w:line="360" w:lineRule="auto"/>
        <w:ind w:firstLine="420" w:firstLineChars="200"/>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本</w:t>
      </w:r>
      <w:r>
        <w:rPr>
          <w:rFonts w:hint="eastAsia" w:ascii="宋体" w:hAnsi="宋体" w:eastAsia="宋体" w:cstheme="minorBidi"/>
          <w:kern w:val="2"/>
          <w:sz w:val="21"/>
          <w:szCs w:val="21"/>
          <w:lang w:eastAsia="zh-CN"/>
        </w:rPr>
        <w:t>投标人</w:t>
      </w:r>
      <w:r>
        <w:rPr>
          <w:rFonts w:ascii="宋体" w:hAnsi="宋体" w:eastAsia="宋体" w:cstheme="minorBidi"/>
          <w:kern w:val="2"/>
          <w:sz w:val="21"/>
          <w:szCs w:val="21"/>
          <w:lang w:eastAsia="zh-CN"/>
        </w:rPr>
        <w:t>对上述声明内容的真实性负责。如有虚假，将依法承担相应责任。</w:t>
      </w:r>
    </w:p>
    <w:p w14:paraId="2660E68F">
      <w:pPr>
        <w:widowControl w:val="0"/>
        <w:spacing w:line="360" w:lineRule="auto"/>
        <w:ind w:firstLine="420" w:firstLineChars="200"/>
        <w:jc w:val="both"/>
        <w:rPr>
          <w:rFonts w:ascii="Calibri" w:hAnsi="Calibri" w:eastAsia="宋体"/>
          <w:b/>
          <w:bCs/>
          <w:color w:val="FF0000"/>
          <w:kern w:val="2"/>
          <w:sz w:val="21"/>
          <w:szCs w:val="21"/>
          <w:lang w:eastAsia="zh-CN"/>
        </w:rPr>
      </w:pPr>
      <w:r>
        <w:rPr>
          <w:rFonts w:hint="eastAsia" w:ascii="宋体" w:hAnsi="宋体" w:eastAsia="宋体" w:cstheme="minorBidi"/>
          <w:kern w:val="2"/>
          <w:sz w:val="21"/>
          <w:szCs w:val="21"/>
          <w:lang w:eastAsia="zh-CN"/>
        </w:rPr>
        <w:t>附：省级以上监狱管理局、戒毒管理局（含新疆生产建设兵团）出具的监狱企业证明文件。</w:t>
      </w:r>
      <w:bookmarkEnd w:id="28"/>
    </w:p>
    <w:p w14:paraId="18A4A62E">
      <w:pPr>
        <w:keepNext/>
        <w:keepLines/>
        <w:widowControl w:val="0"/>
        <w:spacing w:before="260" w:after="260" w:line="240" w:lineRule="auto"/>
        <w:jc w:val="center"/>
        <w:outlineLvl w:val="2"/>
        <w:rPr>
          <w:rFonts w:hint="eastAsia" w:ascii="黑体" w:hAnsi="宋体" w:eastAsia="黑体" w:cstheme="minorBidi"/>
          <w:bCs/>
          <w:kern w:val="2"/>
          <w:lang w:eastAsia="zh-CN"/>
        </w:rPr>
      </w:pPr>
      <w:r>
        <w:rPr>
          <w:rFonts w:hint="eastAsia" w:ascii="黑体" w:hAnsi="宋体" w:eastAsia="黑体" w:cstheme="minorBidi"/>
          <w:bCs/>
          <w:kern w:val="2"/>
          <w:lang w:eastAsia="zh-CN"/>
        </w:rPr>
        <w:t>四、分项报价清单</w:t>
      </w:r>
    </w:p>
    <w:p w14:paraId="06923DD3">
      <w:pPr>
        <w:widowControl w:val="0"/>
        <w:spacing w:after="78" w:afterLines="25" w:line="300" w:lineRule="auto"/>
        <w:jc w:val="both"/>
        <w:rPr>
          <w:rFonts w:ascii="Arial" w:hAnsi="Arial" w:eastAsia="宋体" w:cs="Arial"/>
          <w:kern w:val="2"/>
          <w:sz w:val="21"/>
          <w:lang w:eastAsia="zh-CN"/>
        </w:rPr>
      </w:pPr>
      <w:r>
        <w:rPr>
          <w:rFonts w:hint="eastAsia" w:ascii="Arial" w:hAnsi="Arial" w:eastAsia="宋体" w:cs="Arial"/>
          <w:color w:val="000000"/>
          <w:kern w:val="2"/>
          <w:sz w:val="21"/>
          <w:lang w:eastAsia="zh-CN"/>
        </w:rPr>
        <w:t>投标单位（投标人）名称：</w:t>
      </w:r>
      <w:r>
        <w:rPr>
          <w:rFonts w:ascii="Arial" w:hAnsi="Arial" w:eastAsia="宋体" w:cs="Arial"/>
          <w:color w:val="000000"/>
          <w:kern w:val="2"/>
          <w:sz w:val="21"/>
          <w:u w:val="single"/>
          <w:lang w:eastAsia="zh-CN"/>
        </w:rPr>
        <w:t xml:space="preserve">                          </w:t>
      </w:r>
    </w:p>
    <w:p w14:paraId="52BDE92F">
      <w:pPr>
        <w:tabs>
          <w:tab w:val="left" w:pos="720"/>
        </w:tabs>
        <w:spacing w:line="360" w:lineRule="auto"/>
        <w:rPr>
          <w:rFonts w:ascii="宋体" w:hAnsi="宋体" w:cs="宋体"/>
          <w:b/>
          <w:sz w:val="24"/>
        </w:rPr>
      </w:pPr>
      <w:r>
        <w:rPr>
          <w:rFonts w:hint="eastAsia" w:ascii="宋体" w:hAnsi="宋体" w:cs="宋体"/>
          <w:b/>
          <w:sz w:val="24"/>
        </w:rPr>
        <w:t>（一）分项报价表</w:t>
      </w:r>
    </w:p>
    <w:tbl>
      <w:tblPr>
        <w:tblStyle w:val="13"/>
        <w:tblW w:w="5000" w:type="pct"/>
        <w:jc w:val="center"/>
        <w:tblLayout w:type="autofit"/>
        <w:tblCellMar>
          <w:top w:w="0" w:type="dxa"/>
          <w:left w:w="108" w:type="dxa"/>
          <w:bottom w:w="0" w:type="dxa"/>
          <w:right w:w="108" w:type="dxa"/>
        </w:tblCellMar>
      </w:tblPr>
      <w:tblGrid>
        <w:gridCol w:w="765"/>
        <w:gridCol w:w="4914"/>
        <w:gridCol w:w="767"/>
        <w:gridCol w:w="767"/>
        <w:gridCol w:w="1643"/>
      </w:tblGrid>
      <w:tr w14:paraId="38F2F58D">
        <w:tblPrEx>
          <w:tblCellMar>
            <w:top w:w="0" w:type="dxa"/>
            <w:left w:w="108" w:type="dxa"/>
            <w:bottom w:w="0" w:type="dxa"/>
            <w:right w:w="108" w:type="dxa"/>
          </w:tblCellMar>
        </w:tblPrEx>
        <w:trPr>
          <w:trHeight w:val="622"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14:paraId="1664CCD6">
            <w:pPr>
              <w:widowControl/>
              <w:spacing w:line="360" w:lineRule="auto"/>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序号</w:t>
            </w:r>
          </w:p>
        </w:tc>
        <w:tc>
          <w:tcPr>
            <w:tcW w:w="2773" w:type="pct"/>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14:paraId="7B6AA2AF">
            <w:pPr>
              <w:widowControl/>
              <w:spacing w:line="360" w:lineRule="auto"/>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货物名称</w:t>
            </w:r>
          </w:p>
        </w:tc>
        <w:tc>
          <w:tcPr>
            <w:tcW w:w="433" w:type="pct"/>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14:paraId="120AE76A">
            <w:pPr>
              <w:widowControl/>
              <w:spacing w:line="360" w:lineRule="auto"/>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数量</w:t>
            </w:r>
          </w:p>
        </w:tc>
        <w:tc>
          <w:tcPr>
            <w:tcW w:w="433" w:type="pct"/>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14:paraId="01C17B96">
            <w:pPr>
              <w:widowControl/>
              <w:spacing w:line="360" w:lineRule="auto"/>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kern w:val="0"/>
                <w:szCs w:val="21"/>
              </w:rPr>
              <w:t>单位</w:t>
            </w:r>
          </w:p>
        </w:tc>
        <w:tc>
          <w:tcPr>
            <w:tcW w:w="927" w:type="pct"/>
            <w:tcBorders>
              <w:top w:val="single" w:color="000000" w:sz="4" w:space="0"/>
              <w:left w:val="single" w:color="000000" w:sz="4" w:space="0"/>
              <w:bottom w:val="single" w:color="000000" w:sz="4" w:space="0"/>
              <w:right w:val="single" w:color="000000" w:sz="4" w:space="0"/>
            </w:tcBorders>
            <w:shd w:val="clear" w:color="auto" w:fill="8DB3E2" w:themeFill="text2" w:themeFillTint="66"/>
            <w:noWrap/>
            <w:vAlign w:val="center"/>
          </w:tcPr>
          <w:p w14:paraId="0674567A">
            <w:pPr>
              <w:widowControl/>
              <w:spacing w:line="360" w:lineRule="auto"/>
              <w:jc w:val="center"/>
              <w:textAlignment w:val="center"/>
              <w:rPr>
                <w:rFonts w:hint="eastAsia" w:asciiTheme="minorEastAsia" w:hAnsiTheme="minorEastAsia" w:eastAsiaTheme="minorEastAsia" w:cstheme="minorEastAsia"/>
                <w:b/>
                <w:bCs/>
                <w:color w:val="000000"/>
                <w:szCs w:val="21"/>
                <w:lang w:eastAsia="zh-CN"/>
              </w:rPr>
            </w:pPr>
            <w:r>
              <w:rPr>
                <w:rFonts w:hint="eastAsia" w:asciiTheme="minorEastAsia" w:hAnsiTheme="minorEastAsia" w:eastAsiaTheme="minorEastAsia" w:cstheme="minorEastAsia"/>
                <w:b/>
                <w:bCs/>
                <w:color w:val="000000"/>
                <w:kern w:val="0"/>
                <w:szCs w:val="21"/>
              </w:rPr>
              <w:t>报价</w:t>
            </w:r>
            <w:r>
              <w:rPr>
                <w:rFonts w:hint="eastAsia" w:asciiTheme="minorEastAsia" w:hAnsiTheme="minorEastAsia" w:eastAsiaTheme="minorEastAsia" w:cstheme="minorEastAsia"/>
                <w:b/>
                <w:bCs/>
                <w:color w:val="000000"/>
                <w:kern w:val="0"/>
                <w:szCs w:val="21"/>
                <w:lang w:eastAsia="zh-CN"/>
              </w:rPr>
              <w:t>（</w:t>
            </w:r>
            <w:r>
              <w:rPr>
                <w:rFonts w:hint="eastAsia" w:asciiTheme="minorEastAsia" w:hAnsiTheme="minorEastAsia" w:eastAsiaTheme="minorEastAsia" w:cstheme="minorEastAsia"/>
                <w:b/>
                <w:bCs/>
                <w:color w:val="000000"/>
                <w:kern w:val="0"/>
                <w:szCs w:val="21"/>
                <w:lang w:val="en-US" w:eastAsia="zh-CN"/>
              </w:rPr>
              <w:t>元</w:t>
            </w:r>
            <w:bookmarkStart w:id="106" w:name="_GoBack"/>
            <w:bookmarkEnd w:id="106"/>
            <w:r>
              <w:rPr>
                <w:rFonts w:hint="eastAsia" w:asciiTheme="minorEastAsia" w:hAnsiTheme="minorEastAsia" w:eastAsiaTheme="minorEastAsia" w:cstheme="minorEastAsia"/>
                <w:b/>
                <w:bCs/>
                <w:color w:val="000000"/>
                <w:kern w:val="0"/>
                <w:szCs w:val="21"/>
                <w:lang w:eastAsia="zh-CN"/>
              </w:rPr>
              <w:t>）</w:t>
            </w:r>
          </w:p>
        </w:tc>
      </w:tr>
      <w:tr w14:paraId="19982DAE">
        <w:tblPrEx>
          <w:tblCellMar>
            <w:top w:w="0" w:type="dxa"/>
            <w:left w:w="108" w:type="dxa"/>
            <w:bottom w:w="0" w:type="dxa"/>
            <w:right w:w="108" w:type="dxa"/>
          </w:tblCellMar>
        </w:tblPrEx>
        <w:trPr>
          <w:trHeight w:val="312"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4922F">
            <w:pPr>
              <w:widowControl/>
              <w:spacing w:line="360" w:lineRule="auto"/>
              <w:jc w:val="center"/>
              <w:textAlignment w:val="center"/>
              <w:rPr>
                <w:rFonts w:asciiTheme="minorEastAsia" w:hAnsiTheme="minorEastAsia" w:eastAsiaTheme="minorEastAsia" w:cstheme="minorEastAsia"/>
                <w:color w:val="000000"/>
                <w:szCs w:val="21"/>
              </w:rPr>
            </w:pPr>
            <w:r>
              <w:rPr>
                <w:rFonts w:hint="eastAsia" w:ascii="宋体" w:hAnsi="宋体" w:cs="宋体"/>
                <w:bCs/>
                <w:szCs w:val="21"/>
              </w:rPr>
              <w:t>1</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F6BB3">
            <w:pPr>
              <w:widowControl/>
              <w:spacing w:line="300" w:lineRule="auto"/>
              <w:jc w:val="center"/>
              <w:textAlignment w:val="center"/>
              <w:rPr>
                <w:rFonts w:ascii="宋体" w:hAnsi="宋体" w:cs="宋体"/>
                <w:szCs w:val="21"/>
              </w:rPr>
            </w:pPr>
            <w:r>
              <w:rPr>
                <w:rFonts w:hint="eastAsia" w:ascii="宋体" w:hAnsi="宋体" w:cs="宋体"/>
                <w:szCs w:val="21"/>
              </w:rPr>
              <w:t>智慧实验校级管理系统软件（物理、化学）</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4403A">
            <w:pPr>
              <w:widowControl/>
              <w:spacing w:line="300" w:lineRule="auto"/>
              <w:jc w:val="center"/>
              <w:textAlignment w:val="center"/>
              <w:rPr>
                <w:rFonts w:ascii="宋体" w:hAnsi="宋体" w:cs="宋体"/>
                <w:bCs/>
                <w:szCs w:val="21"/>
              </w:rPr>
            </w:pPr>
            <w:r>
              <w:rPr>
                <w:rFonts w:ascii="宋体" w:hAnsi="宋体"/>
                <w:bCs/>
                <w:szCs w:val="21"/>
              </w:rPr>
              <w:t>2</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8460E">
            <w:pPr>
              <w:widowControl/>
              <w:spacing w:line="300" w:lineRule="auto"/>
              <w:jc w:val="center"/>
              <w:textAlignment w:val="center"/>
              <w:rPr>
                <w:rFonts w:ascii="宋体" w:hAnsi="宋体" w:cs="宋体"/>
              </w:rPr>
            </w:pPr>
            <w:r>
              <w:rPr>
                <w:rFonts w:hint="eastAsia" w:ascii="宋体" w:hAnsi="宋体"/>
                <w:sz w:val="22"/>
              </w:rPr>
              <w:t>套</w:t>
            </w:r>
          </w:p>
        </w:tc>
        <w:tc>
          <w:tcPr>
            <w:tcW w:w="927" w:type="pct"/>
            <w:vMerge w:val="restart"/>
            <w:tcBorders>
              <w:top w:val="single" w:color="000000" w:sz="4" w:space="0"/>
              <w:left w:val="single" w:color="000000" w:sz="4" w:space="0"/>
              <w:right w:val="single" w:color="000000" w:sz="4" w:space="0"/>
            </w:tcBorders>
            <w:shd w:val="clear" w:color="auto" w:fill="auto"/>
            <w:noWrap/>
            <w:vAlign w:val="center"/>
          </w:tcPr>
          <w:p w14:paraId="3F4A33E0">
            <w:pPr>
              <w:spacing w:line="300" w:lineRule="auto"/>
              <w:jc w:val="center"/>
              <w:textAlignment w:val="center"/>
              <w:rPr>
                <w:rFonts w:ascii="宋体" w:hAnsi="宋体" w:cstheme="minorEastAsia"/>
                <w:szCs w:val="21"/>
              </w:rPr>
            </w:pPr>
          </w:p>
        </w:tc>
      </w:tr>
      <w:tr w14:paraId="034104A7">
        <w:tblPrEx>
          <w:tblCellMar>
            <w:top w:w="0" w:type="dxa"/>
            <w:left w:w="108" w:type="dxa"/>
            <w:bottom w:w="0" w:type="dxa"/>
            <w:right w:w="108" w:type="dxa"/>
          </w:tblCellMar>
        </w:tblPrEx>
        <w:trPr>
          <w:trHeight w:val="312"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EEB25">
            <w:pPr>
              <w:widowControl/>
              <w:spacing w:line="360" w:lineRule="auto"/>
              <w:jc w:val="center"/>
              <w:textAlignment w:val="center"/>
              <w:rPr>
                <w:rFonts w:asciiTheme="minorEastAsia" w:hAnsiTheme="minorEastAsia" w:eastAsiaTheme="minorEastAsia" w:cstheme="minorEastAsia"/>
                <w:color w:val="000000"/>
                <w:szCs w:val="21"/>
              </w:rPr>
            </w:pPr>
            <w:r>
              <w:rPr>
                <w:rFonts w:ascii="宋体" w:hAnsi="宋体" w:cs="宋体"/>
                <w:bCs/>
                <w:szCs w:val="21"/>
              </w:rPr>
              <w:t>2</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3A02">
            <w:pPr>
              <w:widowControl/>
              <w:spacing w:line="300" w:lineRule="auto"/>
              <w:jc w:val="center"/>
              <w:textAlignment w:val="center"/>
              <w:rPr>
                <w:rFonts w:ascii="宋体" w:hAnsi="宋体" w:cs="宋体"/>
                <w:szCs w:val="21"/>
              </w:rPr>
            </w:pPr>
            <w:r>
              <w:rPr>
                <w:rFonts w:hint="eastAsia" w:ascii="宋体" w:hAnsi="宋体" w:cs="宋体"/>
                <w:szCs w:val="21"/>
              </w:rPr>
              <w:t>考试AI评分系统</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CF2E">
            <w:pPr>
              <w:widowControl/>
              <w:spacing w:line="300" w:lineRule="auto"/>
              <w:jc w:val="center"/>
              <w:textAlignment w:val="center"/>
              <w:rPr>
                <w:rFonts w:ascii="宋体" w:hAnsi="宋体" w:cs="宋体"/>
                <w:bCs/>
                <w:szCs w:val="21"/>
              </w:rPr>
            </w:pPr>
            <w:r>
              <w:rPr>
                <w:rFonts w:ascii="宋体" w:hAnsi="宋体"/>
                <w:bCs/>
                <w:szCs w:val="21"/>
              </w:rPr>
              <w:t>2</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12808">
            <w:pPr>
              <w:widowControl/>
              <w:spacing w:line="300" w:lineRule="auto"/>
              <w:jc w:val="center"/>
              <w:textAlignment w:val="center"/>
              <w:rPr>
                <w:rFonts w:ascii="宋体" w:hAnsi="宋体" w:cs="宋体"/>
              </w:rPr>
            </w:pPr>
            <w:r>
              <w:rPr>
                <w:rFonts w:hint="eastAsia" w:ascii="宋体" w:hAnsi="宋体"/>
                <w:sz w:val="22"/>
              </w:rPr>
              <w:t>套</w:t>
            </w:r>
          </w:p>
        </w:tc>
        <w:tc>
          <w:tcPr>
            <w:tcW w:w="927" w:type="pct"/>
            <w:vMerge w:val="continue"/>
            <w:tcBorders>
              <w:left w:val="single" w:color="000000" w:sz="4" w:space="0"/>
              <w:right w:val="single" w:color="000000" w:sz="4" w:space="0"/>
            </w:tcBorders>
            <w:shd w:val="clear" w:color="auto" w:fill="auto"/>
            <w:noWrap/>
            <w:vAlign w:val="center"/>
          </w:tcPr>
          <w:p w14:paraId="0E42EBF8">
            <w:pPr>
              <w:spacing w:line="300" w:lineRule="auto"/>
              <w:jc w:val="center"/>
              <w:textAlignment w:val="center"/>
              <w:rPr>
                <w:rFonts w:ascii="宋体" w:hAnsi="宋体" w:cstheme="minorEastAsia"/>
                <w:szCs w:val="21"/>
              </w:rPr>
            </w:pPr>
          </w:p>
        </w:tc>
      </w:tr>
      <w:tr w14:paraId="33C7F110">
        <w:tblPrEx>
          <w:tblCellMar>
            <w:top w:w="0" w:type="dxa"/>
            <w:left w:w="108" w:type="dxa"/>
            <w:bottom w:w="0" w:type="dxa"/>
            <w:right w:w="108" w:type="dxa"/>
          </w:tblCellMar>
        </w:tblPrEx>
        <w:trPr>
          <w:trHeight w:val="312"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BA68">
            <w:pPr>
              <w:widowControl/>
              <w:spacing w:line="360" w:lineRule="auto"/>
              <w:jc w:val="center"/>
              <w:textAlignment w:val="center"/>
              <w:rPr>
                <w:rFonts w:asciiTheme="minorEastAsia" w:hAnsiTheme="minorEastAsia" w:eastAsiaTheme="minorEastAsia" w:cstheme="minorEastAsia"/>
                <w:color w:val="000000"/>
                <w:szCs w:val="21"/>
              </w:rPr>
            </w:pPr>
            <w:r>
              <w:rPr>
                <w:rFonts w:hint="eastAsia" w:ascii="宋体" w:hAnsi="宋体" w:cs="宋体"/>
                <w:bCs/>
                <w:szCs w:val="21"/>
              </w:rPr>
              <w:t>3</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F95AA">
            <w:pPr>
              <w:widowControl/>
              <w:spacing w:line="300" w:lineRule="auto"/>
              <w:jc w:val="center"/>
              <w:textAlignment w:val="center"/>
              <w:rPr>
                <w:rFonts w:hint="eastAsia" w:ascii="宋体" w:hAnsi="宋体"/>
                <w:b/>
                <w:bCs/>
                <w:color w:val="FF0000"/>
              </w:rPr>
            </w:pPr>
            <w:r>
              <w:rPr>
                <w:rFonts w:hint="eastAsia" w:ascii="宋体" w:hAnsi="宋体"/>
                <w:b/>
                <w:bCs/>
                <w:color w:val="FF0000"/>
              </w:rPr>
              <w:t>智能实验终端</w:t>
            </w:r>
          </w:p>
          <w:p w14:paraId="10FB6605">
            <w:pPr>
              <w:widowControl/>
              <w:spacing w:line="300" w:lineRule="auto"/>
              <w:jc w:val="center"/>
              <w:textAlignment w:val="center"/>
              <w:rPr>
                <w:rFonts w:ascii="宋体" w:hAnsi="宋体" w:cs="宋体"/>
                <w:szCs w:val="21"/>
              </w:rPr>
            </w:pPr>
            <w:r>
              <w:rPr>
                <w:rFonts w:hint="eastAsia" w:ascii="宋体" w:hAnsi="宋体"/>
                <w:b/>
                <w:bCs/>
                <w:color w:val="FF0000"/>
              </w:rPr>
              <w:t>（核心产品）</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9EBF">
            <w:pPr>
              <w:widowControl/>
              <w:spacing w:line="300" w:lineRule="auto"/>
              <w:jc w:val="center"/>
              <w:textAlignment w:val="center"/>
              <w:rPr>
                <w:rFonts w:ascii="宋体" w:hAnsi="宋体" w:cs="宋体"/>
                <w:bCs/>
                <w:szCs w:val="21"/>
              </w:rPr>
            </w:pPr>
            <w:r>
              <w:rPr>
                <w:rFonts w:ascii="宋体" w:hAnsi="宋体"/>
                <w:sz w:val="22"/>
              </w:rPr>
              <w:t>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53E8">
            <w:pPr>
              <w:widowControl/>
              <w:spacing w:line="300" w:lineRule="auto"/>
              <w:jc w:val="center"/>
              <w:textAlignment w:val="center"/>
              <w:rPr>
                <w:rFonts w:ascii="宋体" w:hAnsi="宋体" w:cs="宋体"/>
              </w:rPr>
            </w:pPr>
            <w:r>
              <w:rPr>
                <w:rFonts w:hint="eastAsia" w:ascii="宋体" w:hAnsi="宋体"/>
                <w:sz w:val="22"/>
              </w:rPr>
              <w:t>台</w:t>
            </w:r>
          </w:p>
        </w:tc>
        <w:tc>
          <w:tcPr>
            <w:tcW w:w="927" w:type="pct"/>
            <w:vMerge w:val="continue"/>
            <w:tcBorders>
              <w:left w:val="single" w:color="000000" w:sz="4" w:space="0"/>
              <w:right w:val="single" w:color="000000" w:sz="4" w:space="0"/>
            </w:tcBorders>
            <w:shd w:val="clear" w:color="auto" w:fill="auto"/>
            <w:noWrap/>
            <w:vAlign w:val="center"/>
          </w:tcPr>
          <w:p w14:paraId="6AF89254">
            <w:pPr>
              <w:spacing w:line="300" w:lineRule="auto"/>
              <w:jc w:val="center"/>
              <w:textAlignment w:val="center"/>
              <w:rPr>
                <w:rFonts w:ascii="宋体" w:hAnsi="宋体" w:cstheme="minorEastAsia"/>
                <w:szCs w:val="21"/>
              </w:rPr>
            </w:pPr>
          </w:p>
        </w:tc>
      </w:tr>
      <w:tr w14:paraId="206E96B6">
        <w:tblPrEx>
          <w:tblCellMar>
            <w:top w:w="0" w:type="dxa"/>
            <w:left w:w="108" w:type="dxa"/>
            <w:bottom w:w="0" w:type="dxa"/>
            <w:right w:w="108" w:type="dxa"/>
          </w:tblCellMar>
        </w:tblPrEx>
        <w:trPr>
          <w:trHeight w:val="312"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3635F">
            <w:pPr>
              <w:widowControl/>
              <w:spacing w:line="360" w:lineRule="auto"/>
              <w:jc w:val="center"/>
              <w:textAlignment w:val="center"/>
              <w:rPr>
                <w:rFonts w:asciiTheme="minorEastAsia" w:hAnsiTheme="minorEastAsia" w:eastAsiaTheme="minorEastAsia" w:cstheme="minorEastAsia"/>
                <w:color w:val="000000"/>
                <w:szCs w:val="21"/>
              </w:rPr>
            </w:pPr>
            <w:r>
              <w:rPr>
                <w:rFonts w:hint="eastAsia" w:ascii="宋体" w:hAnsi="宋体" w:cs="宋体"/>
                <w:bCs/>
                <w:szCs w:val="21"/>
              </w:rPr>
              <w:t>4</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ACF6E">
            <w:pPr>
              <w:widowControl/>
              <w:spacing w:line="300" w:lineRule="auto"/>
              <w:jc w:val="center"/>
              <w:textAlignment w:val="center"/>
              <w:rPr>
                <w:rFonts w:ascii="宋体" w:hAnsi="宋体" w:cs="宋体"/>
                <w:szCs w:val="21"/>
              </w:rPr>
            </w:pPr>
            <w:r>
              <w:rPr>
                <w:rFonts w:hint="eastAsia" w:ascii="宋体" w:hAnsi="宋体"/>
              </w:rPr>
              <w:t>智能实验终端软件</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CD72D">
            <w:pPr>
              <w:widowControl/>
              <w:spacing w:line="300" w:lineRule="auto"/>
              <w:jc w:val="center"/>
              <w:textAlignment w:val="center"/>
              <w:rPr>
                <w:rFonts w:ascii="宋体" w:hAnsi="宋体" w:cs="宋体"/>
                <w:bCs/>
                <w:szCs w:val="21"/>
              </w:rPr>
            </w:pPr>
            <w:r>
              <w:rPr>
                <w:rFonts w:ascii="宋体" w:hAnsi="宋体"/>
                <w:sz w:val="22"/>
              </w:rPr>
              <w:t>50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4CC9B">
            <w:pPr>
              <w:widowControl/>
              <w:spacing w:line="300" w:lineRule="auto"/>
              <w:jc w:val="center"/>
              <w:textAlignment w:val="center"/>
              <w:rPr>
                <w:rFonts w:ascii="宋体" w:hAnsi="宋体" w:cs="宋体"/>
              </w:rPr>
            </w:pPr>
            <w:r>
              <w:rPr>
                <w:rFonts w:hint="eastAsia" w:ascii="宋体" w:hAnsi="宋体"/>
                <w:sz w:val="22"/>
              </w:rPr>
              <w:t>项</w:t>
            </w:r>
          </w:p>
        </w:tc>
        <w:tc>
          <w:tcPr>
            <w:tcW w:w="927" w:type="pct"/>
            <w:vMerge w:val="continue"/>
            <w:tcBorders>
              <w:left w:val="single" w:color="000000" w:sz="4" w:space="0"/>
              <w:right w:val="single" w:color="000000" w:sz="4" w:space="0"/>
            </w:tcBorders>
            <w:shd w:val="clear" w:color="auto" w:fill="auto"/>
            <w:noWrap/>
            <w:vAlign w:val="center"/>
          </w:tcPr>
          <w:p w14:paraId="5E5C47AD">
            <w:pPr>
              <w:spacing w:line="300" w:lineRule="auto"/>
              <w:jc w:val="center"/>
              <w:textAlignment w:val="center"/>
              <w:rPr>
                <w:rFonts w:ascii="宋体" w:hAnsi="宋体" w:cstheme="minorEastAsia"/>
                <w:szCs w:val="21"/>
              </w:rPr>
            </w:pPr>
          </w:p>
        </w:tc>
      </w:tr>
      <w:tr w14:paraId="3051494A">
        <w:tblPrEx>
          <w:tblCellMar>
            <w:top w:w="0" w:type="dxa"/>
            <w:left w:w="108" w:type="dxa"/>
            <w:bottom w:w="0" w:type="dxa"/>
            <w:right w:w="108" w:type="dxa"/>
          </w:tblCellMar>
        </w:tblPrEx>
        <w:trPr>
          <w:trHeight w:val="312"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994EA">
            <w:pPr>
              <w:widowControl/>
              <w:spacing w:line="360" w:lineRule="auto"/>
              <w:jc w:val="center"/>
              <w:textAlignment w:val="center"/>
              <w:rPr>
                <w:rFonts w:asciiTheme="minorEastAsia" w:hAnsiTheme="minorEastAsia" w:eastAsiaTheme="minorEastAsia" w:cstheme="minorEastAsia"/>
                <w:color w:val="000000"/>
                <w:szCs w:val="21"/>
              </w:rPr>
            </w:pPr>
            <w:r>
              <w:rPr>
                <w:rFonts w:hint="eastAsia" w:ascii="宋体" w:hAnsi="宋体" w:cs="宋体"/>
                <w:bCs/>
                <w:szCs w:val="21"/>
              </w:rPr>
              <w:t>5</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8D411">
            <w:pPr>
              <w:widowControl/>
              <w:spacing w:line="300" w:lineRule="auto"/>
              <w:jc w:val="center"/>
              <w:textAlignment w:val="center"/>
              <w:rPr>
                <w:rFonts w:ascii="宋体" w:hAnsi="宋体" w:cs="宋体"/>
                <w:szCs w:val="21"/>
              </w:rPr>
            </w:pPr>
            <w:r>
              <w:rPr>
                <w:rFonts w:hint="eastAsia" w:ascii="宋体" w:hAnsi="宋体"/>
              </w:rPr>
              <w:t>考场交换机</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top"/>
          </w:tcPr>
          <w:p w14:paraId="56CC874E">
            <w:pPr>
              <w:widowControl/>
              <w:spacing w:line="300" w:lineRule="auto"/>
              <w:jc w:val="center"/>
              <w:textAlignment w:val="center"/>
              <w:rPr>
                <w:rFonts w:ascii="宋体" w:hAnsi="宋体" w:cs="宋体"/>
                <w:bCs/>
                <w:szCs w:val="21"/>
              </w:rPr>
            </w:pPr>
            <w:r>
              <w:rPr>
                <w:rFonts w:ascii="宋体" w:hAnsi="宋体"/>
                <w:bCs/>
                <w:szCs w:val="21"/>
              </w:rPr>
              <w:t>2</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D6EE3">
            <w:pPr>
              <w:widowControl/>
              <w:spacing w:line="300" w:lineRule="auto"/>
              <w:jc w:val="center"/>
              <w:textAlignment w:val="center"/>
              <w:rPr>
                <w:rFonts w:ascii="宋体" w:hAnsi="宋体" w:cs="宋体"/>
              </w:rPr>
            </w:pPr>
            <w:r>
              <w:rPr>
                <w:rFonts w:hint="eastAsia" w:ascii="宋体" w:hAnsi="宋体"/>
                <w:sz w:val="22"/>
              </w:rPr>
              <w:t>台</w:t>
            </w:r>
          </w:p>
        </w:tc>
        <w:tc>
          <w:tcPr>
            <w:tcW w:w="927" w:type="pct"/>
            <w:vMerge w:val="continue"/>
            <w:tcBorders>
              <w:left w:val="single" w:color="000000" w:sz="4" w:space="0"/>
              <w:right w:val="single" w:color="000000" w:sz="4" w:space="0"/>
            </w:tcBorders>
            <w:shd w:val="clear" w:color="auto" w:fill="auto"/>
            <w:noWrap/>
            <w:vAlign w:val="center"/>
          </w:tcPr>
          <w:p w14:paraId="79945DE5">
            <w:pPr>
              <w:spacing w:line="300" w:lineRule="auto"/>
              <w:jc w:val="center"/>
              <w:textAlignment w:val="center"/>
              <w:rPr>
                <w:rFonts w:ascii="宋体" w:hAnsi="宋体" w:cstheme="minorEastAsia"/>
                <w:szCs w:val="21"/>
              </w:rPr>
            </w:pPr>
          </w:p>
        </w:tc>
      </w:tr>
      <w:tr w14:paraId="21AEA0CB">
        <w:tblPrEx>
          <w:tblCellMar>
            <w:top w:w="0" w:type="dxa"/>
            <w:left w:w="108" w:type="dxa"/>
            <w:bottom w:w="0" w:type="dxa"/>
            <w:right w:w="108" w:type="dxa"/>
          </w:tblCellMar>
        </w:tblPrEx>
        <w:trPr>
          <w:trHeight w:val="312"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6A18C">
            <w:pPr>
              <w:widowControl/>
              <w:spacing w:line="360" w:lineRule="auto"/>
              <w:jc w:val="center"/>
              <w:textAlignment w:val="center"/>
              <w:rPr>
                <w:rFonts w:asciiTheme="minorEastAsia" w:hAnsiTheme="minorEastAsia" w:eastAsiaTheme="minorEastAsia" w:cstheme="minorEastAsia"/>
                <w:color w:val="000000"/>
                <w:szCs w:val="21"/>
              </w:rPr>
            </w:pPr>
            <w:r>
              <w:rPr>
                <w:rFonts w:hint="eastAsia" w:ascii="宋体" w:hAnsi="宋体" w:cs="宋体"/>
                <w:bCs/>
                <w:szCs w:val="21"/>
              </w:rPr>
              <w:t>6</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F6F3">
            <w:pPr>
              <w:widowControl/>
              <w:spacing w:line="300" w:lineRule="auto"/>
              <w:jc w:val="center"/>
              <w:textAlignment w:val="center"/>
              <w:rPr>
                <w:rFonts w:ascii="宋体" w:hAnsi="宋体" w:cs="宋体"/>
                <w:szCs w:val="21"/>
              </w:rPr>
            </w:pPr>
            <w:r>
              <w:rPr>
                <w:rFonts w:hint="eastAsia" w:ascii="宋体" w:hAnsi="宋体"/>
              </w:rPr>
              <w:t>小型机柜</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top"/>
          </w:tcPr>
          <w:p w14:paraId="36BDCCAF">
            <w:pPr>
              <w:widowControl/>
              <w:spacing w:line="300" w:lineRule="auto"/>
              <w:jc w:val="center"/>
              <w:textAlignment w:val="center"/>
              <w:rPr>
                <w:rFonts w:ascii="宋体" w:hAnsi="宋体" w:cs="宋体"/>
                <w:bCs/>
                <w:szCs w:val="21"/>
              </w:rPr>
            </w:pPr>
            <w:r>
              <w:rPr>
                <w:rFonts w:hint="eastAsia" w:ascii="宋体" w:hAnsi="宋体"/>
                <w:bCs/>
                <w:szCs w:val="21"/>
              </w:rPr>
              <w:t>2</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416CD">
            <w:pPr>
              <w:widowControl/>
              <w:spacing w:line="300" w:lineRule="auto"/>
              <w:jc w:val="center"/>
              <w:textAlignment w:val="center"/>
              <w:rPr>
                <w:rFonts w:ascii="宋体" w:hAnsi="宋体" w:cs="宋体"/>
              </w:rPr>
            </w:pPr>
            <w:r>
              <w:rPr>
                <w:rFonts w:hint="eastAsia" w:ascii="宋体" w:hAnsi="宋体"/>
                <w:sz w:val="22"/>
              </w:rPr>
              <w:t>个</w:t>
            </w:r>
          </w:p>
        </w:tc>
        <w:tc>
          <w:tcPr>
            <w:tcW w:w="927" w:type="pct"/>
            <w:vMerge w:val="continue"/>
            <w:tcBorders>
              <w:left w:val="single" w:color="000000" w:sz="4" w:space="0"/>
              <w:right w:val="single" w:color="000000" w:sz="4" w:space="0"/>
            </w:tcBorders>
            <w:shd w:val="clear" w:color="auto" w:fill="auto"/>
            <w:noWrap/>
            <w:vAlign w:val="center"/>
          </w:tcPr>
          <w:p w14:paraId="70418DE7">
            <w:pPr>
              <w:spacing w:line="300" w:lineRule="auto"/>
              <w:jc w:val="center"/>
              <w:textAlignment w:val="center"/>
              <w:rPr>
                <w:rFonts w:ascii="宋体" w:hAnsi="宋体" w:cstheme="minorEastAsia"/>
                <w:szCs w:val="21"/>
              </w:rPr>
            </w:pPr>
          </w:p>
        </w:tc>
      </w:tr>
      <w:tr w14:paraId="67954F03">
        <w:tblPrEx>
          <w:tblCellMar>
            <w:top w:w="0" w:type="dxa"/>
            <w:left w:w="108" w:type="dxa"/>
            <w:bottom w:w="0" w:type="dxa"/>
            <w:right w:w="108" w:type="dxa"/>
          </w:tblCellMar>
        </w:tblPrEx>
        <w:trPr>
          <w:trHeight w:val="312"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369B6">
            <w:pPr>
              <w:widowControl/>
              <w:spacing w:line="360" w:lineRule="auto"/>
              <w:jc w:val="center"/>
              <w:textAlignment w:val="center"/>
              <w:rPr>
                <w:rFonts w:asciiTheme="minorEastAsia" w:hAnsiTheme="minorEastAsia" w:eastAsiaTheme="minorEastAsia" w:cstheme="minorEastAsia"/>
                <w:color w:val="000000"/>
                <w:szCs w:val="21"/>
              </w:rPr>
            </w:pPr>
            <w:r>
              <w:rPr>
                <w:rFonts w:hint="eastAsia" w:ascii="宋体" w:hAnsi="宋体" w:cs="宋体"/>
                <w:bCs/>
                <w:szCs w:val="21"/>
              </w:rPr>
              <w:t>7</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F6F1">
            <w:pPr>
              <w:widowControl/>
              <w:spacing w:line="300" w:lineRule="auto"/>
              <w:jc w:val="center"/>
              <w:textAlignment w:val="center"/>
              <w:rPr>
                <w:rFonts w:ascii="宋体" w:hAnsi="宋体" w:cs="宋体"/>
                <w:szCs w:val="21"/>
              </w:rPr>
            </w:pPr>
            <w:r>
              <w:rPr>
                <w:rFonts w:hint="eastAsia" w:ascii="宋体" w:hAnsi="宋体"/>
              </w:rPr>
              <w:t>移动硬盘</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top"/>
          </w:tcPr>
          <w:p w14:paraId="431C86D5">
            <w:pPr>
              <w:widowControl/>
              <w:spacing w:line="300" w:lineRule="auto"/>
              <w:jc w:val="center"/>
              <w:textAlignment w:val="center"/>
              <w:rPr>
                <w:rFonts w:ascii="宋体" w:hAnsi="宋体" w:cs="宋体"/>
                <w:bCs/>
                <w:szCs w:val="21"/>
              </w:rPr>
            </w:pPr>
            <w:r>
              <w:rPr>
                <w:rFonts w:hint="eastAsia" w:ascii="宋体" w:hAnsi="宋体"/>
                <w:bCs/>
                <w:szCs w:val="21"/>
              </w:rPr>
              <w:t>2</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99C8C">
            <w:pPr>
              <w:widowControl/>
              <w:spacing w:line="300" w:lineRule="auto"/>
              <w:jc w:val="center"/>
              <w:textAlignment w:val="center"/>
              <w:rPr>
                <w:rFonts w:ascii="宋体" w:hAnsi="宋体" w:cs="宋体"/>
              </w:rPr>
            </w:pPr>
            <w:r>
              <w:rPr>
                <w:rFonts w:hint="eastAsia" w:ascii="宋体" w:hAnsi="宋体"/>
                <w:sz w:val="22"/>
              </w:rPr>
              <w:t>个</w:t>
            </w:r>
          </w:p>
        </w:tc>
        <w:tc>
          <w:tcPr>
            <w:tcW w:w="927" w:type="pct"/>
            <w:vMerge w:val="continue"/>
            <w:tcBorders>
              <w:left w:val="single" w:color="000000" w:sz="4" w:space="0"/>
              <w:right w:val="single" w:color="000000" w:sz="4" w:space="0"/>
            </w:tcBorders>
            <w:shd w:val="clear" w:color="auto" w:fill="auto"/>
            <w:noWrap/>
            <w:vAlign w:val="center"/>
          </w:tcPr>
          <w:p w14:paraId="6E27186B">
            <w:pPr>
              <w:spacing w:line="300" w:lineRule="auto"/>
              <w:jc w:val="center"/>
              <w:textAlignment w:val="center"/>
              <w:rPr>
                <w:rFonts w:ascii="宋体" w:hAnsi="宋体" w:cstheme="minorEastAsia"/>
                <w:szCs w:val="21"/>
              </w:rPr>
            </w:pPr>
          </w:p>
        </w:tc>
      </w:tr>
      <w:tr w14:paraId="3BA45239">
        <w:tblPrEx>
          <w:tblCellMar>
            <w:top w:w="0" w:type="dxa"/>
            <w:left w:w="108" w:type="dxa"/>
            <w:bottom w:w="0" w:type="dxa"/>
            <w:right w:w="108" w:type="dxa"/>
          </w:tblCellMar>
        </w:tblPrEx>
        <w:trPr>
          <w:trHeight w:val="312"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D7C01">
            <w:pPr>
              <w:widowControl/>
              <w:spacing w:line="360" w:lineRule="auto"/>
              <w:jc w:val="center"/>
              <w:textAlignment w:val="center"/>
              <w:rPr>
                <w:rFonts w:asciiTheme="minorEastAsia" w:hAnsiTheme="minorEastAsia" w:eastAsiaTheme="minorEastAsia" w:cstheme="minorEastAsia"/>
                <w:color w:val="000000"/>
                <w:szCs w:val="21"/>
              </w:rPr>
            </w:pPr>
            <w:r>
              <w:rPr>
                <w:rFonts w:hint="eastAsia" w:ascii="宋体" w:hAnsi="宋体" w:cs="宋体"/>
                <w:bCs/>
                <w:szCs w:val="21"/>
              </w:rPr>
              <w:t>8</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top"/>
          </w:tcPr>
          <w:p w14:paraId="61E93CD4">
            <w:pPr>
              <w:widowControl/>
              <w:spacing w:line="300" w:lineRule="auto"/>
              <w:jc w:val="center"/>
              <w:textAlignment w:val="center"/>
              <w:rPr>
                <w:rFonts w:ascii="宋体" w:hAnsi="宋体" w:cs="宋体"/>
                <w:szCs w:val="21"/>
              </w:rPr>
            </w:pPr>
            <w:r>
              <w:rPr>
                <w:rFonts w:hint="eastAsia"/>
              </w:rPr>
              <w:t>考场监考专用管理主机</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top"/>
          </w:tcPr>
          <w:p w14:paraId="3EF9E2EF">
            <w:pPr>
              <w:widowControl/>
              <w:spacing w:line="300" w:lineRule="auto"/>
              <w:jc w:val="center"/>
              <w:textAlignment w:val="center"/>
              <w:rPr>
                <w:rFonts w:ascii="宋体" w:hAnsi="宋体" w:cs="宋体"/>
                <w:bCs/>
                <w:szCs w:val="21"/>
              </w:rPr>
            </w:pPr>
            <w:r>
              <w:rPr>
                <w:rFonts w:hint="eastAsia" w:ascii="宋体" w:hAnsi="宋体"/>
                <w:bCs/>
                <w:szCs w:val="21"/>
              </w:rPr>
              <w:t>2</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34A5C">
            <w:pPr>
              <w:widowControl/>
              <w:spacing w:line="300" w:lineRule="auto"/>
              <w:jc w:val="center"/>
              <w:textAlignment w:val="center"/>
              <w:rPr>
                <w:rFonts w:ascii="宋体" w:hAnsi="宋体" w:cs="宋体"/>
              </w:rPr>
            </w:pPr>
            <w:r>
              <w:rPr>
                <w:rFonts w:hint="eastAsia" w:ascii="宋体" w:hAnsi="宋体"/>
                <w:sz w:val="22"/>
              </w:rPr>
              <w:t>台</w:t>
            </w:r>
          </w:p>
        </w:tc>
        <w:tc>
          <w:tcPr>
            <w:tcW w:w="927" w:type="pct"/>
            <w:vMerge w:val="continue"/>
            <w:tcBorders>
              <w:left w:val="single" w:color="000000" w:sz="4" w:space="0"/>
              <w:right w:val="single" w:color="000000" w:sz="4" w:space="0"/>
            </w:tcBorders>
            <w:shd w:val="clear" w:color="auto" w:fill="auto"/>
            <w:noWrap/>
            <w:vAlign w:val="center"/>
          </w:tcPr>
          <w:p w14:paraId="400F1657">
            <w:pPr>
              <w:spacing w:line="300" w:lineRule="auto"/>
              <w:jc w:val="center"/>
              <w:textAlignment w:val="center"/>
              <w:rPr>
                <w:rFonts w:ascii="宋体" w:hAnsi="宋体" w:cstheme="minorEastAsia"/>
                <w:szCs w:val="21"/>
              </w:rPr>
            </w:pPr>
          </w:p>
        </w:tc>
      </w:tr>
      <w:tr w14:paraId="6078AD56">
        <w:tblPrEx>
          <w:tblCellMar>
            <w:top w:w="0" w:type="dxa"/>
            <w:left w:w="108" w:type="dxa"/>
            <w:bottom w:w="0" w:type="dxa"/>
            <w:right w:w="108" w:type="dxa"/>
          </w:tblCellMar>
        </w:tblPrEx>
        <w:trPr>
          <w:trHeight w:val="312"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A00F6">
            <w:pPr>
              <w:widowControl/>
              <w:spacing w:line="360" w:lineRule="auto"/>
              <w:jc w:val="center"/>
              <w:textAlignment w:val="center"/>
              <w:rPr>
                <w:rFonts w:asciiTheme="minorEastAsia" w:hAnsiTheme="minorEastAsia" w:eastAsiaTheme="minorEastAsia" w:cstheme="minorEastAsia"/>
                <w:color w:val="000000"/>
                <w:szCs w:val="21"/>
              </w:rPr>
            </w:pPr>
            <w:r>
              <w:rPr>
                <w:rFonts w:hint="eastAsia" w:ascii="宋体" w:hAnsi="宋体" w:cs="宋体"/>
                <w:bCs/>
                <w:szCs w:val="21"/>
              </w:rPr>
              <w:t>9</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6BA9">
            <w:pPr>
              <w:widowControl/>
              <w:spacing w:line="300" w:lineRule="auto"/>
              <w:jc w:val="center"/>
              <w:textAlignment w:val="center"/>
              <w:rPr>
                <w:rFonts w:ascii="宋体" w:hAnsi="宋体" w:cs="宋体"/>
                <w:szCs w:val="21"/>
              </w:rPr>
            </w:pPr>
            <w:r>
              <w:rPr>
                <w:rFonts w:hint="eastAsia" w:ascii="宋体" w:hAnsi="宋体"/>
              </w:rPr>
              <w:t>供电专用主机</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top"/>
          </w:tcPr>
          <w:p w14:paraId="3D570485">
            <w:pPr>
              <w:widowControl/>
              <w:spacing w:line="300" w:lineRule="auto"/>
              <w:jc w:val="center"/>
              <w:textAlignment w:val="center"/>
              <w:rPr>
                <w:rFonts w:ascii="宋体" w:hAnsi="宋体" w:cs="宋体"/>
                <w:bCs/>
                <w:szCs w:val="21"/>
              </w:rPr>
            </w:pPr>
            <w:r>
              <w:rPr>
                <w:rFonts w:hint="eastAsia" w:ascii="宋体" w:hAnsi="宋体"/>
                <w:bCs/>
                <w:szCs w:val="21"/>
              </w:rPr>
              <w:t>2</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EF396">
            <w:pPr>
              <w:widowControl/>
              <w:spacing w:line="300" w:lineRule="auto"/>
              <w:jc w:val="center"/>
              <w:textAlignment w:val="center"/>
              <w:rPr>
                <w:rFonts w:ascii="宋体" w:hAnsi="宋体" w:cs="宋体"/>
              </w:rPr>
            </w:pPr>
            <w:r>
              <w:rPr>
                <w:rFonts w:hint="eastAsia" w:ascii="宋体" w:hAnsi="宋体"/>
                <w:sz w:val="22"/>
              </w:rPr>
              <w:t>套</w:t>
            </w:r>
          </w:p>
        </w:tc>
        <w:tc>
          <w:tcPr>
            <w:tcW w:w="927" w:type="pct"/>
            <w:vMerge w:val="continue"/>
            <w:tcBorders>
              <w:left w:val="single" w:color="000000" w:sz="4" w:space="0"/>
              <w:right w:val="single" w:color="000000" w:sz="4" w:space="0"/>
            </w:tcBorders>
            <w:shd w:val="clear" w:color="auto" w:fill="auto"/>
            <w:noWrap/>
            <w:vAlign w:val="center"/>
          </w:tcPr>
          <w:p w14:paraId="0FDFB159">
            <w:pPr>
              <w:spacing w:line="300" w:lineRule="auto"/>
              <w:jc w:val="center"/>
              <w:textAlignment w:val="center"/>
              <w:rPr>
                <w:rFonts w:ascii="宋体" w:hAnsi="宋体" w:cstheme="minorEastAsia"/>
                <w:szCs w:val="21"/>
              </w:rPr>
            </w:pPr>
          </w:p>
        </w:tc>
      </w:tr>
      <w:tr w14:paraId="6EBF5011">
        <w:tblPrEx>
          <w:tblCellMar>
            <w:top w:w="0" w:type="dxa"/>
            <w:left w:w="108" w:type="dxa"/>
            <w:bottom w:w="0" w:type="dxa"/>
            <w:right w:w="108" w:type="dxa"/>
          </w:tblCellMar>
        </w:tblPrEx>
        <w:trPr>
          <w:trHeight w:val="312"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3120">
            <w:pPr>
              <w:widowControl/>
              <w:spacing w:line="360" w:lineRule="auto"/>
              <w:jc w:val="center"/>
              <w:textAlignment w:val="center"/>
              <w:rPr>
                <w:rFonts w:asciiTheme="minorEastAsia" w:hAnsiTheme="minorEastAsia" w:eastAsiaTheme="minorEastAsia" w:cstheme="minorEastAsia"/>
                <w:color w:val="000000"/>
                <w:szCs w:val="21"/>
              </w:rPr>
            </w:pPr>
            <w:r>
              <w:rPr>
                <w:rFonts w:hint="eastAsia" w:ascii="宋体" w:hAnsi="宋体" w:cs="宋体"/>
                <w:bCs/>
                <w:szCs w:val="21"/>
              </w:rPr>
              <w:t>10</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540C8">
            <w:pPr>
              <w:widowControl/>
              <w:spacing w:line="300" w:lineRule="auto"/>
              <w:jc w:val="center"/>
              <w:textAlignment w:val="center"/>
              <w:rPr>
                <w:rFonts w:ascii="宋体" w:hAnsi="宋体" w:cs="宋体"/>
                <w:szCs w:val="21"/>
              </w:rPr>
            </w:pPr>
            <w:r>
              <w:rPr>
                <w:rFonts w:hint="eastAsia" w:ascii="宋体" w:hAnsi="宋体"/>
              </w:rPr>
              <w:t>信号屏蔽器</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top"/>
          </w:tcPr>
          <w:p w14:paraId="2F758AF1">
            <w:pPr>
              <w:widowControl/>
              <w:spacing w:line="300" w:lineRule="auto"/>
              <w:jc w:val="center"/>
              <w:textAlignment w:val="center"/>
              <w:rPr>
                <w:rFonts w:ascii="宋体" w:hAnsi="宋体" w:cs="宋体"/>
                <w:bCs/>
                <w:szCs w:val="21"/>
              </w:rPr>
            </w:pPr>
            <w:r>
              <w:rPr>
                <w:rFonts w:hint="eastAsia" w:ascii="宋体" w:hAnsi="宋体"/>
                <w:bCs/>
                <w:szCs w:val="21"/>
              </w:rPr>
              <w:t>2</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B094B">
            <w:pPr>
              <w:widowControl/>
              <w:spacing w:line="300" w:lineRule="auto"/>
              <w:jc w:val="center"/>
              <w:textAlignment w:val="center"/>
              <w:rPr>
                <w:rFonts w:ascii="宋体" w:hAnsi="宋体" w:cs="宋体"/>
              </w:rPr>
            </w:pPr>
            <w:r>
              <w:rPr>
                <w:rFonts w:hint="eastAsia" w:ascii="宋体" w:hAnsi="宋体"/>
                <w:sz w:val="22"/>
              </w:rPr>
              <w:t>台</w:t>
            </w:r>
          </w:p>
        </w:tc>
        <w:tc>
          <w:tcPr>
            <w:tcW w:w="927" w:type="pct"/>
            <w:vMerge w:val="continue"/>
            <w:tcBorders>
              <w:left w:val="single" w:color="000000" w:sz="4" w:space="0"/>
              <w:right w:val="single" w:color="000000" w:sz="4" w:space="0"/>
            </w:tcBorders>
            <w:shd w:val="clear" w:color="auto" w:fill="auto"/>
            <w:noWrap/>
            <w:vAlign w:val="center"/>
          </w:tcPr>
          <w:p w14:paraId="6E70F3A2">
            <w:pPr>
              <w:spacing w:line="300" w:lineRule="auto"/>
              <w:jc w:val="center"/>
              <w:textAlignment w:val="center"/>
              <w:rPr>
                <w:rFonts w:ascii="宋体" w:hAnsi="宋体" w:cstheme="minorEastAsia"/>
                <w:szCs w:val="21"/>
              </w:rPr>
            </w:pPr>
          </w:p>
        </w:tc>
      </w:tr>
      <w:tr w14:paraId="7D493B89">
        <w:tblPrEx>
          <w:tblCellMar>
            <w:top w:w="0" w:type="dxa"/>
            <w:left w:w="108" w:type="dxa"/>
            <w:bottom w:w="0" w:type="dxa"/>
            <w:right w:w="108" w:type="dxa"/>
          </w:tblCellMar>
        </w:tblPrEx>
        <w:trPr>
          <w:trHeight w:val="312"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9ACB6">
            <w:pPr>
              <w:widowControl/>
              <w:spacing w:line="360" w:lineRule="auto"/>
              <w:jc w:val="center"/>
              <w:textAlignment w:val="center"/>
              <w:rPr>
                <w:rFonts w:asciiTheme="minorEastAsia" w:hAnsiTheme="minorEastAsia" w:eastAsiaTheme="minorEastAsia" w:cstheme="minorEastAsia"/>
                <w:color w:val="000000"/>
                <w:szCs w:val="21"/>
              </w:rPr>
            </w:pPr>
            <w:r>
              <w:rPr>
                <w:rFonts w:hint="eastAsia" w:ascii="宋体" w:hAnsi="宋体" w:cs="宋体"/>
                <w:bCs/>
                <w:szCs w:val="21"/>
              </w:rPr>
              <w:t>11</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D180E">
            <w:pPr>
              <w:widowControl/>
              <w:spacing w:line="300" w:lineRule="auto"/>
              <w:jc w:val="center"/>
              <w:textAlignment w:val="center"/>
              <w:rPr>
                <w:rFonts w:ascii="宋体" w:hAnsi="宋体" w:cs="宋体"/>
                <w:szCs w:val="21"/>
              </w:rPr>
            </w:pPr>
            <w:r>
              <w:rPr>
                <w:rFonts w:hint="eastAsia" w:ascii="宋体" w:hAnsi="宋体" w:cs="宋体"/>
                <w:bCs/>
                <w:szCs w:val="21"/>
              </w:rPr>
              <w:t>巡考摄像头</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top"/>
          </w:tcPr>
          <w:p w14:paraId="18F2D6A3">
            <w:pPr>
              <w:widowControl/>
              <w:spacing w:line="300" w:lineRule="auto"/>
              <w:jc w:val="center"/>
              <w:textAlignment w:val="center"/>
              <w:rPr>
                <w:rFonts w:ascii="宋体" w:hAnsi="宋体" w:cs="宋体"/>
                <w:bCs/>
                <w:szCs w:val="21"/>
              </w:rPr>
            </w:pPr>
            <w:r>
              <w:rPr>
                <w:rFonts w:ascii="宋体" w:hAnsi="宋体"/>
                <w:bCs/>
                <w:szCs w:val="21"/>
              </w:rPr>
              <w:t>4</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CFEBD">
            <w:pPr>
              <w:widowControl/>
              <w:spacing w:line="300" w:lineRule="auto"/>
              <w:jc w:val="center"/>
              <w:textAlignment w:val="center"/>
              <w:rPr>
                <w:rFonts w:ascii="宋体" w:hAnsi="宋体" w:cs="宋体"/>
              </w:rPr>
            </w:pPr>
            <w:r>
              <w:rPr>
                <w:rFonts w:hint="eastAsia" w:ascii="宋体" w:hAnsi="宋体" w:cs="宋体"/>
                <w:bCs/>
                <w:szCs w:val="21"/>
              </w:rPr>
              <w:t>个</w:t>
            </w:r>
          </w:p>
        </w:tc>
        <w:tc>
          <w:tcPr>
            <w:tcW w:w="927" w:type="pct"/>
            <w:vMerge w:val="continue"/>
            <w:tcBorders>
              <w:left w:val="single" w:color="000000" w:sz="4" w:space="0"/>
              <w:right w:val="single" w:color="000000" w:sz="4" w:space="0"/>
            </w:tcBorders>
            <w:shd w:val="clear" w:color="auto" w:fill="auto"/>
            <w:noWrap/>
            <w:vAlign w:val="center"/>
          </w:tcPr>
          <w:p w14:paraId="6B1A4001">
            <w:pPr>
              <w:spacing w:line="300" w:lineRule="auto"/>
              <w:jc w:val="center"/>
              <w:textAlignment w:val="center"/>
              <w:rPr>
                <w:rFonts w:ascii="宋体" w:hAnsi="宋体" w:cstheme="minorEastAsia"/>
                <w:szCs w:val="21"/>
              </w:rPr>
            </w:pPr>
          </w:p>
        </w:tc>
      </w:tr>
      <w:tr w14:paraId="58717D73">
        <w:tblPrEx>
          <w:tblCellMar>
            <w:top w:w="0" w:type="dxa"/>
            <w:left w:w="108" w:type="dxa"/>
            <w:bottom w:w="0" w:type="dxa"/>
            <w:right w:w="108" w:type="dxa"/>
          </w:tblCellMar>
        </w:tblPrEx>
        <w:trPr>
          <w:trHeight w:val="312"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CBF6">
            <w:pPr>
              <w:widowControl/>
              <w:spacing w:line="360" w:lineRule="auto"/>
              <w:jc w:val="center"/>
              <w:textAlignment w:val="center"/>
              <w:rPr>
                <w:rFonts w:asciiTheme="minorEastAsia" w:hAnsiTheme="minorEastAsia" w:eastAsiaTheme="minorEastAsia" w:cstheme="minorEastAsia"/>
                <w:color w:val="000000"/>
                <w:szCs w:val="21"/>
              </w:rPr>
            </w:pPr>
            <w:r>
              <w:rPr>
                <w:rFonts w:ascii="宋体" w:hAnsi="宋体" w:cs="宋体"/>
                <w:bCs/>
                <w:szCs w:val="21"/>
              </w:rPr>
              <w:t>12</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056B5">
            <w:pPr>
              <w:widowControl/>
              <w:spacing w:line="300" w:lineRule="auto"/>
              <w:jc w:val="center"/>
              <w:textAlignment w:val="center"/>
              <w:rPr>
                <w:rFonts w:ascii="宋体" w:hAnsi="宋体" w:cs="宋体"/>
                <w:bCs/>
                <w:szCs w:val="21"/>
              </w:rPr>
            </w:pPr>
            <w:r>
              <w:rPr>
                <w:rFonts w:hint="eastAsia" w:ascii="宋体" w:hAnsi="宋体" w:cstheme="minorEastAsia"/>
                <w:color w:val="000000"/>
                <w:kern w:val="0"/>
                <w:szCs w:val="21"/>
              </w:rPr>
              <w:t>显卡</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top"/>
          </w:tcPr>
          <w:p w14:paraId="188D7C43">
            <w:pPr>
              <w:widowControl/>
              <w:spacing w:line="300" w:lineRule="auto"/>
              <w:jc w:val="center"/>
              <w:textAlignment w:val="center"/>
              <w:rPr>
                <w:rFonts w:ascii="宋体" w:hAnsi="宋体" w:cs="宋体"/>
                <w:bCs/>
                <w:szCs w:val="21"/>
              </w:rPr>
            </w:pPr>
            <w:r>
              <w:rPr>
                <w:rFonts w:hint="eastAsia" w:ascii="宋体" w:hAnsi="宋体"/>
                <w:bCs/>
                <w:szCs w:val="21"/>
              </w:rPr>
              <w:t>2</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C09D9">
            <w:pPr>
              <w:widowControl/>
              <w:spacing w:line="300" w:lineRule="auto"/>
              <w:jc w:val="center"/>
              <w:textAlignment w:val="center"/>
              <w:rPr>
                <w:rFonts w:ascii="宋体" w:hAnsi="宋体" w:cs="宋体"/>
                <w:bCs/>
                <w:szCs w:val="21"/>
              </w:rPr>
            </w:pPr>
            <w:r>
              <w:rPr>
                <w:rFonts w:hint="eastAsia" w:ascii="宋体" w:hAnsi="宋体" w:cstheme="minorEastAsia"/>
                <w:color w:val="000000"/>
                <w:kern w:val="0"/>
                <w:szCs w:val="21"/>
              </w:rPr>
              <w:t>块</w:t>
            </w:r>
          </w:p>
        </w:tc>
        <w:tc>
          <w:tcPr>
            <w:tcW w:w="927" w:type="pct"/>
            <w:vMerge w:val="continue"/>
            <w:tcBorders>
              <w:left w:val="single" w:color="000000" w:sz="4" w:space="0"/>
              <w:right w:val="single" w:color="000000" w:sz="4" w:space="0"/>
            </w:tcBorders>
            <w:shd w:val="clear" w:color="auto" w:fill="auto"/>
            <w:noWrap/>
            <w:vAlign w:val="center"/>
          </w:tcPr>
          <w:p w14:paraId="4856B0EF">
            <w:pPr>
              <w:spacing w:line="300" w:lineRule="auto"/>
              <w:jc w:val="center"/>
              <w:textAlignment w:val="center"/>
              <w:rPr>
                <w:rFonts w:ascii="宋体" w:hAnsi="宋体" w:cstheme="minorEastAsia"/>
                <w:kern w:val="0"/>
                <w:szCs w:val="21"/>
              </w:rPr>
            </w:pPr>
          </w:p>
        </w:tc>
      </w:tr>
      <w:tr w14:paraId="283F4EA8">
        <w:tblPrEx>
          <w:tblCellMar>
            <w:top w:w="0" w:type="dxa"/>
            <w:left w:w="108" w:type="dxa"/>
            <w:bottom w:w="0" w:type="dxa"/>
            <w:right w:w="108" w:type="dxa"/>
          </w:tblCellMar>
        </w:tblPrEx>
        <w:trPr>
          <w:trHeight w:val="312"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C8B9">
            <w:pPr>
              <w:widowControl/>
              <w:spacing w:line="360" w:lineRule="auto"/>
              <w:jc w:val="center"/>
              <w:textAlignment w:val="center"/>
              <w:rPr>
                <w:rFonts w:asciiTheme="minorEastAsia" w:hAnsiTheme="minorEastAsia" w:eastAsiaTheme="minorEastAsia" w:cstheme="minorEastAsia"/>
                <w:color w:val="000000"/>
                <w:szCs w:val="21"/>
              </w:rPr>
            </w:pPr>
            <w:r>
              <w:rPr>
                <w:rFonts w:ascii="宋体" w:hAnsi="宋体" w:cs="宋体"/>
                <w:bCs/>
                <w:szCs w:val="21"/>
              </w:rPr>
              <w:t>13</w:t>
            </w:r>
          </w:p>
        </w:tc>
        <w:tc>
          <w:tcPr>
            <w:tcW w:w="27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41266">
            <w:pPr>
              <w:widowControl/>
              <w:spacing w:line="300" w:lineRule="auto"/>
              <w:jc w:val="center"/>
              <w:textAlignment w:val="center"/>
              <w:rPr>
                <w:rFonts w:ascii="宋体" w:hAnsi="宋体" w:cstheme="minorEastAsia"/>
                <w:color w:val="000000"/>
                <w:kern w:val="0"/>
                <w:szCs w:val="21"/>
              </w:rPr>
            </w:pPr>
            <w:r>
              <w:rPr>
                <w:rFonts w:hint="eastAsia" w:ascii="宋体" w:hAnsi="宋体" w:cstheme="minorEastAsia"/>
                <w:color w:val="000000"/>
                <w:kern w:val="0"/>
                <w:szCs w:val="21"/>
              </w:rPr>
              <w:t>隔音机柜</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2BA11">
            <w:pPr>
              <w:widowControl/>
              <w:spacing w:line="300" w:lineRule="auto"/>
              <w:jc w:val="center"/>
              <w:textAlignment w:val="center"/>
              <w:rPr>
                <w:rFonts w:ascii="宋体" w:hAnsi="宋体"/>
                <w:bCs/>
                <w:szCs w:val="21"/>
              </w:rPr>
            </w:pPr>
            <w:r>
              <w:rPr>
                <w:rFonts w:hint="eastAsia" w:ascii="宋体" w:hAnsi="宋体"/>
                <w:bCs/>
                <w:szCs w:val="21"/>
              </w:rPr>
              <w:t>1</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71D2E">
            <w:pPr>
              <w:widowControl/>
              <w:spacing w:line="300" w:lineRule="auto"/>
              <w:jc w:val="center"/>
              <w:textAlignment w:val="center"/>
              <w:rPr>
                <w:rFonts w:ascii="宋体" w:hAnsi="宋体" w:cstheme="minorEastAsia"/>
                <w:color w:val="000000"/>
                <w:kern w:val="0"/>
                <w:szCs w:val="21"/>
              </w:rPr>
            </w:pPr>
            <w:r>
              <w:rPr>
                <w:rFonts w:hint="eastAsia" w:ascii="宋体" w:hAnsi="宋体" w:cstheme="minorEastAsia"/>
                <w:color w:val="000000"/>
                <w:kern w:val="0"/>
                <w:szCs w:val="21"/>
              </w:rPr>
              <w:t>个</w:t>
            </w:r>
          </w:p>
        </w:tc>
        <w:tc>
          <w:tcPr>
            <w:tcW w:w="927" w:type="pct"/>
            <w:vMerge w:val="continue"/>
            <w:tcBorders>
              <w:left w:val="single" w:color="000000" w:sz="4" w:space="0"/>
              <w:bottom w:val="single" w:color="000000" w:sz="4" w:space="0"/>
              <w:right w:val="single" w:color="000000" w:sz="4" w:space="0"/>
            </w:tcBorders>
            <w:shd w:val="clear" w:color="auto" w:fill="auto"/>
            <w:noWrap/>
            <w:vAlign w:val="center"/>
          </w:tcPr>
          <w:p w14:paraId="2DC728C3">
            <w:pPr>
              <w:widowControl/>
              <w:spacing w:line="300" w:lineRule="auto"/>
              <w:jc w:val="center"/>
              <w:textAlignment w:val="center"/>
              <w:rPr>
                <w:rFonts w:ascii="宋体" w:hAnsi="宋体" w:cstheme="minorEastAsia"/>
                <w:color w:val="000000"/>
                <w:kern w:val="0"/>
                <w:szCs w:val="21"/>
              </w:rPr>
            </w:pPr>
          </w:p>
        </w:tc>
      </w:tr>
    </w:tbl>
    <w:p w14:paraId="17DFDDC2">
      <w:pPr>
        <w:widowControl w:val="0"/>
        <w:snapToGrid w:val="0"/>
        <w:jc w:val="both"/>
        <w:rPr>
          <w:rFonts w:hint="eastAsia" w:ascii="宋体" w:hAnsi="宋体" w:eastAsia="宋体"/>
          <w:b/>
          <w:color w:val="FF0000"/>
          <w:kern w:val="2"/>
          <w:sz w:val="21"/>
          <w:lang w:eastAsia="zh-CN"/>
        </w:rPr>
      </w:pPr>
      <w:r>
        <w:rPr>
          <w:rFonts w:ascii="宋体" w:hAnsi="宋体" w:eastAsia="宋体"/>
          <w:b/>
          <w:color w:val="FF0000"/>
          <w:kern w:val="2"/>
          <w:sz w:val="21"/>
          <w:lang w:eastAsia="zh-CN"/>
        </w:rPr>
        <w:t>填报、漏报或错报</w:t>
      </w:r>
      <w:r>
        <w:rPr>
          <w:rFonts w:hint="eastAsia" w:ascii="宋体" w:hAnsi="宋体" w:eastAsia="宋体"/>
          <w:b/>
          <w:color w:val="FF0000"/>
          <w:kern w:val="2"/>
          <w:sz w:val="21"/>
          <w:lang w:eastAsia="zh-CN"/>
        </w:rPr>
        <w:t>的将作</w:t>
      </w:r>
      <w:r>
        <w:rPr>
          <w:rFonts w:ascii="宋体" w:hAnsi="宋体" w:eastAsia="宋体"/>
          <w:b/>
          <w:color w:val="FF0000"/>
          <w:kern w:val="2"/>
          <w:sz w:val="21"/>
          <w:lang w:eastAsia="zh-CN"/>
        </w:rPr>
        <w:t>投标无效处理。</w:t>
      </w:r>
    </w:p>
    <w:p w14:paraId="0853BEBB">
      <w:pPr>
        <w:widowControl w:val="0"/>
        <w:tabs>
          <w:tab w:val="left" w:pos="720"/>
        </w:tabs>
        <w:jc w:val="both"/>
        <w:rPr>
          <w:rFonts w:eastAsia="宋体"/>
          <w:b/>
          <w:kern w:val="2"/>
          <w:lang w:eastAsia="zh-CN"/>
        </w:rPr>
      </w:pPr>
    </w:p>
    <w:p w14:paraId="1275EDC2">
      <w:pPr>
        <w:tabs>
          <w:tab w:val="left" w:pos="720"/>
        </w:tabs>
        <w:spacing w:line="360" w:lineRule="auto"/>
        <w:rPr>
          <w:rFonts w:ascii="宋体" w:hAnsi="宋体" w:cs="宋体"/>
          <w:b/>
          <w:color w:val="FF0000"/>
          <w:sz w:val="24"/>
        </w:rPr>
      </w:pPr>
      <w:r>
        <w:rPr>
          <w:rFonts w:hint="eastAsia" w:ascii="宋体" w:hAnsi="宋体" w:cs="宋体"/>
          <w:b/>
          <w:color w:val="FF0000"/>
          <w:sz w:val="24"/>
        </w:rPr>
        <w:t>（</w:t>
      </w:r>
      <w:r>
        <w:rPr>
          <w:rFonts w:hint="eastAsia" w:ascii="宋体" w:hAnsi="宋体" w:eastAsia="宋体" w:cs="宋体"/>
          <w:b/>
          <w:color w:val="FF0000"/>
          <w:sz w:val="24"/>
          <w:lang w:val="en-US" w:eastAsia="zh-CN"/>
        </w:rPr>
        <w:t>二</w:t>
      </w:r>
      <w:r>
        <w:rPr>
          <w:rFonts w:hint="eastAsia" w:ascii="宋体" w:hAnsi="宋体" w:cs="宋体"/>
          <w:b/>
          <w:color w:val="FF0000"/>
          <w:sz w:val="24"/>
        </w:rPr>
        <w:t>）核心产品品牌</w:t>
      </w:r>
    </w:p>
    <w:p w14:paraId="404B7BD2">
      <w:pPr>
        <w:spacing w:line="360" w:lineRule="auto"/>
        <w:rPr>
          <w:rFonts w:ascii="宋体" w:hAnsi="宋体" w:cs="宋体"/>
          <w:b/>
          <w:color w:val="FF0000"/>
          <w:sz w:val="24"/>
        </w:rPr>
      </w:pPr>
      <w:r>
        <w:rPr>
          <w:rFonts w:hint="eastAsia" w:ascii="宋体" w:hAnsi="宋体" w:cs="宋体"/>
          <w:b/>
          <w:color w:val="FF0000"/>
          <w:sz w:val="24"/>
        </w:rPr>
        <w:t>我单位所投核心产品（</w:t>
      </w:r>
      <w:r>
        <w:rPr>
          <w:rFonts w:hint="eastAsia" w:ascii="宋体" w:hAnsi="宋体" w:cs="宋体"/>
          <w:b/>
          <w:color w:val="FF0000"/>
          <w:sz w:val="24"/>
          <w:u w:val="single"/>
        </w:rPr>
        <w:t>智能实验终端</w:t>
      </w:r>
      <w:r>
        <w:rPr>
          <w:rFonts w:hint="eastAsia" w:ascii="宋体" w:hAnsi="宋体" w:cs="宋体"/>
          <w:b/>
          <w:color w:val="FF0000"/>
          <w:sz w:val="24"/>
        </w:rPr>
        <w:t>）的品牌为：</w:t>
      </w:r>
      <w:r>
        <w:rPr>
          <w:rFonts w:hint="eastAsia" w:ascii="宋体" w:hAnsi="宋体" w:cs="宋体"/>
          <w:b/>
          <w:color w:val="FF0000"/>
          <w:sz w:val="24"/>
          <w:u w:val="single"/>
        </w:rPr>
        <w:t xml:space="preserve">              </w:t>
      </w:r>
      <w:r>
        <w:rPr>
          <w:rFonts w:hint="eastAsia" w:ascii="宋体" w:hAnsi="宋体" w:cs="宋体"/>
          <w:b/>
          <w:color w:val="FF0000"/>
          <w:sz w:val="24"/>
        </w:rPr>
        <w:t>。</w:t>
      </w:r>
    </w:p>
    <w:p w14:paraId="5440185A">
      <w:pPr>
        <w:spacing w:line="360" w:lineRule="auto"/>
        <w:rPr>
          <w:rFonts w:ascii="宋体" w:hAnsi="宋体" w:cs="宋体"/>
          <w:sz w:val="24"/>
        </w:rPr>
      </w:pPr>
      <w:r>
        <w:rPr>
          <w:rFonts w:hint="eastAsia" w:ascii="宋体" w:hAnsi="宋体" w:cs="宋体"/>
          <w:sz w:val="24"/>
        </w:rPr>
        <w:t>备注：招标文件未列明核心产品的，无需填写该项。</w:t>
      </w:r>
    </w:p>
    <w:p w14:paraId="2062138D">
      <w:pPr>
        <w:widowControl w:val="0"/>
        <w:ind w:firstLine="422" w:firstLineChars="200"/>
        <w:jc w:val="both"/>
        <w:rPr>
          <w:rFonts w:hint="eastAsia" w:ascii="Calibri" w:hAnsi="宋体" w:eastAsia="宋体"/>
          <w:b/>
          <w:bCs/>
          <w:kern w:val="2"/>
          <w:sz w:val="21"/>
          <w:szCs w:val="21"/>
          <w:lang w:eastAsia="zh-CN"/>
        </w:rPr>
      </w:pPr>
    </w:p>
    <w:p w14:paraId="3092AF65">
      <w:pPr>
        <w:widowControl w:val="0"/>
        <w:spacing w:after="78" w:afterLines="25" w:line="300" w:lineRule="auto"/>
        <w:jc w:val="both"/>
        <w:rPr>
          <w:rFonts w:ascii="Arial" w:hAnsi="Arial" w:eastAsia="宋体"/>
          <w:b/>
          <w:kern w:val="2"/>
          <w:lang w:eastAsia="zh-CN"/>
        </w:rPr>
      </w:pPr>
      <w:r>
        <w:rPr>
          <w:rFonts w:hint="eastAsia" w:ascii="Arial" w:hAnsi="Arial" w:eastAsia="宋体"/>
          <w:b/>
          <w:kern w:val="2"/>
          <w:lang w:eastAsia="zh-CN"/>
        </w:rPr>
        <w:t>（</w:t>
      </w:r>
      <w:r>
        <w:rPr>
          <w:rFonts w:hint="eastAsia" w:ascii="Arial" w:hAnsi="Arial" w:eastAsia="宋体"/>
          <w:b/>
          <w:kern w:val="2"/>
          <w:lang w:val="en-US" w:eastAsia="zh-CN"/>
        </w:rPr>
        <w:t>三</w:t>
      </w:r>
      <w:r>
        <w:rPr>
          <w:rFonts w:hint="eastAsia" w:ascii="Arial" w:hAnsi="Arial" w:eastAsia="宋体"/>
          <w:b/>
          <w:kern w:val="2"/>
          <w:lang w:eastAsia="zh-CN"/>
        </w:rPr>
        <w:t>）供应商认为需要涉及的其他内容报价清单</w:t>
      </w:r>
    </w:p>
    <w:p w14:paraId="022E70E4">
      <w:pPr>
        <w:widowControl w:val="0"/>
        <w:jc w:val="center"/>
        <w:rPr>
          <w:rFonts w:ascii="Calibri" w:hAnsi="Calibri" w:eastAsia="宋体"/>
          <w:b/>
          <w:bCs/>
          <w:color w:val="FF0000"/>
          <w:kern w:val="2"/>
          <w:szCs w:val="22"/>
          <w:lang w:eastAsia="zh-CN"/>
        </w:rPr>
      </w:pPr>
    </w:p>
    <w:p w14:paraId="048833D0">
      <w:pPr>
        <w:keepNext/>
        <w:keepLines/>
        <w:widowControl w:val="0"/>
        <w:spacing w:before="260" w:after="260" w:line="240" w:lineRule="auto"/>
        <w:jc w:val="center"/>
        <w:outlineLvl w:val="2"/>
        <w:rPr>
          <w:rFonts w:hint="eastAsia" w:ascii="黑体" w:hAnsi="宋体" w:eastAsia="黑体" w:cstheme="minorBidi"/>
          <w:bCs/>
          <w:kern w:val="2"/>
          <w:lang w:eastAsia="zh-CN"/>
        </w:rPr>
      </w:pPr>
      <w:r>
        <w:rPr>
          <w:rFonts w:hint="eastAsia" w:ascii="黑体" w:hAnsi="宋体" w:eastAsia="黑体" w:cstheme="minorBidi"/>
          <w:bCs/>
          <w:color w:val="FF0000"/>
          <w:kern w:val="2"/>
          <w:lang w:eastAsia="zh-CN"/>
        </w:rPr>
        <w:t>★</w:t>
      </w:r>
      <w:r>
        <w:rPr>
          <w:rFonts w:hint="eastAsia" w:ascii="黑体" w:hAnsi="宋体" w:eastAsia="黑体" w:cstheme="minorBidi"/>
          <w:bCs/>
          <w:kern w:val="2"/>
          <w:lang w:eastAsia="zh-CN"/>
        </w:rPr>
        <w:t>五、股东构成审查表</w:t>
      </w:r>
    </w:p>
    <w:p w14:paraId="2D3AF98B">
      <w:pPr>
        <w:widowControl w:val="0"/>
        <w:numPr>
          <w:ilvl w:val="0"/>
          <w:numId w:val="0"/>
        </w:numPr>
        <w:jc w:val="left"/>
        <w:outlineLvl w:val="3"/>
        <w:rPr>
          <w:rFonts w:ascii="Calibri" w:hAnsi="Calibri" w:eastAsia="宋体" w:cstheme="minorBidi"/>
          <w:b w:val="0"/>
          <w:bCs/>
          <w:kern w:val="2"/>
          <w:szCs w:val="22"/>
          <w:lang w:eastAsia="zh-CN"/>
        </w:rPr>
      </w:pPr>
      <w:r>
        <w:rPr>
          <w:rFonts w:hint="eastAsia" w:ascii="Calibri" w:hAnsi="Calibri" w:eastAsia="宋体" w:cstheme="minorBidi"/>
          <w:b w:val="0"/>
          <w:bCs/>
          <w:kern w:val="2"/>
          <w:szCs w:val="22"/>
          <w:lang w:val="en-US" w:eastAsia="zh-CN"/>
        </w:rPr>
        <w:t>1、</w:t>
      </w:r>
      <w:r>
        <w:rPr>
          <w:rFonts w:hint="eastAsia" w:ascii="Calibri" w:hAnsi="Calibri" w:eastAsia="宋体" w:cstheme="minorBidi"/>
          <w:b w:val="0"/>
          <w:bCs/>
          <w:kern w:val="2"/>
          <w:szCs w:val="22"/>
          <w:lang w:eastAsia="zh-CN"/>
        </w:rPr>
        <w:t>提供投标人所在地的市场监督管理部门“商事登记簿查询（商事主体登记及备案信息查询）”查询截图；参考示例“深圳市市场监督管理局——商事登记簿查询（商事主体登记及备案信息查询）：</w:t>
      </w:r>
      <w:r>
        <w:rPr>
          <w:rFonts w:ascii="Calibri" w:hAnsi="Calibri" w:eastAsia="宋体" w:cstheme="minorBidi"/>
          <w:b w:val="0"/>
          <w:bCs/>
          <w:kern w:val="2"/>
          <w:szCs w:val="22"/>
          <w:lang w:eastAsia="zh-CN"/>
        </w:rPr>
        <w:fldChar w:fldCharType="begin"/>
      </w:r>
      <w:r>
        <w:rPr>
          <w:rFonts w:ascii="Calibri" w:hAnsi="Calibri" w:eastAsia="宋体" w:cstheme="minorBidi"/>
          <w:b w:val="0"/>
          <w:bCs/>
          <w:kern w:val="2"/>
          <w:szCs w:val="22"/>
          <w:lang w:eastAsia="zh-CN"/>
        </w:rPr>
        <w:instrText xml:space="preserve"> HYPERLINK "https://amr.sz.gov.cn/outer/entSelect/gs.html" </w:instrText>
      </w:r>
      <w:r>
        <w:rPr>
          <w:rFonts w:ascii="Calibri" w:hAnsi="Calibri" w:eastAsia="宋体" w:cstheme="minorBidi"/>
          <w:b w:val="0"/>
          <w:bCs/>
          <w:kern w:val="2"/>
          <w:szCs w:val="22"/>
          <w:lang w:eastAsia="zh-CN"/>
        </w:rPr>
        <w:fldChar w:fldCharType="separate"/>
      </w:r>
      <w:r>
        <w:rPr>
          <w:rFonts w:hint="eastAsia" w:ascii="Calibri" w:hAnsi="Calibri" w:eastAsia="宋体" w:cstheme="minorBidi"/>
          <w:b w:val="0"/>
          <w:bCs/>
          <w:kern w:val="2"/>
          <w:szCs w:val="22"/>
          <w:lang w:eastAsia="zh-CN"/>
        </w:rPr>
        <w:t>https://amr.sz.gov.cn/outer/entSelect/gs.html”。</w:t>
      </w:r>
      <w:r>
        <w:rPr>
          <w:rFonts w:hint="eastAsia" w:ascii="Calibri" w:hAnsi="Calibri" w:eastAsia="宋体" w:cstheme="minorBidi"/>
          <w:b w:val="0"/>
          <w:bCs/>
          <w:kern w:val="2"/>
          <w:szCs w:val="22"/>
          <w:lang w:eastAsia="zh-CN"/>
        </w:rPr>
        <w:fldChar w:fldCharType="end"/>
      </w:r>
    </w:p>
    <w:p w14:paraId="0B715330">
      <w:pPr>
        <w:widowControl w:val="0"/>
        <w:jc w:val="both"/>
        <w:rPr>
          <w:rFonts w:ascii="Calibri" w:hAnsi="Calibri" w:eastAsia="宋体"/>
          <w:b/>
          <w:bCs/>
          <w:color w:val="FF0000"/>
          <w:kern w:val="2"/>
          <w:sz w:val="21"/>
          <w:szCs w:val="22"/>
          <w:highlight w:val="yellow"/>
          <w:lang w:eastAsia="zh-CN"/>
        </w:rPr>
      </w:pPr>
      <w:r>
        <w:rPr>
          <w:rFonts w:hint="eastAsia" w:ascii="Calibri" w:hAnsi="Calibri" w:eastAsia="宋体" w:cstheme="minorBidi"/>
          <w:b/>
          <w:bCs/>
          <w:color w:val="FF0000"/>
          <w:kern w:val="2"/>
          <w:sz w:val="21"/>
          <w:szCs w:val="22"/>
          <w:highlight w:val="yellow"/>
          <w:lang w:eastAsia="zh-CN"/>
        </w:rPr>
        <w:t>提示：如果投标供应商</w:t>
      </w:r>
      <w:r>
        <w:rPr>
          <w:rFonts w:ascii="宋体" w:hAnsi="宋体" w:eastAsia="宋体" w:cstheme="minorBidi"/>
          <w:b/>
          <w:bCs/>
          <w:color w:val="FF0000"/>
          <w:kern w:val="2"/>
          <w:sz w:val="21"/>
          <w:szCs w:val="22"/>
          <w:highlight w:val="yellow"/>
          <w:lang w:eastAsia="zh-CN"/>
        </w:rPr>
        <w:t>存在单位负责人为同一人</w:t>
      </w:r>
      <w:r>
        <w:rPr>
          <w:rFonts w:hint="eastAsia" w:ascii="宋体" w:hAnsi="宋体" w:eastAsia="宋体" w:cstheme="minorBidi"/>
          <w:b/>
          <w:bCs/>
          <w:color w:val="FF0000"/>
          <w:kern w:val="2"/>
          <w:sz w:val="21"/>
          <w:szCs w:val="22"/>
          <w:highlight w:val="yellow"/>
          <w:lang w:eastAsia="zh-CN"/>
        </w:rPr>
        <w:t>，</w:t>
      </w:r>
      <w:r>
        <w:rPr>
          <w:rFonts w:ascii="宋体" w:hAnsi="宋体" w:eastAsia="宋体" w:cstheme="minorBidi"/>
          <w:b/>
          <w:bCs/>
          <w:color w:val="FF0000"/>
          <w:kern w:val="2"/>
          <w:sz w:val="21"/>
          <w:szCs w:val="22"/>
          <w:highlight w:val="yellow"/>
          <w:lang w:eastAsia="zh-CN"/>
        </w:rPr>
        <w:t>或者存在直接控股、</w:t>
      </w:r>
      <w:r>
        <w:rPr>
          <w:rFonts w:hint="eastAsia" w:ascii="宋体" w:hAnsi="宋体" w:eastAsia="宋体" w:cstheme="minorBidi"/>
          <w:b/>
          <w:bCs/>
          <w:color w:val="FF0000"/>
          <w:kern w:val="2"/>
          <w:sz w:val="21"/>
          <w:szCs w:val="22"/>
          <w:highlight w:val="yellow"/>
          <w:lang w:eastAsia="zh-CN"/>
        </w:rPr>
        <w:t>间接控股、</w:t>
      </w:r>
      <w:r>
        <w:rPr>
          <w:rFonts w:ascii="宋体" w:hAnsi="宋体" w:eastAsia="宋体" w:cstheme="minorBidi"/>
          <w:b/>
          <w:bCs/>
          <w:color w:val="FF0000"/>
          <w:kern w:val="2"/>
          <w:sz w:val="21"/>
          <w:szCs w:val="22"/>
          <w:highlight w:val="yellow"/>
          <w:lang w:eastAsia="zh-CN"/>
        </w:rPr>
        <w:t>管理关系</w:t>
      </w:r>
      <w:r>
        <w:rPr>
          <w:rFonts w:hint="eastAsia" w:ascii="宋体" w:hAnsi="宋体" w:eastAsia="宋体" w:cstheme="minorBidi"/>
          <w:b/>
          <w:bCs/>
          <w:color w:val="FF0000"/>
          <w:kern w:val="2"/>
          <w:sz w:val="21"/>
          <w:szCs w:val="22"/>
          <w:highlight w:val="yellow"/>
          <w:lang w:eastAsia="zh-CN"/>
        </w:rPr>
        <w:t>等情形，将被纳入交易监管平台产生示警信息，由此产生的负面影响，由投标人自行承担。</w:t>
      </w:r>
    </w:p>
    <w:p w14:paraId="7A2EE0B0">
      <w:pPr>
        <w:widowControl w:val="0"/>
        <w:jc w:val="both"/>
        <w:rPr>
          <w:rFonts w:ascii="Calibri" w:hAnsi="Calibri" w:eastAsia="宋体"/>
          <w:kern w:val="2"/>
          <w:sz w:val="21"/>
          <w:szCs w:val="22"/>
          <w:lang w:eastAsia="zh-CN"/>
        </w:rPr>
      </w:pPr>
    </w:p>
    <w:p w14:paraId="66EB782E">
      <w:pPr>
        <w:widowControl w:val="0"/>
        <w:numPr>
          <w:ilvl w:val="0"/>
          <w:numId w:val="0"/>
        </w:numPr>
        <w:jc w:val="left"/>
        <w:outlineLvl w:val="3"/>
        <w:rPr>
          <w:rFonts w:hint="eastAsia" w:ascii="Calibri" w:hAnsi="Calibri" w:eastAsia="宋体" w:cstheme="minorBidi"/>
          <w:b w:val="0"/>
          <w:bCs/>
          <w:kern w:val="2"/>
          <w:szCs w:val="22"/>
          <w:lang w:val="en-US" w:eastAsia="zh-CN"/>
        </w:rPr>
      </w:pPr>
      <w:r>
        <w:rPr>
          <w:rFonts w:hint="eastAsia" w:ascii="Calibri" w:hAnsi="Calibri" w:eastAsia="宋体" w:cstheme="minorBidi"/>
          <w:b w:val="0"/>
          <w:bCs/>
          <w:kern w:val="2"/>
          <w:szCs w:val="22"/>
          <w:lang w:val="en-US" w:eastAsia="zh-CN"/>
        </w:rPr>
        <w:t>2、股东构成审查表</w:t>
      </w: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9"/>
        <w:gridCol w:w="6557"/>
      </w:tblGrid>
      <w:tr w14:paraId="783E6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4504ECCF">
            <w:pPr>
              <w:widowControl w:val="0"/>
              <w:autoSpaceDE w:val="0"/>
              <w:autoSpaceDN w:val="0"/>
              <w:adjustRightInd w:val="0"/>
              <w:snapToGrid w:val="0"/>
              <w:spacing w:line="360" w:lineRule="auto"/>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14:paraId="47E7CA3E">
            <w:pPr>
              <w:widowControl w:val="0"/>
              <w:autoSpaceDE w:val="0"/>
              <w:autoSpaceDN w:val="0"/>
              <w:adjustRightInd w:val="0"/>
              <w:snapToGrid w:val="0"/>
              <w:spacing w:line="360" w:lineRule="auto"/>
              <w:jc w:val="left"/>
              <w:rPr>
                <w:rFonts w:hint="eastAsia" w:ascii="宋体" w:hAnsi="宋体" w:eastAsia="宋体" w:cs="Segoe UI Symbol"/>
                <w:color w:val="000000"/>
                <w:sz w:val="21"/>
                <w:szCs w:val="21"/>
                <w:lang w:eastAsia="zh-CN"/>
              </w:rPr>
            </w:pPr>
          </w:p>
        </w:tc>
      </w:tr>
      <w:tr w14:paraId="4A0A2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391F4E58">
            <w:pPr>
              <w:widowControl w:val="0"/>
              <w:autoSpaceDE w:val="0"/>
              <w:autoSpaceDN w:val="0"/>
              <w:adjustRightInd w:val="0"/>
              <w:snapToGrid w:val="0"/>
              <w:spacing w:line="360" w:lineRule="auto"/>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14:paraId="55ECFBB4">
            <w:pPr>
              <w:widowControl w:val="0"/>
              <w:autoSpaceDE w:val="0"/>
              <w:autoSpaceDN w:val="0"/>
              <w:adjustRightInd w:val="0"/>
              <w:snapToGrid w:val="0"/>
              <w:spacing w:line="360" w:lineRule="auto"/>
              <w:jc w:val="left"/>
              <w:rPr>
                <w:rFonts w:hint="eastAsia" w:ascii="宋体" w:hAnsi="宋体" w:eastAsia="宋体" w:cs="Segoe UI Symbol"/>
                <w:color w:val="000000"/>
                <w:sz w:val="21"/>
                <w:szCs w:val="21"/>
                <w:lang w:eastAsia="zh-CN"/>
              </w:rPr>
            </w:pPr>
          </w:p>
        </w:tc>
      </w:tr>
      <w:tr w14:paraId="04C73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77DE9F01">
            <w:pPr>
              <w:widowControl w:val="0"/>
              <w:autoSpaceDE w:val="0"/>
              <w:autoSpaceDN w:val="0"/>
              <w:adjustRightInd w:val="0"/>
              <w:snapToGrid w:val="0"/>
              <w:spacing w:line="360" w:lineRule="auto"/>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vAlign w:val="center"/>
          </w:tcPr>
          <w:p w14:paraId="352F8DBC">
            <w:pPr>
              <w:widowControl w:val="0"/>
              <w:autoSpaceDE w:val="0"/>
              <w:autoSpaceDN w:val="0"/>
              <w:adjustRightInd w:val="0"/>
              <w:snapToGrid w:val="0"/>
              <w:spacing w:line="360" w:lineRule="auto"/>
              <w:jc w:val="left"/>
              <w:rPr>
                <w:rFonts w:hint="eastAsia" w:ascii="宋体" w:hAnsi="宋体" w:eastAsia="宋体" w:cs="Segoe UI Symbol"/>
                <w:color w:val="000000"/>
                <w:sz w:val="21"/>
                <w:szCs w:val="21"/>
                <w:u w:val="single"/>
                <w:lang w:eastAsia="zh-CN"/>
              </w:rPr>
            </w:pPr>
            <w:r>
              <w:rPr>
                <w:rFonts w:hint="eastAsia" w:ascii="宋体" w:hAnsi="宋体" w:eastAsia="宋体" w:cs="Segoe UI Symbol"/>
                <w:color w:val="000000"/>
                <w:sz w:val="21"/>
                <w:szCs w:val="21"/>
                <w:lang w:eastAsia="zh-CN"/>
              </w:rPr>
              <w:t>□是，其控股股东为：</w:t>
            </w:r>
            <w:r>
              <w:rPr>
                <w:rFonts w:hint="eastAsia" w:ascii="宋体" w:hAnsi="宋体" w:eastAsia="宋体" w:cs="Segoe UI Symbol"/>
                <w:color w:val="000000"/>
                <w:sz w:val="21"/>
                <w:szCs w:val="21"/>
                <w:u w:val="single"/>
                <w:lang w:eastAsia="zh-CN"/>
              </w:rPr>
              <w:t xml:space="preserve">              </w:t>
            </w:r>
            <w:r>
              <w:rPr>
                <w:rFonts w:hint="eastAsia" w:ascii="宋体" w:hAnsi="宋体" w:eastAsia="宋体" w:cs="Segoe UI Symbol"/>
                <w:color w:val="000000"/>
                <w:sz w:val="21"/>
                <w:szCs w:val="21"/>
                <w:lang w:eastAsia="zh-CN"/>
              </w:rPr>
              <w:t>，股份占比：</w:t>
            </w:r>
            <w:r>
              <w:rPr>
                <w:rFonts w:hint="eastAsia" w:ascii="宋体" w:hAnsi="宋体" w:eastAsia="宋体" w:cs="Segoe UI Symbol"/>
                <w:color w:val="000000"/>
                <w:sz w:val="21"/>
                <w:szCs w:val="21"/>
                <w:u w:val="single"/>
                <w:lang w:eastAsia="zh-CN"/>
              </w:rPr>
              <w:t xml:space="preserve">           </w:t>
            </w:r>
            <w:r>
              <w:rPr>
                <w:rFonts w:hint="eastAsia" w:ascii="宋体" w:hAnsi="宋体" w:eastAsia="宋体" w:cs="Segoe UI Symbol"/>
                <w:color w:val="000000"/>
                <w:sz w:val="21"/>
                <w:szCs w:val="21"/>
                <w:lang w:eastAsia="zh-CN"/>
              </w:rPr>
              <w:t>；</w:t>
            </w:r>
          </w:p>
          <w:p w14:paraId="62FC78C8">
            <w:pPr>
              <w:widowControl w:val="0"/>
              <w:autoSpaceDE w:val="0"/>
              <w:autoSpaceDN w:val="0"/>
              <w:adjustRightInd w:val="0"/>
              <w:snapToGrid w:val="0"/>
              <w:spacing w:line="360" w:lineRule="auto"/>
              <w:jc w:val="left"/>
              <w:rPr>
                <w:rFonts w:hint="eastAsia" w:ascii="宋体" w:hAnsi="宋体" w:eastAsia="宋体" w:cs="Segoe UI Symbol"/>
                <w:color w:val="000000"/>
                <w:sz w:val="21"/>
                <w:szCs w:val="21"/>
                <w:lang w:eastAsia="zh-CN"/>
              </w:rPr>
            </w:pPr>
            <w:r>
              <w:rPr>
                <w:rFonts w:hint="eastAsia" w:ascii="宋体" w:hAnsi="宋体" w:eastAsia="宋体" w:cs="Segoe UI Symbol"/>
                <w:color w:val="000000"/>
                <w:sz w:val="21"/>
                <w:szCs w:val="21"/>
                <w:lang w:eastAsia="zh-CN"/>
              </w:rPr>
              <w:t>其他主要股东及其股份占比：</w:t>
            </w:r>
            <w:r>
              <w:rPr>
                <w:rFonts w:hint="eastAsia" w:ascii="宋体" w:hAnsi="宋体" w:eastAsia="宋体" w:cs="Segoe UI Symbol"/>
                <w:color w:val="000000"/>
                <w:sz w:val="21"/>
                <w:szCs w:val="21"/>
                <w:u w:val="single"/>
                <w:lang w:eastAsia="zh-CN"/>
              </w:rPr>
              <w:t xml:space="preserve">                               </w:t>
            </w:r>
            <w:r>
              <w:rPr>
                <w:rFonts w:hint="eastAsia" w:ascii="宋体" w:hAnsi="宋体" w:eastAsia="宋体" w:cs="Segoe UI Symbol"/>
                <w:color w:val="000000"/>
                <w:sz w:val="21"/>
                <w:szCs w:val="21"/>
                <w:lang w:eastAsia="zh-CN"/>
              </w:rPr>
              <w:t>。</w:t>
            </w:r>
          </w:p>
          <w:p w14:paraId="2BFBB921">
            <w:pPr>
              <w:widowControl w:val="0"/>
              <w:autoSpaceDE w:val="0"/>
              <w:autoSpaceDN w:val="0"/>
              <w:adjustRightInd w:val="0"/>
              <w:snapToGrid w:val="0"/>
              <w:spacing w:line="360" w:lineRule="auto"/>
              <w:jc w:val="left"/>
              <w:rPr>
                <w:rFonts w:hint="eastAsia" w:ascii="宋体" w:hAnsi="宋体" w:eastAsia="宋体"/>
                <w:b/>
                <w:bCs/>
                <w:color w:val="000000"/>
                <w:kern w:val="2"/>
                <w:sz w:val="21"/>
                <w:szCs w:val="21"/>
                <w:lang w:eastAsia="zh-CN"/>
              </w:rPr>
            </w:pPr>
            <w:r>
              <w:rPr>
                <w:rFonts w:hint="eastAsia" w:ascii="宋体" w:hAnsi="宋体" w:eastAsia="宋体" w:cs="Segoe UI Symbol"/>
                <w:color w:val="000000"/>
                <w:sz w:val="21"/>
                <w:szCs w:val="21"/>
                <w:lang w:eastAsia="zh-CN"/>
              </w:rPr>
              <w:t>□否</w:t>
            </w:r>
          </w:p>
        </w:tc>
      </w:tr>
      <w:tr w14:paraId="0DEDE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622936D6">
            <w:pPr>
              <w:widowControl w:val="0"/>
              <w:autoSpaceDE w:val="0"/>
              <w:autoSpaceDN w:val="0"/>
              <w:adjustRightInd w:val="0"/>
              <w:snapToGrid w:val="0"/>
              <w:spacing w:line="360" w:lineRule="auto"/>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14:paraId="3C7EFD22">
            <w:pPr>
              <w:widowControl w:val="0"/>
              <w:autoSpaceDE w:val="0"/>
              <w:autoSpaceDN w:val="0"/>
              <w:adjustRightInd w:val="0"/>
              <w:snapToGrid w:val="0"/>
              <w:spacing w:line="360" w:lineRule="auto"/>
              <w:jc w:val="left"/>
              <w:rPr>
                <w:rFonts w:hint="eastAsia" w:ascii="宋体" w:hAnsi="宋体" w:eastAsia="宋体" w:cs="Segoe UI Symbol"/>
                <w:color w:val="000000"/>
                <w:sz w:val="21"/>
                <w:szCs w:val="21"/>
                <w:u w:val="single"/>
                <w:lang w:eastAsia="zh-CN"/>
              </w:rPr>
            </w:pPr>
            <w:r>
              <w:rPr>
                <w:rFonts w:hint="eastAsia" w:ascii="宋体" w:hAnsi="宋体" w:eastAsia="宋体" w:cs="Segoe UI Symbol"/>
                <w:color w:val="000000"/>
                <w:sz w:val="21"/>
                <w:szCs w:val="21"/>
                <w:lang w:eastAsia="zh-CN"/>
              </w:rPr>
              <w:t>□是，该单位为：</w:t>
            </w:r>
            <w:r>
              <w:rPr>
                <w:rFonts w:hint="eastAsia" w:ascii="宋体" w:hAnsi="宋体" w:eastAsia="宋体" w:cs="Segoe UI Symbol"/>
                <w:color w:val="000000"/>
                <w:sz w:val="21"/>
                <w:szCs w:val="21"/>
                <w:u w:val="single"/>
                <w:lang w:eastAsia="zh-CN"/>
              </w:rPr>
              <w:t xml:space="preserve">                                          </w:t>
            </w:r>
          </w:p>
          <w:p w14:paraId="4855023D">
            <w:pPr>
              <w:widowControl w:val="0"/>
              <w:autoSpaceDE w:val="0"/>
              <w:autoSpaceDN w:val="0"/>
              <w:adjustRightInd w:val="0"/>
              <w:snapToGrid w:val="0"/>
              <w:spacing w:line="360" w:lineRule="auto"/>
              <w:jc w:val="left"/>
              <w:rPr>
                <w:rFonts w:hint="eastAsia" w:ascii="宋体" w:hAnsi="宋体" w:eastAsia="宋体"/>
                <w:b/>
                <w:bCs/>
                <w:color w:val="000000"/>
                <w:kern w:val="2"/>
                <w:sz w:val="21"/>
                <w:szCs w:val="21"/>
                <w:lang w:eastAsia="zh-CN"/>
              </w:rPr>
            </w:pPr>
            <w:r>
              <w:rPr>
                <w:rFonts w:hint="eastAsia" w:ascii="宋体" w:hAnsi="宋体" w:eastAsia="宋体" w:cs="Segoe UI Symbol"/>
                <w:color w:val="000000"/>
                <w:sz w:val="21"/>
                <w:szCs w:val="21"/>
                <w:lang w:eastAsia="zh-CN"/>
              </w:rPr>
              <w:t>□否</w:t>
            </w:r>
          </w:p>
        </w:tc>
      </w:tr>
      <w:tr w14:paraId="43F8D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1A2864BD">
            <w:pPr>
              <w:widowControl w:val="0"/>
              <w:autoSpaceDE w:val="0"/>
              <w:autoSpaceDN w:val="0"/>
              <w:adjustRightInd w:val="0"/>
              <w:snapToGrid w:val="0"/>
              <w:spacing w:line="360" w:lineRule="auto"/>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14:paraId="7F33ACE0">
            <w:pPr>
              <w:widowControl w:val="0"/>
              <w:autoSpaceDE w:val="0"/>
              <w:autoSpaceDN w:val="0"/>
              <w:adjustRightInd w:val="0"/>
              <w:snapToGrid w:val="0"/>
              <w:spacing w:line="360" w:lineRule="auto"/>
              <w:jc w:val="left"/>
              <w:rPr>
                <w:rFonts w:hint="eastAsia" w:ascii="宋体" w:hAnsi="宋体" w:eastAsia="宋体" w:cs="Segoe UI Symbol"/>
                <w:color w:val="000000"/>
                <w:sz w:val="21"/>
                <w:szCs w:val="21"/>
                <w:u w:val="single"/>
                <w:lang w:eastAsia="zh-CN"/>
              </w:rPr>
            </w:pPr>
            <w:r>
              <w:rPr>
                <w:rFonts w:hint="eastAsia" w:ascii="宋体" w:hAnsi="宋体" w:eastAsia="宋体" w:cs="Segoe UI Symbol"/>
                <w:color w:val="000000"/>
                <w:sz w:val="21"/>
                <w:szCs w:val="21"/>
                <w:lang w:eastAsia="zh-CN"/>
              </w:rPr>
              <w:t>□是，与招标人的关系为：</w:t>
            </w:r>
            <w:r>
              <w:rPr>
                <w:rFonts w:hint="eastAsia" w:ascii="宋体" w:hAnsi="宋体" w:eastAsia="宋体" w:cs="Segoe UI Symbol"/>
                <w:color w:val="000000"/>
                <w:sz w:val="21"/>
                <w:szCs w:val="21"/>
                <w:u w:val="single"/>
                <w:lang w:eastAsia="zh-CN"/>
              </w:rPr>
              <w:t xml:space="preserve">                                   </w:t>
            </w:r>
          </w:p>
          <w:p w14:paraId="10409721">
            <w:pPr>
              <w:widowControl w:val="0"/>
              <w:autoSpaceDE w:val="0"/>
              <w:autoSpaceDN w:val="0"/>
              <w:adjustRightInd w:val="0"/>
              <w:snapToGrid w:val="0"/>
              <w:spacing w:line="360" w:lineRule="auto"/>
              <w:jc w:val="left"/>
              <w:rPr>
                <w:rFonts w:hint="eastAsia" w:ascii="宋体" w:hAnsi="宋体" w:eastAsia="宋体" w:cs="Segoe UI Symbol"/>
                <w:color w:val="000000"/>
                <w:sz w:val="21"/>
                <w:szCs w:val="21"/>
                <w:lang w:eastAsia="zh-CN"/>
              </w:rPr>
            </w:pPr>
            <w:r>
              <w:rPr>
                <w:rFonts w:hint="eastAsia" w:ascii="宋体" w:hAnsi="宋体" w:eastAsia="宋体" w:cs="Segoe UI Symbol"/>
                <w:color w:val="000000"/>
                <w:sz w:val="21"/>
                <w:szCs w:val="21"/>
                <w:lang w:eastAsia="zh-CN"/>
              </w:rPr>
              <w:t>□否</w:t>
            </w:r>
          </w:p>
        </w:tc>
      </w:tr>
    </w:tbl>
    <w:p w14:paraId="63583E12">
      <w:pPr>
        <w:widowControl w:val="0"/>
        <w:autoSpaceDE w:val="0"/>
        <w:autoSpaceDN w:val="0"/>
        <w:adjustRightInd w:val="0"/>
        <w:snapToGrid w:val="0"/>
        <w:spacing w:line="360" w:lineRule="auto"/>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注：</w:t>
      </w:r>
    </w:p>
    <w:p w14:paraId="537D84A2">
      <w:pPr>
        <w:widowControl w:val="0"/>
        <w:autoSpaceDE w:val="0"/>
        <w:autoSpaceDN w:val="0"/>
        <w:adjustRightInd w:val="0"/>
        <w:snapToGrid w:val="0"/>
        <w:spacing w:line="360" w:lineRule="auto"/>
        <w:jc w:val="left"/>
        <w:rPr>
          <w:rFonts w:hint="eastAsia" w:ascii="宋体" w:hAnsi="宋体" w:eastAsia="宋体"/>
          <w:bCs/>
          <w:color w:val="000000"/>
          <w:kern w:val="2"/>
          <w:sz w:val="21"/>
          <w:szCs w:val="21"/>
          <w:lang w:eastAsia="zh-CN"/>
        </w:rPr>
      </w:pPr>
      <w:r>
        <w:rPr>
          <w:rFonts w:hint="eastAsia" w:ascii="宋体" w:hAnsi="宋体" w:eastAsia="宋体" w:cstheme="minorBidi"/>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其持有的股份享有的表决权已足以对股东会、股东大会的决议产生重大影响的股东；</w:t>
      </w:r>
    </w:p>
    <w:p w14:paraId="40FA9DD2">
      <w:pPr>
        <w:widowControl w:val="0"/>
        <w:autoSpaceDE w:val="0"/>
        <w:autoSpaceDN w:val="0"/>
        <w:adjustRightInd w:val="0"/>
        <w:snapToGrid w:val="0"/>
        <w:spacing w:line="360" w:lineRule="auto"/>
        <w:jc w:val="left"/>
        <w:rPr>
          <w:rFonts w:hint="eastAsia" w:ascii="宋体" w:hAnsi="宋体" w:eastAsia="宋体"/>
          <w:bCs/>
          <w:color w:val="000000"/>
          <w:kern w:val="2"/>
          <w:sz w:val="21"/>
          <w:szCs w:val="21"/>
          <w:lang w:eastAsia="zh-CN"/>
        </w:rPr>
      </w:pPr>
      <w:r>
        <w:rPr>
          <w:rFonts w:hint="eastAsia" w:ascii="宋体" w:hAnsi="宋体" w:eastAsia="宋体" w:cstheme="minorBidi"/>
          <w:bCs/>
          <w:color w:val="000000"/>
          <w:kern w:val="2"/>
          <w:sz w:val="21"/>
          <w:szCs w:val="21"/>
          <w:lang w:eastAsia="zh-CN"/>
        </w:rPr>
        <w:t>2、投标人需如实填写上述信息，如查实上述信息与实际不符，视为提供虚假证明材料骗取中标，投标人应承担相应法律后果。</w:t>
      </w:r>
    </w:p>
    <w:p w14:paraId="534DA3E2">
      <w:pPr>
        <w:widowControl w:val="0"/>
        <w:jc w:val="both"/>
        <w:rPr>
          <w:rFonts w:hint="eastAsia" w:ascii="宋体" w:hAnsi="宋体" w:eastAsia="宋体"/>
          <w:kern w:val="2"/>
          <w:sz w:val="21"/>
          <w:szCs w:val="22"/>
          <w:lang w:eastAsia="zh-CN"/>
        </w:rPr>
      </w:pPr>
    </w:p>
    <w:p w14:paraId="3D27E1C4">
      <w:pPr>
        <w:widowControl w:val="0"/>
        <w:spacing w:after="78" w:afterLines="25" w:line="300" w:lineRule="auto"/>
        <w:jc w:val="center"/>
        <w:rPr>
          <w:rFonts w:ascii="Arial" w:hAnsi="Arial" w:eastAsia="宋体"/>
          <w:b/>
          <w:kern w:val="2"/>
          <w:lang w:eastAsia="zh-CN"/>
        </w:rPr>
      </w:pPr>
    </w:p>
    <w:p w14:paraId="6185B4ED">
      <w:pPr>
        <w:keepNext/>
        <w:keepLines/>
        <w:widowControl w:val="0"/>
        <w:spacing w:before="260" w:after="260" w:line="240" w:lineRule="auto"/>
        <w:jc w:val="center"/>
        <w:outlineLvl w:val="2"/>
        <w:rPr>
          <w:rFonts w:hint="eastAsia" w:ascii="黑体" w:hAnsi="宋体" w:eastAsia="黑体"/>
          <w:bCs/>
          <w:kern w:val="2"/>
          <w:szCs w:val="32"/>
          <w:lang w:eastAsia="zh-CN"/>
        </w:rPr>
      </w:pPr>
      <w:r>
        <w:rPr>
          <w:rFonts w:hint="eastAsia" w:ascii="黑体" w:hAnsi="宋体" w:eastAsia="黑体" w:cstheme="minorBidi"/>
          <w:bCs/>
          <w:kern w:val="2"/>
          <w:szCs w:val="32"/>
          <w:lang w:eastAsia="zh-CN"/>
        </w:rPr>
        <w:t>六、</w:t>
      </w:r>
      <w:bookmarkStart w:id="32" w:name="_Hlk72092499"/>
      <w:r>
        <w:rPr>
          <w:rFonts w:hint="eastAsia" w:ascii="黑体" w:hAnsi="宋体" w:eastAsia="黑体" w:cstheme="minorBidi"/>
          <w:bCs/>
          <w:kern w:val="2"/>
          <w:szCs w:val="32"/>
          <w:lang w:eastAsia="zh-CN"/>
        </w:rPr>
        <w:t>法定代表人（负责人）证明书</w:t>
      </w:r>
      <w:bookmarkEnd w:id="32"/>
    </w:p>
    <w:p w14:paraId="6CBB4BE2">
      <w:pPr>
        <w:widowControl w:val="0"/>
        <w:jc w:val="both"/>
        <w:rPr>
          <w:rFonts w:ascii="Calibri" w:hAnsi="Calibri" w:eastAsia="宋体"/>
          <w:kern w:val="2"/>
          <w:szCs w:val="22"/>
          <w:lang w:eastAsia="zh-CN"/>
        </w:rPr>
      </w:pPr>
    </w:p>
    <w:p w14:paraId="56DF0781">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（姓名），现任我单位</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职务，为法定代表人（负责人），身份证件号为：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2ECB9254">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特此证明。</w:t>
      </w:r>
    </w:p>
    <w:p w14:paraId="75EFD9F6">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说明：1、法定代表人为投标人（企业事业单位、国家机关、社会团体）的主要行政负责人。</w:t>
      </w:r>
    </w:p>
    <w:p w14:paraId="284AB6CA">
      <w:pPr>
        <w:widowControl w:val="0"/>
        <w:numPr>
          <w:ilvl w:val="0"/>
          <w:numId w:val="1"/>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Hans"/>
        </w:rPr>
        <w:t>本证明书要供法定代表人（负责人）</w:t>
      </w:r>
      <w:r>
        <w:rPr>
          <w:rFonts w:hint="eastAsia" w:ascii="Calibri" w:hAnsi="Calibri" w:eastAsia="宋体" w:cstheme="minorBidi"/>
          <w:kern w:val="2"/>
          <w:sz w:val="21"/>
          <w:szCs w:val="21"/>
          <w:lang w:eastAsia="zh-CN"/>
        </w:rPr>
        <w:t>相关身份证明文件：身份证扫描件（正反两面）；港澳台居民可提供来往通行证扫描件；非中国国籍管辖范围人员，可提供公安部门认可的身份证明材料扫描件。</w:t>
      </w:r>
    </w:p>
    <w:p w14:paraId="02241928">
      <w:pPr>
        <w:widowControl w:val="0"/>
        <w:numPr>
          <w:ilvl w:val="0"/>
          <w:numId w:val="1"/>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Hans"/>
        </w:rPr>
        <w:t>本项目投标授权代表为法定代表人（负责人）的，无需提供</w:t>
      </w:r>
      <w:r>
        <w:rPr>
          <w:rFonts w:hint="eastAsia" w:ascii="Calibri" w:hAnsi="Calibri" w:eastAsia="宋体" w:cstheme="minorBidi"/>
          <w:kern w:val="2"/>
          <w:sz w:val="21"/>
          <w:szCs w:val="21"/>
          <w:lang w:eastAsia="zh-CN"/>
        </w:rPr>
        <w:t>《投标文件签署授权委托书》</w:t>
      </w:r>
      <w:r>
        <w:rPr>
          <w:rFonts w:hint="eastAsia" w:ascii="Calibri" w:hAnsi="Calibri" w:eastAsia="宋体" w:cstheme="minorBidi"/>
          <w:kern w:val="2"/>
          <w:sz w:val="21"/>
          <w:szCs w:val="21"/>
          <w:lang w:eastAsia="zh-Hans"/>
        </w:rPr>
        <w:t>。</w:t>
      </w:r>
    </w:p>
    <w:p w14:paraId="4F5D478B">
      <w:pPr>
        <w:widowControl w:val="0"/>
        <w:numPr>
          <w:ilvl w:val="0"/>
          <w:numId w:val="1"/>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内容必须填写真实、清楚，涂改无效，不得转让、买卖。</w:t>
      </w:r>
    </w:p>
    <w:tbl>
      <w:tblPr>
        <w:tblStyle w:val="14"/>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31"/>
      </w:tblGrid>
      <w:tr w14:paraId="567C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4428" w:type="dxa"/>
          </w:tcPr>
          <w:p w14:paraId="76DFEC35">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证件扫描件正面</w:t>
            </w:r>
          </w:p>
          <w:p w14:paraId="11418144">
            <w:pPr>
              <w:widowControl w:val="0"/>
              <w:spacing w:line="360" w:lineRule="auto"/>
              <w:jc w:val="center"/>
              <w:rPr>
                <w:rFonts w:ascii="Calibri" w:hAnsi="Calibri" w:eastAsia="宋体"/>
                <w:b/>
                <w:bCs/>
                <w:kern w:val="2"/>
                <w:szCs w:val="22"/>
                <w:lang w:eastAsia="zh-CN"/>
              </w:rPr>
            </w:pPr>
          </w:p>
          <w:p w14:paraId="126C83FC">
            <w:pPr>
              <w:widowControl w:val="0"/>
              <w:spacing w:line="360" w:lineRule="auto"/>
              <w:jc w:val="center"/>
              <w:rPr>
                <w:rFonts w:ascii="Calibri" w:hAnsi="Calibri" w:eastAsia="宋体"/>
                <w:kern w:val="2"/>
                <w:szCs w:val="22"/>
                <w:lang w:eastAsia="zh-CN"/>
              </w:rPr>
            </w:pPr>
          </w:p>
        </w:tc>
        <w:tc>
          <w:tcPr>
            <w:tcW w:w="4431" w:type="dxa"/>
          </w:tcPr>
          <w:p w14:paraId="12B9B431">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证件扫描件反面</w:t>
            </w:r>
          </w:p>
          <w:p w14:paraId="3C72F4AA">
            <w:pPr>
              <w:widowControl w:val="0"/>
              <w:spacing w:line="360" w:lineRule="auto"/>
              <w:jc w:val="center"/>
              <w:rPr>
                <w:rFonts w:ascii="Calibri" w:hAnsi="Calibri" w:eastAsia="宋体"/>
                <w:b/>
                <w:bCs/>
                <w:kern w:val="2"/>
                <w:szCs w:val="22"/>
                <w:lang w:eastAsia="zh-CN"/>
              </w:rPr>
            </w:pPr>
          </w:p>
          <w:p w14:paraId="49D21660">
            <w:pPr>
              <w:widowControl w:val="0"/>
              <w:spacing w:line="360" w:lineRule="auto"/>
              <w:jc w:val="center"/>
              <w:rPr>
                <w:rFonts w:ascii="Calibri" w:hAnsi="Calibri" w:eastAsia="宋体"/>
                <w:kern w:val="2"/>
                <w:szCs w:val="22"/>
                <w:lang w:eastAsia="zh-CN"/>
              </w:rPr>
            </w:pPr>
          </w:p>
        </w:tc>
      </w:tr>
    </w:tbl>
    <w:p w14:paraId="5CDB5982">
      <w:pPr>
        <w:widowControl w:val="0"/>
        <w:jc w:val="both"/>
        <w:rPr>
          <w:rFonts w:ascii="Calibri" w:hAnsi="Calibri" w:eastAsia="宋体"/>
          <w:kern w:val="2"/>
          <w:szCs w:val="22"/>
          <w:lang w:eastAsia="zh-CN"/>
        </w:rPr>
      </w:pPr>
    </w:p>
    <w:p w14:paraId="6C677B67">
      <w:pPr>
        <w:keepNext/>
        <w:keepLines/>
        <w:widowControl w:val="0"/>
        <w:spacing w:before="120" w:after="120" w:line="240" w:lineRule="auto"/>
        <w:jc w:val="center"/>
        <w:outlineLvl w:val="2"/>
        <w:rPr>
          <w:rFonts w:hint="eastAsia" w:ascii="黑体" w:hAnsi="宋体" w:eastAsia="黑体"/>
          <w:bCs/>
          <w:kern w:val="2"/>
          <w:szCs w:val="32"/>
          <w:lang w:eastAsia="zh-CN"/>
        </w:rPr>
      </w:pPr>
      <w:r>
        <w:rPr>
          <w:rFonts w:hint="eastAsia" w:ascii="黑体" w:hAnsi="宋体" w:eastAsia="黑体" w:cstheme="minorBidi"/>
          <w:bCs/>
          <w:kern w:val="2"/>
          <w:szCs w:val="32"/>
          <w:lang w:eastAsia="zh-CN"/>
        </w:rPr>
        <w:t>七、投标文件签署授权委托书</w:t>
      </w:r>
    </w:p>
    <w:p w14:paraId="5A27D79C">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本授权委托书声明：我</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（姓名）系</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（投标人名称）的法定代表人（负责人），现授权委托</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（姓名）为我单位签署本项目已递交的投标文件的法定代表人（负责人）的授权委托代理人，代理人全权代表我所签署的本项目已递交的投标文件内容我均承认。</w:t>
      </w:r>
    </w:p>
    <w:p w14:paraId="7B4F453D">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代理人无转委托权，特此委托。</w:t>
      </w:r>
    </w:p>
    <w:p w14:paraId="3DECCFA6">
      <w:pPr>
        <w:widowControl w:val="0"/>
        <w:spacing w:line="360" w:lineRule="auto"/>
        <w:ind w:firstLine="420" w:firstLineChars="200"/>
        <w:jc w:val="both"/>
        <w:rPr>
          <w:rFonts w:ascii="Calibri" w:hAnsi="Calibri" w:eastAsia="宋体"/>
          <w:kern w:val="2"/>
          <w:sz w:val="21"/>
          <w:szCs w:val="21"/>
          <w:lang w:eastAsia="zh-CN"/>
        </w:rPr>
      </w:pPr>
    </w:p>
    <w:p w14:paraId="046E9A09">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代理人：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378910F6">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身份证件号：</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，职务：</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3C499CA3">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，手机：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，电子邮箱：</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41CBE674">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授权委托日期：</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年</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 xml:space="preserve">月 </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日。</w:t>
      </w:r>
    </w:p>
    <w:p w14:paraId="14654C94">
      <w:pPr>
        <w:widowControl w:val="0"/>
        <w:spacing w:line="360" w:lineRule="auto"/>
        <w:ind w:firstLine="422" w:firstLineChars="200"/>
        <w:jc w:val="both"/>
        <w:rPr>
          <w:rFonts w:ascii="Calibri" w:hAnsi="Calibri" w:eastAsia="宋体"/>
          <w:b/>
          <w:color w:val="FF0000"/>
          <w:kern w:val="2"/>
          <w:sz w:val="21"/>
          <w:szCs w:val="21"/>
          <w:lang w:eastAsia="zh-CN"/>
        </w:rPr>
      </w:pPr>
      <w:r>
        <w:rPr>
          <w:rFonts w:hint="eastAsia" w:ascii="Calibri" w:hAnsi="Calibri" w:eastAsia="宋体" w:cstheme="minorBidi"/>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14"/>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19"/>
      </w:tblGrid>
      <w:tr w14:paraId="72B5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4419" w:type="dxa"/>
          </w:tcPr>
          <w:p w14:paraId="16747E65">
            <w:pPr>
              <w:widowControl w:val="0"/>
              <w:jc w:val="center"/>
              <w:rPr>
                <w:rFonts w:ascii="Calibri" w:hAnsi="Calibri" w:eastAsia="宋体"/>
                <w:kern w:val="2"/>
                <w:sz w:val="21"/>
                <w:szCs w:val="22"/>
                <w:lang w:eastAsia="zh-CN"/>
              </w:rPr>
            </w:pPr>
            <w:r>
              <w:rPr>
                <w:rFonts w:hint="eastAsia" w:hAnsi="Calibri" w:eastAsia="宋体" w:cstheme="minorBidi"/>
                <w:kern w:val="2"/>
                <w:sz w:val="21"/>
                <w:szCs w:val="22"/>
                <w:lang w:eastAsia="zh-CN"/>
              </w:rPr>
              <w:t>证件扫描件正面</w:t>
            </w:r>
          </w:p>
          <w:p w14:paraId="75A8FB79">
            <w:pPr>
              <w:widowControl w:val="0"/>
              <w:spacing w:line="360" w:lineRule="auto"/>
              <w:jc w:val="center"/>
              <w:rPr>
                <w:rFonts w:ascii="Calibri" w:hAnsi="Calibri" w:eastAsia="宋体"/>
                <w:b/>
                <w:bCs/>
                <w:kern w:val="2"/>
                <w:szCs w:val="22"/>
                <w:lang w:eastAsia="zh-CN"/>
              </w:rPr>
            </w:pPr>
          </w:p>
          <w:p w14:paraId="01DFBF3E">
            <w:pPr>
              <w:widowControl w:val="0"/>
              <w:spacing w:line="360" w:lineRule="auto"/>
              <w:jc w:val="center"/>
              <w:rPr>
                <w:rFonts w:ascii="Calibri" w:hAnsi="Calibri" w:eastAsia="宋体"/>
                <w:kern w:val="2"/>
                <w:szCs w:val="22"/>
                <w:lang w:eastAsia="zh-CN"/>
              </w:rPr>
            </w:pPr>
          </w:p>
        </w:tc>
        <w:tc>
          <w:tcPr>
            <w:tcW w:w="4420" w:type="dxa"/>
          </w:tcPr>
          <w:p w14:paraId="10308E0E">
            <w:pPr>
              <w:widowControl w:val="0"/>
              <w:jc w:val="center"/>
              <w:rPr>
                <w:rFonts w:ascii="Calibri" w:hAnsi="Calibri" w:eastAsia="宋体"/>
                <w:kern w:val="2"/>
                <w:sz w:val="21"/>
                <w:szCs w:val="22"/>
                <w:lang w:eastAsia="zh-CN"/>
              </w:rPr>
            </w:pPr>
            <w:r>
              <w:rPr>
                <w:rFonts w:hint="eastAsia" w:hAnsi="Calibri" w:eastAsia="宋体" w:cstheme="minorBidi"/>
                <w:kern w:val="2"/>
                <w:sz w:val="21"/>
                <w:szCs w:val="22"/>
                <w:lang w:eastAsia="zh-CN"/>
              </w:rPr>
              <w:t>证件扫描件反面</w:t>
            </w:r>
          </w:p>
          <w:p w14:paraId="53CABC95">
            <w:pPr>
              <w:widowControl w:val="0"/>
              <w:spacing w:line="360" w:lineRule="auto"/>
              <w:jc w:val="center"/>
              <w:rPr>
                <w:rFonts w:ascii="Calibri" w:hAnsi="Calibri" w:eastAsia="宋体"/>
                <w:b/>
                <w:bCs/>
                <w:kern w:val="2"/>
                <w:szCs w:val="22"/>
                <w:lang w:eastAsia="zh-CN"/>
              </w:rPr>
            </w:pPr>
          </w:p>
          <w:p w14:paraId="2F7FD845">
            <w:pPr>
              <w:widowControl w:val="0"/>
              <w:spacing w:line="360" w:lineRule="auto"/>
              <w:jc w:val="center"/>
              <w:rPr>
                <w:rFonts w:ascii="Calibri" w:hAnsi="Calibri" w:eastAsia="宋体"/>
                <w:kern w:val="2"/>
                <w:szCs w:val="22"/>
                <w:lang w:eastAsia="zh-CN"/>
              </w:rPr>
            </w:pPr>
          </w:p>
        </w:tc>
      </w:tr>
    </w:tbl>
    <w:p w14:paraId="14E0112C">
      <w:pPr>
        <w:widowControl w:val="0"/>
        <w:tabs>
          <w:tab w:val="left" w:pos="651"/>
        </w:tabs>
        <w:snapToGrid w:val="0"/>
        <w:jc w:val="center"/>
        <w:rPr>
          <w:rFonts w:ascii="黑体" w:hAnsi="Calibri" w:eastAsia="黑体"/>
          <w:lang w:eastAsia="zh-CN"/>
        </w:rPr>
      </w:pPr>
    </w:p>
    <w:p w14:paraId="1DD43EFE">
      <w:pPr>
        <w:widowControl w:val="0"/>
        <w:tabs>
          <w:tab w:val="left" w:pos="651"/>
        </w:tabs>
        <w:snapToGrid w:val="0"/>
        <w:jc w:val="center"/>
        <w:rPr>
          <w:rFonts w:ascii="黑体" w:hAnsi="Calibri" w:eastAsia="黑体"/>
          <w:lang w:eastAsia="zh-CN"/>
        </w:rPr>
      </w:pPr>
    </w:p>
    <w:p w14:paraId="31EAE963">
      <w:pPr>
        <w:widowControl w:val="0"/>
        <w:tabs>
          <w:tab w:val="left" w:pos="651"/>
        </w:tabs>
        <w:snapToGrid w:val="0"/>
        <w:jc w:val="center"/>
        <w:rPr>
          <w:rFonts w:ascii="黑体" w:hAnsi="Calibri" w:eastAsia="黑体"/>
          <w:lang w:eastAsia="zh-CN"/>
        </w:rPr>
      </w:pPr>
    </w:p>
    <w:p w14:paraId="3EBFA348">
      <w:pPr>
        <w:keepNext/>
        <w:keepLines/>
        <w:widowControl w:val="0"/>
        <w:spacing w:before="120" w:after="120" w:line="240" w:lineRule="auto"/>
        <w:jc w:val="center"/>
        <w:outlineLvl w:val="2"/>
        <w:rPr>
          <w:rFonts w:hint="eastAsia" w:ascii="黑体" w:hAnsi="宋体" w:eastAsia="黑体" w:cstheme="minorBidi"/>
          <w:bCs/>
          <w:kern w:val="2"/>
          <w:szCs w:val="32"/>
          <w:lang w:eastAsia="zh-CN"/>
        </w:rPr>
      </w:pPr>
      <w:r>
        <w:rPr>
          <w:rFonts w:hint="eastAsia" w:ascii="黑体" w:hAnsi="宋体" w:eastAsia="黑体" w:cstheme="minorBidi"/>
          <w:bCs/>
          <w:kern w:val="2"/>
          <w:szCs w:val="32"/>
          <w:lang w:eastAsia="zh-CN"/>
        </w:rPr>
        <w:t>八、</w:t>
      </w:r>
      <w:bookmarkStart w:id="33" w:name="_Hlk72092634"/>
      <w:r>
        <w:rPr>
          <w:rFonts w:hint="eastAsia" w:ascii="黑体" w:hAnsi="宋体" w:eastAsia="黑体" w:cstheme="minorBidi"/>
          <w:bCs/>
          <w:kern w:val="2"/>
          <w:szCs w:val="32"/>
          <w:lang w:eastAsia="zh-CN"/>
        </w:rPr>
        <w:t>实质性条款响应情况表</w:t>
      </w:r>
      <w:bookmarkEnd w:id="33"/>
    </w:p>
    <w:p w14:paraId="2682CA1B">
      <w:pPr>
        <w:widowControl w:val="0"/>
        <w:snapToGrid w:val="0"/>
        <w:jc w:val="both"/>
        <w:rPr>
          <w:rFonts w:ascii="Arial" w:hAnsi="Arial" w:eastAsia="宋体" w:cs="Arial"/>
          <w:kern w:val="2"/>
          <w:lang w:eastAsia="zh-CN"/>
        </w:rPr>
      </w:pPr>
      <w:r>
        <w:rPr>
          <w:rFonts w:hint="eastAsia" w:ascii="Arial" w:hAnsi="Arial" w:eastAsia="宋体" w:cs="Arial"/>
          <w:color w:val="000000"/>
          <w:kern w:val="2"/>
          <w:lang w:eastAsia="zh-CN"/>
        </w:rPr>
        <w:t>投标单位（投标人）名称：</w:t>
      </w:r>
    </w:p>
    <w:p w14:paraId="59B074E6">
      <w:pPr>
        <w:widowControl w:val="0"/>
        <w:snapToGrid w:val="0"/>
        <w:jc w:val="both"/>
        <w:rPr>
          <w:rFonts w:hint="eastAsia" w:ascii="宋体" w:hAnsi="宋体" w:eastAsia="宋体"/>
          <w:b/>
          <w:kern w:val="2"/>
          <w:lang w:eastAsia="zh-CN"/>
        </w:rPr>
      </w:pPr>
    </w:p>
    <w:tbl>
      <w:tblPr>
        <w:tblStyle w:val="13"/>
        <w:tblW w:w="5000"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69"/>
        <w:gridCol w:w="3671"/>
        <w:gridCol w:w="2049"/>
        <w:gridCol w:w="1631"/>
        <w:gridCol w:w="935"/>
      </w:tblGrid>
      <w:tr w14:paraId="3E44332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4A7763A9">
            <w:pPr>
              <w:widowControl w:val="0"/>
              <w:jc w:val="center"/>
              <w:rPr>
                <w:rFonts w:hint="eastAsia" w:ascii="宋体" w:hAnsi="宋体" w:eastAsia="宋体" w:cs="Arial"/>
                <w:b/>
                <w:kern w:val="2"/>
                <w:sz w:val="21"/>
                <w:szCs w:val="21"/>
                <w:lang w:eastAsia="zh-CN"/>
              </w:rPr>
            </w:pPr>
            <w:r>
              <w:rPr>
                <w:rFonts w:hint="eastAsia" w:ascii="宋体" w:hAnsi="宋体" w:eastAsia="宋体" w:cs="Arial"/>
                <w:b/>
                <w:kern w:val="2"/>
                <w:sz w:val="21"/>
                <w:szCs w:val="21"/>
                <w:lang w:eastAsia="zh-CN"/>
              </w:rPr>
              <w:t>序号</w:t>
            </w:r>
          </w:p>
        </w:tc>
        <w:tc>
          <w:tcPr>
            <w:tcW w:w="3901" w:type="dxa"/>
            <w:vAlign w:val="center"/>
          </w:tcPr>
          <w:p w14:paraId="764190C7">
            <w:pPr>
              <w:widowControl w:val="0"/>
              <w:jc w:val="center"/>
              <w:rPr>
                <w:rFonts w:hint="eastAsia" w:ascii="宋体" w:hAnsi="宋体" w:eastAsia="宋体" w:cs="Arial"/>
                <w:b/>
                <w:kern w:val="2"/>
                <w:sz w:val="21"/>
                <w:szCs w:val="21"/>
                <w:lang w:eastAsia="zh-CN"/>
              </w:rPr>
            </w:pPr>
            <w:r>
              <w:rPr>
                <w:rFonts w:hint="eastAsia" w:ascii="宋体" w:hAnsi="宋体" w:eastAsia="宋体" w:cs="Arial"/>
                <w:b/>
                <w:kern w:val="2"/>
                <w:sz w:val="21"/>
                <w:szCs w:val="21"/>
                <w:lang w:eastAsia="zh-CN"/>
              </w:rPr>
              <w:t>实质性条款具体内容</w:t>
            </w:r>
          </w:p>
        </w:tc>
        <w:tc>
          <w:tcPr>
            <w:tcW w:w="2176" w:type="dxa"/>
            <w:vAlign w:val="center"/>
          </w:tcPr>
          <w:p w14:paraId="04DB7502">
            <w:pPr>
              <w:widowControl w:val="0"/>
              <w:jc w:val="center"/>
              <w:rPr>
                <w:rFonts w:hint="eastAsia" w:ascii="宋体" w:hAnsi="宋体" w:eastAsia="宋体" w:cs="Arial"/>
                <w:b/>
                <w:kern w:val="2"/>
                <w:sz w:val="21"/>
                <w:szCs w:val="21"/>
                <w:lang w:eastAsia="zh-CN"/>
              </w:rPr>
            </w:pPr>
            <w:r>
              <w:rPr>
                <w:rFonts w:hint="eastAsia" w:ascii="宋体" w:hAnsi="宋体" w:eastAsia="宋体" w:cs="Arial"/>
                <w:b/>
                <w:kern w:val="2"/>
                <w:sz w:val="21"/>
                <w:szCs w:val="21"/>
                <w:lang w:eastAsia="zh-CN"/>
              </w:rPr>
              <w:t>投标文件响应</w:t>
            </w:r>
          </w:p>
        </w:tc>
        <w:tc>
          <w:tcPr>
            <w:tcW w:w="1732" w:type="dxa"/>
          </w:tcPr>
          <w:p w14:paraId="72DD18FF">
            <w:pPr>
              <w:widowControl w:val="0"/>
              <w:spacing w:before="156" w:beforeLines="50"/>
              <w:jc w:val="center"/>
              <w:rPr>
                <w:rFonts w:hint="eastAsia" w:ascii="宋体" w:hAnsi="宋体" w:eastAsia="宋体" w:cs="Arial"/>
                <w:b/>
                <w:kern w:val="2"/>
                <w:sz w:val="21"/>
                <w:szCs w:val="21"/>
                <w:lang w:eastAsia="zh-CN"/>
              </w:rPr>
            </w:pPr>
            <w:r>
              <w:rPr>
                <w:rFonts w:hint="eastAsia" w:ascii="宋体" w:hAnsi="宋体" w:eastAsia="宋体" w:cs="Arial"/>
                <w:b/>
                <w:kern w:val="2"/>
                <w:sz w:val="21"/>
                <w:szCs w:val="21"/>
                <w:lang w:eastAsia="zh-CN"/>
              </w:rPr>
              <w:t>偏离情况</w:t>
            </w:r>
          </w:p>
        </w:tc>
        <w:tc>
          <w:tcPr>
            <w:tcW w:w="992" w:type="dxa"/>
            <w:vAlign w:val="center"/>
          </w:tcPr>
          <w:p w14:paraId="0471A1F1">
            <w:pPr>
              <w:widowControl w:val="0"/>
              <w:jc w:val="center"/>
              <w:rPr>
                <w:rFonts w:hint="eastAsia" w:ascii="宋体" w:hAnsi="宋体" w:eastAsia="宋体" w:cs="Arial"/>
                <w:b/>
                <w:kern w:val="2"/>
                <w:sz w:val="21"/>
                <w:szCs w:val="21"/>
                <w:lang w:eastAsia="zh-CN"/>
              </w:rPr>
            </w:pPr>
            <w:r>
              <w:rPr>
                <w:rFonts w:hint="eastAsia" w:ascii="宋体" w:hAnsi="宋体" w:eastAsia="宋体" w:cs="Arial"/>
                <w:b/>
                <w:kern w:val="2"/>
                <w:sz w:val="21"/>
                <w:szCs w:val="21"/>
                <w:lang w:eastAsia="zh-CN"/>
              </w:rPr>
              <w:t>说明</w:t>
            </w:r>
          </w:p>
        </w:tc>
      </w:tr>
      <w:tr w14:paraId="41689E8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0504FC02">
            <w:pPr>
              <w:widowControl w:val="0"/>
              <w:spacing w:line="300" w:lineRule="auto"/>
              <w:jc w:val="center"/>
              <w:rPr>
                <w:rFonts w:hint="eastAsia" w:ascii="宋体" w:hAnsi="宋体" w:eastAsia="宋体"/>
                <w:b/>
                <w:color w:val="FF0000"/>
                <w:sz w:val="21"/>
                <w:szCs w:val="21"/>
                <w:lang w:eastAsia="zh-CN"/>
              </w:rPr>
            </w:pPr>
            <w:r>
              <w:rPr>
                <w:rFonts w:hint="eastAsia" w:ascii="宋体" w:hAnsi="宋体" w:eastAsia="宋体"/>
                <w:b/>
                <w:color w:val="FF0000"/>
                <w:sz w:val="21"/>
                <w:szCs w:val="21"/>
                <w:lang w:eastAsia="zh-CN"/>
              </w:rPr>
              <w:t>1</w:t>
            </w:r>
          </w:p>
        </w:tc>
        <w:tc>
          <w:tcPr>
            <w:tcW w:w="3901" w:type="dxa"/>
            <w:vAlign w:val="center"/>
          </w:tcPr>
          <w:p w14:paraId="5E405C25">
            <w:pPr>
              <w:widowControl w:val="0"/>
              <w:spacing w:line="300" w:lineRule="auto"/>
              <w:jc w:val="center"/>
              <w:rPr>
                <w:rFonts w:hint="eastAsia" w:ascii="宋体" w:hAnsi="宋体" w:eastAsia="宋体"/>
                <w:b/>
                <w:color w:val="FF0000"/>
                <w:sz w:val="21"/>
                <w:szCs w:val="21"/>
                <w:lang w:eastAsia="zh-CN"/>
              </w:rPr>
            </w:pPr>
            <w:r>
              <w:rPr>
                <w:rFonts w:hint="eastAsia" w:ascii="宋体" w:hAnsi="宋体" w:eastAsia="宋体"/>
                <w:b/>
                <w:color w:val="FF0000"/>
                <w:sz w:val="21"/>
                <w:szCs w:val="21"/>
                <w:lang w:eastAsia="zh-CN"/>
              </w:rPr>
              <w:t>本项目招标文件中所有带★号条款内容</w:t>
            </w:r>
          </w:p>
        </w:tc>
        <w:tc>
          <w:tcPr>
            <w:tcW w:w="2176" w:type="dxa"/>
            <w:vAlign w:val="center"/>
          </w:tcPr>
          <w:p w14:paraId="253BC95C">
            <w:pPr>
              <w:widowControl w:val="0"/>
              <w:spacing w:line="300" w:lineRule="auto"/>
              <w:jc w:val="center"/>
              <w:rPr>
                <w:rFonts w:hint="eastAsia" w:ascii="宋体" w:hAnsi="宋体" w:eastAsia="宋体"/>
                <w:b/>
                <w:sz w:val="21"/>
                <w:szCs w:val="21"/>
                <w:lang w:eastAsia="zh-CN"/>
              </w:rPr>
            </w:pPr>
            <w:r>
              <w:rPr>
                <w:rFonts w:hint="eastAsia" w:ascii="宋体" w:hAnsi="宋体" w:eastAsia="宋体"/>
                <w:b/>
                <w:sz w:val="21"/>
                <w:szCs w:val="21"/>
                <w:lang w:eastAsia="zh-CN"/>
              </w:rPr>
              <w:t>完全响应</w:t>
            </w:r>
          </w:p>
        </w:tc>
        <w:tc>
          <w:tcPr>
            <w:tcW w:w="1732" w:type="dxa"/>
            <w:vAlign w:val="center"/>
          </w:tcPr>
          <w:p w14:paraId="4CECB036">
            <w:pPr>
              <w:widowControl w:val="0"/>
              <w:spacing w:line="300" w:lineRule="auto"/>
              <w:jc w:val="center"/>
              <w:rPr>
                <w:rFonts w:hint="eastAsia" w:ascii="宋体" w:hAnsi="宋体" w:eastAsia="宋体"/>
                <w:b/>
                <w:sz w:val="21"/>
                <w:szCs w:val="21"/>
                <w:lang w:eastAsia="zh-CN"/>
              </w:rPr>
            </w:pPr>
            <w:r>
              <w:rPr>
                <w:rFonts w:hint="eastAsia" w:ascii="宋体" w:hAnsi="宋体" w:eastAsia="宋体"/>
                <w:b/>
                <w:sz w:val="21"/>
                <w:szCs w:val="21"/>
                <w:lang w:eastAsia="zh-CN"/>
              </w:rPr>
              <w:t>无偏离</w:t>
            </w:r>
          </w:p>
        </w:tc>
        <w:tc>
          <w:tcPr>
            <w:tcW w:w="992" w:type="dxa"/>
            <w:vAlign w:val="center"/>
          </w:tcPr>
          <w:p w14:paraId="1456DCC1">
            <w:pPr>
              <w:widowControl w:val="0"/>
              <w:spacing w:line="300" w:lineRule="auto"/>
              <w:jc w:val="center"/>
              <w:rPr>
                <w:rFonts w:hint="eastAsia" w:ascii="宋体" w:hAnsi="宋体" w:eastAsia="宋体"/>
                <w:b/>
                <w:color w:val="FF0000"/>
                <w:sz w:val="21"/>
                <w:szCs w:val="21"/>
                <w:lang w:eastAsia="zh-CN"/>
              </w:rPr>
            </w:pPr>
          </w:p>
        </w:tc>
      </w:tr>
    </w:tbl>
    <w:p w14:paraId="4EA844E5">
      <w:pPr>
        <w:widowControl w:val="0"/>
        <w:snapToGrid w:val="0"/>
        <w:jc w:val="both"/>
        <w:rPr>
          <w:rFonts w:hint="eastAsia" w:ascii="宋体" w:hAnsi="宋体" w:eastAsia="宋体"/>
          <w:kern w:val="2"/>
          <w:lang w:eastAsia="zh-CN"/>
        </w:rPr>
      </w:pPr>
    </w:p>
    <w:p w14:paraId="7C4D9850">
      <w:pPr>
        <w:widowControl w:val="0"/>
        <w:snapToGrid w:val="0"/>
        <w:jc w:val="both"/>
        <w:rPr>
          <w:rFonts w:hint="eastAsia" w:ascii="宋体" w:hAnsi="宋体" w:eastAsia="宋体"/>
          <w:b/>
          <w:kern w:val="2"/>
          <w:lang w:eastAsia="zh-CN"/>
        </w:rPr>
      </w:pPr>
      <w:r>
        <w:rPr>
          <w:rFonts w:hint="eastAsia" w:ascii="宋体" w:hAnsi="宋体" w:eastAsia="宋体"/>
          <w:b/>
          <w:kern w:val="2"/>
          <w:lang w:eastAsia="zh-CN"/>
        </w:rPr>
        <w:t>填写说明：</w:t>
      </w:r>
    </w:p>
    <w:p w14:paraId="1E234E4B">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1、上表所列各项均为不可负偏离条款。</w:t>
      </w:r>
    </w:p>
    <w:p w14:paraId="1936BB96">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2、“投标文件响应”一栏应当详细填写投标人自身响应情况，而不能不合理照搬照抄招标文件实质性条款具体内容。</w:t>
      </w:r>
      <w:r>
        <w:rPr>
          <w:rFonts w:hint="eastAsia" w:ascii="宋体" w:hAnsi="宋体" w:eastAsia="宋体" w:cs="宋体"/>
          <w:b/>
          <w:bCs/>
          <w:kern w:val="2"/>
          <w:lang w:eastAsia="zh-CN"/>
        </w:rPr>
        <w:t>如完全满足实质性条款具体内容可填写“完全响应”，除招标文件另有注明外，不强制要求逐条列出响应。</w:t>
      </w:r>
    </w:p>
    <w:p w14:paraId="56C9A429">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3、“偏离情况”一栏应填写</w:t>
      </w:r>
      <w:r>
        <w:rPr>
          <w:rFonts w:hint="eastAsia" w:ascii="宋体" w:hAnsi="宋体" w:eastAsia="宋体" w:cs="宋体"/>
          <w:kern w:val="2"/>
          <w:lang w:eastAsia="zh-CN"/>
        </w:rPr>
        <w:t>“</w:t>
      </w:r>
      <w:r>
        <w:rPr>
          <w:rFonts w:hint="eastAsia" w:ascii="宋体" w:hAnsi="宋体" w:eastAsia="宋体" w:cs="宋体"/>
          <w:b/>
          <w:bCs/>
          <w:kern w:val="2"/>
          <w:lang w:eastAsia="zh-CN"/>
        </w:rPr>
        <w:t>正偏离</w:t>
      </w:r>
      <w:r>
        <w:rPr>
          <w:rFonts w:hint="eastAsia" w:ascii="宋体" w:hAnsi="宋体" w:eastAsia="宋体" w:cs="宋体"/>
          <w:kern w:val="2"/>
          <w:lang w:eastAsia="zh-CN"/>
        </w:rPr>
        <w:t>”或“</w:t>
      </w:r>
      <w:r>
        <w:rPr>
          <w:rFonts w:hint="eastAsia" w:ascii="宋体" w:hAnsi="宋体" w:eastAsia="宋体" w:cs="宋体"/>
          <w:b/>
          <w:bCs/>
          <w:kern w:val="2"/>
          <w:lang w:eastAsia="zh-CN"/>
        </w:rPr>
        <w:t>负偏离</w:t>
      </w:r>
      <w:r>
        <w:rPr>
          <w:rFonts w:hint="eastAsia" w:ascii="宋体" w:hAnsi="宋体" w:eastAsia="宋体" w:cs="宋体"/>
          <w:kern w:val="2"/>
          <w:lang w:eastAsia="zh-CN"/>
        </w:rPr>
        <w:t>”或“</w:t>
      </w:r>
      <w:r>
        <w:rPr>
          <w:rFonts w:hint="eastAsia" w:ascii="宋体" w:hAnsi="宋体" w:eastAsia="宋体" w:cs="宋体"/>
          <w:b/>
          <w:bCs/>
          <w:kern w:val="2"/>
          <w:lang w:eastAsia="zh-CN"/>
        </w:rPr>
        <w:t>无偏离</w:t>
      </w:r>
      <w:r>
        <w:rPr>
          <w:rFonts w:hint="eastAsia" w:ascii="宋体" w:hAnsi="宋体" w:eastAsia="宋体" w:cs="宋体"/>
          <w:kern w:val="2"/>
          <w:lang w:eastAsia="zh-CN"/>
        </w:rPr>
        <w:t>”</w:t>
      </w:r>
      <w:r>
        <w:rPr>
          <w:rFonts w:hint="eastAsia" w:ascii="宋体" w:hAnsi="宋体" w:eastAsia="宋体" w:cs="宋体"/>
          <w:bCs/>
          <w:kern w:val="2"/>
          <w:lang w:eastAsia="zh-CN"/>
        </w:rPr>
        <w:t>，“正偏离”表示“投标响应优于实质性条款具体内容要求”，“负偏离”表示“投标响应不满足实质性条款具体内容要求”，“无偏离”表示“投标响应与实质性条款具体内容要求一致”。</w:t>
      </w:r>
    </w:p>
    <w:p w14:paraId="7948EA21">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4、评审委员会有权对投标响应情况作出判断。</w:t>
      </w:r>
    </w:p>
    <w:p w14:paraId="126C5DE9">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5、实质性响应条款“投标响应情况”与投标文件其它内容冲突的，以实质性响应条款“投标响应情况”为准。</w:t>
      </w:r>
    </w:p>
    <w:p w14:paraId="0519E196">
      <w:pPr>
        <w:widowControl w:val="0"/>
        <w:spacing w:line="276" w:lineRule="auto"/>
        <w:ind w:firstLine="480" w:firstLineChars="200"/>
        <w:jc w:val="both"/>
        <w:rPr>
          <w:rFonts w:hint="eastAsia" w:ascii="宋体" w:hAnsi="宋体" w:eastAsia="宋体"/>
          <w:b/>
          <w:bCs/>
          <w:szCs w:val="20"/>
          <w:lang w:eastAsia="zh-CN"/>
        </w:rPr>
      </w:pPr>
      <w:r>
        <w:rPr>
          <w:rFonts w:hint="eastAsia" w:ascii="宋体" w:hAnsi="宋体" w:eastAsia="宋体" w:cs="宋体"/>
          <w:bCs/>
          <w:kern w:val="2"/>
          <w:lang w:eastAsia="zh-CN"/>
        </w:rPr>
        <w:t>6、以上实质性条款中要求提供证明材料，需如实提供证明材料扫描件，在“说明”一栏中列明证明材料的位置，以便评审；未要求提供证明材料的，投标人可以不提供。</w:t>
      </w:r>
    </w:p>
    <w:p w14:paraId="31176920">
      <w:pPr>
        <w:keepNext/>
        <w:keepLines/>
        <w:widowControl w:val="0"/>
        <w:spacing w:before="260" w:after="260" w:line="240" w:lineRule="auto"/>
        <w:jc w:val="center"/>
        <w:outlineLvl w:val="2"/>
        <w:rPr>
          <w:rFonts w:hint="eastAsia" w:ascii="宋体" w:hAnsi="宋体" w:eastAsia="宋体"/>
          <w:b/>
          <w:bCs/>
          <w:kern w:val="2"/>
          <w:szCs w:val="32"/>
          <w:lang w:eastAsia="zh-CN"/>
        </w:rPr>
      </w:pPr>
      <w:r>
        <w:rPr>
          <w:rFonts w:hint="eastAsia" w:ascii="黑体" w:hAnsi="宋体" w:eastAsia="黑体" w:cstheme="minorBidi"/>
          <w:kern w:val="2"/>
          <w:szCs w:val="20"/>
          <w:lang w:eastAsia="zh-CN"/>
        </w:rPr>
        <w:t>九、</w:t>
      </w:r>
      <w:r>
        <w:rPr>
          <w:rFonts w:hint="eastAsia" w:ascii="黑体" w:hAnsi="宋体" w:eastAsia="黑体" w:cstheme="minorBidi"/>
          <w:bCs/>
          <w:kern w:val="2"/>
          <w:lang w:eastAsia="zh-CN"/>
        </w:rPr>
        <w:t>技术要求偏离表</w:t>
      </w:r>
    </w:p>
    <w:tbl>
      <w:tblPr>
        <w:tblStyle w:val="13"/>
        <w:tblW w:w="5000" w:type="pct"/>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781"/>
        <w:gridCol w:w="3839"/>
        <w:gridCol w:w="2654"/>
        <w:gridCol w:w="718"/>
        <w:gridCol w:w="395"/>
      </w:tblGrid>
      <w:tr w14:paraId="4CB8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4" w:type="dxa"/>
            <w:vAlign w:val="center"/>
          </w:tcPr>
          <w:p w14:paraId="5B698B19">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Cs w:val="22"/>
                <w:lang w:eastAsia="zh-CN"/>
              </w:rPr>
              <w:t>序号</w:t>
            </w:r>
          </w:p>
        </w:tc>
        <w:tc>
          <w:tcPr>
            <w:tcW w:w="772" w:type="dxa"/>
            <w:vAlign w:val="center"/>
          </w:tcPr>
          <w:p w14:paraId="313EF131">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Cs w:val="22"/>
                <w:lang w:eastAsia="zh-CN"/>
              </w:rPr>
              <w:t>货物名称</w:t>
            </w:r>
          </w:p>
        </w:tc>
        <w:tc>
          <w:tcPr>
            <w:tcW w:w="3795" w:type="dxa"/>
            <w:vAlign w:val="center"/>
          </w:tcPr>
          <w:p w14:paraId="67F47255">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Cs w:val="22"/>
                <w:lang w:eastAsia="zh-CN"/>
              </w:rPr>
              <w:t>招标技术要求</w:t>
            </w:r>
          </w:p>
        </w:tc>
        <w:tc>
          <w:tcPr>
            <w:tcW w:w="2623" w:type="dxa"/>
            <w:vAlign w:val="center"/>
          </w:tcPr>
          <w:p w14:paraId="2F97A8EC">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Cs w:val="22"/>
                <w:lang w:eastAsia="zh-CN"/>
              </w:rPr>
              <w:t>投标技术响应</w:t>
            </w:r>
          </w:p>
        </w:tc>
        <w:tc>
          <w:tcPr>
            <w:tcW w:w="710" w:type="dxa"/>
            <w:vAlign w:val="center"/>
          </w:tcPr>
          <w:p w14:paraId="24961947">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Cs w:val="22"/>
                <w:lang w:eastAsia="zh-CN"/>
              </w:rPr>
              <w:t>偏离情况</w:t>
            </w:r>
          </w:p>
        </w:tc>
        <w:tc>
          <w:tcPr>
            <w:tcW w:w="390" w:type="dxa"/>
            <w:vAlign w:val="center"/>
          </w:tcPr>
          <w:p w14:paraId="54AE2BA4">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Cs w:val="22"/>
                <w:lang w:eastAsia="zh-CN"/>
              </w:rPr>
              <w:t>说明</w:t>
            </w:r>
          </w:p>
        </w:tc>
      </w:tr>
      <w:tr w14:paraId="5FC7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restart"/>
            <w:vAlign w:val="center"/>
          </w:tcPr>
          <w:p w14:paraId="4BA8335C">
            <w:pPr>
              <w:widowControl w:val="0"/>
              <w:jc w:val="center"/>
              <w:rPr>
                <w:rFonts w:ascii="Calibri" w:hAnsi="Calibri" w:eastAsia="宋体"/>
                <w:color w:val="000000"/>
                <w:kern w:val="2"/>
                <w:sz w:val="21"/>
                <w:szCs w:val="21"/>
                <w:lang w:eastAsia="zh-CN"/>
              </w:rPr>
            </w:pPr>
            <w:r>
              <w:rPr>
                <w:rFonts w:ascii="Calibri" w:hAnsi="Calibri" w:eastAsia="宋体" w:cstheme="minorBidi"/>
                <w:color w:val="000000"/>
                <w:kern w:val="2"/>
                <w:sz w:val="21"/>
                <w:szCs w:val="21"/>
                <w:lang w:eastAsia="zh-CN"/>
              </w:rPr>
              <w:t>1</w:t>
            </w:r>
          </w:p>
        </w:tc>
        <w:tc>
          <w:tcPr>
            <w:tcW w:w="772" w:type="dxa"/>
            <w:vMerge w:val="restart"/>
            <w:vAlign w:val="center"/>
          </w:tcPr>
          <w:p w14:paraId="53DFD7A0">
            <w:pPr>
              <w:widowControl w:val="0"/>
              <w:jc w:val="center"/>
              <w:rPr>
                <w:rFonts w:ascii="Calibri" w:hAnsi="Calibri" w:eastAsia="宋体"/>
                <w:color w:val="000000"/>
                <w:kern w:val="2"/>
                <w:sz w:val="21"/>
                <w:szCs w:val="21"/>
                <w:lang w:eastAsia="zh-CN"/>
              </w:rPr>
            </w:pPr>
          </w:p>
        </w:tc>
        <w:tc>
          <w:tcPr>
            <w:tcW w:w="3795" w:type="dxa"/>
          </w:tcPr>
          <w:p w14:paraId="71FB1825">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4EA1F570">
            <w:pPr>
              <w:widowControl w:val="0"/>
              <w:jc w:val="both"/>
              <w:rPr>
                <w:rFonts w:ascii="Calibri" w:hAnsi="Calibri" w:eastAsia="宋体"/>
                <w:color w:val="000000"/>
                <w:kern w:val="2"/>
                <w:sz w:val="21"/>
                <w:szCs w:val="21"/>
                <w:lang w:eastAsia="zh-CN"/>
              </w:rPr>
            </w:pPr>
          </w:p>
        </w:tc>
        <w:tc>
          <w:tcPr>
            <w:tcW w:w="710" w:type="dxa"/>
          </w:tcPr>
          <w:p w14:paraId="56BCCF1C">
            <w:pPr>
              <w:widowControl w:val="0"/>
              <w:jc w:val="both"/>
              <w:rPr>
                <w:rFonts w:ascii="Calibri" w:hAnsi="Calibri" w:eastAsia="宋体"/>
                <w:color w:val="000000"/>
                <w:kern w:val="2"/>
                <w:sz w:val="21"/>
                <w:szCs w:val="21"/>
                <w:lang w:eastAsia="zh-CN"/>
              </w:rPr>
            </w:pPr>
          </w:p>
        </w:tc>
        <w:tc>
          <w:tcPr>
            <w:tcW w:w="390" w:type="dxa"/>
          </w:tcPr>
          <w:p w14:paraId="34082EF4">
            <w:pPr>
              <w:widowControl w:val="0"/>
              <w:jc w:val="both"/>
              <w:rPr>
                <w:rFonts w:ascii="Calibri" w:hAnsi="Calibri" w:eastAsia="宋体"/>
                <w:color w:val="000000"/>
                <w:kern w:val="2"/>
                <w:sz w:val="21"/>
                <w:szCs w:val="21"/>
                <w:lang w:eastAsia="zh-CN"/>
              </w:rPr>
            </w:pPr>
          </w:p>
        </w:tc>
      </w:tr>
      <w:tr w14:paraId="1181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6E6CBB80">
            <w:pPr>
              <w:widowControl w:val="0"/>
              <w:jc w:val="center"/>
              <w:rPr>
                <w:rFonts w:ascii="Calibri" w:hAnsi="Calibri" w:eastAsia="宋体"/>
                <w:color w:val="000000"/>
                <w:kern w:val="2"/>
                <w:sz w:val="21"/>
                <w:szCs w:val="21"/>
                <w:lang w:eastAsia="zh-CN"/>
              </w:rPr>
            </w:pPr>
          </w:p>
        </w:tc>
        <w:tc>
          <w:tcPr>
            <w:tcW w:w="772" w:type="dxa"/>
            <w:vMerge w:val="continue"/>
            <w:vAlign w:val="center"/>
          </w:tcPr>
          <w:p w14:paraId="79F57FDC">
            <w:pPr>
              <w:widowControl w:val="0"/>
              <w:jc w:val="center"/>
              <w:rPr>
                <w:rFonts w:ascii="Calibri" w:hAnsi="Calibri" w:eastAsia="宋体"/>
                <w:color w:val="000000"/>
                <w:kern w:val="2"/>
                <w:sz w:val="21"/>
                <w:szCs w:val="21"/>
                <w:lang w:eastAsia="zh-CN"/>
              </w:rPr>
            </w:pPr>
          </w:p>
        </w:tc>
        <w:tc>
          <w:tcPr>
            <w:tcW w:w="3795" w:type="dxa"/>
          </w:tcPr>
          <w:p w14:paraId="6F610115">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6128042E">
            <w:pPr>
              <w:widowControl w:val="0"/>
              <w:jc w:val="both"/>
              <w:rPr>
                <w:rFonts w:ascii="Calibri" w:hAnsi="Calibri" w:eastAsia="宋体"/>
                <w:color w:val="000000"/>
                <w:kern w:val="2"/>
                <w:sz w:val="21"/>
                <w:szCs w:val="21"/>
                <w:lang w:eastAsia="zh-CN"/>
              </w:rPr>
            </w:pPr>
          </w:p>
        </w:tc>
        <w:tc>
          <w:tcPr>
            <w:tcW w:w="710" w:type="dxa"/>
          </w:tcPr>
          <w:p w14:paraId="03CAA675">
            <w:pPr>
              <w:widowControl w:val="0"/>
              <w:jc w:val="both"/>
              <w:rPr>
                <w:rFonts w:ascii="Calibri" w:hAnsi="Calibri" w:eastAsia="宋体"/>
                <w:color w:val="000000"/>
                <w:kern w:val="2"/>
                <w:sz w:val="21"/>
                <w:szCs w:val="21"/>
                <w:lang w:eastAsia="zh-CN"/>
              </w:rPr>
            </w:pPr>
          </w:p>
        </w:tc>
        <w:tc>
          <w:tcPr>
            <w:tcW w:w="390" w:type="dxa"/>
          </w:tcPr>
          <w:p w14:paraId="6A36F206">
            <w:pPr>
              <w:widowControl w:val="0"/>
              <w:jc w:val="both"/>
              <w:rPr>
                <w:rFonts w:ascii="Calibri" w:hAnsi="Calibri" w:eastAsia="宋体"/>
                <w:color w:val="000000"/>
                <w:kern w:val="2"/>
                <w:sz w:val="21"/>
                <w:szCs w:val="21"/>
                <w:lang w:eastAsia="zh-CN"/>
              </w:rPr>
            </w:pPr>
          </w:p>
        </w:tc>
      </w:tr>
      <w:tr w14:paraId="7FCD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7295DEC3">
            <w:pPr>
              <w:widowControl w:val="0"/>
              <w:jc w:val="center"/>
              <w:rPr>
                <w:rFonts w:ascii="Calibri" w:hAnsi="Calibri" w:eastAsia="宋体"/>
                <w:color w:val="000000"/>
                <w:kern w:val="2"/>
                <w:sz w:val="21"/>
                <w:szCs w:val="21"/>
                <w:lang w:eastAsia="zh-CN"/>
              </w:rPr>
            </w:pPr>
          </w:p>
        </w:tc>
        <w:tc>
          <w:tcPr>
            <w:tcW w:w="772" w:type="dxa"/>
            <w:vMerge w:val="continue"/>
            <w:vAlign w:val="center"/>
          </w:tcPr>
          <w:p w14:paraId="447C981E">
            <w:pPr>
              <w:widowControl w:val="0"/>
              <w:jc w:val="center"/>
              <w:rPr>
                <w:rFonts w:ascii="Calibri" w:hAnsi="Calibri" w:eastAsia="宋体"/>
                <w:color w:val="000000"/>
                <w:kern w:val="2"/>
                <w:sz w:val="21"/>
                <w:szCs w:val="21"/>
                <w:lang w:eastAsia="zh-CN"/>
              </w:rPr>
            </w:pPr>
          </w:p>
        </w:tc>
        <w:tc>
          <w:tcPr>
            <w:tcW w:w="3795" w:type="dxa"/>
          </w:tcPr>
          <w:p w14:paraId="7D023884">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03D01ACB">
            <w:pPr>
              <w:widowControl w:val="0"/>
              <w:jc w:val="both"/>
              <w:rPr>
                <w:rFonts w:ascii="Calibri" w:hAnsi="Calibri" w:eastAsia="宋体"/>
                <w:color w:val="000000"/>
                <w:kern w:val="2"/>
                <w:sz w:val="21"/>
                <w:szCs w:val="21"/>
                <w:lang w:eastAsia="zh-CN"/>
              </w:rPr>
            </w:pPr>
          </w:p>
        </w:tc>
        <w:tc>
          <w:tcPr>
            <w:tcW w:w="710" w:type="dxa"/>
          </w:tcPr>
          <w:p w14:paraId="4B6F005C">
            <w:pPr>
              <w:widowControl w:val="0"/>
              <w:jc w:val="both"/>
              <w:rPr>
                <w:rFonts w:ascii="Calibri" w:hAnsi="Calibri" w:eastAsia="宋体"/>
                <w:color w:val="000000"/>
                <w:kern w:val="2"/>
                <w:sz w:val="21"/>
                <w:szCs w:val="21"/>
                <w:lang w:eastAsia="zh-CN"/>
              </w:rPr>
            </w:pPr>
          </w:p>
        </w:tc>
        <w:tc>
          <w:tcPr>
            <w:tcW w:w="390" w:type="dxa"/>
          </w:tcPr>
          <w:p w14:paraId="074086B1">
            <w:pPr>
              <w:widowControl w:val="0"/>
              <w:jc w:val="both"/>
              <w:rPr>
                <w:rFonts w:ascii="Calibri" w:hAnsi="Calibri" w:eastAsia="宋体"/>
                <w:color w:val="000000"/>
                <w:kern w:val="2"/>
                <w:sz w:val="21"/>
                <w:szCs w:val="21"/>
                <w:lang w:eastAsia="zh-CN"/>
              </w:rPr>
            </w:pPr>
          </w:p>
        </w:tc>
      </w:tr>
      <w:tr w14:paraId="1F48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33084317">
            <w:pPr>
              <w:widowControl w:val="0"/>
              <w:jc w:val="center"/>
              <w:rPr>
                <w:rFonts w:ascii="Calibri" w:hAnsi="Calibri" w:eastAsia="宋体"/>
                <w:color w:val="000000"/>
                <w:kern w:val="2"/>
                <w:sz w:val="21"/>
                <w:szCs w:val="21"/>
                <w:lang w:eastAsia="zh-CN"/>
              </w:rPr>
            </w:pPr>
          </w:p>
        </w:tc>
        <w:tc>
          <w:tcPr>
            <w:tcW w:w="772" w:type="dxa"/>
            <w:vMerge w:val="continue"/>
            <w:vAlign w:val="center"/>
          </w:tcPr>
          <w:p w14:paraId="41C4AB4F">
            <w:pPr>
              <w:widowControl w:val="0"/>
              <w:jc w:val="center"/>
              <w:rPr>
                <w:rFonts w:ascii="Calibri" w:hAnsi="Calibri" w:eastAsia="宋体"/>
                <w:color w:val="000000"/>
                <w:kern w:val="2"/>
                <w:sz w:val="21"/>
                <w:szCs w:val="21"/>
                <w:lang w:eastAsia="zh-CN"/>
              </w:rPr>
            </w:pPr>
          </w:p>
        </w:tc>
        <w:tc>
          <w:tcPr>
            <w:tcW w:w="3795" w:type="dxa"/>
          </w:tcPr>
          <w:p w14:paraId="320CC8FE">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51213D90">
            <w:pPr>
              <w:widowControl w:val="0"/>
              <w:jc w:val="both"/>
              <w:rPr>
                <w:rFonts w:ascii="Calibri" w:hAnsi="Calibri" w:eastAsia="宋体"/>
                <w:color w:val="000000"/>
                <w:kern w:val="2"/>
                <w:sz w:val="21"/>
                <w:szCs w:val="21"/>
                <w:lang w:eastAsia="zh-CN"/>
              </w:rPr>
            </w:pPr>
          </w:p>
        </w:tc>
        <w:tc>
          <w:tcPr>
            <w:tcW w:w="710" w:type="dxa"/>
          </w:tcPr>
          <w:p w14:paraId="06B4D383">
            <w:pPr>
              <w:widowControl w:val="0"/>
              <w:jc w:val="both"/>
              <w:rPr>
                <w:rFonts w:ascii="Calibri" w:hAnsi="Calibri" w:eastAsia="宋体"/>
                <w:color w:val="000000"/>
                <w:kern w:val="2"/>
                <w:sz w:val="21"/>
                <w:szCs w:val="21"/>
                <w:lang w:eastAsia="zh-CN"/>
              </w:rPr>
            </w:pPr>
          </w:p>
        </w:tc>
        <w:tc>
          <w:tcPr>
            <w:tcW w:w="390" w:type="dxa"/>
          </w:tcPr>
          <w:p w14:paraId="70C957FE">
            <w:pPr>
              <w:widowControl w:val="0"/>
              <w:jc w:val="both"/>
              <w:rPr>
                <w:rFonts w:ascii="Calibri" w:hAnsi="Calibri" w:eastAsia="宋体"/>
                <w:color w:val="000000"/>
                <w:kern w:val="2"/>
                <w:sz w:val="21"/>
                <w:szCs w:val="21"/>
                <w:lang w:eastAsia="zh-CN"/>
              </w:rPr>
            </w:pPr>
          </w:p>
        </w:tc>
      </w:tr>
      <w:tr w14:paraId="6D99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4F51F0B1">
            <w:pPr>
              <w:widowControl w:val="0"/>
              <w:jc w:val="center"/>
              <w:rPr>
                <w:rFonts w:ascii="Calibri" w:hAnsi="Calibri" w:eastAsia="宋体"/>
                <w:color w:val="000000"/>
                <w:kern w:val="2"/>
                <w:sz w:val="21"/>
                <w:szCs w:val="21"/>
                <w:lang w:eastAsia="zh-CN"/>
              </w:rPr>
            </w:pPr>
          </w:p>
        </w:tc>
        <w:tc>
          <w:tcPr>
            <w:tcW w:w="772" w:type="dxa"/>
            <w:vMerge w:val="continue"/>
            <w:vAlign w:val="center"/>
          </w:tcPr>
          <w:p w14:paraId="3992595D">
            <w:pPr>
              <w:widowControl w:val="0"/>
              <w:jc w:val="center"/>
              <w:rPr>
                <w:rFonts w:ascii="Calibri" w:hAnsi="Calibri" w:eastAsia="宋体"/>
                <w:color w:val="000000"/>
                <w:kern w:val="2"/>
                <w:sz w:val="21"/>
                <w:szCs w:val="21"/>
                <w:lang w:eastAsia="zh-CN"/>
              </w:rPr>
            </w:pPr>
          </w:p>
        </w:tc>
        <w:tc>
          <w:tcPr>
            <w:tcW w:w="3795" w:type="dxa"/>
          </w:tcPr>
          <w:p w14:paraId="73B0F03E">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0BEE4B03">
            <w:pPr>
              <w:widowControl w:val="0"/>
              <w:jc w:val="both"/>
              <w:rPr>
                <w:rFonts w:ascii="Calibri" w:hAnsi="Calibri" w:eastAsia="宋体"/>
                <w:color w:val="000000"/>
                <w:kern w:val="2"/>
                <w:sz w:val="21"/>
                <w:szCs w:val="21"/>
                <w:lang w:eastAsia="zh-CN"/>
              </w:rPr>
            </w:pPr>
          </w:p>
        </w:tc>
        <w:tc>
          <w:tcPr>
            <w:tcW w:w="710" w:type="dxa"/>
          </w:tcPr>
          <w:p w14:paraId="0397A9BA">
            <w:pPr>
              <w:widowControl w:val="0"/>
              <w:jc w:val="both"/>
              <w:rPr>
                <w:rFonts w:ascii="Calibri" w:hAnsi="Calibri" w:eastAsia="宋体"/>
                <w:color w:val="000000"/>
                <w:kern w:val="2"/>
                <w:sz w:val="21"/>
                <w:szCs w:val="21"/>
                <w:lang w:eastAsia="zh-CN"/>
              </w:rPr>
            </w:pPr>
          </w:p>
        </w:tc>
        <w:tc>
          <w:tcPr>
            <w:tcW w:w="390" w:type="dxa"/>
          </w:tcPr>
          <w:p w14:paraId="0E185314">
            <w:pPr>
              <w:widowControl w:val="0"/>
              <w:jc w:val="both"/>
              <w:rPr>
                <w:rFonts w:ascii="Calibri" w:hAnsi="Calibri" w:eastAsia="宋体"/>
                <w:color w:val="000000"/>
                <w:kern w:val="2"/>
                <w:sz w:val="21"/>
                <w:szCs w:val="21"/>
                <w:lang w:eastAsia="zh-CN"/>
              </w:rPr>
            </w:pPr>
          </w:p>
        </w:tc>
      </w:tr>
      <w:tr w14:paraId="24C6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2464F075">
            <w:pPr>
              <w:widowControl w:val="0"/>
              <w:jc w:val="center"/>
              <w:rPr>
                <w:rFonts w:ascii="Calibri" w:hAnsi="Calibri" w:eastAsia="宋体"/>
                <w:color w:val="000000"/>
                <w:kern w:val="2"/>
                <w:sz w:val="21"/>
                <w:szCs w:val="21"/>
                <w:lang w:eastAsia="zh-CN"/>
              </w:rPr>
            </w:pPr>
          </w:p>
        </w:tc>
        <w:tc>
          <w:tcPr>
            <w:tcW w:w="772" w:type="dxa"/>
            <w:vMerge w:val="continue"/>
            <w:vAlign w:val="center"/>
          </w:tcPr>
          <w:p w14:paraId="0C15B76C">
            <w:pPr>
              <w:widowControl w:val="0"/>
              <w:jc w:val="center"/>
              <w:rPr>
                <w:rFonts w:ascii="Calibri" w:hAnsi="Calibri" w:eastAsia="宋体"/>
                <w:color w:val="000000"/>
                <w:kern w:val="2"/>
                <w:sz w:val="21"/>
                <w:szCs w:val="21"/>
                <w:lang w:eastAsia="zh-CN"/>
              </w:rPr>
            </w:pPr>
          </w:p>
        </w:tc>
        <w:tc>
          <w:tcPr>
            <w:tcW w:w="3795" w:type="dxa"/>
          </w:tcPr>
          <w:p w14:paraId="7514B19C">
            <w:pPr>
              <w:widowControl w:val="0"/>
              <w:jc w:val="center"/>
              <w:rPr>
                <w:rFonts w:ascii="Calibri" w:hAnsi="Calibri" w:eastAsia="宋体"/>
                <w:color w:val="000000"/>
                <w:kern w:val="2"/>
                <w:sz w:val="21"/>
                <w:szCs w:val="21"/>
                <w:lang w:eastAsia="zh-CN"/>
              </w:rPr>
            </w:pPr>
            <w:r>
              <w:rPr>
                <w:rFonts w:hint="eastAsia" w:ascii="宋体" w:hAnsi="宋体" w:eastAsia="宋体" w:cstheme="minorBidi"/>
                <w:color w:val="000000"/>
                <w:kern w:val="2"/>
                <w:sz w:val="21"/>
                <w:szCs w:val="21"/>
                <w:lang w:eastAsia="zh-CN"/>
              </w:rPr>
              <w:t>……</w:t>
            </w:r>
          </w:p>
        </w:tc>
        <w:tc>
          <w:tcPr>
            <w:tcW w:w="2623" w:type="dxa"/>
          </w:tcPr>
          <w:p w14:paraId="4672BD86">
            <w:pPr>
              <w:widowControl w:val="0"/>
              <w:jc w:val="both"/>
              <w:rPr>
                <w:rFonts w:ascii="Calibri" w:hAnsi="Calibri" w:eastAsia="宋体"/>
                <w:color w:val="000000"/>
                <w:kern w:val="2"/>
                <w:sz w:val="21"/>
                <w:szCs w:val="21"/>
                <w:lang w:eastAsia="zh-CN"/>
              </w:rPr>
            </w:pPr>
          </w:p>
        </w:tc>
        <w:tc>
          <w:tcPr>
            <w:tcW w:w="710" w:type="dxa"/>
          </w:tcPr>
          <w:p w14:paraId="0D200294">
            <w:pPr>
              <w:widowControl w:val="0"/>
              <w:jc w:val="both"/>
              <w:rPr>
                <w:rFonts w:ascii="Calibri" w:hAnsi="Calibri" w:eastAsia="宋体"/>
                <w:color w:val="000000"/>
                <w:kern w:val="2"/>
                <w:sz w:val="21"/>
                <w:szCs w:val="21"/>
                <w:lang w:eastAsia="zh-CN"/>
              </w:rPr>
            </w:pPr>
          </w:p>
        </w:tc>
        <w:tc>
          <w:tcPr>
            <w:tcW w:w="390" w:type="dxa"/>
          </w:tcPr>
          <w:p w14:paraId="45F8A49E">
            <w:pPr>
              <w:widowControl w:val="0"/>
              <w:jc w:val="both"/>
              <w:rPr>
                <w:rFonts w:ascii="Calibri" w:hAnsi="Calibri" w:eastAsia="宋体"/>
                <w:color w:val="000000"/>
                <w:kern w:val="2"/>
                <w:sz w:val="21"/>
                <w:szCs w:val="21"/>
                <w:lang w:eastAsia="zh-CN"/>
              </w:rPr>
            </w:pPr>
          </w:p>
        </w:tc>
      </w:tr>
      <w:tr w14:paraId="3489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2992FB02">
            <w:pPr>
              <w:widowControl w:val="0"/>
              <w:jc w:val="center"/>
              <w:rPr>
                <w:rFonts w:ascii="Calibri" w:hAnsi="Calibri" w:eastAsia="宋体"/>
                <w:color w:val="000000"/>
                <w:kern w:val="2"/>
                <w:sz w:val="21"/>
                <w:szCs w:val="21"/>
                <w:lang w:eastAsia="zh-CN"/>
              </w:rPr>
            </w:pPr>
          </w:p>
        </w:tc>
        <w:tc>
          <w:tcPr>
            <w:tcW w:w="772" w:type="dxa"/>
            <w:vMerge w:val="continue"/>
            <w:vAlign w:val="center"/>
          </w:tcPr>
          <w:p w14:paraId="6D902BE6">
            <w:pPr>
              <w:widowControl w:val="0"/>
              <w:jc w:val="center"/>
              <w:rPr>
                <w:rFonts w:ascii="Calibri" w:hAnsi="Calibri" w:eastAsia="宋体"/>
                <w:color w:val="000000"/>
                <w:kern w:val="2"/>
                <w:sz w:val="21"/>
                <w:szCs w:val="21"/>
                <w:lang w:eastAsia="zh-CN"/>
              </w:rPr>
            </w:pPr>
          </w:p>
        </w:tc>
        <w:tc>
          <w:tcPr>
            <w:tcW w:w="3795" w:type="dxa"/>
          </w:tcPr>
          <w:p w14:paraId="05B87557">
            <w:pPr>
              <w:widowControl w:val="0"/>
              <w:jc w:val="center"/>
              <w:rPr>
                <w:rFonts w:ascii="Calibri" w:hAnsi="Calibri" w:eastAsia="宋体"/>
                <w:b/>
                <w:bCs/>
                <w:color w:val="000000"/>
                <w:kern w:val="2"/>
                <w:sz w:val="21"/>
                <w:szCs w:val="21"/>
                <w:lang w:eastAsia="zh-CN"/>
              </w:rPr>
            </w:pPr>
            <w:r>
              <w:rPr>
                <w:rFonts w:hint="eastAsia" w:ascii="宋体" w:hAnsi="宋体" w:eastAsia="宋体" w:cstheme="minorBidi"/>
                <w:color w:val="000000"/>
                <w:kern w:val="2"/>
                <w:sz w:val="21"/>
                <w:szCs w:val="21"/>
                <w:lang w:eastAsia="zh-CN"/>
              </w:rPr>
              <w:t>……</w:t>
            </w:r>
          </w:p>
        </w:tc>
        <w:tc>
          <w:tcPr>
            <w:tcW w:w="2623" w:type="dxa"/>
          </w:tcPr>
          <w:p w14:paraId="4CE56CD8">
            <w:pPr>
              <w:widowControl w:val="0"/>
              <w:jc w:val="both"/>
              <w:rPr>
                <w:rFonts w:ascii="Calibri" w:hAnsi="Calibri" w:eastAsia="宋体"/>
                <w:b/>
                <w:bCs/>
                <w:color w:val="FF0000"/>
                <w:kern w:val="2"/>
                <w:sz w:val="21"/>
                <w:szCs w:val="21"/>
                <w:lang w:eastAsia="zh-CN"/>
              </w:rPr>
            </w:pPr>
          </w:p>
        </w:tc>
        <w:tc>
          <w:tcPr>
            <w:tcW w:w="710" w:type="dxa"/>
          </w:tcPr>
          <w:p w14:paraId="2CC6F8A8">
            <w:pPr>
              <w:widowControl w:val="0"/>
              <w:jc w:val="both"/>
              <w:rPr>
                <w:rFonts w:ascii="Calibri" w:hAnsi="Calibri" w:eastAsia="宋体"/>
                <w:b/>
                <w:bCs/>
                <w:color w:val="FF0000"/>
                <w:kern w:val="2"/>
                <w:sz w:val="21"/>
                <w:szCs w:val="21"/>
                <w:lang w:eastAsia="zh-CN"/>
              </w:rPr>
            </w:pPr>
          </w:p>
        </w:tc>
        <w:tc>
          <w:tcPr>
            <w:tcW w:w="390" w:type="dxa"/>
          </w:tcPr>
          <w:p w14:paraId="79D27C29">
            <w:pPr>
              <w:widowControl w:val="0"/>
              <w:jc w:val="both"/>
              <w:rPr>
                <w:rFonts w:ascii="Calibri" w:hAnsi="Calibri" w:eastAsia="宋体"/>
                <w:b/>
                <w:bCs/>
                <w:color w:val="FF0000"/>
                <w:kern w:val="2"/>
                <w:sz w:val="21"/>
                <w:szCs w:val="21"/>
                <w:lang w:eastAsia="zh-CN"/>
              </w:rPr>
            </w:pPr>
          </w:p>
        </w:tc>
      </w:tr>
      <w:tr w14:paraId="185E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209BCE9C">
            <w:pPr>
              <w:widowControl w:val="0"/>
              <w:jc w:val="center"/>
              <w:rPr>
                <w:rFonts w:ascii="Calibri" w:hAnsi="Calibri" w:eastAsia="宋体"/>
                <w:color w:val="000000"/>
                <w:kern w:val="2"/>
                <w:sz w:val="21"/>
                <w:szCs w:val="21"/>
                <w:lang w:eastAsia="zh-CN"/>
              </w:rPr>
            </w:pPr>
          </w:p>
        </w:tc>
        <w:tc>
          <w:tcPr>
            <w:tcW w:w="772" w:type="dxa"/>
            <w:vMerge w:val="continue"/>
            <w:vAlign w:val="center"/>
          </w:tcPr>
          <w:p w14:paraId="61063DE6">
            <w:pPr>
              <w:widowControl w:val="0"/>
              <w:jc w:val="center"/>
              <w:rPr>
                <w:rFonts w:ascii="Calibri" w:hAnsi="Calibri" w:eastAsia="宋体"/>
                <w:color w:val="000000"/>
                <w:kern w:val="2"/>
                <w:sz w:val="21"/>
                <w:szCs w:val="21"/>
                <w:lang w:eastAsia="zh-CN"/>
              </w:rPr>
            </w:pPr>
          </w:p>
        </w:tc>
        <w:tc>
          <w:tcPr>
            <w:tcW w:w="3795" w:type="dxa"/>
          </w:tcPr>
          <w:p w14:paraId="4005598B">
            <w:pPr>
              <w:widowControl w:val="0"/>
              <w:jc w:val="center"/>
              <w:rPr>
                <w:rFonts w:ascii="Calibri" w:hAnsi="Calibri" w:eastAsia="宋体"/>
                <w:color w:val="000000"/>
                <w:kern w:val="2"/>
                <w:sz w:val="21"/>
                <w:szCs w:val="21"/>
                <w:lang w:eastAsia="zh-CN"/>
              </w:rPr>
            </w:pPr>
            <w:r>
              <w:rPr>
                <w:rFonts w:hint="eastAsia" w:ascii="宋体" w:hAnsi="宋体" w:eastAsia="宋体" w:cstheme="minorBidi"/>
                <w:color w:val="000000"/>
                <w:kern w:val="2"/>
                <w:sz w:val="21"/>
                <w:szCs w:val="21"/>
                <w:lang w:eastAsia="zh-CN"/>
              </w:rPr>
              <w:t>……</w:t>
            </w:r>
          </w:p>
        </w:tc>
        <w:tc>
          <w:tcPr>
            <w:tcW w:w="2623" w:type="dxa"/>
          </w:tcPr>
          <w:p w14:paraId="38E2C16D">
            <w:pPr>
              <w:widowControl w:val="0"/>
              <w:jc w:val="both"/>
              <w:rPr>
                <w:rFonts w:ascii="Calibri" w:hAnsi="Calibri" w:eastAsia="宋体"/>
                <w:color w:val="000000"/>
                <w:kern w:val="2"/>
                <w:sz w:val="21"/>
                <w:szCs w:val="21"/>
                <w:lang w:eastAsia="zh-CN"/>
              </w:rPr>
            </w:pPr>
          </w:p>
        </w:tc>
        <w:tc>
          <w:tcPr>
            <w:tcW w:w="710" w:type="dxa"/>
          </w:tcPr>
          <w:p w14:paraId="09DCEF95">
            <w:pPr>
              <w:widowControl w:val="0"/>
              <w:jc w:val="both"/>
              <w:rPr>
                <w:rFonts w:ascii="Calibri" w:hAnsi="Calibri" w:eastAsia="宋体"/>
                <w:color w:val="000000"/>
                <w:kern w:val="2"/>
                <w:sz w:val="21"/>
                <w:szCs w:val="21"/>
                <w:lang w:eastAsia="zh-CN"/>
              </w:rPr>
            </w:pPr>
          </w:p>
        </w:tc>
        <w:tc>
          <w:tcPr>
            <w:tcW w:w="390" w:type="dxa"/>
          </w:tcPr>
          <w:p w14:paraId="7B559DBE">
            <w:pPr>
              <w:widowControl w:val="0"/>
              <w:jc w:val="both"/>
              <w:rPr>
                <w:rFonts w:ascii="Calibri" w:hAnsi="Calibri" w:eastAsia="宋体"/>
                <w:color w:val="000000"/>
                <w:kern w:val="2"/>
                <w:sz w:val="21"/>
                <w:szCs w:val="21"/>
                <w:lang w:eastAsia="zh-CN"/>
              </w:rPr>
            </w:pPr>
          </w:p>
        </w:tc>
      </w:tr>
      <w:tr w14:paraId="5B9B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64" w:type="dxa"/>
            <w:vMerge w:val="restart"/>
            <w:vAlign w:val="center"/>
          </w:tcPr>
          <w:p w14:paraId="0FD19877">
            <w:pPr>
              <w:widowControl w:val="0"/>
              <w:jc w:val="center"/>
              <w:rPr>
                <w:rFonts w:ascii="Calibri" w:hAnsi="Calibri" w:eastAsia="宋体"/>
                <w:color w:val="000000"/>
                <w:kern w:val="2"/>
                <w:sz w:val="21"/>
                <w:szCs w:val="21"/>
                <w:lang w:eastAsia="zh-CN"/>
              </w:rPr>
            </w:pPr>
            <w:r>
              <w:rPr>
                <w:rFonts w:hint="eastAsia" w:ascii="Calibri" w:hAnsi="Calibri" w:eastAsia="宋体" w:cstheme="minorBidi"/>
                <w:color w:val="000000"/>
                <w:kern w:val="2"/>
                <w:sz w:val="21"/>
                <w:szCs w:val="21"/>
                <w:lang w:eastAsia="zh-CN"/>
              </w:rPr>
              <w:t>2</w:t>
            </w:r>
          </w:p>
        </w:tc>
        <w:tc>
          <w:tcPr>
            <w:tcW w:w="772" w:type="dxa"/>
            <w:vMerge w:val="restart"/>
            <w:vAlign w:val="center"/>
          </w:tcPr>
          <w:p w14:paraId="4952F8D9">
            <w:pPr>
              <w:widowControl w:val="0"/>
              <w:jc w:val="center"/>
              <w:rPr>
                <w:rFonts w:ascii="Calibri" w:hAnsi="Calibri" w:eastAsia="宋体"/>
                <w:color w:val="000000"/>
                <w:kern w:val="2"/>
                <w:sz w:val="21"/>
                <w:szCs w:val="21"/>
                <w:lang w:eastAsia="zh-CN"/>
              </w:rPr>
            </w:pPr>
          </w:p>
        </w:tc>
        <w:tc>
          <w:tcPr>
            <w:tcW w:w="3795" w:type="dxa"/>
          </w:tcPr>
          <w:p w14:paraId="53B06B44">
            <w:pPr>
              <w:widowControl w:val="0"/>
              <w:jc w:val="center"/>
              <w:rPr>
                <w:rFonts w:ascii="Calibri" w:hAnsi="Calibri" w:eastAsia="宋体"/>
                <w:b/>
                <w:bCs/>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63E1C203">
            <w:pPr>
              <w:widowControl w:val="0"/>
              <w:jc w:val="both"/>
              <w:rPr>
                <w:rFonts w:ascii="Calibri" w:hAnsi="Calibri" w:eastAsia="宋体"/>
                <w:b/>
                <w:bCs/>
                <w:color w:val="FF0000"/>
                <w:kern w:val="2"/>
                <w:sz w:val="21"/>
                <w:szCs w:val="21"/>
                <w:lang w:eastAsia="zh-CN"/>
              </w:rPr>
            </w:pPr>
          </w:p>
        </w:tc>
        <w:tc>
          <w:tcPr>
            <w:tcW w:w="710" w:type="dxa"/>
          </w:tcPr>
          <w:p w14:paraId="607D7A04">
            <w:pPr>
              <w:widowControl w:val="0"/>
              <w:jc w:val="both"/>
              <w:rPr>
                <w:rFonts w:ascii="Calibri" w:hAnsi="Calibri" w:eastAsia="宋体"/>
                <w:b/>
                <w:bCs/>
                <w:color w:val="FF0000"/>
                <w:kern w:val="2"/>
                <w:sz w:val="21"/>
                <w:szCs w:val="21"/>
                <w:lang w:eastAsia="zh-CN"/>
              </w:rPr>
            </w:pPr>
          </w:p>
        </w:tc>
        <w:tc>
          <w:tcPr>
            <w:tcW w:w="390" w:type="dxa"/>
          </w:tcPr>
          <w:p w14:paraId="0EBDCFE8">
            <w:pPr>
              <w:widowControl w:val="0"/>
              <w:jc w:val="both"/>
              <w:rPr>
                <w:rFonts w:ascii="Calibri" w:hAnsi="Calibri" w:eastAsia="宋体"/>
                <w:b/>
                <w:bCs/>
                <w:color w:val="FF0000"/>
                <w:kern w:val="2"/>
                <w:sz w:val="21"/>
                <w:szCs w:val="21"/>
                <w:lang w:eastAsia="zh-CN"/>
              </w:rPr>
            </w:pPr>
          </w:p>
        </w:tc>
      </w:tr>
      <w:tr w14:paraId="204F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tcPr>
          <w:p w14:paraId="73FB6C02">
            <w:pPr>
              <w:widowControl w:val="0"/>
              <w:jc w:val="center"/>
              <w:rPr>
                <w:rFonts w:ascii="Calibri" w:hAnsi="Calibri" w:eastAsia="宋体"/>
                <w:color w:val="000000"/>
                <w:kern w:val="2"/>
                <w:sz w:val="21"/>
                <w:szCs w:val="21"/>
                <w:lang w:eastAsia="zh-CN"/>
              </w:rPr>
            </w:pPr>
          </w:p>
        </w:tc>
        <w:tc>
          <w:tcPr>
            <w:tcW w:w="772" w:type="dxa"/>
            <w:vMerge w:val="continue"/>
          </w:tcPr>
          <w:p w14:paraId="2A421F3D">
            <w:pPr>
              <w:widowControl w:val="0"/>
              <w:jc w:val="both"/>
              <w:rPr>
                <w:rFonts w:ascii="Calibri" w:hAnsi="Calibri" w:eastAsia="宋体"/>
                <w:color w:val="000000"/>
                <w:kern w:val="2"/>
                <w:sz w:val="21"/>
                <w:szCs w:val="21"/>
                <w:lang w:eastAsia="zh-CN"/>
              </w:rPr>
            </w:pPr>
          </w:p>
        </w:tc>
        <w:tc>
          <w:tcPr>
            <w:tcW w:w="3795" w:type="dxa"/>
          </w:tcPr>
          <w:p w14:paraId="0A8658A3">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5865184E">
            <w:pPr>
              <w:widowControl w:val="0"/>
              <w:jc w:val="both"/>
              <w:rPr>
                <w:rFonts w:ascii="Calibri" w:hAnsi="Calibri" w:eastAsia="宋体"/>
                <w:color w:val="000000"/>
                <w:kern w:val="2"/>
                <w:sz w:val="21"/>
                <w:szCs w:val="21"/>
                <w:lang w:eastAsia="zh-CN"/>
              </w:rPr>
            </w:pPr>
          </w:p>
        </w:tc>
        <w:tc>
          <w:tcPr>
            <w:tcW w:w="710" w:type="dxa"/>
          </w:tcPr>
          <w:p w14:paraId="4A061327">
            <w:pPr>
              <w:widowControl w:val="0"/>
              <w:jc w:val="both"/>
              <w:rPr>
                <w:rFonts w:ascii="Calibri" w:hAnsi="Calibri" w:eastAsia="宋体"/>
                <w:color w:val="000000"/>
                <w:kern w:val="2"/>
                <w:sz w:val="21"/>
                <w:szCs w:val="21"/>
                <w:lang w:eastAsia="zh-CN"/>
              </w:rPr>
            </w:pPr>
          </w:p>
        </w:tc>
        <w:tc>
          <w:tcPr>
            <w:tcW w:w="390" w:type="dxa"/>
          </w:tcPr>
          <w:p w14:paraId="24D399F3">
            <w:pPr>
              <w:widowControl w:val="0"/>
              <w:jc w:val="both"/>
              <w:rPr>
                <w:rFonts w:ascii="Calibri" w:hAnsi="Calibri" w:eastAsia="宋体"/>
                <w:color w:val="000000"/>
                <w:kern w:val="2"/>
                <w:sz w:val="21"/>
                <w:szCs w:val="21"/>
                <w:lang w:eastAsia="zh-CN"/>
              </w:rPr>
            </w:pPr>
          </w:p>
        </w:tc>
      </w:tr>
      <w:tr w14:paraId="6B87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464" w:type="dxa"/>
            <w:vMerge w:val="continue"/>
          </w:tcPr>
          <w:p w14:paraId="0EB126A5">
            <w:pPr>
              <w:widowControl w:val="0"/>
              <w:jc w:val="center"/>
              <w:rPr>
                <w:rFonts w:ascii="Calibri" w:hAnsi="Calibri" w:eastAsia="宋体"/>
                <w:color w:val="000000"/>
                <w:kern w:val="2"/>
                <w:sz w:val="21"/>
                <w:szCs w:val="21"/>
                <w:lang w:eastAsia="zh-CN"/>
              </w:rPr>
            </w:pPr>
          </w:p>
        </w:tc>
        <w:tc>
          <w:tcPr>
            <w:tcW w:w="772" w:type="dxa"/>
            <w:vMerge w:val="continue"/>
          </w:tcPr>
          <w:p w14:paraId="1E0D273D">
            <w:pPr>
              <w:widowControl w:val="0"/>
              <w:jc w:val="both"/>
              <w:rPr>
                <w:rFonts w:ascii="Calibri" w:hAnsi="Calibri" w:eastAsia="宋体"/>
                <w:color w:val="000000"/>
                <w:kern w:val="2"/>
                <w:sz w:val="21"/>
                <w:szCs w:val="21"/>
                <w:lang w:eastAsia="zh-CN"/>
              </w:rPr>
            </w:pPr>
          </w:p>
        </w:tc>
        <w:tc>
          <w:tcPr>
            <w:tcW w:w="3795" w:type="dxa"/>
          </w:tcPr>
          <w:p w14:paraId="0E0CAA1D">
            <w:pPr>
              <w:widowControl w:val="0"/>
              <w:jc w:val="center"/>
              <w:rPr>
                <w:rFonts w:ascii="Calibri" w:hAnsi="Calibri" w:eastAsia="宋体"/>
                <w:color w:val="000000"/>
                <w:kern w:val="2"/>
                <w:sz w:val="21"/>
                <w:szCs w:val="21"/>
                <w:lang w:eastAsia="zh-CN"/>
              </w:rPr>
            </w:pPr>
            <w:r>
              <w:rPr>
                <w:rFonts w:hint="eastAsia" w:ascii="Calibri" w:hAnsi="Calibri" w:eastAsia="宋体" w:cstheme="minorBidi"/>
                <w:kern w:val="2"/>
                <w:sz w:val="21"/>
                <w:szCs w:val="22"/>
                <w:lang w:eastAsia="zh-CN"/>
              </w:rPr>
              <w:t>（填写相关内容）</w:t>
            </w:r>
          </w:p>
        </w:tc>
        <w:tc>
          <w:tcPr>
            <w:tcW w:w="2623" w:type="dxa"/>
          </w:tcPr>
          <w:p w14:paraId="2B5CADCE">
            <w:pPr>
              <w:widowControl w:val="0"/>
              <w:jc w:val="both"/>
              <w:rPr>
                <w:rFonts w:ascii="Calibri" w:hAnsi="Calibri" w:eastAsia="宋体"/>
                <w:color w:val="000000"/>
                <w:kern w:val="2"/>
                <w:sz w:val="21"/>
                <w:szCs w:val="21"/>
                <w:lang w:eastAsia="zh-CN"/>
              </w:rPr>
            </w:pPr>
          </w:p>
        </w:tc>
        <w:tc>
          <w:tcPr>
            <w:tcW w:w="710" w:type="dxa"/>
          </w:tcPr>
          <w:p w14:paraId="17D74BBE">
            <w:pPr>
              <w:widowControl w:val="0"/>
              <w:jc w:val="both"/>
              <w:rPr>
                <w:rFonts w:ascii="Calibri" w:hAnsi="Calibri" w:eastAsia="宋体"/>
                <w:color w:val="000000"/>
                <w:kern w:val="2"/>
                <w:sz w:val="21"/>
                <w:szCs w:val="21"/>
                <w:lang w:eastAsia="zh-CN"/>
              </w:rPr>
            </w:pPr>
          </w:p>
        </w:tc>
        <w:tc>
          <w:tcPr>
            <w:tcW w:w="390" w:type="dxa"/>
          </w:tcPr>
          <w:p w14:paraId="03D2BFAF">
            <w:pPr>
              <w:widowControl w:val="0"/>
              <w:jc w:val="both"/>
              <w:rPr>
                <w:rFonts w:ascii="Calibri" w:hAnsi="Calibri" w:eastAsia="宋体"/>
                <w:color w:val="000000"/>
                <w:kern w:val="2"/>
                <w:sz w:val="21"/>
                <w:szCs w:val="21"/>
                <w:lang w:eastAsia="zh-CN"/>
              </w:rPr>
            </w:pPr>
          </w:p>
        </w:tc>
      </w:tr>
      <w:tr w14:paraId="2CD3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4" w:type="dxa"/>
            <w:vMerge w:val="continue"/>
          </w:tcPr>
          <w:p w14:paraId="7EA73ADB">
            <w:pPr>
              <w:widowControl w:val="0"/>
              <w:jc w:val="center"/>
              <w:rPr>
                <w:rFonts w:ascii="Calibri" w:hAnsi="Calibri" w:eastAsia="宋体"/>
                <w:color w:val="000000"/>
                <w:kern w:val="2"/>
                <w:sz w:val="21"/>
                <w:szCs w:val="21"/>
                <w:lang w:eastAsia="zh-CN"/>
              </w:rPr>
            </w:pPr>
          </w:p>
        </w:tc>
        <w:tc>
          <w:tcPr>
            <w:tcW w:w="772" w:type="dxa"/>
            <w:vMerge w:val="continue"/>
          </w:tcPr>
          <w:p w14:paraId="1933D3C7">
            <w:pPr>
              <w:widowControl w:val="0"/>
              <w:jc w:val="both"/>
              <w:rPr>
                <w:rFonts w:ascii="Calibri" w:hAnsi="Calibri" w:eastAsia="宋体"/>
                <w:color w:val="000000"/>
                <w:kern w:val="2"/>
                <w:sz w:val="21"/>
                <w:szCs w:val="21"/>
                <w:lang w:eastAsia="zh-CN"/>
              </w:rPr>
            </w:pPr>
          </w:p>
        </w:tc>
        <w:tc>
          <w:tcPr>
            <w:tcW w:w="3795" w:type="dxa"/>
          </w:tcPr>
          <w:p w14:paraId="1FEE11D0">
            <w:pPr>
              <w:widowControl w:val="0"/>
              <w:jc w:val="center"/>
              <w:rPr>
                <w:rFonts w:ascii="Calibri" w:hAnsi="Calibri" w:eastAsia="宋体"/>
                <w:color w:val="000000"/>
                <w:kern w:val="2"/>
                <w:sz w:val="21"/>
                <w:szCs w:val="21"/>
                <w:lang w:eastAsia="zh-CN"/>
              </w:rPr>
            </w:pPr>
            <w:r>
              <w:rPr>
                <w:rFonts w:hint="eastAsia" w:ascii="宋体" w:hAnsi="宋体" w:eastAsia="宋体" w:cstheme="minorBidi"/>
                <w:color w:val="000000"/>
                <w:kern w:val="2"/>
                <w:sz w:val="21"/>
                <w:szCs w:val="21"/>
                <w:lang w:eastAsia="zh-CN"/>
              </w:rPr>
              <w:t>……</w:t>
            </w:r>
          </w:p>
        </w:tc>
        <w:tc>
          <w:tcPr>
            <w:tcW w:w="2623" w:type="dxa"/>
          </w:tcPr>
          <w:p w14:paraId="3BD6358F">
            <w:pPr>
              <w:widowControl w:val="0"/>
              <w:jc w:val="both"/>
              <w:rPr>
                <w:rFonts w:ascii="Calibri" w:hAnsi="Calibri" w:eastAsia="宋体"/>
                <w:color w:val="000000"/>
                <w:kern w:val="2"/>
                <w:sz w:val="21"/>
                <w:szCs w:val="21"/>
                <w:lang w:eastAsia="zh-CN"/>
              </w:rPr>
            </w:pPr>
          </w:p>
        </w:tc>
        <w:tc>
          <w:tcPr>
            <w:tcW w:w="710" w:type="dxa"/>
          </w:tcPr>
          <w:p w14:paraId="747B53C0">
            <w:pPr>
              <w:widowControl w:val="0"/>
              <w:jc w:val="both"/>
              <w:rPr>
                <w:rFonts w:ascii="Calibri" w:hAnsi="Calibri" w:eastAsia="宋体"/>
                <w:color w:val="000000"/>
                <w:kern w:val="2"/>
                <w:sz w:val="21"/>
                <w:szCs w:val="21"/>
                <w:lang w:eastAsia="zh-CN"/>
              </w:rPr>
            </w:pPr>
          </w:p>
        </w:tc>
        <w:tc>
          <w:tcPr>
            <w:tcW w:w="390" w:type="dxa"/>
          </w:tcPr>
          <w:p w14:paraId="12216181">
            <w:pPr>
              <w:widowControl w:val="0"/>
              <w:jc w:val="both"/>
              <w:rPr>
                <w:rFonts w:ascii="Calibri" w:hAnsi="Calibri" w:eastAsia="宋体"/>
                <w:color w:val="000000"/>
                <w:kern w:val="2"/>
                <w:sz w:val="21"/>
                <w:szCs w:val="21"/>
                <w:lang w:eastAsia="zh-CN"/>
              </w:rPr>
            </w:pPr>
          </w:p>
        </w:tc>
      </w:tr>
    </w:tbl>
    <w:p w14:paraId="13C59D9C">
      <w:pPr>
        <w:widowControl w:val="0"/>
        <w:jc w:val="both"/>
        <w:rPr>
          <w:rFonts w:ascii="Calibri" w:hAnsi="Calibri" w:eastAsia="宋体"/>
          <w:kern w:val="2"/>
          <w:szCs w:val="22"/>
          <w:lang w:eastAsia="zh-CN"/>
        </w:rPr>
      </w:pPr>
    </w:p>
    <w:p w14:paraId="6F07BDB4">
      <w:pPr>
        <w:widowControl w:val="0"/>
        <w:jc w:val="both"/>
        <w:rPr>
          <w:rFonts w:ascii="Calibri" w:hAnsi="Calibri" w:eastAsia="宋体"/>
          <w:kern w:val="2"/>
          <w:sz w:val="21"/>
          <w:szCs w:val="21"/>
          <w:lang w:eastAsia="zh-CN"/>
        </w:rPr>
      </w:pPr>
      <w:bookmarkStart w:id="34" w:name="_Hlk72095977"/>
      <w:r>
        <w:rPr>
          <w:rFonts w:hint="eastAsia" w:ascii="Calibri" w:hAnsi="Calibri" w:eastAsia="宋体" w:cstheme="minorBidi"/>
          <w:kern w:val="2"/>
          <w:sz w:val="21"/>
          <w:szCs w:val="21"/>
          <w:lang w:eastAsia="zh-CN"/>
        </w:rPr>
        <w:t>证明资料【如有的话，提供的证明资料应统一编号（排序），格式自定】</w:t>
      </w:r>
      <w:bookmarkEnd w:id="34"/>
      <w:r>
        <w:rPr>
          <w:rFonts w:hint="eastAsia" w:ascii="Calibri" w:hAnsi="Calibri" w:eastAsia="宋体" w:cstheme="minorBidi"/>
          <w:kern w:val="2"/>
          <w:sz w:val="21"/>
          <w:szCs w:val="21"/>
          <w:lang w:eastAsia="zh-CN"/>
        </w:rPr>
        <w:t>：</w:t>
      </w:r>
    </w:p>
    <w:p w14:paraId="19E5F294">
      <w:pPr>
        <w:widowControl w:val="0"/>
        <w:jc w:val="both"/>
        <w:rPr>
          <w:rFonts w:ascii="Calibri" w:hAnsi="Calibri" w:eastAsia="宋体"/>
          <w:b/>
          <w:kern w:val="2"/>
          <w:sz w:val="21"/>
          <w:szCs w:val="21"/>
          <w:lang w:eastAsia="zh-CN"/>
        </w:rPr>
      </w:pPr>
    </w:p>
    <w:p w14:paraId="04C4F495">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《技术要求偏离表》编制指引：</w:t>
      </w:r>
    </w:p>
    <w:p w14:paraId="29EFAB20">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1、技术要求偏离表的序号、货物名称、招标技术要求等栏目</w:t>
      </w:r>
      <w:bookmarkStart w:id="35" w:name="_Hlk72094407"/>
      <w:r>
        <w:rPr>
          <w:rFonts w:hint="eastAsia" w:ascii="Calibri" w:hAnsi="Calibri" w:eastAsia="宋体" w:cstheme="minorBidi"/>
          <w:bCs/>
          <w:kern w:val="2"/>
          <w:sz w:val="21"/>
          <w:szCs w:val="21"/>
          <w:lang w:eastAsia="zh-CN"/>
        </w:rPr>
        <w:t>对应“用户需求书”中的“技术要求”章节</w:t>
      </w:r>
      <w:bookmarkEnd w:id="35"/>
      <w:r>
        <w:rPr>
          <w:rFonts w:hint="eastAsia" w:ascii="Calibri" w:hAnsi="Calibri" w:eastAsia="宋体" w:cstheme="minorBidi"/>
          <w:bCs/>
          <w:kern w:val="2"/>
          <w:sz w:val="21"/>
          <w:szCs w:val="21"/>
          <w:lang w:eastAsia="zh-CN"/>
        </w:rPr>
        <w:t>相关内容。</w:t>
      </w:r>
    </w:p>
    <w:p w14:paraId="6E9160F7">
      <w:pPr>
        <w:widowControl w:val="0"/>
        <w:ind w:firstLine="420" w:firstLineChars="200"/>
        <w:jc w:val="both"/>
        <w:rPr>
          <w:rFonts w:hint="eastAsia" w:ascii="Calibri" w:hAnsi="Calibri" w:eastAsia="宋体" w:cstheme="minorBidi"/>
          <w:bCs/>
          <w:kern w:val="2"/>
          <w:sz w:val="21"/>
          <w:szCs w:val="21"/>
          <w:lang w:eastAsia="zh-CN"/>
        </w:rPr>
      </w:pPr>
      <w:r>
        <w:rPr>
          <w:rFonts w:hint="eastAsia" w:ascii="Calibri" w:hAnsi="Calibri" w:eastAsia="宋体" w:cstheme="minorBidi"/>
          <w:bCs/>
          <w:kern w:val="2"/>
          <w:sz w:val="21"/>
          <w:szCs w:val="21"/>
          <w:lang w:eastAsia="zh-CN"/>
        </w:rPr>
        <w:t>2、“投标技术响应”一栏必须一一对照“招标技术要求”，详细填写投标人自身投标货物的具体参数，而不能不合理照搬照抄招标文件的技术要求，以体现具体响应情况。</w:t>
      </w:r>
      <w:r>
        <w:rPr>
          <w:rFonts w:hint="eastAsia" w:ascii="Calibri" w:hAnsi="Calibri" w:eastAsia="宋体" w:cstheme="minorBidi"/>
          <w:bCs/>
          <w:color w:val="FF0000"/>
          <w:kern w:val="2"/>
          <w:sz w:val="21"/>
          <w:szCs w:val="21"/>
          <w:lang w:eastAsia="zh-CN"/>
        </w:rPr>
        <w:t>“投标技术响应”必须与所投产品客观实际保持一致，响应不实且情节严重的，经查实，将依法记入供应商诚信档案或受到行政处罚。</w:t>
      </w:r>
    </w:p>
    <w:p w14:paraId="148214EA">
      <w:pPr>
        <w:widowControl w:val="0"/>
        <w:ind w:firstLine="420" w:firstLineChars="200"/>
        <w:jc w:val="both"/>
        <w:rPr>
          <w:rFonts w:eastAsia="宋体"/>
          <w:bCs/>
          <w:color w:val="FF0000"/>
          <w:kern w:val="2"/>
          <w:sz w:val="21"/>
          <w:szCs w:val="21"/>
          <w:lang w:eastAsia="zh-CN"/>
        </w:rPr>
      </w:pPr>
      <w:r>
        <w:rPr>
          <w:rFonts w:ascii="Calibri" w:hAnsi="Calibri" w:eastAsia="宋体" w:cstheme="minorBidi"/>
          <w:bCs/>
          <w:kern w:val="2"/>
          <w:sz w:val="21"/>
          <w:szCs w:val="21"/>
          <w:lang w:eastAsia="zh-CN"/>
        </w:rPr>
        <w:t>3</w:t>
      </w:r>
      <w:r>
        <w:rPr>
          <w:rFonts w:hint="eastAsia" w:ascii="Calibri" w:hAnsi="Calibri" w:eastAsia="宋体" w:cstheme="minorBidi"/>
          <w:bCs/>
          <w:kern w:val="2"/>
          <w:sz w:val="21"/>
          <w:szCs w:val="21"/>
          <w:lang w:eastAsia="zh-CN"/>
        </w:rPr>
        <w:t>、</w:t>
      </w:r>
      <w:bookmarkStart w:id="36" w:name="_Hlk72158270"/>
      <w:r>
        <w:rPr>
          <w:rFonts w:hint="eastAsia" w:ascii="Calibri" w:hAnsi="Calibri" w:eastAsia="宋体" w:cstheme="minorBidi"/>
          <w:bCs/>
          <w:kern w:val="2"/>
          <w:sz w:val="21"/>
          <w:szCs w:val="21"/>
          <w:lang w:eastAsia="zh-CN"/>
        </w:rPr>
        <w:t>“偏离情况”</w:t>
      </w:r>
      <w:bookmarkEnd w:id="36"/>
      <w:r>
        <w:rPr>
          <w:rFonts w:hint="eastAsia" w:ascii="Calibri" w:hAnsi="Calibri" w:eastAsia="宋体" w:cstheme="minorBidi"/>
          <w:bCs/>
          <w:kern w:val="2"/>
          <w:sz w:val="21"/>
          <w:szCs w:val="21"/>
          <w:lang w:eastAsia="zh-CN"/>
        </w:rPr>
        <w:t>一栏填写如实填写“正偏离”、“负偏离”或“无偏离”，其中：</w:t>
      </w:r>
      <w:bookmarkStart w:id="37" w:name="_Hlk72093866"/>
      <w:r>
        <w:rPr>
          <w:rFonts w:hint="eastAsia" w:ascii="Calibri" w:hAnsi="Calibri" w:eastAsia="宋体" w:cstheme="minorBidi"/>
          <w:bCs/>
          <w:kern w:val="2"/>
          <w:sz w:val="21"/>
          <w:szCs w:val="21"/>
          <w:lang w:eastAsia="zh-CN"/>
        </w:rPr>
        <w:t>“正偏离”表示“投标响应优于招标技术要求”，“负偏离”表示“投标响应不满足招标技术要求”，“无偏离”表示“投标响应与招标技术要求一致”</w:t>
      </w:r>
      <w:bookmarkEnd w:id="37"/>
      <w:r>
        <w:rPr>
          <w:rFonts w:hint="eastAsia" w:ascii="Calibri" w:hAnsi="Calibri" w:eastAsia="宋体" w:cstheme="minorBidi"/>
          <w:bCs/>
          <w:kern w:val="2"/>
          <w:sz w:val="21"/>
          <w:szCs w:val="21"/>
          <w:lang w:eastAsia="zh-CN"/>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eastAsia="宋体"/>
          <w:bCs/>
          <w:color w:val="FF0000"/>
          <w:kern w:val="2"/>
          <w:sz w:val="21"/>
          <w:szCs w:val="21"/>
          <w:lang w:eastAsia="zh-CN"/>
        </w:rPr>
        <w:t>“偏离情况”必须与所投产品客观实际保持一致，响应不实且情节严重的，经查实，将依法记入供应商诚信档案或受到行政处罚。</w:t>
      </w:r>
    </w:p>
    <w:p w14:paraId="5F835CDE">
      <w:pPr>
        <w:widowControl w:val="0"/>
        <w:ind w:firstLine="420" w:firstLineChars="200"/>
        <w:jc w:val="both"/>
        <w:rPr>
          <w:rFonts w:ascii="Calibri" w:hAnsi="Calibri" w:eastAsia="宋体"/>
          <w:bCs/>
          <w:kern w:val="2"/>
          <w:sz w:val="21"/>
          <w:szCs w:val="21"/>
          <w:lang w:eastAsia="zh-CN"/>
        </w:rPr>
      </w:pPr>
      <w:r>
        <w:rPr>
          <w:rFonts w:ascii="Calibri" w:hAnsi="Calibri" w:eastAsia="宋体" w:cstheme="minorBidi"/>
          <w:bCs/>
          <w:kern w:val="2"/>
          <w:sz w:val="21"/>
          <w:szCs w:val="21"/>
          <w:lang w:eastAsia="zh-CN"/>
        </w:rPr>
        <w:t>4</w:t>
      </w:r>
      <w:r>
        <w:rPr>
          <w:rFonts w:hint="eastAsia" w:ascii="Calibri" w:hAnsi="Calibri" w:eastAsia="宋体" w:cstheme="minorBidi"/>
          <w:bCs/>
          <w:kern w:val="2"/>
          <w:sz w:val="21"/>
          <w:szCs w:val="21"/>
          <w:lang w:eastAsia="zh-CN"/>
        </w:rPr>
        <w:t>、未要求提供证明资料的招标技术要求，可以不提供证明资料（如实响应即可）。</w:t>
      </w:r>
    </w:p>
    <w:p w14:paraId="153F3886">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5、</w:t>
      </w:r>
      <w:bookmarkStart w:id="38" w:name="_Hlk72096106"/>
      <w:r>
        <w:rPr>
          <w:rFonts w:hint="eastAsia" w:ascii="Calibri" w:hAnsi="Calibri" w:eastAsia="宋体" w:cstheme="minorBidi"/>
          <w:bCs/>
          <w:kern w:val="2"/>
          <w:sz w:val="21"/>
          <w:szCs w:val="21"/>
          <w:lang w:eastAsia="zh-CN"/>
        </w:rPr>
        <w:t>证明资料条款响应要求</w:t>
      </w:r>
      <w:bookmarkEnd w:id="38"/>
      <w:r>
        <w:rPr>
          <w:rFonts w:hint="eastAsia" w:ascii="Calibri" w:hAnsi="Calibri" w:eastAsia="宋体" w:cstheme="minorBidi"/>
          <w:bCs/>
          <w:kern w:val="2"/>
          <w:sz w:val="21"/>
          <w:szCs w:val="21"/>
          <w:lang w:eastAsia="zh-CN"/>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39" w:name="_Hlk73558782"/>
      <w:r>
        <w:rPr>
          <w:rFonts w:hint="eastAsia" w:ascii="Calibri" w:hAnsi="Calibri" w:eastAsia="宋体" w:cstheme="minorBidi"/>
          <w:bCs/>
          <w:kern w:val="2"/>
          <w:sz w:val="21"/>
          <w:szCs w:val="21"/>
          <w:lang w:eastAsia="zh-CN"/>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0" w:name="_Hlk73558164"/>
      <w:r>
        <w:rPr>
          <w:rFonts w:hint="eastAsia" w:ascii="Calibri" w:hAnsi="Calibri" w:eastAsia="宋体" w:cstheme="minorBidi"/>
          <w:bCs/>
          <w:kern w:val="2"/>
          <w:sz w:val="21"/>
          <w:szCs w:val="21"/>
          <w:lang w:eastAsia="zh-CN"/>
        </w:rPr>
        <w:t>且投标人在“偏离情况”一栏响应为“正偏离”或“无偏离”的，经评审委员会认定，将判定为负偏离。</w:t>
      </w:r>
      <w:bookmarkEnd w:id="39"/>
      <w:bookmarkEnd w:id="40"/>
    </w:p>
    <w:p w14:paraId="20E73CD8">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6、</w:t>
      </w:r>
      <w:bookmarkStart w:id="41" w:name="_Hlk72096137"/>
      <w:r>
        <w:rPr>
          <w:rFonts w:hint="eastAsia" w:ascii="Calibri" w:hAnsi="Calibri" w:eastAsia="宋体" w:cstheme="minorBidi"/>
          <w:bCs/>
          <w:kern w:val="2"/>
          <w:sz w:val="21"/>
          <w:szCs w:val="21"/>
          <w:lang w:eastAsia="zh-CN"/>
        </w:rPr>
        <w:t>表后“证明资料”部分内容的编制</w:t>
      </w:r>
      <w:bookmarkEnd w:id="41"/>
      <w:r>
        <w:rPr>
          <w:rFonts w:hint="eastAsia" w:ascii="Calibri" w:hAnsi="Calibri" w:eastAsia="宋体" w:cstheme="minorBidi"/>
          <w:bCs/>
          <w:kern w:val="2"/>
          <w:sz w:val="21"/>
          <w:szCs w:val="21"/>
          <w:lang w:eastAsia="zh-CN"/>
        </w:rPr>
        <w:t>：提供的所有证明资料应当统一编号（排序），且证明资料的编号（顺序）、数量和名称（形式）均应与“说明”一栏所填内容保持一致（一一对应），以便评审委员会查看。</w:t>
      </w:r>
      <w:bookmarkStart w:id="42" w:name="_Hlk73558180"/>
      <w:r>
        <w:rPr>
          <w:rFonts w:hint="eastAsia" w:ascii="Calibri" w:hAnsi="Calibri" w:eastAsia="宋体" w:cstheme="minorBidi"/>
          <w:bCs/>
          <w:kern w:val="2"/>
          <w:sz w:val="21"/>
          <w:szCs w:val="21"/>
          <w:lang w:eastAsia="zh-CN"/>
        </w:rPr>
        <w:t>未按照招标文件要求在表后放置证明材料的供应商将承担不利后果，经评审委员会认定，相关技术要求将判定为负偏离。</w:t>
      </w:r>
      <w:bookmarkEnd w:id="42"/>
    </w:p>
    <w:p w14:paraId="0AA7675F">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7、</w:t>
      </w:r>
      <w:bookmarkStart w:id="43" w:name="_Hlk72096176"/>
      <w:r>
        <w:rPr>
          <w:rFonts w:hint="eastAsia" w:ascii="Calibri" w:hAnsi="Calibri" w:eastAsia="宋体" w:cstheme="minorBidi"/>
          <w:bCs/>
          <w:kern w:val="2"/>
          <w:sz w:val="21"/>
          <w:szCs w:val="21"/>
          <w:lang w:eastAsia="zh-CN"/>
        </w:rPr>
        <w:t>证明资料的形式及其它具体要求</w:t>
      </w:r>
      <w:bookmarkEnd w:id="43"/>
      <w:r>
        <w:rPr>
          <w:rFonts w:hint="eastAsia" w:ascii="Calibri" w:hAnsi="Calibri" w:eastAsia="宋体" w:cstheme="minorBidi"/>
          <w:bCs/>
          <w:kern w:val="2"/>
          <w:sz w:val="21"/>
          <w:szCs w:val="21"/>
          <w:lang w:eastAsia="zh-CN"/>
        </w:rPr>
        <w:t>：</w:t>
      </w:r>
    </w:p>
    <w:p w14:paraId="5C98E27D">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（1）除照片、图片（截图）及不需加盖公章的文字说明（技术说明）外，其它证明资料均要求为原件扫描件；</w:t>
      </w:r>
    </w:p>
    <w:p w14:paraId="40E24943">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41C758A0">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5B61387C">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我国政府机构出具的产品检验和核准证件应为证件正面、背面和附件标注的全部具体内容；产品检验和核准证件的尺寸和清晰度应该能够在电脑上被阅读、识别和判断；</w:t>
      </w:r>
    </w:p>
    <w:p w14:paraId="2AAAEA33">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3E1167B6">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其它证明资料的形式要求参照以上要求执行；</w:t>
      </w:r>
    </w:p>
    <w:p w14:paraId="606641FC">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（4）证明资料均要求原件备查。</w:t>
      </w:r>
    </w:p>
    <w:p w14:paraId="45F656BC">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8、其它注意事项：</w:t>
      </w:r>
    </w:p>
    <w:p w14:paraId="77571F9B">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（1）评审委员会有权对投标人的响应情况作出判断（评审结论）；</w:t>
      </w:r>
    </w:p>
    <w:p w14:paraId="0602D466">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（2）</w:t>
      </w:r>
      <w:bookmarkStart w:id="44" w:name="_Hlk72158213"/>
      <w:r>
        <w:rPr>
          <w:rFonts w:hint="eastAsia" w:ascii="Calibri" w:hAnsi="Calibri" w:eastAsia="宋体" w:cstheme="minorBidi"/>
          <w:bCs/>
          <w:kern w:val="2"/>
          <w:sz w:val="21"/>
          <w:szCs w:val="21"/>
          <w:lang w:eastAsia="zh-CN"/>
        </w:rPr>
        <w:t>评审委员会有权对以谋取中标为目的的技术规格模糊响应（如有意不合理照搬照抄招标文件的技术要求）或虚假响应予以认定，并视情况经采购代理机构报主管部门进行处理。</w:t>
      </w:r>
      <w:bookmarkEnd w:id="44"/>
    </w:p>
    <w:p w14:paraId="72F3BE31">
      <w:pPr>
        <w:widowControl w:val="0"/>
        <w:ind w:firstLine="482" w:firstLineChars="200"/>
        <w:jc w:val="both"/>
        <w:rPr>
          <w:rFonts w:ascii="Calibri" w:hAnsi="Calibri" w:eastAsia="宋体"/>
          <w:b/>
          <w:kern w:val="2"/>
          <w:szCs w:val="22"/>
          <w:lang w:eastAsia="zh-CN"/>
        </w:rPr>
      </w:pPr>
    </w:p>
    <w:p w14:paraId="1B55FDD8">
      <w:pPr>
        <w:widowControl w:val="0"/>
        <w:ind w:firstLine="482" w:firstLineChars="200"/>
        <w:jc w:val="both"/>
        <w:rPr>
          <w:rFonts w:ascii="Calibri" w:hAnsi="Calibri" w:eastAsia="宋体"/>
          <w:b/>
          <w:kern w:val="2"/>
          <w:szCs w:val="22"/>
          <w:lang w:eastAsia="zh-CN"/>
        </w:rPr>
      </w:pPr>
    </w:p>
    <w:p w14:paraId="79CBEC34">
      <w:pPr>
        <w:widowControl w:val="0"/>
        <w:ind w:firstLine="482" w:firstLineChars="200"/>
        <w:jc w:val="both"/>
        <w:rPr>
          <w:rFonts w:ascii="Calibri" w:hAnsi="Calibri" w:eastAsia="宋体"/>
          <w:b/>
          <w:kern w:val="2"/>
          <w:szCs w:val="22"/>
          <w:lang w:eastAsia="zh-CN"/>
        </w:rPr>
      </w:pPr>
    </w:p>
    <w:p w14:paraId="6C6F0F54">
      <w:pPr>
        <w:widowControl w:val="0"/>
        <w:jc w:val="both"/>
        <w:rPr>
          <w:rFonts w:hint="eastAsia" w:ascii="宋体" w:hAnsi="宋体" w:eastAsia="宋体"/>
          <w:kern w:val="2"/>
          <w:sz w:val="21"/>
          <w:szCs w:val="22"/>
          <w:lang w:eastAsia="zh-CN"/>
        </w:rPr>
      </w:pPr>
    </w:p>
    <w:p w14:paraId="086B77D4">
      <w:pPr>
        <w:bidi w:val="0"/>
        <w:rPr>
          <w:rFonts w:hint="eastAsia"/>
          <w:lang w:eastAsia="zh-CN"/>
        </w:rPr>
      </w:pPr>
    </w:p>
    <w:p w14:paraId="1E0B945F">
      <w:pPr>
        <w:keepNext/>
        <w:keepLines/>
        <w:widowControl w:val="0"/>
        <w:spacing w:before="260" w:after="260" w:line="240" w:lineRule="auto"/>
        <w:jc w:val="center"/>
        <w:outlineLvl w:val="2"/>
        <w:rPr>
          <w:rFonts w:hint="eastAsia" w:ascii="宋体" w:hAnsi="宋体" w:eastAsia="宋体"/>
          <w:b/>
          <w:bCs/>
          <w:kern w:val="2"/>
          <w:szCs w:val="32"/>
          <w:lang w:eastAsia="zh-CN"/>
        </w:rPr>
      </w:pPr>
      <w:r>
        <w:rPr>
          <w:rFonts w:hint="eastAsia" w:ascii="黑体" w:hAnsi="宋体" w:eastAsia="黑体" w:cstheme="minorBidi"/>
          <w:kern w:val="2"/>
          <w:szCs w:val="20"/>
          <w:lang w:eastAsia="zh-CN"/>
        </w:rPr>
        <w:br w:type="page"/>
      </w:r>
      <w:r>
        <w:rPr>
          <w:rFonts w:hint="eastAsia" w:ascii="黑体" w:hAnsi="宋体" w:eastAsia="黑体" w:cstheme="minorBidi"/>
          <w:kern w:val="2"/>
          <w:szCs w:val="20"/>
          <w:lang w:eastAsia="zh-CN"/>
        </w:rPr>
        <w:t>十、商务要求偏离表</w:t>
      </w:r>
    </w:p>
    <w:tbl>
      <w:tblPr>
        <w:tblStyle w:val="13"/>
        <w:tblW w:w="5000" w:type="pct"/>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372"/>
        <w:gridCol w:w="4792"/>
        <w:gridCol w:w="948"/>
        <w:gridCol w:w="625"/>
        <w:gridCol w:w="526"/>
      </w:tblGrid>
      <w:tr w14:paraId="16A8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 w:type="dxa"/>
            <w:vAlign w:val="center"/>
          </w:tcPr>
          <w:p w14:paraId="073A5263">
            <w:pPr>
              <w:widowControl w:val="0"/>
              <w:jc w:val="center"/>
              <w:rPr>
                <w:rFonts w:ascii="Calibri" w:hAnsi="Calibri" w:eastAsia="宋体"/>
                <w:b/>
                <w:kern w:val="2"/>
                <w:sz w:val="21"/>
                <w:szCs w:val="22"/>
                <w:lang w:eastAsia="zh-CN"/>
              </w:rPr>
            </w:pPr>
            <w:r>
              <w:rPr>
                <w:rFonts w:hint="eastAsia" w:ascii="Calibri" w:hAnsi="Calibri" w:eastAsia="宋体" w:cstheme="minorBidi"/>
                <w:kern w:val="2"/>
                <w:szCs w:val="22"/>
                <w:lang w:eastAsia="zh-CN"/>
              </w:rPr>
              <w:t>序号</w:t>
            </w:r>
          </w:p>
        </w:tc>
        <w:tc>
          <w:tcPr>
            <w:tcW w:w="1408" w:type="dxa"/>
            <w:vAlign w:val="center"/>
          </w:tcPr>
          <w:p w14:paraId="4DAADEF1">
            <w:pPr>
              <w:widowControl w:val="0"/>
              <w:jc w:val="center"/>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商务需求项</w:t>
            </w:r>
          </w:p>
        </w:tc>
        <w:tc>
          <w:tcPr>
            <w:tcW w:w="4918" w:type="dxa"/>
            <w:vAlign w:val="center"/>
          </w:tcPr>
          <w:p w14:paraId="2FBF2072">
            <w:pPr>
              <w:widowControl w:val="0"/>
              <w:jc w:val="center"/>
              <w:rPr>
                <w:rFonts w:ascii="Calibri" w:hAnsi="Calibri" w:eastAsia="宋体"/>
                <w:b/>
                <w:kern w:val="2"/>
                <w:sz w:val="21"/>
                <w:szCs w:val="22"/>
                <w:lang w:eastAsia="zh-CN"/>
              </w:rPr>
            </w:pPr>
            <w:r>
              <w:rPr>
                <w:rFonts w:hint="eastAsia" w:ascii="Calibri" w:hAnsi="Calibri" w:eastAsia="宋体" w:cstheme="minorBidi"/>
                <w:kern w:val="2"/>
                <w:szCs w:val="22"/>
                <w:lang w:eastAsia="zh-CN"/>
              </w:rPr>
              <w:t>招标商务要求</w:t>
            </w:r>
          </w:p>
        </w:tc>
        <w:tc>
          <w:tcPr>
            <w:tcW w:w="973" w:type="dxa"/>
            <w:vAlign w:val="center"/>
          </w:tcPr>
          <w:p w14:paraId="148D6D4D">
            <w:pPr>
              <w:widowControl w:val="0"/>
              <w:jc w:val="center"/>
              <w:rPr>
                <w:rFonts w:ascii="Calibri" w:hAnsi="Calibri" w:eastAsia="宋体"/>
                <w:b/>
                <w:kern w:val="2"/>
                <w:sz w:val="21"/>
                <w:szCs w:val="22"/>
                <w:lang w:eastAsia="zh-CN"/>
              </w:rPr>
            </w:pPr>
            <w:r>
              <w:rPr>
                <w:rFonts w:hint="eastAsia" w:ascii="Calibri" w:hAnsi="Calibri" w:eastAsia="宋体" w:cstheme="minorBidi"/>
                <w:kern w:val="2"/>
                <w:szCs w:val="22"/>
                <w:lang w:eastAsia="zh-CN"/>
              </w:rPr>
              <w:t>投标商务响应</w:t>
            </w:r>
          </w:p>
        </w:tc>
        <w:tc>
          <w:tcPr>
            <w:tcW w:w="642" w:type="dxa"/>
            <w:vAlign w:val="center"/>
          </w:tcPr>
          <w:p w14:paraId="00364F03">
            <w:pPr>
              <w:widowControl w:val="0"/>
              <w:jc w:val="center"/>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偏离情况</w:t>
            </w:r>
          </w:p>
        </w:tc>
        <w:tc>
          <w:tcPr>
            <w:tcW w:w="540" w:type="dxa"/>
            <w:vAlign w:val="center"/>
          </w:tcPr>
          <w:p w14:paraId="6ADD5DAC">
            <w:pPr>
              <w:widowControl w:val="0"/>
              <w:jc w:val="center"/>
              <w:rPr>
                <w:rFonts w:ascii="Calibri" w:hAnsi="Calibri" w:eastAsia="宋体"/>
                <w:b/>
                <w:kern w:val="2"/>
                <w:sz w:val="21"/>
                <w:szCs w:val="22"/>
                <w:lang w:eastAsia="zh-CN"/>
              </w:rPr>
            </w:pPr>
            <w:r>
              <w:rPr>
                <w:rFonts w:hint="eastAsia" w:ascii="Calibri" w:hAnsi="Calibri" w:eastAsia="宋体" w:cstheme="minorBidi"/>
                <w:kern w:val="2"/>
                <w:szCs w:val="22"/>
                <w:lang w:eastAsia="zh-CN"/>
              </w:rPr>
              <w:t>说明</w:t>
            </w:r>
          </w:p>
        </w:tc>
      </w:tr>
      <w:tr w14:paraId="475A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91" w:type="dxa"/>
            <w:gridSpan w:val="6"/>
          </w:tcPr>
          <w:p w14:paraId="4BECCE47">
            <w:pPr>
              <w:widowControl w:val="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（一）免费保修期内售后服务要求</w:t>
            </w:r>
          </w:p>
        </w:tc>
      </w:tr>
      <w:tr w14:paraId="0C7B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14:paraId="08A70431">
            <w:pPr>
              <w:widowControl w:val="0"/>
              <w:jc w:val="center"/>
              <w:rPr>
                <w:rFonts w:ascii="Calibri" w:hAnsi="Calibri" w:eastAsia="宋体"/>
                <w:bCs/>
                <w:kern w:val="2"/>
                <w:sz w:val="21"/>
                <w:szCs w:val="22"/>
                <w:lang w:eastAsia="zh-CN"/>
              </w:rPr>
            </w:pPr>
            <w:r>
              <w:rPr>
                <w:rFonts w:hint="eastAsia" w:ascii="Calibri" w:hAnsi="Calibri" w:eastAsia="宋体" w:cstheme="minorBidi"/>
                <w:bCs/>
                <w:kern w:val="2"/>
                <w:sz w:val="21"/>
                <w:szCs w:val="22"/>
                <w:lang w:eastAsia="zh-CN"/>
              </w:rPr>
              <w:t>1</w:t>
            </w:r>
          </w:p>
        </w:tc>
        <w:tc>
          <w:tcPr>
            <w:tcW w:w="1408" w:type="dxa"/>
          </w:tcPr>
          <w:p w14:paraId="1AF43BD6">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r>
              <w:rPr>
                <w:rFonts w:ascii="Calibri" w:hAnsi="Calibri" w:eastAsia="宋体" w:cstheme="minorBidi"/>
                <w:kern w:val="2"/>
                <w:sz w:val="21"/>
                <w:szCs w:val="22"/>
                <w:lang w:eastAsia="zh-CN"/>
              </w:rPr>
              <w:t>***</w:t>
            </w:r>
          </w:p>
        </w:tc>
        <w:tc>
          <w:tcPr>
            <w:tcW w:w="4918" w:type="dxa"/>
          </w:tcPr>
          <w:p w14:paraId="123DFCA6">
            <w:pPr>
              <w:widowControl w:val="0"/>
              <w:jc w:val="center"/>
              <w:rPr>
                <w:rFonts w:ascii="Calibri" w:hAnsi="Calibri" w:eastAsia="宋体"/>
                <w:b/>
                <w:kern w:val="2"/>
                <w:sz w:val="21"/>
                <w:szCs w:val="22"/>
                <w:lang w:eastAsia="zh-CN"/>
              </w:rPr>
            </w:pPr>
            <w:r>
              <w:rPr>
                <w:rFonts w:hint="eastAsia" w:ascii="Calibri" w:hAnsi="Calibri" w:eastAsia="宋体" w:cstheme="minorBidi"/>
                <w:bCs/>
                <w:kern w:val="2"/>
                <w:sz w:val="21"/>
                <w:szCs w:val="21"/>
                <w:lang w:eastAsia="zh-CN"/>
              </w:rPr>
              <w:t>（填写相关内容）</w:t>
            </w:r>
          </w:p>
        </w:tc>
        <w:tc>
          <w:tcPr>
            <w:tcW w:w="973" w:type="dxa"/>
          </w:tcPr>
          <w:p w14:paraId="515C067D">
            <w:pPr>
              <w:widowControl w:val="0"/>
              <w:jc w:val="both"/>
              <w:rPr>
                <w:rFonts w:ascii="Calibri" w:hAnsi="Calibri" w:eastAsia="宋体"/>
                <w:bCs/>
                <w:kern w:val="2"/>
                <w:sz w:val="21"/>
                <w:szCs w:val="21"/>
                <w:lang w:eastAsia="zh-CN"/>
              </w:rPr>
            </w:pPr>
          </w:p>
        </w:tc>
        <w:tc>
          <w:tcPr>
            <w:tcW w:w="642" w:type="dxa"/>
          </w:tcPr>
          <w:p w14:paraId="30275B68">
            <w:pPr>
              <w:widowControl w:val="0"/>
              <w:jc w:val="both"/>
              <w:rPr>
                <w:rFonts w:ascii="Calibri" w:hAnsi="Calibri" w:eastAsia="宋体"/>
                <w:bCs/>
                <w:kern w:val="2"/>
                <w:sz w:val="21"/>
                <w:szCs w:val="21"/>
                <w:lang w:eastAsia="zh-CN"/>
              </w:rPr>
            </w:pPr>
          </w:p>
        </w:tc>
        <w:tc>
          <w:tcPr>
            <w:tcW w:w="540" w:type="dxa"/>
          </w:tcPr>
          <w:p w14:paraId="4A1FAA61">
            <w:pPr>
              <w:widowControl w:val="0"/>
              <w:jc w:val="both"/>
              <w:rPr>
                <w:rFonts w:ascii="Calibri" w:hAnsi="Calibri" w:eastAsia="宋体"/>
                <w:bCs/>
                <w:kern w:val="2"/>
                <w:sz w:val="21"/>
                <w:szCs w:val="21"/>
                <w:lang w:eastAsia="zh-CN"/>
              </w:rPr>
            </w:pPr>
          </w:p>
        </w:tc>
      </w:tr>
      <w:tr w14:paraId="360F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14:paraId="0A2A05C3">
            <w:pPr>
              <w:widowControl w:val="0"/>
              <w:jc w:val="center"/>
              <w:rPr>
                <w:rFonts w:ascii="Calibri" w:hAnsi="Calibri" w:eastAsia="宋体"/>
                <w:bCs/>
                <w:kern w:val="2"/>
                <w:sz w:val="21"/>
                <w:szCs w:val="22"/>
                <w:lang w:eastAsia="zh-CN"/>
              </w:rPr>
            </w:pPr>
            <w:r>
              <w:rPr>
                <w:rFonts w:ascii="Calibri" w:hAnsi="Calibri" w:eastAsia="宋体" w:cstheme="minorBidi"/>
                <w:bCs/>
                <w:kern w:val="2"/>
                <w:sz w:val="21"/>
                <w:szCs w:val="22"/>
                <w:lang w:eastAsia="zh-CN"/>
              </w:rPr>
              <w:t>2</w:t>
            </w:r>
          </w:p>
        </w:tc>
        <w:tc>
          <w:tcPr>
            <w:tcW w:w="1408" w:type="dxa"/>
          </w:tcPr>
          <w:p w14:paraId="75593200">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4918" w:type="dxa"/>
          </w:tcPr>
          <w:p w14:paraId="0F0BA162">
            <w:pPr>
              <w:widowControl w:val="0"/>
              <w:jc w:val="center"/>
              <w:rPr>
                <w:rFonts w:ascii="Calibri" w:hAnsi="Calibri" w:eastAsia="宋体"/>
                <w:bCs/>
                <w:kern w:val="2"/>
                <w:sz w:val="21"/>
                <w:szCs w:val="21"/>
                <w:lang w:eastAsia="zh-CN"/>
              </w:rPr>
            </w:pPr>
            <w:r>
              <w:rPr>
                <w:rFonts w:hint="eastAsia" w:ascii="Calibri" w:hAnsi="Calibri" w:eastAsia="宋体" w:cstheme="minorBidi"/>
                <w:kern w:val="2"/>
                <w:sz w:val="21"/>
                <w:szCs w:val="22"/>
                <w:lang w:eastAsia="zh-CN"/>
              </w:rPr>
              <w:t>（填写相关内容）</w:t>
            </w:r>
          </w:p>
        </w:tc>
        <w:tc>
          <w:tcPr>
            <w:tcW w:w="973" w:type="dxa"/>
          </w:tcPr>
          <w:p w14:paraId="1D3024EC">
            <w:pPr>
              <w:widowControl w:val="0"/>
              <w:jc w:val="both"/>
              <w:rPr>
                <w:rFonts w:ascii="Calibri" w:hAnsi="Calibri" w:eastAsia="宋体"/>
                <w:bCs/>
                <w:kern w:val="2"/>
                <w:sz w:val="21"/>
                <w:szCs w:val="21"/>
                <w:lang w:eastAsia="zh-CN"/>
              </w:rPr>
            </w:pPr>
          </w:p>
        </w:tc>
        <w:tc>
          <w:tcPr>
            <w:tcW w:w="642" w:type="dxa"/>
          </w:tcPr>
          <w:p w14:paraId="14209ACD">
            <w:pPr>
              <w:widowControl w:val="0"/>
              <w:jc w:val="both"/>
              <w:rPr>
                <w:rFonts w:ascii="Calibri" w:hAnsi="Calibri" w:eastAsia="宋体"/>
                <w:bCs/>
                <w:kern w:val="2"/>
                <w:sz w:val="21"/>
                <w:szCs w:val="21"/>
                <w:lang w:eastAsia="zh-CN"/>
              </w:rPr>
            </w:pPr>
          </w:p>
        </w:tc>
        <w:tc>
          <w:tcPr>
            <w:tcW w:w="540" w:type="dxa"/>
          </w:tcPr>
          <w:p w14:paraId="6A83D892">
            <w:pPr>
              <w:widowControl w:val="0"/>
              <w:jc w:val="both"/>
              <w:rPr>
                <w:rFonts w:ascii="Calibri" w:hAnsi="Calibri" w:eastAsia="宋体"/>
                <w:bCs/>
                <w:kern w:val="2"/>
                <w:sz w:val="21"/>
                <w:szCs w:val="21"/>
                <w:lang w:eastAsia="zh-CN"/>
              </w:rPr>
            </w:pPr>
          </w:p>
        </w:tc>
      </w:tr>
      <w:tr w14:paraId="31CF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vAlign w:val="center"/>
          </w:tcPr>
          <w:p w14:paraId="4E19A8CD">
            <w:pPr>
              <w:widowControl w:val="0"/>
              <w:jc w:val="both"/>
              <w:rPr>
                <w:rFonts w:ascii="Calibri" w:hAnsi="Calibri" w:eastAsia="宋体"/>
                <w:bCs/>
                <w:kern w:val="2"/>
                <w:sz w:val="21"/>
                <w:szCs w:val="21"/>
                <w:lang w:eastAsia="zh-CN"/>
              </w:rPr>
            </w:pPr>
            <w:r>
              <w:rPr>
                <w:rFonts w:hint="eastAsia" w:ascii="Calibri" w:hAnsi="Calibri" w:eastAsia="宋体" w:cstheme="minorBidi"/>
                <w:b/>
                <w:kern w:val="2"/>
                <w:sz w:val="21"/>
                <w:szCs w:val="22"/>
                <w:lang w:eastAsia="zh-CN"/>
              </w:rPr>
              <w:t>（二）免费保修期外售后服务要求</w:t>
            </w:r>
          </w:p>
        </w:tc>
      </w:tr>
      <w:tr w14:paraId="273B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14:paraId="375F08D5">
            <w:pPr>
              <w:widowControl w:val="0"/>
              <w:jc w:val="center"/>
              <w:rPr>
                <w:rFonts w:ascii="Calibri" w:hAnsi="Calibri" w:eastAsia="宋体"/>
                <w:bCs/>
                <w:kern w:val="2"/>
                <w:sz w:val="21"/>
                <w:szCs w:val="22"/>
                <w:lang w:eastAsia="zh-CN"/>
              </w:rPr>
            </w:pPr>
            <w:r>
              <w:rPr>
                <w:rFonts w:hint="eastAsia" w:ascii="Calibri" w:hAnsi="Calibri" w:eastAsia="宋体" w:cstheme="minorBidi"/>
                <w:kern w:val="2"/>
                <w:sz w:val="21"/>
                <w:szCs w:val="22"/>
                <w:lang w:eastAsia="zh-CN"/>
              </w:rPr>
              <w:t>1</w:t>
            </w:r>
          </w:p>
        </w:tc>
        <w:tc>
          <w:tcPr>
            <w:tcW w:w="1408" w:type="dxa"/>
          </w:tcPr>
          <w:p w14:paraId="6D3AA60B">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4918" w:type="dxa"/>
          </w:tcPr>
          <w:p w14:paraId="5A85A2BC">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（填写相关内容）</w:t>
            </w:r>
          </w:p>
        </w:tc>
        <w:tc>
          <w:tcPr>
            <w:tcW w:w="973" w:type="dxa"/>
          </w:tcPr>
          <w:p w14:paraId="4924D802">
            <w:pPr>
              <w:widowControl w:val="0"/>
              <w:jc w:val="both"/>
              <w:rPr>
                <w:rFonts w:ascii="Calibri" w:hAnsi="Calibri" w:eastAsia="宋体"/>
                <w:bCs/>
                <w:kern w:val="2"/>
                <w:sz w:val="21"/>
                <w:szCs w:val="21"/>
                <w:lang w:eastAsia="zh-CN"/>
              </w:rPr>
            </w:pPr>
          </w:p>
        </w:tc>
        <w:tc>
          <w:tcPr>
            <w:tcW w:w="642" w:type="dxa"/>
          </w:tcPr>
          <w:p w14:paraId="45951F28">
            <w:pPr>
              <w:widowControl w:val="0"/>
              <w:jc w:val="both"/>
              <w:rPr>
                <w:rFonts w:ascii="Calibri" w:hAnsi="Calibri" w:eastAsia="宋体"/>
                <w:bCs/>
                <w:kern w:val="2"/>
                <w:sz w:val="21"/>
                <w:szCs w:val="21"/>
                <w:lang w:eastAsia="zh-CN"/>
              </w:rPr>
            </w:pPr>
          </w:p>
        </w:tc>
        <w:tc>
          <w:tcPr>
            <w:tcW w:w="540" w:type="dxa"/>
          </w:tcPr>
          <w:p w14:paraId="005727E7">
            <w:pPr>
              <w:widowControl w:val="0"/>
              <w:jc w:val="both"/>
              <w:rPr>
                <w:rFonts w:ascii="Calibri" w:hAnsi="Calibri" w:eastAsia="宋体"/>
                <w:bCs/>
                <w:kern w:val="2"/>
                <w:sz w:val="21"/>
                <w:szCs w:val="21"/>
                <w:lang w:eastAsia="zh-CN"/>
              </w:rPr>
            </w:pPr>
          </w:p>
        </w:tc>
      </w:tr>
      <w:tr w14:paraId="40E4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tcPr>
          <w:p w14:paraId="661758F9">
            <w:pPr>
              <w:widowControl w:val="0"/>
              <w:jc w:val="both"/>
              <w:rPr>
                <w:rFonts w:ascii="Calibri" w:hAnsi="Calibri" w:eastAsia="宋体"/>
                <w:bCs/>
                <w:kern w:val="2"/>
                <w:sz w:val="21"/>
                <w:szCs w:val="21"/>
                <w:lang w:eastAsia="zh-CN"/>
              </w:rPr>
            </w:pPr>
            <w:r>
              <w:rPr>
                <w:rFonts w:hint="eastAsia" w:ascii="Calibri" w:hAnsi="Calibri" w:eastAsia="宋体" w:cstheme="minorBidi"/>
                <w:b/>
                <w:kern w:val="2"/>
                <w:sz w:val="21"/>
                <w:szCs w:val="22"/>
                <w:lang w:eastAsia="zh-CN"/>
              </w:rPr>
              <w:t>（三）其他商务要求</w:t>
            </w:r>
          </w:p>
        </w:tc>
      </w:tr>
      <w:tr w14:paraId="0FF7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14:paraId="2CA4D683">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1408" w:type="dxa"/>
          </w:tcPr>
          <w:p w14:paraId="6CCB24B7">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4918" w:type="dxa"/>
          </w:tcPr>
          <w:p w14:paraId="697397C5">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（填写相关内容）</w:t>
            </w:r>
          </w:p>
        </w:tc>
        <w:tc>
          <w:tcPr>
            <w:tcW w:w="973" w:type="dxa"/>
          </w:tcPr>
          <w:p w14:paraId="75EB8928">
            <w:pPr>
              <w:widowControl w:val="0"/>
              <w:jc w:val="both"/>
              <w:rPr>
                <w:rFonts w:ascii="Calibri" w:hAnsi="Calibri" w:eastAsia="宋体"/>
                <w:bCs/>
                <w:kern w:val="2"/>
                <w:sz w:val="21"/>
                <w:szCs w:val="21"/>
                <w:lang w:eastAsia="zh-CN"/>
              </w:rPr>
            </w:pPr>
          </w:p>
        </w:tc>
        <w:tc>
          <w:tcPr>
            <w:tcW w:w="642" w:type="dxa"/>
          </w:tcPr>
          <w:p w14:paraId="53961B33">
            <w:pPr>
              <w:widowControl w:val="0"/>
              <w:jc w:val="both"/>
              <w:rPr>
                <w:rFonts w:ascii="Calibri" w:hAnsi="Calibri" w:eastAsia="宋体"/>
                <w:bCs/>
                <w:kern w:val="2"/>
                <w:sz w:val="21"/>
                <w:szCs w:val="21"/>
                <w:lang w:eastAsia="zh-CN"/>
              </w:rPr>
            </w:pPr>
          </w:p>
        </w:tc>
        <w:tc>
          <w:tcPr>
            <w:tcW w:w="540" w:type="dxa"/>
          </w:tcPr>
          <w:p w14:paraId="2EE34AE4">
            <w:pPr>
              <w:widowControl w:val="0"/>
              <w:jc w:val="both"/>
              <w:rPr>
                <w:rFonts w:ascii="Calibri" w:hAnsi="Calibri" w:eastAsia="宋体"/>
                <w:bCs/>
                <w:kern w:val="2"/>
                <w:sz w:val="21"/>
                <w:szCs w:val="21"/>
                <w:lang w:eastAsia="zh-CN"/>
              </w:rPr>
            </w:pPr>
          </w:p>
        </w:tc>
      </w:tr>
    </w:tbl>
    <w:p w14:paraId="3DD22FA2">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《商务要求偏离表》编制指引：</w:t>
      </w:r>
    </w:p>
    <w:p w14:paraId="20004245">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1、商务要求偏离表的序号、商务需求项、招标商务要求等栏目对应“用户需求书”中的“商务要求”章节相关内容。</w:t>
      </w:r>
    </w:p>
    <w:p w14:paraId="54F7601B">
      <w:pPr>
        <w:widowControl w:val="0"/>
        <w:ind w:firstLine="420" w:firstLineChars="200"/>
        <w:jc w:val="both"/>
        <w:rPr>
          <w:rFonts w:ascii="Calibri" w:hAnsi="Calibri" w:eastAsia="宋体"/>
          <w:bCs/>
          <w:kern w:val="2"/>
          <w:sz w:val="21"/>
          <w:szCs w:val="21"/>
          <w:lang w:eastAsia="zh-CN"/>
        </w:rPr>
      </w:pPr>
      <w:r>
        <w:rPr>
          <w:rFonts w:ascii="Calibri" w:hAnsi="Calibri" w:eastAsia="宋体" w:cstheme="minorBidi"/>
          <w:bCs/>
          <w:kern w:val="2"/>
          <w:sz w:val="21"/>
          <w:szCs w:val="21"/>
          <w:lang w:eastAsia="zh-CN"/>
        </w:rPr>
        <w:t>2</w:t>
      </w:r>
      <w:r>
        <w:rPr>
          <w:rFonts w:hint="eastAsia" w:ascii="Calibri" w:hAnsi="Calibri" w:eastAsia="宋体" w:cstheme="minorBidi"/>
          <w:bCs/>
          <w:kern w:val="2"/>
          <w:sz w:val="21"/>
          <w:szCs w:val="21"/>
          <w:lang w:eastAsia="zh-CN"/>
        </w:rPr>
        <w:t>、“投标商务响应”一栏必须一一对照“招标商务要求”，详细填写自身响应情况，而不能不合理照搬照抄招标文件的商务要求，以体现具体响应情况。</w:t>
      </w:r>
    </w:p>
    <w:p w14:paraId="0F1B3CFA">
      <w:pPr>
        <w:widowControl w:val="0"/>
        <w:ind w:firstLine="420" w:firstLineChars="200"/>
        <w:jc w:val="both"/>
        <w:rPr>
          <w:rFonts w:ascii="Calibri" w:hAnsi="Calibri" w:eastAsia="宋体"/>
          <w:bCs/>
          <w:color w:val="FF0000"/>
          <w:kern w:val="2"/>
          <w:sz w:val="21"/>
          <w:szCs w:val="21"/>
          <w:lang w:eastAsia="zh-CN"/>
        </w:rPr>
      </w:pPr>
      <w:r>
        <w:rPr>
          <w:rFonts w:ascii="Calibri" w:hAnsi="Calibri" w:eastAsia="宋体" w:cstheme="minorBidi"/>
          <w:bCs/>
          <w:kern w:val="2"/>
          <w:sz w:val="21"/>
          <w:szCs w:val="21"/>
          <w:lang w:eastAsia="zh-CN"/>
        </w:rPr>
        <w:t>3</w:t>
      </w:r>
      <w:r>
        <w:rPr>
          <w:rFonts w:hint="eastAsia" w:ascii="Calibri" w:hAnsi="Calibri" w:eastAsia="宋体" w:cstheme="minorBidi"/>
          <w:bCs/>
          <w:kern w:val="2"/>
          <w:sz w:val="21"/>
          <w:szCs w:val="21"/>
          <w:lang w:eastAsia="zh-CN"/>
        </w:rPr>
        <w:t>、“偏离情况”一栏填写如实填写“正偏离”、“负偏离”或“无偏离”，其中：“正偏离”表示“投标响应优于招标商务要求”，“负偏离”表示“投标响应不满足招标商务要求”，“无偏离”表示“投标响应与招标商务要求一致”。</w:t>
      </w:r>
    </w:p>
    <w:p w14:paraId="4E4CBD89">
      <w:pPr>
        <w:widowControl w:val="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“投标商务响应”对比“招标商务要求”存在响应不全（包括未响应整项招标商务要求或者未响应一项招标商务要求的部分内容），均视为“负偏离”。</w:t>
      </w:r>
    </w:p>
    <w:p w14:paraId="55A9F962">
      <w:pPr>
        <w:widowControl w:val="0"/>
        <w:ind w:firstLine="420" w:firstLineChars="200"/>
        <w:jc w:val="both"/>
        <w:rPr>
          <w:rFonts w:ascii="Calibri" w:hAnsi="Calibri" w:eastAsia="宋体"/>
          <w:bCs/>
          <w:kern w:val="2"/>
          <w:sz w:val="21"/>
          <w:szCs w:val="21"/>
          <w:lang w:eastAsia="zh-CN"/>
        </w:rPr>
      </w:pPr>
      <w:r>
        <w:rPr>
          <w:rFonts w:hint="eastAsia" w:ascii="Calibri" w:hAnsi="Calibri" w:eastAsia="宋体" w:cstheme="minorBidi"/>
          <w:bCs/>
          <w:kern w:val="2"/>
          <w:sz w:val="21"/>
          <w:szCs w:val="21"/>
          <w:lang w:eastAsia="zh-CN"/>
        </w:rPr>
        <w:t>4、带★号条款为不可偏离条款，如未响应或出现负偏离的，将作投标无效处理。</w:t>
      </w:r>
    </w:p>
    <w:p w14:paraId="7861DFF4">
      <w:pPr>
        <w:widowControl/>
        <w:jc w:val="left"/>
        <w:rPr>
          <w:rFonts w:hint="eastAsia" w:ascii="宋体" w:hAnsi="宋体" w:eastAsia="宋体"/>
          <w:color w:val="FF0000"/>
          <w:kern w:val="2"/>
          <w:sz w:val="32"/>
          <w:szCs w:val="32"/>
          <w:lang w:eastAsia="zh-CN"/>
        </w:rPr>
      </w:pPr>
    </w:p>
    <w:p w14:paraId="39C03CEE">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br w:type="page"/>
      </w:r>
      <w:r>
        <w:rPr>
          <w:rFonts w:hint="eastAsia" w:ascii="黑体" w:hAnsi="宋体" w:eastAsia="黑体" w:cstheme="minorBidi"/>
          <w:kern w:val="2"/>
          <w:szCs w:val="20"/>
          <w:lang w:eastAsia="zh-CN"/>
        </w:rPr>
        <w:t>十一、</w:t>
      </w:r>
      <w:bookmarkStart w:id="45" w:name="_Hlk72062872"/>
      <w:r>
        <w:rPr>
          <w:rFonts w:hint="eastAsia" w:ascii="黑体" w:hAnsi="宋体" w:eastAsia="黑体" w:cstheme="minorBidi"/>
          <w:kern w:val="2"/>
          <w:szCs w:val="20"/>
          <w:lang w:eastAsia="zh-CN"/>
        </w:rPr>
        <w:t>技术保障措施</w:t>
      </w:r>
    </w:p>
    <w:p w14:paraId="5CD0B9B6">
      <w:pPr>
        <w:bidi w:val="0"/>
        <w:rPr>
          <w:rFonts w:hint="eastAsia"/>
          <w:lang w:eastAsia="zh-CN"/>
        </w:rPr>
      </w:pPr>
    </w:p>
    <w:p w14:paraId="410582AA">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十二、技术参数响应情况</w:t>
      </w:r>
    </w:p>
    <w:p w14:paraId="5E792FEA">
      <w:pPr>
        <w:bidi w:val="0"/>
        <w:rPr>
          <w:rFonts w:hint="eastAsia"/>
          <w:lang w:eastAsia="zh-CN"/>
        </w:rPr>
      </w:pPr>
    </w:p>
    <w:p w14:paraId="6BADCD62">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十三、拟安排的项目负责人情况(仅限1人)</w:t>
      </w:r>
    </w:p>
    <w:p w14:paraId="49702D37">
      <w:pPr>
        <w:bidi w:val="0"/>
        <w:rPr>
          <w:rFonts w:hint="eastAsia"/>
          <w:lang w:eastAsia="zh-CN"/>
        </w:rPr>
      </w:pPr>
    </w:p>
    <w:p w14:paraId="228C056D">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十四、拟安排的项目主要团队成员（主要技术人员）情况（项目负责人除外）</w:t>
      </w:r>
    </w:p>
    <w:p w14:paraId="45C10FA2">
      <w:pPr>
        <w:bidi w:val="0"/>
        <w:rPr>
          <w:rFonts w:hint="eastAsia"/>
          <w:lang w:eastAsia="zh-CN"/>
        </w:rPr>
      </w:pPr>
    </w:p>
    <w:p w14:paraId="4283910E">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十五、投标人认证情况</w:t>
      </w:r>
    </w:p>
    <w:p w14:paraId="69A0A961">
      <w:pPr>
        <w:bidi w:val="0"/>
        <w:rPr>
          <w:rFonts w:hint="eastAsia"/>
          <w:lang w:eastAsia="zh-CN"/>
        </w:rPr>
      </w:pPr>
    </w:p>
    <w:p w14:paraId="53B476E3">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t>十六、投标人荣誉情况</w:t>
      </w:r>
    </w:p>
    <w:p w14:paraId="2E91A81D">
      <w:pPr>
        <w:bidi w:val="0"/>
        <w:rPr>
          <w:rFonts w:hint="eastAsia"/>
          <w:lang w:eastAsia="zh-CN"/>
        </w:rPr>
      </w:pPr>
    </w:p>
    <w:p w14:paraId="5FCAF1CA">
      <w:pPr>
        <w:keepNext/>
        <w:keepLines/>
        <w:widowControl w:val="0"/>
        <w:spacing w:before="260" w:after="260" w:line="240" w:lineRule="auto"/>
        <w:jc w:val="center"/>
        <w:outlineLvl w:val="2"/>
        <w:rPr>
          <w:rFonts w:hint="eastAsia" w:ascii="黑体" w:hAnsi="宋体" w:eastAsia="黑体" w:cstheme="minorBidi"/>
          <w:kern w:val="2"/>
          <w:sz w:val="24"/>
          <w:szCs w:val="20"/>
          <w:lang w:eastAsia="zh-CN"/>
        </w:rPr>
      </w:pPr>
      <w:r>
        <w:rPr>
          <w:rFonts w:hint="eastAsia" w:ascii="黑体" w:hAnsi="宋体" w:eastAsia="黑体" w:cstheme="minorBidi"/>
          <w:kern w:val="2"/>
          <w:szCs w:val="20"/>
          <w:lang w:eastAsia="zh-CN"/>
        </w:rPr>
        <w:t>十七、</w:t>
      </w:r>
      <w:r>
        <w:rPr>
          <w:rFonts w:hint="eastAsia" w:ascii="黑体" w:hAnsi="宋体" w:eastAsia="黑体" w:cstheme="minorBidi"/>
          <w:kern w:val="2"/>
          <w:sz w:val="24"/>
          <w:szCs w:val="20"/>
          <w:lang w:eastAsia="zh-CN"/>
        </w:rPr>
        <w:t>投标人自主知识产权产品（创新、设计）情况</w:t>
      </w:r>
    </w:p>
    <w:p w14:paraId="5B659979">
      <w:pPr>
        <w:bidi w:val="0"/>
        <w:rPr>
          <w:rFonts w:hint="eastAsia"/>
          <w:lang w:eastAsia="zh-CN"/>
        </w:rPr>
      </w:pPr>
    </w:p>
    <w:p w14:paraId="4A3B9BA4">
      <w:pPr>
        <w:keepNext/>
        <w:keepLines/>
        <w:widowControl w:val="0"/>
        <w:spacing w:before="260" w:after="260" w:line="240" w:lineRule="auto"/>
        <w:jc w:val="center"/>
        <w:outlineLvl w:val="2"/>
        <w:rPr>
          <w:rFonts w:hint="eastAsia" w:ascii="黑体" w:hAnsi="宋体" w:eastAsia="黑体" w:cstheme="minorBidi"/>
          <w:kern w:val="2"/>
          <w:sz w:val="24"/>
          <w:szCs w:val="20"/>
          <w:lang w:eastAsia="zh-CN"/>
        </w:rPr>
      </w:pPr>
      <w:r>
        <w:rPr>
          <w:rFonts w:hint="eastAsia" w:ascii="黑体" w:hAnsi="宋体" w:eastAsia="黑体" w:cstheme="minorBidi"/>
          <w:kern w:val="2"/>
          <w:szCs w:val="20"/>
          <w:lang w:eastAsia="zh-CN"/>
        </w:rPr>
        <w:t>十</w:t>
      </w:r>
      <w:r>
        <w:rPr>
          <w:rFonts w:hint="eastAsia" w:ascii="黑体" w:hAnsi="宋体" w:eastAsia="黑体" w:cstheme="minorBidi"/>
          <w:kern w:val="2"/>
          <w:szCs w:val="20"/>
          <w:lang w:val="en-US" w:eastAsia="zh-CN"/>
        </w:rPr>
        <w:t>八</w:t>
      </w:r>
      <w:r>
        <w:rPr>
          <w:rFonts w:hint="eastAsia" w:ascii="黑体" w:hAnsi="宋体" w:eastAsia="黑体" w:cstheme="minorBidi"/>
          <w:kern w:val="2"/>
          <w:szCs w:val="20"/>
          <w:lang w:eastAsia="zh-CN"/>
        </w:rPr>
        <w:t>、</w:t>
      </w:r>
      <w:r>
        <w:rPr>
          <w:rFonts w:hint="eastAsia" w:ascii="黑体" w:hAnsi="宋体" w:eastAsia="黑体" w:cstheme="minorBidi"/>
          <w:kern w:val="2"/>
          <w:sz w:val="24"/>
          <w:szCs w:val="20"/>
          <w:lang w:eastAsia="zh-CN"/>
        </w:rPr>
        <w:t>本地化服务</w:t>
      </w:r>
    </w:p>
    <w:p w14:paraId="7BB33E22">
      <w:pPr>
        <w:keepNext/>
        <w:keepLines/>
        <w:widowControl w:val="0"/>
        <w:spacing w:before="260" w:after="260" w:line="240" w:lineRule="auto"/>
        <w:jc w:val="center"/>
        <w:outlineLvl w:val="2"/>
        <w:rPr>
          <w:rFonts w:hint="eastAsia" w:ascii="黑体" w:hAnsi="宋体" w:eastAsia="黑体"/>
          <w:kern w:val="2"/>
          <w:szCs w:val="20"/>
          <w:lang w:eastAsia="zh-CN"/>
        </w:rPr>
      </w:pPr>
      <w:r>
        <w:rPr>
          <w:rFonts w:hint="eastAsia" w:ascii="黑体" w:hAnsi="宋体" w:eastAsia="黑体" w:cstheme="minorBidi"/>
          <w:kern w:val="2"/>
          <w:szCs w:val="20"/>
          <w:lang w:eastAsia="zh-CN"/>
        </w:rPr>
        <w:br w:type="page"/>
      </w:r>
      <w:r>
        <w:rPr>
          <w:rFonts w:hint="eastAsia" w:ascii="黑体" w:hAnsi="宋体" w:eastAsia="黑体" w:cstheme="minorBidi"/>
          <w:kern w:val="2"/>
          <w:szCs w:val="20"/>
          <w:lang w:eastAsia="zh-CN"/>
        </w:rPr>
        <w:t>十</w:t>
      </w:r>
      <w:r>
        <w:rPr>
          <w:rFonts w:hint="eastAsia" w:ascii="黑体" w:hAnsi="宋体" w:eastAsia="黑体" w:cstheme="minorBidi"/>
          <w:kern w:val="2"/>
          <w:szCs w:val="20"/>
          <w:lang w:val="en-US" w:eastAsia="zh-CN"/>
        </w:rPr>
        <w:t>九</w:t>
      </w:r>
      <w:r>
        <w:rPr>
          <w:rFonts w:hint="eastAsia" w:ascii="黑体" w:hAnsi="宋体" w:eastAsia="黑体" w:cstheme="minorBidi"/>
          <w:kern w:val="2"/>
          <w:szCs w:val="20"/>
          <w:lang w:eastAsia="zh-CN"/>
        </w:rPr>
        <w:t>、投标人认为需要加以说明的其他内容</w:t>
      </w:r>
      <w:bookmarkEnd w:id="45"/>
    </w:p>
    <w:p w14:paraId="43EE4A2C">
      <w:pPr>
        <w:widowControl w:val="0"/>
        <w:jc w:val="center"/>
        <w:outlineLvl w:val="3"/>
        <w:rPr>
          <w:rFonts w:hint="eastAsia" w:ascii="黑体" w:hAnsi="宋体" w:eastAsia="黑体" w:cstheme="minorBidi"/>
          <w:bCs/>
          <w:szCs w:val="32"/>
          <w:lang w:eastAsia="zh-CN"/>
        </w:rPr>
      </w:pPr>
      <w:r>
        <w:rPr>
          <w:rFonts w:hint="eastAsia" w:ascii="黑体" w:hAnsi="宋体" w:eastAsia="黑体" w:cstheme="minorBidi"/>
          <w:bCs/>
          <w:szCs w:val="32"/>
          <w:lang w:eastAsia="zh-CN"/>
        </w:rPr>
        <w:t>（一）政府采购违法行为风险知悉确认书</w:t>
      </w:r>
    </w:p>
    <w:p w14:paraId="71D35B9F">
      <w:pPr>
        <w:widowControl/>
        <w:jc w:val="center"/>
        <w:rPr>
          <w:rFonts w:hint="eastAsia" w:ascii="黑体" w:hAnsi="宋体" w:eastAsia="黑体"/>
          <w:szCs w:val="20"/>
          <w:lang w:eastAsia="zh-CN"/>
        </w:rPr>
      </w:pPr>
    </w:p>
    <w:p w14:paraId="27F1B739">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本公司在投标前已充分知悉以下情形为参与政府采购活动时的重大风险事项，并承诺已对下述风险提示事项重点排查，做到严谨、诚信、依法依规参与政府采购活动。</w:t>
      </w:r>
    </w:p>
    <w:p w14:paraId="5501E272">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一、本公司已充分知悉“隐瞒真实情况，提供虚假资料”的法定情形，相关情形包括但不限于：</w:t>
      </w:r>
    </w:p>
    <w:p w14:paraId="488E3234">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（一）通过转让或者租借等方式从其他单位获取资格或者资质证书投标的。</w:t>
      </w:r>
    </w:p>
    <w:p w14:paraId="3B4BA63B">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（二）由其他单位或者其他单位负责人在投标供应商编制的投标文件上加盖印章或者签字的。</w:t>
      </w:r>
    </w:p>
    <w:p w14:paraId="25C72E86">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（三）项目负责人或者主要技术人员不是本单位人员的。</w:t>
      </w:r>
    </w:p>
    <w:p w14:paraId="49D8C6D4">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（四）投标保证金不是从投标供应商基本账户转出的。</w:t>
      </w:r>
    </w:p>
    <w:p w14:paraId="0AF694AC">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（五）其他隐瞒真实情况、提供虚假资料的行为。</w:t>
      </w:r>
    </w:p>
    <w:p w14:paraId="36E754A8">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二、本公司已充分知悉“与其他采购参加人串通投标”的法定情形，相关情形包括但不限于：</w:t>
      </w:r>
    </w:p>
    <w:p w14:paraId="588A00F8">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（一）投标供应商之间相互约定给予未中标的供应商利益补偿。</w:t>
      </w:r>
    </w:p>
    <w:p w14:paraId="2DC6D8A6">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（二）不同投标供应商的法定代表人、主要经营负责人、项目投标授权代表人、项目负责人、主要技术人员为同一人、属同一单位或者在同一单位缴纳社会保险。</w:t>
      </w:r>
    </w:p>
    <w:p w14:paraId="3AA214B1">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（三）不同投标供应商的投标文件由同一单位或者同一人编制，或者由同一人分阶段参与编制的。</w:t>
      </w:r>
    </w:p>
    <w:p w14:paraId="40D11193">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（四）不同投标供应商的投标文件或部分投标文件相互混装。</w:t>
      </w:r>
    </w:p>
    <w:p w14:paraId="4CB507D4">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（五）不同投标供应商的投标文件内容存在非正常一致。</w:t>
      </w:r>
    </w:p>
    <w:p w14:paraId="27CC5463">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（六）由同一单位工作人员为两家以上（含两家）供应商进行同一项投标活动的。</w:t>
      </w:r>
    </w:p>
    <w:p w14:paraId="493E407B">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（七）不同投标人的投标报价呈规律性差异。</w:t>
      </w:r>
    </w:p>
    <w:p w14:paraId="05B5A53F">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（八）不同投标人的投标保证金从同一单位或者个人的账户转出。</w:t>
      </w:r>
    </w:p>
    <w:p w14:paraId="67A6422E">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（九）主管部门依照法律、法规认定的其他情形。</w:t>
      </w:r>
    </w:p>
    <w:p w14:paraId="519D4AC9">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三、本公司已充分知悉下列情形所对应的法律风险，并在投标前已对相关风险事项进行排查。</w:t>
      </w:r>
    </w:p>
    <w:p w14:paraId="5591EF2E">
      <w:pPr>
        <w:widowControl w:val="0"/>
        <w:ind w:firstLine="420" w:firstLineChars="20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（一）对于从其他主体获取的投标资料，供应商应审慎核查，确保投标资料的真实性。</w:t>
      </w:r>
      <w:r>
        <w:rPr>
          <w:rFonts w:hint="eastAsia" w:ascii="Calibri" w:hAnsi="Calibri" w:eastAsia="宋体" w:cstheme="minorBidi"/>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14:paraId="621ED5A1">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7F7512C0">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（三）对于涉及安全生产、特种作业、抢险救灾、防疫等政府采购项目，供应商实施提供虚假资料、串通投标等违法行为的，主管部门将依法从严处理。</w:t>
      </w:r>
    </w:p>
    <w:p w14:paraId="2B1ACCCB">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0F91492">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D075099">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1B6C41C0">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四、本公司已充分知悉政府采购违法、违规行为的法律后果。</w:t>
      </w:r>
    </w:p>
    <w:p w14:paraId="3CA590F6">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00F1745">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highlight w:val="yellow"/>
          <w:lang w:eastAsia="zh-CN"/>
        </w:rPr>
        <w:t>以下文字请投标供应商抄写并确认：“本公司已仔细阅读《政府采购违法行为风险知悉确认书》，充分知悉违法行为的法律后果，并承诺将严谨、诚信、依法依规参与政府采购活动”。</w:t>
      </w:r>
    </w:p>
    <w:tbl>
      <w:tblPr>
        <w:tblStyle w:val="24"/>
        <w:tblW w:w="5000" w:type="pc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6"/>
      </w:tblGrid>
      <w:tr w14:paraId="264C26B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7457393C">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r w14:paraId="7B69880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DD85BCF">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r w14:paraId="5A494E3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478B8C9">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r w14:paraId="368ABF6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527D3A6F">
            <w:pPr>
              <w:widowControl w:val="0"/>
              <w:autoSpaceDE w:val="0"/>
              <w:autoSpaceDN w:val="0"/>
              <w:spacing w:line="400" w:lineRule="exact"/>
              <w:ind w:firstLine="1866"/>
              <w:jc w:val="both"/>
              <w:rPr>
                <w:rFonts w:hint="eastAsia" w:ascii="宋体" w:hAnsi="宋体" w:eastAsia="宋体"/>
                <w:spacing w:val="-4"/>
                <w:sz w:val="21"/>
                <w:szCs w:val="21"/>
                <w:lang w:eastAsia="zh-CN"/>
              </w:rPr>
            </w:pPr>
          </w:p>
        </w:tc>
      </w:tr>
    </w:tbl>
    <w:p w14:paraId="6191A3D4">
      <w:pPr>
        <w:widowControl/>
        <w:wordWrap w:val="0"/>
        <w:autoSpaceDE w:val="0"/>
        <w:autoSpaceDN w:val="0"/>
        <w:spacing w:line="400" w:lineRule="exact"/>
        <w:ind w:right="808" w:firstLine="404" w:firstLineChars="200"/>
        <w:jc w:val="right"/>
        <w:rPr>
          <w:rFonts w:hint="eastAsia"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负责人/投标授权代表签名：</w:t>
      </w:r>
      <w:r>
        <w:rPr>
          <w:rFonts w:hint="eastAsia" w:ascii="宋体" w:hAnsi="宋体" w:eastAsia="宋体" w:cstheme="minorBidi"/>
          <w:spacing w:val="-4"/>
          <w:sz w:val="21"/>
          <w:szCs w:val="21"/>
          <w:u w:val="single"/>
          <w:lang w:eastAsia="zh-CN"/>
        </w:rPr>
        <w:t xml:space="preserve">              </w:t>
      </w:r>
    </w:p>
    <w:p w14:paraId="79F2DDDA">
      <w:pPr>
        <w:widowControl/>
        <w:wordWrap w:val="0"/>
        <w:autoSpaceDE w:val="0"/>
        <w:autoSpaceDN w:val="0"/>
        <w:spacing w:line="400" w:lineRule="exact"/>
        <w:ind w:right="808" w:firstLine="404" w:firstLineChars="200"/>
        <w:jc w:val="right"/>
        <w:rPr>
          <w:rFonts w:hint="eastAsia"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知悉人（公章）：</w:t>
      </w:r>
      <w:r>
        <w:rPr>
          <w:rFonts w:hint="eastAsia" w:ascii="宋体" w:hAnsi="宋体" w:eastAsia="宋体" w:cstheme="minorBidi"/>
          <w:spacing w:val="-4"/>
          <w:sz w:val="21"/>
          <w:szCs w:val="21"/>
          <w:u w:val="single"/>
          <w:lang w:eastAsia="zh-CN"/>
        </w:rPr>
        <w:t xml:space="preserve">              </w:t>
      </w:r>
    </w:p>
    <w:p w14:paraId="7EA7889F">
      <w:pPr>
        <w:widowControl/>
        <w:wordWrap w:val="0"/>
        <w:autoSpaceDE w:val="0"/>
        <w:autoSpaceDN w:val="0"/>
        <w:spacing w:line="400" w:lineRule="exact"/>
        <w:ind w:right="808" w:firstLine="404" w:firstLineChars="200"/>
        <w:jc w:val="right"/>
        <w:rPr>
          <w:rFonts w:hint="eastAsia"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 xml:space="preserve">     日期：</w:t>
      </w:r>
      <w:r>
        <w:rPr>
          <w:rFonts w:hint="eastAsia" w:ascii="宋体" w:hAnsi="宋体" w:eastAsia="宋体" w:cstheme="minorBidi"/>
          <w:spacing w:val="-4"/>
          <w:sz w:val="21"/>
          <w:szCs w:val="21"/>
          <w:u w:val="single"/>
          <w:lang w:eastAsia="zh-CN"/>
        </w:rPr>
        <w:t xml:space="preserve">              </w:t>
      </w:r>
    </w:p>
    <w:p w14:paraId="1E9B54B0">
      <w:pPr>
        <w:widowControl/>
        <w:wordWrap w:val="0"/>
        <w:autoSpaceDE w:val="0"/>
        <w:autoSpaceDN w:val="0"/>
        <w:spacing w:line="400" w:lineRule="exact"/>
        <w:ind w:right="1414" w:firstLine="404" w:firstLineChars="200"/>
        <w:jc w:val="right"/>
        <w:rPr>
          <w:rFonts w:hint="eastAsia" w:ascii="宋体" w:hAnsi="宋体" w:eastAsia="宋体"/>
          <w:spacing w:val="-4"/>
          <w:sz w:val="21"/>
          <w:szCs w:val="21"/>
          <w:lang w:eastAsia="zh-CN"/>
        </w:rPr>
      </w:pPr>
      <w:r>
        <w:rPr>
          <w:rFonts w:hint="eastAsia" w:ascii="宋体" w:hAnsi="宋体" w:eastAsia="宋体" w:cstheme="minorBidi"/>
          <w:spacing w:val="-4"/>
          <w:sz w:val="21"/>
          <w:szCs w:val="21"/>
          <w:lang w:eastAsia="zh-CN"/>
        </w:rPr>
        <w:t xml:space="preserve">     </w:t>
      </w:r>
    </w:p>
    <w:p w14:paraId="7D6F818C">
      <w:pPr>
        <w:widowControl/>
        <w:autoSpaceDE w:val="0"/>
        <w:autoSpaceDN w:val="0"/>
        <w:spacing w:line="400" w:lineRule="exact"/>
        <w:ind w:firstLine="406" w:firstLineChars="200"/>
        <w:jc w:val="left"/>
        <w:rPr>
          <w:rFonts w:hint="eastAsia" w:ascii="宋体" w:hAnsi="宋体" w:eastAsia="宋体"/>
          <w:b/>
          <w:bCs/>
          <w:color w:val="FF0000"/>
          <w:spacing w:val="-4"/>
          <w:sz w:val="21"/>
          <w:szCs w:val="21"/>
          <w:lang w:eastAsia="zh-CN"/>
        </w:rPr>
      </w:pPr>
      <w:r>
        <w:rPr>
          <w:rFonts w:hint="eastAsia" w:ascii="宋体" w:hAnsi="宋体" w:eastAsia="宋体" w:cstheme="minorBidi"/>
          <w:b/>
          <w:bCs/>
          <w:color w:val="FF0000"/>
          <w:spacing w:val="-4"/>
          <w:sz w:val="21"/>
          <w:szCs w:val="21"/>
          <w:lang w:eastAsia="zh-CN"/>
        </w:rPr>
        <w:t>注：</w:t>
      </w:r>
    </w:p>
    <w:p w14:paraId="5785073C">
      <w:pPr>
        <w:widowControl/>
        <w:autoSpaceDE w:val="0"/>
        <w:autoSpaceDN w:val="0"/>
        <w:spacing w:line="400" w:lineRule="exact"/>
        <w:ind w:firstLine="406" w:firstLineChars="200"/>
        <w:jc w:val="left"/>
        <w:rPr>
          <w:rFonts w:hint="eastAsia" w:ascii="宋体" w:hAnsi="宋体" w:eastAsia="宋体"/>
          <w:b/>
          <w:bCs/>
          <w:color w:val="FF0000"/>
          <w:spacing w:val="-4"/>
          <w:sz w:val="21"/>
          <w:szCs w:val="21"/>
          <w:lang w:eastAsia="zh-CN"/>
        </w:rPr>
      </w:pPr>
      <w:r>
        <w:rPr>
          <w:rFonts w:hint="eastAsia" w:ascii="宋体" w:hAnsi="宋体" w:eastAsia="宋体" w:cstheme="minorBidi"/>
          <w:b/>
          <w:bCs/>
          <w:color w:val="FF0000"/>
          <w:spacing w:val="-4"/>
          <w:sz w:val="21"/>
          <w:szCs w:val="21"/>
          <w:lang w:eastAsia="zh-CN"/>
        </w:rPr>
        <w:t>1.</w:t>
      </w:r>
      <w:r>
        <w:rPr>
          <w:rFonts w:hint="eastAsia" w:ascii="Calibri" w:hAnsi="Calibri" w:eastAsia="宋体" w:cstheme="minorBidi"/>
          <w:kern w:val="2"/>
          <w:sz w:val="21"/>
          <w:szCs w:val="22"/>
          <w:lang w:eastAsia="zh-CN"/>
        </w:rPr>
        <w:t xml:space="preserve"> </w:t>
      </w:r>
      <w:r>
        <w:rPr>
          <w:rFonts w:hint="eastAsia" w:ascii="宋体" w:hAnsi="宋体" w:eastAsia="宋体" w:cstheme="minorBidi"/>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14:paraId="3B62D6C5">
      <w:pPr>
        <w:widowControl/>
        <w:autoSpaceDE w:val="0"/>
        <w:autoSpaceDN w:val="0"/>
        <w:spacing w:line="400" w:lineRule="exact"/>
        <w:ind w:firstLine="406" w:firstLineChars="200"/>
        <w:jc w:val="left"/>
        <w:rPr>
          <w:rFonts w:hint="eastAsia" w:ascii="宋体" w:hAnsi="宋体" w:eastAsia="宋体"/>
          <w:color w:val="FF0000"/>
          <w:spacing w:val="-4"/>
          <w:sz w:val="21"/>
          <w:szCs w:val="21"/>
          <w:lang w:eastAsia="zh-CN"/>
        </w:rPr>
      </w:pPr>
      <w:r>
        <w:rPr>
          <w:rFonts w:hint="eastAsia" w:ascii="宋体" w:hAnsi="宋体" w:eastAsia="宋体" w:cstheme="minorBidi"/>
          <w:b/>
          <w:bCs/>
          <w:color w:val="FF0000"/>
          <w:spacing w:val="-4"/>
          <w:sz w:val="21"/>
          <w:szCs w:val="21"/>
          <w:lang w:eastAsia="zh-CN"/>
        </w:rPr>
        <w:t>2.投标供应商负责人或投标授权代表签字</w:t>
      </w:r>
      <w:r>
        <w:rPr>
          <w:rFonts w:hint="eastAsia" w:ascii="宋体" w:hAnsi="宋体" w:eastAsia="宋体" w:cstheme="minorBidi"/>
          <w:b/>
          <w:bCs/>
          <w:color w:val="FF0000"/>
          <w:spacing w:val="-4"/>
          <w:sz w:val="21"/>
          <w:szCs w:val="21"/>
          <w:highlight w:val="yellow"/>
          <w:lang w:eastAsia="zh-CN"/>
        </w:rPr>
        <w:t>并加盖单位公章</w:t>
      </w:r>
      <w:r>
        <w:rPr>
          <w:rFonts w:hint="eastAsia" w:ascii="宋体" w:hAnsi="宋体" w:eastAsia="宋体" w:cstheme="minorBidi"/>
          <w:b/>
          <w:bCs/>
          <w:color w:val="FF0000"/>
          <w:spacing w:val="-4"/>
          <w:sz w:val="21"/>
          <w:szCs w:val="21"/>
          <w:lang w:eastAsia="zh-CN"/>
        </w:rPr>
        <w:t>后，扫描上传至投标文件一并提交。</w:t>
      </w:r>
    </w:p>
    <w:p w14:paraId="31CD40C4">
      <w:pPr>
        <w:widowControl w:val="0"/>
        <w:jc w:val="center"/>
        <w:outlineLvl w:val="3"/>
        <w:rPr>
          <w:rFonts w:hint="eastAsia" w:ascii="黑体" w:hAnsi="宋体" w:eastAsia="黑体" w:cstheme="minorBidi"/>
          <w:bCs/>
          <w:szCs w:val="32"/>
          <w:lang w:eastAsia="zh-CN"/>
        </w:rPr>
      </w:pPr>
      <w:r>
        <w:rPr>
          <w:rFonts w:hint="eastAsia" w:ascii="黑体" w:hAnsi="宋体" w:eastAsia="黑体" w:cstheme="minorBidi"/>
          <w:bCs/>
          <w:szCs w:val="32"/>
          <w:lang w:eastAsia="zh-CN"/>
        </w:rPr>
        <w:br w:type="page"/>
      </w:r>
      <w:r>
        <w:rPr>
          <w:rFonts w:hint="eastAsia" w:ascii="黑体" w:hAnsi="宋体" w:eastAsia="黑体" w:cstheme="minorBidi"/>
          <w:bCs/>
          <w:szCs w:val="32"/>
          <w:lang w:eastAsia="zh-CN"/>
        </w:rPr>
        <w:t>（</w:t>
      </w:r>
      <w:r>
        <w:rPr>
          <w:rFonts w:hint="eastAsia" w:ascii="黑体" w:hAnsi="宋体" w:eastAsia="黑体" w:cstheme="minorBidi"/>
          <w:bCs/>
          <w:szCs w:val="32"/>
          <w:lang w:val="en-US" w:eastAsia="zh-CN"/>
        </w:rPr>
        <w:t>二</w:t>
      </w:r>
      <w:r>
        <w:rPr>
          <w:rFonts w:hint="eastAsia" w:ascii="黑体" w:hAnsi="宋体" w:eastAsia="黑体" w:cstheme="minorBidi"/>
          <w:bCs/>
          <w:szCs w:val="32"/>
          <w:lang w:eastAsia="zh-CN"/>
        </w:rPr>
        <w:t>）诚信承诺函</w:t>
      </w:r>
    </w:p>
    <w:p w14:paraId="51699368">
      <w:pPr>
        <w:widowControl w:val="0"/>
        <w:spacing w:before="86" w:line="233" w:lineRule="auto"/>
        <w:ind w:left="499"/>
        <w:jc w:val="both"/>
        <w:rPr>
          <w:rFonts w:ascii="微软雅黑" w:hAnsi="微软雅黑" w:eastAsia="微软雅黑" w:cs="微软雅黑"/>
          <w:kern w:val="2"/>
          <w:sz w:val="20"/>
          <w:szCs w:val="20"/>
          <w:lang w:eastAsia="zh-CN"/>
        </w:rPr>
      </w:pPr>
      <w:r>
        <w:rPr>
          <w:rFonts w:ascii="微软雅黑" w:hAnsi="微软雅黑" w:eastAsia="微软雅黑" w:cs="微软雅黑"/>
          <w:b/>
          <w:bCs/>
          <w:color w:val="0000FF"/>
          <w:spacing w:val="9"/>
          <w:kern w:val="2"/>
          <w:sz w:val="20"/>
          <w:szCs w:val="20"/>
          <w:lang w:eastAsia="zh-CN"/>
        </w:rPr>
        <w:t>主要内容应包括但不限于以下内容（格式自定）</w:t>
      </w:r>
    </w:p>
    <w:p w14:paraId="23BBE636">
      <w:pPr>
        <w:widowControl w:val="0"/>
        <w:spacing w:before="87" w:line="190" w:lineRule="auto"/>
        <w:jc w:val="both"/>
        <w:rPr>
          <w:rFonts w:ascii="Calibri" w:hAnsi="Calibri" w:eastAsia="宋体"/>
          <w:kern w:val="2"/>
          <w:sz w:val="21"/>
          <w:szCs w:val="22"/>
          <w:lang w:eastAsia="zh-CN"/>
        </w:rPr>
      </w:pPr>
      <w:r>
        <w:rPr>
          <w:rFonts w:ascii="微软雅黑" w:hAnsi="微软雅黑" w:eastAsia="微软雅黑" w:cs="微软雅黑"/>
          <w:b/>
          <w:bCs/>
          <w:spacing w:val="8"/>
          <w:kern w:val="2"/>
          <w:sz w:val="20"/>
          <w:szCs w:val="20"/>
          <w:lang w:eastAsia="zh-CN"/>
        </w:rPr>
        <w:t>致</w:t>
      </w:r>
      <w:r>
        <w:rPr>
          <w:rFonts w:hint="eastAsia" w:ascii="微软雅黑" w:hAnsi="微软雅黑" w:eastAsia="微软雅黑" w:cs="微软雅黑"/>
          <w:b/>
          <w:bCs/>
          <w:spacing w:val="8"/>
          <w:kern w:val="2"/>
          <w:sz w:val="20"/>
          <w:szCs w:val="20"/>
          <w:lang w:eastAsia="zh-CN"/>
        </w:rPr>
        <w:t>深圳市龙华区观湖外国语学校、深圳市拓泰实业有限公司</w:t>
      </w:r>
      <w:r>
        <w:rPr>
          <w:rFonts w:ascii="微软雅黑" w:hAnsi="微软雅黑" w:eastAsia="微软雅黑" w:cs="微软雅黑"/>
          <w:b/>
          <w:bCs/>
          <w:spacing w:val="8"/>
          <w:kern w:val="2"/>
          <w:sz w:val="20"/>
          <w:szCs w:val="20"/>
          <w:lang w:eastAsia="zh-CN"/>
        </w:rPr>
        <w:t>：</w:t>
      </w:r>
    </w:p>
    <w:p w14:paraId="4DAB6769">
      <w:pPr>
        <w:widowControl w:val="0"/>
        <w:spacing w:before="86" w:line="413" w:lineRule="auto"/>
        <w:ind w:left="17" w:firstLine="419"/>
        <w:jc w:val="both"/>
        <w:rPr>
          <w:rFonts w:hint="eastAsia" w:ascii="微软雅黑" w:hAnsi="微软雅黑" w:eastAsia="微软雅黑" w:cs="微软雅黑"/>
          <w:kern w:val="2"/>
          <w:sz w:val="20"/>
          <w:szCs w:val="20"/>
          <w:lang w:eastAsia="zh-CN"/>
        </w:rPr>
      </w:pPr>
      <w:r>
        <w:rPr>
          <w:rFonts w:ascii="微软雅黑" w:hAnsi="微软雅黑" w:eastAsia="微软雅黑" w:cs="微软雅黑"/>
          <w:spacing w:val="8"/>
          <w:kern w:val="2"/>
          <w:sz w:val="20"/>
          <w:szCs w:val="20"/>
          <w:lang w:eastAsia="zh-CN"/>
        </w:rPr>
        <w:t>我公司承诺，在参与贵单位组织的</w:t>
      </w:r>
      <w:r>
        <w:rPr>
          <w:rFonts w:ascii="微软雅黑" w:hAnsi="微软雅黑" w:eastAsia="微软雅黑" w:cs="微软雅黑"/>
          <w:spacing w:val="8"/>
          <w:kern w:val="2"/>
          <w:sz w:val="20"/>
          <w:szCs w:val="20"/>
          <w:u w:val="single"/>
          <w:lang w:eastAsia="zh-CN"/>
        </w:rPr>
        <w:t xml:space="preserve">     （项目名称</w:t>
      </w:r>
      <w:r>
        <w:rPr>
          <w:rFonts w:ascii="微软雅黑" w:hAnsi="微软雅黑" w:eastAsia="微软雅黑" w:cs="微软雅黑"/>
          <w:spacing w:val="-7"/>
          <w:kern w:val="2"/>
          <w:sz w:val="20"/>
          <w:szCs w:val="20"/>
          <w:u w:val="single"/>
          <w:lang w:eastAsia="zh-CN"/>
        </w:rPr>
        <w:t>）</w:t>
      </w:r>
      <w:r>
        <w:rPr>
          <w:rFonts w:ascii="微软雅黑" w:hAnsi="微软雅黑" w:eastAsia="微软雅黑" w:cs="微软雅黑"/>
          <w:spacing w:val="9"/>
          <w:kern w:val="2"/>
          <w:sz w:val="20"/>
          <w:szCs w:val="20"/>
          <w:u w:val="single"/>
          <w:lang w:eastAsia="zh-CN"/>
        </w:rPr>
        <w:t xml:space="preserve">      </w:t>
      </w:r>
      <w:r>
        <w:rPr>
          <w:rFonts w:ascii="微软雅黑" w:hAnsi="微软雅黑" w:eastAsia="微软雅黑" w:cs="微软雅黑"/>
          <w:spacing w:val="-7"/>
          <w:kern w:val="2"/>
          <w:sz w:val="20"/>
          <w:szCs w:val="20"/>
          <w:u w:val="single"/>
          <w:lang w:eastAsia="zh-CN"/>
        </w:rPr>
        <w:t>（</w:t>
      </w:r>
      <w:r>
        <w:rPr>
          <w:rFonts w:ascii="微软雅黑" w:hAnsi="微软雅黑" w:eastAsia="微软雅黑" w:cs="微软雅黑"/>
          <w:spacing w:val="8"/>
          <w:kern w:val="2"/>
          <w:sz w:val="20"/>
          <w:szCs w:val="20"/>
          <w:u w:val="single"/>
          <w:lang w:eastAsia="zh-CN"/>
        </w:rPr>
        <w:t>项目编</w:t>
      </w:r>
      <w:r>
        <w:rPr>
          <w:rFonts w:ascii="微软雅黑" w:hAnsi="微软雅黑" w:eastAsia="微软雅黑" w:cs="微软雅黑"/>
          <w:spacing w:val="7"/>
          <w:kern w:val="2"/>
          <w:sz w:val="20"/>
          <w:szCs w:val="20"/>
          <w:u w:val="single"/>
          <w:lang w:eastAsia="zh-CN"/>
        </w:rPr>
        <w:t>号</w:t>
      </w:r>
      <w:r>
        <w:rPr>
          <w:rFonts w:ascii="微软雅黑" w:hAnsi="微软雅黑" w:eastAsia="微软雅黑" w:cs="微软雅黑"/>
          <w:spacing w:val="-7"/>
          <w:kern w:val="2"/>
          <w:sz w:val="20"/>
          <w:szCs w:val="20"/>
          <w:u w:val="single"/>
          <w:lang w:eastAsia="zh-CN"/>
        </w:rPr>
        <w:t>：）</w:t>
      </w:r>
      <w:r>
        <w:rPr>
          <w:rFonts w:ascii="微软雅黑" w:hAnsi="微软雅黑" w:eastAsia="微软雅黑" w:cs="微软雅黑"/>
          <w:spacing w:val="46"/>
          <w:kern w:val="2"/>
          <w:sz w:val="20"/>
          <w:szCs w:val="20"/>
          <w:u w:val="single"/>
          <w:lang w:eastAsia="zh-CN"/>
        </w:rPr>
        <w:t xml:space="preserve"> </w:t>
      </w:r>
      <w:r>
        <w:rPr>
          <w:rFonts w:ascii="微软雅黑" w:hAnsi="微软雅黑" w:eastAsia="微软雅黑" w:cs="微软雅黑"/>
          <w:spacing w:val="-34"/>
          <w:kern w:val="2"/>
          <w:sz w:val="20"/>
          <w:szCs w:val="20"/>
          <w:lang w:eastAsia="zh-CN"/>
        </w:rPr>
        <w:t xml:space="preserve"> </w:t>
      </w:r>
      <w:r>
        <w:rPr>
          <w:rFonts w:ascii="微软雅黑" w:hAnsi="微软雅黑" w:eastAsia="微软雅黑" w:cs="微软雅黑"/>
          <w:spacing w:val="7"/>
          <w:kern w:val="2"/>
          <w:sz w:val="20"/>
          <w:szCs w:val="20"/>
          <w:lang w:eastAsia="zh-CN"/>
        </w:rPr>
        <w:t>自</w:t>
      </w:r>
      <w:r>
        <w:rPr>
          <w:rFonts w:ascii="微软雅黑" w:hAnsi="微软雅黑" w:eastAsia="微软雅黑" w:cs="微软雅黑"/>
          <w:spacing w:val="5"/>
          <w:kern w:val="2"/>
          <w:sz w:val="20"/>
          <w:szCs w:val="20"/>
          <w:lang w:eastAsia="zh-CN"/>
        </w:rPr>
        <w:t>行采购活动中，我单位承诺：</w:t>
      </w:r>
      <w:r>
        <w:rPr>
          <w:rFonts w:hint="eastAsia" w:ascii="微软雅黑" w:hAnsi="微软雅黑" w:eastAsia="微软雅黑" w:cs="微软雅黑"/>
          <w:color w:val="FF0000"/>
          <w:spacing w:val="5"/>
          <w:kern w:val="2"/>
          <w:sz w:val="20"/>
          <w:szCs w:val="20"/>
          <w:lang w:eastAsia="zh-CN"/>
        </w:rPr>
        <w:t>在参与龙华区教育局自行采购活动中未出现诚信或安全相关问题且不在相关主管部门处理措施实施期限内的。</w:t>
      </w:r>
    </w:p>
    <w:p w14:paraId="601C1973">
      <w:pPr>
        <w:widowControl w:val="0"/>
        <w:spacing w:before="140" w:line="434" w:lineRule="auto"/>
        <w:ind w:left="16" w:right="104" w:firstLine="420"/>
        <w:jc w:val="both"/>
        <w:rPr>
          <w:rFonts w:ascii="微软雅黑" w:hAnsi="微软雅黑" w:eastAsia="微软雅黑" w:cs="微软雅黑"/>
          <w:kern w:val="2"/>
          <w:sz w:val="20"/>
          <w:szCs w:val="20"/>
          <w:lang w:eastAsia="zh-CN"/>
        </w:rPr>
      </w:pPr>
      <w:r>
        <w:rPr>
          <w:rFonts w:ascii="微软雅黑" w:hAnsi="微软雅黑" w:eastAsia="微软雅黑" w:cs="微软雅黑"/>
          <w:spacing w:val="7"/>
          <w:kern w:val="2"/>
          <w:sz w:val="20"/>
          <w:szCs w:val="20"/>
          <w:lang w:eastAsia="zh-CN"/>
        </w:rPr>
        <w:t>我公司对该承诺的真实性负责，如有不实，自愿接受相关法律法规的处罚及其他一切后</w:t>
      </w:r>
      <w:r>
        <w:rPr>
          <w:rFonts w:ascii="微软雅黑" w:hAnsi="微软雅黑" w:eastAsia="微软雅黑" w:cs="微软雅黑"/>
          <w:spacing w:val="14"/>
          <w:kern w:val="2"/>
          <w:sz w:val="20"/>
          <w:szCs w:val="20"/>
          <w:lang w:eastAsia="zh-CN"/>
        </w:rPr>
        <w:t xml:space="preserve"> </w:t>
      </w:r>
      <w:r>
        <w:rPr>
          <w:rFonts w:ascii="微软雅黑" w:hAnsi="微软雅黑" w:eastAsia="微软雅黑" w:cs="微软雅黑"/>
          <w:spacing w:val="8"/>
          <w:kern w:val="2"/>
          <w:sz w:val="20"/>
          <w:szCs w:val="20"/>
          <w:lang w:eastAsia="zh-CN"/>
        </w:rPr>
        <w:t>果（含自愿接受将此不良行为记入投标人诚信</w:t>
      </w:r>
      <w:r>
        <w:rPr>
          <w:rFonts w:ascii="微软雅黑" w:hAnsi="微软雅黑" w:eastAsia="微软雅黑" w:cs="微软雅黑"/>
          <w:spacing w:val="7"/>
          <w:kern w:val="2"/>
          <w:sz w:val="20"/>
          <w:szCs w:val="20"/>
          <w:lang w:eastAsia="zh-CN"/>
        </w:rPr>
        <w:t>档案和自愿接受虚假响应导致禁止参加龙华区</w:t>
      </w:r>
      <w:r>
        <w:rPr>
          <w:rFonts w:ascii="微软雅黑" w:hAnsi="微软雅黑" w:eastAsia="微软雅黑" w:cs="微软雅黑"/>
          <w:spacing w:val="8"/>
          <w:kern w:val="2"/>
          <w:sz w:val="20"/>
          <w:szCs w:val="20"/>
          <w:lang w:eastAsia="zh-CN"/>
        </w:rPr>
        <w:t>教育局自行采购活动的处罚等）。</w:t>
      </w:r>
    </w:p>
    <w:p w14:paraId="66D3CF3A">
      <w:pPr>
        <w:widowControl w:val="0"/>
        <w:spacing w:before="10" w:line="188" w:lineRule="auto"/>
        <w:ind w:left="434"/>
        <w:jc w:val="both"/>
        <w:rPr>
          <w:rFonts w:ascii="微软雅黑" w:hAnsi="微软雅黑" w:eastAsia="微软雅黑" w:cs="微软雅黑"/>
          <w:kern w:val="2"/>
          <w:sz w:val="20"/>
          <w:szCs w:val="20"/>
          <w:lang w:eastAsia="zh-CN"/>
        </w:rPr>
      </w:pPr>
      <w:r>
        <w:rPr>
          <w:rFonts w:ascii="微软雅黑" w:hAnsi="微软雅黑" w:eastAsia="微软雅黑" w:cs="微软雅黑"/>
          <w:spacing w:val="7"/>
          <w:kern w:val="2"/>
          <w:sz w:val="20"/>
          <w:szCs w:val="20"/>
          <w:lang w:eastAsia="zh-CN"/>
        </w:rPr>
        <w:t>特此承诺。</w:t>
      </w:r>
    </w:p>
    <w:p w14:paraId="4AF78BD2">
      <w:pPr>
        <w:widowControl w:val="0"/>
        <w:spacing w:line="244" w:lineRule="auto"/>
        <w:jc w:val="both"/>
        <w:rPr>
          <w:rFonts w:ascii="Calibri" w:hAnsi="Calibri" w:eastAsia="宋体"/>
          <w:b/>
          <w:bCs/>
          <w:kern w:val="2"/>
          <w:szCs w:val="22"/>
          <w:lang w:eastAsia="zh-CN"/>
        </w:rPr>
      </w:pPr>
    </w:p>
    <w:p w14:paraId="7798E8A3">
      <w:pPr>
        <w:widowControl w:val="0"/>
        <w:spacing w:line="245" w:lineRule="auto"/>
        <w:jc w:val="both"/>
        <w:rPr>
          <w:rFonts w:ascii="Calibri" w:hAnsi="Calibri" w:eastAsia="宋体"/>
          <w:b/>
          <w:bCs/>
          <w:kern w:val="2"/>
          <w:szCs w:val="22"/>
          <w:lang w:eastAsia="zh-CN"/>
        </w:rPr>
      </w:pPr>
    </w:p>
    <w:p w14:paraId="5BD581D7">
      <w:pPr>
        <w:widowControl w:val="0"/>
        <w:spacing w:line="245" w:lineRule="auto"/>
        <w:jc w:val="both"/>
        <w:rPr>
          <w:rFonts w:ascii="Calibri" w:hAnsi="Calibri" w:eastAsia="宋体"/>
          <w:b/>
          <w:bCs/>
          <w:kern w:val="2"/>
          <w:szCs w:val="22"/>
          <w:lang w:eastAsia="zh-CN"/>
        </w:rPr>
      </w:pPr>
    </w:p>
    <w:p w14:paraId="4451EC69">
      <w:pPr>
        <w:widowControl w:val="0"/>
        <w:spacing w:before="86" w:line="229" w:lineRule="auto"/>
        <w:ind w:left="17"/>
        <w:jc w:val="both"/>
        <w:rPr>
          <w:rFonts w:ascii="微软雅黑" w:hAnsi="微软雅黑" w:eastAsia="微软雅黑" w:cs="微软雅黑"/>
          <w:spacing w:val="9"/>
          <w:kern w:val="2"/>
          <w:sz w:val="20"/>
          <w:szCs w:val="20"/>
          <w:lang w:eastAsia="zh-CN"/>
        </w:rPr>
      </w:pPr>
      <w:r>
        <w:rPr>
          <w:rFonts w:ascii="微软雅黑" w:hAnsi="微软雅黑" w:eastAsia="微软雅黑" w:cs="微软雅黑"/>
          <w:spacing w:val="9"/>
          <w:kern w:val="2"/>
          <w:sz w:val="20"/>
          <w:szCs w:val="20"/>
          <w:lang w:eastAsia="zh-CN"/>
        </w:rPr>
        <w:t xml:space="preserve">投标单位（公章）：             </w:t>
      </w:r>
    </w:p>
    <w:p w14:paraId="16C388B9">
      <w:pPr>
        <w:widowControl w:val="0"/>
        <w:spacing w:before="86" w:line="229" w:lineRule="auto"/>
        <w:ind w:left="17"/>
        <w:jc w:val="both"/>
        <w:rPr>
          <w:rFonts w:ascii="微软雅黑" w:hAnsi="微软雅黑" w:eastAsia="微软雅黑" w:cs="微软雅黑"/>
          <w:spacing w:val="9"/>
          <w:kern w:val="2"/>
          <w:sz w:val="20"/>
          <w:szCs w:val="20"/>
          <w:lang w:eastAsia="zh-CN"/>
        </w:rPr>
      </w:pPr>
      <w:r>
        <w:rPr>
          <w:rFonts w:ascii="微软雅黑" w:hAnsi="微软雅黑" w:eastAsia="微软雅黑" w:cs="微软雅黑"/>
          <w:spacing w:val="9"/>
          <w:kern w:val="2"/>
          <w:sz w:val="20"/>
          <w:szCs w:val="20"/>
          <w:lang w:eastAsia="zh-CN"/>
        </w:rPr>
        <w:t xml:space="preserve">法定代表人或其授权代表签名 ：        </w:t>
      </w:r>
    </w:p>
    <w:p w14:paraId="11CAE526">
      <w:pPr>
        <w:widowControl w:val="0"/>
        <w:spacing w:before="86" w:line="229" w:lineRule="auto"/>
        <w:ind w:left="17"/>
        <w:jc w:val="both"/>
        <w:rPr>
          <w:rFonts w:ascii="微软雅黑" w:hAnsi="微软雅黑" w:eastAsia="微软雅黑" w:cs="微软雅黑"/>
          <w:spacing w:val="9"/>
          <w:kern w:val="2"/>
          <w:sz w:val="20"/>
          <w:szCs w:val="20"/>
          <w:lang w:eastAsia="zh-CN"/>
        </w:rPr>
      </w:pPr>
      <w:r>
        <w:rPr>
          <w:rFonts w:ascii="微软雅黑" w:hAnsi="微软雅黑" w:eastAsia="微软雅黑" w:cs="微软雅黑"/>
          <w:spacing w:val="9"/>
          <w:kern w:val="2"/>
          <w:sz w:val="20"/>
          <w:szCs w:val="20"/>
          <w:lang w:eastAsia="zh-CN"/>
        </w:rPr>
        <w:t>日期：          年       月       日</w:t>
      </w:r>
    </w:p>
    <w:p w14:paraId="4C4A10CB">
      <w:pPr>
        <w:widowControl w:val="0"/>
        <w:spacing w:before="86" w:line="190" w:lineRule="auto"/>
        <w:ind w:left="45"/>
        <w:jc w:val="both"/>
        <w:rPr>
          <w:rFonts w:ascii="微软雅黑" w:hAnsi="微软雅黑" w:eastAsia="微软雅黑" w:cs="微软雅黑"/>
          <w:kern w:val="2"/>
          <w:sz w:val="20"/>
          <w:szCs w:val="20"/>
          <w:lang w:eastAsia="zh-CN"/>
        </w:rPr>
      </w:pPr>
    </w:p>
    <w:p w14:paraId="3F419E80">
      <w:pPr>
        <w:bidi w:val="0"/>
        <w:rPr>
          <w:rFonts w:hint="eastAsia"/>
          <w:lang w:eastAsia="zh-CN"/>
        </w:rPr>
      </w:pPr>
    </w:p>
    <w:p w14:paraId="341B2687">
      <w:pPr>
        <w:widowControl w:val="0"/>
        <w:jc w:val="center"/>
        <w:outlineLvl w:val="3"/>
        <w:rPr>
          <w:rFonts w:hint="eastAsia" w:ascii="黑体" w:hAnsi="宋体" w:eastAsia="黑体" w:cstheme="minorBidi"/>
          <w:bCs/>
          <w:szCs w:val="32"/>
          <w:lang w:eastAsia="zh-CN"/>
        </w:rPr>
      </w:pPr>
      <w:r>
        <w:rPr>
          <w:rFonts w:hint="eastAsia" w:ascii="黑体" w:hAnsi="宋体" w:eastAsia="黑体" w:cstheme="minorBidi"/>
          <w:bCs/>
          <w:szCs w:val="32"/>
          <w:lang w:eastAsia="zh-CN"/>
        </w:rPr>
        <w:t>（</w:t>
      </w:r>
      <w:r>
        <w:rPr>
          <w:rFonts w:hint="eastAsia" w:ascii="黑体" w:hAnsi="宋体" w:eastAsia="黑体" w:cstheme="minorBidi"/>
          <w:bCs/>
          <w:szCs w:val="32"/>
          <w:lang w:val="en-US" w:eastAsia="zh-CN"/>
        </w:rPr>
        <w:t>三</w:t>
      </w:r>
      <w:r>
        <w:rPr>
          <w:rFonts w:hint="eastAsia" w:ascii="黑体" w:hAnsi="宋体" w:eastAsia="黑体" w:cstheme="minorBidi"/>
          <w:bCs/>
          <w:szCs w:val="32"/>
          <w:lang w:eastAsia="zh-CN"/>
        </w:rPr>
        <w:t>）投标人认为需要加以说明的其他内容（格式自定）</w:t>
      </w:r>
    </w:p>
    <w:p w14:paraId="65C7DD31">
      <w:pPr>
        <w:widowControl w:val="0"/>
        <w:jc w:val="both"/>
        <w:rPr>
          <w:rFonts w:hint="eastAsia" w:ascii="宋体" w:hAnsi="宋体" w:eastAsia="宋体"/>
          <w:b/>
          <w:bCs/>
          <w:sz w:val="28"/>
          <w:szCs w:val="28"/>
          <w:lang w:eastAsia="zh-CN"/>
        </w:rPr>
      </w:pPr>
    </w:p>
    <w:p w14:paraId="72BE7ED1">
      <w:pPr>
        <w:keepNext/>
        <w:keepLines/>
        <w:widowControl w:val="0"/>
        <w:adjustRightInd w:val="0"/>
        <w:spacing w:before="260" w:after="260"/>
        <w:jc w:val="center"/>
        <w:textAlignment w:val="baseline"/>
        <w:outlineLvl w:val="1"/>
        <w:rPr>
          <w:rFonts w:hint="eastAsia" w:ascii="宋体" w:hAnsi="宋体" w:eastAsia="宋体"/>
          <w:b/>
          <w:bCs/>
          <w:sz w:val="28"/>
          <w:szCs w:val="28"/>
          <w:lang w:eastAsia="zh-CN"/>
        </w:rPr>
      </w:pPr>
      <w:r>
        <w:rPr>
          <w:rFonts w:hint="eastAsia" w:ascii="宋体" w:hAnsi="宋体" w:eastAsia="宋体"/>
          <w:b/>
          <w:bCs/>
          <w:sz w:val="28"/>
          <w:szCs w:val="28"/>
          <w:lang w:eastAsia="zh-CN"/>
        </w:rPr>
        <w:br w:type="page"/>
      </w:r>
      <w:r>
        <w:rPr>
          <w:rFonts w:hint="eastAsia" w:ascii="宋体" w:hAnsi="宋体" w:eastAsia="宋体"/>
          <w:b/>
          <w:bCs/>
          <w:sz w:val="28"/>
          <w:szCs w:val="28"/>
          <w:lang w:eastAsia="zh-CN"/>
        </w:rPr>
        <w:t>第五章  合同条款及格式</w:t>
      </w:r>
    </w:p>
    <w:p w14:paraId="0C95C4A4">
      <w:pPr>
        <w:widowControl/>
        <w:jc w:val="center"/>
        <w:rPr>
          <w:rFonts w:hint="eastAsia" w:ascii="宋体" w:hAnsi="宋体" w:eastAsia="黑体"/>
          <w:bCs/>
          <w:kern w:val="44"/>
          <w:sz w:val="28"/>
          <w:szCs w:val="44"/>
          <w:lang w:eastAsia="zh-CN"/>
        </w:rPr>
      </w:pPr>
      <w:bookmarkStart w:id="46" w:name="_Hlk72574405"/>
      <w:r>
        <w:rPr>
          <w:rFonts w:hint="eastAsia" w:ascii="Calibri" w:hAnsi="Calibri" w:eastAsia="宋体" w:cstheme="minorBidi"/>
          <w:b/>
          <w:kern w:val="2"/>
          <w:szCs w:val="22"/>
          <w:lang w:eastAsia="zh-CN"/>
        </w:rPr>
        <w:t>（仅供参考，具体以项目需求及采购结果为准）</w:t>
      </w:r>
      <w:bookmarkEnd w:id="46"/>
    </w:p>
    <w:p w14:paraId="301178AA">
      <w:pPr>
        <w:bidi w:val="0"/>
        <w:rPr>
          <w:rFonts w:hint="eastAsia"/>
          <w:lang w:eastAsia="zh-CN"/>
        </w:rPr>
      </w:pPr>
      <w:bookmarkStart w:id="47" w:name="_Toc22209"/>
    </w:p>
    <w:p w14:paraId="6E9FE217">
      <w:pPr>
        <w:keepNext/>
        <w:keepLines/>
        <w:widowControl w:val="0"/>
        <w:adjustRightInd w:val="0"/>
        <w:snapToGrid w:val="0"/>
        <w:spacing w:line="400" w:lineRule="exact"/>
        <w:jc w:val="center"/>
        <w:outlineLvl w:val="1"/>
        <w:rPr>
          <w:rFonts w:hint="eastAsia" w:ascii="黑体" w:hAnsi="华文中宋" w:eastAsia="黑体"/>
          <w:kern w:val="2"/>
          <w:sz w:val="28"/>
          <w:szCs w:val="28"/>
          <w:lang w:eastAsia="zh-CN"/>
        </w:rPr>
      </w:pPr>
      <w:r>
        <w:rPr>
          <w:rFonts w:hint="eastAsia" w:ascii="黑体" w:hAnsi="黑体" w:eastAsia="黑体"/>
          <w:kern w:val="2"/>
          <w:sz w:val="28"/>
          <w:szCs w:val="28"/>
          <w:lang w:eastAsia="zh-CN"/>
        </w:rPr>
        <w:t xml:space="preserve">第一节 </w:t>
      </w:r>
      <w:r>
        <w:rPr>
          <w:rFonts w:hint="eastAsia" w:ascii="黑体" w:hAnsi="华文中宋" w:eastAsia="黑体"/>
          <w:kern w:val="2"/>
          <w:sz w:val="28"/>
          <w:szCs w:val="28"/>
          <w:lang w:eastAsia="zh-CN"/>
        </w:rPr>
        <w:t>政府采购合同协议书</w:t>
      </w:r>
      <w:bookmarkEnd w:id="47"/>
    </w:p>
    <w:p w14:paraId="1B4ABF38">
      <w:pPr>
        <w:bidi w:val="0"/>
        <w:rPr>
          <w:rFonts w:hint="eastAsia"/>
          <w:lang w:eastAsia="zh-CN"/>
        </w:rPr>
      </w:pPr>
    </w:p>
    <w:p w14:paraId="63105AC3">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采购人：</w:t>
      </w:r>
      <w:r>
        <w:rPr>
          <w:rFonts w:hint="eastAsia" w:ascii="Calibri" w:hAnsi="Calibri" w:eastAsia="宋体" w:cstheme="minorBidi"/>
          <w:kern w:val="2"/>
          <w:sz w:val="21"/>
          <w:szCs w:val="22"/>
          <w:u w:val="single"/>
          <w:lang w:eastAsia="zh-CN"/>
        </w:rPr>
        <w:t xml:space="preserve">           </w:t>
      </w:r>
    </w:p>
    <w:p w14:paraId="27371DF8">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供应商：</w:t>
      </w:r>
      <w:r>
        <w:rPr>
          <w:rFonts w:hint="eastAsia" w:ascii="Calibri" w:hAnsi="Calibri" w:eastAsia="宋体" w:cstheme="minorBidi"/>
          <w:kern w:val="2"/>
          <w:sz w:val="21"/>
          <w:szCs w:val="22"/>
          <w:u w:val="single"/>
          <w:lang w:eastAsia="zh-CN"/>
        </w:rPr>
        <w:t xml:space="preserve">           </w:t>
      </w:r>
    </w:p>
    <w:p w14:paraId="7772171A">
      <w:pPr>
        <w:widowControl w:val="0"/>
        <w:jc w:val="both"/>
        <w:rPr>
          <w:rFonts w:ascii="Calibri" w:hAnsi="Calibri" w:eastAsia="宋体"/>
          <w:kern w:val="2"/>
          <w:sz w:val="21"/>
          <w:szCs w:val="22"/>
          <w:lang w:eastAsia="zh-CN"/>
        </w:rPr>
      </w:pPr>
    </w:p>
    <w:p w14:paraId="4446DF8D">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根据深圳市****</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号采购项目的投标结果，由</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单位为中标方。按照有关规定，经深圳市</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（以下简称甲方）和</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单位（以下简称乙方）协商，达成以下合同条款：</w:t>
      </w:r>
    </w:p>
    <w:p w14:paraId="3AB6BC78">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第一条  合同标的</w:t>
      </w:r>
    </w:p>
    <w:p w14:paraId="30F7C901">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乙方根据甲方需求提供下列货物：</w:t>
      </w:r>
    </w:p>
    <w:p w14:paraId="6ABAA4A9">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货物名称、规格及数量详见</w:t>
      </w:r>
      <w:r>
        <w:rPr>
          <w:rFonts w:hint="eastAsia" w:ascii="Calibri" w:hAnsi="Calibri" w:eastAsia="宋体" w:cstheme="minorBidi"/>
          <w:b/>
          <w:kern w:val="2"/>
          <w:sz w:val="21"/>
          <w:szCs w:val="22"/>
          <w:u w:val="single"/>
          <w:lang w:eastAsia="zh-CN"/>
        </w:rPr>
        <w:t xml:space="preserve">                  </w:t>
      </w:r>
      <w:r>
        <w:rPr>
          <w:rFonts w:hint="eastAsia" w:ascii="Calibri" w:hAnsi="Calibri" w:eastAsia="宋体" w:cstheme="minorBidi"/>
          <w:kern w:val="2"/>
          <w:sz w:val="21"/>
          <w:szCs w:val="22"/>
          <w:lang w:eastAsia="zh-CN"/>
        </w:rPr>
        <w:t>。</w:t>
      </w:r>
    </w:p>
    <w:p w14:paraId="58A1DEFC">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第二条  合同价款</w:t>
      </w:r>
    </w:p>
    <w:p w14:paraId="2119A88C">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本合同项下总价款为</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（大写）人民币，分项价款详见</w:t>
      </w:r>
      <w:r>
        <w:rPr>
          <w:rFonts w:hint="eastAsia" w:ascii="Calibri" w:hAnsi="Calibri" w:eastAsia="宋体" w:cstheme="minorBidi"/>
          <w:b/>
          <w:kern w:val="2"/>
          <w:sz w:val="21"/>
          <w:szCs w:val="22"/>
          <w:u w:val="single"/>
          <w:lang w:eastAsia="zh-CN"/>
        </w:rPr>
        <w:t xml:space="preserve">          </w:t>
      </w:r>
      <w:r>
        <w:rPr>
          <w:rFonts w:hint="eastAsia" w:ascii="Calibri" w:hAnsi="Calibri" w:eastAsia="宋体" w:cstheme="minorBidi"/>
          <w:kern w:val="2"/>
          <w:sz w:val="21"/>
          <w:szCs w:val="22"/>
          <w:lang w:eastAsia="zh-CN"/>
        </w:rPr>
        <w:t>。本合同总价款已包括乙方为履行本合同义务所发生的一切费用，系固定不变价格，且不随通货膨胀的影响而波动。</w:t>
      </w:r>
    </w:p>
    <w:p w14:paraId="60E76EF9">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第三条  权利保证</w:t>
      </w:r>
    </w:p>
    <w:p w14:paraId="10009D73">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0D484454">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第四条  质量保证</w:t>
      </w:r>
    </w:p>
    <w:p w14:paraId="204736B6">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1、乙方所提供的货物的技术规格符合采购文件规定的技术规格，货物符合中华人民共和国的设计和制造生产标准或行业标准。</w:t>
      </w:r>
    </w:p>
    <w:p w14:paraId="58540FCA">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2、乙方应保证货物是全新、未使用过的原装合格正品（包括零部件），并完全符合甲方要求的质量、规格和性能的要求。如货物安装或配置了软件的，乙方保证相关软件均为正版软件。</w:t>
      </w:r>
    </w:p>
    <w:p w14:paraId="4B3D1005">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3、乙方保证交货时一并提供货物的质量合格凭证或文件。</w:t>
      </w:r>
    </w:p>
    <w:p w14:paraId="1387A021">
      <w:pPr>
        <w:widowControl w:val="0"/>
        <w:spacing w:line="360" w:lineRule="auto"/>
        <w:jc w:val="both"/>
        <w:rPr>
          <w:rFonts w:ascii="Calibri" w:hAnsi="Calibri" w:eastAsia="宋体"/>
          <w:kern w:val="2"/>
          <w:sz w:val="21"/>
          <w:szCs w:val="22"/>
          <w:lang w:eastAsia="zh-CN"/>
        </w:rPr>
      </w:pPr>
    </w:p>
    <w:p w14:paraId="691C800E">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第五条  交货和验收</w:t>
      </w:r>
    </w:p>
    <w:p w14:paraId="251BD315">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1、乙方应按照本合同或招投标文件规定的时间和方式向甲方交付货物，交货地点由甲方指定。因交货产生的费用由乙方自行承担。</w:t>
      </w:r>
    </w:p>
    <w:p w14:paraId="59DC60FC">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2、乙方交付的货物应当完全符合招投标文件所规定的货物、数量、质量和规格要求。乙方提供的货物不符合招投标文件和合同规定的，甲方有权拒收货物，由此引起的风险，由乙方承担。</w:t>
      </w:r>
    </w:p>
    <w:p w14:paraId="3AF06331">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A1A2136">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4、甲方应当在到货后的</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个工作日内对货物进行验收；需要乙方对货物或系统进行安装调试的，甲方应在货物安装调试完毕后的</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个工作日内进行质量验收。</w:t>
      </w:r>
    </w:p>
    <w:p w14:paraId="42CFF501">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第六条  保修及其他服务</w:t>
      </w:r>
    </w:p>
    <w:p w14:paraId="2255AFE8">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1、乙方应按照国家有关法律法规规章和“三包”规定和采购文件的要求及乙方在投标文件的相关承诺提供保修及其他服务。</w:t>
      </w:r>
    </w:p>
    <w:p w14:paraId="39241813">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w:t>
      </w:r>
      <w:r>
        <w:rPr>
          <w:rFonts w:ascii="Calibri" w:hAnsi="Calibri" w:eastAsia="宋体" w:cstheme="minorBidi"/>
          <w:kern w:val="2"/>
          <w:sz w:val="21"/>
          <w:szCs w:val="22"/>
          <w:lang w:eastAsia="zh-CN"/>
        </w:rPr>
        <w:t>保修期内，乙方负责对其提供的货物进行维修和系统维护，不再收取任何费用。</w:t>
      </w:r>
      <w:r>
        <w:rPr>
          <w:rFonts w:hint="eastAsia" w:ascii="Calibri" w:hAnsi="Calibri" w:eastAsia="宋体" w:cstheme="minorBidi"/>
          <w:kern w:val="2"/>
          <w:sz w:val="21"/>
          <w:szCs w:val="22"/>
          <w:lang w:eastAsia="zh-CN"/>
        </w:rPr>
        <w:t>所有货物保修服务方式均为乙方上门保修，即由乙方派员到货物使用现场维修，由此产生的一切费用均由乙方承担。保修期后的货物维护另行协商。</w:t>
      </w:r>
    </w:p>
    <w:p w14:paraId="46316A5A">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第七条  履约保证金</w:t>
      </w:r>
    </w:p>
    <w:p w14:paraId="5A0CEB60">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1、乙方应在签订本合同之日，向甲方或甲方指定的机构提交履约保证金_________元。</w:t>
      </w:r>
    </w:p>
    <w:p w14:paraId="59C894BB">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2、如乙方未能履行合同规定的义务，甲方有权从履约保证金中取得补偿。</w:t>
      </w:r>
    </w:p>
    <w:p w14:paraId="025CF156">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3、甲方在乙方履行完毕本合同项下全部义务后______天内无息退还乙方。</w:t>
      </w:r>
    </w:p>
    <w:p w14:paraId="7E11B378">
      <w:pPr>
        <w:widowControl w:val="0"/>
        <w:spacing w:line="360" w:lineRule="auto"/>
        <w:ind w:firstLine="560"/>
        <w:jc w:val="both"/>
        <w:rPr>
          <w:rFonts w:ascii="Calibri" w:hAnsi="Calibri" w:eastAsia="宋体"/>
          <w:kern w:val="2"/>
          <w:sz w:val="21"/>
          <w:szCs w:val="22"/>
          <w:lang w:eastAsia="zh-CN"/>
        </w:rPr>
      </w:pPr>
    </w:p>
    <w:p w14:paraId="691420B4">
      <w:pPr>
        <w:widowControl w:val="0"/>
        <w:spacing w:line="360" w:lineRule="auto"/>
        <w:ind w:firstLine="560"/>
        <w:jc w:val="both"/>
        <w:rPr>
          <w:rFonts w:hint="eastAsia" w:ascii="Calibri" w:hAnsi="Calibri" w:eastAsia="宋体"/>
          <w:b/>
          <w:kern w:val="2"/>
          <w:sz w:val="21"/>
          <w:szCs w:val="22"/>
          <w:lang w:eastAsia="zh-CN"/>
        </w:rPr>
      </w:pPr>
      <w:r>
        <w:rPr>
          <w:rFonts w:hint="eastAsia" w:ascii="Calibri" w:hAnsi="Calibri" w:eastAsia="宋体" w:cstheme="minorBidi"/>
          <w:b/>
          <w:kern w:val="2"/>
          <w:sz w:val="21"/>
          <w:szCs w:val="22"/>
          <w:lang w:eastAsia="zh-CN"/>
        </w:rPr>
        <w:t>第八条   付款方式</w:t>
      </w:r>
    </w:p>
    <w:p w14:paraId="6BD738C0">
      <w:pPr>
        <w:widowControl w:val="0"/>
        <w:spacing w:line="360" w:lineRule="auto"/>
        <w:ind w:firstLine="56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按照招标文件规定的付款方式进行支付。</w:t>
      </w:r>
    </w:p>
    <w:p w14:paraId="4864E1B8">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第九条    违约责任</w:t>
      </w:r>
    </w:p>
    <w:p w14:paraId="4F96331B">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１、甲方无正当理由拒收货物、拒付货物款的，由甲方向乙方偿付合同总价的【】%违约金。</w:t>
      </w:r>
    </w:p>
    <w:p w14:paraId="5F77779A">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２、甲方未按合同规定的期限向乙方支付货款的，每逾期1天甲方向乙方偿付欠款总额的【】‰滞纳金，但累计滞纳金总额不超过欠款总额的【】% 。</w:t>
      </w:r>
    </w:p>
    <w:p w14:paraId="2701850A">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３、</w:t>
      </w:r>
      <w:r>
        <w:rPr>
          <w:rFonts w:ascii="Calibri" w:hAnsi="Calibri" w:eastAsia="宋体" w:cstheme="minorBidi"/>
          <w:kern w:val="2"/>
          <w:sz w:val="21"/>
          <w:szCs w:val="22"/>
          <w:lang w:eastAsia="zh-CN"/>
        </w:rPr>
        <w:t>乙方逾期交付货物的，每逾期1天，乙方向甲方偿付逾期交货部分货款总额的</w:t>
      </w:r>
      <w:r>
        <w:rPr>
          <w:rFonts w:hint="eastAsia" w:ascii="Calibri" w:hAnsi="Calibri" w:eastAsia="宋体" w:cstheme="minorBidi"/>
          <w:kern w:val="2"/>
          <w:sz w:val="21"/>
          <w:szCs w:val="22"/>
          <w:lang w:eastAsia="zh-CN"/>
        </w:rPr>
        <w:t>【】</w:t>
      </w:r>
      <w:r>
        <w:rPr>
          <w:rFonts w:ascii="Calibri" w:hAnsi="Calibri" w:eastAsia="宋体" w:cstheme="minorBidi"/>
          <w:kern w:val="2"/>
          <w:sz w:val="21"/>
          <w:szCs w:val="22"/>
          <w:lang w:eastAsia="zh-CN"/>
        </w:rPr>
        <w:t>‰的滞纳金</w:t>
      </w:r>
      <w:r>
        <w:rPr>
          <w:rFonts w:hint="eastAsia" w:ascii="Calibri" w:hAnsi="Calibri" w:eastAsia="宋体" w:cstheme="minorBidi"/>
          <w:kern w:val="2"/>
          <w:sz w:val="21"/>
          <w:szCs w:val="22"/>
          <w:lang w:eastAsia="zh-CN"/>
        </w:rPr>
        <w:t>。如乙方逾期交货达</w:t>
      </w:r>
      <w:r>
        <w:rPr>
          <w:rFonts w:hint="eastAsia" w:ascii="Calibri" w:hAnsi="Calibri" w:eastAsia="宋体" w:cstheme="minorBidi"/>
          <w:kern w:val="2"/>
          <w:sz w:val="21"/>
          <w:szCs w:val="22"/>
          <w:u w:val="single"/>
          <w:lang w:eastAsia="zh-CN"/>
        </w:rPr>
        <w:t xml:space="preserve">    </w:t>
      </w:r>
      <w:r>
        <w:rPr>
          <w:rFonts w:hint="eastAsia" w:ascii="Calibri" w:hAnsi="Calibri" w:eastAsia="宋体" w:cstheme="minorBidi"/>
          <w:kern w:val="2"/>
          <w:sz w:val="21"/>
          <w:szCs w:val="22"/>
          <w:lang w:eastAsia="zh-CN"/>
        </w:rPr>
        <w:t>天，甲方有权解除合同，履约保证金不予退回，同时乙方应向甲方支付合同总价【】％的违约金。</w:t>
      </w:r>
    </w:p>
    <w:p w14:paraId="3E30F28D">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4、乙方所交付的货物品种、型号、规格不符合合同规定的，甲方有权拒收。甲方拒收的，乙方应向甲方支付货款总额【】%的违约金。</w:t>
      </w:r>
    </w:p>
    <w:p w14:paraId="3B980635">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5、在乙方承诺的或国家规定的质量保证期内（取两者中最长的期限），</w:t>
      </w:r>
      <w:r>
        <w:rPr>
          <w:rFonts w:ascii="Calibri" w:hAnsi="Calibri" w:eastAsia="宋体" w:cstheme="minorBidi"/>
          <w:kern w:val="2"/>
          <w:sz w:val="21"/>
          <w:szCs w:val="22"/>
          <w:lang w:eastAsia="zh-CN"/>
        </w:rPr>
        <w:t>如经乙方两次维修</w:t>
      </w:r>
      <w:r>
        <w:rPr>
          <w:rFonts w:hint="eastAsia" w:ascii="Calibri" w:hAnsi="Calibri" w:eastAsia="宋体" w:cstheme="minorBidi"/>
          <w:kern w:val="2"/>
          <w:sz w:val="21"/>
          <w:szCs w:val="22"/>
          <w:lang w:eastAsia="zh-CN"/>
        </w:rPr>
        <w:t>或更换</w:t>
      </w:r>
      <w:r>
        <w:rPr>
          <w:rFonts w:ascii="Calibri" w:hAnsi="Calibri" w:eastAsia="宋体" w:cstheme="minorBidi"/>
          <w:kern w:val="2"/>
          <w:sz w:val="21"/>
          <w:szCs w:val="22"/>
          <w:lang w:eastAsia="zh-CN"/>
        </w:rPr>
        <w:t>，货物仍不能达到合同约定</w:t>
      </w:r>
      <w:r>
        <w:rPr>
          <w:rFonts w:hint="eastAsia" w:ascii="Calibri" w:hAnsi="Calibri" w:eastAsia="宋体" w:cstheme="minorBidi"/>
          <w:kern w:val="2"/>
          <w:sz w:val="21"/>
          <w:szCs w:val="22"/>
          <w:lang w:eastAsia="zh-CN"/>
        </w:rPr>
        <w:t>的</w:t>
      </w:r>
      <w:r>
        <w:rPr>
          <w:rFonts w:ascii="Calibri" w:hAnsi="Calibri" w:eastAsia="宋体" w:cstheme="minorBidi"/>
          <w:kern w:val="2"/>
          <w:sz w:val="21"/>
          <w:szCs w:val="22"/>
          <w:lang w:eastAsia="zh-CN"/>
        </w:rPr>
        <w:t>质量标准，甲方有权退货，乙方</w:t>
      </w:r>
      <w:r>
        <w:rPr>
          <w:rFonts w:hint="eastAsia" w:ascii="Calibri" w:hAnsi="Calibri" w:eastAsia="宋体" w:cstheme="minorBidi"/>
          <w:kern w:val="2"/>
          <w:sz w:val="21"/>
          <w:szCs w:val="22"/>
          <w:lang w:eastAsia="zh-CN"/>
        </w:rPr>
        <w:t>应</w:t>
      </w:r>
      <w:r>
        <w:rPr>
          <w:rFonts w:ascii="Calibri" w:hAnsi="Calibri" w:eastAsia="宋体" w:cstheme="minorBidi"/>
          <w:kern w:val="2"/>
          <w:sz w:val="21"/>
          <w:szCs w:val="22"/>
          <w:lang w:eastAsia="zh-CN"/>
        </w:rPr>
        <w:t>退回全部货款</w:t>
      </w:r>
      <w:r>
        <w:rPr>
          <w:rFonts w:hint="eastAsia" w:ascii="Calibri" w:hAnsi="Calibri" w:eastAsia="宋体" w:cstheme="minorBidi"/>
          <w:kern w:val="2"/>
          <w:sz w:val="21"/>
          <w:szCs w:val="22"/>
          <w:lang w:eastAsia="zh-CN"/>
        </w:rPr>
        <w:t>并</w:t>
      </w:r>
      <w:r>
        <w:rPr>
          <w:rFonts w:ascii="Calibri" w:hAnsi="Calibri" w:eastAsia="宋体" w:cstheme="minorBidi"/>
          <w:kern w:val="2"/>
          <w:sz w:val="21"/>
          <w:szCs w:val="22"/>
          <w:lang w:eastAsia="zh-CN"/>
        </w:rPr>
        <w:t>赔偿甲方因此遭受的损失。</w:t>
      </w:r>
    </w:p>
    <w:p w14:paraId="4748DEFC">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6、乙方未履行本合同项下的其他义务或违反其在投标文件中的相关承诺的，应按合同总价款的【】%向甲方承担违约责任。</w:t>
      </w:r>
    </w:p>
    <w:p w14:paraId="0617280D">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7、乙方在承担上述一项或多项违约责任后，仍应继续履行合同规定的义务（甲方解除合同的除外）。甲方未能及时追究乙方的任何一项违约责任并不表明甲方放弃追究乙方该项或其他违约责任。</w:t>
      </w:r>
    </w:p>
    <w:p w14:paraId="25504A93">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第十条    合同的变更和终止</w:t>
      </w:r>
    </w:p>
    <w:p w14:paraId="51F9B1CC">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除《中华人民共和国政府采购法》第４９条、第５０条第二款规定的情形外，本合同一经签订，甲乙双方不得擅自变更、</w:t>
      </w:r>
      <w:r>
        <w:rPr>
          <w:rFonts w:hint="eastAsia" w:ascii="Calibri" w:hAnsi="Calibri" w:eastAsia="宋体" w:cstheme="minorBidi"/>
          <w:kern w:val="2"/>
          <w:sz w:val="21"/>
          <w:szCs w:val="22"/>
          <w:highlight w:val="yellow"/>
          <w:lang w:eastAsia="zh-CN"/>
        </w:rPr>
        <w:t>中止</w:t>
      </w:r>
      <w:r>
        <w:rPr>
          <w:rFonts w:hint="eastAsia" w:ascii="Calibri" w:hAnsi="Calibri" w:eastAsia="宋体" w:cstheme="minorBidi"/>
          <w:kern w:val="2"/>
          <w:sz w:val="21"/>
          <w:szCs w:val="22"/>
          <w:lang w:eastAsia="zh-CN"/>
        </w:rPr>
        <w:t>或终止合同。</w:t>
      </w:r>
    </w:p>
    <w:p w14:paraId="0DF3AC81">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第十一条   争议的解决</w:t>
      </w:r>
    </w:p>
    <w:p w14:paraId="0D829D59">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1、因货物的质量问题发生争议的，应当邀请国家认可的质量检测机构对货物质量进行鉴定。货物符合标准的，鉴定费由甲方承担；货物不符合质量标准的，鉴定费由乙方承担。</w:t>
      </w:r>
    </w:p>
    <w:p w14:paraId="4BB2E48E">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2、因履行本合同引起的或与本合同有关的争议，甲、乙双方应首先通过友好协商解决，如果协商不能解决争议，则向甲方所在地有管辖权的人民法院提起诉讼；</w:t>
      </w:r>
    </w:p>
    <w:p w14:paraId="6B7BC90F">
      <w:pPr>
        <w:widowControl w:val="0"/>
        <w:spacing w:line="360" w:lineRule="auto"/>
        <w:ind w:firstLine="56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第十二条   合同生效及其他</w:t>
      </w:r>
    </w:p>
    <w:p w14:paraId="27A85BDF">
      <w:pPr>
        <w:widowControl w:val="0"/>
        <w:spacing w:line="360" w:lineRule="auto"/>
        <w:ind w:firstLine="56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1、下列文件均为本合同的重要组成部分：</w:t>
      </w:r>
    </w:p>
    <w:p w14:paraId="6B5EB9CD">
      <w:pPr>
        <w:widowControl w:val="0"/>
        <w:spacing w:line="360" w:lineRule="auto"/>
        <w:ind w:firstLine="56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（1）本项目的采购文件、答疑及补充通知；</w:t>
      </w:r>
    </w:p>
    <w:p w14:paraId="04AF5E84">
      <w:pPr>
        <w:widowControl w:val="0"/>
        <w:spacing w:line="360" w:lineRule="auto"/>
        <w:ind w:firstLine="56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（2）本项目中标的投标文件；</w:t>
      </w:r>
    </w:p>
    <w:p w14:paraId="5E78B383">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（3）本合同执行中共同签署的补充与修正文件。</w:t>
      </w:r>
    </w:p>
    <w:p w14:paraId="3F0D269F">
      <w:pPr>
        <w:widowControl w:val="0"/>
        <w:spacing w:line="360" w:lineRule="auto"/>
        <w:jc w:val="both"/>
        <w:rPr>
          <w:rFonts w:hint="eastAsia" w:ascii="Calibri" w:hAnsi="Calibri" w:eastAsia="宋体"/>
          <w:b/>
          <w:bCs/>
          <w:kern w:val="2"/>
          <w:szCs w:val="22"/>
          <w:lang w:eastAsia="zh-CN"/>
        </w:rPr>
      </w:pPr>
      <w:r>
        <w:rPr>
          <w:rFonts w:hint="eastAsia" w:ascii="Calibri" w:hAnsi="Calibri" w:eastAsia="宋体" w:cstheme="minorBidi"/>
          <w:b/>
          <w:bCs/>
          <w:kern w:val="2"/>
          <w:szCs w:val="22"/>
          <w:lang w:eastAsia="zh-CN"/>
        </w:rPr>
        <w:t xml:space="preserve">   </w:t>
      </w:r>
      <w:r>
        <w:rPr>
          <w:rFonts w:hint="eastAsia" w:ascii="Calibri" w:hAnsi="Calibri" w:eastAsia="宋体" w:cstheme="minorBidi"/>
          <w:bCs/>
          <w:kern w:val="2"/>
          <w:sz w:val="21"/>
          <w:szCs w:val="21"/>
          <w:lang w:eastAsia="zh-CN"/>
        </w:rPr>
        <w:t xml:space="preserve"> 以上文件互为补充，如果出现内容冲突的情况，为准的优先顺序为（2）、（1）、（3）。</w:t>
      </w:r>
    </w:p>
    <w:p w14:paraId="06EEB9ED">
      <w:pPr>
        <w:widowControl w:val="0"/>
        <w:spacing w:line="360" w:lineRule="auto"/>
        <w:ind w:firstLine="56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2、本合同一式___份，甲、乙方双方各执份，具有同等法律效力。本合同自双方法人代表签字（盖章）认可之日起生效。</w:t>
      </w:r>
    </w:p>
    <w:p w14:paraId="05AB826A">
      <w:pPr>
        <w:widowControl w:val="0"/>
        <w:spacing w:line="360" w:lineRule="auto"/>
        <w:ind w:firstLine="56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3、本合同未尽事宜，双方友好协商，达成解决方案，经双方签字后，可作为本合同的有效附件。</w:t>
      </w:r>
    </w:p>
    <w:p w14:paraId="1D357C09">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本合同未尽事宜，双方友好协商，达成解决方案，经双方签字后，可作为本合同的有效附件。</w:t>
      </w:r>
    </w:p>
    <w:p w14:paraId="5064C7CF">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甲方（采购人）：   （盖章）       乙方（供应商）：    （盖章）</w:t>
      </w:r>
    </w:p>
    <w:p w14:paraId="1AEBF4AA">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 xml:space="preserve">法定代表人：                     法定代表人： </w:t>
      </w:r>
    </w:p>
    <w:p w14:paraId="556126B4">
      <w:pPr>
        <w:widowControl w:val="0"/>
        <w:spacing w:line="360" w:lineRule="auto"/>
        <w:ind w:firstLine="56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委托代理人：                     委托代理人：</w:t>
      </w:r>
    </w:p>
    <w:p w14:paraId="04C39F33">
      <w:pPr>
        <w:widowControl w:val="0"/>
        <w:ind w:firstLine="525" w:firstLineChars="250"/>
        <w:jc w:val="both"/>
        <w:rPr>
          <w:rFonts w:hint="eastAsia" w:ascii="宋体" w:hAnsi="宋体" w:eastAsia="宋体"/>
          <w:b/>
          <w:kern w:val="2"/>
          <w:sz w:val="21"/>
          <w:szCs w:val="21"/>
          <w:lang w:eastAsia="zh-CN"/>
        </w:rPr>
      </w:pPr>
      <w:r>
        <w:rPr>
          <w:rFonts w:hint="eastAsia" w:ascii="Calibri" w:hAnsi="Calibri" w:eastAsia="宋体" w:cstheme="minorBidi"/>
          <w:kern w:val="2"/>
          <w:sz w:val="21"/>
          <w:szCs w:val="22"/>
          <w:lang w:eastAsia="zh-CN"/>
        </w:rPr>
        <w:t>日期：   年     月    日         日期：   年     月    日</w:t>
      </w:r>
    </w:p>
    <w:p w14:paraId="16F4387D">
      <w:pPr>
        <w:keepNext/>
        <w:keepLines/>
        <w:widowControl w:val="0"/>
        <w:adjustRightInd w:val="0"/>
        <w:snapToGrid w:val="0"/>
        <w:spacing w:before="156" w:beforeLines="50" w:line="360" w:lineRule="auto"/>
        <w:jc w:val="center"/>
        <w:outlineLvl w:val="1"/>
        <w:rPr>
          <w:rFonts w:hint="eastAsia" w:ascii="黑体" w:hAnsi="黑体" w:eastAsia="黑体"/>
          <w:b/>
          <w:bCs/>
          <w:kern w:val="2"/>
          <w:sz w:val="28"/>
          <w:szCs w:val="28"/>
          <w:lang w:eastAsia="zh-CN"/>
        </w:rPr>
      </w:pPr>
      <w:bookmarkStart w:id="48" w:name="_Toc27624"/>
      <w:r>
        <w:rPr>
          <w:rFonts w:hint="eastAsia" w:ascii="黑体" w:hAnsi="黑体" w:eastAsia="黑体"/>
          <w:kern w:val="2"/>
          <w:sz w:val="28"/>
          <w:szCs w:val="28"/>
          <w:lang w:eastAsia="zh-CN"/>
        </w:rPr>
        <w:t>第二节 政府采购合同通用条款</w:t>
      </w:r>
      <w:bookmarkEnd w:id="48"/>
    </w:p>
    <w:p w14:paraId="5F64CE1E">
      <w:pPr>
        <w:widowControl w:val="0"/>
        <w:tabs>
          <w:tab w:val="left" w:pos="8820"/>
          <w:tab w:val="left" w:pos="9345"/>
          <w:tab w:val="left" w:pos="9765"/>
        </w:tabs>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kern w:val="2"/>
          <w:szCs w:val="22"/>
          <w:lang w:eastAsia="zh-CN"/>
        </w:rPr>
        <w:t xml:space="preserve">1. </w:t>
      </w:r>
      <w:r>
        <w:rPr>
          <w:rFonts w:hint="eastAsia" w:ascii="宋体" w:hAnsi="宋体" w:eastAsia="宋体" w:cstheme="minorBidi"/>
          <w:b/>
          <w:bCs/>
          <w:kern w:val="2"/>
          <w:szCs w:val="22"/>
          <w:lang w:eastAsia="zh-CN"/>
        </w:rPr>
        <w:t>定义</w:t>
      </w:r>
    </w:p>
    <w:p w14:paraId="22E666C5">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1.1合同当事人</w:t>
      </w:r>
    </w:p>
    <w:p w14:paraId="30A2350D">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（1）采购人（以下称甲方）是指使用财政性资金，通过政府采购方式向供应商购买货物及其相关服务的国家机关、事业单位、团体组织。</w:t>
      </w:r>
    </w:p>
    <w:p w14:paraId="5F3CC664">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（2）供应商（以下称乙方）是指参加政府采购活动并且中标（成交），向采购人提供合同约定的货物及其相关服务的法人、非法人组织或者自然人。</w:t>
      </w:r>
    </w:p>
    <w:p w14:paraId="2EB18159">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（3）其他合同主体是指除采购人和供应商以外，</w:t>
      </w:r>
      <w:r>
        <w:rPr>
          <w:rFonts w:hint="eastAsia" w:ascii="宋体" w:hAnsi="宋体" w:eastAsia="宋体" w:cs="宋体"/>
          <w:bCs/>
          <w:color w:val="000000"/>
          <w:kern w:val="2"/>
          <w:sz w:val="21"/>
          <w:szCs w:val="21"/>
          <w:lang w:eastAsia="zh-CN"/>
        </w:rPr>
        <w:t>依法参与合同缔结或履行，享有权利、承担义务的合同当事人</w:t>
      </w:r>
      <w:r>
        <w:rPr>
          <w:rFonts w:hint="eastAsia" w:ascii="宋体" w:hAnsi="宋体" w:eastAsia="宋体" w:cstheme="minorBidi"/>
          <w:kern w:val="2"/>
          <w:sz w:val="21"/>
          <w:szCs w:val="21"/>
          <w:lang w:eastAsia="zh-CN"/>
        </w:rPr>
        <w:t>。</w:t>
      </w:r>
    </w:p>
    <w:p w14:paraId="31C3EC7D">
      <w:pPr>
        <w:widowControl w:val="0"/>
        <w:tabs>
          <w:tab w:val="left" w:pos="570"/>
          <w:tab w:val="left" w:pos="9240"/>
          <w:tab w:val="left" w:pos="9555"/>
        </w:tabs>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1.2本合同下列术语应解释为：</w:t>
      </w:r>
    </w:p>
    <w:p w14:paraId="307D1553">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（1）“合同”系指</w:t>
      </w:r>
      <w:r>
        <w:rPr>
          <w:rFonts w:hint="eastAsia" w:ascii="宋体" w:hAnsi="宋体" w:eastAsia="宋体" w:cs="宋体"/>
          <w:bCs/>
          <w:color w:val="000000"/>
          <w:kern w:val="2"/>
          <w:sz w:val="21"/>
          <w:szCs w:val="21"/>
          <w:lang w:eastAsia="zh-CN"/>
        </w:rPr>
        <w:t>合同当事人意思表示达成一致的任何协议，包括签署的</w:t>
      </w:r>
      <w:r>
        <w:rPr>
          <w:rFonts w:hint="eastAsia" w:ascii="宋体" w:hAnsi="宋体" w:eastAsia="宋体" w:cstheme="minorBidi"/>
          <w:kern w:val="2"/>
          <w:sz w:val="21"/>
          <w:szCs w:val="21"/>
          <w:lang w:eastAsia="zh-CN"/>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kern w:val="2"/>
          <w:sz w:val="21"/>
          <w:szCs w:val="21"/>
          <w:lang w:eastAsia="zh-CN"/>
        </w:rPr>
        <w:t>国家法律、行政法规和规章制度规定或合同约定的作为合同组成部分的其他文件</w:t>
      </w:r>
      <w:r>
        <w:rPr>
          <w:rFonts w:hint="eastAsia" w:ascii="宋体" w:hAnsi="宋体" w:eastAsia="宋体" w:cstheme="minorBidi"/>
          <w:kern w:val="2"/>
          <w:sz w:val="21"/>
          <w:szCs w:val="21"/>
          <w:lang w:eastAsia="zh-CN"/>
        </w:rPr>
        <w:t>。</w:t>
      </w:r>
    </w:p>
    <w:p w14:paraId="20FDC305">
      <w:pPr>
        <w:widowControl w:val="0"/>
        <w:tabs>
          <w:tab w:val="left" w:pos="570"/>
          <w:tab w:val="left" w:pos="9240"/>
          <w:tab w:val="left" w:pos="9555"/>
        </w:tabs>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（2）“合同价款”系指根据本合同规定乙方在全面履行合同义务后甲方应支付给乙方的价款。</w:t>
      </w:r>
    </w:p>
    <w:p w14:paraId="260258EB">
      <w:pPr>
        <w:widowControl w:val="0"/>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kern w:val="2"/>
          <w:sz w:val="21"/>
          <w:szCs w:val="21"/>
          <w:lang w:eastAsia="zh-CN"/>
        </w:rPr>
        <w:t>（3）“货物”系指乙方根据本合同规定须向甲方提供的各种形态和种类的物品，包括原材料、设备、产品（</w:t>
      </w:r>
      <w:r>
        <w:rPr>
          <w:rFonts w:hint="eastAsia" w:ascii="宋体" w:hAnsi="宋体" w:eastAsia="宋体" w:cstheme="minorBidi"/>
          <w:color w:val="000000"/>
          <w:kern w:val="2"/>
          <w:sz w:val="21"/>
          <w:szCs w:val="21"/>
          <w:lang w:eastAsia="zh-CN"/>
        </w:rPr>
        <w:t>包括软件）及相关的其备品备件、工具、手册及</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技术资料和材料等。</w:t>
      </w:r>
    </w:p>
    <w:p w14:paraId="265AE8CC">
      <w:pPr>
        <w:widowControl w:val="0"/>
        <w:adjustRightInd w:val="0"/>
        <w:snapToGrid w:val="0"/>
        <w:spacing w:line="400" w:lineRule="exact"/>
        <w:ind w:firstLine="420" w:firstLineChars="200"/>
        <w:jc w:val="left"/>
        <w:rPr>
          <w:rFonts w:hint="eastAsia" w:ascii="宋体" w:hAnsi="宋体" w:eastAsia="宋体"/>
          <w:color w:val="000000"/>
          <w:kern w:val="2"/>
          <w:sz w:val="21"/>
          <w:szCs w:val="21"/>
          <w:highlight w:val="yellow"/>
          <w:lang w:eastAsia="zh-CN"/>
        </w:rPr>
      </w:pPr>
      <w:r>
        <w:rPr>
          <w:rFonts w:hint="eastAsia" w:ascii="宋体" w:hAnsi="宋体" w:eastAsia="宋体" w:cstheme="minorBidi"/>
          <w:color w:val="000000"/>
          <w:kern w:val="2"/>
          <w:sz w:val="21"/>
          <w:szCs w:val="21"/>
          <w:lang w:eastAsia="zh-CN"/>
        </w:rPr>
        <w:t>（4）“</w:t>
      </w:r>
      <w:r>
        <w:rPr>
          <w:rFonts w:hint="eastAsia" w:ascii="宋体" w:hAnsi="宋体" w:eastAsia="宋体" w:cstheme="minorBidi"/>
          <w:kern w:val="2"/>
          <w:sz w:val="21"/>
          <w:szCs w:val="21"/>
          <w:lang w:eastAsia="zh-CN"/>
        </w:rPr>
        <w:t>相关</w:t>
      </w:r>
      <w:r>
        <w:rPr>
          <w:rFonts w:hint="eastAsia" w:ascii="宋体" w:hAnsi="宋体" w:eastAsia="宋体" w:cstheme="minorBidi"/>
          <w:color w:val="000000"/>
          <w:kern w:val="2"/>
          <w:sz w:val="21"/>
          <w:szCs w:val="21"/>
          <w:lang w:eastAsia="zh-CN"/>
        </w:rPr>
        <w:t>服务”系指根据合同规定，乙方应提供的与货物有关的技术、管理和</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服务，包括但不限于：管理和质量保证、运输、保险、检验、现场准备、安装、集成、调试、培训、维修、废弃处置、技术支持等以及合同中规定乙方应承担的</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义务。</w:t>
      </w:r>
    </w:p>
    <w:p w14:paraId="14B70CFE">
      <w:pPr>
        <w:widowControl w:val="0"/>
        <w:adjustRightInd w:val="0"/>
        <w:snapToGrid w:val="0"/>
        <w:spacing w:line="400" w:lineRule="exact"/>
        <w:ind w:firstLine="420" w:firstLineChars="200"/>
        <w:jc w:val="left"/>
        <w:rPr>
          <w:rFonts w:hint="eastAsia" w:ascii="宋体" w:hAnsi="宋体" w:eastAsia="宋体"/>
          <w:color w:val="000000"/>
          <w:kern w:val="2"/>
          <w:sz w:val="21"/>
          <w:szCs w:val="21"/>
          <w:highlight w:val="yellow"/>
          <w:lang w:eastAsia="zh-CN"/>
        </w:rPr>
      </w:pPr>
      <w:r>
        <w:rPr>
          <w:rFonts w:hint="eastAsia" w:ascii="宋体" w:hAnsi="宋体" w:eastAsia="宋体" w:cstheme="minorBidi"/>
          <w:color w:val="000000"/>
          <w:kern w:val="2"/>
          <w:sz w:val="21"/>
          <w:szCs w:val="21"/>
          <w:lang w:eastAsia="zh-CN"/>
        </w:rPr>
        <w:t>（5）“分包”系指中标（成交）供应商按采购文件、投标（响应）文件的规定，根据分包意向协议，将中标（成交）项目中的部分履约内容，分给具有相应资质条件的供应商履行合同的行为。</w:t>
      </w:r>
    </w:p>
    <w:p w14:paraId="3447DF70">
      <w:pPr>
        <w:widowControl w:val="0"/>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（6）</w:t>
      </w:r>
      <w:r>
        <w:rPr>
          <w:rFonts w:hint="eastAsia" w:ascii="宋体" w:hAnsi="宋体" w:eastAsia="宋体" w:cstheme="minorBidi"/>
          <w:kern w:val="2"/>
          <w:sz w:val="21"/>
          <w:szCs w:val="21"/>
          <w:lang w:eastAsia="zh-CN"/>
        </w:rPr>
        <w:t>“联合体”系指由两个以上的自然人、法人或者非法人组织组成，以一个供应商的身份共同参加政府采购的主体</w:t>
      </w:r>
      <w:r>
        <w:rPr>
          <w:rFonts w:hint="eastAsia" w:ascii="宋体" w:hAnsi="宋体" w:eastAsia="宋体" w:cstheme="minorBidi"/>
          <w:color w:val="000000"/>
          <w:kern w:val="2"/>
          <w:sz w:val="21"/>
          <w:szCs w:val="21"/>
          <w:lang w:eastAsia="zh-CN"/>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theme="minorBidi"/>
          <w:b/>
          <w:bCs/>
          <w:color w:val="000000"/>
          <w:kern w:val="2"/>
          <w:sz w:val="21"/>
          <w:szCs w:val="21"/>
          <w:lang w:eastAsia="zh-CN"/>
        </w:rPr>
        <w:t>政府采购合同专用条款</w:t>
      </w:r>
      <w:r>
        <w:rPr>
          <w:rFonts w:hint="eastAsia" w:ascii="宋体" w:hAnsi="宋体" w:eastAsia="宋体" w:cstheme="minorBidi"/>
          <w:color w:val="000000"/>
          <w:kern w:val="2"/>
          <w:sz w:val="21"/>
          <w:szCs w:val="21"/>
          <w:lang w:eastAsia="zh-CN"/>
        </w:rPr>
        <w:t>】。</w:t>
      </w:r>
    </w:p>
    <w:p w14:paraId="0A617165">
      <w:pPr>
        <w:widowControl w:val="0"/>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（7）其他术语解释，见【</w:t>
      </w:r>
      <w:r>
        <w:rPr>
          <w:rFonts w:hint="eastAsia" w:ascii="宋体" w:hAnsi="宋体" w:eastAsia="宋体" w:cstheme="minorBidi"/>
          <w:b/>
          <w:bCs/>
          <w:color w:val="000000"/>
          <w:kern w:val="2"/>
          <w:sz w:val="21"/>
          <w:szCs w:val="21"/>
          <w:lang w:eastAsia="zh-CN"/>
        </w:rPr>
        <w:t>政府采购合同专用条款</w:t>
      </w:r>
      <w:r>
        <w:rPr>
          <w:rFonts w:hint="eastAsia" w:ascii="宋体" w:hAnsi="宋体" w:eastAsia="宋体" w:cstheme="minorBidi"/>
          <w:color w:val="000000"/>
          <w:kern w:val="2"/>
          <w:sz w:val="21"/>
          <w:szCs w:val="21"/>
          <w:lang w:eastAsia="zh-CN"/>
        </w:rPr>
        <w:t>】。</w:t>
      </w:r>
    </w:p>
    <w:p w14:paraId="3AB27C78">
      <w:pPr>
        <w:widowControl w:val="0"/>
        <w:numPr>
          <w:ilvl w:val="0"/>
          <w:numId w:val="2"/>
        </w:numPr>
        <w:autoSpaceDE w:val="0"/>
        <w:autoSpaceDN w:val="0"/>
        <w:adjustRightInd w:val="0"/>
        <w:snapToGrid w:val="0"/>
        <w:spacing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color w:val="000000"/>
          <w:kern w:val="2"/>
          <w:szCs w:val="22"/>
          <w:lang w:eastAsia="zh-CN"/>
        </w:rPr>
        <w:t>合同标的及金额</w:t>
      </w:r>
    </w:p>
    <w:p w14:paraId="125934F3">
      <w:pPr>
        <w:widowControl w:val="0"/>
        <w:autoSpaceDE w:val="0"/>
        <w:autoSpaceDN w:val="0"/>
        <w:adjustRightInd w:val="0"/>
        <w:snapToGrid w:val="0"/>
        <w:spacing w:line="400" w:lineRule="exact"/>
        <w:ind w:firstLine="420" w:firstLineChars="200"/>
        <w:jc w:val="left"/>
        <w:rPr>
          <w:rFonts w:hint="eastAsia" w:ascii="宋体" w:hAnsi="宋体" w:eastAsia="宋体"/>
          <w:b/>
          <w:bCs/>
          <w:i/>
          <w:iCs/>
          <w:color w:val="000000"/>
          <w:kern w:val="2"/>
          <w:sz w:val="21"/>
          <w:szCs w:val="21"/>
          <w:lang w:eastAsia="zh-CN"/>
        </w:rPr>
      </w:pPr>
      <w:r>
        <w:rPr>
          <w:rFonts w:hint="eastAsia" w:ascii="宋体" w:hAnsi="宋体" w:eastAsia="宋体" w:cstheme="minorBidi"/>
          <w:color w:val="000000"/>
          <w:kern w:val="2"/>
          <w:sz w:val="21"/>
          <w:szCs w:val="21"/>
          <w:lang w:eastAsia="zh-CN"/>
        </w:rPr>
        <w:t>2.1 合同标的及金额应与中标（成交）结果一致。乙方为履行本合同而发生的所有费用均应包含在合同价款中，甲方不再另行支付</w:t>
      </w:r>
      <w:r>
        <w:rPr>
          <w:rFonts w:ascii="宋体" w:hAnsi="宋体" w:eastAsia="宋体" w:cstheme="minorBidi"/>
          <w:color w:val="000000"/>
          <w:kern w:val="2"/>
          <w:sz w:val="21"/>
          <w:szCs w:val="21"/>
          <w:lang w:val="en" w:eastAsia="zh-CN"/>
        </w:rPr>
        <w:t>其他</w:t>
      </w:r>
      <w:r>
        <w:rPr>
          <w:rFonts w:hint="eastAsia" w:ascii="宋体" w:hAnsi="宋体" w:eastAsia="宋体" w:cstheme="minorBidi"/>
          <w:color w:val="000000"/>
          <w:kern w:val="2"/>
          <w:sz w:val="21"/>
          <w:szCs w:val="21"/>
          <w:lang w:eastAsia="zh-CN"/>
        </w:rPr>
        <w:t>任何费用。</w:t>
      </w:r>
    </w:p>
    <w:p w14:paraId="25B5B22E">
      <w:pPr>
        <w:widowControl w:val="0"/>
        <w:adjustRightInd w:val="0"/>
        <w:snapToGrid w:val="0"/>
        <w:spacing w:line="400" w:lineRule="exact"/>
        <w:jc w:val="left"/>
        <w:rPr>
          <w:rFonts w:hint="eastAsia" w:ascii="宋体" w:hAnsi="宋体" w:eastAsia="宋体"/>
          <w:b/>
          <w:color w:val="000000"/>
          <w:kern w:val="2"/>
          <w:szCs w:val="22"/>
          <w:lang w:eastAsia="zh-CN"/>
        </w:rPr>
      </w:pPr>
      <w:r>
        <w:rPr>
          <w:rFonts w:hint="eastAsia" w:ascii="宋体" w:hAnsi="宋体" w:eastAsia="宋体" w:cstheme="minorBidi"/>
          <w:b/>
          <w:color w:val="000000"/>
          <w:kern w:val="2"/>
          <w:szCs w:val="22"/>
          <w:lang w:eastAsia="zh-CN"/>
        </w:rPr>
        <w:t>3. 履行合同的时间、地点和方式</w:t>
      </w:r>
    </w:p>
    <w:p w14:paraId="3B865281">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3.1 </w:t>
      </w:r>
      <w:r>
        <w:rPr>
          <w:rFonts w:hint="eastAsia" w:ascii="宋体" w:hAnsi="宋体" w:eastAsia="宋体" w:cs="宋体"/>
          <w:kern w:val="2"/>
          <w:sz w:val="21"/>
          <w:szCs w:val="21"/>
          <w:lang w:eastAsia="zh-CN"/>
        </w:rPr>
        <w:t>乙方应当在约定的时间、地点，按照约定方式履行合同。</w:t>
      </w:r>
    </w:p>
    <w:p w14:paraId="20BB1737">
      <w:pPr>
        <w:widowControl w:val="0"/>
        <w:autoSpaceDE w:val="0"/>
        <w:autoSpaceDN w:val="0"/>
        <w:adjustRightInd w:val="0"/>
        <w:snapToGrid w:val="0"/>
        <w:spacing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4. 甲方的权利和义务</w:t>
      </w:r>
    </w:p>
    <w:p w14:paraId="4C434FE6">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4.1</w:t>
      </w:r>
      <w:r>
        <w:rPr>
          <w:rFonts w:ascii="宋体" w:hAnsi="宋体" w:eastAsia="宋体" w:cstheme="minorBidi"/>
          <w:color w:val="000000"/>
          <w:kern w:val="2"/>
          <w:sz w:val="21"/>
          <w:szCs w:val="21"/>
          <w:lang w:eastAsia="zh-CN"/>
        </w:rPr>
        <w:t xml:space="preserve"> 签署合同后，甲方</w:t>
      </w:r>
      <w:r>
        <w:rPr>
          <w:rFonts w:hint="eastAsia" w:ascii="宋体" w:hAnsi="宋体" w:eastAsia="宋体" w:cstheme="minorBidi"/>
          <w:color w:val="000000"/>
          <w:kern w:val="2"/>
          <w:sz w:val="21"/>
          <w:szCs w:val="21"/>
          <w:lang w:eastAsia="zh-CN"/>
        </w:rPr>
        <w:t>应</w:t>
      </w:r>
      <w:r>
        <w:rPr>
          <w:rFonts w:ascii="宋体" w:hAnsi="宋体" w:eastAsia="宋体" w:cstheme="minorBidi"/>
          <w:color w:val="000000"/>
          <w:kern w:val="2"/>
          <w:sz w:val="21"/>
          <w:szCs w:val="21"/>
          <w:lang w:eastAsia="zh-CN"/>
        </w:rPr>
        <w:t>确定</w:t>
      </w:r>
      <w:r>
        <w:rPr>
          <w:rFonts w:hint="eastAsia" w:ascii="宋体" w:hAnsi="宋体" w:eastAsia="宋体" w:cstheme="minorBidi"/>
          <w:color w:val="000000"/>
          <w:kern w:val="2"/>
          <w:sz w:val="21"/>
          <w:szCs w:val="21"/>
          <w:lang w:eastAsia="zh-CN"/>
        </w:rPr>
        <w:t>项目负责人（或项目联系人）</w:t>
      </w:r>
      <w:r>
        <w:rPr>
          <w:rFonts w:ascii="宋体" w:hAnsi="宋体" w:eastAsia="宋体" w:cstheme="minorBidi"/>
          <w:color w:val="000000"/>
          <w:kern w:val="2"/>
          <w:sz w:val="21"/>
          <w:szCs w:val="21"/>
          <w:lang w:eastAsia="zh-CN"/>
        </w:rPr>
        <w:t>，负责与本合同有关的事务。</w:t>
      </w:r>
      <w:r>
        <w:rPr>
          <w:rFonts w:hint="eastAsia" w:ascii="宋体" w:hAnsi="宋体" w:eastAsia="宋体" w:cstheme="minorBidi"/>
          <w:color w:val="000000"/>
          <w:kern w:val="2"/>
          <w:sz w:val="21"/>
          <w:szCs w:val="21"/>
          <w:lang w:eastAsia="zh-CN"/>
        </w:rPr>
        <w:t>甲方有权对乙方的履约行为进行检查，并</w:t>
      </w:r>
      <w:r>
        <w:rPr>
          <w:rFonts w:ascii="宋体" w:hAnsi="宋体" w:eastAsia="宋体" w:cstheme="minorBidi"/>
          <w:color w:val="000000"/>
          <w:kern w:val="2"/>
          <w:sz w:val="21"/>
          <w:szCs w:val="21"/>
          <w:lang w:eastAsia="zh-CN"/>
        </w:rPr>
        <w:t>及时确认乙方提交的事项</w:t>
      </w:r>
      <w:r>
        <w:rPr>
          <w:rFonts w:hint="eastAsia" w:ascii="宋体" w:hAnsi="宋体" w:eastAsia="宋体" w:cstheme="minorBidi"/>
          <w:color w:val="000000"/>
          <w:kern w:val="2"/>
          <w:sz w:val="21"/>
          <w:szCs w:val="21"/>
          <w:lang w:eastAsia="zh-CN"/>
        </w:rPr>
        <w:t>。甲方应当</w:t>
      </w:r>
      <w:r>
        <w:rPr>
          <w:rFonts w:ascii="宋体" w:hAnsi="宋体" w:eastAsia="宋体" w:cstheme="minorBidi"/>
          <w:color w:val="000000"/>
          <w:kern w:val="2"/>
          <w:sz w:val="21"/>
          <w:szCs w:val="21"/>
          <w:lang w:eastAsia="zh-CN"/>
        </w:rPr>
        <w:t>配合乙方完成</w:t>
      </w:r>
      <w:r>
        <w:rPr>
          <w:rFonts w:hint="eastAsia" w:ascii="宋体" w:hAnsi="宋体" w:eastAsia="宋体" w:cstheme="minorBidi"/>
          <w:color w:val="000000"/>
          <w:kern w:val="2"/>
          <w:sz w:val="21"/>
          <w:szCs w:val="21"/>
          <w:lang w:eastAsia="zh-CN"/>
        </w:rPr>
        <w:t>相关项目</w:t>
      </w:r>
      <w:r>
        <w:rPr>
          <w:rFonts w:ascii="宋体" w:hAnsi="宋体" w:eastAsia="宋体" w:cstheme="minorBidi"/>
          <w:color w:val="000000"/>
          <w:kern w:val="2"/>
          <w:sz w:val="21"/>
          <w:szCs w:val="21"/>
          <w:lang w:eastAsia="zh-CN"/>
        </w:rPr>
        <w:t>实施工作。</w:t>
      </w:r>
    </w:p>
    <w:p w14:paraId="278DD144">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4.2 </w:t>
      </w:r>
      <w:r>
        <w:rPr>
          <w:rFonts w:ascii="宋体" w:hAnsi="宋体" w:eastAsia="宋体" w:cstheme="minorBidi"/>
          <w:color w:val="000000"/>
          <w:kern w:val="2"/>
          <w:sz w:val="21"/>
          <w:szCs w:val="21"/>
          <w:lang w:eastAsia="zh-CN"/>
        </w:rPr>
        <w:t>甲方有权要求乙方按时提交各阶段有关</w:t>
      </w:r>
      <w:r>
        <w:rPr>
          <w:rFonts w:hint="eastAsia" w:ascii="宋体" w:hAnsi="宋体" w:eastAsia="宋体" w:cstheme="minorBidi"/>
          <w:color w:val="000000"/>
          <w:kern w:val="2"/>
          <w:sz w:val="21"/>
          <w:szCs w:val="21"/>
          <w:lang w:eastAsia="zh-CN"/>
        </w:rPr>
        <w:t>安排计划</w:t>
      </w:r>
      <w:r>
        <w:rPr>
          <w:rFonts w:ascii="宋体" w:hAnsi="宋体" w:eastAsia="宋体" w:cstheme="minorBidi"/>
          <w:color w:val="000000"/>
          <w:kern w:val="2"/>
          <w:sz w:val="21"/>
          <w:szCs w:val="21"/>
          <w:lang w:eastAsia="zh-CN"/>
        </w:rPr>
        <w:t>，并有权</w:t>
      </w:r>
      <w:r>
        <w:rPr>
          <w:rFonts w:hint="eastAsia" w:ascii="宋体" w:hAnsi="宋体" w:eastAsia="宋体" w:cstheme="minorBidi"/>
          <w:color w:val="000000"/>
          <w:kern w:val="2"/>
          <w:sz w:val="21"/>
          <w:szCs w:val="21"/>
          <w:lang w:eastAsia="zh-CN"/>
        </w:rPr>
        <w:t>定期核对乙方提供货物数量、规格、质量等内容。甲方</w:t>
      </w:r>
      <w:r>
        <w:rPr>
          <w:rFonts w:ascii="宋体" w:hAnsi="宋体" w:eastAsia="宋体" w:cstheme="minorBidi"/>
          <w:color w:val="000000"/>
          <w:kern w:val="2"/>
          <w:sz w:val="21"/>
          <w:szCs w:val="21"/>
          <w:lang w:eastAsia="zh-CN"/>
        </w:rPr>
        <w:t>有权督促乙方工作并要求乙方</w:t>
      </w:r>
      <w:r>
        <w:rPr>
          <w:rFonts w:hint="eastAsia" w:ascii="宋体" w:hAnsi="宋体" w:eastAsia="宋体" w:cstheme="minorBidi"/>
          <w:color w:val="000000"/>
          <w:kern w:val="2"/>
          <w:sz w:val="21"/>
          <w:szCs w:val="21"/>
          <w:lang w:eastAsia="zh-CN"/>
        </w:rPr>
        <w:t>更</w:t>
      </w:r>
      <w:r>
        <w:rPr>
          <w:rFonts w:ascii="宋体" w:hAnsi="宋体" w:eastAsia="宋体" w:cstheme="minorBidi"/>
          <w:color w:val="000000"/>
          <w:kern w:val="2"/>
          <w:sz w:val="21"/>
          <w:szCs w:val="21"/>
          <w:lang w:eastAsia="zh-CN"/>
        </w:rPr>
        <w:t>换不符合要求的</w:t>
      </w:r>
      <w:r>
        <w:rPr>
          <w:rFonts w:hint="eastAsia" w:ascii="宋体" w:hAnsi="宋体" w:eastAsia="宋体" w:cstheme="minorBidi"/>
          <w:color w:val="000000"/>
          <w:kern w:val="2"/>
          <w:sz w:val="21"/>
          <w:szCs w:val="21"/>
          <w:lang w:eastAsia="zh-CN"/>
        </w:rPr>
        <w:t>货物</w:t>
      </w:r>
      <w:r>
        <w:rPr>
          <w:rFonts w:ascii="宋体" w:hAnsi="宋体" w:eastAsia="宋体" w:cstheme="minorBidi"/>
          <w:color w:val="000000"/>
          <w:kern w:val="2"/>
          <w:sz w:val="21"/>
          <w:szCs w:val="21"/>
          <w:lang w:eastAsia="zh-CN"/>
        </w:rPr>
        <w:t>。</w:t>
      </w:r>
    </w:p>
    <w:p w14:paraId="2E712B9E">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4.</w:t>
      </w:r>
      <w:r>
        <w:rPr>
          <w:rFonts w:ascii="宋体" w:hAnsi="宋体" w:eastAsia="宋体" w:cstheme="minorBidi"/>
          <w:color w:val="000000"/>
          <w:kern w:val="2"/>
          <w:sz w:val="21"/>
          <w:szCs w:val="21"/>
          <w:lang w:eastAsia="zh-CN"/>
        </w:rPr>
        <w:t>3</w:t>
      </w:r>
      <w:r>
        <w:rPr>
          <w:rFonts w:hint="eastAsia" w:ascii="宋体" w:hAnsi="宋体" w:eastAsia="宋体" w:cstheme="minorBidi"/>
          <w:color w:val="000000"/>
          <w:kern w:val="2"/>
          <w:sz w:val="21"/>
          <w:szCs w:val="21"/>
          <w:lang w:eastAsia="zh-CN"/>
        </w:rPr>
        <w:t xml:space="preserve"> </w:t>
      </w:r>
      <w:r>
        <w:rPr>
          <w:rFonts w:ascii="宋体" w:hAnsi="宋体" w:eastAsia="宋体" w:cstheme="minorBidi"/>
          <w:color w:val="000000"/>
          <w:kern w:val="2"/>
          <w:sz w:val="21"/>
          <w:szCs w:val="21"/>
          <w:lang w:eastAsia="zh-CN"/>
        </w:rPr>
        <w:t>甲方</w:t>
      </w:r>
      <w:r>
        <w:rPr>
          <w:rFonts w:hint="eastAsia" w:ascii="宋体" w:hAnsi="宋体" w:eastAsia="宋体" w:cstheme="minorBidi"/>
          <w:color w:val="000000"/>
          <w:kern w:val="2"/>
          <w:sz w:val="21"/>
          <w:szCs w:val="21"/>
          <w:lang w:eastAsia="zh-CN"/>
        </w:rPr>
        <w:t>有权要求乙方对缺陷部分予以修复，并按合同约定享有货物保修及其他合同约定的权利。</w:t>
      </w:r>
    </w:p>
    <w:p w14:paraId="3C764740">
      <w:pPr>
        <w:widowControl w:val="0"/>
        <w:snapToGrid w:val="0"/>
        <w:spacing w:line="400" w:lineRule="exact"/>
        <w:ind w:firstLine="420" w:firstLineChars="200"/>
        <w:jc w:val="both"/>
        <w:rPr>
          <w:rFonts w:ascii="Calibri" w:hAnsi="Calibri" w:eastAsia="华文楷体"/>
          <w:kern w:val="2"/>
          <w:sz w:val="21"/>
          <w:szCs w:val="22"/>
          <w:lang w:eastAsia="zh-CN"/>
        </w:rPr>
      </w:pPr>
      <w:r>
        <w:rPr>
          <w:rFonts w:ascii="宋体" w:hAnsi="宋体" w:eastAsia="宋体" w:cstheme="minorBidi"/>
          <w:color w:val="000000"/>
          <w:kern w:val="2"/>
          <w:sz w:val="21"/>
          <w:szCs w:val="21"/>
          <w:lang w:eastAsia="zh-CN"/>
        </w:rPr>
        <w:t>4.4 甲方应当按照合同约定及时对交付的货物进行验收</w:t>
      </w:r>
      <w:r>
        <w:rPr>
          <w:rFonts w:hint="eastAsia" w:ascii="宋体" w:hAnsi="宋体" w:eastAsia="宋体" w:cstheme="minorBidi"/>
          <w:color w:val="000000"/>
          <w:kern w:val="2"/>
          <w:sz w:val="21"/>
          <w:szCs w:val="21"/>
          <w:lang w:eastAsia="zh-CN"/>
        </w:rPr>
        <w:t>，</w:t>
      </w:r>
      <w:r>
        <w:rPr>
          <w:rFonts w:hint="eastAsia" w:ascii="宋体" w:hAnsi="宋体" w:eastAsia="宋体" w:cs="宋体"/>
          <w:kern w:val="2"/>
          <w:sz w:val="21"/>
          <w:szCs w:val="21"/>
          <w:lang w:eastAsia="zh-CN"/>
        </w:rPr>
        <w:t>未</w:t>
      </w:r>
      <w:r>
        <w:rPr>
          <w:rFonts w:hint="eastAsia" w:ascii="宋体" w:hAnsi="宋体" w:eastAsia="宋体" w:cstheme="minorBidi"/>
          <w:color w:val="000000"/>
          <w:kern w:val="2"/>
          <w:sz w:val="21"/>
          <w:szCs w:val="21"/>
          <w:lang w:eastAsia="zh-CN"/>
        </w:rPr>
        <w:t>在</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约定的期限内对乙方履约提出任何异议或者向乙方作出任何说明的，</w:t>
      </w:r>
      <w:r>
        <w:rPr>
          <w:rFonts w:hint="eastAsia" w:ascii="宋体" w:hAnsi="宋体" w:eastAsia="宋体" w:cstheme="minorBidi"/>
          <w:color w:val="000000"/>
          <w:kern w:val="2"/>
          <w:sz w:val="21"/>
          <w:szCs w:val="21"/>
          <w:lang w:eastAsia="zh-CN"/>
        </w:rPr>
        <w:t>视为验收通过。</w:t>
      </w:r>
    </w:p>
    <w:p w14:paraId="7E1B0FF2">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ascii="宋体" w:hAnsi="宋体" w:eastAsia="宋体" w:cstheme="minorBidi"/>
          <w:color w:val="000000"/>
          <w:kern w:val="2"/>
          <w:sz w:val="21"/>
          <w:szCs w:val="21"/>
          <w:lang w:eastAsia="zh-CN"/>
        </w:rPr>
        <w:t>4</w:t>
      </w:r>
      <w:r>
        <w:rPr>
          <w:rFonts w:hint="eastAsia" w:ascii="宋体" w:hAnsi="宋体" w:eastAsia="宋体" w:cstheme="minorBidi"/>
          <w:color w:val="000000"/>
          <w:kern w:val="2"/>
          <w:sz w:val="21"/>
          <w:szCs w:val="21"/>
          <w:lang w:eastAsia="zh-CN"/>
        </w:rPr>
        <w:t>.</w:t>
      </w:r>
      <w:r>
        <w:rPr>
          <w:rFonts w:ascii="宋体" w:hAnsi="宋体" w:eastAsia="宋体" w:cstheme="minorBidi"/>
          <w:color w:val="000000"/>
          <w:kern w:val="2"/>
          <w:sz w:val="21"/>
          <w:szCs w:val="21"/>
          <w:lang w:eastAsia="zh-CN"/>
        </w:rPr>
        <w:t xml:space="preserve">5 </w:t>
      </w:r>
      <w:r>
        <w:rPr>
          <w:rFonts w:hint="eastAsia" w:ascii="宋体" w:hAnsi="宋体" w:eastAsia="宋体" w:cstheme="minorBidi"/>
          <w:color w:val="000000"/>
          <w:kern w:val="2"/>
          <w:sz w:val="21"/>
          <w:szCs w:val="21"/>
          <w:lang w:eastAsia="zh-CN"/>
        </w:rPr>
        <w:t>甲方应当根据合同约定及时向乙方支付合同价款</w:t>
      </w:r>
      <w:r>
        <w:rPr>
          <w:rFonts w:ascii="宋体" w:hAnsi="宋体" w:eastAsia="宋体" w:cstheme="minorBidi"/>
          <w:color w:val="000000"/>
          <w:kern w:val="2"/>
          <w:sz w:val="21"/>
          <w:szCs w:val="21"/>
          <w:lang w:eastAsia="zh-CN"/>
        </w:rPr>
        <w:t>，不得以内部人员变更、履行内部付款流程等为由，拒绝或迟延支付。</w:t>
      </w:r>
    </w:p>
    <w:p w14:paraId="6DDA43A8">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4.6</w:t>
      </w:r>
      <w:r>
        <w:rPr>
          <w:rFonts w:ascii="宋体" w:hAnsi="宋体" w:eastAsia="宋体" w:cstheme="minorBidi"/>
          <w:color w:val="000000"/>
          <w:kern w:val="2"/>
          <w:sz w:val="21"/>
          <w:szCs w:val="21"/>
          <w:lang w:eastAsia="zh-CN"/>
        </w:rPr>
        <w:t xml:space="preserve"> </w:t>
      </w:r>
      <w:r>
        <w:rPr>
          <w:rFonts w:hint="eastAsia" w:ascii="宋体" w:hAnsi="宋体" w:eastAsia="宋体" w:cstheme="minorBidi"/>
          <w:color w:val="000000"/>
          <w:kern w:val="2"/>
          <w:sz w:val="21"/>
          <w:szCs w:val="21"/>
          <w:lang w:eastAsia="zh-CN"/>
        </w:rPr>
        <w:t>国家法律法规规定及</w:t>
      </w:r>
      <w:r>
        <w:rPr>
          <w:rFonts w:hint="eastAsia" w:ascii="宋体" w:hAnsi="宋体" w:eastAsia="宋体" w:cs="宋体"/>
          <w:b/>
          <w:bCs/>
          <w:kern w:val="2"/>
          <w:sz w:val="21"/>
          <w:szCs w:val="21"/>
          <w:lang w:eastAsia="zh-CN"/>
        </w:rPr>
        <w:t>【政府采购合同专用条款】</w:t>
      </w:r>
      <w:r>
        <w:rPr>
          <w:rFonts w:hint="eastAsia" w:ascii="宋体" w:hAnsi="宋体" w:eastAsia="宋体" w:cstheme="minorBidi"/>
          <w:color w:val="000000"/>
          <w:kern w:val="2"/>
          <w:sz w:val="21"/>
          <w:szCs w:val="21"/>
          <w:lang w:eastAsia="zh-CN"/>
        </w:rPr>
        <w:t>约定应由甲方承担的其他义务和责任。</w:t>
      </w:r>
    </w:p>
    <w:p w14:paraId="6B8B33B6">
      <w:pPr>
        <w:widowControl w:val="0"/>
        <w:autoSpaceDE w:val="0"/>
        <w:autoSpaceDN w:val="0"/>
        <w:adjustRightInd w:val="0"/>
        <w:snapToGrid w:val="0"/>
        <w:spacing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5. 乙方的权利和义务</w:t>
      </w:r>
    </w:p>
    <w:p w14:paraId="3D79095C">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5.1 </w:t>
      </w:r>
      <w:r>
        <w:rPr>
          <w:rFonts w:ascii="宋体" w:hAnsi="宋体" w:eastAsia="宋体" w:cstheme="minorBidi"/>
          <w:color w:val="000000"/>
          <w:kern w:val="2"/>
          <w:sz w:val="21"/>
          <w:szCs w:val="21"/>
          <w:lang w:eastAsia="zh-CN"/>
        </w:rPr>
        <w:t>签署合同后，乙方</w:t>
      </w:r>
      <w:r>
        <w:rPr>
          <w:rFonts w:hint="eastAsia" w:ascii="宋体" w:hAnsi="宋体" w:eastAsia="宋体" w:cstheme="minorBidi"/>
          <w:color w:val="000000"/>
          <w:kern w:val="2"/>
          <w:sz w:val="21"/>
          <w:szCs w:val="21"/>
          <w:lang w:eastAsia="zh-CN"/>
        </w:rPr>
        <w:t>应</w:t>
      </w:r>
      <w:r>
        <w:rPr>
          <w:rFonts w:ascii="宋体" w:hAnsi="宋体" w:eastAsia="宋体" w:cstheme="minorBidi"/>
          <w:color w:val="000000"/>
          <w:kern w:val="2"/>
          <w:sz w:val="21"/>
          <w:szCs w:val="21"/>
          <w:lang w:eastAsia="zh-CN"/>
        </w:rPr>
        <w:t>确定</w:t>
      </w:r>
      <w:r>
        <w:rPr>
          <w:rFonts w:hint="eastAsia" w:ascii="宋体" w:hAnsi="宋体" w:eastAsia="宋体" w:cstheme="minorBidi"/>
          <w:color w:val="000000"/>
          <w:kern w:val="2"/>
          <w:sz w:val="21"/>
          <w:szCs w:val="21"/>
          <w:lang w:eastAsia="zh-CN"/>
        </w:rPr>
        <w:t>项目负责人（或项目联系人）</w:t>
      </w:r>
      <w:r>
        <w:rPr>
          <w:rFonts w:ascii="宋体" w:hAnsi="宋体" w:eastAsia="宋体" w:cstheme="minorBidi"/>
          <w:color w:val="000000"/>
          <w:kern w:val="2"/>
          <w:sz w:val="21"/>
          <w:szCs w:val="21"/>
          <w:lang w:eastAsia="zh-CN"/>
        </w:rPr>
        <w:t>，负责与本合同有关的事务。</w:t>
      </w:r>
    </w:p>
    <w:p w14:paraId="383EAE29">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5.</w:t>
      </w:r>
      <w:r>
        <w:rPr>
          <w:rFonts w:ascii="宋体" w:hAnsi="宋体" w:eastAsia="宋体" w:cstheme="minorBidi"/>
          <w:color w:val="000000"/>
          <w:kern w:val="2"/>
          <w:sz w:val="21"/>
          <w:szCs w:val="21"/>
          <w:lang w:eastAsia="zh-CN"/>
        </w:rPr>
        <w:t>2 乙方应按照合同要求</w:t>
      </w:r>
      <w:r>
        <w:rPr>
          <w:rFonts w:hint="eastAsia" w:ascii="宋体" w:hAnsi="宋体" w:eastAsia="宋体" w:cstheme="minorBidi"/>
          <w:color w:val="000000"/>
          <w:kern w:val="2"/>
          <w:sz w:val="21"/>
          <w:szCs w:val="21"/>
          <w:lang w:eastAsia="zh-CN"/>
        </w:rPr>
        <w:t>履约</w:t>
      </w:r>
      <w:r>
        <w:rPr>
          <w:rFonts w:ascii="宋体" w:hAnsi="宋体" w:eastAsia="宋体" w:cstheme="minorBidi"/>
          <w:color w:val="000000"/>
          <w:kern w:val="2"/>
          <w:sz w:val="21"/>
          <w:szCs w:val="21"/>
          <w:lang w:eastAsia="zh-CN"/>
        </w:rPr>
        <w:t>，充分合理安排，确保</w:t>
      </w:r>
      <w:r>
        <w:rPr>
          <w:rFonts w:hint="eastAsia" w:ascii="宋体" w:hAnsi="宋体" w:eastAsia="宋体" w:cstheme="minorBidi"/>
          <w:color w:val="000000"/>
          <w:kern w:val="2"/>
          <w:sz w:val="21"/>
          <w:szCs w:val="21"/>
          <w:lang w:eastAsia="zh-CN"/>
        </w:rPr>
        <w:t>提供的货物及相关服务符合合同有关</w:t>
      </w:r>
      <w:r>
        <w:rPr>
          <w:rFonts w:ascii="宋体" w:hAnsi="宋体" w:eastAsia="宋体" w:cstheme="minorBidi"/>
          <w:color w:val="000000"/>
          <w:kern w:val="2"/>
          <w:sz w:val="21"/>
          <w:szCs w:val="21"/>
          <w:lang w:eastAsia="zh-CN"/>
        </w:rPr>
        <w:t>要求</w:t>
      </w:r>
      <w:r>
        <w:rPr>
          <w:rFonts w:hint="eastAsia" w:ascii="宋体" w:hAnsi="宋体" w:eastAsia="宋体" w:cstheme="minorBidi"/>
          <w:color w:val="000000"/>
          <w:kern w:val="2"/>
          <w:sz w:val="21"/>
          <w:szCs w:val="21"/>
          <w:lang w:eastAsia="zh-CN"/>
        </w:rPr>
        <w:t>。接受项目行业管理部门及政府有关部门的指导，配合甲方的履约检查及验收，并</w:t>
      </w:r>
      <w:r>
        <w:rPr>
          <w:rFonts w:ascii="宋体" w:hAnsi="宋体" w:eastAsia="宋体" w:cstheme="minorBidi"/>
          <w:color w:val="000000"/>
          <w:kern w:val="2"/>
          <w:sz w:val="21"/>
          <w:szCs w:val="21"/>
          <w:lang w:eastAsia="zh-CN"/>
        </w:rPr>
        <w:t>负责项目实施过程中的所有协调工作。</w:t>
      </w:r>
    </w:p>
    <w:p w14:paraId="0DCFDDDF">
      <w:pPr>
        <w:widowControl w:val="0"/>
        <w:spacing w:line="400" w:lineRule="exact"/>
        <w:ind w:firstLine="369" w:firstLineChars="176"/>
        <w:jc w:val="both"/>
        <w:rPr>
          <w:rFonts w:hint="eastAsia" w:ascii="宋体" w:hAnsi="宋体" w:eastAsia="宋体" w:cs="宋体"/>
          <w:color w:val="000000"/>
          <w:kern w:val="2"/>
          <w:sz w:val="21"/>
          <w:szCs w:val="21"/>
          <w:lang w:eastAsia="zh-CN"/>
        </w:rPr>
      </w:pPr>
      <w:r>
        <w:rPr>
          <w:rFonts w:hint="eastAsia" w:ascii="宋体" w:hAnsi="宋体" w:eastAsia="宋体"/>
          <w:color w:val="000000"/>
          <w:kern w:val="2"/>
          <w:sz w:val="21"/>
          <w:szCs w:val="21"/>
          <w:lang w:eastAsia="zh-CN"/>
        </w:rPr>
        <w:t>5.</w:t>
      </w:r>
      <w:r>
        <w:rPr>
          <w:rFonts w:ascii="宋体" w:hAnsi="宋体" w:eastAsia="宋体"/>
          <w:color w:val="000000"/>
          <w:kern w:val="2"/>
          <w:sz w:val="21"/>
          <w:szCs w:val="21"/>
          <w:lang w:eastAsia="zh-CN"/>
        </w:rPr>
        <w:t>3</w:t>
      </w:r>
      <w:r>
        <w:rPr>
          <w:rFonts w:hint="eastAsia" w:ascii="宋体" w:hAnsi="宋体" w:eastAsia="宋体"/>
          <w:color w:val="000000"/>
          <w:kern w:val="2"/>
          <w:sz w:val="21"/>
          <w:szCs w:val="21"/>
          <w:lang w:eastAsia="zh-CN"/>
        </w:rPr>
        <w:t>乙方有权</w:t>
      </w:r>
      <w:r>
        <w:rPr>
          <w:rFonts w:hint="eastAsia" w:ascii="宋体" w:hAnsi="宋体" w:eastAsia="宋体" w:cs="宋体"/>
          <w:color w:val="000000"/>
          <w:kern w:val="2"/>
          <w:sz w:val="21"/>
          <w:szCs w:val="21"/>
          <w:lang w:eastAsia="zh-CN"/>
        </w:rPr>
        <w:t>根据合同约定向甲方收取合同价款。</w:t>
      </w:r>
    </w:p>
    <w:p w14:paraId="1FB38082">
      <w:pPr>
        <w:widowControl w:val="0"/>
        <w:spacing w:line="400" w:lineRule="exact"/>
        <w:ind w:firstLine="369" w:firstLineChars="176"/>
        <w:jc w:val="both"/>
        <w:rPr>
          <w:rFonts w:hint="eastAsia" w:ascii="宋体" w:hAnsi="宋体" w:eastAsia="宋体" w:cs="宋体"/>
          <w:color w:val="000000"/>
          <w:kern w:val="2"/>
          <w:sz w:val="21"/>
          <w:szCs w:val="21"/>
          <w:lang w:eastAsia="zh-CN"/>
        </w:rPr>
      </w:pPr>
      <w:r>
        <w:rPr>
          <w:rFonts w:hint="eastAsia" w:ascii="宋体" w:hAnsi="宋体" w:eastAsia="宋体"/>
          <w:color w:val="000000"/>
          <w:kern w:val="2"/>
          <w:sz w:val="21"/>
          <w:szCs w:val="21"/>
          <w:lang w:eastAsia="zh-CN"/>
        </w:rPr>
        <w:t>5.</w:t>
      </w:r>
      <w:r>
        <w:rPr>
          <w:rFonts w:ascii="宋体" w:hAnsi="宋体" w:eastAsia="宋体"/>
          <w:color w:val="000000"/>
          <w:kern w:val="2"/>
          <w:sz w:val="21"/>
          <w:szCs w:val="21"/>
          <w:lang w:eastAsia="zh-CN"/>
        </w:rPr>
        <w:t>4</w:t>
      </w:r>
      <w:r>
        <w:rPr>
          <w:rFonts w:hint="eastAsia" w:ascii="宋体" w:hAnsi="宋体" w:eastAsia="宋体" w:cs="宋体"/>
          <w:color w:val="000000"/>
          <w:kern w:val="2"/>
          <w:sz w:val="21"/>
          <w:szCs w:val="21"/>
          <w:lang w:eastAsia="zh-CN"/>
        </w:rPr>
        <w:t>国家法律法规规定</w:t>
      </w:r>
      <w:r>
        <w:rPr>
          <w:rFonts w:hint="eastAsia" w:ascii="宋体" w:hAnsi="宋体" w:eastAsia="宋体"/>
          <w:color w:val="000000"/>
          <w:kern w:val="2"/>
          <w:sz w:val="21"/>
          <w:szCs w:val="21"/>
          <w:lang w:eastAsia="zh-CN"/>
        </w:rPr>
        <w:t>及</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约定应</w:t>
      </w:r>
      <w:r>
        <w:rPr>
          <w:rFonts w:hint="eastAsia" w:ascii="宋体" w:hAnsi="宋体" w:eastAsia="宋体" w:cs="宋体"/>
          <w:color w:val="000000"/>
          <w:kern w:val="2"/>
          <w:sz w:val="21"/>
          <w:szCs w:val="21"/>
          <w:lang w:eastAsia="zh-CN"/>
        </w:rPr>
        <w:t>由乙方承担的其他义务和责任。</w:t>
      </w:r>
    </w:p>
    <w:p w14:paraId="597F240C">
      <w:pPr>
        <w:widowControl w:val="0"/>
        <w:numPr>
          <w:ilvl w:val="0"/>
          <w:numId w:val="3"/>
        </w:numPr>
        <w:autoSpaceDE w:val="0"/>
        <w:autoSpaceDN w:val="0"/>
        <w:adjustRightInd w:val="0"/>
        <w:snapToGrid w:val="0"/>
        <w:spacing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合同履行</w:t>
      </w:r>
    </w:p>
    <w:p w14:paraId="5DB811FB">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6.1 甲乙双方应当按照</w:t>
      </w:r>
      <w:r>
        <w:rPr>
          <w:rFonts w:hint="eastAsia" w:ascii="宋体" w:hAnsi="宋体" w:eastAsia="宋体" w:cs="宋体"/>
          <w:b/>
          <w:bCs/>
          <w:kern w:val="2"/>
          <w:sz w:val="21"/>
          <w:szCs w:val="21"/>
          <w:lang w:eastAsia="zh-CN"/>
        </w:rPr>
        <w:t>【政府采购合同专用条款】</w:t>
      </w:r>
      <w:r>
        <w:rPr>
          <w:rFonts w:hint="eastAsia" w:ascii="宋体" w:hAnsi="宋体" w:eastAsia="宋体" w:cstheme="minorBidi"/>
          <w:color w:val="000000"/>
          <w:kern w:val="2"/>
          <w:sz w:val="21"/>
          <w:szCs w:val="21"/>
          <w:lang w:eastAsia="zh-CN"/>
        </w:rPr>
        <w:t>约定顺序履行合同义务；如果没有先后顺序的，应当同时履行。</w:t>
      </w:r>
    </w:p>
    <w:p w14:paraId="5837013B">
      <w:pPr>
        <w:widowControl w:val="0"/>
        <w:autoSpaceDE w:val="0"/>
        <w:autoSpaceDN w:val="0"/>
        <w:adjustRightInd w:val="0"/>
        <w:snapToGrid w:val="0"/>
        <w:spacing w:line="400" w:lineRule="exact"/>
        <w:ind w:firstLine="420" w:firstLineChars="200"/>
        <w:jc w:val="left"/>
        <w:rPr>
          <w:rFonts w:ascii="Calibri" w:hAnsi="Calibri" w:eastAsia="宋体"/>
          <w:kern w:val="2"/>
          <w:sz w:val="21"/>
          <w:szCs w:val="22"/>
          <w:lang w:eastAsia="zh-CN"/>
        </w:rPr>
      </w:pPr>
      <w:r>
        <w:rPr>
          <w:rFonts w:hint="eastAsia" w:ascii="宋体" w:hAnsi="宋体" w:eastAsia="宋体" w:cstheme="minorBidi"/>
          <w:color w:val="000000"/>
          <w:kern w:val="2"/>
          <w:sz w:val="21"/>
          <w:szCs w:val="21"/>
          <w:lang w:eastAsia="zh-CN"/>
        </w:rPr>
        <w:t>6.2 甲乙双方按照合同约定顺序履行合同义务时，应当先履行一方未履行的，后履行一方有权拒绝其履行请求。先履行一方履行不符合约定的，后履行一方有权拒绝其相应的履行请求。</w:t>
      </w:r>
    </w:p>
    <w:p w14:paraId="6B678958">
      <w:pPr>
        <w:widowControl w:val="0"/>
        <w:adjustRightInd w:val="0"/>
        <w:snapToGrid w:val="0"/>
        <w:spacing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7. 货物包装、运输、保险和交付要求</w:t>
      </w:r>
    </w:p>
    <w:p w14:paraId="2DEA4271">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7.1 本合同</w:t>
      </w:r>
      <w:r>
        <w:rPr>
          <w:rFonts w:hint="eastAsia" w:ascii="宋体" w:hAnsi="宋体" w:eastAsia="宋体" w:cstheme="minorBidi"/>
          <w:bCs/>
          <w:color w:val="000000"/>
          <w:kern w:val="2"/>
          <w:sz w:val="21"/>
          <w:szCs w:val="21"/>
          <w:lang w:eastAsia="zh-CN"/>
        </w:rPr>
        <w:t>涉及商品包装、快递包装的，</w:t>
      </w:r>
      <w:r>
        <w:rPr>
          <w:rFonts w:hint="eastAsia" w:ascii="宋体" w:hAnsi="宋体" w:eastAsia="宋体" w:cstheme="minorBidi"/>
          <w:color w:val="000000"/>
          <w:kern w:val="2"/>
          <w:sz w:val="21"/>
          <w:szCs w:val="21"/>
          <w:lang w:eastAsia="zh-CN"/>
        </w:rPr>
        <w:t>除</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另有约定外，</w:t>
      </w:r>
      <w:r>
        <w:rPr>
          <w:rFonts w:hint="eastAsia" w:ascii="宋体" w:hAnsi="宋体" w:eastAsia="宋体" w:cstheme="minorBidi"/>
          <w:color w:val="000000"/>
          <w:kern w:val="2"/>
          <w:sz w:val="21"/>
          <w:szCs w:val="21"/>
          <w:lang w:eastAsia="zh-CN"/>
        </w:rPr>
        <w:t>包装应适应远距离运输、防潮、防震、防锈和防野蛮装卸等要求，确保货物安全无损地运抵</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约定的</w:t>
      </w:r>
      <w:r>
        <w:rPr>
          <w:rFonts w:hint="eastAsia" w:ascii="宋体" w:hAnsi="宋体" w:eastAsia="宋体" w:cstheme="minorBidi"/>
          <w:color w:val="000000"/>
          <w:kern w:val="2"/>
          <w:sz w:val="21"/>
          <w:szCs w:val="21"/>
          <w:lang w:eastAsia="zh-CN"/>
        </w:rPr>
        <w:t>指定现场。</w:t>
      </w:r>
    </w:p>
    <w:p w14:paraId="1270642D">
      <w:pPr>
        <w:widowControl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7.2 除</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另有约定外，</w:t>
      </w:r>
      <w:r>
        <w:rPr>
          <w:rFonts w:hint="eastAsia" w:ascii="宋体" w:hAnsi="宋体" w:eastAsia="宋体" w:cstheme="minorBidi"/>
          <w:color w:val="000000"/>
          <w:kern w:val="2"/>
          <w:sz w:val="21"/>
          <w:szCs w:val="21"/>
          <w:lang w:eastAsia="zh-CN"/>
        </w:rPr>
        <w:t>乙方负责办理将货物运抵本合同规定的交货地点，并装卸、交付至甲方的一切运输事项，相关费用应包含在合同价款中。</w:t>
      </w:r>
    </w:p>
    <w:p w14:paraId="0E0E0E9E">
      <w:pPr>
        <w:widowControl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7.3 货物保险要求按</w:t>
      </w:r>
      <w:r>
        <w:rPr>
          <w:rFonts w:hint="eastAsia" w:ascii="宋体" w:hAnsi="宋体" w:eastAsia="宋体" w:cstheme="minorBidi"/>
          <w:b/>
          <w:color w:val="000000"/>
          <w:kern w:val="2"/>
          <w:sz w:val="21"/>
          <w:szCs w:val="21"/>
          <w:lang w:eastAsia="zh-CN"/>
        </w:rPr>
        <w:t>【政府采购合同专用条款】</w:t>
      </w:r>
      <w:r>
        <w:rPr>
          <w:rFonts w:hint="eastAsia" w:ascii="宋体" w:hAnsi="宋体" w:eastAsia="宋体" w:cstheme="minorBidi"/>
          <w:bCs/>
          <w:color w:val="000000"/>
          <w:kern w:val="2"/>
          <w:sz w:val="21"/>
          <w:szCs w:val="21"/>
          <w:lang w:eastAsia="zh-CN"/>
        </w:rPr>
        <w:t>规定执行</w:t>
      </w:r>
      <w:r>
        <w:rPr>
          <w:rFonts w:hint="eastAsia" w:ascii="宋体" w:hAnsi="宋体" w:eastAsia="宋体" w:cstheme="minorBidi"/>
          <w:color w:val="000000"/>
          <w:kern w:val="2"/>
          <w:sz w:val="21"/>
          <w:szCs w:val="21"/>
          <w:lang w:eastAsia="zh-CN"/>
        </w:rPr>
        <w:t>。</w:t>
      </w:r>
    </w:p>
    <w:p w14:paraId="2ABA5592">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E742C40">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7.5 </w:t>
      </w:r>
      <w:r>
        <w:rPr>
          <w:rFonts w:hint="eastAsia" w:ascii="宋体" w:hAnsi="宋体" w:eastAsia="宋体" w:cs="宋体"/>
          <w:color w:val="000000"/>
          <w:kern w:val="2"/>
          <w:sz w:val="21"/>
          <w:szCs w:val="21"/>
          <w:lang w:eastAsia="zh-CN"/>
        </w:rPr>
        <w:t>乙方在运输到达之前应提前通知甲方，并提示货物运输装卸的注意事项，甲方配合乙方做好货物的接收工作。</w:t>
      </w:r>
    </w:p>
    <w:p w14:paraId="25865E71">
      <w:pPr>
        <w:widowControl w:val="0"/>
        <w:autoSpaceDE w:val="0"/>
        <w:autoSpaceDN w:val="0"/>
        <w:adjustRightInd w:val="0"/>
        <w:spacing w:line="400" w:lineRule="exact"/>
        <w:ind w:firstLine="420" w:firstLineChars="200"/>
        <w:jc w:val="both"/>
        <w:rPr>
          <w:rFonts w:hint="eastAsia" w:ascii="华文楷体" w:hAnsi="华文楷体" w:eastAsia="华文楷体" w:cs="华文楷体"/>
          <w:kern w:val="2"/>
          <w:sz w:val="21"/>
          <w:szCs w:val="21"/>
          <w:lang w:eastAsia="zh-CN"/>
        </w:rPr>
      </w:pPr>
      <w:r>
        <w:rPr>
          <w:rFonts w:hint="eastAsia" w:ascii="宋体" w:hAnsi="宋体" w:eastAsia="宋体"/>
          <w:color w:val="000000"/>
          <w:kern w:val="2"/>
          <w:sz w:val="21"/>
          <w:szCs w:val="21"/>
          <w:lang w:eastAsia="zh-CN"/>
        </w:rPr>
        <w:t>7.6 如因包装、运输问题导致货物损毁、丢失或者品质下降，甲方有权要求降价、换货、拒收部分或整批货物，由此产生的费用和损失，均由乙方承担。</w:t>
      </w:r>
    </w:p>
    <w:p w14:paraId="581303C6">
      <w:pPr>
        <w:widowControl w:val="0"/>
        <w:adjustRightInd w:val="0"/>
        <w:snapToGrid w:val="0"/>
        <w:spacing w:line="400" w:lineRule="exact"/>
        <w:jc w:val="left"/>
        <w:rPr>
          <w:rFonts w:hint="eastAsia" w:ascii="宋体" w:hAnsi="宋体" w:eastAsia="宋体"/>
          <w:b/>
          <w:kern w:val="2"/>
          <w:szCs w:val="22"/>
          <w:lang w:eastAsia="zh-CN"/>
        </w:rPr>
      </w:pPr>
      <w:r>
        <w:rPr>
          <w:rFonts w:hint="eastAsia" w:ascii="宋体" w:hAnsi="宋体" w:eastAsia="宋体" w:cstheme="minorBidi"/>
          <w:b/>
          <w:color w:val="000000"/>
          <w:kern w:val="2"/>
          <w:szCs w:val="22"/>
          <w:lang w:eastAsia="zh-CN"/>
        </w:rPr>
        <w:t xml:space="preserve">8. </w:t>
      </w:r>
      <w:r>
        <w:rPr>
          <w:rFonts w:hint="eastAsia" w:ascii="宋体" w:hAnsi="宋体" w:eastAsia="宋体" w:cstheme="minorBidi"/>
          <w:b/>
          <w:kern w:val="2"/>
          <w:szCs w:val="22"/>
          <w:lang w:eastAsia="zh-CN"/>
        </w:rPr>
        <w:t>质量标准和保证</w:t>
      </w:r>
    </w:p>
    <w:p w14:paraId="3313EAEB">
      <w:pPr>
        <w:widowControl w:val="0"/>
        <w:adjustRightInd w:val="0"/>
        <w:snapToGrid w:val="0"/>
        <w:spacing w:line="400" w:lineRule="exact"/>
        <w:ind w:firstLine="420" w:firstLineChars="200"/>
        <w:jc w:val="left"/>
        <w:rPr>
          <w:rFonts w:hint="eastAsia" w:ascii="宋体" w:hAnsi="宋体" w:eastAsia="宋体" w:cs="Courier New"/>
          <w:b/>
          <w:kern w:val="2"/>
          <w:sz w:val="21"/>
          <w:szCs w:val="21"/>
          <w:lang w:eastAsia="zh-CN"/>
        </w:rPr>
      </w:pPr>
      <w:r>
        <w:rPr>
          <w:rFonts w:hint="eastAsia" w:ascii="宋体" w:hAnsi="宋体" w:eastAsia="宋体" w:cs="Courier New"/>
          <w:kern w:val="2"/>
          <w:sz w:val="21"/>
          <w:szCs w:val="21"/>
          <w:lang w:eastAsia="zh-CN"/>
        </w:rPr>
        <w:t>8.1 质量标准</w:t>
      </w:r>
    </w:p>
    <w:p w14:paraId="2217DA6A">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（1）本合同下提供的货物应符合合同</w:t>
      </w:r>
      <w:r>
        <w:rPr>
          <w:rFonts w:hint="eastAsia" w:ascii="宋体" w:hAnsi="宋体" w:eastAsia="宋体" w:cs="宋体"/>
          <w:color w:val="000000"/>
          <w:kern w:val="2"/>
          <w:sz w:val="21"/>
          <w:szCs w:val="21"/>
          <w:lang w:eastAsia="zh-CN"/>
        </w:rPr>
        <w:t>约定的</w:t>
      </w:r>
      <w:r>
        <w:rPr>
          <w:rFonts w:hint="eastAsia" w:ascii="宋体" w:hAnsi="宋体" w:eastAsia="宋体" w:cs="宋体"/>
          <w:kern w:val="2"/>
          <w:sz w:val="21"/>
          <w:szCs w:val="21"/>
          <w:lang w:eastAsia="zh-CN"/>
        </w:rPr>
        <w:t>品牌、规格型号、技术性能、配置、质量、数量等要求。</w:t>
      </w:r>
      <w:r>
        <w:rPr>
          <w:rFonts w:hint="eastAsia" w:ascii="宋体" w:hAnsi="宋体" w:eastAsia="宋体" w:cstheme="minorBidi"/>
          <w:kern w:val="2"/>
          <w:sz w:val="21"/>
          <w:szCs w:val="21"/>
          <w:lang w:eastAsia="zh-CN"/>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6829AFB">
      <w:pPr>
        <w:widowControl w:val="0"/>
        <w:adjustRightInd w:val="0"/>
        <w:snapToGrid w:val="0"/>
        <w:spacing w:line="400" w:lineRule="exact"/>
        <w:ind w:firstLine="420" w:firstLineChars="200"/>
        <w:jc w:val="left"/>
        <w:rPr>
          <w:rFonts w:hint="eastAsia" w:ascii="宋体" w:hAnsi="宋体" w:eastAsia="宋体" w:cs="Courier New"/>
          <w:kern w:val="2"/>
          <w:sz w:val="21"/>
          <w:szCs w:val="21"/>
          <w:lang w:eastAsia="zh-CN"/>
        </w:rPr>
      </w:pPr>
      <w:r>
        <w:rPr>
          <w:rFonts w:hint="eastAsia" w:ascii="宋体" w:hAnsi="宋体" w:eastAsia="宋体" w:cs="Courier New"/>
          <w:kern w:val="2"/>
          <w:sz w:val="21"/>
          <w:szCs w:val="21"/>
          <w:lang w:eastAsia="zh-CN"/>
        </w:rPr>
        <w:t>（2）采用中华人民共和国法定计量单位。</w:t>
      </w:r>
    </w:p>
    <w:p w14:paraId="39F3C1F9">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（3）乙方所提供的货物应符合国家有关安全、环保、卫生的规定。</w:t>
      </w:r>
    </w:p>
    <w:p w14:paraId="0011A11C">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（4）乙方应向甲方提交所提供货物的技术文件，包括相应的中文技术文件，如：产品目录、图纸、操作手册、使用说明、维护手册或服务指南等。上述文件应包装好随货物一同发运。</w:t>
      </w:r>
    </w:p>
    <w:p w14:paraId="671ED4CF">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8.2 保证</w:t>
      </w:r>
    </w:p>
    <w:p w14:paraId="22B91840">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（1）乙方应保证提供的货物完全符合合同规定的质量、规格和性能要求。乙方应保证货物在正确安装、正常使用和保养条件下，</w:t>
      </w:r>
      <w:r>
        <w:rPr>
          <w:rFonts w:hint="eastAsia" w:ascii="宋体" w:hAnsi="宋体" w:eastAsia="宋体" w:cs="宋体"/>
          <w:kern w:val="2"/>
          <w:sz w:val="21"/>
          <w:szCs w:val="21"/>
          <w:lang w:eastAsia="zh-CN"/>
        </w:rPr>
        <w:t>在其使用寿命期内具备合同约定的性能</w:t>
      </w:r>
      <w:r>
        <w:rPr>
          <w:rFonts w:hint="eastAsia" w:ascii="宋体" w:hAnsi="宋体" w:eastAsia="宋体" w:cstheme="minorBidi"/>
          <w:kern w:val="2"/>
          <w:sz w:val="21"/>
          <w:szCs w:val="21"/>
          <w:lang w:eastAsia="zh-CN"/>
        </w:rPr>
        <w:t>。存在质量保证期的，货物最终交付验收合格后在</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规定或乙方书面承诺（两者以较长的为准）的质量保证期内，本保证保持有效。</w:t>
      </w:r>
    </w:p>
    <w:p w14:paraId="0AECBC5D">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（2）在质量保证期内所发现的缺陷，甲方应尽快以书面形式通知乙方。</w:t>
      </w:r>
    </w:p>
    <w:p w14:paraId="66BFA31B">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（3）乙方收到通知后，应在</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规定的响应时间内以合理的速度免费维修或更换有缺陷的货物或部件。</w:t>
      </w:r>
    </w:p>
    <w:p w14:paraId="12014F0A">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（4）在质量保证期内，如果货物的质量或规格与合同不符，或证实货物是有缺陷的，包括潜在的缺陷或使用不符合要求的材料等，甲方可以根据本合同第1</w:t>
      </w:r>
      <w:r>
        <w:rPr>
          <w:rFonts w:hint="eastAsia" w:ascii="宋体" w:hAnsi="宋体" w:eastAsia="宋体" w:cstheme="minorBidi"/>
          <w:color w:val="000000"/>
          <w:kern w:val="2"/>
          <w:sz w:val="21"/>
          <w:szCs w:val="21"/>
          <w:lang w:eastAsia="zh-CN"/>
        </w:rPr>
        <w:t>5</w:t>
      </w:r>
      <w:r>
        <w:rPr>
          <w:rFonts w:hint="eastAsia" w:ascii="宋体" w:hAnsi="宋体" w:eastAsia="宋体" w:cstheme="minorBidi"/>
          <w:kern w:val="2"/>
          <w:sz w:val="21"/>
          <w:szCs w:val="21"/>
          <w:lang w:eastAsia="zh-CN"/>
        </w:rPr>
        <w:t>.1条规定以书面形式</w:t>
      </w:r>
      <w:r>
        <w:rPr>
          <w:rFonts w:hint="eastAsia" w:ascii="宋体" w:hAnsi="宋体" w:eastAsia="宋体" w:cstheme="minorBidi"/>
          <w:color w:val="000000"/>
          <w:kern w:val="2"/>
          <w:sz w:val="21"/>
          <w:szCs w:val="21"/>
          <w:lang w:eastAsia="zh-CN"/>
        </w:rPr>
        <w:t>追究</w:t>
      </w:r>
      <w:r>
        <w:rPr>
          <w:rFonts w:hint="eastAsia" w:ascii="宋体" w:hAnsi="宋体" w:eastAsia="宋体" w:cstheme="minorBidi"/>
          <w:kern w:val="2"/>
          <w:sz w:val="21"/>
          <w:szCs w:val="21"/>
          <w:lang w:eastAsia="zh-CN"/>
        </w:rPr>
        <w:t>乙方</w:t>
      </w:r>
      <w:r>
        <w:rPr>
          <w:rFonts w:hint="eastAsia" w:ascii="宋体" w:hAnsi="宋体" w:eastAsia="宋体" w:cstheme="minorBidi"/>
          <w:color w:val="000000"/>
          <w:kern w:val="2"/>
          <w:sz w:val="21"/>
          <w:szCs w:val="21"/>
          <w:lang w:eastAsia="zh-CN"/>
        </w:rPr>
        <w:t>的违约责任</w:t>
      </w:r>
      <w:r>
        <w:rPr>
          <w:rFonts w:hint="eastAsia" w:ascii="宋体" w:hAnsi="宋体" w:eastAsia="宋体" w:cstheme="minorBidi"/>
          <w:kern w:val="2"/>
          <w:sz w:val="21"/>
          <w:szCs w:val="21"/>
          <w:lang w:eastAsia="zh-CN"/>
        </w:rPr>
        <w:t>。</w:t>
      </w:r>
    </w:p>
    <w:p w14:paraId="03716E0B">
      <w:pPr>
        <w:widowControl w:val="0"/>
        <w:adjustRightInd w:val="0"/>
        <w:snapToGrid w:val="0"/>
        <w:spacing w:line="400" w:lineRule="exact"/>
        <w:ind w:firstLine="420" w:firstLineChars="200"/>
        <w:jc w:val="left"/>
        <w:rPr>
          <w:rFonts w:ascii="Calibri" w:hAnsi="Calibri" w:eastAsia="宋体"/>
          <w:kern w:val="2"/>
          <w:sz w:val="21"/>
          <w:szCs w:val="22"/>
          <w:lang w:eastAsia="zh-CN"/>
        </w:rPr>
      </w:pPr>
      <w:r>
        <w:rPr>
          <w:rFonts w:hint="eastAsia" w:ascii="宋体" w:hAnsi="宋体" w:eastAsia="宋体" w:cstheme="minorBidi"/>
          <w:kern w:val="2"/>
          <w:sz w:val="21"/>
          <w:szCs w:val="21"/>
          <w:lang w:eastAsia="zh-CN"/>
        </w:rPr>
        <w:t>（5）乙方在约定的时间内未能弥补缺陷，甲方可采取必要的补救措施，但其风险和费用将由乙方承担，甲方根据合同约定对乙方行使的其他权利不受影响。</w:t>
      </w:r>
    </w:p>
    <w:p w14:paraId="0A2C8940">
      <w:pPr>
        <w:widowControl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color w:val="000000"/>
          <w:kern w:val="2"/>
          <w:szCs w:val="22"/>
          <w:lang w:eastAsia="zh-CN"/>
        </w:rPr>
        <w:t>9</w:t>
      </w:r>
      <w:r>
        <w:rPr>
          <w:rFonts w:hint="eastAsia" w:ascii="宋体" w:hAnsi="宋体" w:eastAsia="宋体" w:cstheme="minorBidi"/>
          <w:b/>
          <w:bCs/>
          <w:kern w:val="2"/>
          <w:szCs w:val="22"/>
          <w:lang w:eastAsia="zh-CN"/>
        </w:rPr>
        <w:t>.</w:t>
      </w:r>
      <w:r>
        <w:rPr>
          <w:rFonts w:hint="eastAsia" w:ascii="宋体" w:hAnsi="宋体" w:eastAsia="宋体" w:cstheme="minorBidi"/>
          <w:b/>
          <w:bCs/>
          <w:color w:val="000000"/>
          <w:kern w:val="2"/>
          <w:szCs w:val="22"/>
          <w:lang w:eastAsia="zh-CN"/>
        </w:rPr>
        <w:t xml:space="preserve"> </w:t>
      </w:r>
      <w:r>
        <w:rPr>
          <w:rFonts w:hint="eastAsia" w:ascii="宋体" w:hAnsi="宋体" w:eastAsia="宋体" w:cstheme="minorBidi"/>
          <w:b/>
          <w:bCs/>
          <w:kern w:val="2"/>
          <w:szCs w:val="22"/>
          <w:lang w:eastAsia="zh-CN"/>
        </w:rPr>
        <w:t>权利瑕疵担保</w:t>
      </w:r>
    </w:p>
    <w:p w14:paraId="40ECD10A">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9.1 乙方保证对其出售的货物享有合法的权利。</w:t>
      </w:r>
    </w:p>
    <w:p w14:paraId="53EC0A52">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 xml:space="preserve">9.2 </w:t>
      </w:r>
      <w:r>
        <w:rPr>
          <w:rFonts w:hint="eastAsia" w:ascii="宋体" w:hAnsi="宋体" w:eastAsia="宋体" w:cs="宋体"/>
          <w:kern w:val="2"/>
          <w:sz w:val="21"/>
          <w:szCs w:val="15"/>
          <w:lang w:eastAsia="zh-CN"/>
        </w:rPr>
        <w:t>乙方保证在交付的货物上不存在抵押权等担保物权。</w:t>
      </w:r>
    </w:p>
    <w:p w14:paraId="654AE700">
      <w:pPr>
        <w:widowControl w:val="0"/>
        <w:autoSpaceDE w:val="0"/>
        <w:autoSpaceDN w:val="0"/>
        <w:adjustRightInd w:val="0"/>
        <w:snapToGrid w:val="0"/>
        <w:spacing w:line="400" w:lineRule="exact"/>
        <w:ind w:firstLine="420" w:firstLineChars="200"/>
        <w:jc w:val="left"/>
        <w:rPr>
          <w:rFonts w:hint="eastAsia" w:ascii="宋体" w:hAnsi="宋体" w:eastAsia="宋体"/>
          <w:color w:val="000000"/>
          <w:kern w:val="2"/>
          <w:sz w:val="21"/>
          <w:szCs w:val="21"/>
          <w:lang w:eastAsia="zh-CN"/>
        </w:rPr>
      </w:pPr>
      <w:r>
        <w:rPr>
          <w:rFonts w:hint="eastAsia" w:ascii="宋体" w:hAnsi="宋体" w:eastAsia="宋体" w:cstheme="minorBidi"/>
          <w:color w:val="000000"/>
          <w:kern w:val="2"/>
          <w:sz w:val="21"/>
          <w:szCs w:val="21"/>
          <w:lang w:eastAsia="zh-CN"/>
        </w:rPr>
        <w:t>9.3 如甲方使用上述货物构成对第三人侵权的，则由乙方承担全部责任。</w:t>
      </w:r>
    </w:p>
    <w:p w14:paraId="02801DF1">
      <w:pPr>
        <w:widowControl w:val="0"/>
        <w:autoSpaceDE w:val="0"/>
        <w:autoSpaceDN w:val="0"/>
        <w:adjustRightInd w:val="0"/>
        <w:snapToGrid w:val="0"/>
        <w:spacing w:line="400" w:lineRule="exact"/>
        <w:jc w:val="left"/>
        <w:rPr>
          <w:rFonts w:hint="eastAsia" w:ascii="宋体" w:hAnsi="宋体" w:eastAsia="宋体"/>
          <w:b/>
          <w:bCs/>
          <w:color w:val="000000"/>
          <w:kern w:val="2"/>
          <w:szCs w:val="22"/>
          <w:lang w:eastAsia="zh-CN"/>
        </w:rPr>
      </w:pPr>
      <w:r>
        <w:rPr>
          <w:rFonts w:hint="eastAsia" w:ascii="宋体" w:hAnsi="宋体" w:eastAsia="宋体" w:cstheme="minorBidi"/>
          <w:b/>
          <w:bCs/>
          <w:color w:val="000000"/>
          <w:kern w:val="2"/>
          <w:szCs w:val="22"/>
          <w:lang w:eastAsia="zh-CN"/>
        </w:rPr>
        <w:t>10. 知识产权保护</w:t>
      </w:r>
    </w:p>
    <w:p w14:paraId="3C1F7444">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color w:val="000000"/>
          <w:kern w:val="2"/>
          <w:sz w:val="21"/>
          <w:szCs w:val="21"/>
          <w:lang w:eastAsia="zh-CN"/>
        </w:rPr>
        <w:t>10.1 乙方对其所销售的货物应当享有知识产权或经权利人合法授权，保证没有侵犯任</w:t>
      </w:r>
      <w:r>
        <w:rPr>
          <w:rFonts w:hint="eastAsia" w:ascii="宋体" w:hAnsi="宋体" w:eastAsia="宋体" w:cstheme="minorBidi"/>
          <w:kern w:val="2"/>
          <w:sz w:val="21"/>
          <w:szCs w:val="21"/>
          <w:lang w:eastAsia="zh-CN"/>
        </w:rPr>
        <w:t>何第三人的知识产权等权利。</w:t>
      </w:r>
      <w:bookmarkStart w:id="49" w:name="_Hlk163047038"/>
      <w:r>
        <w:rPr>
          <w:rFonts w:hint="eastAsia" w:ascii="宋体" w:hAnsi="宋体" w:eastAsia="宋体" w:cs="宋体"/>
          <w:kern w:val="2"/>
          <w:sz w:val="21"/>
          <w:szCs w:val="15"/>
          <w:lang w:eastAsia="zh-CN"/>
        </w:rPr>
        <w:t>因违反前述约定对第三人构成侵权的，应当由乙方向第三人承担法律责任；甲方依法向第三人赔偿后，有权向乙方追偿。甲方有其他损失的，乙方应当赔偿</w:t>
      </w:r>
      <w:bookmarkEnd w:id="49"/>
      <w:r>
        <w:rPr>
          <w:rFonts w:hint="eastAsia" w:ascii="宋体" w:hAnsi="宋体" w:eastAsia="宋体" w:cstheme="minorBidi"/>
          <w:kern w:val="2"/>
          <w:sz w:val="21"/>
          <w:szCs w:val="21"/>
          <w:lang w:eastAsia="zh-CN"/>
        </w:rPr>
        <w:t>。</w:t>
      </w:r>
    </w:p>
    <w:p w14:paraId="44EF28D4">
      <w:pPr>
        <w:widowControl w:val="0"/>
        <w:autoSpaceDE w:val="0"/>
        <w:autoSpaceDN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11. 保密义务</w:t>
      </w:r>
    </w:p>
    <w:p w14:paraId="15EE439B">
      <w:pPr>
        <w:widowControl w:val="0"/>
        <w:autoSpaceDE w:val="0"/>
        <w:autoSpaceDN w:val="0"/>
        <w:adjustRightInd w:val="0"/>
        <w:snapToGrid w:val="0"/>
        <w:spacing w:line="400" w:lineRule="exact"/>
        <w:ind w:firstLine="420" w:firstLineChars="200"/>
        <w:jc w:val="left"/>
        <w:rPr>
          <w:rFonts w:hint="eastAsia" w:ascii="宋体" w:hAnsi="宋体" w:eastAsia="宋体" w:cs="宋体"/>
          <w:kern w:val="2"/>
          <w:sz w:val="21"/>
          <w:szCs w:val="15"/>
          <w:lang w:eastAsia="zh-CN"/>
        </w:rPr>
      </w:pPr>
      <w:r>
        <w:rPr>
          <w:rFonts w:hint="eastAsia" w:ascii="宋体" w:hAnsi="宋体" w:eastAsia="宋体" w:cs="宋体"/>
          <w:kern w:val="2"/>
          <w:sz w:val="21"/>
          <w:szCs w:val="15"/>
          <w:lang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kern w:val="2"/>
          <w:sz w:val="21"/>
          <w:szCs w:val="15"/>
          <w:lang w:eastAsia="zh-CN"/>
        </w:rPr>
        <w:t>【政府采购合同专用条款】</w:t>
      </w:r>
      <w:r>
        <w:rPr>
          <w:rFonts w:hint="eastAsia" w:ascii="宋体" w:hAnsi="宋体" w:eastAsia="宋体" w:cs="宋体"/>
          <w:kern w:val="2"/>
          <w:sz w:val="21"/>
          <w:szCs w:val="15"/>
          <w:lang w:eastAsia="zh-CN"/>
        </w:rPr>
        <w:t>中约定。</w:t>
      </w:r>
    </w:p>
    <w:p w14:paraId="25A8CB6C">
      <w:pPr>
        <w:widowControl w:val="0"/>
        <w:autoSpaceDE w:val="0"/>
        <w:autoSpaceDN w:val="0"/>
        <w:adjustRightInd w:val="0"/>
        <w:snapToGrid w:val="0"/>
        <w:spacing w:line="400" w:lineRule="exact"/>
        <w:jc w:val="left"/>
        <w:rPr>
          <w:rFonts w:hint="eastAsia" w:ascii="宋体" w:hAnsi="宋体" w:eastAsia="宋体" w:cstheme="minorBidi"/>
          <w:b/>
          <w:bCs/>
          <w:kern w:val="2"/>
          <w:szCs w:val="22"/>
          <w:lang w:eastAsia="zh-CN"/>
        </w:rPr>
      </w:pPr>
      <w:r>
        <w:rPr>
          <w:rFonts w:hint="eastAsia" w:ascii="宋体" w:hAnsi="宋体" w:eastAsia="宋体" w:cstheme="minorBidi"/>
          <w:b/>
          <w:bCs/>
          <w:kern w:val="2"/>
          <w:szCs w:val="22"/>
          <w:lang w:eastAsia="zh-CN"/>
        </w:rPr>
        <w:t>12. 合同价款支付</w:t>
      </w:r>
    </w:p>
    <w:p w14:paraId="191FF923">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12.1 合同价款支付按照国库集中支付制度及财政管理相关规定执行。</w:t>
      </w:r>
    </w:p>
    <w:p w14:paraId="1FA167DE">
      <w:pPr>
        <w:widowControl w:val="0"/>
        <w:adjustRightInd w:val="0"/>
        <w:snapToGrid w:val="0"/>
        <w:spacing w:line="400" w:lineRule="exact"/>
        <w:ind w:firstLine="420" w:firstLineChars="200"/>
        <w:jc w:val="left"/>
        <w:rPr>
          <w:rFonts w:hint="eastAsia" w:ascii="宋体" w:hAnsi="宋体" w:eastAsia="宋体" w:cstheme="minorBidi"/>
          <w:kern w:val="2"/>
          <w:sz w:val="21"/>
          <w:szCs w:val="21"/>
          <w:lang w:eastAsia="zh-CN"/>
        </w:rPr>
      </w:pPr>
      <w:r>
        <w:rPr>
          <w:rFonts w:hint="eastAsia" w:ascii="宋体" w:hAnsi="宋体" w:eastAsia="宋体" w:cstheme="minorBidi"/>
          <w:kern w:val="2"/>
          <w:sz w:val="21"/>
          <w:szCs w:val="21"/>
          <w:lang w:eastAsia="zh-CN"/>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heme="minorBidi"/>
          <w:b/>
          <w:bCs/>
          <w:kern w:val="2"/>
          <w:sz w:val="21"/>
          <w:szCs w:val="21"/>
          <w:lang w:eastAsia="zh-CN"/>
        </w:rPr>
        <w:t>【政府采购合同专用条款】</w:t>
      </w:r>
      <w:r>
        <w:rPr>
          <w:rFonts w:hint="eastAsia" w:ascii="宋体" w:hAnsi="宋体" w:eastAsia="宋体" w:cstheme="minorBidi"/>
          <w:kern w:val="2"/>
          <w:sz w:val="21"/>
          <w:szCs w:val="21"/>
          <w:lang w:eastAsia="zh-CN"/>
        </w:rPr>
        <w:t>中约定。</w:t>
      </w:r>
    </w:p>
    <w:p w14:paraId="0EA9CEF3">
      <w:pPr>
        <w:widowControl w:val="0"/>
        <w:spacing w:line="400" w:lineRule="exact"/>
        <w:jc w:val="both"/>
        <w:rPr>
          <w:rFonts w:hint="eastAsia" w:ascii="宋体" w:hAnsi="宋体" w:eastAsia="宋体"/>
          <w:b/>
          <w:bCs/>
          <w:kern w:val="2"/>
          <w:lang w:eastAsia="zh-CN"/>
        </w:rPr>
      </w:pPr>
      <w:r>
        <w:rPr>
          <w:rFonts w:hint="eastAsia" w:ascii="宋体" w:hAnsi="宋体" w:eastAsia="宋体"/>
          <w:b/>
          <w:bCs/>
          <w:kern w:val="2"/>
          <w:lang w:eastAsia="zh-CN"/>
        </w:rPr>
        <w:t>13. 履约保证金</w:t>
      </w:r>
    </w:p>
    <w:p w14:paraId="66D76D70">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13.1 </w:t>
      </w:r>
      <w:r>
        <w:rPr>
          <w:rFonts w:hint="eastAsia" w:ascii="宋体" w:hAnsi="宋体" w:eastAsia="宋体" w:cs="宋体"/>
          <w:kern w:val="2"/>
          <w:sz w:val="21"/>
          <w:szCs w:val="15"/>
          <w:lang w:eastAsia="zh-CN"/>
        </w:rPr>
        <w:t>乙方应当以支票、汇票、本票或者金融机构、担保机构出具的保函等非现金形式提交。</w:t>
      </w:r>
    </w:p>
    <w:p w14:paraId="5A22E610">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13.2 如果乙方出现</w:t>
      </w:r>
      <w:r>
        <w:rPr>
          <w:rFonts w:hint="eastAsia" w:ascii="宋体" w:hAnsi="宋体" w:eastAsia="宋体" w:cs="宋体"/>
          <w:b/>
          <w:bCs/>
          <w:kern w:val="2"/>
          <w:sz w:val="21"/>
          <w:szCs w:val="15"/>
          <w:lang w:eastAsia="zh-CN"/>
        </w:rPr>
        <w:t>【政府采购合同专用条款】</w:t>
      </w:r>
      <w:r>
        <w:rPr>
          <w:rFonts w:hint="eastAsia" w:ascii="宋体" w:hAnsi="宋体" w:eastAsia="宋体" w:cs="宋体"/>
          <w:kern w:val="2"/>
          <w:sz w:val="21"/>
          <w:szCs w:val="15"/>
          <w:lang w:eastAsia="zh-CN"/>
        </w:rPr>
        <w:t>约定情形的</w:t>
      </w:r>
      <w:r>
        <w:rPr>
          <w:rFonts w:hint="eastAsia" w:ascii="宋体" w:hAnsi="宋体" w:eastAsia="宋体" w:cstheme="minorBidi"/>
          <w:kern w:val="2"/>
          <w:sz w:val="21"/>
          <w:szCs w:val="21"/>
          <w:lang w:eastAsia="zh-CN"/>
        </w:rPr>
        <w:t>，履约保证金不予退还；如果乙方未能按合同约定全面履行义务，甲方有权从履约保证金中取得补偿或赔偿，且不影响甲方要求乙方承担合同约定的超过履约保证金的违约责任的权利。</w:t>
      </w:r>
    </w:p>
    <w:p w14:paraId="03709A76">
      <w:pPr>
        <w:widowControl w:val="0"/>
        <w:spacing w:line="400" w:lineRule="exact"/>
        <w:ind w:firstLine="420"/>
        <w:jc w:val="both"/>
        <w:rPr>
          <w:rFonts w:ascii="Calibri" w:hAnsi="Calibri" w:eastAsia="宋体"/>
          <w:kern w:val="2"/>
          <w:sz w:val="21"/>
          <w:szCs w:val="22"/>
          <w:lang w:eastAsia="zh-CN"/>
        </w:rPr>
      </w:pPr>
      <w:r>
        <w:rPr>
          <w:rFonts w:hint="eastAsia" w:ascii="宋体" w:hAnsi="宋体" w:eastAsia="宋体" w:cstheme="minorBidi"/>
          <w:kern w:val="2"/>
          <w:sz w:val="21"/>
          <w:szCs w:val="21"/>
          <w:lang w:eastAsia="zh-CN"/>
        </w:rPr>
        <w:t>13.3 甲方在项目通过验收后按照</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规定的时间内将履约保证金退还乙方；逾期退还的，乙方可要求甲方支付违约金，违约金按照</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规定支付。</w:t>
      </w:r>
    </w:p>
    <w:p w14:paraId="4E7C18A3">
      <w:pPr>
        <w:widowControl w:val="0"/>
        <w:autoSpaceDE w:val="0"/>
        <w:autoSpaceDN w:val="0"/>
        <w:adjustRightInd w:val="0"/>
        <w:snapToGrid w:val="0"/>
        <w:spacing w:line="400" w:lineRule="exact"/>
        <w:jc w:val="left"/>
        <w:rPr>
          <w:rFonts w:hint="eastAsia" w:ascii="宋体" w:hAnsi="宋体" w:eastAsia="宋体"/>
          <w:b/>
          <w:kern w:val="2"/>
          <w:szCs w:val="22"/>
          <w:lang w:eastAsia="zh-CN"/>
        </w:rPr>
      </w:pPr>
      <w:r>
        <w:rPr>
          <w:rFonts w:hint="eastAsia" w:ascii="宋体" w:hAnsi="宋体" w:eastAsia="宋体" w:cstheme="minorBidi"/>
          <w:b/>
          <w:bCs/>
          <w:kern w:val="2"/>
          <w:szCs w:val="22"/>
          <w:lang w:eastAsia="zh-CN"/>
        </w:rPr>
        <w:t xml:space="preserve">14. </w:t>
      </w:r>
      <w:r>
        <w:rPr>
          <w:rFonts w:hint="eastAsia" w:ascii="Calibri" w:hAnsi="Calibri" w:eastAsia="宋体" w:cstheme="minorBidi"/>
          <w:b/>
          <w:kern w:val="2"/>
          <w:szCs w:val="22"/>
          <w:lang w:eastAsia="zh-CN"/>
        </w:rPr>
        <w:t>售后</w:t>
      </w:r>
      <w:r>
        <w:rPr>
          <w:rFonts w:hint="eastAsia" w:ascii="宋体" w:hAnsi="宋体" w:eastAsia="宋体" w:cstheme="minorBidi"/>
          <w:b/>
          <w:kern w:val="2"/>
          <w:szCs w:val="22"/>
          <w:lang w:eastAsia="zh-CN"/>
        </w:rPr>
        <w:t>服务</w:t>
      </w:r>
    </w:p>
    <w:p w14:paraId="5B8D7749">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14.1 除项目不涉及或采购活动中明确约定无须承担外，乙方还应提供下列服务：</w:t>
      </w:r>
    </w:p>
    <w:p w14:paraId="3D63EA84">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（1）货物的现场移动、安装、调试、启动监督及技术支持；</w:t>
      </w:r>
    </w:p>
    <w:p w14:paraId="45466CE0">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（2）提供货物组装和维修所需的专用工具和辅助材料；</w:t>
      </w:r>
    </w:p>
    <w:p w14:paraId="43D5EC11">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（3）在</w:t>
      </w:r>
      <w:r>
        <w:rPr>
          <w:rFonts w:hint="eastAsia" w:ascii="宋体" w:hAnsi="宋体" w:eastAsia="宋体" w:cs="宋体"/>
          <w:b/>
          <w:bCs/>
          <w:kern w:val="2"/>
          <w:sz w:val="21"/>
          <w:szCs w:val="15"/>
          <w:lang w:eastAsia="zh-CN"/>
        </w:rPr>
        <w:t>【政府采购合同专用条款】</w:t>
      </w:r>
      <w:r>
        <w:rPr>
          <w:rFonts w:hint="eastAsia" w:ascii="宋体" w:hAnsi="宋体" w:eastAsia="宋体" w:cstheme="minorBidi"/>
          <w:kern w:val="2"/>
          <w:sz w:val="21"/>
          <w:szCs w:val="21"/>
          <w:lang w:eastAsia="zh-CN"/>
        </w:rPr>
        <w:t>约定的期限内对所有的货物实施运行监督、维修，但前提条件是该服务并不能免除乙方在质量保证期内所承担的义务；</w:t>
      </w:r>
    </w:p>
    <w:p w14:paraId="77193015">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（4）在制造商所在地或指定现场就货物的安装、启动、运营、维护、废弃处置等对甲方操作人员进行培训</w:t>
      </w:r>
      <w:r>
        <w:rPr>
          <w:rFonts w:hint="eastAsia" w:ascii="宋体" w:hAnsi="宋体" w:eastAsia="宋体" w:cs="宋体"/>
          <w:kern w:val="2"/>
          <w:sz w:val="21"/>
          <w:szCs w:val="15"/>
          <w:lang w:eastAsia="zh-CN"/>
        </w:rPr>
        <w:t>；</w:t>
      </w:r>
    </w:p>
    <w:p w14:paraId="388862F8">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（5）依照法律、行政法规的规定或者按照</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约定，货物在有效使用年限届满后应予回收的，乙方负有自行或者委托第三人对货物予以回收的义务；</w:t>
      </w:r>
    </w:p>
    <w:p w14:paraId="0339197A">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（6）</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规定由乙方提供的其他服务。</w:t>
      </w:r>
    </w:p>
    <w:p w14:paraId="44D5E14D">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14.2 乙方提供的售后服务的费用已包含在合同价款中，甲方不再另行支付。</w:t>
      </w:r>
    </w:p>
    <w:p w14:paraId="640B4334">
      <w:pPr>
        <w:widowControl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15. 违约责任</w:t>
      </w:r>
    </w:p>
    <w:p w14:paraId="5137A438">
      <w:pPr>
        <w:widowControl w:val="0"/>
        <w:adjustRightInd w:val="0"/>
        <w:snapToGrid w:val="0"/>
        <w:spacing w:line="400" w:lineRule="exact"/>
        <w:ind w:firstLine="420" w:firstLineChars="200"/>
        <w:jc w:val="left"/>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15.1质量瑕疵的违约责任</w:t>
      </w:r>
    </w:p>
    <w:p w14:paraId="03EE0028">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乙方提供的产品不符合合同约定的质量标准或存在产品质量缺陷，甲方有权要求乙方根据</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bCs/>
          <w:kern w:val="2"/>
          <w:sz w:val="21"/>
          <w:szCs w:val="21"/>
          <w:lang w:eastAsia="zh-CN"/>
        </w:rPr>
        <w:t>要求</w:t>
      </w:r>
      <w:r>
        <w:rPr>
          <w:rFonts w:hint="eastAsia" w:ascii="宋体" w:hAnsi="宋体" w:eastAsia="宋体" w:cstheme="minorBidi"/>
          <w:kern w:val="2"/>
          <w:sz w:val="21"/>
          <w:szCs w:val="21"/>
          <w:lang w:eastAsia="zh-CN"/>
        </w:rPr>
        <w:t>及时修理、重作、更换，并承担由此给甲方造成的损失。</w:t>
      </w:r>
    </w:p>
    <w:p w14:paraId="66E4B04D">
      <w:pPr>
        <w:widowControl w:val="0"/>
        <w:autoSpaceDE w:val="0"/>
        <w:autoSpaceDN w:val="0"/>
        <w:adjustRightInd w:val="0"/>
        <w:snapToGrid w:val="0"/>
        <w:spacing w:line="400" w:lineRule="exact"/>
        <w:ind w:firstLine="420" w:firstLineChars="200"/>
        <w:jc w:val="left"/>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15.2 迟延交货的违约责任</w:t>
      </w:r>
    </w:p>
    <w:p w14:paraId="3044DCF0">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4A10044">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（2）如果乙方没有按照合同规定的时间交货和提供相关服务，甲方有权从货款中扣除误期赔偿费而不影响合同项下的其他补救方法，赔偿费按</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kern w:val="2"/>
          <w:sz w:val="21"/>
          <w:szCs w:val="21"/>
          <w:lang w:eastAsia="zh-CN"/>
        </w:rPr>
        <w:t>规定执行。如果涉及公共利益，且赔偿金额无法弥补公共利益损失，甲方可要求继续履行或者采取其他补救措施。</w:t>
      </w:r>
    </w:p>
    <w:p w14:paraId="6C72B99D">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15.3 迟延支付的违约责任</w:t>
      </w:r>
    </w:p>
    <w:p w14:paraId="488E915E">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甲方存在迟延支付乙方合同款项的，应当承担</w:t>
      </w:r>
      <w:r>
        <w:rPr>
          <w:rFonts w:hint="eastAsia" w:ascii="宋体" w:hAnsi="宋体" w:eastAsia="宋体" w:cstheme="minorBidi"/>
          <w:b/>
          <w:bCs/>
          <w:kern w:val="2"/>
          <w:sz w:val="21"/>
          <w:szCs w:val="21"/>
          <w:lang w:eastAsia="zh-CN"/>
        </w:rPr>
        <w:t>【政府采购合同专用条款】</w:t>
      </w:r>
      <w:r>
        <w:rPr>
          <w:rFonts w:hint="eastAsia" w:ascii="宋体" w:hAnsi="宋体" w:eastAsia="宋体" w:cstheme="minorBidi"/>
          <w:kern w:val="2"/>
          <w:sz w:val="21"/>
          <w:szCs w:val="21"/>
          <w:lang w:eastAsia="zh-CN"/>
        </w:rPr>
        <w:t>规定的逾期付款利息。</w:t>
      </w:r>
    </w:p>
    <w:p w14:paraId="7AE6560A">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bCs/>
          <w:kern w:val="2"/>
          <w:sz w:val="21"/>
          <w:szCs w:val="21"/>
          <w:lang w:eastAsia="zh-CN"/>
        </w:rPr>
        <w:t>15.4其他违约责任根据项目实际需要按</w:t>
      </w:r>
      <w:r>
        <w:rPr>
          <w:rFonts w:hint="eastAsia" w:ascii="宋体" w:hAnsi="宋体" w:eastAsia="宋体" w:cstheme="minorBidi"/>
          <w:b/>
          <w:bCs/>
          <w:kern w:val="2"/>
          <w:sz w:val="21"/>
          <w:szCs w:val="21"/>
          <w:lang w:eastAsia="zh-CN"/>
        </w:rPr>
        <w:t>【政府采购合同专用条款】</w:t>
      </w:r>
      <w:r>
        <w:rPr>
          <w:rFonts w:hint="eastAsia" w:ascii="宋体" w:hAnsi="宋体" w:eastAsia="宋体" w:cstheme="minorBidi"/>
          <w:kern w:val="2"/>
          <w:sz w:val="21"/>
          <w:szCs w:val="21"/>
          <w:lang w:eastAsia="zh-CN"/>
        </w:rPr>
        <w:t>规定执行。</w:t>
      </w:r>
    </w:p>
    <w:p w14:paraId="583FDFC9">
      <w:pPr>
        <w:widowControl w:val="0"/>
        <w:numPr>
          <w:ilvl w:val="0"/>
          <w:numId w:val="4"/>
        </w:numPr>
        <w:autoSpaceDE w:val="0"/>
        <w:autoSpaceDN w:val="0"/>
        <w:adjustRightInd w:val="0"/>
        <w:snapToGrid w:val="0"/>
        <w:spacing w:line="400" w:lineRule="exact"/>
        <w:jc w:val="left"/>
        <w:rPr>
          <w:rFonts w:hint="eastAsia" w:ascii="宋体" w:hAnsi="宋体" w:eastAsia="宋体"/>
          <w:b/>
          <w:kern w:val="2"/>
          <w:szCs w:val="22"/>
          <w:lang w:eastAsia="zh-CN"/>
        </w:rPr>
      </w:pPr>
      <w:r>
        <w:rPr>
          <w:rFonts w:hint="eastAsia" w:ascii="宋体" w:hAnsi="宋体" w:eastAsia="宋体" w:cstheme="minorBidi"/>
          <w:b/>
          <w:kern w:val="2"/>
          <w:szCs w:val="22"/>
          <w:lang w:eastAsia="zh-CN"/>
        </w:rPr>
        <w:t>合同变更、中止与终止</w:t>
      </w:r>
    </w:p>
    <w:p w14:paraId="7804C04F">
      <w:pPr>
        <w:widowControl w:val="0"/>
        <w:adjustRightInd w:val="0"/>
        <w:snapToGrid w:val="0"/>
        <w:spacing w:line="400" w:lineRule="exact"/>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16.1合同的变更</w:t>
      </w:r>
    </w:p>
    <w:p w14:paraId="5975EF55">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政府采购合同履行中，在不改变合同其他条款的前提下，甲方可以在合同价款10%的范围内追加与合同标的相同的货物，并就此与乙方协商一致后签订补充协议。</w:t>
      </w:r>
    </w:p>
    <w:p w14:paraId="69AE6F32">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16.2合同的中止</w:t>
      </w:r>
    </w:p>
    <w:p w14:paraId="099C742F">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（1）合同履行过程中因供应商就采购文件、采购过程或结果提起投诉的，甲方认为有必要的，可以中止合同的履行。</w:t>
      </w:r>
    </w:p>
    <w:p w14:paraId="1BE94190">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248B9E9">
      <w:pPr>
        <w:widowControl w:val="0"/>
        <w:autoSpaceDE w:val="0"/>
        <w:autoSpaceDN w:val="0"/>
        <w:adjustRightInd w:val="0"/>
        <w:spacing w:line="400" w:lineRule="exact"/>
        <w:ind w:firstLine="420" w:firstLineChars="200"/>
        <w:jc w:val="both"/>
        <w:rPr>
          <w:rFonts w:hint="eastAsia" w:ascii="华文楷体" w:hAnsi="华文楷体" w:eastAsia="华文楷体" w:cs="华文楷体"/>
          <w:kern w:val="2"/>
          <w:sz w:val="21"/>
          <w:szCs w:val="21"/>
          <w:lang w:eastAsia="zh-CN"/>
        </w:rPr>
      </w:pPr>
      <w:r>
        <w:rPr>
          <w:rFonts w:hint="eastAsia" w:ascii="宋体" w:hAnsi="宋体" w:eastAsia="宋体" w:cs="宋体"/>
          <w:kern w:val="2"/>
          <w:sz w:val="21"/>
          <w:szCs w:val="21"/>
          <w:lang w:eastAsia="zh-CN"/>
        </w:rPr>
        <w:t>（3）乙方分立、合并或者变更住所的，应当及时以书面形式告知甲方。乙方没有及时告知甲方，致使合同履行发生困难的，甲方可以中止合同履行并要求乙方承担由此给甲方造成的损失。</w:t>
      </w:r>
    </w:p>
    <w:p w14:paraId="573309E4">
      <w:pPr>
        <w:widowControl w:val="0"/>
        <w:snapToGrid w:val="0"/>
        <w:spacing w:line="400" w:lineRule="exact"/>
        <w:ind w:firstLine="420" w:firstLineChars="200"/>
        <w:jc w:val="left"/>
        <w:rPr>
          <w:rFonts w:ascii="Calibri" w:hAnsi="Calibri" w:eastAsia="宋体"/>
          <w:kern w:val="2"/>
          <w:sz w:val="21"/>
          <w:szCs w:val="22"/>
          <w:lang w:eastAsia="zh-CN"/>
        </w:rPr>
      </w:pPr>
      <w:r>
        <w:rPr>
          <w:rFonts w:hint="eastAsia" w:ascii="宋体" w:hAnsi="宋体" w:eastAsia="宋体" w:cstheme="minorBidi"/>
          <w:kern w:val="2"/>
          <w:sz w:val="21"/>
          <w:szCs w:val="21"/>
          <w:lang w:eastAsia="zh-CN"/>
        </w:rPr>
        <w:t>（4）甲方不得以行政区划调整、政府换届、机构或者职能调整以及相关责任人更替为由中止合同。</w:t>
      </w:r>
    </w:p>
    <w:p w14:paraId="17F20971">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16.3合同的终止</w:t>
      </w:r>
    </w:p>
    <w:p w14:paraId="07F6164D">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（1）合同因有效期限届满而终止；</w:t>
      </w:r>
    </w:p>
    <w:p w14:paraId="671869F7">
      <w:pPr>
        <w:widowControl w:val="0"/>
        <w:snapToGri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theme="minorBidi"/>
          <w:kern w:val="2"/>
          <w:sz w:val="21"/>
          <w:szCs w:val="21"/>
          <w:lang w:eastAsia="zh-CN"/>
        </w:rPr>
        <w:t>（2）乙方未按合同约定履行，构成根本性违约的，甲方有权终止合同，</w:t>
      </w:r>
      <w:r>
        <w:rPr>
          <w:rFonts w:hint="eastAsia" w:ascii="宋体" w:hAnsi="宋体" w:eastAsia="宋体" w:cs="宋体"/>
          <w:kern w:val="2"/>
          <w:sz w:val="21"/>
          <w:szCs w:val="21"/>
          <w:lang w:eastAsia="zh-CN"/>
        </w:rPr>
        <w:t>并追究乙方的违约责任</w:t>
      </w:r>
      <w:r>
        <w:rPr>
          <w:rFonts w:hint="eastAsia" w:ascii="宋体" w:hAnsi="宋体" w:eastAsia="宋体" w:cstheme="minorBidi"/>
          <w:kern w:val="2"/>
          <w:sz w:val="21"/>
          <w:szCs w:val="21"/>
          <w:lang w:eastAsia="zh-CN"/>
        </w:rPr>
        <w:t>。</w:t>
      </w:r>
    </w:p>
    <w:p w14:paraId="116DBD11">
      <w:pPr>
        <w:widowControl w:val="0"/>
        <w:autoSpaceDE w:val="0"/>
        <w:autoSpaceDN w:val="0"/>
        <w:adjustRightInd w:val="0"/>
        <w:spacing w:line="400" w:lineRule="exact"/>
        <w:ind w:firstLine="440" w:firstLineChars="200"/>
        <w:jc w:val="both"/>
        <w:rPr>
          <w:rFonts w:hint="eastAsia" w:ascii="宋体" w:hAnsi="宋体" w:eastAsia="华文楷体" w:cs="华文楷体"/>
          <w:kern w:val="2"/>
          <w:sz w:val="22"/>
          <w:szCs w:val="21"/>
          <w:lang w:eastAsia="zh-CN"/>
        </w:rPr>
      </w:pPr>
      <w:r>
        <w:rPr>
          <w:rFonts w:hint="eastAsia" w:ascii="宋体" w:hAnsi="宋体" w:eastAsia="华文楷体" w:cs="华文楷体"/>
          <w:kern w:val="2"/>
          <w:sz w:val="22"/>
          <w:szCs w:val="21"/>
          <w:lang w:eastAsia="zh-CN"/>
        </w:rPr>
        <w:t xml:space="preserve">16.4 </w:t>
      </w:r>
      <w:r>
        <w:rPr>
          <w:rFonts w:hint="eastAsia" w:ascii="宋体" w:hAnsi="宋体" w:eastAsia="宋体"/>
          <w:kern w:val="2"/>
          <w:sz w:val="21"/>
          <w:szCs w:val="21"/>
          <w:lang w:eastAsia="zh-CN"/>
        </w:rPr>
        <w:t>涉及国家利益、社会公共利益的情形</w:t>
      </w:r>
    </w:p>
    <w:p w14:paraId="088970B4">
      <w:pPr>
        <w:widowControl w:val="0"/>
        <w:autoSpaceDE w:val="0"/>
        <w:autoSpaceDN w:val="0"/>
        <w:adjustRightInd w:val="0"/>
        <w:spacing w:line="400" w:lineRule="exact"/>
        <w:ind w:firstLine="420" w:firstLineChars="200"/>
        <w:jc w:val="both"/>
        <w:rPr>
          <w:rFonts w:hint="eastAsia" w:ascii="华文楷体" w:hAnsi="华文楷体" w:eastAsia="华文楷体" w:cs="华文楷体"/>
          <w:kern w:val="2"/>
          <w:sz w:val="21"/>
          <w:szCs w:val="21"/>
          <w:lang w:eastAsia="zh-CN"/>
        </w:rPr>
      </w:pPr>
      <w:r>
        <w:rPr>
          <w:rFonts w:hint="eastAsia" w:ascii="宋体" w:hAnsi="宋体" w:eastAsia="宋体" w:cs="宋体"/>
          <w:kern w:val="2"/>
          <w:sz w:val="21"/>
          <w:szCs w:val="21"/>
          <w:lang w:eastAsia="zh-CN"/>
        </w:rPr>
        <w:t>政府采购合同继续履行将损害国家利益和社会公共利益的，双方当事人应当变更、中止或者终止合同。有过错的一方应当承担赔偿责任，双方都有过错的，各自承担相应的责任。</w:t>
      </w:r>
    </w:p>
    <w:p w14:paraId="164AC169">
      <w:pPr>
        <w:widowControl w:val="0"/>
        <w:autoSpaceDE w:val="0"/>
        <w:autoSpaceDN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17. 合同分包</w:t>
      </w:r>
    </w:p>
    <w:p w14:paraId="1183E992">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17.1 乙方不得将合同转包给其他供应商。涉及合同分包的，乙方应根据采购文件和投标（响应）文件规定进行合同分包。</w:t>
      </w:r>
    </w:p>
    <w:p w14:paraId="5E0DD4F4">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17.2 乙方执行政府采购政策向中小企业依法分包的，乙方应当按采购文件和投标（响应）文件签订分包意向协议，分包意向协议属于本合同组成部分。</w:t>
      </w:r>
    </w:p>
    <w:p w14:paraId="2B32B841">
      <w:pPr>
        <w:widowControl w:val="0"/>
        <w:autoSpaceDE w:val="0"/>
        <w:autoSpaceDN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18. 不可抗力</w:t>
      </w:r>
    </w:p>
    <w:p w14:paraId="2377C095">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18.1 不可抗力是指合同双方不能预见、不能避免且不能克服的客观情况。</w:t>
      </w:r>
    </w:p>
    <w:p w14:paraId="29AFD8F2">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18.2 任何一方对由于不可抗力造成的部分或全部不能履行合同不承担违约责任。但迟延履行后发生不可抗力的，不能免除责任。</w:t>
      </w:r>
    </w:p>
    <w:p w14:paraId="57898BF8">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D5931B4">
      <w:pPr>
        <w:widowControl w:val="0"/>
        <w:autoSpaceDE w:val="0"/>
        <w:autoSpaceDN w:val="0"/>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19. 解决争议的方法</w:t>
      </w:r>
    </w:p>
    <w:p w14:paraId="125A9166">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19.1 因本合同及合同有关事项发生的争议，由甲乙双方友好协商解决。协商不成时，可以向有关组织申请调解。合同一方或双方不愿调解或调解不成的，可以通过仲裁或诉讼的方式解决争议。</w:t>
      </w:r>
    </w:p>
    <w:p w14:paraId="1E203E3F">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19.2 选择仲裁的，应在</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中明确仲裁机构及仲裁地；通过诉讼方式解决的，可以在</w:t>
      </w:r>
      <w:r>
        <w:rPr>
          <w:rFonts w:hint="eastAsia" w:ascii="宋体" w:hAnsi="宋体" w:eastAsia="宋体" w:cs="宋体"/>
          <w:b/>
          <w:bCs/>
          <w:kern w:val="2"/>
          <w:sz w:val="21"/>
          <w:szCs w:val="21"/>
          <w:lang w:eastAsia="zh-CN"/>
        </w:rPr>
        <w:t>【政府采购合同专用条款】</w:t>
      </w:r>
      <w:r>
        <w:rPr>
          <w:rFonts w:hint="eastAsia" w:ascii="宋体" w:hAnsi="宋体" w:eastAsia="宋体" w:cs="宋体"/>
          <w:kern w:val="2"/>
          <w:sz w:val="21"/>
          <w:szCs w:val="21"/>
          <w:lang w:eastAsia="zh-CN"/>
        </w:rPr>
        <w:t>中进一步约定选择与争议有实际联系的地点的人民法院管辖，但管辖法院的约定不得违反级别管辖和专属管辖的规定。</w:t>
      </w:r>
    </w:p>
    <w:p w14:paraId="463E2F7E">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19.3 如甲乙双方有争议的事项不影响合同其他部分的履行，在争议解决期间，合同其他部分应当继续履行。</w:t>
      </w:r>
    </w:p>
    <w:p w14:paraId="6127E3E9">
      <w:pPr>
        <w:widowControl w:val="0"/>
        <w:autoSpaceDE w:val="0"/>
        <w:autoSpaceDN w:val="0"/>
        <w:adjustRightInd w:val="0"/>
        <w:snapToGrid w:val="0"/>
        <w:spacing w:line="400" w:lineRule="exact"/>
        <w:jc w:val="left"/>
        <w:rPr>
          <w:rFonts w:hint="eastAsia" w:ascii="宋体" w:hAnsi="宋体" w:eastAsia="宋体"/>
          <w:kern w:val="2"/>
          <w:szCs w:val="22"/>
          <w:lang w:eastAsia="zh-CN"/>
        </w:rPr>
      </w:pPr>
      <w:r>
        <w:rPr>
          <w:rFonts w:hint="eastAsia" w:ascii="宋体" w:hAnsi="宋体" w:eastAsia="宋体" w:cstheme="minorBidi"/>
          <w:b/>
          <w:kern w:val="2"/>
          <w:szCs w:val="22"/>
          <w:lang w:eastAsia="zh-CN"/>
        </w:rPr>
        <w:t>20. 政府采购政策</w:t>
      </w:r>
    </w:p>
    <w:p w14:paraId="16E8219C">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20.1 </w:t>
      </w:r>
      <w:r>
        <w:rPr>
          <w:rFonts w:hint="eastAsia" w:ascii="宋体" w:hAnsi="宋体" w:eastAsia="宋体" w:cs="宋体"/>
          <w:kern w:val="2"/>
          <w:sz w:val="21"/>
          <w:szCs w:val="22"/>
          <w:lang w:val="en-GB" w:eastAsia="zh-CN"/>
        </w:rPr>
        <w:t>本合同应当按照规定执行政府采购政策。</w:t>
      </w:r>
    </w:p>
    <w:p w14:paraId="065722D1">
      <w:pPr>
        <w:widowControl w:val="0"/>
        <w:autoSpaceDE w:val="0"/>
        <w:autoSpaceDN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0.2 本合同依法执行政府采购政策的方式和内容，属于合同履约验收的范围。</w:t>
      </w:r>
      <w:r>
        <w:rPr>
          <w:rFonts w:hint="eastAsia" w:ascii="宋体" w:hAnsi="宋体" w:eastAsia="宋体" w:cs="宋体"/>
          <w:kern w:val="2"/>
          <w:sz w:val="21"/>
          <w:szCs w:val="22"/>
          <w:lang w:eastAsia="zh-CN"/>
        </w:rPr>
        <w:t>甲乙双方</w:t>
      </w:r>
      <w:r>
        <w:rPr>
          <w:rFonts w:hint="eastAsia" w:ascii="宋体" w:hAnsi="宋体" w:eastAsia="宋体" w:cs="宋体"/>
          <w:kern w:val="2"/>
          <w:sz w:val="21"/>
          <w:szCs w:val="22"/>
          <w:lang w:val="en-GB" w:eastAsia="zh-CN"/>
        </w:rPr>
        <w:t>未按规定要求执行政府采购政策造成损失的</w:t>
      </w:r>
      <w:r>
        <w:rPr>
          <w:rFonts w:hint="eastAsia" w:ascii="宋体" w:hAnsi="宋体" w:eastAsia="宋体" w:cstheme="minorBidi"/>
          <w:kern w:val="2"/>
          <w:sz w:val="21"/>
          <w:szCs w:val="21"/>
          <w:lang w:eastAsia="zh-CN"/>
        </w:rPr>
        <w:t>，有过错的一方应当承担赔偿责任，双方都有过错的，各自承担相应的责任。</w:t>
      </w:r>
    </w:p>
    <w:p w14:paraId="5C5755E2">
      <w:pPr>
        <w:widowControl w:val="0"/>
        <w:spacing w:line="400" w:lineRule="exact"/>
        <w:ind w:firstLine="420" w:firstLineChars="200"/>
        <w:jc w:val="both"/>
        <w:rPr>
          <w:rFonts w:ascii="Calibri" w:hAnsi="Calibri" w:eastAsia="宋体"/>
          <w:kern w:val="2"/>
          <w:sz w:val="21"/>
          <w:szCs w:val="22"/>
          <w:lang w:eastAsia="zh-CN"/>
        </w:rPr>
      </w:pPr>
      <w:r>
        <w:rPr>
          <w:rFonts w:ascii="宋体" w:hAnsi="宋体" w:eastAsia="宋体"/>
          <w:kern w:val="2"/>
          <w:sz w:val="21"/>
          <w:szCs w:val="21"/>
          <w:lang w:eastAsia="zh-CN"/>
        </w:rPr>
        <w:t>2</w:t>
      </w:r>
      <w:r>
        <w:rPr>
          <w:rFonts w:hint="eastAsia" w:ascii="宋体" w:hAnsi="宋体" w:eastAsia="宋体"/>
          <w:kern w:val="2"/>
          <w:sz w:val="21"/>
          <w:szCs w:val="21"/>
          <w:lang w:eastAsia="zh-CN"/>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B49F8B7">
      <w:pPr>
        <w:widowControl w:val="0"/>
        <w:autoSpaceDE w:val="0"/>
        <w:autoSpaceDN w:val="0"/>
        <w:adjustRightInd w:val="0"/>
        <w:snapToGrid w:val="0"/>
        <w:spacing w:line="400" w:lineRule="exact"/>
        <w:jc w:val="left"/>
        <w:rPr>
          <w:rFonts w:hint="eastAsia" w:ascii="宋体" w:hAnsi="宋体" w:eastAsia="宋体"/>
          <w:b/>
          <w:kern w:val="2"/>
          <w:szCs w:val="22"/>
          <w:lang w:eastAsia="zh-CN"/>
        </w:rPr>
      </w:pPr>
      <w:r>
        <w:rPr>
          <w:rFonts w:hint="eastAsia" w:ascii="宋体" w:hAnsi="宋体" w:eastAsia="宋体" w:cstheme="minorBidi"/>
          <w:b/>
          <w:kern w:val="2"/>
          <w:szCs w:val="22"/>
          <w:lang w:eastAsia="zh-CN"/>
        </w:rPr>
        <w:t>21. 法律适用</w:t>
      </w:r>
    </w:p>
    <w:p w14:paraId="7D704328">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21.1 本合同的订立、生效、解释、履行及与本合同有关的争议解决，均适用法律、行政法规。</w:t>
      </w:r>
    </w:p>
    <w:p w14:paraId="6BCF8D55">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21.2 本合同条款与法律、行政法规的强制性规定不一致的，双方当事人应按照法律、行政法规的强制性规定修改本合同的相关条款。</w:t>
      </w:r>
    </w:p>
    <w:p w14:paraId="449D36DE">
      <w:pPr>
        <w:widowControl w:val="0"/>
        <w:numPr>
          <w:ilvl w:val="12"/>
          <w:numId w:val="0"/>
        </w:numPr>
        <w:autoSpaceDE w:val="0"/>
        <w:autoSpaceDN w:val="0"/>
        <w:adjustRightInd w:val="0"/>
        <w:snapToGrid w:val="0"/>
        <w:spacing w:line="400" w:lineRule="exact"/>
        <w:ind w:left="0" w:firstLine="0"/>
        <w:jc w:val="left"/>
        <w:rPr>
          <w:rFonts w:hint="eastAsia" w:ascii="宋体" w:hAnsi="宋体" w:eastAsia="宋体"/>
          <w:b/>
          <w:kern w:val="2"/>
          <w:szCs w:val="22"/>
          <w:lang w:eastAsia="zh-CN"/>
        </w:rPr>
      </w:pPr>
      <w:r>
        <w:rPr>
          <w:rFonts w:hint="eastAsia" w:ascii="宋体" w:hAnsi="宋体" w:eastAsia="宋体" w:cstheme="minorBidi"/>
          <w:b/>
          <w:kern w:val="2"/>
          <w:szCs w:val="22"/>
          <w:lang w:eastAsia="zh-CN"/>
        </w:rPr>
        <w:t>22. 通知</w:t>
      </w:r>
    </w:p>
    <w:p w14:paraId="3AFD3781">
      <w:pPr>
        <w:widowControl w:val="0"/>
        <w:autoSpaceDE w:val="0"/>
        <w:autoSpaceDN w:val="0"/>
        <w:adjustRightInd w:val="0"/>
        <w:spacing w:line="400" w:lineRule="exact"/>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22.1 本合同任何一方向对方发出的通知、信件、数据电文等，应当发送至本合同第一部分《政府采购合同协议书》所约定的通讯地址、联系人、联系电话或电子邮箱。</w:t>
      </w:r>
    </w:p>
    <w:p w14:paraId="70A48787">
      <w:pPr>
        <w:widowControl w:val="0"/>
        <w:autoSpaceDE w:val="0"/>
        <w:autoSpaceDN w:val="0"/>
        <w:adjustRightInd w:val="0"/>
        <w:spacing w:line="400" w:lineRule="exact"/>
        <w:jc w:val="both"/>
        <w:rPr>
          <w:rFonts w:hint="eastAsia" w:ascii="华文楷体" w:hAnsi="华文楷体" w:eastAsia="华文楷体" w:cs="华文楷体"/>
          <w:kern w:val="2"/>
          <w:sz w:val="21"/>
          <w:szCs w:val="21"/>
          <w:lang w:eastAsia="zh-CN"/>
        </w:rPr>
      </w:pPr>
      <w:r>
        <w:rPr>
          <w:rFonts w:hint="eastAsia" w:ascii="宋体" w:hAnsi="宋体" w:eastAsia="宋体" w:cs="宋体"/>
          <w:kern w:val="2"/>
          <w:sz w:val="21"/>
          <w:szCs w:val="21"/>
          <w:lang w:eastAsia="zh-CN"/>
        </w:rPr>
        <w:t xml:space="preserve">    22.2 一方当事人变更名称、住所、联系人、联系电话或电子邮箱等信息的，应当在变更后3日内及时书面通知对方，对方实际收到变更通知前的送达仍为有效送达。</w:t>
      </w:r>
    </w:p>
    <w:p w14:paraId="0A1FC200">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22.3本合同一方给另一方的通知均应采用书面形式，传真或快递送到本合同中规定的对方的地址和办理签收手续。</w:t>
      </w:r>
    </w:p>
    <w:p w14:paraId="6B0340DA">
      <w:pPr>
        <w:widowControl w:val="0"/>
        <w:adjustRightInd w:val="0"/>
        <w:snapToGrid w:val="0"/>
        <w:spacing w:line="400" w:lineRule="exact"/>
        <w:ind w:firstLine="420" w:firstLineChars="20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22.4通知以送达之日或通知书中规定的生效之日起生效，两者中以较迟之日为准。</w:t>
      </w:r>
    </w:p>
    <w:p w14:paraId="7AE506A9">
      <w:pPr>
        <w:widowControl w:val="0"/>
        <w:numPr>
          <w:ilvl w:val="0"/>
          <w:numId w:val="5"/>
        </w:numPr>
        <w:adjustRightInd w:val="0"/>
        <w:snapToGrid w:val="0"/>
        <w:spacing w:line="400" w:lineRule="exact"/>
        <w:jc w:val="left"/>
        <w:rPr>
          <w:rFonts w:hint="eastAsia" w:ascii="宋体" w:hAnsi="宋体" w:eastAsia="宋体"/>
          <w:b/>
          <w:bCs/>
          <w:kern w:val="2"/>
          <w:szCs w:val="22"/>
          <w:lang w:eastAsia="zh-CN"/>
        </w:rPr>
      </w:pPr>
      <w:r>
        <w:rPr>
          <w:rFonts w:hint="eastAsia" w:ascii="宋体" w:hAnsi="宋体" w:eastAsia="宋体" w:cstheme="minorBidi"/>
          <w:b/>
          <w:bCs/>
          <w:kern w:val="2"/>
          <w:szCs w:val="22"/>
          <w:lang w:eastAsia="zh-CN"/>
        </w:rPr>
        <w:t>合同未尽事项</w:t>
      </w:r>
    </w:p>
    <w:p w14:paraId="713DE1C9">
      <w:pPr>
        <w:widowControl w:val="0"/>
        <w:adjustRightInd w:val="0"/>
        <w:snapToGrid w:val="0"/>
        <w:spacing w:line="400" w:lineRule="exact"/>
        <w:ind w:firstLine="420" w:firstLineChars="200"/>
        <w:jc w:val="left"/>
        <w:rPr>
          <w:rFonts w:hint="eastAsia" w:ascii="宋体" w:hAnsi="宋体" w:eastAsia="宋体"/>
          <w:bCs/>
          <w:kern w:val="2"/>
          <w:sz w:val="21"/>
          <w:szCs w:val="21"/>
          <w:lang w:eastAsia="zh-CN"/>
        </w:rPr>
      </w:pPr>
      <w:r>
        <w:rPr>
          <w:rFonts w:hint="eastAsia" w:ascii="宋体" w:hAnsi="宋体" w:eastAsia="宋体" w:cstheme="minorBidi"/>
          <w:bCs/>
          <w:kern w:val="2"/>
          <w:sz w:val="21"/>
          <w:szCs w:val="21"/>
          <w:lang w:eastAsia="zh-CN"/>
        </w:rPr>
        <w:t>23.1合同未尽事项见</w:t>
      </w:r>
      <w:r>
        <w:rPr>
          <w:rFonts w:hint="eastAsia" w:ascii="宋体" w:hAnsi="宋体" w:eastAsia="宋体" w:cstheme="minorBidi"/>
          <w:b/>
          <w:kern w:val="2"/>
          <w:sz w:val="21"/>
          <w:szCs w:val="21"/>
          <w:lang w:eastAsia="zh-CN"/>
        </w:rPr>
        <w:t>【政府采购合同专用条款】</w:t>
      </w:r>
      <w:r>
        <w:rPr>
          <w:rFonts w:hint="eastAsia" w:ascii="宋体" w:hAnsi="宋体" w:eastAsia="宋体" w:cstheme="minorBidi"/>
          <w:bCs/>
          <w:kern w:val="2"/>
          <w:sz w:val="21"/>
          <w:szCs w:val="21"/>
          <w:lang w:eastAsia="zh-CN"/>
        </w:rPr>
        <w:t>。</w:t>
      </w:r>
    </w:p>
    <w:p w14:paraId="4D8D3CBA">
      <w:pPr>
        <w:widowControl w:val="0"/>
        <w:adjustRightInd w:val="0"/>
        <w:snapToGrid w:val="0"/>
        <w:spacing w:line="400" w:lineRule="exact"/>
        <w:jc w:val="left"/>
        <w:rPr>
          <w:rFonts w:hint="eastAsia" w:ascii="黑体" w:hAnsi="华文中宋" w:eastAsia="黑体"/>
          <w:kern w:val="2"/>
          <w:sz w:val="28"/>
          <w:szCs w:val="28"/>
          <w:lang w:eastAsia="zh-CN"/>
        </w:rPr>
      </w:pPr>
      <w:r>
        <w:rPr>
          <w:rFonts w:hint="eastAsia" w:ascii="宋体" w:hAnsi="宋体" w:eastAsia="宋体" w:cstheme="minorBidi"/>
          <w:bCs/>
          <w:kern w:val="2"/>
          <w:sz w:val="21"/>
          <w:szCs w:val="21"/>
          <w:lang w:eastAsia="zh-CN"/>
        </w:rPr>
        <w:t xml:space="preserve">    23.2 合同附件与合同正文具有同等的法律效力。</w:t>
      </w:r>
      <w:bookmarkStart w:id="50" w:name="_Toc20313"/>
    </w:p>
    <w:p w14:paraId="2831B75D">
      <w:pPr>
        <w:widowControl w:val="0"/>
        <w:adjustRightInd w:val="0"/>
        <w:snapToGrid w:val="0"/>
        <w:jc w:val="center"/>
        <w:rPr>
          <w:rFonts w:hint="eastAsia" w:ascii="黑体" w:hAnsi="华文中宋" w:eastAsia="黑体"/>
          <w:kern w:val="2"/>
          <w:sz w:val="28"/>
          <w:szCs w:val="28"/>
          <w:lang w:eastAsia="zh-CN"/>
        </w:rPr>
      </w:pPr>
      <w:r>
        <w:rPr>
          <w:rFonts w:hint="eastAsia" w:ascii="黑体" w:hAnsi="华文中宋" w:eastAsia="黑体" w:cstheme="minorBidi"/>
          <w:kern w:val="2"/>
          <w:sz w:val="28"/>
          <w:szCs w:val="28"/>
          <w:lang w:eastAsia="zh-CN"/>
        </w:rPr>
        <w:br w:type="page"/>
      </w:r>
    </w:p>
    <w:p w14:paraId="19EA2EAF">
      <w:pPr>
        <w:keepNext/>
        <w:keepLines/>
        <w:widowControl w:val="0"/>
        <w:adjustRightInd w:val="0"/>
        <w:snapToGrid w:val="0"/>
        <w:spacing w:line="360" w:lineRule="auto"/>
        <w:jc w:val="center"/>
        <w:outlineLvl w:val="1"/>
        <w:rPr>
          <w:rFonts w:hint="eastAsia" w:ascii="黑体" w:hAnsi="华文中宋" w:eastAsia="黑体"/>
          <w:kern w:val="2"/>
          <w:sz w:val="28"/>
          <w:szCs w:val="28"/>
          <w:lang w:eastAsia="zh-CN"/>
        </w:rPr>
      </w:pPr>
      <w:r>
        <w:rPr>
          <w:rFonts w:hint="eastAsia" w:ascii="黑体" w:hAnsi="华文中宋" w:eastAsia="黑体"/>
          <w:kern w:val="2"/>
          <w:sz w:val="28"/>
          <w:szCs w:val="28"/>
          <w:lang w:eastAsia="zh-CN"/>
        </w:rPr>
        <w:t>第三节 政府采购合同专用条款</w:t>
      </w:r>
      <w:bookmarkEnd w:id="50"/>
    </w:p>
    <w:p w14:paraId="065A7AFF">
      <w:pPr>
        <w:widowControl w:val="0"/>
        <w:jc w:val="both"/>
        <w:rPr>
          <w:rFonts w:ascii="Calibri" w:hAnsi="Calibri" w:eastAsia="宋体"/>
          <w:kern w:val="2"/>
          <w:sz w:val="21"/>
          <w:szCs w:val="22"/>
          <w:lang w:eastAsia="zh-CN"/>
        </w:rPr>
      </w:pPr>
    </w:p>
    <w:p w14:paraId="2B39DD31">
      <w:pPr>
        <w:keepNext/>
        <w:keepLines/>
        <w:widowControl w:val="0"/>
        <w:spacing w:before="340" w:after="78" w:afterLines="25" w:line="578" w:lineRule="auto"/>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第二册  通用条款（公开招标）</w:t>
      </w:r>
    </w:p>
    <w:p w14:paraId="08E7F4EA">
      <w:pPr>
        <w:keepNext/>
        <w:keepLines/>
        <w:widowControl w:val="0"/>
        <w:numPr>
          <w:ilvl w:val="0"/>
          <w:numId w:val="6"/>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bookmarkStart w:id="51" w:name="_Hlk72399513"/>
      <w:r>
        <w:rPr>
          <w:rFonts w:hint="eastAsia" w:ascii="Cambria" w:hAnsi="Cambria" w:eastAsia="宋体" w:cstheme="majorBidi"/>
          <w:b/>
          <w:bCs/>
          <w:kern w:val="2"/>
          <w:sz w:val="28"/>
          <w:szCs w:val="28"/>
          <w:lang w:eastAsia="zh-CN"/>
        </w:rPr>
        <w:t>总则</w:t>
      </w:r>
    </w:p>
    <w:bookmarkEnd w:id="51"/>
    <w:p w14:paraId="23230621">
      <w:pPr>
        <w:widowControl w:val="0"/>
        <w:jc w:val="both"/>
        <w:rPr>
          <w:rFonts w:hint="eastAsia" w:ascii="黑体" w:hAnsi="宋体" w:eastAsia="黑体"/>
          <w:kern w:val="2"/>
          <w:szCs w:val="22"/>
          <w:lang w:eastAsia="zh-CN"/>
        </w:rPr>
      </w:pPr>
      <w:bookmarkStart w:id="52" w:name="_Hlk72439706"/>
      <w:r>
        <w:rPr>
          <w:rFonts w:hint="eastAsia" w:ascii="黑体" w:hAnsi="宋体" w:eastAsia="黑体" w:cstheme="minorBidi"/>
          <w:kern w:val="2"/>
          <w:szCs w:val="22"/>
          <w:lang w:eastAsia="zh-CN"/>
        </w:rPr>
        <w:t>1. 通用条款说明</w:t>
      </w:r>
    </w:p>
    <w:p w14:paraId="0C86F25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1.1采购代理机构发出招标文件通用条款版本，列出深圳市政府采购项目进行招标采购所适用的通用条款内容。</w:t>
      </w:r>
      <w:bookmarkStart w:id="53" w:name="_Hlk72399729"/>
      <w:r>
        <w:rPr>
          <w:rFonts w:hint="eastAsia" w:ascii="宋体" w:hAnsi="宋体" w:eastAsia="宋体" w:cstheme="minorBidi"/>
          <w:kern w:val="2"/>
          <w:sz w:val="21"/>
          <w:szCs w:val="21"/>
          <w:lang w:eastAsia="zh-CN"/>
        </w:rPr>
        <w:t>如有需要，采购代理机构可以对通用条款的内容进行补充。</w:t>
      </w:r>
      <w:bookmarkEnd w:id="53"/>
    </w:p>
    <w:p w14:paraId="515F1DF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1.2招标文件分为第一册“专用条款”和第二册“通用条款”。</w:t>
      </w:r>
    </w:p>
    <w:p w14:paraId="04564880">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1.3“专用条款”是对本次采购项目的具体要求，包含招标公告、对通用条款的补充内容及其他关键信息、用户需求书、投标文件格式及附件、合同条款及格式等内容。</w:t>
      </w:r>
    </w:p>
    <w:p w14:paraId="687F445C">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1.4“通用条款”是适用于政府采购公开招标项目的基础性条款，具有普遍性和通用性。</w:t>
      </w:r>
    </w:p>
    <w:p w14:paraId="74E25D6F">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1.5 “专用条款”和“通用条款”表述不一致或有冲突时，以“专用条款”为准。</w:t>
      </w:r>
    </w:p>
    <w:p w14:paraId="63496A0D">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w:t>
      </w:r>
      <w:r>
        <w:rPr>
          <w:rFonts w:ascii="黑体" w:hAnsi="宋体" w:eastAsia="黑体" w:cstheme="minorBidi"/>
          <w:kern w:val="2"/>
          <w:szCs w:val="22"/>
          <w:lang w:eastAsia="zh-CN"/>
        </w:rPr>
        <w:t>．</w:t>
      </w:r>
      <w:r>
        <w:rPr>
          <w:rFonts w:hint="eastAsia" w:ascii="黑体" w:hAnsi="宋体" w:eastAsia="黑体" w:cstheme="minorBidi"/>
          <w:kern w:val="2"/>
          <w:szCs w:val="22"/>
          <w:lang w:eastAsia="zh-CN"/>
        </w:rPr>
        <w:t>招标说明</w:t>
      </w:r>
    </w:p>
    <w:p w14:paraId="207D309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本项目参照《深圳经济特区政府采购条例》、《深圳经济特区政府采购条例实施细则》及政府采购其他法律法规，通过公开招标方式确定中标供应商。</w:t>
      </w:r>
    </w:p>
    <w:p w14:paraId="6069DC52">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3．定义</w:t>
      </w:r>
    </w:p>
    <w:p w14:paraId="411EB729">
      <w:pPr>
        <w:widowControl w:val="0"/>
        <w:ind w:firstLine="420" w:firstLineChars="200"/>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招标文件中下列术语应解释为：</w:t>
      </w:r>
    </w:p>
    <w:p w14:paraId="5F6F3AB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“采购人”：指利用财政性资金依法进行政府采购的国家机关、事业单位、团体组织；</w:t>
      </w:r>
      <w:r>
        <w:rPr>
          <w:rFonts w:ascii="宋体" w:hAnsi="宋体" w:eastAsia="宋体" w:cstheme="minorBidi"/>
          <w:kern w:val="2"/>
          <w:sz w:val="21"/>
          <w:szCs w:val="21"/>
          <w:lang w:eastAsia="zh-CN"/>
        </w:rPr>
        <w:t xml:space="preserve"> </w:t>
      </w:r>
    </w:p>
    <w:p w14:paraId="17973DD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3.2 “采购代理机构”</w:t>
      </w:r>
      <w:r>
        <w:rPr>
          <w:rFonts w:hint="eastAsia" w:ascii="Arial" w:hAnsi="Arial" w:eastAsia="宋体" w:cs="Arial"/>
          <w:kern w:val="2"/>
          <w:sz w:val="21"/>
          <w:szCs w:val="21"/>
          <w:shd w:val="clear" w:color="auto" w:fill="FFFFFF"/>
          <w:lang w:eastAsia="zh-CN"/>
        </w:rPr>
        <w:t>是指市政府设立的，组织实施政府采购项目，并对政府采购活动提供服务的专门机构；</w:t>
      </w:r>
      <w:r>
        <w:rPr>
          <w:rFonts w:hint="eastAsia" w:ascii="宋体" w:hAnsi="宋体" w:eastAsia="宋体" w:cstheme="minorBidi"/>
          <w:kern w:val="2"/>
          <w:sz w:val="21"/>
          <w:szCs w:val="21"/>
          <w:lang w:eastAsia="zh-CN"/>
        </w:rPr>
        <w:t>本文件所述的“采购代理机构”</w:t>
      </w:r>
      <w:r>
        <w:rPr>
          <w:rFonts w:ascii="宋体" w:hAnsi="宋体" w:eastAsia="宋体" w:cstheme="minorBidi"/>
          <w:kern w:val="2"/>
          <w:sz w:val="21"/>
          <w:szCs w:val="21"/>
          <w:lang w:eastAsia="zh-CN"/>
        </w:rPr>
        <w:t>指</w:t>
      </w:r>
      <w:r>
        <w:rPr>
          <w:rFonts w:hint="eastAsia" w:ascii="宋体" w:hAnsi="宋体" w:eastAsia="宋体" w:cstheme="minorBidi"/>
          <w:b/>
          <w:bCs/>
          <w:kern w:val="2"/>
          <w:sz w:val="21"/>
          <w:szCs w:val="21"/>
          <w:lang w:eastAsia="zh-CN"/>
        </w:rPr>
        <w:t>深圳市拓泰实业有限公司</w:t>
      </w:r>
      <w:r>
        <w:rPr>
          <w:rFonts w:hint="eastAsia" w:ascii="宋体" w:hAnsi="宋体" w:eastAsia="宋体" w:cstheme="minorBidi"/>
          <w:kern w:val="2"/>
          <w:sz w:val="21"/>
          <w:szCs w:val="21"/>
          <w:lang w:eastAsia="zh-CN"/>
        </w:rPr>
        <w:t>；</w:t>
      </w:r>
    </w:p>
    <w:p w14:paraId="00839C84">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3.3“投标人”，即供应商，指参加投标竞争并愿意按照招标文件要求向采购人提供货物、工程或者服务的依法成立的法人、其他组织或者自然人；</w:t>
      </w:r>
    </w:p>
    <w:p w14:paraId="53B2E12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3.4“评审委员会”是依据《深圳经济特区政府采购条例》、《深圳经济特区政府采购条例实施细则》等有关规定组建的专门负责本次招标其评审工作的临时性机构；</w:t>
      </w:r>
    </w:p>
    <w:p w14:paraId="64278A2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3.5“日期”</w:t>
      </w:r>
      <w:r>
        <w:rPr>
          <w:rFonts w:ascii="宋体" w:hAnsi="宋体" w:eastAsia="宋体" w:cstheme="minorBidi"/>
          <w:kern w:val="2"/>
          <w:sz w:val="21"/>
          <w:szCs w:val="21"/>
          <w:lang w:eastAsia="zh-CN"/>
        </w:rPr>
        <w:t>指</w:t>
      </w:r>
      <w:r>
        <w:rPr>
          <w:rFonts w:hint="eastAsia" w:ascii="宋体" w:hAnsi="宋体" w:eastAsia="宋体" w:cstheme="minorBidi"/>
          <w:kern w:val="2"/>
          <w:sz w:val="21"/>
          <w:szCs w:val="21"/>
          <w:lang w:eastAsia="zh-CN"/>
        </w:rPr>
        <w:t>公历日；</w:t>
      </w:r>
    </w:p>
    <w:p w14:paraId="6F3A9924">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3.6“合同”指由本次招标所产生的合同或合约文件；</w:t>
      </w:r>
    </w:p>
    <w:p w14:paraId="3C08FA0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3.7“电子投标文件”指利用</w:t>
      </w:r>
      <w:r>
        <w:rPr>
          <w:rFonts w:hint="eastAsia" w:ascii="宋体" w:hAnsi="宋体" w:eastAsia="宋体" w:cstheme="minorBidi"/>
          <w:b/>
          <w:bCs/>
          <w:color w:val="FF0000"/>
          <w:kern w:val="2"/>
          <w:sz w:val="21"/>
          <w:szCs w:val="21"/>
          <w:lang w:eastAsia="zh-CN"/>
        </w:rPr>
        <w:t>深圳公共资源交易中心</w:t>
      </w:r>
      <w:r>
        <w:rPr>
          <w:rFonts w:hint="eastAsia" w:ascii="宋体" w:hAnsi="宋体" w:eastAsia="宋体" w:cstheme="minorBidi"/>
          <w:kern w:val="2"/>
          <w:sz w:val="21"/>
          <w:szCs w:val="21"/>
          <w:lang w:eastAsia="zh-CN"/>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14:paraId="450DCC6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3.8“网上投标”指通过</w:t>
      </w:r>
      <w:r>
        <w:rPr>
          <w:rFonts w:hint="eastAsia" w:ascii="宋体" w:hAnsi="宋体" w:eastAsia="宋体" w:cstheme="minorBidi"/>
          <w:b/>
          <w:bCs/>
          <w:color w:val="FF0000"/>
          <w:kern w:val="2"/>
          <w:sz w:val="21"/>
          <w:szCs w:val="21"/>
          <w:lang w:eastAsia="zh-CN"/>
        </w:rPr>
        <w:t>深圳公共资源交易中心</w:t>
      </w:r>
      <w:r>
        <w:rPr>
          <w:rFonts w:hint="eastAsia" w:ascii="宋体" w:hAnsi="宋体" w:eastAsia="宋体" w:cstheme="minorBidi"/>
          <w:kern w:val="2"/>
          <w:sz w:val="21"/>
          <w:szCs w:val="21"/>
          <w:lang w:eastAsia="zh-CN"/>
        </w:rPr>
        <w:t>网站上传电子投标文件；</w:t>
      </w:r>
    </w:p>
    <w:p w14:paraId="2DDE303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3.9招标文件中的标题或题名仅起引导作用，而不应视为对招标文件内容的理解和解释。</w:t>
      </w:r>
    </w:p>
    <w:p w14:paraId="1EBA86C1">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 xml:space="preserve">4. </w:t>
      </w:r>
      <w:bookmarkStart w:id="54" w:name="_Hlk72398643"/>
      <w:r>
        <w:rPr>
          <w:rFonts w:hint="eastAsia" w:ascii="黑体" w:hAnsi="宋体" w:eastAsia="黑体" w:cstheme="minorBidi"/>
          <w:kern w:val="2"/>
          <w:szCs w:val="22"/>
          <w:lang w:eastAsia="zh-CN"/>
        </w:rPr>
        <w:t>政府采购供应商责任</w:t>
      </w:r>
    </w:p>
    <w:p w14:paraId="382B5F5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4.1欢迎诚信、有实力和有社会责任心的供应商参与政府采购事业。</w:t>
      </w:r>
    </w:p>
    <w:p w14:paraId="1CDEFFB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14:paraId="2682ACC9">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5．投标人参加政府采购的条件</w:t>
      </w:r>
    </w:p>
    <w:p w14:paraId="6D71B04A">
      <w:pPr>
        <w:widowControl w:val="0"/>
        <w:ind w:firstLine="411" w:firstLineChars="196"/>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5.1投标人应在投标前到</w:t>
      </w:r>
      <w:r>
        <w:rPr>
          <w:rFonts w:hint="eastAsia" w:ascii="宋体" w:hAnsi="宋体" w:eastAsia="宋体" w:cstheme="minorBidi"/>
          <w:b/>
          <w:bCs/>
          <w:kern w:val="2"/>
          <w:sz w:val="21"/>
          <w:szCs w:val="21"/>
          <w:lang w:eastAsia="zh-CN"/>
        </w:rPr>
        <w:t>深圳公共资源交易中心（具体在深圳交易集团有限公司政府采购业务分公司进行办理）</w:t>
      </w:r>
      <w:r>
        <w:rPr>
          <w:rFonts w:hint="eastAsia" w:ascii="宋体" w:hAnsi="宋体" w:eastAsia="宋体" w:cstheme="minorBidi"/>
          <w:kern w:val="2"/>
          <w:sz w:val="21"/>
          <w:szCs w:val="21"/>
          <w:lang w:eastAsia="zh-CN"/>
        </w:rPr>
        <w:t>进行注册并办理电子密钥。《供应商注册及信息变更指引》详见www.szggzy.com网站“交易服务指南-政府采购”。</w:t>
      </w:r>
    </w:p>
    <w:p w14:paraId="6A9A07A0">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5.2投标人资格要求</w:t>
      </w:r>
    </w:p>
    <w:p w14:paraId="7547579C">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参加本项目的投标人应具备的资格条件详见本项目招标公告中 “投标人资格要求”（即申请人的资格要求）的内容。</w:t>
      </w:r>
    </w:p>
    <w:p w14:paraId="3F6ECF7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5.3联合体投标</w:t>
      </w:r>
    </w:p>
    <w:p w14:paraId="0A9C3F6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5.3.1　以下有关联合体投标的条款仅适用于允许投标人组成联合体投标的项目。</w:t>
      </w:r>
    </w:p>
    <w:p w14:paraId="004F82B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5.3.2  由两个或两个以上的自然人、法人或者其他组织可以组成一个联合体，以一个供应商的身份共同投标时，应符合以下原则：</w:t>
      </w:r>
    </w:p>
    <w:p w14:paraId="17F92978">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（1）投标联合体各方参加政府采购活动应当具备下列条件：</w:t>
      </w:r>
      <w:r>
        <w:rPr>
          <w:rFonts w:ascii="宋体" w:hAnsi="宋体" w:eastAsia="宋体" w:cstheme="minorBidi"/>
          <w:kern w:val="2"/>
          <w:sz w:val="21"/>
          <w:szCs w:val="22"/>
          <w:lang w:eastAsia="zh-CN"/>
        </w:rPr>
        <w:t xml:space="preserve"> </w:t>
      </w:r>
    </w:p>
    <w:p w14:paraId="4B762522">
      <w:pPr>
        <w:widowControl w:val="0"/>
        <w:ind w:left="480" w:leftChars="2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1、具有独立承担民事责任的能力；</w:t>
      </w:r>
      <w:r>
        <w:rPr>
          <w:rFonts w:ascii="宋体" w:hAnsi="宋体" w:eastAsia="宋体" w:cstheme="minorBidi"/>
          <w:kern w:val="2"/>
          <w:sz w:val="21"/>
          <w:szCs w:val="22"/>
          <w:lang w:eastAsia="zh-CN"/>
        </w:rPr>
        <w:t xml:space="preserve"> </w:t>
      </w:r>
    </w:p>
    <w:p w14:paraId="50577749">
      <w:pPr>
        <w:widowControl w:val="0"/>
        <w:ind w:left="42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2、有良好的商业信誉和健全的财务会计制度；</w:t>
      </w:r>
      <w:r>
        <w:rPr>
          <w:rFonts w:ascii="宋体" w:hAnsi="宋体" w:eastAsia="宋体" w:cstheme="minorBidi"/>
          <w:kern w:val="2"/>
          <w:sz w:val="21"/>
          <w:szCs w:val="22"/>
          <w:lang w:eastAsia="zh-CN"/>
        </w:rPr>
        <w:t xml:space="preserve"> </w:t>
      </w:r>
    </w:p>
    <w:p w14:paraId="4F8505FE">
      <w:pPr>
        <w:widowControl w:val="0"/>
        <w:ind w:left="480" w:leftChars="2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3、具有履行合同所必需的设备和专业技术能力；</w:t>
      </w:r>
      <w:r>
        <w:rPr>
          <w:rFonts w:ascii="宋体" w:hAnsi="宋体" w:eastAsia="宋体" w:cstheme="minorBidi"/>
          <w:kern w:val="2"/>
          <w:sz w:val="21"/>
          <w:szCs w:val="22"/>
          <w:lang w:eastAsia="zh-CN"/>
        </w:rPr>
        <w:t xml:space="preserve"> </w:t>
      </w:r>
    </w:p>
    <w:p w14:paraId="0F9B7430">
      <w:pPr>
        <w:widowControl w:val="0"/>
        <w:ind w:left="480" w:leftChars="2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4、有依法缴纳税收和社会保障资金的良好记录；</w:t>
      </w:r>
      <w:r>
        <w:rPr>
          <w:rFonts w:ascii="宋体" w:hAnsi="宋体" w:eastAsia="宋体" w:cstheme="minorBidi"/>
          <w:kern w:val="2"/>
          <w:sz w:val="21"/>
          <w:szCs w:val="22"/>
          <w:lang w:eastAsia="zh-CN"/>
        </w:rPr>
        <w:t xml:space="preserve"> </w:t>
      </w:r>
    </w:p>
    <w:p w14:paraId="3E6CADB9">
      <w:pPr>
        <w:widowControl w:val="0"/>
        <w:ind w:left="480" w:leftChars="2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5、参加政府采购活动前三年内，在经营活动中没有重大违法记录；</w:t>
      </w:r>
      <w:r>
        <w:rPr>
          <w:rFonts w:ascii="宋体" w:hAnsi="宋体" w:eastAsia="宋体" w:cstheme="minorBidi"/>
          <w:kern w:val="2"/>
          <w:sz w:val="21"/>
          <w:szCs w:val="22"/>
          <w:lang w:eastAsia="zh-CN"/>
        </w:rPr>
        <w:t xml:space="preserve"> </w:t>
      </w:r>
    </w:p>
    <w:p w14:paraId="169E60FE">
      <w:pPr>
        <w:widowControl w:val="0"/>
        <w:ind w:left="480" w:leftChars="2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6、法律、行政法规规定的其他条件。</w:t>
      </w:r>
      <w:r>
        <w:rPr>
          <w:rFonts w:ascii="宋体" w:hAnsi="宋体" w:eastAsia="宋体" w:cstheme="minorBidi"/>
          <w:kern w:val="2"/>
          <w:sz w:val="21"/>
          <w:szCs w:val="22"/>
          <w:lang w:eastAsia="zh-CN"/>
        </w:rPr>
        <w:t xml:space="preserve"> </w:t>
      </w:r>
    </w:p>
    <w:p w14:paraId="4A691E48">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（2）在投标截止前，投标联合体各方均应注册成采购代理机构供应商；</w:t>
      </w:r>
    </w:p>
    <w:p w14:paraId="4DE9D3FA">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（3）联合体中有同类资质的供应商按照联合体分工承担相同工作的，应当按照资质等级较低的供应商确定资质等级；</w:t>
      </w:r>
    </w:p>
    <w:p w14:paraId="0EADF777">
      <w:pPr>
        <w:widowControl w:val="0"/>
        <w:ind w:firstLine="411" w:firstLineChars="196"/>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（4）是否允许联合体参加投标，应当由采购人和采购代理机构根据项目的实际情况和潜在供应商的数量自主决定，如果决定接受联合体投标则应当在招标公告中明示；</w:t>
      </w:r>
    </w:p>
    <w:p w14:paraId="28CD55C1">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（5）投标人的投标文件及中标后签署的合同协议对联合体各方均具法律约束力；</w:t>
      </w:r>
    </w:p>
    <w:p w14:paraId="31B5D8C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（6）联合体各方应当签订联合体投标协议，明确约定各方拟承担的工作和责任，并将该协议随投标文件一并递交给采购代理机构；</w:t>
      </w:r>
    </w:p>
    <w:p w14:paraId="5DA0F7D9">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（7）联合体中标后，联合体各方应当共同与采购人签订合同，就中标项目向采购人承担连带责任；</w:t>
      </w:r>
    </w:p>
    <w:p w14:paraId="78C9E8D5">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93294A1">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2"/>
          <w:lang w:eastAsia="zh-CN"/>
        </w:rPr>
        <w:t>（9）本通用条款中“投标人”一词亦指联合体各方，专用条款另有规定或说明的除外。</w:t>
      </w:r>
    </w:p>
    <w:p w14:paraId="0221E591">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6．政策导向</w:t>
      </w:r>
    </w:p>
    <w:p w14:paraId="1816619A">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6.1</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政府采购支持本国产品、支持中小企业、监狱企业和残疾人福利性单位发展，支持乡村产业振兴，支持创新、节能减排、绿色环保等。</w:t>
      </w:r>
    </w:p>
    <w:p w14:paraId="67E6A3AF">
      <w:pPr>
        <w:widowControl w:val="0"/>
        <w:ind w:firstLine="405"/>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6.2</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本项目落实深圳市政府采购供应商诚信管理政策要求。</w:t>
      </w:r>
    </w:p>
    <w:p w14:paraId="6B09ECC2">
      <w:pPr>
        <w:widowControl w:val="0"/>
        <w:ind w:firstLine="405"/>
        <w:jc w:val="both"/>
        <w:rPr>
          <w:rFonts w:ascii="Calibri" w:hAnsi="Calibri" w:eastAsia="宋体"/>
          <w:kern w:val="2"/>
          <w:sz w:val="21"/>
          <w:szCs w:val="22"/>
          <w:lang w:eastAsia="zh-CN"/>
        </w:rPr>
      </w:pPr>
      <w:r>
        <w:rPr>
          <w:rFonts w:hint="eastAsia" w:ascii="宋体" w:hAnsi="宋体" w:eastAsia="宋体" w:cstheme="minorBidi"/>
          <w:kern w:val="2"/>
          <w:sz w:val="21"/>
          <w:szCs w:val="22"/>
          <w:lang w:eastAsia="zh-CN"/>
        </w:rPr>
        <w:t>6.3  本项目支持投标人性别平等的相关政策。</w:t>
      </w:r>
    </w:p>
    <w:p w14:paraId="06169B73">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7. 本项目若涉及采购货物，则合格的货物及相应服务应满足以下要求：</w:t>
      </w:r>
    </w:p>
    <w:p w14:paraId="1F9D7C4D">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 xml:space="preserve">.1  </w:t>
      </w:r>
      <w:r>
        <w:rPr>
          <w:rFonts w:hint="eastAsia" w:ascii="宋体" w:hAnsi="宋体" w:eastAsia="宋体" w:cstheme="minorBidi"/>
          <w:kern w:val="2"/>
          <w:sz w:val="21"/>
          <w:szCs w:val="22"/>
          <w:lang w:eastAsia="zh-CN"/>
        </w:rPr>
        <w:t>必须是全新、未使用过的原装合格正品（包括零部件），如安装或配置了软件的，须为正版软件。</w:t>
      </w:r>
    </w:p>
    <w:p w14:paraId="2227BF2C">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7.2  国产的货物及其有关服务必须符合中华人民共和国的设计、制造生产标准及行业标准。招标公告有其他要求的，亦应符合其要求。</w:t>
      </w:r>
    </w:p>
    <w:p w14:paraId="35094775">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71C9678">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4</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投标人</w:t>
      </w:r>
      <w:bookmarkStart w:id="55" w:name="_Hlk72152753"/>
      <w:r>
        <w:rPr>
          <w:rFonts w:hint="eastAsia" w:ascii="宋体" w:hAnsi="宋体" w:eastAsia="宋体" w:cstheme="minorBidi"/>
          <w:kern w:val="2"/>
          <w:sz w:val="21"/>
          <w:szCs w:val="22"/>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5"/>
    </w:p>
    <w:p w14:paraId="4C89E7C3">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6745283">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7.6  工期要求：投标人在投标时对其所投项目应提交交货进度、交货计划等，在合同规定的时间内完成项目实施工作。</w:t>
      </w:r>
    </w:p>
    <w:p w14:paraId="4B7AAEA6">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7.7  投标人必须承担的设备运输、安装调试、验收检测和提供设备操作说明书、图纸等其他相关及类似的义务。</w:t>
      </w:r>
    </w:p>
    <w:p w14:paraId="576CE83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8．投标费用</w:t>
      </w:r>
    </w:p>
    <w:p w14:paraId="2C2B9BC4">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不论投标结果如何，投标人应承担其编制投标文件与递交投标文件所涉及的一切费用。</w:t>
      </w:r>
    </w:p>
    <w:p w14:paraId="47577CB0">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9．踏勘现场</w:t>
      </w:r>
    </w:p>
    <w:p w14:paraId="03A813F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5302155D">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9.2投标人及其人员经过采购人的允许，可以进入采购人的项目现场踏勘。若招标文件要求投标人于统一时间地点踏勘现场的，投标人应当按时前往。</w:t>
      </w:r>
    </w:p>
    <w:p w14:paraId="7A3FE09E">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9.3采购人应当通过采购代理机构向投标人提供有关现场的书面资料和数据。</w:t>
      </w:r>
    </w:p>
    <w:p w14:paraId="3454CC43">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9.4任何人或任何组织在踏勘现场时向投标人提供的任何书面资料或口头承诺，未经采购代理机构在网上发布或书面通知，均作无效处理。</w:t>
      </w:r>
    </w:p>
    <w:p w14:paraId="26E0DD01">
      <w:pPr>
        <w:widowControl w:val="0"/>
        <w:ind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1"/>
          <w:lang w:eastAsia="zh-CN"/>
        </w:rPr>
        <w:t>9</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5</w:t>
      </w:r>
      <w:r>
        <w:rPr>
          <w:rFonts w:hint="eastAsia" w:ascii="宋体" w:hAnsi="宋体" w:eastAsia="宋体" w:cstheme="minorBidi"/>
          <w:kern w:val="2"/>
          <w:sz w:val="21"/>
          <w:szCs w:val="21"/>
          <w:lang w:eastAsia="zh-CN"/>
        </w:rPr>
        <w:t>未参与踏勘现场不作为否定投标人资格的理由。</w:t>
      </w:r>
    </w:p>
    <w:p w14:paraId="40232169">
      <w:pPr>
        <w:widowControl w:val="0"/>
        <w:jc w:val="both"/>
        <w:rPr>
          <w:rFonts w:hint="eastAsia" w:ascii="宋体" w:hAnsi="宋体" w:eastAsia="宋体"/>
          <w:kern w:val="2"/>
          <w:sz w:val="21"/>
          <w:szCs w:val="21"/>
          <w:lang w:eastAsia="zh-CN"/>
        </w:rPr>
      </w:pPr>
      <w:r>
        <w:rPr>
          <w:rFonts w:hint="eastAsia" w:ascii="黑体" w:hAnsi="宋体" w:eastAsia="黑体" w:cstheme="minorBidi"/>
          <w:kern w:val="2"/>
          <w:szCs w:val="22"/>
          <w:lang w:eastAsia="zh-CN"/>
        </w:rPr>
        <w:t>1</w:t>
      </w:r>
      <w:r>
        <w:rPr>
          <w:rFonts w:ascii="黑体" w:hAnsi="宋体" w:eastAsia="黑体" w:cstheme="minorBidi"/>
          <w:kern w:val="2"/>
          <w:szCs w:val="22"/>
          <w:lang w:eastAsia="zh-CN"/>
        </w:rPr>
        <w:t>0</w:t>
      </w:r>
      <w:r>
        <w:rPr>
          <w:rFonts w:hint="eastAsia" w:ascii="黑体" w:hAnsi="宋体" w:eastAsia="黑体" w:cstheme="minorBidi"/>
          <w:kern w:val="2"/>
          <w:szCs w:val="22"/>
          <w:lang w:eastAsia="zh-CN"/>
        </w:rPr>
        <w:t>．标前会议</w:t>
      </w:r>
    </w:p>
    <w:p w14:paraId="6428D76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如采购人或采购代理机构认为有必要组织标前会议，投标人应按照招标文件规定的时间或采购代理机构另行书面通知（包括采购代理机构网站发布方式，如更正公告等）的时间和地点，参与标前会议。</w:t>
      </w:r>
    </w:p>
    <w:p w14:paraId="3B320A46">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2"/>
          <w:lang w:eastAsia="zh-CN"/>
        </w:rPr>
        <w:t>10</w:t>
      </w:r>
      <w:r>
        <w:rPr>
          <w:rFonts w:hint="eastAsia" w:ascii="宋体" w:hAnsi="宋体" w:eastAsia="宋体" w:cstheme="minorBidi"/>
          <w:kern w:val="2"/>
          <w:sz w:val="21"/>
          <w:szCs w:val="22"/>
          <w:lang w:eastAsia="zh-CN"/>
        </w:rPr>
        <w:t>.</w:t>
      </w: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任何人或任何组织在标前会议时向投标人提供的任何书面资料或口头承诺，未经采购代理机构在网上发布或书面通知，均作无效处理。</w:t>
      </w:r>
    </w:p>
    <w:p w14:paraId="3A8AB15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未参与标前会议不作为否定投标人资格的理由。</w:t>
      </w:r>
    </w:p>
    <w:bookmarkEnd w:id="54"/>
    <w:p w14:paraId="04247DEC">
      <w:pPr>
        <w:widowControl w:val="0"/>
        <w:ind w:firstLine="411" w:firstLineChars="196"/>
        <w:jc w:val="both"/>
        <w:rPr>
          <w:rFonts w:hint="eastAsia" w:ascii="宋体" w:hAnsi="宋体" w:eastAsia="宋体"/>
          <w:kern w:val="2"/>
          <w:sz w:val="21"/>
          <w:szCs w:val="22"/>
          <w:lang w:eastAsia="zh-CN"/>
        </w:rPr>
      </w:pPr>
    </w:p>
    <w:p w14:paraId="589D2C5F">
      <w:pPr>
        <w:keepNext/>
        <w:keepLines/>
        <w:widowControl w:val="0"/>
        <w:numPr>
          <w:ilvl w:val="0"/>
          <w:numId w:val="7"/>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招标文件</w:t>
      </w:r>
    </w:p>
    <w:p w14:paraId="6F9AEBD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w:t>
      </w:r>
      <w:r>
        <w:rPr>
          <w:rFonts w:ascii="黑体" w:hAnsi="宋体" w:eastAsia="黑体" w:cstheme="minorBidi"/>
          <w:kern w:val="2"/>
          <w:szCs w:val="22"/>
          <w:lang w:eastAsia="zh-CN"/>
        </w:rPr>
        <w:t>1</w:t>
      </w:r>
      <w:r>
        <w:rPr>
          <w:rFonts w:hint="eastAsia" w:ascii="黑体" w:hAnsi="宋体" w:eastAsia="黑体" w:cstheme="minorBidi"/>
          <w:kern w:val="2"/>
          <w:szCs w:val="22"/>
          <w:lang w:eastAsia="zh-CN"/>
        </w:rPr>
        <w:t>．</w:t>
      </w:r>
      <w:bookmarkStart w:id="56" w:name="_Hlk72399819"/>
      <w:r>
        <w:rPr>
          <w:rFonts w:hint="eastAsia" w:ascii="黑体" w:hAnsi="宋体" w:eastAsia="黑体" w:cstheme="minorBidi"/>
          <w:kern w:val="2"/>
          <w:szCs w:val="22"/>
          <w:lang w:eastAsia="zh-CN"/>
        </w:rPr>
        <w:t>招标文件的编制与组成</w:t>
      </w:r>
    </w:p>
    <w:p w14:paraId="119A5957">
      <w:pPr>
        <w:widowControl w:val="0"/>
        <w:snapToGrid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.1招标文件除以下内容外，采购代理机构在招标期间发出的澄清或修改等相关公告或通知内容，均是招标文件的组成部分，对投标人起约束作用；</w:t>
      </w:r>
    </w:p>
    <w:p w14:paraId="403B86C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招标文件包括下列内容：</w:t>
      </w:r>
    </w:p>
    <w:p w14:paraId="09EEBF31">
      <w:pPr>
        <w:widowControl w:val="0"/>
        <w:ind w:left="480" w:leftChars="200" w:firstLine="413" w:firstLineChars="196"/>
        <w:jc w:val="both"/>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第一册  专用条款</w:t>
      </w:r>
    </w:p>
    <w:p w14:paraId="27618089">
      <w:pPr>
        <w:widowControl w:val="0"/>
        <w:ind w:left="1234" w:leftChars="514"/>
        <w:jc w:val="both"/>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关键信息</w:t>
      </w:r>
    </w:p>
    <w:p w14:paraId="47091B7C">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第一章  招标公告</w:t>
      </w:r>
    </w:p>
    <w:p w14:paraId="34E696C3">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第二章  对通用条款的补充内容及其他关键信息</w:t>
      </w:r>
    </w:p>
    <w:p w14:paraId="32FB7CCF">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第三章  用户需求书</w:t>
      </w:r>
    </w:p>
    <w:p w14:paraId="484719FE">
      <w:pPr>
        <w:widowControl w:val="0"/>
        <w:ind w:left="720" w:leftChars="300" w:firstLine="411" w:firstLineChars="196"/>
        <w:jc w:val="both"/>
        <w:rPr>
          <w:rFonts w:hint="eastAsia" w:ascii="宋体" w:hAnsi="宋体" w:eastAsia="宋体"/>
          <w:kern w:val="2"/>
          <w:sz w:val="21"/>
          <w:szCs w:val="21"/>
          <w:lang w:eastAsia="zh-CN"/>
        </w:rPr>
      </w:pPr>
      <w:r>
        <w:rPr>
          <w:rFonts w:hint="eastAsia" w:ascii="Calibri" w:hAnsi="Calibri" w:eastAsia="宋体" w:cstheme="minorBidi"/>
          <w:kern w:val="2"/>
          <w:sz w:val="21"/>
          <w:szCs w:val="22"/>
          <w:lang w:eastAsia="zh-CN"/>
        </w:rPr>
        <w:t xml:space="preserve">第四章 </w:t>
      </w:r>
      <w:r>
        <w:rPr>
          <w:rFonts w:ascii="Calibri" w:hAnsi="Calibri" w:eastAsia="宋体" w:cstheme="minorBidi"/>
          <w:kern w:val="2"/>
          <w:sz w:val="21"/>
          <w:szCs w:val="22"/>
          <w:lang w:eastAsia="zh-CN"/>
        </w:rPr>
        <w:t xml:space="preserve"> </w:t>
      </w:r>
      <w:r>
        <w:rPr>
          <w:rFonts w:hint="eastAsia" w:ascii="Calibri" w:hAnsi="Calibri" w:eastAsia="宋体" w:cstheme="minorBidi"/>
          <w:kern w:val="2"/>
          <w:sz w:val="21"/>
          <w:szCs w:val="22"/>
          <w:lang w:eastAsia="zh-CN"/>
        </w:rPr>
        <w:t>投标文件格式及附件</w:t>
      </w:r>
    </w:p>
    <w:p w14:paraId="2AF6EBEB">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第五章  合同条款及格式</w:t>
      </w:r>
    </w:p>
    <w:p w14:paraId="6CEAFC0D">
      <w:pPr>
        <w:widowControl w:val="0"/>
        <w:ind w:left="480" w:leftChars="200" w:firstLine="413" w:firstLineChars="196"/>
        <w:jc w:val="both"/>
        <w:rPr>
          <w:rFonts w:hint="eastAsia" w:ascii="宋体" w:hAnsi="宋体" w:eastAsia="宋体"/>
          <w:b/>
          <w:kern w:val="2"/>
          <w:sz w:val="21"/>
          <w:szCs w:val="21"/>
          <w:lang w:eastAsia="zh-CN"/>
        </w:rPr>
      </w:pPr>
      <w:r>
        <w:rPr>
          <w:rFonts w:hint="eastAsia" w:ascii="宋体" w:hAnsi="宋体" w:eastAsia="宋体" w:cstheme="minorBidi"/>
          <w:b/>
          <w:kern w:val="2"/>
          <w:sz w:val="21"/>
          <w:szCs w:val="21"/>
          <w:lang w:eastAsia="zh-CN"/>
        </w:rPr>
        <w:t>第二册  通用条款</w:t>
      </w:r>
    </w:p>
    <w:p w14:paraId="1B299168">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第一章  总则</w:t>
      </w:r>
    </w:p>
    <w:p w14:paraId="0D65777B">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第二章  招标文件</w:t>
      </w:r>
    </w:p>
    <w:p w14:paraId="4A42A36F">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第三章  投标文件的编制</w:t>
      </w:r>
    </w:p>
    <w:p w14:paraId="01E3A3B3">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第四章  投标文件的递交</w:t>
      </w:r>
    </w:p>
    <w:p w14:paraId="3FD5A7C1">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第五章  开标</w:t>
      </w:r>
    </w:p>
    <w:p w14:paraId="1F2EEB58">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第六章  评审要求</w:t>
      </w:r>
    </w:p>
    <w:p w14:paraId="15E20B1A">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第七章  评审程序及评审方法</w:t>
      </w:r>
    </w:p>
    <w:p w14:paraId="71B497A2">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第八章  定标及公示</w:t>
      </w:r>
    </w:p>
    <w:p w14:paraId="4D3B15E9">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第九章  公开招标失败的后续处理</w:t>
      </w:r>
    </w:p>
    <w:p w14:paraId="7FC66C0D">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第十章  合同的授予与备案</w:t>
      </w:r>
    </w:p>
    <w:p w14:paraId="4A03588F">
      <w:pPr>
        <w:widowControl w:val="0"/>
        <w:ind w:left="720" w:leftChars="300"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第十一章  质疑处理</w:t>
      </w:r>
    </w:p>
    <w:p w14:paraId="5E5A409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1160EB0">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w:t>
      </w:r>
      <w:r>
        <w:rPr>
          <w:rFonts w:hint="eastAsia" w:ascii="宋体" w:hAnsi="宋体" w:eastAsia="宋体" w:cstheme="minorBidi"/>
          <w:kern w:val="2"/>
          <w:sz w:val="21"/>
          <w:szCs w:val="22"/>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4D2468D5">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w:t>
      </w:r>
      <w:r>
        <w:rPr>
          <w:rFonts w:ascii="黑体" w:hAnsi="宋体" w:eastAsia="黑体" w:cstheme="minorBidi"/>
          <w:kern w:val="2"/>
          <w:szCs w:val="22"/>
          <w:lang w:eastAsia="zh-CN"/>
        </w:rPr>
        <w:t>2</w:t>
      </w:r>
      <w:r>
        <w:rPr>
          <w:rFonts w:hint="eastAsia" w:ascii="黑体" w:hAnsi="宋体" w:eastAsia="黑体" w:cstheme="minorBidi"/>
          <w:kern w:val="2"/>
          <w:szCs w:val="22"/>
          <w:lang w:eastAsia="zh-CN"/>
        </w:rPr>
        <w:t>．招标文件的澄清</w:t>
      </w:r>
    </w:p>
    <w:p w14:paraId="43B0323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.1招标文件澄清的目的是澄清、解答投标人在查阅招标文件后或现场踏勘中可能提出的与投标有关的疑问或询问。</w:t>
      </w:r>
    </w:p>
    <w:p w14:paraId="2AF5F71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.2投标人如对招标文件内容有疑问，应当在招标公告规定的澄清（提问）截止时间前以网上提问的形式通过网上政府采购系统提交采购代理机构。</w:t>
      </w:r>
    </w:p>
    <w:p w14:paraId="227865E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宋体" w:hAnsi="宋体" w:eastAsia="宋体" w:cstheme="minorBidi"/>
          <w:kern w:val="2"/>
          <w:sz w:val="21"/>
          <w:szCs w:val="21"/>
          <w:lang w:eastAsia="zh-CN"/>
        </w:rPr>
        <w:t>3.3</w:t>
      </w: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3.4</w:t>
      </w:r>
      <w:r>
        <w:rPr>
          <w:rFonts w:hint="eastAsia" w:ascii="宋体" w:hAnsi="宋体" w:eastAsia="宋体" w:cstheme="minorBidi"/>
          <w:kern w:val="2"/>
          <w:sz w:val="21"/>
          <w:szCs w:val="21"/>
          <w:lang w:eastAsia="zh-CN"/>
        </w:rPr>
        <w:t>款规定执行。</w:t>
      </w:r>
    </w:p>
    <w:p w14:paraId="07279DB7">
      <w:pPr>
        <w:widowControl w:val="0"/>
        <w:jc w:val="both"/>
        <w:rPr>
          <w:rFonts w:hint="eastAsia" w:ascii="黑体" w:hAnsi="宋体" w:eastAsia="黑体"/>
          <w:kern w:val="2"/>
          <w:szCs w:val="22"/>
          <w:lang w:eastAsia="zh-CN"/>
        </w:rPr>
      </w:pPr>
      <w:r>
        <w:rPr>
          <w:rFonts w:ascii="黑体" w:hAnsi="宋体" w:eastAsia="黑体" w:cstheme="minorBidi"/>
          <w:kern w:val="2"/>
          <w:szCs w:val="22"/>
          <w:lang w:eastAsia="zh-CN"/>
        </w:rPr>
        <w:t>1</w:t>
      </w:r>
      <w:r>
        <w:rPr>
          <w:rFonts w:hint="eastAsia" w:ascii="黑体" w:hAnsi="宋体" w:eastAsia="黑体" w:cstheme="minorBidi"/>
          <w:kern w:val="2"/>
          <w:szCs w:val="22"/>
          <w:lang w:eastAsia="zh-CN"/>
        </w:rPr>
        <w:t>3．招标文件的修改</w:t>
      </w:r>
    </w:p>
    <w:p w14:paraId="69CEB4AE">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3.1招标文件发出后，在投标截止日期前任何时候，确需要变更招标文件内容的，采购代理机构可主动或在解答投标人提出的澄清问题时对招标文件进行修改。</w:t>
      </w:r>
    </w:p>
    <w:p w14:paraId="40D86D9A">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3.2招标文件的修改以书面形式（包括采购代理机构网站发布方式，如更正公告等）发送给所有投标人，招标文件的修改内容作为招标文件的组成部分，并具有约束力。</w:t>
      </w:r>
    </w:p>
    <w:p w14:paraId="7443F2C7">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058DF156">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56"/>
    </w:p>
    <w:p w14:paraId="4B990DF0">
      <w:pPr>
        <w:widowControl w:val="0"/>
        <w:jc w:val="both"/>
        <w:rPr>
          <w:rFonts w:hint="eastAsia" w:ascii="宋体" w:hAnsi="宋体" w:eastAsia="宋体"/>
          <w:kern w:val="2"/>
          <w:sz w:val="21"/>
          <w:szCs w:val="21"/>
          <w:lang w:eastAsia="zh-CN"/>
        </w:rPr>
      </w:pPr>
    </w:p>
    <w:p w14:paraId="52E6C6B3">
      <w:pPr>
        <w:keepNext/>
        <w:keepLines/>
        <w:widowControl w:val="0"/>
        <w:numPr>
          <w:ilvl w:val="0"/>
          <w:numId w:val="7"/>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投标文件的编制</w:t>
      </w:r>
    </w:p>
    <w:p w14:paraId="2D292F15">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14．</w:t>
      </w:r>
      <w:bookmarkStart w:id="57" w:name="_Hlk72400236"/>
      <w:r>
        <w:rPr>
          <w:rFonts w:hint="eastAsia" w:ascii="黑体" w:hAnsi="宋体" w:eastAsia="黑体" w:cstheme="minorBidi"/>
          <w:kern w:val="2"/>
          <w:szCs w:val="22"/>
          <w:lang w:eastAsia="zh-CN"/>
        </w:rPr>
        <w:t>投标文件的语言及度量单位</w:t>
      </w:r>
    </w:p>
    <w:p w14:paraId="135636C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78ABFC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14.2 除技术规范另有规定外，投标文件使用的度量单位，均采用中华人民共和国法定计量单位。</w:t>
      </w:r>
    </w:p>
    <w:bookmarkEnd w:id="57"/>
    <w:p w14:paraId="28691E5D">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15．</w:t>
      </w:r>
      <w:bookmarkStart w:id="58" w:name="_Hlk72401567"/>
      <w:r>
        <w:rPr>
          <w:rFonts w:hint="eastAsia" w:ascii="黑体" w:hAnsi="宋体" w:eastAsia="黑体" w:cstheme="minorBidi"/>
          <w:kern w:val="2"/>
          <w:szCs w:val="22"/>
          <w:lang w:eastAsia="zh-CN"/>
        </w:rPr>
        <w:t>投标文件的组成</w:t>
      </w:r>
    </w:p>
    <w:p w14:paraId="1A873473">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具体内容在招标文件专用条款中进行规定。</w:t>
      </w:r>
    </w:p>
    <w:p w14:paraId="2583CB11">
      <w:pPr>
        <w:widowControl w:val="0"/>
        <w:jc w:val="both"/>
        <w:rPr>
          <w:rFonts w:hint="eastAsia" w:ascii="黑体" w:hAnsi="宋体" w:eastAsia="黑体"/>
          <w:kern w:val="2"/>
          <w:szCs w:val="22"/>
          <w:lang w:eastAsia="zh-CN"/>
        </w:rPr>
      </w:pPr>
      <w:r>
        <w:rPr>
          <w:rFonts w:ascii="黑体" w:hAnsi="宋体" w:eastAsia="黑体" w:cstheme="minorBidi"/>
          <w:kern w:val="2"/>
          <w:szCs w:val="22"/>
          <w:lang w:eastAsia="zh-CN"/>
        </w:rPr>
        <w:t>16．投标文件格式</w:t>
      </w:r>
    </w:p>
    <w:p w14:paraId="11D492BF">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投标文件包括本通用条款第</w:t>
      </w:r>
      <w:r>
        <w:rPr>
          <w:rFonts w:ascii="宋体" w:hAnsi="宋体" w:eastAsia="宋体" w:cstheme="minorBidi"/>
          <w:kern w:val="2"/>
          <w:sz w:val="21"/>
          <w:szCs w:val="21"/>
          <w:lang w:eastAsia="zh-CN"/>
        </w:rPr>
        <w:t>15条中规定的内容。如招标文件提供了投标文件格式，则</w:t>
      </w:r>
      <w:r>
        <w:rPr>
          <w:rFonts w:hint="eastAsia" w:ascii="宋体" w:hAnsi="宋体" w:eastAsia="宋体" w:cstheme="minorBidi"/>
          <w:b/>
          <w:bCs/>
          <w:kern w:val="2"/>
          <w:sz w:val="21"/>
          <w:szCs w:val="21"/>
          <w:lang w:eastAsia="zh-CN"/>
        </w:rPr>
        <w:t>投标人提交的投标文件应毫无例外地使用招标文件所提供的相应格式</w:t>
      </w:r>
      <w:r>
        <w:rPr>
          <w:rFonts w:hint="eastAsia" w:ascii="宋体" w:hAnsi="宋体" w:eastAsia="宋体" w:cstheme="minorBidi"/>
          <w:kern w:val="2"/>
          <w:sz w:val="21"/>
          <w:szCs w:val="21"/>
          <w:lang w:eastAsia="zh-CN"/>
        </w:rPr>
        <w:t>（表格均可按同样格式扩展）。</w:t>
      </w:r>
    </w:p>
    <w:p w14:paraId="6F5FF54C">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17．投标货币</w:t>
      </w:r>
    </w:p>
    <w:p w14:paraId="702C6D7C">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本项目的投标报价应以人民币计。</w:t>
      </w:r>
    </w:p>
    <w:bookmarkEnd w:id="58"/>
    <w:p w14:paraId="34A91B57">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18．</w:t>
      </w:r>
      <w:bookmarkStart w:id="59" w:name="_Hlk72401735"/>
      <w:r>
        <w:rPr>
          <w:rFonts w:hint="eastAsia" w:ascii="黑体" w:hAnsi="宋体" w:eastAsia="黑体" w:cstheme="minorBidi"/>
          <w:kern w:val="2"/>
          <w:szCs w:val="22"/>
          <w:lang w:eastAsia="zh-CN"/>
        </w:rPr>
        <w:t>证明投标文件投标技术方案的合格性和符合招标文件规定的文件要求</w:t>
      </w:r>
    </w:p>
    <w:p w14:paraId="77034E36">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w:t>
      </w:r>
      <w:r>
        <w:rPr>
          <w:rFonts w:ascii="宋体" w:hAnsi="宋体" w:eastAsia="宋体" w:cstheme="minorBidi"/>
          <w:kern w:val="2"/>
          <w:sz w:val="21"/>
          <w:szCs w:val="21"/>
          <w:lang w:eastAsia="zh-CN"/>
        </w:rPr>
        <w:t xml:space="preserve">.1 </w:t>
      </w:r>
      <w:r>
        <w:rPr>
          <w:rFonts w:hint="eastAsia" w:ascii="宋体" w:hAnsi="宋体" w:eastAsia="宋体" w:cstheme="minorBidi"/>
          <w:kern w:val="2"/>
          <w:sz w:val="21"/>
          <w:szCs w:val="21"/>
          <w:lang w:eastAsia="zh-CN"/>
        </w:rPr>
        <w:t>投标人应提交证明文件，证明其投标技术方案项下的货物和服务的合格性符合招标文件规定。该投标技术方案及其证明文件均作为投标文件组成部分。</w:t>
      </w:r>
    </w:p>
    <w:p w14:paraId="5E8F8AEC">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 xml:space="preserve">.2 </w:t>
      </w:r>
      <w:r>
        <w:rPr>
          <w:rFonts w:hint="eastAsia" w:ascii="宋体" w:hAnsi="宋体" w:eastAsia="宋体" w:cstheme="minorBidi"/>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E7A61F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18.2.1主要技术指标和性能的详细说明。</w:t>
      </w:r>
    </w:p>
    <w:p w14:paraId="30AAE4F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18.2.</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投标产品从采购人开始使用至招标文件中规定的周期内正常、连续地使用所必须的备件和专用工具清单，包括备件和专用工具的货源及现行价格。</w:t>
      </w:r>
    </w:p>
    <w:p w14:paraId="2041A03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18.2.</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0021C1A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ascii="Calibri" w:hAnsi="Calibri" w:eastAsia="宋体" w:cstheme="minorBidi"/>
          <w:kern w:val="2"/>
          <w:sz w:val="21"/>
          <w:szCs w:val="22"/>
          <w:lang w:eastAsia="zh-CN"/>
        </w:rPr>
        <w:t>清晰度要求能够使用电脑阅读、识别和判断</w:t>
      </w:r>
      <w:r>
        <w:rPr>
          <w:rFonts w:hint="eastAsia" w:ascii="宋体" w:hAnsi="宋体" w:eastAsia="宋体" w:cstheme="minorBidi"/>
          <w:kern w:val="2"/>
          <w:sz w:val="21"/>
          <w:szCs w:val="21"/>
          <w:lang w:eastAsia="zh-CN"/>
        </w:rPr>
        <w:t>；</w:t>
      </w:r>
    </w:p>
    <w:p w14:paraId="1ED3A0C3">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14:paraId="263CFEA0">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18.3相关资料不符合18.2款要求的，评审委员会有权认定为投标技术方案不合格响应，其相关分数予以扣减或作投标无效处理。</w:t>
      </w:r>
    </w:p>
    <w:p w14:paraId="6E70EE7E">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ascii="Calibri" w:hAnsi="Calibri" w:eastAsia="宋体" w:cstheme="minorBidi"/>
          <w:kern w:val="2"/>
          <w:sz w:val="21"/>
          <w:szCs w:val="22"/>
          <w:lang w:eastAsia="zh-CN"/>
        </w:rPr>
        <w:t>满足要求</w:t>
      </w:r>
      <w:r>
        <w:rPr>
          <w:rFonts w:hint="eastAsia" w:ascii="宋体" w:hAnsi="宋体" w:eastAsia="宋体" w:cstheme="minorBidi"/>
          <w:kern w:val="2"/>
          <w:sz w:val="21"/>
          <w:szCs w:val="21"/>
          <w:lang w:eastAsia="zh-CN"/>
        </w:rPr>
        <w:t>，由评审委员会来评判。</w:t>
      </w:r>
    </w:p>
    <w:p w14:paraId="2D6921D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18.5除非另有规定或说明，投标人对同一项目投标时，不得同时提供两套或两套以上的投标方案。</w:t>
      </w:r>
    </w:p>
    <w:bookmarkEnd w:id="59"/>
    <w:p w14:paraId="1DF895DD">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19．</w:t>
      </w:r>
      <w:bookmarkStart w:id="60" w:name="_Hlk72402034"/>
      <w:r>
        <w:rPr>
          <w:rFonts w:hint="eastAsia" w:ascii="黑体" w:hAnsi="宋体" w:eastAsia="黑体" w:cstheme="minorBidi"/>
          <w:kern w:val="2"/>
          <w:szCs w:val="22"/>
          <w:lang w:eastAsia="zh-CN"/>
        </w:rPr>
        <w:t>投标文件其他证明文件的要求</w:t>
      </w:r>
    </w:p>
    <w:p w14:paraId="351BCFA1">
      <w:pPr>
        <w:widowControl w:val="0"/>
        <w:jc w:val="both"/>
        <w:rPr>
          <w:rFonts w:hint="eastAsia" w:ascii="宋体" w:hAnsi="宋体" w:eastAsia="宋体"/>
          <w:color w:val="FF0000"/>
          <w:kern w:val="2"/>
          <w:sz w:val="21"/>
          <w:szCs w:val="21"/>
          <w:lang w:eastAsia="zh-CN"/>
        </w:rPr>
      </w:pPr>
      <w:r>
        <w:rPr>
          <w:rFonts w:hint="eastAsia" w:ascii="黑体" w:hAnsi="宋体" w:eastAsia="黑体" w:cstheme="minorBidi"/>
          <w:kern w:val="2"/>
          <w:szCs w:val="22"/>
          <w:lang w:eastAsia="zh-CN"/>
        </w:rPr>
        <w:t xml:space="preserve">    </w:t>
      </w:r>
      <w:r>
        <w:rPr>
          <w:rFonts w:hint="eastAsia" w:ascii="宋体" w:hAnsi="宋体" w:eastAsia="宋体" w:cstheme="minorBidi"/>
          <w:kern w:val="2"/>
          <w:sz w:val="21"/>
          <w:szCs w:val="21"/>
          <w:lang w:eastAsia="zh-CN"/>
        </w:rPr>
        <w:t>19.1</w:t>
      </w:r>
      <w:bookmarkStart w:id="61" w:name="_Hlk71407299"/>
      <w:r>
        <w:rPr>
          <w:rFonts w:hint="eastAsia" w:ascii="宋体" w:hAnsi="宋体" w:eastAsia="宋体" w:cstheme="minorBidi"/>
          <w:kern w:val="2"/>
          <w:sz w:val="21"/>
          <w:szCs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1"/>
    <w:p w14:paraId="06407536">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2A0F0D23">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20．投标有效期</w:t>
      </w:r>
    </w:p>
    <w:bookmarkEnd w:id="60"/>
    <w:p w14:paraId="2C618354">
      <w:pPr>
        <w:widowControl w:val="0"/>
        <w:ind w:firstLine="411" w:firstLineChars="196"/>
        <w:jc w:val="both"/>
        <w:rPr>
          <w:rFonts w:hint="eastAsia" w:ascii="宋体" w:hAnsi="宋体" w:eastAsia="宋体"/>
          <w:kern w:val="2"/>
          <w:sz w:val="21"/>
          <w:szCs w:val="21"/>
          <w:lang w:eastAsia="zh-CN"/>
        </w:rPr>
      </w:pPr>
      <w:bookmarkStart w:id="62" w:name="_Hlk72402214"/>
      <w:r>
        <w:rPr>
          <w:rFonts w:hint="eastAsia" w:ascii="宋体" w:hAnsi="宋体" w:eastAsia="宋体" w:cstheme="minorBidi"/>
          <w:kern w:val="2"/>
          <w:sz w:val="21"/>
          <w:szCs w:val="21"/>
          <w:lang w:eastAsia="zh-CN"/>
        </w:rPr>
        <w:t>20.1 投标有效期为</w:t>
      </w:r>
      <w:r>
        <w:rPr>
          <w:rFonts w:hint="eastAsia" w:ascii="Arial" w:hAnsi="Arial" w:eastAsia="宋体" w:cs="Arial"/>
          <w:kern w:val="2"/>
          <w:sz w:val="21"/>
          <w:szCs w:val="21"/>
          <w:lang w:eastAsia="zh-CN"/>
        </w:rPr>
        <w:t>从投标截止之日算起的日历天数。</w:t>
      </w:r>
      <w:r>
        <w:rPr>
          <w:rFonts w:hint="eastAsia" w:ascii="宋体" w:hAnsi="宋体" w:eastAsia="宋体" w:cstheme="minorBidi"/>
          <w:kern w:val="2"/>
          <w:sz w:val="21"/>
          <w:szCs w:val="21"/>
          <w:lang w:eastAsia="zh-CN"/>
        </w:rPr>
        <w:t>在此期限内，所有投标文件均保持有效。</w:t>
      </w:r>
    </w:p>
    <w:p w14:paraId="356E2C0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20.2 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0FCFE6F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20</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 xml:space="preserve"> 中标供应商的投标文件有效期，截止于完成本招标文件规定的全部项目内容，并通过竣工验收及保修期结束。</w:t>
      </w:r>
    </w:p>
    <w:bookmarkEnd w:id="62"/>
    <w:p w14:paraId="78556464">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21．</w:t>
      </w:r>
      <w:bookmarkStart w:id="63" w:name="_Hlk72402325"/>
      <w:r>
        <w:rPr>
          <w:rFonts w:hint="eastAsia" w:ascii="黑体" w:hAnsi="宋体" w:eastAsia="黑体" w:cstheme="minorBidi"/>
          <w:kern w:val="2"/>
          <w:szCs w:val="22"/>
          <w:lang w:eastAsia="zh-CN"/>
        </w:rPr>
        <w:t xml:space="preserve">关于投标保证金 </w:t>
      </w:r>
    </w:p>
    <w:p w14:paraId="436F78AA">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21.1</w:t>
      </w:r>
      <w:r>
        <w:rPr>
          <w:rFonts w:hint="eastAsia" w:ascii="Calibri" w:hAnsi="Calibri" w:eastAsia="宋体" w:cstheme="minorBidi"/>
          <w:kern w:val="2"/>
          <w:sz w:val="21"/>
          <w:szCs w:val="22"/>
          <w:lang w:eastAsia="zh-CN"/>
        </w:rPr>
        <w:t>根据《深圳市财政局关于调整政府采购投标（响应）保证金管理政策的通知》（深财购〔2021〕51号）文的规定，本项目不收取投标保证金。</w:t>
      </w:r>
    </w:p>
    <w:p w14:paraId="00485C91">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22．投标人的替代方案</w:t>
      </w:r>
    </w:p>
    <w:p w14:paraId="021AF0AC">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67C16C7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3"/>
    <w:p w14:paraId="0029DE92">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23．</w:t>
      </w:r>
      <w:bookmarkStart w:id="64" w:name="_Hlk72402860"/>
      <w:r>
        <w:rPr>
          <w:rFonts w:ascii="黑体" w:hAnsi="宋体" w:eastAsia="黑体" w:cstheme="minorBidi"/>
          <w:kern w:val="2"/>
          <w:szCs w:val="22"/>
          <w:lang w:eastAsia="zh-CN"/>
        </w:rPr>
        <w:t>投标文件的</w:t>
      </w:r>
      <w:r>
        <w:rPr>
          <w:rFonts w:hint="eastAsia" w:ascii="黑体" w:hAnsi="宋体" w:eastAsia="黑体" w:cstheme="minorBidi"/>
          <w:kern w:val="2"/>
          <w:szCs w:val="22"/>
          <w:lang w:eastAsia="zh-CN"/>
        </w:rPr>
        <w:t>制作</w:t>
      </w:r>
      <w:r>
        <w:rPr>
          <w:rFonts w:ascii="黑体" w:hAnsi="宋体" w:eastAsia="黑体" w:cstheme="minorBidi"/>
          <w:kern w:val="2"/>
          <w:szCs w:val="22"/>
          <w:lang w:eastAsia="zh-CN"/>
        </w:rPr>
        <w:t>要求</w:t>
      </w:r>
    </w:p>
    <w:p w14:paraId="764FDB30">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23.1投标人应准备所投项目的电子投标文件一份。</w:t>
      </w:r>
    </w:p>
    <w:p w14:paraId="1CDEDE66">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23.2投标人在使用《投标书编制软件》编制投标书时须注意：</w:t>
      </w:r>
    </w:p>
    <w:p w14:paraId="7BE746D5">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23.2.1导入《投标书编制软件》的招标文件项目编号、包号应与以此制作的投标文件项目编号、包号一致。例如，不能将甲项目A包的招标书导入《投标书编制软件》，制作乙项目B包的投标书。</w:t>
      </w:r>
    </w:p>
    <w:p w14:paraId="3935E346">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23.2.2不能用非本公司的电子密钥加密本公司的投标文件，或者用其它公司的登录用户上传本公司的投标文件。</w:t>
      </w:r>
    </w:p>
    <w:p w14:paraId="76E556F9">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23.2.3要求用《投标书编制软件》编制投标书的包，不能用其它方式编制投标书。编制投标文件时，电脑须连通互联网。</w:t>
      </w:r>
    </w:p>
    <w:p w14:paraId="52B5D5CE">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23.2.4投标文件不能带病毒。采购代理机构将用专业杀毒软件对投标文件进行病毒检测，如果这两种软件均报告发现病毒，则采购代理机构认为该投标文件带病毒。</w:t>
      </w:r>
    </w:p>
    <w:p w14:paraId="6C735D36">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23.2.6投标人在编辑投标文件时，</w:t>
      </w:r>
      <w:r>
        <w:rPr>
          <w:rFonts w:hint="eastAsia" w:ascii="宋体" w:hAnsi="宋体" w:eastAsia="宋体" w:cstheme="minorBidi"/>
          <w:b/>
          <w:kern w:val="2"/>
          <w:sz w:val="21"/>
          <w:szCs w:val="22"/>
          <w:lang w:eastAsia="zh-CN"/>
        </w:rPr>
        <w:t>在投标文件目录中属于本节点内容的必须在本节点中填写，填写到其他节点或附件，</w:t>
      </w:r>
      <w:r>
        <w:rPr>
          <w:rFonts w:hint="eastAsia" w:ascii="宋体" w:hAnsi="宋体" w:eastAsia="宋体" w:cstheme="minorBidi"/>
          <w:kern w:val="2"/>
          <w:sz w:val="21"/>
          <w:szCs w:val="22"/>
          <w:lang w:eastAsia="zh-CN"/>
        </w:rPr>
        <w:t>一切后果由供应商自行承担。</w:t>
      </w:r>
    </w:p>
    <w:p w14:paraId="5D55CF4F">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23.2.7投标文件编写完成后，</w:t>
      </w:r>
      <w:r>
        <w:rPr>
          <w:rFonts w:hint="eastAsia" w:ascii="宋体" w:hAnsi="宋体" w:eastAsia="宋体" w:cstheme="minorBidi"/>
          <w:b/>
          <w:kern w:val="2"/>
          <w:sz w:val="21"/>
          <w:szCs w:val="22"/>
          <w:lang w:eastAsia="zh-CN"/>
        </w:rPr>
        <w:t>必须用属于投标人的电子密钥或电子营业执照进行加密，否则视同未盖公章，将导致投标文件无效。</w:t>
      </w:r>
    </w:p>
    <w:p w14:paraId="154929BE">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14:paraId="195B9A14">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23.2.9如果开标时出现网络故障、技术故障，影响了政府采购活动，采购代理机构有权采取措施如延期、接受无法从网上上传的投标书等，以保障政府采购活动的公开、公平和公正。</w:t>
      </w:r>
    </w:p>
    <w:p w14:paraId="4B454CF1">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23.3电报、电话、传真形式的投标概不接受。</w:t>
      </w:r>
    </w:p>
    <w:p w14:paraId="75B6613D">
      <w:pPr>
        <w:widowControl w:val="0"/>
        <w:ind w:firstLine="413" w:firstLineChars="196"/>
        <w:jc w:val="both"/>
        <w:rPr>
          <w:rFonts w:hint="eastAsia" w:ascii="宋体" w:hAnsi="宋体" w:eastAsia="宋体"/>
          <w:b/>
          <w:kern w:val="2"/>
          <w:sz w:val="21"/>
          <w:szCs w:val="22"/>
          <w:lang w:eastAsia="zh-CN"/>
        </w:rPr>
      </w:pPr>
      <w:r>
        <w:rPr>
          <w:rFonts w:hint="eastAsia" w:ascii="宋体" w:hAnsi="宋体" w:eastAsia="宋体" w:cstheme="minorBidi"/>
          <w:b/>
          <w:kern w:val="2"/>
          <w:sz w:val="21"/>
          <w:szCs w:val="22"/>
          <w:lang w:eastAsia="zh-CN"/>
        </w:rPr>
        <w:t>23.4经投标人电子密钥或电子营业执照加密的投标文件无须盖章或签字，</w:t>
      </w:r>
      <w:r>
        <w:rPr>
          <w:rFonts w:hint="eastAsia" w:ascii="宋体" w:hAnsi="宋体" w:eastAsia="宋体" w:cstheme="minorBidi"/>
          <w:kern w:val="2"/>
          <w:sz w:val="21"/>
          <w:szCs w:val="22"/>
          <w:lang w:eastAsia="zh-CN"/>
        </w:rPr>
        <w:t>专用条款另有要求的除外。</w:t>
      </w:r>
    </w:p>
    <w:p w14:paraId="515996C8">
      <w:pPr>
        <w:widowControl w:val="0"/>
        <w:ind w:firstLine="413" w:firstLineChars="196"/>
        <w:jc w:val="both"/>
        <w:rPr>
          <w:rFonts w:hint="eastAsia" w:ascii="宋体" w:hAnsi="宋体" w:eastAsia="宋体"/>
          <w:kern w:val="2"/>
          <w:sz w:val="21"/>
          <w:szCs w:val="22"/>
          <w:lang w:eastAsia="zh-CN"/>
        </w:rPr>
      </w:pPr>
      <w:r>
        <w:rPr>
          <w:rFonts w:hint="eastAsia" w:ascii="宋体" w:hAnsi="宋体" w:eastAsia="宋体" w:cstheme="minorBidi"/>
          <w:b/>
          <w:kern w:val="2"/>
          <w:sz w:val="21"/>
          <w:szCs w:val="22"/>
          <w:lang w:eastAsia="zh-CN"/>
        </w:rPr>
        <w:t>23.5</w:t>
      </w:r>
      <w:r>
        <w:rPr>
          <w:rFonts w:hint="eastAsia" w:ascii="宋体" w:hAnsi="宋体" w:eastAsia="宋体" w:cstheme="minorBidi"/>
          <w:kern w:val="2"/>
          <w:sz w:val="21"/>
          <w:szCs w:val="22"/>
          <w:lang w:eastAsia="zh-CN"/>
        </w:rPr>
        <w:t xml:space="preserve"> 各类资格（资质）文件提供扫描件，专用条款另有要求的除外。</w:t>
      </w:r>
      <w:bookmarkEnd w:id="64"/>
    </w:p>
    <w:p w14:paraId="78A554E2">
      <w:pPr>
        <w:widowControl w:val="0"/>
        <w:ind w:firstLine="411" w:firstLineChars="196"/>
        <w:jc w:val="both"/>
        <w:rPr>
          <w:rFonts w:hint="eastAsia" w:ascii="宋体" w:hAnsi="宋体" w:eastAsia="宋体"/>
          <w:kern w:val="2"/>
          <w:sz w:val="21"/>
          <w:szCs w:val="21"/>
          <w:lang w:eastAsia="zh-CN"/>
        </w:rPr>
      </w:pPr>
    </w:p>
    <w:p w14:paraId="61BBE550">
      <w:pPr>
        <w:keepNext/>
        <w:keepLines/>
        <w:widowControl w:val="0"/>
        <w:numPr>
          <w:ilvl w:val="0"/>
          <w:numId w:val="7"/>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投标文件的递交</w:t>
      </w:r>
    </w:p>
    <w:p w14:paraId="7CAB55C1">
      <w:pPr>
        <w:widowControl w:val="0"/>
        <w:jc w:val="both"/>
        <w:rPr>
          <w:rFonts w:hint="eastAsia" w:ascii="黑体" w:hAnsi="宋体" w:eastAsia="黑体"/>
          <w:kern w:val="2"/>
          <w:szCs w:val="22"/>
          <w:lang w:eastAsia="zh-CN"/>
        </w:rPr>
      </w:pPr>
      <w:bookmarkStart w:id="65" w:name="_Hlk72405459"/>
      <w:r>
        <w:rPr>
          <w:rFonts w:hint="eastAsia" w:ascii="黑体" w:hAnsi="宋体" w:eastAsia="黑体" w:cstheme="minorBidi"/>
          <w:kern w:val="2"/>
          <w:szCs w:val="22"/>
          <w:lang w:eastAsia="zh-CN"/>
        </w:rPr>
        <w:t>24．投标文件的保密</w:t>
      </w:r>
    </w:p>
    <w:p w14:paraId="60264521">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eastAsia="宋体" w:cstheme="minorBidi"/>
          <w:kern w:val="2"/>
          <w:sz w:val="21"/>
          <w:szCs w:val="22"/>
          <w:highlight w:val="yellow"/>
          <w:lang w:eastAsia="zh-CN"/>
        </w:rPr>
        <w:t>(注意：加密的投标文件开标时须使用加密文件时使用的锁在项目规定时间内解密！)</w:t>
      </w:r>
    </w:p>
    <w:p w14:paraId="27A2957E">
      <w:pPr>
        <w:widowControl w:val="0"/>
        <w:jc w:val="both"/>
        <w:rPr>
          <w:rFonts w:hint="eastAsia" w:ascii="宋体" w:hAnsi="宋体" w:eastAsia="宋体"/>
          <w:b/>
          <w:kern w:val="2"/>
          <w:sz w:val="21"/>
          <w:szCs w:val="22"/>
          <w:lang w:eastAsia="zh-CN"/>
        </w:rPr>
      </w:pPr>
      <w:r>
        <w:rPr>
          <w:rFonts w:hint="eastAsia" w:ascii="宋体" w:hAnsi="宋体" w:eastAsia="宋体" w:cstheme="minorBidi"/>
          <w:b/>
          <w:kern w:val="2"/>
          <w:sz w:val="21"/>
          <w:szCs w:val="22"/>
          <w:lang w:eastAsia="zh-CN"/>
        </w:rPr>
        <w:t>24.2若采购项目出现延期情况：</w:t>
      </w:r>
    </w:p>
    <w:p w14:paraId="7F0E4448">
      <w:pPr>
        <w:widowControl w:val="0"/>
        <w:ind w:firstLine="422" w:firstLineChars="200"/>
        <w:jc w:val="both"/>
        <w:rPr>
          <w:rFonts w:hint="eastAsia" w:ascii="黑体" w:hAnsi="宋体" w:eastAsia="黑体"/>
          <w:b/>
          <w:kern w:val="2"/>
          <w:szCs w:val="22"/>
          <w:lang w:eastAsia="zh-CN"/>
        </w:rPr>
      </w:pPr>
      <w:r>
        <w:rPr>
          <w:rFonts w:hint="eastAsia" w:ascii="宋体" w:hAnsi="宋体" w:eastAsia="宋体" w:cstheme="minorBidi"/>
          <w:b/>
          <w:kern w:val="2"/>
          <w:sz w:val="21"/>
          <w:szCs w:val="22"/>
          <w:lang w:eastAsia="zh-CN"/>
        </w:rPr>
        <w:t>如果供下载的招标文件有更新，投标人必须重新下载招标文件、重新制作投标文件、重新加密投标文件、重新上传投标文件。</w:t>
      </w:r>
    </w:p>
    <w:p w14:paraId="5805078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25．上传投标文件及投标截止日期</w:t>
      </w:r>
    </w:p>
    <w:p w14:paraId="1503299E">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25</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1实行网上投标，</w:t>
      </w:r>
      <w:r>
        <w:rPr>
          <w:rFonts w:ascii="宋体" w:hAnsi="宋体" w:eastAsia="宋体" w:cstheme="minorBidi"/>
          <w:kern w:val="2"/>
          <w:sz w:val="21"/>
          <w:szCs w:val="22"/>
          <w:lang w:eastAsia="zh-CN"/>
        </w:rPr>
        <w:t>投标人必须</w:t>
      </w:r>
      <w:r>
        <w:rPr>
          <w:rFonts w:hint="eastAsia" w:ascii="宋体" w:hAnsi="宋体" w:eastAsia="宋体" w:cstheme="minorBidi"/>
          <w:kern w:val="2"/>
          <w:sz w:val="21"/>
          <w:szCs w:val="22"/>
          <w:lang w:eastAsia="zh-CN"/>
        </w:rPr>
        <w:t>在招标</w:t>
      </w:r>
      <w:r>
        <w:rPr>
          <w:rFonts w:ascii="宋体" w:hAnsi="宋体" w:eastAsia="宋体" w:cstheme="minorBidi"/>
          <w:kern w:val="2"/>
          <w:sz w:val="21"/>
          <w:szCs w:val="22"/>
          <w:lang w:eastAsia="zh-CN"/>
        </w:rPr>
        <w:t>文件规定的投标截止时间前</w:t>
      </w:r>
      <w:r>
        <w:rPr>
          <w:rFonts w:hint="eastAsia" w:ascii="宋体" w:hAnsi="宋体" w:eastAsia="宋体" w:cstheme="minorBidi"/>
          <w:kern w:val="2"/>
          <w:sz w:val="21"/>
          <w:szCs w:val="22"/>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eastAsia="宋体" w:cstheme="minorBidi"/>
          <w:b/>
          <w:bCs/>
          <w:kern w:val="2"/>
          <w:sz w:val="21"/>
          <w:szCs w:val="22"/>
          <w:lang w:eastAsia="zh-CN"/>
        </w:rPr>
        <w:t>深圳公共资源交易中心</w:t>
      </w:r>
      <w:r>
        <w:rPr>
          <w:rFonts w:hint="eastAsia" w:ascii="宋体" w:hAnsi="宋体" w:eastAsia="宋体" w:cstheme="minorBidi"/>
          <w:b/>
          <w:bCs/>
          <w:kern w:val="2"/>
          <w:sz w:val="21"/>
          <w:szCs w:val="21"/>
          <w:lang w:eastAsia="zh-CN"/>
        </w:rPr>
        <w:t>协助上传，但上传过程中投标截止时间到达仍无法上传成功的，由投标人自行负责</w:t>
      </w:r>
      <w:r>
        <w:rPr>
          <w:rFonts w:hint="eastAsia" w:ascii="宋体" w:hAnsi="宋体" w:eastAsia="宋体" w:cstheme="minorBidi"/>
          <w:kern w:val="2"/>
          <w:sz w:val="21"/>
          <w:szCs w:val="22"/>
          <w:lang w:eastAsia="zh-CN"/>
        </w:rPr>
        <w:t>。</w:t>
      </w:r>
    </w:p>
    <w:p w14:paraId="48556CB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23D0C7C6">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25</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3投标截止时间以后不得上传投标文件。</w:t>
      </w:r>
    </w:p>
    <w:p w14:paraId="6059D9B2">
      <w:pPr>
        <w:widowControl w:val="0"/>
        <w:ind w:firstLine="411" w:firstLineChars="196"/>
        <w:jc w:val="both"/>
        <w:rPr>
          <w:rFonts w:hint="eastAsia" w:ascii="宋体" w:hAnsi="宋体" w:eastAsia="宋体"/>
          <w:kern w:val="2"/>
          <w:sz w:val="21"/>
          <w:szCs w:val="22"/>
          <w:lang w:eastAsia="zh-CN"/>
        </w:rPr>
      </w:pPr>
    </w:p>
    <w:p w14:paraId="7CC5CDD6">
      <w:pPr>
        <w:widowControl w:val="0"/>
        <w:ind w:firstLine="411" w:firstLineChars="196"/>
        <w:jc w:val="both"/>
        <w:rPr>
          <w:rFonts w:hint="eastAsia" w:ascii="宋体" w:hAnsi="宋体" w:eastAsia="宋体"/>
          <w:kern w:val="2"/>
          <w:sz w:val="21"/>
          <w:szCs w:val="22"/>
          <w:lang w:eastAsia="zh-CN"/>
        </w:rPr>
      </w:pPr>
    </w:p>
    <w:bookmarkEnd w:id="65"/>
    <w:p w14:paraId="0D0B814F">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26. 样品、现场演示、方案讲解</w:t>
      </w:r>
    </w:p>
    <w:p w14:paraId="5A64C195">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26.1 样品、现场演示、方案讲解等事项在招标文件专用条款中进行规定。</w:t>
      </w:r>
    </w:p>
    <w:p w14:paraId="04493BAF">
      <w:pPr>
        <w:widowControl w:val="0"/>
        <w:jc w:val="both"/>
        <w:rPr>
          <w:rFonts w:hint="eastAsia" w:ascii="黑体" w:hAnsi="宋体" w:eastAsia="黑体"/>
          <w:kern w:val="2"/>
          <w:szCs w:val="22"/>
          <w:lang w:eastAsia="zh-CN"/>
        </w:rPr>
      </w:pPr>
      <w:bookmarkStart w:id="66" w:name="_Hlk72428346"/>
      <w:r>
        <w:rPr>
          <w:rFonts w:ascii="黑体" w:hAnsi="宋体" w:eastAsia="黑体" w:cstheme="minorBidi"/>
          <w:kern w:val="2"/>
          <w:szCs w:val="22"/>
          <w:lang w:eastAsia="zh-CN"/>
        </w:rPr>
        <w:t>2</w:t>
      </w:r>
      <w:r>
        <w:rPr>
          <w:rFonts w:hint="eastAsia" w:ascii="黑体" w:hAnsi="宋体" w:eastAsia="黑体" w:cstheme="minorBidi"/>
          <w:kern w:val="2"/>
          <w:szCs w:val="22"/>
          <w:lang w:eastAsia="zh-CN"/>
        </w:rPr>
        <w:t>7．</w:t>
      </w:r>
      <w:r>
        <w:rPr>
          <w:rFonts w:ascii="黑体" w:hAnsi="宋体" w:eastAsia="黑体" w:cstheme="minorBidi"/>
          <w:kern w:val="2"/>
          <w:szCs w:val="22"/>
          <w:lang w:eastAsia="zh-CN"/>
        </w:rPr>
        <w:t>投标文件的修改和撤销</w:t>
      </w:r>
    </w:p>
    <w:p w14:paraId="6B56D1A5">
      <w:pPr>
        <w:widowControl w:val="0"/>
        <w:ind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投标方在提交投标文件后可对其投标文件进行修改</w:t>
      </w:r>
      <w:r>
        <w:rPr>
          <w:rFonts w:hint="eastAsia" w:ascii="宋体" w:hAnsi="宋体" w:eastAsia="宋体" w:cstheme="minorBidi"/>
          <w:kern w:val="2"/>
          <w:sz w:val="21"/>
          <w:szCs w:val="22"/>
          <w:lang w:eastAsia="zh-CN"/>
        </w:rPr>
        <w:t>并重新上传投标文件</w:t>
      </w:r>
      <w:r>
        <w:rPr>
          <w:rFonts w:ascii="宋体" w:hAnsi="宋体" w:eastAsia="宋体" w:cstheme="minorBidi"/>
          <w:kern w:val="2"/>
          <w:sz w:val="21"/>
          <w:szCs w:val="22"/>
          <w:lang w:eastAsia="zh-CN"/>
        </w:rPr>
        <w:t>或</w:t>
      </w:r>
      <w:r>
        <w:rPr>
          <w:rFonts w:hint="eastAsia" w:ascii="宋体" w:hAnsi="宋体" w:eastAsia="宋体" w:cstheme="minorBidi"/>
          <w:kern w:val="2"/>
          <w:sz w:val="21"/>
          <w:szCs w:val="22"/>
          <w:lang w:eastAsia="zh-CN"/>
        </w:rPr>
        <w:t>在网上进行</w:t>
      </w:r>
      <w:r>
        <w:rPr>
          <w:rFonts w:ascii="宋体" w:hAnsi="宋体" w:eastAsia="宋体" w:cstheme="minorBidi"/>
          <w:kern w:val="2"/>
          <w:sz w:val="21"/>
          <w:szCs w:val="22"/>
          <w:lang w:eastAsia="zh-CN"/>
        </w:rPr>
        <w:t>撤销</w:t>
      </w:r>
      <w:r>
        <w:rPr>
          <w:rFonts w:hint="eastAsia" w:ascii="宋体" w:hAnsi="宋体" w:eastAsia="宋体" w:cstheme="minorBidi"/>
          <w:kern w:val="2"/>
          <w:sz w:val="21"/>
          <w:szCs w:val="22"/>
          <w:lang w:eastAsia="zh-CN"/>
        </w:rPr>
        <w:t>投标的操作</w:t>
      </w:r>
      <w:r>
        <w:rPr>
          <w:rFonts w:ascii="宋体" w:hAnsi="宋体" w:eastAsia="宋体" w:cstheme="minorBidi"/>
          <w:kern w:val="2"/>
          <w:sz w:val="21"/>
          <w:szCs w:val="22"/>
          <w:lang w:eastAsia="zh-CN"/>
        </w:rPr>
        <w:t>。</w:t>
      </w:r>
    </w:p>
    <w:p w14:paraId="65A50B2D">
      <w:pPr>
        <w:widowControl w:val="0"/>
        <w:ind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投标截止时间以后不得修改投标文件。</w:t>
      </w:r>
    </w:p>
    <w:p w14:paraId="15E45898">
      <w:pPr>
        <w:widowControl w:val="0"/>
        <w:ind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3从投标截止期至投标人在投标文件中确定的投标有效期之间的这段时间内，投标人不得撤回其投标。</w:t>
      </w:r>
    </w:p>
    <w:p w14:paraId="71E9D813">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27.4采购代理机构不退还投标文件，专用条款另有规定的除外。</w:t>
      </w:r>
    </w:p>
    <w:bookmarkEnd w:id="66"/>
    <w:p w14:paraId="20C634F5">
      <w:pPr>
        <w:keepNext/>
        <w:keepLines/>
        <w:widowControl w:val="0"/>
        <w:numPr>
          <w:ilvl w:val="0"/>
          <w:numId w:val="7"/>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开标</w:t>
      </w:r>
    </w:p>
    <w:p w14:paraId="17307BD2">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28．开标</w:t>
      </w:r>
    </w:p>
    <w:p w14:paraId="0BE44186">
      <w:pPr>
        <w:widowControl w:val="0"/>
        <w:ind w:firstLine="359" w:firstLineChars="171"/>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1投标人须在开标当日的开标时间至解密截止时间内进行解密，逾期未解密的作无效处理。解密方法：登录“</w:t>
      </w:r>
      <w:r>
        <w:rPr>
          <w:rFonts w:hint="eastAsia" w:ascii="宋体" w:hAnsi="宋体" w:eastAsia="宋体" w:cstheme="minorBidi"/>
          <w:kern w:val="2"/>
          <w:sz w:val="21"/>
          <w:szCs w:val="22"/>
          <w:lang w:eastAsia="zh-CN"/>
        </w:rPr>
        <w:t>深圳政府采购自行采购系统（https://trade.szggzy.com/ggzy/center/#/login）</w:t>
      </w:r>
      <w:r>
        <w:rPr>
          <w:rFonts w:hint="eastAsia" w:ascii="宋体" w:hAnsi="宋体" w:eastAsia="宋体" w:cstheme="minorBidi"/>
          <w:kern w:val="2"/>
          <w:sz w:val="21"/>
          <w:szCs w:val="21"/>
          <w:lang w:eastAsia="zh-CN"/>
        </w:rPr>
        <w:t>”，使用本单位制作电子投标文件同一个电子密钥进行在线解密、查询开标情况。</w:t>
      </w:r>
    </w:p>
    <w:p w14:paraId="73489168">
      <w:pPr>
        <w:widowControl w:val="0"/>
        <w:ind w:firstLine="315" w:firstLineChars="15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14:paraId="236D46AE">
      <w:pPr>
        <w:widowControl w:val="0"/>
        <w:ind w:firstLine="315" w:firstLineChars="150"/>
        <w:jc w:val="both"/>
        <w:rPr>
          <w:rFonts w:hint="eastAsia" w:ascii="宋体" w:hAnsi="宋体" w:eastAsia="宋体"/>
          <w:kern w:val="2"/>
          <w:sz w:val="21"/>
          <w:szCs w:val="21"/>
          <w:lang w:eastAsia="zh-CN"/>
        </w:rPr>
      </w:pPr>
    </w:p>
    <w:p w14:paraId="6B34311D">
      <w:pPr>
        <w:keepNext/>
        <w:keepLines/>
        <w:widowControl w:val="0"/>
        <w:numPr>
          <w:ilvl w:val="0"/>
          <w:numId w:val="7"/>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评审要求</w:t>
      </w:r>
    </w:p>
    <w:p w14:paraId="34C6933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29．评审委员会组成</w:t>
      </w:r>
    </w:p>
    <w:p w14:paraId="0D1F72ED">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29.1网上开标结束后召开评审会议，</w:t>
      </w:r>
      <w:r>
        <w:rPr>
          <w:rFonts w:hint="eastAsia" w:ascii="宋体" w:hAnsi="宋体" w:eastAsia="宋体" w:cstheme="minorBidi"/>
          <w:kern w:val="2"/>
          <w:sz w:val="21"/>
          <w:szCs w:val="21"/>
          <w:lang w:eastAsia="zh-CN"/>
        </w:rPr>
        <w:t>评审委员会</w:t>
      </w:r>
      <w:r>
        <w:rPr>
          <w:rFonts w:hint="eastAsia" w:ascii="宋体" w:hAnsi="宋体" w:eastAsia="宋体" w:cstheme="minorBidi"/>
          <w:kern w:val="2"/>
          <w:sz w:val="21"/>
          <w:szCs w:val="22"/>
          <w:lang w:eastAsia="zh-CN"/>
        </w:rPr>
        <w:t>由采购代理机构依法组建，负责评审活动。</w:t>
      </w:r>
    </w:p>
    <w:p w14:paraId="13518B27">
      <w:pPr>
        <w:widowControl w:val="0"/>
        <w:ind w:firstLine="411" w:firstLineChars="196"/>
        <w:jc w:val="both"/>
        <w:rPr>
          <w:rFonts w:hint="eastAsia" w:ascii="宋体" w:hAnsi="宋体" w:eastAsia="宋体"/>
          <w:kern w:val="2"/>
          <w:sz w:val="21"/>
          <w:szCs w:val="22"/>
          <w:lang w:eastAsia="zh-CN"/>
        </w:rPr>
      </w:pPr>
      <w:bookmarkStart w:id="67" w:name="_Hlk72436580"/>
      <w:r>
        <w:rPr>
          <w:rFonts w:hint="eastAsia" w:ascii="宋体" w:hAnsi="宋体" w:eastAsia="宋体" w:cstheme="minorBidi"/>
          <w:kern w:val="2"/>
          <w:sz w:val="21"/>
          <w:szCs w:val="22"/>
          <w:lang w:eastAsia="zh-CN"/>
        </w:rPr>
        <w:t>评审委员会由采购人代表和评审专家组成，成员人数应当为5人以上单数（部分条件下为7人以上单数），其中评审专家不得少于成员总数的三分之二。</w:t>
      </w:r>
      <w:bookmarkEnd w:id="67"/>
      <w:r>
        <w:rPr>
          <w:rFonts w:hint="eastAsia" w:ascii="宋体" w:hAnsi="宋体" w:eastAsia="宋体" w:cstheme="minorBidi"/>
          <w:kern w:val="2"/>
          <w:sz w:val="21"/>
          <w:szCs w:val="22"/>
          <w:lang w:eastAsia="zh-CN"/>
        </w:rPr>
        <w:t>评定</w:t>
      </w:r>
      <w:r>
        <w:rPr>
          <w:rFonts w:hint="eastAsia" w:ascii="Calibri" w:hAnsi="Calibri" w:eastAsia="宋体" w:cstheme="minorBidi"/>
          <w:kern w:val="2"/>
          <w:sz w:val="21"/>
          <w:szCs w:val="22"/>
          <w:lang w:eastAsia="zh-CN"/>
        </w:rPr>
        <w:t>分离项目</w:t>
      </w:r>
      <w:r>
        <w:rPr>
          <w:rFonts w:ascii="Calibri" w:hAnsi="Calibri" w:eastAsia="宋体" w:cstheme="minorBidi"/>
          <w:kern w:val="2"/>
          <w:sz w:val="21"/>
          <w:szCs w:val="22"/>
          <w:lang w:eastAsia="zh-CN"/>
        </w:rPr>
        <w:t>评审专家</w:t>
      </w:r>
      <w:r>
        <w:rPr>
          <w:rFonts w:hint="eastAsia" w:ascii="Calibri" w:hAnsi="Calibri" w:eastAsia="宋体" w:cstheme="minorBidi"/>
          <w:kern w:val="2"/>
          <w:sz w:val="21"/>
          <w:szCs w:val="22"/>
          <w:lang w:eastAsia="zh-CN"/>
        </w:rPr>
        <w:t>均</w:t>
      </w:r>
      <w:r>
        <w:rPr>
          <w:rFonts w:ascii="Calibri" w:hAnsi="Calibri" w:eastAsia="宋体" w:cstheme="minorBidi"/>
          <w:kern w:val="2"/>
          <w:sz w:val="21"/>
          <w:szCs w:val="22"/>
          <w:lang w:eastAsia="zh-CN"/>
        </w:rPr>
        <w:t>由</w:t>
      </w:r>
      <w:r>
        <w:rPr>
          <w:rFonts w:hint="eastAsia" w:ascii="Calibri" w:hAnsi="Calibri" w:eastAsia="宋体" w:cstheme="minorBidi"/>
          <w:kern w:val="2"/>
          <w:sz w:val="21"/>
          <w:szCs w:val="22"/>
          <w:lang w:eastAsia="zh-CN"/>
        </w:rPr>
        <w:t>评审专家组成。</w:t>
      </w:r>
      <w:r>
        <w:rPr>
          <w:rFonts w:hint="eastAsia" w:ascii="宋体" w:hAnsi="宋体" w:eastAsia="宋体" w:cstheme="minorBidi"/>
          <w:kern w:val="2"/>
          <w:sz w:val="21"/>
          <w:szCs w:val="21"/>
          <w:lang w:eastAsia="zh-CN"/>
        </w:rPr>
        <w:t>评审专家一般是</w:t>
      </w:r>
      <w:r>
        <w:rPr>
          <w:rFonts w:hint="eastAsia" w:ascii="宋体" w:hAnsi="宋体" w:eastAsia="宋体" w:cstheme="minorBidi"/>
          <w:kern w:val="2"/>
          <w:sz w:val="21"/>
          <w:szCs w:val="22"/>
          <w:lang w:eastAsia="zh-CN"/>
        </w:rPr>
        <w:t>从深圳市政府采购评审专家库中随机抽取。采购人代表须持本单位签发的《评审授权书》参加评审。</w:t>
      </w:r>
    </w:p>
    <w:p w14:paraId="4FF1C9A9">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29.2评审定标应当遵循公平、公正、科学、择优的原则。</w:t>
      </w:r>
    </w:p>
    <w:p w14:paraId="6009EAF2">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29.3评审活动依法进行，任何单位和个人不得非法干预评标过程和结果。</w:t>
      </w:r>
    </w:p>
    <w:p w14:paraId="6265A1D9">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29.4评审过程中不允许违背评标程序或采用招标文件未载明的评标方法或评标因素进行评标。</w:t>
      </w:r>
    </w:p>
    <w:p w14:paraId="2131159C">
      <w:pPr>
        <w:widowControl w:val="0"/>
        <w:ind w:firstLine="411" w:firstLineChars="196"/>
        <w:jc w:val="both"/>
        <w:rPr>
          <w:rFonts w:hint="eastAsia" w:ascii="宋体" w:hAnsi="宋体" w:eastAsia="宋体"/>
          <w:bCs/>
          <w:kern w:val="2"/>
          <w:sz w:val="21"/>
          <w:szCs w:val="22"/>
          <w:lang w:eastAsia="zh-CN"/>
        </w:rPr>
      </w:pPr>
      <w:r>
        <w:rPr>
          <w:rFonts w:hint="eastAsia" w:ascii="宋体" w:hAnsi="宋体" w:eastAsia="宋体" w:cstheme="minorBidi"/>
          <w:bCs/>
          <w:kern w:val="2"/>
          <w:sz w:val="21"/>
          <w:szCs w:val="22"/>
          <w:lang w:eastAsia="zh-CN"/>
        </w:rPr>
        <w:t>29.5 开标后，直到签订合同为止，凡属于对投标文件的审查、澄清、评价和比较的有关资料以及中标候选人的推荐情况、与评审有关的其他任何情况均严格保密（</w:t>
      </w:r>
      <w:r>
        <w:rPr>
          <w:rFonts w:hint="eastAsia" w:ascii="Calibri" w:hAnsi="Calibri" w:eastAsia="宋体" w:cstheme="minorBidi"/>
          <w:kern w:val="2"/>
          <w:sz w:val="21"/>
          <w:szCs w:val="22"/>
          <w:lang w:eastAsia="zh-CN"/>
        </w:rPr>
        <w:t>信息公开的内容除外</w:t>
      </w:r>
      <w:r>
        <w:rPr>
          <w:rFonts w:hint="eastAsia" w:ascii="宋体" w:hAnsi="宋体" w:eastAsia="宋体" w:cstheme="minorBidi"/>
          <w:bCs/>
          <w:kern w:val="2"/>
          <w:sz w:val="21"/>
          <w:szCs w:val="22"/>
          <w:lang w:eastAsia="zh-CN"/>
        </w:rPr>
        <w:t>）。</w:t>
      </w:r>
    </w:p>
    <w:p w14:paraId="74D144F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30．向评审委员会提供的资料</w:t>
      </w:r>
    </w:p>
    <w:p w14:paraId="5CE7630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30.1公开发布的招标文件，包括图纸、服务清单、答疑文件等；</w:t>
      </w:r>
    </w:p>
    <w:p w14:paraId="347737D5">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30.2其他评标必须的资料。</w:t>
      </w:r>
    </w:p>
    <w:p w14:paraId="56AACCE5">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30.3</w:t>
      </w:r>
      <w:r>
        <w:rPr>
          <w:rFonts w:hint="eastAsia" w:ascii="宋体" w:hAnsi="宋体" w:eastAsia="宋体" w:cstheme="minorBidi"/>
          <w:kern w:val="2"/>
          <w:sz w:val="21"/>
          <w:szCs w:val="21"/>
          <w:lang w:eastAsia="zh-CN"/>
        </w:rPr>
        <w:t>评审委员会</w:t>
      </w:r>
      <w:r>
        <w:rPr>
          <w:rFonts w:hint="eastAsia" w:ascii="宋体" w:hAnsi="宋体" w:eastAsia="宋体" w:cstheme="minorBidi"/>
          <w:kern w:val="2"/>
          <w:sz w:val="21"/>
          <w:szCs w:val="22"/>
          <w:lang w:eastAsia="zh-CN"/>
        </w:rPr>
        <w:t>应当认真研究招标文件，至少应了解熟悉以下内容：</w:t>
      </w:r>
    </w:p>
    <w:p w14:paraId="2DA263A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（1）招标的目的；</w:t>
      </w:r>
    </w:p>
    <w:p w14:paraId="24E64289">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（2）招标项目需求的范围和性质；</w:t>
      </w:r>
    </w:p>
    <w:p w14:paraId="6212EB6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（3）招标文件规定的投标人的资格、财政预算限额、商务条款；</w:t>
      </w:r>
    </w:p>
    <w:p w14:paraId="151999B3">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（4）招标文件规定的评标程序、评标方法和评标因素；</w:t>
      </w:r>
    </w:p>
    <w:p w14:paraId="55AA40DC">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（5）招标文件所列示的资格性审查表及符合性审查表。</w:t>
      </w:r>
    </w:p>
    <w:p w14:paraId="7E3E8D53">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31．独立评审</w:t>
      </w:r>
    </w:p>
    <w:p w14:paraId="3A4A63E8">
      <w:pPr>
        <w:widowControl w:val="0"/>
        <w:ind w:firstLine="411" w:firstLineChars="196"/>
        <w:jc w:val="both"/>
        <w:rPr>
          <w:rFonts w:hint="eastAsia" w:ascii="宋体" w:hAnsi="宋体" w:eastAsia="宋体"/>
          <w:bCs/>
          <w:kern w:val="2"/>
          <w:sz w:val="21"/>
          <w:szCs w:val="22"/>
          <w:lang w:eastAsia="zh-CN"/>
        </w:rPr>
      </w:pPr>
      <w:r>
        <w:rPr>
          <w:rFonts w:hint="eastAsia" w:ascii="宋体" w:hAnsi="宋体" w:eastAsia="宋体" w:cstheme="minorBidi"/>
          <w:bCs/>
          <w:kern w:val="2"/>
          <w:sz w:val="21"/>
          <w:szCs w:val="22"/>
          <w:lang w:eastAsia="zh-CN"/>
        </w:rPr>
        <w:t>3</w:t>
      </w:r>
      <w:r>
        <w:rPr>
          <w:rFonts w:ascii="宋体" w:hAnsi="宋体" w:eastAsia="宋体" w:cstheme="minorBidi"/>
          <w:bCs/>
          <w:kern w:val="2"/>
          <w:sz w:val="21"/>
          <w:szCs w:val="22"/>
          <w:lang w:eastAsia="zh-CN"/>
        </w:rPr>
        <w:t>1</w:t>
      </w:r>
      <w:r>
        <w:rPr>
          <w:rFonts w:hint="eastAsia" w:ascii="宋体" w:hAnsi="宋体" w:eastAsia="宋体" w:cstheme="minorBidi"/>
          <w:bCs/>
          <w:kern w:val="2"/>
          <w:sz w:val="21"/>
          <w:szCs w:val="22"/>
          <w:lang w:eastAsia="zh-CN"/>
        </w:rPr>
        <w:t>.1</w:t>
      </w:r>
      <w:r>
        <w:rPr>
          <w:rFonts w:hint="eastAsia" w:ascii="宋体" w:hAnsi="宋体" w:eastAsia="宋体" w:cstheme="minorBidi"/>
          <w:kern w:val="2"/>
          <w:sz w:val="21"/>
          <w:szCs w:val="21"/>
          <w:lang w:eastAsia="zh-CN"/>
        </w:rPr>
        <w:t>评审委员会</w:t>
      </w:r>
      <w:r>
        <w:rPr>
          <w:rFonts w:hint="eastAsia" w:ascii="宋体" w:hAnsi="宋体" w:eastAsia="宋体" w:cstheme="minorBidi"/>
          <w:bCs/>
          <w:kern w:val="2"/>
          <w:sz w:val="21"/>
          <w:szCs w:val="22"/>
          <w:lang w:eastAsia="zh-CN"/>
        </w:rPr>
        <w:t>成员的评标活动应当独立进行，并应遵循投标文件初审、澄清有关问题、比较与评价、确定中标供应商、编写评审报告的工作程序。</w:t>
      </w:r>
    </w:p>
    <w:p w14:paraId="40E828F8">
      <w:pPr>
        <w:widowControl w:val="0"/>
        <w:ind w:firstLine="411" w:firstLineChars="196"/>
        <w:jc w:val="both"/>
        <w:rPr>
          <w:rFonts w:hint="eastAsia" w:ascii="宋体" w:hAnsi="宋体" w:eastAsia="宋体"/>
          <w:bCs/>
          <w:kern w:val="2"/>
          <w:sz w:val="21"/>
          <w:szCs w:val="21"/>
          <w:lang w:eastAsia="zh-CN"/>
        </w:rPr>
      </w:pPr>
    </w:p>
    <w:p w14:paraId="0C68052C">
      <w:pPr>
        <w:keepNext/>
        <w:keepLines/>
        <w:widowControl w:val="0"/>
        <w:numPr>
          <w:ilvl w:val="0"/>
          <w:numId w:val="7"/>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评审程序及评审方法</w:t>
      </w:r>
    </w:p>
    <w:p w14:paraId="1D6D311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32．投标文件初审</w:t>
      </w:r>
    </w:p>
    <w:p w14:paraId="12B7D5EF">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32.1投标文件初审包括资格性审查和符合性审查。</w:t>
      </w:r>
    </w:p>
    <w:p w14:paraId="3D523BD0">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资格性审查：依据法律法规和招标文件的规定，对投标文件中的资格证明等进行审查，以确定投标供应商是否具备投标资格。</w:t>
      </w:r>
    </w:p>
    <w:p w14:paraId="43A7C8CC">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符合性审查：依据招标文件的规定，对投标文件的有效性、完整性和对招标文件的响应程度进行审查，以确定是否满足符合性审查的要求。</w:t>
      </w:r>
    </w:p>
    <w:p w14:paraId="365DF0A4">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32.2 投标文件初审内容请详见《资格性审查表》和《符合性审查表》部分。投标人若有一条审查不通过则按投标无效处理。</w:t>
      </w:r>
    </w:p>
    <w:p w14:paraId="61393F55">
      <w:pPr>
        <w:widowControl w:val="0"/>
        <w:ind w:firstLine="411" w:firstLineChars="196"/>
        <w:jc w:val="both"/>
        <w:rPr>
          <w:rFonts w:hint="eastAsia" w:ascii="宋体" w:hAnsi="宋体" w:eastAsia="宋体"/>
          <w:bCs/>
          <w:kern w:val="2"/>
          <w:sz w:val="21"/>
          <w:szCs w:val="22"/>
          <w:lang w:eastAsia="zh-CN"/>
        </w:rPr>
      </w:pPr>
      <w:r>
        <w:rPr>
          <w:rFonts w:hint="eastAsia" w:ascii="宋体" w:hAnsi="宋体" w:eastAsia="宋体" w:cstheme="minorBidi"/>
          <w:bCs/>
          <w:kern w:val="2"/>
          <w:sz w:val="21"/>
          <w:szCs w:val="22"/>
          <w:lang w:eastAsia="zh-CN"/>
        </w:rPr>
        <w:t>32.3 投标文件初审中关于供应商家数的计算：</w:t>
      </w:r>
    </w:p>
    <w:p w14:paraId="5D3371F8">
      <w:pPr>
        <w:widowControl w:val="0"/>
        <w:ind w:firstLine="411" w:firstLineChars="196"/>
        <w:jc w:val="both"/>
        <w:rPr>
          <w:rFonts w:hint="eastAsia" w:ascii="宋体" w:hAnsi="宋体" w:eastAsia="宋体"/>
          <w:bCs/>
          <w:kern w:val="2"/>
          <w:sz w:val="21"/>
          <w:szCs w:val="22"/>
          <w:lang w:eastAsia="zh-CN"/>
        </w:rPr>
      </w:pPr>
      <w:r>
        <w:rPr>
          <w:rFonts w:hint="eastAsia" w:ascii="宋体" w:hAnsi="宋体" w:eastAsia="宋体" w:cstheme="minorBidi"/>
          <w:bCs/>
          <w:kern w:val="2"/>
          <w:sz w:val="21"/>
          <w:szCs w:val="22"/>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284690DF">
      <w:pPr>
        <w:widowControl w:val="0"/>
        <w:ind w:firstLine="411" w:firstLineChars="196"/>
        <w:jc w:val="both"/>
        <w:rPr>
          <w:rFonts w:hint="eastAsia" w:ascii="宋体" w:hAnsi="宋体" w:eastAsia="宋体"/>
          <w:bCs/>
          <w:kern w:val="2"/>
          <w:sz w:val="21"/>
          <w:szCs w:val="22"/>
          <w:lang w:eastAsia="zh-CN"/>
        </w:rPr>
      </w:pPr>
      <w:r>
        <w:rPr>
          <w:rFonts w:hint="eastAsia" w:ascii="宋体" w:hAnsi="宋体" w:eastAsia="宋体" w:cstheme="minorBidi"/>
          <w:bCs/>
          <w:kern w:val="2"/>
          <w:sz w:val="21"/>
          <w:szCs w:val="22"/>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cstheme="minorBidi"/>
          <w:bCs/>
          <w:kern w:val="2"/>
          <w:sz w:val="21"/>
          <w:szCs w:val="21"/>
          <w:lang w:eastAsia="zh-CN"/>
        </w:rPr>
        <w:t>评审委员会</w:t>
      </w:r>
      <w:r>
        <w:rPr>
          <w:rFonts w:hint="eastAsia" w:ascii="宋体" w:hAnsi="宋体" w:eastAsia="宋体" w:cstheme="minorBidi"/>
          <w:bCs/>
          <w:kern w:val="2"/>
          <w:sz w:val="21"/>
          <w:szCs w:val="22"/>
          <w:lang w:eastAsia="zh-CN"/>
        </w:rPr>
        <w:t>按照招标文件规定的方式确定一个投标人获得中标人推荐资格，招标文件未规定的采取随机抽取方式确定，其他同品牌投标人不作为中标候选人。</w:t>
      </w:r>
    </w:p>
    <w:p w14:paraId="23298DC1">
      <w:pPr>
        <w:widowControl w:val="0"/>
        <w:ind w:firstLine="411" w:firstLineChars="196"/>
        <w:jc w:val="both"/>
        <w:rPr>
          <w:rFonts w:hint="eastAsia" w:ascii="宋体" w:hAnsi="宋体" w:eastAsia="宋体"/>
          <w:bCs/>
          <w:kern w:val="2"/>
          <w:sz w:val="21"/>
          <w:szCs w:val="22"/>
          <w:lang w:eastAsia="zh-CN"/>
        </w:rPr>
      </w:pPr>
      <w:r>
        <w:rPr>
          <w:rFonts w:hint="eastAsia" w:ascii="宋体" w:hAnsi="宋体" w:eastAsia="宋体" w:cstheme="minorBidi"/>
          <w:bCs/>
          <w:kern w:val="2"/>
          <w:sz w:val="21"/>
          <w:szCs w:val="22"/>
          <w:lang w:eastAsia="zh-CN"/>
        </w:rPr>
        <w:t>32.3.3非单一产品采购项目，采购人应当根据采购项目技术构成、产品价格比重等合理确定核心产品，并在招标文件中载明。多家投标人提供的核心产品品牌相同的，按前两款规定处理。</w:t>
      </w:r>
    </w:p>
    <w:p w14:paraId="11BF6313">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32.4投标人投标文件作无效处理的情形，具体包括但不限于以下：</w:t>
      </w:r>
    </w:p>
    <w:p w14:paraId="053C1EEA">
      <w:pPr>
        <w:widowControl w:val="0"/>
        <w:ind w:firstLine="411" w:firstLineChars="196"/>
        <w:jc w:val="both"/>
        <w:rPr>
          <w:rFonts w:ascii="Calibri" w:hAnsi="Calibri" w:eastAsia="宋体"/>
          <w:kern w:val="2"/>
          <w:sz w:val="21"/>
          <w:szCs w:val="22"/>
          <w:lang w:eastAsia="zh-CN"/>
        </w:rPr>
      </w:pPr>
      <w:r>
        <w:rPr>
          <w:rFonts w:hint="eastAsia" w:ascii="宋体" w:hAnsi="宋体" w:eastAsia="宋体" w:cstheme="minorBidi"/>
          <w:kern w:val="2"/>
          <w:sz w:val="21"/>
          <w:szCs w:val="22"/>
          <w:lang w:eastAsia="zh-CN"/>
        </w:rPr>
        <w:t>32.4.1</w:t>
      </w:r>
      <w:r>
        <w:rPr>
          <w:rFonts w:hint="eastAsia" w:ascii="Calibri" w:hAnsi="Calibri" w:eastAsia="宋体" w:cstheme="minorBidi"/>
          <w:kern w:val="2"/>
          <w:sz w:val="21"/>
          <w:szCs w:val="22"/>
          <w:lang w:eastAsia="zh-CN"/>
        </w:rPr>
        <w:t>不同投标人的投标文件由同一单位或者同一个人编制，或者由同一个人分阶段参与编制；</w:t>
      </w:r>
    </w:p>
    <w:p w14:paraId="69A73516">
      <w:pPr>
        <w:widowControl w:val="0"/>
        <w:ind w:firstLine="411" w:firstLineChars="196"/>
        <w:jc w:val="both"/>
        <w:rPr>
          <w:rFonts w:ascii="Calibri" w:hAnsi="Calibri" w:eastAsia="宋体"/>
          <w:kern w:val="2"/>
          <w:sz w:val="21"/>
          <w:szCs w:val="22"/>
          <w:lang w:eastAsia="zh-CN"/>
        </w:rPr>
      </w:pPr>
      <w:r>
        <w:rPr>
          <w:rFonts w:ascii="宋体" w:hAnsi="宋体" w:eastAsia="宋体" w:cstheme="minorBidi"/>
          <w:kern w:val="2"/>
          <w:sz w:val="21"/>
          <w:szCs w:val="22"/>
          <w:lang w:eastAsia="zh-CN"/>
        </w:rPr>
        <w:t>32.4.</w:t>
      </w:r>
      <w:r>
        <w:rPr>
          <w:rFonts w:hint="eastAsia" w:ascii="宋体" w:hAnsi="宋体" w:eastAsia="宋体" w:cstheme="minorBidi"/>
          <w:kern w:val="2"/>
          <w:sz w:val="21"/>
          <w:szCs w:val="22"/>
          <w:lang w:eastAsia="zh-CN"/>
        </w:rPr>
        <w:t>2</w:t>
      </w:r>
      <w:r>
        <w:rPr>
          <w:rFonts w:hint="eastAsia" w:ascii="Calibri" w:hAnsi="Calibri" w:eastAsia="宋体" w:cstheme="minorBidi"/>
          <w:kern w:val="2"/>
          <w:sz w:val="21"/>
          <w:szCs w:val="22"/>
          <w:lang w:eastAsia="zh-CN"/>
        </w:rPr>
        <w:t>不同投标人委托同一单位或者个人办理投标事宜；</w:t>
      </w:r>
    </w:p>
    <w:p w14:paraId="7A6D41A5">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32.4.3不同投标人的投标文件载明的项目管理成员或者联系人员为同一人；</w:t>
      </w:r>
    </w:p>
    <w:p w14:paraId="20418D01">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32.4.4不同投标人的投标文件异常一致或者投标报价呈规律性差异；</w:t>
      </w:r>
    </w:p>
    <w:p w14:paraId="4DA9679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32.4.5</w:t>
      </w:r>
      <w:r>
        <w:rPr>
          <w:rFonts w:ascii="宋体" w:hAnsi="宋体" w:eastAsia="宋体" w:cstheme="minorBidi"/>
          <w:kern w:val="2"/>
          <w:sz w:val="21"/>
          <w:szCs w:val="22"/>
          <w:lang w:eastAsia="zh-CN"/>
        </w:rPr>
        <w:t>不同投标供应商的投标文件或部分投标文件相互混装</w:t>
      </w:r>
      <w:r>
        <w:rPr>
          <w:rFonts w:hint="eastAsia" w:ascii="宋体" w:hAnsi="宋体" w:eastAsia="宋体" w:cstheme="minorBidi"/>
          <w:kern w:val="2"/>
          <w:sz w:val="21"/>
          <w:szCs w:val="22"/>
          <w:lang w:eastAsia="zh-CN"/>
        </w:rPr>
        <w:t>；</w:t>
      </w:r>
    </w:p>
    <w:p w14:paraId="6CB90620">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32.4.6投标供应商之间相互约定给予未中标的供应商利益补偿；</w:t>
      </w:r>
    </w:p>
    <w:p w14:paraId="26EA8CE7">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32.4.7不同投标供应商的法定代表人、主要经营负责人、项目投标授权代表人、项目负责人、主要技术人员为同一人、属同一单位或者同一单位缴纳社会保险；</w:t>
      </w:r>
    </w:p>
    <w:p w14:paraId="35F2913B">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32.4.8不同投标供应商的投标文件内容存在非正常一致；</w:t>
      </w:r>
    </w:p>
    <w:p w14:paraId="7D0AE4FE">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32.4.9在同一单位工作人员为两家以上（含两家）供应商进行同一项投标活动；</w:t>
      </w:r>
    </w:p>
    <w:p w14:paraId="43EF6E8A">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32.4.10主管部门依照法律、法规认定的其他情形。</w:t>
      </w:r>
    </w:p>
    <w:p w14:paraId="20D989D3">
      <w:pPr>
        <w:widowControl w:val="0"/>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32.5对不属于《资格性审查表》和《符合性审查表》所列的其他情形，除专用条款另有规定和32.4条款所列情形外，不得作为投标无效的理由。</w:t>
      </w:r>
    </w:p>
    <w:p w14:paraId="6369365A">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33．澄清有关问题</w:t>
      </w:r>
    </w:p>
    <w:p w14:paraId="4C685CC2">
      <w:pPr>
        <w:widowControl w:val="0"/>
        <w:ind w:firstLine="411" w:firstLineChars="196"/>
        <w:jc w:val="both"/>
        <w:rPr>
          <w:rFonts w:hint="eastAsia" w:ascii="宋体" w:hAnsi="宋体" w:eastAsia="宋体"/>
          <w:kern w:val="2"/>
          <w:sz w:val="21"/>
          <w:szCs w:val="22"/>
          <w:lang w:eastAsia="zh-CN"/>
        </w:rPr>
      </w:pPr>
      <w:bookmarkStart w:id="68" w:name="_Hlk71407321"/>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3.1</w:t>
      </w:r>
      <w:r>
        <w:rPr>
          <w:rFonts w:hint="eastAsia" w:ascii="宋体" w:hAnsi="宋体" w:eastAsia="宋体" w:cstheme="minorBidi"/>
          <w:kern w:val="2"/>
          <w:sz w:val="21"/>
          <w:szCs w:val="22"/>
          <w:lang w:eastAsia="zh-CN"/>
        </w:rPr>
        <w:t>对招标文件中描述有歧义或前后不一致的地方（不含</w:t>
      </w:r>
      <w:r>
        <w:rPr>
          <w:rFonts w:ascii="Calibri" w:hAnsi="Calibri" w:eastAsia="宋体" w:cstheme="minorBidi"/>
          <w:kern w:val="2"/>
          <w:sz w:val="21"/>
          <w:szCs w:val="21"/>
          <w:lang w:eastAsia="zh-CN"/>
        </w:rPr>
        <w:t>招标文件存在歧义、重大缺陷导致评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工作无法进行</w:t>
      </w:r>
      <w:r>
        <w:rPr>
          <w:rFonts w:hint="eastAsia" w:ascii="Calibri" w:hAnsi="Calibri" w:eastAsia="宋体" w:cstheme="minorBidi"/>
          <w:kern w:val="2"/>
          <w:sz w:val="21"/>
          <w:szCs w:val="21"/>
          <w:lang w:eastAsia="zh-CN"/>
        </w:rPr>
        <w:t>的情况）</w:t>
      </w:r>
      <w:r>
        <w:rPr>
          <w:rFonts w:hint="eastAsia" w:ascii="宋体" w:hAnsi="宋体" w:eastAsia="宋体" w:cstheme="minorBidi"/>
          <w:kern w:val="2"/>
          <w:sz w:val="21"/>
          <w:szCs w:val="22"/>
          <w:lang w:eastAsia="zh-CN"/>
        </w:rPr>
        <w:t>，评审委员会有权进行评判，但对同一条款的评判应适用于每个投标人。</w:t>
      </w:r>
      <w:bookmarkEnd w:id="68"/>
    </w:p>
    <w:p w14:paraId="729D8D99">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3.2</w:t>
      </w:r>
      <w:r>
        <w:rPr>
          <w:rFonts w:ascii="Calibri" w:hAnsi="Calibri" w:eastAsia="宋体" w:cstheme="minorBidi"/>
          <w:kern w:val="2"/>
          <w:sz w:val="21"/>
          <w:szCs w:val="21"/>
          <w:lang w:eastAsia="zh-CN"/>
        </w:rPr>
        <w:t>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委员会发现招标文件存在歧义、重大缺陷导致评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工作无法进行，或者招标文件内容违反国家有关强制性规定的，应当停止评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工作，与</w:t>
      </w:r>
      <w:r>
        <w:rPr>
          <w:rFonts w:hint="eastAsia" w:ascii="Calibri" w:hAnsi="Calibri" w:eastAsia="宋体" w:cstheme="minorBidi"/>
          <w:kern w:val="2"/>
          <w:sz w:val="21"/>
          <w:szCs w:val="21"/>
          <w:lang w:eastAsia="zh-CN"/>
        </w:rPr>
        <w:t>采购代理机构</w:t>
      </w:r>
      <w:r>
        <w:rPr>
          <w:rFonts w:ascii="Calibri" w:hAnsi="Calibri" w:eastAsia="宋体" w:cstheme="minorBidi"/>
          <w:kern w:val="2"/>
          <w:sz w:val="21"/>
          <w:szCs w:val="21"/>
          <w:lang w:eastAsia="zh-CN"/>
        </w:rPr>
        <w:t>沟通并作书面记录。</w:t>
      </w:r>
      <w:r>
        <w:rPr>
          <w:rFonts w:hint="eastAsia" w:ascii="Calibri" w:hAnsi="Calibri" w:eastAsia="宋体" w:cstheme="minorBidi"/>
          <w:kern w:val="2"/>
          <w:sz w:val="21"/>
          <w:szCs w:val="21"/>
          <w:lang w:eastAsia="zh-CN"/>
        </w:rPr>
        <w:t>经</w:t>
      </w:r>
      <w:r>
        <w:rPr>
          <w:rFonts w:ascii="Calibri" w:hAnsi="Calibri" w:eastAsia="宋体" w:cstheme="minorBidi"/>
          <w:kern w:val="2"/>
          <w:sz w:val="21"/>
          <w:szCs w:val="21"/>
          <w:lang w:eastAsia="zh-CN"/>
        </w:rPr>
        <w:t>确认后，</w:t>
      </w:r>
      <w:r>
        <w:rPr>
          <w:rFonts w:hint="eastAsia" w:ascii="Calibri" w:hAnsi="Calibri" w:eastAsia="宋体" w:cstheme="minorBidi"/>
          <w:kern w:val="2"/>
          <w:sz w:val="21"/>
          <w:szCs w:val="21"/>
          <w:lang w:eastAsia="zh-CN"/>
        </w:rPr>
        <w:t>项目</w:t>
      </w:r>
      <w:r>
        <w:rPr>
          <w:rFonts w:ascii="Calibri" w:hAnsi="Calibri" w:eastAsia="宋体" w:cstheme="minorBidi"/>
          <w:kern w:val="2"/>
          <w:sz w:val="21"/>
          <w:szCs w:val="21"/>
          <w:lang w:eastAsia="zh-CN"/>
        </w:rPr>
        <w:t>应当修改招标文件，重新组织采购活动。</w:t>
      </w:r>
    </w:p>
    <w:p w14:paraId="5BBB10B4">
      <w:pPr>
        <w:widowControl w:val="0"/>
        <w:ind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2"/>
          <w:lang w:eastAsia="zh-CN"/>
        </w:rPr>
        <w:t>33.3</w:t>
      </w:r>
      <w:r>
        <w:rPr>
          <w:rFonts w:hint="eastAsia" w:ascii="宋体" w:hAnsi="宋体" w:eastAsia="宋体" w:cstheme="minorBidi"/>
          <w:kern w:val="2"/>
          <w:sz w:val="21"/>
          <w:szCs w:val="22"/>
          <w:lang w:eastAsia="zh-CN"/>
        </w:rPr>
        <w:t>对于投标文件中含义不明确、同类问题表述不一致或者有明显文字和计算错误的内容，评审委员会应当以书面形式要求投标人作出必要的澄清、说明或者补正。</w:t>
      </w:r>
    </w:p>
    <w:p w14:paraId="54FC53AF">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2D2B21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根据本通用条款第34条，凡属于评审委员会在评审中发现的算术错误进行核实的修改不在此列。</w:t>
      </w:r>
    </w:p>
    <w:p w14:paraId="0F2CBB81">
      <w:pPr>
        <w:widowControl w:val="0"/>
        <w:jc w:val="both"/>
        <w:rPr>
          <w:rFonts w:hint="eastAsia" w:ascii="黑体" w:hAnsi="宋体" w:eastAsia="黑体"/>
          <w:kern w:val="2"/>
          <w:szCs w:val="22"/>
          <w:lang w:eastAsia="zh-CN"/>
        </w:rPr>
      </w:pPr>
      <w:bookmarkStart w:id="69" w:name="_Toc73518151"/>
      <w:bookmarkStart w:id="70" w:name="_Toc73521669"/>
      <w:bookmarkStart w:id="71" w:name="_Toc73517673"/>
      <w:bookmarkStart w:id="72" w:name="_Toc100052400"/>
      <w:bookmarkStart w:id="73" w:name="_Toc73521581"/>
      <w:r>
        <w:rPr>
          <w:rFonts w:hint="eastAsia" w:ascii="黑体" w:hAnsi="宋体" w:eastAsia="黑体" w:cstheme="minorBidi"/>
          <w:kern w:val="2"/>
          <w:szCs w:val="22"/>
          <w:lang w:eastAsia="zh-CN"/>
        </w:rPr>
        <w:t>34．错误的修正</w:t>
      </w:r>
      <w:bookmarkEnd w:id="69"/>
      <w:bookmarkEnd w:id="70"/>
      <w:bookmarkEnd w:id="71"/>
      <w:bookmarkEnd w:id="72"/>
      <w:bookmarkEnd w:id="73"/>
    </w:p>
    <w:p w14:paraId="7FDF5776">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投标文件报价出现前后不一致的，除专用条款另有规定外，按照下列规定修正：</w:t>
      </w:r>
    </w:p>
    <w:p w14:paraId="2E770CF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34.1投标文件中开标一览表投标报价内容与投标文件中投标报价相应内容不一致的，以开标一览表为准；</w:t>
      </w:r>
    </w:p>
    <w:p w14:paraId="0472D28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34.2大写金额和小写金额不一致的，以大写金额为准；</w:t>
      </w:r>
    </w:p>
    <w:p w14:paraId="427ACC19">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34.3单价金额小数点或者百分比有明显错位，以开标一览表的总价为准，并修改单价；</w:t>
      </w:r>
    </w:p>
    <w:p w14:paraId="428E0C4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34.4总价金额与按单价汇总金额不一致的，以单价金额计算结果为准。</w:t>
      </w:r>
    </w:p>
    <w:p w14:paraId="00DA45A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34.5同时出现两种以上不一致的，按照前款规定的顺序修正。修正后的报价按照本通用条款33条的规定，经投标人确认后产生约束力，投标人不确认的，其投标无效。</w:t>
      </w:r>
    </w:p>
    <w:p w14:paraId="584E99B1">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35．投标文件的比较与评价</w:t>
      </w:r>
    </w:p>
    <w:p w14:paraId="03ECFDCF">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7D35B5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评审委员会成员对需要共同认定的事项存在争议的，应当按照少数服从多数的原则作出结论。持不同意见的评审委员会成员应当书面作出说明，否则视为无异议。</w:t>
      </w:r>
    </w:p>
    <w:p w14:paraId="017A007E">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36. 实地考察或资料查验</w:t>
      </w:r>
    </w:p>
    <w:p w14:paraId="2146C339">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36.1在评审过程中，评审委员会有权决定是否对本项目投标人进行实地考察或资料查验（原件）。投标人应随时做好接受实地考察或资料查验的准备。</w:t>
      </w:r>
    </w:p>
    <w:p w14:paraId="2B8D69A7">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37．评审方法</w:t>
      </w:r>
    </w:p>
    <w:p w14:paraId="56957169">
      <w:pPr>
        <w:widowControl w:val="0"/>
        <w:ind w:firstLine="413" w:firstLineChars="196"/>
        <w:jc w:val="both"/>
        <w:rPr>
          <w:rFonts w:hint="eastAsia" w:ascii="宋体" w:hAnsi="宋体" w:eastAsia="宋体"/>
          <w:b/>
          <w:bCs/>
          <w:kern w:val="2"/>
          <w:sz w:val="21"/>
          <w:szCs w:val="21"/>
          <w:lang w:eastAsia="zh-CN"/>
        </w:rPr>
      </w:pPr>
      <w:bookmarkStart w:id="74" w:name="_Hlk72438142"/>
      <w:r>
        <w:rPr>
          <w:rFonts w:hint="eastAsia" w:ascii="宋体" w:hAnsi="宋体" w:eastAsia="宋体" w:cstheme="minorBidi"/>
          <w:b/>
          <w:bCs/>
          <w:kern w:val="2"/>
          <w:sz w:val="21"/>
          <w:szCs w:val="21"/>
          <w:lang w:eastAsia="zh-CN"/>
        </w:rPr>
        <w:t>37.1.1最低价法</w:t>
      </w:r>
    </w:p>
    <w:p w14:paraId="59FB9C56">
      <w:pPr>
        <w:widowControl w:val="0"/>
        <w:ind w:firstLine="411" w:firstLineChars="196"/>
        <w:jc w:val="both"/>
        <w:rPr>
          <w:rFonts w:hint="eastAsia" w:ascii="ˎ̥" w:hAnsi="ˎ̥" w:eastAsia="宋体"/>
          <w:kern w:val="2"/>
          <w:sz w:val="21"/>
          <w:szCs w:val="22"/>
          <w:lang w:eastAsia="zh-CN"/>
        </w:rPr>
      </w:pPr>
      <w:r>
        <w:rPr>
          <w:rFonts w:ascii="ˎ̥" w:hAnsi="ˎ̥" w:eastAsia="宋体" w:cstheme="minorBidi"/>
          <w:kern w:val="2"/>
          <w:sz w:val="21"/>
          <w:szCs w:val="22"/>
          <w:lang w:eastAsia="zh-CN"/>
        </w:rPr>
        <w:t>最低价法，</w:t>
      </w:r>
      <w:r>
        <w:rPr>
          <w:rFonts w:hint="eastAsia" w:ascii="ˎ̥" w:hAnsi="ˎ̥" w:eastAsia="宋体" w:cstheme="minorBidi"/>
          <w:kern w:val="2"/>
          <w:sz w:val="21"/>
          <w:szCs w:val="22"/>
          <w:lang w:eastAsia="zh-CN"/>
        </w:rPr>
        <w:t>是指投标文件满足招标文件全部实质性要求，且投标报价最低的投标人为中标候选人的评标方法。</w:t>
      </w:r>
    </w:p>
    <w:p w14:paraId="6B47DC9C">
      <w:pPr>
        <w:widowControl w:val="0"/>
        <w:ind w:firstLine="411" w:firstLineChars="196"/>
        <w:jc w:val="both"/>
        <w:rPr>
          <w:rFonts w:hint="eastAsia" w:ascii="ˎ̥" w:hAnsi="ˎ̥" w:eastAsia="宋体"/>
          <w:kern w:val="2"/>
          <w:sz w:val="21"/>
          <w:szCs w:val="22"/>
          <w:lang w:eastAsia="zh-CN"/>
        </w:rPr>
      </w:pPr>
      <w:r>
        <w:rPr>
          <w:rFonts w:hint="eastAsia" w:ascii="ˎ̥" w:hAnsi="ˎ̥" w:eastAsia="宋体" w:cstheme="minorBidi"/>
          <w:kern w:val="2"/>
          <w:sz w:val="21"/>
          <w:szCs w:val="22"/>
          <w:lang w:eastAsia="zh-CN"/>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深圳市拓泰实业有限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1BC04B33">
      <w:pPr>
        <w:widowControl w:val="0"/>
        <w:ind w:firstLine="413" w:firstLineChars="196"/>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37.1.2综合评分法</w:t>
      </w:r>
    </w:p>
    <w:p w14:paraId="457695EC">
      <w:pPr>
        <w:widowControl w:val="0"/>
        <w:ind w:firstLine="411" w:firstLineChars="196"/>
        <w:jc w:val="both"/>
        <w:rPr>
          <w:rFonts w:hint="eastAsia" w:ascii="ˎ̥" w:hAnsi="ˎ̥" w:eastAsia="宋体"/>
          <w:kern w:val="2"/>
          <w:sz w:val="21"/>
          <w:szCs w:val="22"/>
          <w:lang w:eastAsia="zh-CN"/>
        </w:rPr>
      </w:pPr>
      <w:r>
        <w:rPr>
          <w:rFonts w:ascii="ˎ̥" w:hAnsi="ˎ̥" w:eastAsia="宋体" w:cstheme="minorBidi"/>
          <w:kern w:val="2"/>
          <w:sz w:val="21"/>
          <w:szCs w:val="22"/>
          <w:lang w:eastAsia="zh-CN"/>
        </w:rPr>
        <w:t>综合评分法，是指</w:t>
      </w:r>
      <w:r>
        <w:rPr>
          <w:rFonts w:hint="eastAsia" w:ascii="ˎ̥" w:hAnsi="ˎ̥" w:eastAsia="宋体" w:cstheme="minorBidi"/>
          <w:kern w:val="2"/>
          <w:sz w:val="21"/>
          <w:szCs w:val="22"/>
          <w:lang w:eastAsia="zh-CN"/>
        </w:rPr>
        <w:t>在</w:t>
      </w:r>
      <w:r>
        <w:rPr>
          <w:rFonts w:ascii="ˎ̥" w:hAnsi="ˎ̥" w:eastAsia="宋体" w:cstheme="minorBidi"/>
          <w:kern w:val="2"/>
          <w:sz w:val="21"/>
          <w:szCs w:val="22"/>
          <w:lang w:eastAsia="zh-CN"/>
        </w:rPr>
        <w:t>满足招标文件全部实质性要求</w:t>
      </w:r>
      <w:r>
        <w:rPr>
          <w:rFonts w:hint="eastAsia" w:ascii="ˎ̥" w:hAnsi="ˎ̥" w:eastAsia="宋体" w:cstheme="minorBidi"/>
          <w:kern w:val="2"/>
          <w:sz w:val="21"/>
          <w:szCs w:val="22"/>
          <w:lang w:eastAsia="zh-CN"/>
        </w:rPr>
        <w:t>的前提下</w:t>
      </w:r>
      <w:r>
        <w:rPr>
          <w:rFonts w:ascii="ˎ̥" w:hAnsi="ˎ̥" w:eastAsia="宋体" w:cstheme="minorBidi"/>
          <w:kern w:val="2"/>
          <w:sz w:val="21"/>
          <w:szCs w:val="22"/>
          <w:lang w:eastAsia="zh-CN"/>
        </w:rPr>
        <w:t>，</w:t>
      </w:r>
      <w:r>
        <w:rPr>
          <w:rFonts w:hint="eastAsia" w:ascii="ˎ̥" w:hAnsi="ˎ̥" w:eastAsia="宋体" w:cstheme="minorBidi"/>
          <w:kern w:val="2"/>
          <w:sz w:val="21"/>
          <w:szCs w:val="22"/>
          <w:lang w:eastAsia="zh-CN"/>
        </w:rPr>
        <w:t>按照招标文件中规定的各项因素进行综合评审，评审总得分排名前列的投标人，作为推荐的候选中标供应商。</w:t>
      </w:r>
    </w:p>
    <w:p w14:paraId="4F5F8F14">
      <w:pPr>
        <w:widowControl w:val="0"/>
        <w:ind w:firstLine="411" w:firstLineChars="196"/>
        <w:jc w:val="both"/>
        <w:rPr>
          <w:rFonts w:hint="eastAsia" w:ascii="ˎ̥" w:hAnsi="ˎ̥" w:eastAsia="宋体"/>
          <w:kern w:val="2"/>
          <w:sz w:val="21"/>
          <w:szCs w:val="22"/>
          <w:lang w:eastAsia="zh-CN"/>
        </w:rPr>
      </w:pPr>
      <w:r>
        <w:rPr>
          <w:rFonts w:hint="eastAsia" w:ascii="ˎ̥" w:hAnsi="ˎ̥" w:eastAsia="宋体" w:cstheme="minorBidi"/>
          <w:kern w:val="2"/>
          <w:sz w:val="21"/>
          <w:szCs w:val="22"/>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抽签原则：在深圳市拓泰实业有限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74"/>
    </w:p>
    <w:p w14:paraId="37708B3B">
      <w:pPr>
        <w:widowControl w:val="0"/>
        <w:ind w:firstLine="413" w:firstLineChars="196"/>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37.2 本项目采用的评审方法见本项目招标文件第一册“专用条款”的相关内容。</w:t>
      </w:r>
    </w:p>
    <w:p w14:paraId="6B3FBCD1">
      <w:pPr>
        <w:widowControl w:val="0"/>
        <w:ind w:firstLine="413" w:firstLineChars="196"/>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37.3重新评审的情形</w:t>
      </w:r>
    </w:p>
    <w:p w14:paraId="3B324948">
      <w:pPr>
        <w:widowControl w:val="0"/>
        <w:ind w:firstLine="411" w:firstLineChars="196"/>
        <w:jc w:val="both"/>
        <w:rPr>
          <w:rFonts w:hint="eastAsia" w:ascii="宋体" w:hAnsi="宋体" w:eastAsia="宋体"/>
          <w:b/>
          <w:bCs/>
          <w:kern w:val="2"/>
          <w:sz w:val="21"/>
          <w:szCs w:val="21"/>
          <w:lang w:eastAsia="zh-CN"/>
        </w:rPr>
      </w:pPr>
      <w:r>
        <w:rPr>
          <w:rFonts w:hint="eastAsia" w:ascii="宋体" w:hAnsi="宋体" w:eastAsia="宋体" w:cs="宋体"/>
          <w:sz w:val="21"/>
          <w:szCs w:val="21"/>
          <w:lang w:eastAsia="zh-CN"/>
        </w:rPr>
        <w:t>评审结果汇总完成后，除下列情形外，任何人不得修改评审结果：</w:t>
      </w:r>
    </w:p>
    <w:p w14:paraId="66739718">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37.3.1分值汇总计算错误的；</w:t>
      </w:r>
    </w:p>
    <w:p w14:paraId="6C2CBA4A">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37.3.2分项评分超出评分标准范围的；</w:t>
      </w:r>
    </w:p>
    <w:p w14:paraId="42C018D9">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37.3.3评审委员会成员对客观评审因素评分不一致的；</w:t>
      </w:r>
    </w:p>
    <w:p w14:paraId="20835FA5">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37.3.4经评审委员会认定评分畸高、畸低的。</w:t>
      </w:r>
    </w:p>
    <w:p w14:paraId="5F9F7B46">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3611D03">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投标人对本条第一款情形提出质疑的，采购人或者采购代理机构可以组织原评审委员会进行重新评审，重新评审改变评审结果的，应当书面报告本级财政部门。</w:t>
      </w:r>
    </w:p>
    <w:p w14:paraId="1AC48DB8">
      <w:pPr>
        <w:widowControl w:val="0"/>
        <w:ind w:firstLine="413" w:firstLineChars="196"/>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 xml:space="preserve"> 37.4重新组建评审委员会的情形</w:t>
      </w:r>
    </w:p>
    <w:p w14:paraId="076B1977">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评审委员会或者其成员存在下列情形导致评审结果无效的，重新组建评审委员会进行评标，并书面报告本级财政部门：</w:t>
      </w:r>
    </w:p>
    <w:p w14:paraId="5D027E97">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37.4.1评审委员会组成不符合《政府采购货物和服务招标投标管理办法》规定的；</w:t>
      </w:r>
    </w:p>
    <w:p w14:paraId="243CFFBD">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37.4.2有《政府采购货物和服务招标投标管理办法》第六十二条第一至五项情形的；</w:t>
      </w:r>
    </w:p>
    <w:p w14:paraId="5A3780E4">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37.4.3评审委员会及其成员独立评标受到非法干预的；</w:t>
      </w:r>
    </w:p>
    <w:p w14:paraId="51F79DB0">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37.4.4有政府采购法实施条例第七十五条规定的违法行为的。</w:t>
      </w:r>
    </w:p>
    <w:p w14:paraId="248E1494">
      <w:pPr>
        <w:widowControl w:val="0"/>
        <w:ind w:firstLine="411" w:firstLineChars="196"/>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有违法违规行为的原评审委员会成员不得参加重新组建的评审委员会。</w:t>
      </w:r>
    </w:p>
    <w:p w14:paraId="0B9E8F4B">
      <w:pPr>
        <w:widowControl w:val="0"/>
        <w:ind w:firstLine="411" w:firstLineChars="196"/>
        <w:jc w:val="both"/>
        <w:rPr>
          <w:rFonts w:hint="eastAsia" w:ascii="宋体" w:hAnsi="宋体" w:eastAsia="宋体"/>
          <w:kern w:val="2"/>
          <w:sz w:val="21"/>
          <w:szCs w:val="21"/>
          <w:lang w:eastAsia="zh-CN"/>
        </w:rPr>
      </w:pPr>
    </w:p>
    <w:p w14:paraId="245325D6">
      <w:pPr>
        <w:keepNext/>
        <w:keepLines/>
        <w:widowControl w:val="0"/>
        <w:numPr>
          <w:ilvl w:val="0"/>
          <w:numId w:val="7"/>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定标及公示</w:t>
      </w:r>
    </w:p>
    <w:p w14:paraId="23DAB526">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38．定标方法</w:t>
      </w:r>
    </w:p>
    <w:p w14:paraId="4587C470">
      <w:pPr>
        <w:widowControl w:val="0"/>
        <w:ind w:firstLine="411" w:firstLineChars="196"/>
        <w:jc w:val="both"/>
        <w:rPr>
          <w:rFonts w:hint="eastAsia" w:ascii="宋体" w:hAnsi="宋体" w:eastAsia="宋体"/>
          <w:kern w:val="2"/>
          <w:sz w:val="21"/>
          <w:szCs w:val="21"/>
          <w:lang w:eastAsia="zh-CN"/>
        </w:rPr>
      </w:pPr>
      <w:bookmarkStart w:id="75" w:name="_Hlk73782795"/>
      <w:r>
        <w:rPr>
          <w:rFonts w:hint="eastAsia" w:ascii="宋体" w:hAnsi="宋体" w:eastAsia="宋体" w:cstheme="minorBidi"/>
          <w:kern w:val="2"/>
          <w:sz w:val="21"/>
          <w:szCs w:val="21"/>
          <w:lang w:eastAsia="zh-CN"/>
        </w:rPr>
        <w:t>38.1非评定分离项目定标方法</w:t>
      </w:r>
    </w:p>
    <w:p w14:paraId="52845816">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1.1评审委员会依据本项目招标文件所约定的评审方法进行评审和比较，向采购代理机构提交书面评审报告，并根据评审方法比较评价结果从优到劣进行排序，确定候选中标供应商。</w:t>
      </w:r>
    </w:p>
    <w:p w14:paraId="43C54CC6">
      <w:pPr>
        <w:widowControl w:val="0"/>
        <w:ind w:firstLine="411" w:firstLineChars="196"/>
        <w:jc w:val="both"/>
        <w:rPr>
          <w:rFonts w:hint="eastAsia" w:ascii="ˎ̥" w:hAnsi="ˎ̥" w:eastAsia="宋体"/>
          <w:kern w:val="2"/>
          <w:sz w:val="21"/>
          <w:szCs w:val="22"/>
          <w:lang w:eastAsia="zh-CN"/>
        </w:rPr>
      </w:pPr>
      <w:r>
        <w:rPr>
          <w:rFonts w:hint="eastAsia" w:ascii="ˎ̥" w:hAnsi="ˎ̥" w:eastAsia="宋体" w:cstheme="minorBidi"/>
          <w:kern w:val="2"/>
          <w:sz w:val="21"/>
          <w:szCs w:val="22"/>
          <w:lang w:eastAsia="zh-CN"/>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市拓泰实业有限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402241D1">
      <w:pPr>
        <w:widowControl w:val="0"/>
        <w:ind w:firstLine="411" w:firstLineChars="196"/>
        <w:jc w:val="both"/>
        <w:rPr>
          <w:rFonts w:hint="eastAsia" w:ascii="ˎ̥" w:hAnsi="ˎ̥" w:eastAsia="宋体"/>
          <w:kern w:val="2"/>
          <w:sz w:val="21"/>
          <w:szCs w:val="22"/>
          <w:lang w:eastAsia="zh-CN"/>
        </w:rPr>
      </w:pPr>
      <w:r>
        <w:rPr>
          <w:rFonts w:hint="eastAsia" w:ascii="ˎ̥" w:hAnsi="ˎ̥" w:eastAsia="宋体" w:cstheme="minorBidi"/>
          <w:kern w:val="2"/>
          <w:sz w:val="21"/>
          <w:szCs w:val="22"/>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市拓泰实业有限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3E7983C6">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38.2评定分离项目定标方法</w:t>
      </w:r>
    </w:p>
    <w:p w14:paraId="256E1955">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C8B6AC9">
      <w:pPr>
        <w:widowControl w:val="0"/>
        <w:ind w:firstLine="411" w:firstLineChars="196"/>
        <w:jc w:val="both"/>
        <w:rPr>
          <w:rFonts w:ascii="Calibri" w:hAnsi="Calibri" w:eastAsia="宋体"/>
          <w:kern w:val="2"/>
          <w:sz w:val="21"/>
          <w:szCs w:val="22"/>
          <w:lang w:eastAsia="zh-CN"/>
        </w:rPr>
      </w:pPr>
      <w:r>
        <w:rPr>
          <w:rFonts w:ascii="宋体" w:hAnsi="宋体" w:eastAsia="宋体" w:cstheme="minorBidi"/>
          <w:kern w:val="2"/>
          <w:sz w:val="21"/>
          <w:szCs w:val="21"/>
          <w:lang w:eastAsia="zh-CN"/>
        </w:rPr>
        <w:t xml:space="preserve">38.2.2 </w:t>
      </w:r>
      <w:bookmarkStart w:id="76" w:name="_Hlk71469733"/>
      <w:r>
        <w:rPr>
          <w:rFonts w:ascii="Calibri" w:hAnsi="Calibri" w:eastAsia="宋体" w:cstheme="minorBidi"/>
          <w:kern w:val="2"/>
          <w:sz w:val="21"/>
          <w:szCs w:val="22"/>
          <w:lang w:eastAsia="zh-CN"/>
        </w:rPr>
        <w:t>适用评定分离的政府采购项目，采用综合评分法评</w:t>
      </w:r>
      <w:r>
        <w:rPr>
          <w:rFonts w:hint="eastAsia" w:ascii="Calibri" w:hAnsi="Calibri" w:eastAsia="宋体" w:cstheme="minorBidi"/>
          <w:kern w:val="2"/>
          <w:sz w:val="21"/>
          <w:szCs w:val="22"/>
          <w:lang w:eastAsia="zh-CN"/>
        </w:rPr>
        <w:t>审。</w:t>
      </w:r>
      <w:r>
        <w:rPr>
          <w:rFonts w:hint="eastAsia" w:ascii="宋体" w:hAnsi="宋体" w:eastAsia="宋体" w:cstheme="minorBidi"/>
          <w:kern w:val="2"/>
          <w:sz w:val="21"/>
          <w:szCs w:val="21"/>
          <w:lang w:eastAsia="zh-CN"/>
        </w:rPr>
        <w:t>评审委员会按照评审结果，推荐</w:t>
      </w:r>
      <w:r>
        <w:rPr>
          <w:rFonts w:ascii="Calibri" w:hAnsi="Calibri" w:eastAsia="宋体" w:cstheme="minorBidi"/>
          <w:kern w:val="2"/>
          <w:sz w:val="21"/>
          <w:szCs w:val="22"/>
          <w:lang w:eastAsia="zh-CN"/>
        </w:rPr>
        <w:t>三个合格的候选中标供应商。</w:t>
      </w:r>
    </w:p>
    <w:p w14:paraId="07BDC8B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38.2.3</w:t>
      </w:r>
      <w:bookmarkStart w:id="77" w:name="_Hlk71469688"/>
      <w:r>
        <w:rPr>
          <w:rFonts w:ascii="Calibri" w:hAnsi="Calibri" w:eastAsia="宋体" w:cstheme="minorBidi"/>
          <w:kern w:val="2"/>
          <w:sz w:val="21"/>
          <w:szCs w:val="22"/>
          <w:lang w:eastAsia="zh-CN"/>
        </w:rPr>
        <w:t>适用评定分离的政府采购项目，</w:t>
      </w:r>
      <w:r>
        <w:rPr>
          <w:rFonts w:hint="eastAsia" w:ascii="宋体" w:hAnsi="宋体" w:eastAsia="宋体" w:cstheme="minorBidi"/>
          <w:kern w:val="2"/>
          <w:sz w:val="21"/>
          <w:szCs w:val="21"/>
          <w:lang w:eastAsia="zh-CN"/>
        </w:rPr>
        <w:t>按照自定法确定中标供应商：自定法是指采购人组织定标委员会，由定标委员会在三家候选中标供应商中确定中标供应商。</w:t>
      </w:r>
      <w:bookmarkEnd w:id="76"/>
      <w:bookmarkEnd w:id="77"/>
    </w:p>
    <w:p w14:paraId="244C83BF">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38.2.4</w:t>
      </w:r>
      <w:r>
        <w:rPr>
          <w:rFonts w:hint="eastAsia" w:ascii="宋体" w:hAnsi="宋体" w:eastAsia="宋体" w:cstheme="minorBidi"/>
          <w:kern w:val="2"/>
          <w:sz w:val="21"/>
          <w:szCs w:val="21"/>
          <w:lang w:eastAsia="zh-CN"/>
        </w:rPr>
        <w:t>采购代理机构</w:t>
      </w:r>
      <w:r>
        <w:rPr>
          <w:rFonts w:ascii="Calibri" w:hAnsi="Calibri" w:eastAsia="宋体" w:cstheme="minorBidi"/>
          <w:kern w:val="2"/>
          <w:sz w:val="21"/>
          <w:szCs w:val="22"/>
          <w:lang w:eastAsia="zh-CN"/>
        </w:rPr>
        <w:t>应当自评审结束之日起两个工作日内将候选中标供应商名单及其投标文件、评审报告送交采购人</w:t>
      </w:r>
      <w:r>
        <w:rPr>
          <w:rFonts w:hint="eastAsia" w:ascii="宋体" w:hAnsi="宋体" w:eastAsia="宋体" w:cstheme="minorBidi"/>
          <w:kern w:val="2"/>
          <w:sz w:val="21"/>
          <w:szCs w:val="21"/>
          <w:lang w:eastAsia="zh-CN"/>
        </w:rPr>
        <w:t>。</w:t>
      </w:r>
      <w:r>
        <w:rPr>
          <w:rFonts w:ascii="Calibri" w:hAnsi="Calibri" w:eastAsia="宋体" w:cstheme="minorBidi"/>
          <w:kern w:val="2"/>
          <w:sz w:val="21"/>
          <w:szCs w:val="22"/>
          <w:lang w:eastAsia="zh-CN"/>
        </w:rPr>
        <w:t>采购人应当安排专人对定标过程进行书面记录，形成定标报告，作为采购文件的组成部分存档，并及时将定标结果反馈</w:t>
      </w:r>
      <w:r>
        <w:rPr>
          <w:rFonts w:hint="eastAsia" w:ascii="Calibri" w:hAnsi="Calibri" w:eastAsia="宋体" w:cstheme="minorBidi"/>
          <w:kern w:val="2"/>
          <w:sz w:val="21"/>
          <w:szCs w:val="22"/>
          <w:lang w:eastAsia="zh-CN"/>
        </w:rPr>
        <w:t>采购代理机构。具体定标程序及相关要求以按照《</w:t>
      </w:r>
      <w:r>
        <w:rPr>
          <w:rFonts w:ascii="Calibri" w:hAnsi="Calibri" w:eastAsia="宋体" w:cstheme="minorBidi"/>
          <w:kern w:val="2"/>
          <w:sz w:val="21"/>
          <w:szCs w:val="22"/>
          <w:lang w:eastAsia="zh-CN"/>
        </w:rPr>
        <w:t>深圳市财政局关于印发</w:t>
      </w:r>
      <w:r>
        <w:rPr>
          <w:rFonts w:hint="eastAsia" w:ascii="宋体" w:hAnsi="宋体" w:eastAsia="宋体" w:cstheme="minorBidi"/>
          <w:kern w:val="2"/>
          <w:sz w:val="21"/>
          <w:szCs w:val="22"/>
          <w:lang w:eastAsia="zh-CN"/>
        </w:rPr>
        <w:t>〈</w:t>
      </w:r>
      <w:r>
        <w:rPr>
          <w:rFonts w:ascii="Calibri" w:hAnsi="Calibri" w:eastAsia="宋体" w:cstheme="minorBidi"/>
          <w:kern w:val="2"/>
          <w:sz w:val="21"/>
          <w:szCs w:val="22"/>
          <w:lang w:eastAsia="zh-CN"/>
        </w:rPr>
        <w:t>深圳市政府采购评标定标分离管理办法</w:t>
      </w:r>
      <w:r>
        <w:rPr>
          <w:rFonts w:hint="eastAsia" w:ascii="宋体" w:hAnsi="宋体" w:eastAsia="宋体" w:cstheme="minorBidi"/>
          <w:kern w:val="2"/>
          <w:sz w:val="21"/>
          <w:szCs w:val="22"/>
          <w:lang w:eastAsia="zh-CN"/>
        </w:rPr>
        <w:t>〉</w:t>
      </w:r>
      <w:r>
        <w:rPr>
          <w:rFonts w:ascii="Calibri" w:hAnsi="Calibri" w:eastAsia="宋体" w:cstheme="minorBidi"/>
          <w:kern w:val="2"/>
          <w:sz w:val="21"/>
          <w:szCs w:val="22"/>
          <w:lang w:eastAsia="zh-CN"/>
        </w:rPr>
        <w:t>的通知</w:t>
      </w:r>
      <w:r>
        <w:rPr>
          <w:rFonts w:hint="eastAsia" w:ascii="Calibri" w:hAnsi="Calibri" w:eastAsia="宋体" w:cstheme="minorBidi"/>
          <w:kern w:val="2"/>
          <w:sz w:val="21"/>
          <w:szCs w:val="22"/>
          <w:lang w:eastAsia="zh-CN"/>
        </w:rPr>
        <w:t>》（深财规【2</w:t>
      </w:r>
      <w:r>
        <w:rPr>
          <w:rFonts w:ascii="Calibri" w:hAnsi="Calibri" w:eastAsia="宋体" w:cstheme="minorBidi"/>
          <w:kern w:val="2"/>
          <w:sz w:val="21"/>
          <w:szCs w:val="22"/>
          <w:lang w:eastAsia="zh-CN"/>
        </w:rPr>
        <w:t>020</w:t>
      </w:r>
      <w:r>
        <w:rPr>
          <w:rFonts w:hint="eastAsia" w:ascii="Calibri" w:hAnsi="Calibri" w:eastAsia="宋体" w:cstheme="minorBidi"/>
          <w:kern w:val="2"/>
          <w:sz w:val="21"/>
          <w:szCs w:val="22"/>
          <w:lang w:eastAsia="zh-CN"/>
        </w:rPr>
        <w:t>】1号）执行。</w:t>
      </w:r>
    </w:p>
    <w:p w14:paraId="4A6C6CB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说明：采购人及投标供应商应按照上述方法提前做好相关准备。</w:t>
      </w:r>
    </w:p>
    <w:p w14:paraId="556DA791">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38.3专用条款另有规定的，按专用条款相关要求定标。</w:t>
      </w:r>
      <w:bookmarkEnd w:id="75"/>
    </w:p>
    <w:p w14:paraId="2E99CC66">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39．编写评审报告</w:t>
      </w:r>
    </w:p>
    <w:p w14:paraId="1CC78C9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B746A28">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40．中标公告</w:t>
      </w:r>
    </w:p>
    <w:p w14:paraId="3559D9A0">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40.1</w:t>
      </w:r>
      <w:bookmarkStart w:id="78" w:name="_Hlk72438709"/>
      <w:r>
        <w:rPr>
          <w:rFonts w:hint="eastAsia" w:ascii="宋体" w:hAnsi="宋体" w:eastAsia="宋体" w:cstheme="minorBidi"/>
          <w:kern w:val="2"/>
          <w:sz w:val="21"/>
          <w:szCs w:val="21"/>
          <w:lang w:eastAsia="zh-CN"/>
        </w:rPr>
        <w:t>为体现“公开、公平、公正”的原则，评审结束后经采购人确认（确定）评审结果，采购代理机构将在</w:t>
      </w:r>
      <w:r>
        <w:rPr>
          <w:rFonts w:hint="eastAsia" w:ascii="宋体" w:hAnsi="宋体" w:eastAsia="宋体" w:cstheme="minorBidi"/>
          <w:b/>
          <w:bCs/>
          <w:kern w:val="2"/>
          <w:sz w:val="21"/>
          <w:szCs w:val="22"/>
          <w:lang w:eastAsia="zh-CN"/>
        </w:rPr>
        <w:t>深圳政府采购自行采购系统</w:t>
      </w:r>
      <w:r>
        <w:rPr>
          <w:rFonts w:hint="eastAsia" w:ascii="宋体" w:hAnsi="宋体" w:eastAsia="宋体" w:cstheme="minorBidi"/>
          <w:b/>
          <w:bCs/>
          <w:kern w:val="2"/>
          <w:sz w:val="21"/>
          <w:szCs w:val="21"/>
          <w:lang w:eastAsia="zh-CN"/>
        </w:rPr>
        <w:t>（https://zxcg.szggzy.com/home/index.html）</w:t>
      </w:r>
      <w:r>
        <w:rPr>
          <w:rFonts w:hint="eastAsia" w:ascii="宋体" w:hAnsi="宋体" w:eastAsia="宋体" w:cstheme="minorBidi"/>
          <w:kern w:val="2"/>
          <w:sz w:val="21"/>
          <w:szCs w:val="21"/>
          <w:lang w:eastAsia="zh-CN"/>
        </w:rPr>
        <w:t>上发布中标结果公告。</w:t>
      </w:r>
      <w:bookmarkEnd w:id="78"/>
      <w:bookmarkStart w:id="79" w:name="_Hlk72438751"/>
      <w:r>
        <w:rPr>
          <w:rFonts w:hint="eastAsia" w:ascii="宋体" w:hAnsi="宋体" w:eastAsia="宋体" w:cstheme="minorBidi"/>
          <w:kern w:val="2"/>
          <w:sz w:val="21"/>
          <w:szCs w:val="21"/>
          <w:lang w:eastAsia="zh-CN"/>
        </w:rPr>
        <w:t>供应商如对评审结果有异议，</w:t>
      </w:r>
      <w:r>
        <w:rPr>
          <w:rFonts w:ascii="宋体" w:hAnsi="宋体" w:eastAsia="宋体" w:cstheme="minorBidi"/>
          <w:kern w:val="2"/>
          <w:sz w:val="21"/>
          <w:szCs w:val="21"/>
          <w:lang w:eastAsia="zh-CN"/>
        </w:rPr>
        <w:t>可在发布公示日期起</w:t>
      </w:r>
      <w:r>
        <w:rPr>
          <w:rFonts w:hint="eastAsia" w:ascii="宋体" w:hAnsi="宋体" w:eastAsia="宋体" w:cstheme="minorBidi"/>
          <w:kern w:val="2"/>
          <w:sz w:val="21"/>
          <w:szCs w:val="21"/>
          <w:lang w:eastAsia="zh-CN"/>
        </w:rPr>
        <w:t>七</w:t>
      </w:r>
      <w:r>
        <w:rPr>
          <w:rFonts w:ascii="宋体" w:hAnsi="宋体" w:eastAsia="宋体" w:cstheme="minorBidi"/>
          <w:kern w:val="2"/>
          <w:sz w:val="21"/>
          <w:szCs w:val="21"/>
          <w:lang w:eastAsia="zh-CN"/>
        </w:rPr>
        <w:t>个工作日内向</w:t>
      </w:r>
      <w:r>
        <w:rPr>
          <w:rFonts w:hint="eastAsia" w:ascii="宋体" w:hAnsi="宋体" w:eastAsia="宋体" w:cstheme="minorBidi"/>
          <w:kern w:val="2"/>
          <w:sz w:val="21"/>
          <w:szCs w:val="21"/>
          <w:lang w:eastAsia="zh-CN"/>
        </w:rPr>
        <w:t>采购代理机构</w:t>
      </w:r>
      <w:r>
        <w:rPr>
          <w:rFonts w:ascii="宋体" w:hAnsi="宋体" w:eastAsia="宋体" w:cstheme="minorBidi"/>
          <w:kern w:val="2"/>
          <w:sz w:val="21"/>
          <w:szCs w:val="21"/>
          <w:lang w:eastAsia="zh-CN"/>
        </w:rPr>
        <w:t>提出。 监督电话：0755-83948143。</w:t>
      </w:r>
      <w:r>
        <w:rPr>
          <w:rFonts w:hint="eastAsia" w:ascii="宋体" w:hAnsi="宋体" w:eastAsia="宋体" w:cstheme="minorBidi"/>
          <w:kern w:val="2"/>
          <w:sz w:val="21"/>
          <w:szCs w:val="21"/>
          <w:lang w:eastAsia="zh-CN"/>
        </w:rPr>
        <w:t>若在公示期内未提出质疑，则视为认同该评审结果。</w:t>
      </w:r>
    </w:p>
    <w:bookmarkEnd w:id="79"/>
    <w:p w14:paraId="4644E88F">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40.2质疑、投诉供应商应保证质疑、投诉内容的真实性和可靠性，并承担相应的法律责任。</w:t>
      </w:r>
    </w:p>
    <w:p w14:paraId="779909D6">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41．中标通知书</w:t>
      </w:r>
    </w:p>
    <w:p w14:paraId="6D46EE2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41</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w:t>
      </w:r>
      <w:bookmarkStart w:id="80" w:name="_Hlk72438863"/>
      <w:r>
        <w:rPr>
          <w:rFonts w:hint="eastAsia" w:ascii="宋体" w:hAnsi="宋体" w:eastAsia="宋体" w:cstheme="minorBidi"/>
          <w:kern w:val="2"/>
          <w:sz w:val="21"/>
          <w:szCs w:val="21"/>
          <w:lang w:eastAsia="zh-CN"/>
        </w:rPr>
        <w:t>中标公告公布以后无异常的情况下，中标供应商和采购人可自行登录</w:t>
      </w:r>
      <w:r>
        <w:rPr>
          <w:rFonts w:hint="eastAsia" w:ascii="宋体" w:hAnsi="宋体" w:eastAsia="宋体" w:cstheme="minorBidi"/>
          <w:b/>
          <w:bCs/>
          <w:kern w:val="2"/>
          <w:sz w:val="21"/>
          <w:szCs w:val="21"/>
          <w:lang w:eastAsia="zh-CN"/>
        </w:rPr>
        <w:t>“</w:t>
      </w:r>
      <w:r>
        <w:rPr>
          <w:rFonts w:hint="eastAsia" w:ascii="宋体" w:hAnsi="宋体" w:eastAsia="宋体" w:cstheme="minorBidi"/>
          <w:kern w:val="2"/>
          <w:sz w:val="21"/>
          <w:szCs w:val="22"/>
          <w:lang w:eastAsia="zh-CN"/>
        </w:rPr>
        <w:t>深圳政府采购自行采购系统（https://trade.szggzy.com/ggzy/center/#/login）</w:t>
      </w:r>
      <w:r>
        <w:rPr>
          <w:rFonts w:hint="eastAsia" w:ascii="宋体" w:hAnsi="宋体" w:eastAsia="宋体" w:cstheme="minorBidi"/>
          <w:b/>
          <w:bCs/>
          <w:kern w:val="2"/>
          <w:sz w:val="21"/>
          <w:szCs w:val="21"/>
          <w:lang w:eastAsia="zh-CN"/>
        </w:rPr>
        <w:t>”</w:t>
      </w:r>
      <w:r>
        <w:rPr>
          <w:rFonts w:hint="eastAsia" w:ascii="宋体" w:hAnsi="宋体" w:eastAsia="宋体" w:cstheme="minorBidi"/>
          <w:kern w:val="2"/>
          <w:sz w:val="21"/>
          <w:szCs w:val="21"/>
          <w:lang w:eastAsia="zh-CN"/>
        </w:rPr>
        <w:t>上打印</w:t>
      </w:r>
      <w:r>
        <w:rPr>
          <w:rFonts w:hint="eastAsia" w:ascii="宋体" w:hAnsi="宋体" w:eastAsia="宋体" w:cstheme="minorBidi"/>
          <w:b/>
          <w:kern w:val="2"/>
          <w:sz w:val="21"/>
          <w:szCs w:val="21"/>
          <w:lang w:eastAsia="zh-CN"/>
        </w:rPr>
        <w:t>《数字中标通知书》</w:t>
      </w:r>
      <w:r>
        <w:rPr>
          <w:rFonts w:hint="eastAsia" w:ascii="宋体" w:hAnsi="宋体" w:eastAsia="宋体" w:cstheme="minorBidi"/>
          <w:kern w:val="2"/>
          <w:sz w:val="21"/>
          <w:szCs w:val="21"/>
          <w:lang w:eastAsia="zh-CN"/>
        </w:rPr>
        <w:t>。</w:t>
      </w:r>
      <w:bookmarkEnd w:id="80"/>
    </w:p>
    <w:p w14:paraId="5CC9879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中标通知书是合同的重要组成部分。</w:t>
      </w:r>
    </w:p>
    <w:p w14:paraId="0598EB7F">
      <w:pPr>
        <w:widowControl w:val="0"/>
        <w:ind w:firstLine="411" w:firstLineChars="196"/>
        <w:jc w:val="both"/>
        <w:rPr>
          <w:rFonts w:hint="eastAsia" w:ascii="宋体" w:hAnsi="宋体" w:eastAsia="宋体"/>
          <w:kern w:val="2"/>
          <w:sz w:val="21"/>
          <w:szCs w:val="21"/>
          <w:lang w:eastAsia="zh-CN"/>
        </w:rPr>
      </w:pPr>
      <w:bookmarkStart w:id="81" w:name="_Hlk71407340"/>
      <w:r>
        <w:rPr>
          <w:rFonts w:hint="eastAsia" w:ascii="宋体" w:hAnsi="宋体" w:eastAsia="宋体" w:cstheme="minorBidi"/>
          <w:kern w:val="2"/>
          <w:sz w:val="21"/>
          <w:szCs w:val="21"/>
          <w:lang w:eastAsia="zh-CN"/>
        </w:rPr>
        <w:t>41.3因质疑投诉或其它原因导致项目结果变更或采购终止的，采购代理机构有权吊销中标通知书。</w:t>
      </w:r>
    </w:p>
    <w:bookmarkEnd w:id="81"/>
    <w:p w14:paraId="70A117B2">
      <w:pPr>
        <w:widowControl w:val="0"/>
        <w:ind w:firstLine="411" w:firstLineChars="196"/>
        <w:jc w:val="both"/>
        <w:rPr>
          <w:rFonts w:hint="eastAsia" w:ascii="宋体" w:hAnsi="宋体" w:eastAsia="宋体"/>
          <w:kern w:val="2"/>
          <w:sz w:val="21"/>
          <w:szCs w:val="21"/>
          <w:lang w:eastAsia="zh-CN"/>
        </w:rPr>
      </w:pPr>
    </w:p>
    <w:p w14:paraId="60041451">
      <w:pPr>
        <w:keepNext/>
        <w:keepLines/>
        <w:widowControl w:val="0"/>
        <w:numPr>
          <w:ilvl w:val="0"/>
          <w:numId w:val="7"/>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公开招标失败的后续处理</w:t>
      </w:r>
    </w:p>
    <w:p w14:paraId="7B75AE73">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42．公开招标失败的处理</w:t>
      </w:r>
    </w:p>
    <w:p w14:paraId="464F9322">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1"/>
          <w:lang w:eastAsia="zh-CN"/>
        </w:rPr>
        <w:t>42.1本项目公开招标过程中若由于投标截止后</w:t>
      </w:r>
      <w:r>
        <w:rPr>
          <w:rFonts w:hint="eastAsia" w:ascii="宋体" w:hAnsi="宋体" w:eastAsia="宋体" w:cstheme="minorBidi"/>
          <w:kern w:val="2"/>
          <w:sz w:val="21"/>
          <w:szCs w:val="22"/>
          <w:lang w:eastAsia="zh-CN"/>
        </w:rPr>
        <w:t>实际递交</w:t>
      </w:r>
      <w:r>
        <w:rPr>
          <w:rFonts w:ascii="宋体" w:hAnsi="宋体" w:eastAsia="宋体" w:cstheme="minorBidi"/>
          <w:kern w:val="2"/>
          <w:sz w:val="21"/>
          <w:szCs w:val="22"/>
          <w:lang w:eastAsia="zh-CN"/>
        </w:rPr>
        <w:t>投标</w:t>
      </w:r>
      <w:r>
        <w:rPr>
          <w:rFonts w:hint="eastAsia" w:ascii="宋体" w:hAnsi="宋体" w:eastAsia="宋体" w:cstheme="minorBidi"/>
          <w:kern w:val="2"/>
          <w:sz w:val="21"/>
          <w:szCs w:val="22"/>
          <w:lang w:eastAsia="zh-CN"/>
        </w:rPr>
        <w:t>文件的供应商数量不足、经</w:t>
      </w:r>
      <w:r>
        <w:rPr>
          <w:rFonts w:hint="eastAsia" w:ascii="宋体" w:hAnsi="宋体" w:eastAsia="宋体" w:cstheme="minorBidi"/>
          <w:kern w:val="2"/>
          <w:sz w:val="21"/>
          <w:szCs w:val="21"/>
          <w:lang w:eastAsia="zh-CN"/>
        </w:rPr>
        <w:t>评审委员会</w:t>
      </w:r>
      <w:r>
        <w:rPr>
          <w:rFonts w:hint="eastAsia" w:ascii="宋体" w:hAnsi="宋体" w:eastAsia="宋体" w:cstheme="minorBidi"/>
          <w:kern w:val="2"/>
          <w:sz w:val="21"/>
          <w:szCs w:val="22"/>
          <w:lang w:eastAsia="zh-CN"/>
        </w:rPr>
        <w:t>评审对招标文件作实质响应的供应商不足等原因造成公开招标失败，可由</w:t>
      </w:r>
      <w:r>
        <w:rPr>
          <w:rFonts w:hint="eastAsia" w:ascii="宋体" w:hAnsi="宋体" w:eastAsia="宋体" w:cs="宋体"/>
          <w:kern w:val="2"/>
          <w:sz w:val="21"/>
          <w:szCs w:val="22"/>
          <w:lang w:eastAsia="zh-CN"/>
        </w:rPr>
        <w:t>采购代理机构</w:t>
      </w:r>
      <w:r>
        <w:rPr>
          <w:rFonts w:hint="eastAsia" w:ascii="宋体" w:hAnsi="宋体" w:eastAsia="宋体" w:cstheme="minorBidi"/>
          <w:kern w:val="2"/>
          <w:sz w:val="21"/>
          <w:szCs w:val="22"/>
          <w:lang w:eastAsia="zh-CN"/>
        </w:rPr>
        <w:t>重新组织采购。</w:t>
      </w:r>
    </w:p>
    <w:p w14:paraId="145F0374">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14:paraId="6117FACF">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42.3重新组织采购有以下两种组织形式：</w:t>
      </w:r>
    </w:p>
    <w:p w14:paraId="28D610DA">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（1）由采购代理机构重新组织公开招标；</w:t>
      </w:r>
    </w:p>
    <w:p w14:paraId="6C6CD646">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（2）根据实际情况需要向同级财政部门提出非公开招标方式申请，经同级财政部门批准，公开招标失败采购项目可转为竞争性谈判或单一来源谈判方式采购。</w:t>
      </w:r>
    </w:p>
    <w:p w14:paraId="3D4CEC82">
      <w:pPr>
        <w:widowControl w:val="0"/>
        <w:ind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42.4公开招标失败的采购项目重新组织公开招标，由采购代理机构重新按公开招标流程组织采购活动。</w:t>
      </w:r>
    </w:p>
    <w:p w14:paraId="5992C318">
      <w:pPr>
        <w:widowControl w:val="0"/>
        <w:jc w:val="both"/>
        <w:rPr>
          <w:rFonts w:hint="eastAsia" w:ascii="宋体" w:hAnsi="宋体" w:eastAsia="宋体"/>
          <w:kern w:val="2"/>
          <w:sz w:val="21"/>
          <w:szCs w:val="22"/>
          <w:lang w:eastAsia="zh-CN"/>
        </w:rPr>
      </w:pPr>
      <w:r>
        <w:rPr>
          <w:rFonts w:hint="eastAsia" w:ascii="黑体" w:hAnsi="宋体" w:eastAsia="黑体" w:cstheme="minorBidi"/>
          <w:kern w:val="2"/>
          <w:szCs w:val="22"/>
          <w:lang w:eastAsia="zh-CN"/>
        </w:rPr>
        <w:t xml:space="preserve">    </w:t>
      </w:r>
      <w:r>
        <w:rPr>
          <w:rFonts w:hint="eastAsia" w:ascii="宋体" w:hAnsi="宋体" w:eastAsia="宋体" w:cstheme="minorBidi"/>
          <w:kern w:val="2"/>
          <w:sz w:val="21"/>
          <w:szCs w:val="22"/>
          <w:lang w:eastAsia="zh-CN"/>
        </w:rPr>
        <w:t>42.5公开招标失败的采购项目经同级财政部门批准转为竞争性谈判或单一来源谈判方式采购的，按规定要求组织政府采购工作。</w:t>
      </w:r>
    </w:p>
    <w:p w14:paraId="6BC00D8D">
      <w:pPr>
        <w:widowControl w:val="0"/>
        <w:jc w:val="both"/>
        <w:rPr>
          <w:rFonts w:hint="eastAsia" w:ascii="黑体" w:hAnsi="宋体" w:eastAsia="黑体"/>
          <w:kern w:val="2"/>
          <w:szCs w:val="22"/>
          <w:lang w:eastAsia="zh-CN"/>
        </w:rPr>
      </w:pPr>
    </w:p>
    <w:p w14:paraId="54EE116D">
      <w:pPr>
        <w:keepNext/>
        <w:keepLines/>
        <w:widowControl w:val="0"/>
        <w:numPr>
          <w:ilvl w:val="0"/>
          <w:numId w:val="7"/>
        </w:numPr>
        <w:spacing w:before="156" w:beforeLines="50" w:after="156" w:afterLines="50" w:line="416" w:lineRule="auto"/>
        <w:ind w:left="562" w:hanging="562"/>
        <w:jc w:val="both"/>
        <w:outlineLvl w:val="1"/>
        <w:rPr>
          <w:rFonts w:ascii="Cambria" w:hAnsi="Cambria" w:eastAsia="宋体"/>
          <w:b/>
          <w:bCs/>
          <w:kern w:val="2"/>
          <w:sz w:val="28"/>
          <w:szCs w:val="28"/>
          <w:lang w:eastAsia="zh-CN"/>
        </w:rPr>
      </w:pPr>
      <w:bookmarkStart w:id="82" w:name="_Hlk72439043"/>
      <w:r>
        <w:rPr>
          <w:rFonts w:hint="eastAsia" w:ascii="Cambria" w:hAnsi="Cambria" w:eastAsia="宋体" w:cstheme="majorBidi"/>
          <w:b/>
          <w:bCs/>
          <w:kern w:val="2"/>
          <w:sz w:val="28"/>
          <w:szCs w:val="28"/>
          <w:lang w:eastAsia="zh-CN"/>
        </w:rPr>
        <w:t>合同的授予与备案</w:t>
      </w:r>
      <w:bookmarkEnd w:id="82"/>
    </w:p>
    <w:p w14:paraId="310BCD3D">
      <w:pPr>
        <w:widowControl w:val="0"/>
        <w:jc w:val="both"/>
        <w:rPr>
          <w:rFonts w:hint="eastAsia" w:ascii="黑体" w:hAnsi="宋体" w:eastAsia="黑体"/>
          <w:kern w:val="2"/>
          <w:szCs w:val="22"/>
          <w:lang w:eastAsia="zh-CN"/>
        </w:rPr>
      </w:pPr>
      <w:bookmarkStart w:id="83" w:name="_Toc73518157"/>
      <w:bookmarkStart w:id="84" w:name="_Toc100052408"/>
      <w:bookmarkStart w:id="85" w:name="_Toc73521674"/>
      <w:bookmarkStart w:id="86" w:name="_Toc73521586"/>
      <w:bookmarkStart w:id="87" w:name="_Toc73517679"/>
      <w:bookmarkStart w:id="88" w:name="_Hlk72439088"/>
      <w:r>
        <w:rPr>
          <w:rFonts w:hint="eastAsia" w:ascii="黑体" w:hAnsi="宋体" w:eastAsia="黑体" w:cstheme="minorBidi"/>
          <w:kern w:val="2"/>
          <w:szCs w:val="22"/>
          <w:lang w:eastAsia="zh-CN"/>
        </w:rPr>
        <w:t>43．合同授予标准</w:t>
      </w:r>
      <w:bookmarkEnd w:id="83"/>
      <w:bookmarkEnd w:id="84"/>
      <w:bookmarkEnd w:id="85"/>
      <w:bookmarkEnd w:id="86"/>
      <w:bookmarkEnd w:id="87"/>
    </w:p>
    <w:p w14:paraId="70F9C42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本项目的合同将授予经本招标文件规定评审确定的中标供应商。</w:t>
      </w:r>
    </w:p>
    <w:p w14:paraId="45C58DBB">
      <w:pPr>
        <w:widowControl w:val="0"/>
        <w:jc w:val="both"/>
        <w:rPr>
          <w:rFonts w:hint="eastAsia" w:ascii="黑体" w:hAnsi="宋体" w:eastAsia="黑体"/>
          <w:kern w:val="2"/>
          <w:szCs w:val="22"/>
          <w:lang w:eastAsia="zh-CN"/>
        </w:rPr>
      </w:pPr>
      <w:bookmarkStart w:id="89" w:name="_Toc73521675"/>
      <w:bookmarkStart w:id="90" w:name="_Toc100052409"/>
      <w:bookmarkStart w:id="91" w:name="_Toc73517680"/>
      <w:bookmarkStart w:id="92" w:name="_Toc73521587"/>
      <w:bookmarkStart w:id="93" w:name="_Toc73518158"/>
      <w:r>
        <w:rPr>
          <w:rFonts w:hint="eastAsia" w:ascii="黑体" w:hAnsi="宋体" w:eastAsia="黑体" w:cstheme="minorBidi"/>
          <w:kern w:val="2"/>
          <w:szCs w:val="22"/>
          <w:lang w:eastAsia="zh-CN"/>
        </w:rPr>
        <w:t>44．</w:t>
      </w:r>
      <w:bookmarkEnd w:id="89"/>
      <w:bookmarkEnd w:id="90"/>
      <w:bookmarkEnd w:id="91"/>
      <w:bookmarkEnd w:id="92"/>
      <w:bookmarkEnd w:id="93"/>
      <w:r>
        <w:rPr>
          <w:rFonts w:hint="eastAsia" w:ascii="黑体" w:hAnsi="宋体" w:eastAsia="黑体" w:cstheme="minorBidi"/>
          <w:kern w:val="2"/>
          <w:szCs w:val="22"/>
          <w:lang w:eastAsia="zh-CN"/>
        </w:rPr>
        <w:t>接受和拒绝任何或所有投标的权力</w:t>
      </w:r>
    </w:p>
    <w:p w14:paraId="1359EF59">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5FC1D2F7">
      <w:pPr>
        <w:widowControl w:val="0"/>
        <w:jc w:val="both"/>
        <w:rPr>
          <w:rFonts w:hint="eastAsia" w:ascii="黑体" w:hAnsi="宋体" w:eastAsia="黑体"/>
          <w:kern w:val="2"/>
          <w:szCs w:val="22"/>
          <w:lang w:eastAsia="zh-CN"/>
        </w:rPr>
      </w:pPr>
      <w:bookmarkStart w:id="94" w:name="_Toc100052410"/>
      <w:bookmarkStart w:id="95" w:name="_Toc73518160"/>
      <w:bookmarkStart w:id="96" w:name="_Toc73521677"/>
      <w:bookmarkStart w:id="97" w:name="_Toc73521589"/>
      <w:bookmarkStart w:id="98" w:name="_Toc73517682"/>
      <w:r>
        <w:rPr>
          <w:rFonts w:hint="eastAsia" w:ascii="黑体" w:hAnsi="宋体" w:eastAsia="黑体" w:cstheme="minorBidi"/>
          <w:kern w:val="2"/>
          <w:szCs w:val="22"/>
          <w:lang w:eastAsia="zh-CN"/>
        </w:rPr>
        <w:t>45．合同的签订</w:t>
      </w:r>
      <w:bookmarkEnd w:id="94"/>
      <w:bookmarkEnd w:id="95"/>
      <w:bookmarkEnd w:id="96"/>
      <w:bookmarkEnd w:id="97"/>
      <w:bookmarkEnd w:id="98"/>
    </w:p>
    <w:p w14:paraId="2554A4D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45.1中标人将于中标通知书发出之日起十个工作日内，按照采购文件（招标文件和投标文件等）内容与采购人签订政府采购合同；合同的实质性内容应当符合招标文件的规定；</w:t>
      </w:r>
    </w:p>
    <w:p w14:paraId="45BAD7CA">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45.2中标人如不按本通用条款第45</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款的规定与采购人签订合同，</w:t>
      </w:r>
      <w:r>
        <w:rPr>
          <w:rFonts w:ascii="宋体" w:hAnsi="宋体" w:eastAsia="宋体" w:cs="宋体"/>
          <w:sz w:val="21"/>
          <w:szCs w:val="21"/>
          <w:lang w:eastAsia="zh-CN"/>
        </w:rPr>
        <w:t>情节严重的，由</w:t>
      </w:r>
      <w:r>
        <w:rPr>
          <w:rFonts w:hint="eastAsia" w:ascii="宋体" w:hAnsi="宋体" w:eastAsia="宋体" w:cs="宋体"/>
          <w:sz w:val="21"/>
          <w:szCs w:val="21"/>
          <w:lang w:eastAsia="zh-CN"/>
        </w:rPr>
        <w:t>同级财政</w:t>
      </w:r>
      <w:r>
        <w:rPr>
          <w:rFonts w:ascii="宋体" w:hAnsi="宋体" w:eastAsia="宋体" w:cs="宋体"/>
          <w:sz w:val="21"/>
          <w:szCs w:val="21"/>
          <w:lang w:eastAsia="zh-CN"/>
        </w:rPr>
        <w:t>部门记入供应商诚信档案，予以通报</w:t>
      </w:r>
      <w:r>
        <w:rPr>
          <w:rFonts w:hint="eastAsia" w:ascii="宋体" w:hAnsi="宋体" w:eastAsia="宋体" w:cstheme="minorBidi"/>
          <w:kern w:val="2"/>
          <w:sz w:val="21"/>
          <w:szCs w:val="21"/>
          <w:lang w:eastAsia="zh-CN"/>
        </w:rPr>
        <w:t>；</w:t>
      </w:r>
    </w:p>
    <w:p w14:paraId="4F0FE46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45.3中标人应当按照合同约定履行义务，完成中标项目，不得将中标项目转让（转包）给他人。</w:t>
      </w:r>
    </w:p>
    <w:p w14:paraId="4CB27E71">
      <w:pPr>
        <w:widowControl w:val="0"/>
        <w:jc w:val="both"/>
        <w:rPr>
          <w:rFonts w:hint="eastAsia" w:ascii="黑体" w:hAnsi="宋体" w:eastAsia="黑体"/>
          <w:kern w:val="2"/>
          <w:szCs w:val="22"/>
          <w:lang w:eastAsia="zh-CN"/>
        </w:rPr>
      </w:pPr>
      <w:bookmarkStart w:id="99" w:name="_Toc73521590"/>
      <w:bookmarkStart w:id="100" w:name="_Toc73518161"/>
      <w:bookmarkStart w:id="101" w:name="_Toc100052411"/>
      <w:bookmarkStart w:id="102" w:name="_Toc73517683"/>
      <w:bookmarkStart w:id="103" w:name="_Toc73521678"/>
      <w:r>
        <w:rPr>
          <w:rFonts w:hint="eastAsia" w:ascii="黑体" w:hAnsi="宋体" w:eastAsia="黑体" w:cstheme="minorBidi"/>
          <w:kern w:val="2"/>
          <w:szCs w:val="22"/>
          <w:lang w:eastAsia="zh-CN"/>
        </w:rPr>
        <w:t>46．履约担保</w:t>
      </w:r>
      <w:bookmarkEnd w:id="99"/>
      <w:bookmarkEnd w:id="100"/>
      <w:bookmarkEnd w:id="101"/>
      <w:bookmarkEnd w:id="102"/>
      <w:bookmarkEnd w:id="103"/>
    </w:p>
    <w:p w14:paraId="0B27E1E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46.1在签订项目合同的同时，中标人应按“对通用条款的补充内容”中规定的金额向采购人提交履约担保；</w:t>
      </w:r>
    </w:p>
    <w:p w14:paraId="12E80CD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46.2，允许供应商自主选择以支票、汇票、本票、保函等非现金方式提交履约担保；</w:t>
      </w:r>
      <w:r>
        <w:rPr>
          <w:rFonts w:ascii="Calibri" w:hAnsi="Calibri" w:eastAsia="宋体" w:cstheme="minorBidi"/>
          <w:kern w:val="2"/>
          <w:sz w:val="21"/>
          <w:szCs w:val="22"/>
          <w:lang w:eastAsia="zh-CN"/>
        </w:rPr>
        <w:t>中标</w:t>
      </w:r>
      <w:r>
        <w:rPr>
          <w:rFonts w:hint="eastAsia" w:ascii="Calibri" w:hAnsi="Calibri" w:eastAsia="宋体" w:cstheme="minorBidi"/>
          <w:kern w:val="2"/>
          <w:sz w:val="21"/>
          <w:szCs w:val="22"/>
          <w:lang w:eastAsia="zh-CN"/>
        </w:rPr>
        <w:t>人</w:t>
      </w:r>
      <w:r>
        <w:rPr>
          <w:rFonts w:ascii="Calibri" w:hAnsi="Calibri" w:eastAsia="宋体" w:cstheme="minorBidi"/>
          <w:kern w:val="2"/>
          <w:sz w:val="21"/>
          <w:szCs w:val="22"/>
          <w:lang w:eastAsia="zh-CN"/>
        </w:rPr>
        <w:t>提交履约</w:t>
      </w:r>
      <w:r>
        <w:rPr>
          <w:rFonts w:hint="eastAsia" w:ascii="Calibri" w:hAnsi="Calibri" w:eastAsia="宋体" w:cstheme="minorBidi"/>
          <w:kern w:val="2"/>
          <w:sz w:val="21"/>
          <w:szCs w:val="22"/>
          <w:lang w:eastAsia="zh-CN"/>
        </w:rPr>
        <w:t>担保不是</w:t>
      </w:r>
      <w:r>
        <w:rPr>
          <w:rFonts w:ascii="Calibri" w:hAnsi="Calibri" w:eastAsia="宋体" w:cstheme="minorBidi"/>
          <w:kern w:val="2"/>
          <w:sz w:val="21"/>
          <w:szCs w:val="22"/>
          <w:lang w:eastAsia="zh-CN"/>
        </w:rPr>
        <w:t>合同签订的</w:t>
      </w:r>
      <w:r>
        <w:rPr>
          <w:rFonts w:hint="eastAsia" w:ascii="Calibri" w:hAnsi="Calibri" w:eastAsia="宋体" w:cstheme="minorBidi"/>
          <w:kern w:val="2"/>
          <w:sz w:val="21"/>
          <w:szCs w:val="22"/>
          <w:lang w:eastAsia="zh-CN"/>
        </w:rPr>
        <w:t>前提</w:t>
      </w:r>
      <w:r>
        <w:rPr>
          <w:rFonts w:ascii="Calibri" w:hAnsi="Calibri" w:eastAsia="宋体" w:cstheme="minorBidi"/>
          <w:kern w:val="2"/>
          <w:sz w:val="21"/>
          <w:szCs w:val="22"/>
          <w:lang w:eastAsia="zh-CN"/>
        </w:rPr>
        <w:t>条件，不要求中标</w:t>
      </w:r>
      <w:r>
        <w:rPr>
          <w:rFonts w:hint="eastAsia" w:ascii="Calibri" w:hAnsi="Calibri" w:eastAsia="宋体" w:cstheme="minorBidi"/>
          <w:kern w:val="2"/>
          <w:sz w:val="21"/>
          <w:szCs w:val="22"/>
          <w:lang w:eastAsia="zh-CN"/>
        </w:rPr>
        <w:t>人</w:t>
      </w:r>
      <w:r>
        <w:rPr>
          <w:rFonts w:ascii="Calibri" w:hAnsi="Calibri" w:eastAsia="宋体" w:cstheme="minorBidi"/>
          <w:kern w:val="2"/>
          <w:sz w:val="21"/>
          <w:szCs w:val="22"/>
          <w:lang w:eastAsia="zh-CN"/>
        </w:rPr>
        <w:t>提供除法律、法规明确规定外的其他担保</w:t>
      </w:r>
      <w:r>
        <w:rPr>
          <w:rFonts w:hint="eastAsia" w:ascii="Calibri" w:hAnsi="Calibri" w:eastAsia="宋体" w:cstheme="minorBidi"/>
          <w:kern w:val="2"/>
          <w:sz w:val="21"/>
          <w:szCs w:val="22"/>
          <w:lang w:eastAsia="zh-CN"/>
        </w:rPr>
        <w:t>。</w:t>
      </w:r>
    </w:p>
    <w:p w14:paraId="7B121BA7">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47. 合同备案</w:t>
      </w:r>
    </w:p>
    <w:p w14:paraId="4090700F">
      <w:pPr>
        <w:widowControl w:val="0"/>
        <w:jc w:val="both"/>
        <w:rPr>
          <w:rFonts w:hint="eastAsia" w:ascii="黑体" w:hAnsi="宋体" w:eastAsia="黑体"/>
          <w:kern w:val="2"/>
          <w:szCs w:val="22"/>
          <w:lang w:eastAsia="zh-CN"/>
        </w:rPr>
      </w:pPr>
      <w:r>
        <w:rPr>
          <w:rFonts w:hint="eastAsia" w:ascii="宋体" w:hAnsi="宋体" w:eastAsia="宋体"/>
          <w:kern w:val="2"/>
          <w:sz w:val="21"/>
          <w:szCs w:val="21"/>
          <w:lang w:eastAsia="zh-Hans"/>
        </w:rPr>
        <w:t>采购人与中标供应商自中标通知书发出之日起10个工作日内签订政府采购合同，</w:t>
      </w:r>
      <w:r>
        <w:rPr>
          <w:rFonts w:hint="eastAsia" w:ascii="宋体" w:hAnsi="宋体" w:eastAsia="宋体"/>
          <w:kern w:val="2"/>
          <w:sz w:val="21"/>
          <w:szCs w:val="21"/>
          <w:lang w:eastAsia="zh-CN"/>
        </w:rPr>
        <w:t>并按财政部门规定提交备案。</w:t>
      </w:r>
      <w:r>
        <w:rPr>
          <w:rFonts w:hint="eastAsia" w:ascii="黑体" w:hAnsi="宋体" w:eastAsia="黑体" w:cstheme="minorBidi"/>
          <w:kern w:val="2"/>
          <w:szCs w:val="22"/>
          <w:lang w:eastAsia="zh-CN"/>
        </w:rPr>
        <w:t>48. 合同变更</w:t>
      </w:r>
    </w:p>
    <w:p w14:paraId="5AD2C71B">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合同变更事宜按《深圳市财政局关于优化政府采购合同备案的通知》（深财发保〔2022〕2号）相关规定执行。</w:t>
      </w:r>
    </w:p>
    <w:p w14:paraId="4740DA14">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49. 项目验收</w:t>
      </w:r>
    </w:p>
    <w:p w14:paraId="26EB5D68">
      <w:pPr>
        <w:widowControl/>
        <w:ind w:right="176" w:firstLine="420"/>
        <w:jc w:val="left"/>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49.1采购人应当按照招标文件和合同规定的标准和方法，及时组织验收。</w:t>
      </w:r>
      <w:r>
        <w:rPr>
          <w:rFonts w:ascii="宋体" w:hAnsi="宋体" w:eastAsia="宋体" w:cstheme="minorBidi"/>
          <w:kern w:val="2"/>
          <w:sz w:val="21"/>
          <w:szCs w:val="22"/>
          <w:lang w:eastAsia="zh-CN"/>
        </w:rPr>
        <w:t xml:space="preserve"> </w:t>
      </w:r>
    </w:p>
    <w:p w14:paraId="1B3BF28A">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50. 宣传</w:t>
      </w:r>
    </w:p>
    <w:p w14:paraId="54338D33">
      <w:pPr>
        <w:widowControl w:val="0"/>
        <w:ind w:left="240" w:leftChars="1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凡与政府采购活动有关的宣传或广告，若当中提及政府采购，</w:t>
      </w:r>
      <w:r>
        <w:rPr>
          <w:rFonts w:ascii="宋体" w:hAnsi="宋体" w:eastAsia="宋体" w:cstheme="minorBidi"/>
          <w:kern w:val="2"/>
          <w:sz w:val="21"/>
          <w:szCs w:val="22"/>
          <w:lang w:eastAsia="zh-CN"/>
        </w:rPr>
        <w:t>必须事先将具体对外宣传方案报</w:t>
      </w:r>
      <w:r>
        <w:rPr>
          <w:rFonts w:hint="eastAsia" w:ascii="宋体" w:hAnsi="宋体" w:eastAsia="宋体" w:cstheme="minorBidi"/>
          <w:kern w:val="2"/>
          <w:sz w:val="21"/>
          <w:szCs w:val="22"/>
          <w:lang w:eastAsia="zh-CN"/>
        </w:rPr>
        <w:t>同级财政部门</w:t>
      </w:r>
      <w:r>
        <w:rPr>
          <w:rFonts w:ascii="宋体" w:hAnsi="宋体" w:eastAsia="宋体" w:cstheme="minorBidi"/>
          <w:kern w:val="2"/>
          <w:sz w:val="21"/>
          <w:szCs w:val="22"/>
          <w:lang w:eastAsia="zh-CN"/>
        </w:rPr>
        <w:t>和</w:t>
      </w:r>
      <w:r>
        <w:rPr>
          <w:rFonts w:hint="eastAsia" w:ascii="宋体" w:hAnsi="宋体" w:eastAsia="宋体" w:cstheme="minorBidi"/>
          <w:kern w:val="2"/>
          <w:sz w:val="21"/>
          <w:szCs w:val="22"/>
          <w:lang w:eastAsia="zh-CN"/>
        </w:rPr>
        <w:t>采购代理机构</w:t>
      </w:r>
      <w:r>
        <w:rPr>
          <w:rFonts w:ascii="宋体" w:hAnsi="宋体" w:eastAsia="宋体" w:cstheme="minorBidi"/>
          <w:kern w:val="2"/>
          <w:sz w:val="21"/>
          <w:szCs w:val="22"/>
          <w:lang w:eastAsia="zh-CN"/>
        </w:rPr>
        <w:t>，并征得其同意。对外市场宣传包括但不限于以下形式：</w:t>
      </w:r>
    </w:p>
    <w:p w14:paraId="12674889">
      <w:pPr>
        <w:widowControl w:val="0"/>
        <w:ind w:left="240" w:leftChars="100"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2"/>
          <w:lang w:eastAsia="zh-CN"/>
        </w:rPr>
        <w:t>a.名片、宣传册、广告标语等；</w:t>
      </w:r>
    </w:p>
    <w:p w14:paraId="2CF7584E">
      <w:pPr>
        <w:widowControl w:val="0"/>
        <w:ind w:left="240" w:leftChars="100" w:firstLine="411" w:firstLineChars="196"/>
        <w:jc w:val="both"/>
        <w:rPr>
          <w:rFonts w:hint="eastAsia" w:ascii="宋体" w:hAnsi="宋体" w:eastAsia="宋体"/>
          <w:kern w:val="2"/>
          <w:sz w:val="21"/>
          <w:szCs w:val="22"/>
          <w:lang w:eastAsia="zh-CN"/>
        </w:rPr>
      </w:pPr>
      <w:r>
        <w:rPr>
          <w:rFonts w:ascii="宋体" w:hAnsi="宋体" w:eastAsia="宋体" w:cstheme="minorBidi"/>
          <w:kern w:val="2"/>
          <w:sz w:val="21"/>
          <w:szCs w:val="22"/>
          <w:lang w:eastAsia="zh-CN"/>
        </w:rPr>
        <w:t>b.案例介绍、推广等；</w:t>
      </w:r>
    </w:p>
    <w:p w14:paraId="59CC3150">
      <w:pPr>
        <w:widowControl w:val="0"/>
        <w:ind w:left="240" w:leftChars="100" w:firstLine="411" w:firstLineChars="196"/>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c.工作</w:t>
      </w:r>
      <w:r>
        <w:rPr>
          <w:rFonts w:ascii="宋体" w:hAnsi="宋体" w:eastAsia="宋体" w:cstheme="minorBidi"/>
          <w:kern w:val="2"/>
          <w:sz w:val="21"/>
          <w:szCs w:val="22"/>
          <w:lang w:eastAsia="zh-CN"/>
        </w:rPr>
        <w:t>人员向其他消费群体宣传。</w:t>
      </w:r>
    </w:p>
    <w:p w14:paraId="452A78DA">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51. 供应商违法责任</w:t>
      </w:r>
    </w:p>
    <w:p w14:paraId="37B4CC7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w:t>
      </w:r>
      <w:r>
        <w:rPr>
          <w:rFonts w:ascii="宋体" w:hAnsi="宋体" w:eastAsia="宋体" w:cstheme="minorBidi"/>
          <w:kern w:val="2"/>
          <w:sz w:val="21"/>
          <w:szCs w:val="21"/>
          <w:lang w:eastAsia="zh-CN"/>
        </w:rPr>
        <w:t>1.1</w:t>
      </w:r>
      <w:r>
        <w:rPr>
          <w:rFonts w:hint="eastAsia" w:ascii="宋体" w:hAnsi="宋体" w:eastAsia="宋体" w:cstheme="minorBidi"/>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25B22B2">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（1）在采购活动中应当回避而未回避的；</w:t>
      </w:r>
    </w:p>
    <w:p w14:paraId="4A775118">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（2）未按本条例规定签订、履行采购合同，造成严重后果的；</w:t>
      </w:r>
    </w:p>
    <w:p w14:paraId="290A0533">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（3）隐瞒真实情况，提供虚假资料的；</w:t>
      </w:r>
    </w:p>
    <w:p w14:paraId="4E08A32D">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（4）以非法手段排斥其他供应商参与竞争的；</w:t>
      </w:r>
    </w:p>
    <w:p w14:paraId="1FDBD4E7">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（5）与其他采购参加人串通投标的；</w:t>
      </w:r>
    </w:p>
    <w:p w14:paraId="42ACB14E">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（6）恶意投诉的；</w:t>
      </w:r>
    </w:p>
    <w:p w14:paraId="5181C0F4">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（7）向采购项目相关人行贿或者提供其他不当利益的；</w:t>
      </w:r>
    </w:p>
    <w:p w14:paraId="4C1893E9">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（8）阻碍、抗拒主管部门监督检查的；</w:t>
      </w:r>
    </w:p>
    <w:p w14:paraId="1172C05F">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（9）其他违反本条例规定的行为。</w:t>
      </w:r>
    </w:p>
    <w:p w14:paraId="2B60380A">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w:t>
      </w:r>
      <w:r>
        <w:rPr>
          <w:rFonts w:ascii="宋体" w:hAnsi="宋体" w:eastAsia="宋体" w:cstheme="minorBidi"/>
          <w:kern w:val="2"/>
          <w:sz w:val="21"/>
          <w:szCs w:val="21"/>
          <w:lang w:eastAsia="zh-CN"/>
        </w:rPr>
        <w:t xml:space="preserve">1.2 </w:t>
      </w:r>
      <w:r>
        <w:rPr>
          <w:rFonts w:hint="eastAsia" w:ascii="宋体" w:hAnsi="宋体" w:eastAsia="宋体" w:cstheme="minorBidi"/>
          <w:kern w:val="2"/>
          <w:sz w:val="21"/>
          <w:szCs w:val="21"/>
          <w:lang w:eastAsia="zh-CN"/>
        </w:rPr>
        <w:t>根据《深圳市财政局关于调整政府采购投标（响应）保证金管理政策的通知 》（深财购〔2021〕51 号）的要求，供应商在政府采购活动中出现《深圳经济特区政府采购条例实施细则》第八十条所列情形的，</w:t>
      </w:r>
      <w:bookmarkStart w:id="104" w:name="_Hlk72440769"/>
      <w:r>
        <w:rPr>
          <w:rFonts w:hint="eastAsia" w:ascii="宋体" w:hAnsi="宋体" w:eastAsia="宋体" w:cstheme="minorBidi"/>
          <w:kern w:val="2"/>
          <w:sz w:val="21"/>
          <w:szCs w:val="21"/>
          <w:lang w:eastAsia="zh-CN"/>
        </w:rPr>
        <w:t>采购代理机构或采购人不予退还其交纳的谈判保证金，情节严重的，并由主管部门</w:t>
      </w:r>
      <w:bookmarkEnd w:id="104"/>
      <w:r>
        <w:rPr>
          <w:rFonts w:hint="eastAsia" w:ascii="宋体" w:hAnsi="宋体" w:eastAsia="宋体" w:cstheme="minorBidi"/>
          <w:kern w:val="2"/>
          <w:sz w:val="21"/>
          <w:szCs w:val="21"/>
          <w:lang w:eastAsia="zh-CN"/>
        </w:rPr>
        <w:t>记入供应商诚信档案，予以通报：</w:t>
      </w:r>
    </w:p>
    <w:p w14:paraId="1A0AB9E4">
      <w:pPr>
        <w:widowControl w:val="0"/>
        <w:ind w:firstLine="411" w:firstLineChars="196"/>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）投标截止后，撤销投标的；</w:t>
      </w:r>
    </w:p>
    <w:p w14:paraId="40812923">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）中标后无正当理由未在规定期限内签订合同的；</w:t>
      </w:r>
    </w:p>
    <w:p w14:paraId="7C173B81">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）将中标项目转让给他人或者在投标文件中未说明且未经采购人、采购招标机构同意，将中标项目分包给他人的；</w:t>
      </w:r>
    </w:p>
    <w:p w14:paraId="66742B3E">
      <w:pPr>
        <w:widowControl w:val="0"/>
        <w:ind w:firstLine="411" w:firstLineChars="196"/>
        <w:jc w:val="both"/>
        <w:rPr>
          <w:rFonts w:hint="eastAsia"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w:t>
      </w:r>
      <w:r>
        <w:rPr>
          <w:rFonts w:ascii="宋体" w:hAnsi="宋体" w:eastAsia="宋体" w:cstheme="minorBidi"/>
          <w:kern w:val="2"/>
          <w:sz w:val="21"/>
          <w:szCs w:val="21"/>
          <w:lang w:eastAsia="zh-CN"/>
        </w:rPr>
        <w:t>）拒绝履行合同义务的</w:t>
      </w:r>
      <w:r>
        <w:rPr>
          <w:rFonts w:hint="eastAsia" w:ascii="宋体" w:hAnsi="宋体" w:eastAsia="宋体" w:cstheme="minorBidi"/>
          <w:kern w:val="2"/>
          <w:sz w:val="21"/>
          <w:szCs w:val="21"/>
          <w:lang w:eastAsia="zh-CN"/>
        </w:rPr>
        <w:t>。</w:t>
      </w:r>
    </w:p>
    <w:bookmarkEnd w:id="88"/>
    <w:p w14:paraId="2BF8FE0C">
      <w:pPr>
        <w:keepNext/>
        <w:keepLines/>
        <w:widowControl w:val="0"/>
        <w:numPr>
          <w:ilvl w:val="0"/>
          <w:numId w:val="7"/>
        </w:numPr>
        <w:spacing w:before="156" w:beforeLines="50" w:after="156" w:afterLines="50" w:line="416" w:lineRule="auto"/>
        <w:ind w:left="562" w:hanging="562"/>
        <w:jc w:val="both"/>
        <w:outlineLvl w:val="1"/>
        <w:rPr>
          <w:rFonts w:ascii="Cambria" w:hAnsi="Cambria" w:eastAsia="宋体"/>
          <w:b/>
          <w:bCs/>
          <w:kern w:val="2"/>
          <w:sz w:val="28"/>
          <w:szCs w:val="28"/>
          <w:lang w:eastAsia="zh-CN"/>
        </w:rPr>
      </w:pPr>
      <w:r>
        <w:rPr>
          <w:rFonts w:hint="eastAsia" w:ascii="Cambria" w:hAnsi="Cambria" w:eastAsia="宋体" w:cstheme="majorBidi"/>
          <w:b/>
          <w:bCs/>
          <w:kern w:val="2"/>
          <w:sz w:val="28"/>
          <w:szCs w:val="28"/>
          <w:lang w:eastAsia="zh-CN"/>
        </w:rPr>
        <w:t>质疑处理</w:t>
      </w:r>
    </w:p>
    <w:p w14:paraId="3FF55C9A">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52.质疑提出与答复</w:t>
      </w:r>
    </w:p>
    <w:p w14:paraId="28FDA6E6">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52.1提出质疑</w:t>
      </w:r>
    </w:p>
    <w:p w14:paraId="4AF22A95">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参与政府采购活动的供应商认为自己的权益在采购活动中受到损害的，应当自知道或者应当知道其权益受到损害之日起七个工作日内向采购人、采购代理机构以书面形式提出质疑。</w:t>
      </w:r>
    </w:p>
    <w:p w14:paraId="0ABCC6F1">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52.2</w:t>
      </w:r>
      <w:r>
        <w:rPr>
          <w:rFonts w:ascii="宋体" w:hAnsi="宋体" w:eastAsia="宋体" w:cstheme="minorBidi"/>
          <w:kern w:val="2"/>
          <w:sz w:val="21"/>
          <w:szCs w:val="21"/>
          <w:lang w:eastAsia="zh-CN"/>
        </w:rPr>
        <w:t>法律依据</w:t>
      </w:r>
    </w:p>
    <w:p w14:paraId="10AB4E2B">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《中华人民共和国政府采购法》、《中华人民共和国政府采购法实施条例》、</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深圳经济特区政府采购</w:t>
      </w:r>
      <w:r>
        <w:rPr>
          <w:rFonts w:ascii="宋体" w:hAnsi="宋体" w:eastAsia="宋体" w:cstheme="minorBidi"/>
          <w:kern w:val="2"/>
          <w:sz w:val="21"/>
          <w:szCs w:val="21"/>
          <w:lang w:eastAsia="zh-CN"/>
        </w:rPr>
        <w:t>条例</w:t>
      </w:r>
      <w:r>
        <w:rPr>
          <w:rFonts w:hint="eastAsia" w:ascii="宋体" w:hAnsi="宋体" w:eastAsia="宋体" w:cstheme="minorBidi"/>
          <w:kern w:val="2"/>
          <w:sz w:val="21"/>
          <w:szCs w:val="21"/>
          <w:lang w:eastAsia="zh-CN"/>
        </w:rPr>
        <w:t>》、《深圳经济特区政府采购条例实施细则》、《政府采购质疑和投诉办法》（财政部令第94号）和其他有关法律法规规定。</w:t>
      </w:r>
    </w:p>
    <w:p w14:paraId="7501F8F8">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w:t>
      </w:r>
      <w:r>
        <w:rPr>
          <w:rFonts w:hint="eastAsia" w:ascii="宋体" w:hAnsi="宋体" w:eastAsia="宋体" w:cstheme="minorBidi"/>
          <w:color w:val="FF0000"/>
          <w:kern w:val="2"/>
          <w:sz w:val="21"/>
          <w:szCs w:val="21"/>
          <w:lang w:eastAsia="zh-CN"/>
        </w:rPr>
        <w:t xml:space="preserve">  </w:t>
      </w:r>
      <w:r>
        <w:rPr>
          <w:rFonts w:hint="eastAsia" w:ascii="宋体" w:hAnsi="宋体" w:eastAsia="宋体" w:cstheme="minorBidi"/>
          <w:kern w:val="2"/>
          <w:sz w:val="21"/>
          <w:szCs w:val="21"/>
          <w:lang w:eastAsia="zh-CN"/>
        </w:rPr>
        <w:t>52.3质疑条件</w:t>
      </w:r>
    </w:p>
    <w:p w14:paraId="6DA904B8">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52.3.1提出质疑的供应商应当是参与所质疑项目采购活动的供应商；</w:t>
      </w:r>
      <w:bookmarkStart w:id="105" w:name="_Hlk75374941"/>
      <w:r>
        <w:rPr>
          <w:rFonts w:hint="eastAsia" w:ascii="宋体" w:hAnsi="宋体" w:eastAsia="宋体" w:cstheme="minorBidi"/>
          <w:kern w:val="2"/>
          <w:sz w:val="21"/>
          <w:szCs w:val="21"/>
          <w:lang w:eastAsia="zh-CN"/>
        </w:rPr>
        <w:t>以联合体形式参与的，质疑应当由组成联合体的所有成员共同提出</w:t>
      </w:r>
      <w:bookmarkEnd w:id="105"/>
      <w:r>
        <w:rPr>
          <w:rFonts w:hint="eastAsia" w:ascii="宋体" w:hAnsi="宋体" w:eastAsia="宋体" w:cstheme="minorBidi"/>
          <w:kern w:val="2"/>
          <w:sz w:val="21"/>
          <w:szCs w:val="21"/>
          <w:lang w:eastAsia="zh-CN"/>
        </w:rPr>
        <w:t>；</w:t>
      </w:r>
    </w:p>
    <w:p w14:paraId="2D6DB6E4">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0216E00">
      <w:pPr>
        <w:widowControl w:val="0"/>
        <w:ind w:firstLine="42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52.3.3应提交书面质疑函，质疑函应当包括以下内容：</w:t>
      </w:r>
      <w:r>
        <w:rPr>
          <w:rFonts w:ascii="宋体" w:hAnsi="宋体" w:eastAsia="宋体" w:cstheme="minorBidi"/>
          <w:kern w:val="2"/>
          <w:sz w:val="21"/>
          <w:szCs w:val="21"/>
          <w:lang w:eastAsia="zh-CN"/>
        </w:rPr>
        <w:t xml:space="preserve"> </w:t>
      </w:r>
    </w:p>
    <w:p w14:paraId="4BBFAFF0">
      <w:pPr>
        <w:widowControl w:val="0"/>
        <w:ind w:firstLine="42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（1）供应商的名称（或者姓名）、地址、邮编、邮箱、联系人及联系电话；</w:t>
      </w:r>
    </w:p>
    <w:p w14:paraId="2F79AF8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（2）质疑项目的名称、编号；</w:t>
      </w:r>
    </w:p>
    <w:p w14:paraId="61036ED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（3）具体、明确的质疑对象、质疑事项和质疑请求；</w:t>
      </w:r>
    </w:p>
    <w:p w14:paraId="7108440D">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（4）因质疑事项而受损害的权益；</w:t>
      </w:r>
    </w:p>
    <w:p w14:paraId="1057241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（5）事实依据；</w:t>
      </w:r>
    </w:p>
    <w:p w14:paraId="21FB3DCC">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（6）必要的法律依据；</w:t>
      </w:r>
    </w:p>
    <w:p w14:paraId="73789EA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（7）提出质疑的日期。</w:t>
      </w:r>
    </w:p>
    <w:p w14:paraId="41ECFF62">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供应商为自然人的，应当由本人签字；供应商为法人或者其他组织的，应当由法定代表人（负责人），或者其授权代理人签字或者盖章，并加盖公章。</w:t>
      </w:r>
    </w:p>
    <w:p w14:paraId="201BE3C3">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52.4提交</w:t>
      </w:r>
      <w:r>
        <w:rPr>
          <w:rFonts w:ascii="宋体" w:hAnsi="宋体" w:eastAsia="宋体" w:cstheme="minorBidi"/>
          <w:kern w:val="2"/>
          <w:sz w:val="21"/>
          <w:szCs w:val="21"/>
          <w:lang w:eastAsia="zh-CN"/>
        </w:rPr>
        <w:t>材料</w:t>
      </w:r>
    </w:p>
    <w:p w14:paraId="7260541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14:paraId="26DC75D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供应商可以委托代理人进行质疑。</w:t>
      </w:r>
      <w:r>
        <w:rPr>
          <w:rFonts w:ascii="宋体" w:hAnsi="宋体" w:eastAsia="宋体" w:cstheme="minorBidi"/>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0A8E56C">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52.5收文地点</w:t>
      </w:r>
    </w:p>
    <w:p w14:paraId="5F573FBB">
      <w:pPr>
        <w:widowControl w:val="0"/>
        <w:ind w:firstLine="422" w:firstLineChars="200"/>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地址：深圳市拓泰实业有限公司（地址：深圳市龙华区民治街道民强社区梅龙路和民旺路相交处民治商贸广场B2102）。</w:t>
      </w:r>
    </w:p>
    <w:p w14:paraId="4FA6D9A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52.6收文办理</w:t>
      </w:r>
      <w:r>
        <w:rPr>
          <w:rFonts w:ascii="宋体" w:hAnsi="宋体" w:eastAsia="宋体" w:cstheme="minorBidi"/>
          <w:kern w:val="2"/>
          <w:sz w:val="21"/>
          <w:szCs w:val="21"/>
          <w:lang w:eastAsia="zh-CN"/>
        </w:rPr>
        <w:t>程序</w:t>
      </w:r>
    </w:p>
    <w:p w14:paraId="07C52DF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33EE12BE">
      <w:pPr>
        <w:widowControl w:val="0"/>
        <w:ind w:firstLine="420" w:firstLineChars="200"/>
        <w:jc w:val="both"/>
        <w:rPr>
          <w:rFonts w:hint="eastAsia" w:ascii="仿宋" w:hAnsi="仿宋" w:eastAsia="仿宋"/>
          <w:kern w:val="2"/>
          <w:sz w:val="28"/>
          <w:szCs w:val="28"/>
          <w:lang w:eastAsia="zh-CN"/>
        </w:rPr>
      </w:pPr>
      <w:r>
        <w:rPr>
          <w:rFonts w:hint="eastAsia" w:ascii="宋体" w:hAnsi="宋体" w:eastAsia="宋体" w:cstheme="minorBidi"/>
          <w:kern w:val="2"/>
          <w:sz w:val="21"/>
          <w:szCs w:val="21"/>
          <w:lang w:eastAsia="zh-CN"/>
        </w:rPr>
        <w:t>52.6.2供应商提交的质疑材料不符合质疑条件的，视情况处理：</w:t>
      </w:r>
    </w:p>
    <w:p w14:paraId="75813010">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供应商提交的质疑材料不全或者未按要求签字或者盖章的，采购代理机构应当一次性告知供应商需补正的内容和补正期限。</w:t>
      </w:r>
    </w:p>
    <w:p w14:paraId="5D672F6A">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供应商提交的质疑存在下列情形之一的，不予受理：</w:t>
      </w:r>
    </w:p>
    <w:p w14:paraId="7CDA0381">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（1）质疑主体不满足要求的；</w:t>
      </w:r>
    </w:p>
    <w:p w14:paraId="39592EF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（2）供应商自身权益未受到损害的；</w:t>
      </w:r>
    </w:p>
    <w:p w14:paraId="33A5C684">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（3）供应商未在法定质疑期限内提出质疑的；</w:t>
      </w:r>
    </w:p>
    <w:p w14:paraId="1D90248B">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（4）质疑材料不全或者未按要求签字或者盖章的情况下，要求补正后，逾期未补正或者补正后仍不符合规定的；</w:t>
      </w:r>
    </w:p>
    <w:p w14:paraId="5227B66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（5）其他不符合受理条件情形的。</w:t>
      </w:r>
    </w:p>
    <w:p w14:paraId="4397023F">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质疑事项不予受理的，采购代理机构应当向供应商出具不符合质疑条件告知书。</w:t>
      </w:r>
    </w:p>
    <w:p w14:paraId="73ED1424">
      <w:pPr>
        <w:widowControl w:val="0"/>
        <w:jc w:val="both"/>
        <w:rPr>
          <w:rFonts w:hint="eastAsia" w:ascii="宋体" w:hAnsi="宋体" w:eastAsia="宋体"/>
          <w:kern w:val="2"/>
          <w:sz w:val="21"/>
          <w:szCs w:val="21"/>
          <w:lang w:eastAsia="zh-CN"/>
        </w:rPr>
      </w:pPr>
      <w:r>
        <w:rPr>
          <w:rFonts w:hint="eastAsia" w:ascii="宋体" w:hAnsi="宋体" w:eastAsia="宋体" w:cstheme="minorBidi"/>
          <w:color w:val="FF0000"/>
          <w:kern w:val="2"/>
          <w:sz w:val="21"/>
          <w:szCs w:val="21"/>
          <w:lang w:eastAsia="zh-CN"/>
        </w:rPr>
        <w:t xml:space="preserve">  </w:t>
      </w:r>
      <w:r>
        <w:rPr>
          <w:rFonts w:hint="eastAsia" w:ascii="宋体" w:hAnsi="宋体" w:eastAsia="宋体" w:cstheme="minorBidi"/>
          <w:kern w:val="2"/>
          <w:sz w:val="21"/>
          <w:szCs w:val="21"/>
          <w:lang w:eastAsia="zh-CN"/>
        </w:rPr>
        <w:t xml:space="preserve">  52.7质疑答复时限</w:t>
      </w:r>
    </w:p>
    <w:p w14:paraId="66CE2A5B">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自收文之日起七个工作日内。</w:t>
      </w:r>
    </w:p>
    <w:p w14:paraId="2FEA91EA">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52.8投诉</w:t>
      </w:r>
    </w:p>
    <w:p w14:paraId="77E27164">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对质疑答复不满意或者未在规定时间内答复的，提出质疑的供应商可以在答复期满后15个工作日内向本项目预算主管单位投诉。</w:t>
      </w:r>
    </w:p>
    <w:p w14:paraId="207FECBA">
      <w:pPr>
        <w:widowControl w:val="0"/>
        <w:jc w:val="both"/>
        <w:rPr>
          <w:rFonts w:hint="eastAsia" w:ascii="黑体" w:hAnsi="宋体" w:eastAsia="黑体"/>
          <w:kern w:val="2"/>
          <w:szCs w:val="22"/>
          <w:lang w:eastAsia="zh-CN"/>
        </w:rPr>
      </w:pPr>
      <w:r>
        <w:rPr>
          <w:rFonts w:hint="eastAsia" w:ascii="黑体" w:hAnsi="宋体" w:eastAsia="黑体" w:cstheme="minorBidi"/>
          <w:kern w:val="2"/>
          <w:szCs w:val="22"/>
          <w:lang w:eastAsia="zh-CN"/>
        </w:rPr>
        <w:t>53. 质疑后续处理</w:t>
      </w:r>
    </w:p>
    <w:p w14:paraId="517A54F3">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53.1供应商质疑不成立，或者成立但未对中标、成交结果构成影响的，继续开展采购活动。</w:t>
      </w:r>
    </w:p>
    <w:p w14:paraId="1A55416F">
      <w:pPr>
        <w:widowControl w:val="0"/>
        <w:ind w:firstLine="420"/>
        <w:jc w:val="center"/>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6365B221">
      <w:pPr>
        <w:widowControl w:val="0"/>
        <w:ind w:firstLine="420"/>
        <w:jc w:val="center"/>
        <w:rPr>
          <w:rFonts w:eastAsia="宋体"/>
          <w:kern w:val="2"/>
          <w:sz w:val="21"/>
          <w:lang w:eastAsia="zh-CN"/>
        </w:rPr>
      </w:pPr>
      <w:r>
        <w:rPr>
          <w:rFonts w:eastAsia="宋体"/>
          <w:kern w:val="2"/>
          <w:sz w:val="21"/>
          <w:lang w:eastAsia="zh-CN"/>
        </w:rPr>
        <w:t>---- END ----</w:t>
      </w:r>
      <w:bookmarkEnd w:id="52"/>
    </w:p>
    <w:p w14:paraId="638F8EA6">
      <w:pPr>
        <w:widowControl w:val="0"/>
        <w:jc w:val="both"/>
        <w:rPr>
          <w:rFonts w:ascii="Calibri" w:hAnsi="Calibri" w:eastAsia="宋体"/>
          <w:b/>
          <w:color w:val="FF0000"/>
          <w:kern w:val="2"/>
          <w:sz w:val="52"/>
          <w:szCs w:val="52"/>
          <w:lang w:eastAsia="zh-CN"/>
        </w:rPr>
      </w:pPr>
    </w:p>
    <w:p w14:paraId="7C76A3D5">
      <w:pPr>
        <w:keepLines/>
        <w:pBdr>
          <w:top w:val="none" w:color="auto" w:sz="0" w:space="0"/>
          <w:left w:val="none" w:color="auto" w:sz="0" w:space="0"/>
          <w:bottom w:val="none" w:color="auto" w:sz="0" w:space="0"/>
          <w:right w:val="none" w:color="auto" w:sz="0" w:space="0"/>
        </w:pBdr>
        <w:spacing w:before="0" w:after="0" w:line="432" w:lineRule="atLeast"/>
        <w:ind w:right="15"/>
        <w:rPr>
          <w:rFonts w:ascii="微软雅黑" w:hAnsi="微软雅黑" w:eastAsia="微软雅黑" w:cs="微软雅黑"/>
          <w:color w:val="333333"/>
          <w:lang w:val="en" w:eastAsia="en"/>
        </w:rPr>
      </w:pPr>
    </w:p>
    <w:sectPr>
      <w:headerReference r:id="rId3" w:type="default"/>
      <w:footerReference r:id="rId4" w:type="default"/>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14:paraId="74226265">
        <w:pPr>
          <w:pStyle w:val="9"/>
          <w:jc w:val="center"/>
        </w:pPr>
        <w:r>
          <w:fldChar w:fldCharType="begin"/>
        </w:r>
        <w:r>
          <w:instrText xml:space="preserve"> PAGE   \* MERGEFORMAT </w:instrText>
        </w:r>
        <w:r>
          <w:fldChar w:fldCharType="separate"/>
        </w:r>
        <w:r>
          <w:rPr>
            <w:lang w:val="zh-CN"/>
          </w:rPr>
          <w:t>81</w:t>
        </w:r>
        <w:r>
          <w:rPr>
            <w:lang w:val="zh-CN"/>
          </w:rPr>
          <w:fldChar w:fldCharType="end"/>
        </w:r>
      </w:p>
    </w:sdtContent>
  </w:sdt>
  <w:p w14:paraId="230EAB3F">
    <w:pPr>
      <w:pStyle w:val="9"/>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8EF59">
    <w:pPr>
      <w:pStyle w:val="10"/>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NGU1ZTcwNTdiMzc2MGI1ZmE4NTgxODY0MTk3NGQifQ=="/>
  </w:docVars>
  <w:rsids>
    <w:rsidRoot w:val="00A77B3E"/>
    <w:rsid w:val="00A77B3E"/>
    <w:rsid w:val="00CA2A55"/>
    <w:rsid w:val="060208AD"/>
    <w:rsid w:val="098475E0"/>
    <w:rsid w:val="0AD82593"/>
    <w:rsid w:val="0BE36C42"/>
    <w:rsid w:val="13FD7C63"/>
    <w:rsid w:val="21F71A58"/>
    <w:rsid w:val="25624B3B"/>
    <w:rsid w:val="27E63CC6"/>
    <w:rsid w:val="291D0B64"/>
    <w:rsid w:val="2C675D1C"/>
    <w:rsid w:val="2FF565E5"/>
    <w:rsid w:val="33690F44"/>
    <w:rsid w:val="345D447B"/>
    <w:rsid w:val="397F1976"/>
    <w:rsid w:val="3A4D2585"/>
    <w:rsid w:val="4B846F38"/>
    <w:rsid w:val="4DD83873"/>
    <w:rsid w:val="54C973C5"/>
    <w:rsid w:val="5CA24832"/>
    <w:rsid w:val="5DBA6F10"/>
    <w:rsid w:val="5DCA08DE"/>
    <w:rsid w:val="623D76CA"/>
    <w:rsid w:val="62E130D5"/>
    <w:rsid w:val="684774C5"/>
    <w:rsid w:val="73B005D1"/>
    <w:rsid w:val="7419548D"/>
    <w:rsid w:val="74CF77C3"/>
    <w:rsid w:val="74EE3595"/>
    <w:rsid w:val="77E966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3">
    <w:name w:val="heading 1"/>
    <w:basedOn w:val="1"/>
    <w:next w:val="1"/>
    <w:link w:val="20"/>
    <w:qFormat/>
    <w:uiPriority w:val="0"/>
    <w:pPr>
      <w:keepNext/>
      <w:keepLines/>
      <w:widowControl w:val="0"/>
      <w:spacing w:before="340" w:afterLines="25" w:line="578" w:lineRule="auto"/>
      <w:jc w:val="both"/>
      <w:outlineLvl w:val="0"/>
    </w:pPr>
    <w:rPr>
      <w:rFonts w:ascii="Arial" w:hAnsi="Arial" w:eastAsia="宋体"/>
      <w:b/>
      <w:bCs/>
      <w:kern w:val="44"/>
      <w:sz w:val="44"/>
      <w:szCs w:val="44"/>
      <w:lang w:eastAsia="zh-CN"/>
    </w:rPr>
  </w:style>
  <w:style w:type="paragraph" w:styleId="4">
    <w:name w:val="heading 2"/>
    <w:basedOn w:val="5"/>
    <w:next w:val="6"/>
    <w:link w:val="23"/>
    <w:semiHidden/>
    <w:unhideWhenUsed/>
    <w:qFormat/>
    <w:uiPriority w:val="9"/>
    <w:pPr>
      <w:spacing w:line="416" w:lineRule="auto"/>
      <w:outlineLvl w:val="1"/>
    </w:pPr>
    <w:rPr>
      <w:rFonts w:asciiTheme="majorHAnsi" w:hAnsiTheme="majorHAnsi" w:eastAsiaTheme="majorEastAsia" w:cstheme="majorBidi"/>
      <w:sz w:val="32"/>
    </w:rPr>
  </w:style>
  <w:style w:type="paragraph" w:styleId="5">
    <w:name w:val="heading 3"/>
    <w:basedOn w:val="6"/>
    <w:next w:val="1"/>
    <w:qFormat/>
    <w:uiPriority w:val="9"/>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widowControl w:val="0"/>
      <w:spacing w:before="280" w:after="290" w:line="376" w:lineRule="auto"/>
      <w:jc w:val="both"/>
      <w:outlineLvl w:val="3"/>
    </w:pPr>
    <w:rPr>
      <w:rFonts w:ascii="Arial" w:hAnsi="Arial" w:eastAsia="黑体" w:cstheme="minorBidi"/>
      <w:b/>
      <w:bCs/>
      <w:kern w:val="2"/>
      <w:sz w:val="28"/>
      <w:szCs w:val="28"/>
      <w:lang w:eastAsia="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line="360" w:lineRule="auto"/>
      <w:jc w:val="both"/>
    </w:pPr>
    <w:rPr>
      <w:rFonts w:asciiTheme="minorHAnsi" w:hAnsiTheme="minorHAnsi" w:eastAsiaTheme="minorEastAsia" w:cstheme="minorBidi"/>
      <w:b/>
      <w:bCs/>
      <w:kern w:val="2"/>
      <w:szCs w:val="22"/>
      <w:lang w:eastAsia="zh-CN"/>
    </w:rPr>
  </w:style>
  <w:style w:type="paragraph" w:styleId="7">
    <w:name w:val="Normal Indent"/>
    <w:basedOn w:val="1"/>
    <w:qFormat/>
    <w:uiPriority w:val="0"/>
    <w:pPr>
      <w:widowControl w:val="0"/>
      <w:ind w:firstLine="420"/>
      <w:jc w:val="both"/>
    </w:pPr>
    <w:rPr>
      <w:rFonts w:asciiTheme="minorHAnsi" w:hAnsiTheme="minorHAnsi" w:eastAsiaTheme="minorEastAsia" w:cstheme="minorBidi"/>
      <w:kern w:val="2"/>
      <w:sz w:val="21"/>
      <w:szCs w:val="20"/>
      <w:lang w:eastAsia="zh-CN"/>
    </w:rPr>
  </w:style>
  <w:style w:type="paragraph" w:styleId="8">
    <w:name w:val="annotation text"/>
    <w:basedOn w:val="1"/>
    <w:link w:val="22"/>
    <w:unhideWhenUsed/>
    <w:qFormat/>
    <w:uiPriority w:val="99"/>
    <w:pPr>
      <w:widowControl w:val="0"/>
    </w:pPr>
    <w:rPr>
      <w:rFonts w:asciiTheme="minorHAnsi" w:hAnsiTheme="minorHAnsi" w:eastAsiaTheme="minorEastAsia" w:cstheme="minorBidi"/>
      <w:kern w:val="2"/>
      <w:sz w:val="21"/>
      <w:szCs w:val="22"/>
      <w:lang w:eastAsia="zh-CN"/>
    </w:rPr>
  </w:style>
  <w:style w:type="paragraph" w:styleId="9">
    <w:name w:val="footer"/>
    <w:basedOn w:val="1"/>
    <w:link w:val="1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10">
    <w:name w:val="header"/>
    <w:basedOn w:val="1"/>
    <w:link w:val="18"/>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1">
    <w:name w:val="Body Text 2"/>
    <w:basedOn w:val="1"/>
    <w:qFormat/>
    <w:uiPriority w:val="0"/>
    <w:pPr>
      <w:widowControl w:val="0"/>
      <w:spacing w:line="360" w:lineRule="auto"/>
      <w:jc w:val="both"/>
    </w:pPr>
    <w:rPr>
      <w:rFonts w:asciiTheme="minorHAnsi" w:hAnsiTheme="minorHAnsi" w:eastAsiaTheme="minorEastAsia" w:cstheme="minorBidi"/>
      <w:kern w:val="2"/>
      <w:szCs w:val="22"/>
      <w:lang w:eastAsia="zh-CN"/>
    </w:rPr>
  </w:style>
  <w:style w:type="paragraph" w:styleId="12">
    <w:name w:val="Normal (Web)"/>
    <w:basedOn w:val="1"/>
    <w:link w:val="21"/>
    <w:qFormat/>
    <w:uiPriority w:val="99"/>
    <w:pPr>
      <w:spacing w:before="100" w:beforeAutospacing="1" w:afterAutospacing="1"/>
    </w:pPr>
    <w:rPr>
      <w:rFonts w:ascii="宋体" w:hAnsi="宋体" w:eastAsiaTheme="minorEastAsia" w:cstheme="minorBidi"/>
      <w:kern w:val="2"/>
      <w:lang w:eastAsia="zh-CN"/>
    </w:rPr>
  </w:style>
  <w:style w:type="table" w:styleId="14">
    <w:name w:val="Table Grid"/>
    <w:basedOn w:val="13"/>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页眉 字符"/>
    <w:basedOn w:val="15"/>
    <w:link w:val="10"/>
    <w:qFormat/>
    <w:uiPriority w:val="99"/>
    <w:rPr>
      <w:rFonts w:eastAsia="宋体"/>
      <w:sz w:val="18"/>
      <w:szCs w:val="18"/>
    </w:rPr>
  </w:style>
  <w:style w:type="character" w:customStyle="1" w:styleId="19">
    <w:name w:val="页脚 字符"/>
    <w:basedOn w:val="15"/>
    <w:link w:val="9"/>
    <w:qFormat/>
    <w:uiPriority w:val="99"/>
    <w:rPr>
      <w:rFonts w:eastAsia="宋体"/>
      <w:sz w:val="18"/>
      <w:szCs w:val="18"/>
    </w:rPr>
  </w:style>
  <w:style w:type="character" w:customStyle="1" w:styleId="20">
    <w:name w:val="标题 1 字符"/>
    <w:basedOn w:val="15"/>
    <w:link w:val="3"/>
    <w:qFormat/>
    <w:uiPriority w:val="0"/>
    <w:rPr>
      <w:rFonts w:ascii="Arial" w:hAnsi="Arial" w:eastAsia="宋体"/>
      <w:b/>
      <w:bCs/>
      <w:kern w:val="44"/>
      <w:sz w:val="44"/>
      <w:szCs w:val="44"/>
    </w:rPr>
  </w:style>
  <w:style w:type="character" w:customStyle="1" w:styleId="21">
    <w:name w:val="普通(网站) 字符"/>
    <w:link w:val="12"/>
    <w:qFormat/>
    <w:uiPriority w:val="99"/>
    <w:rPr>
      <w:rFonts w:ascii="宋体" w:hAnsi="宋体" w:eastAsia="宋体"/>
      <w:sz w:val="24"/>
      <w:szCs w:val="24"/>
    </w:rPr>
  </w:style>
  <w:style w:type="character" w:customStyle="1" w:styleId="22">
    <w:name w:val="批注文字 字符"/>
    <w:basedOn w:val="15"/>
    <w:link w:val="8"/>
    <w:qFormat/>
    <w:uiPriority w:val="99"/>
    <w:rPr>
      <w:rFonts w:eastAsia="宋体"/>
    </w:rPr>
  </w:style>
  <w:style w:type="character" w:customStyle="1" w:styleId="23">
    <w:name w:val="标题 2 字符"/>
    <w:basedOn w:val="15"/>
    <w:link w:val="4"/>
    <w:semiHidden/>
    <w:qFormat/>
    <w:uiPriority w:val="9"/>
    <w:rPr>
      <w:rFonts w:asciiTheme="majorHAnsi" w:hAnsiTheme="majorHAnsi" w:eastAsiaTheme="majorEastAsia" w:cstheme="majorBidi"/>
      <w:b/>
      <w:bCs/>
      <w:sz w:val="32"/>
      <w:szCs w:val="32"/>
    </w:rPr>
  </w:style>
  <w:style w:type="table" w:customStyle="1" w:styleId="24">
    <w:name w:val="网格型1"/>
    <w:basedOn w:val="13"/>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lang w:eastAsia="zh-CN"/>
    </w:rPr>
  </w:style>
  <w:style w:type="table" w:customStyle="1" w:styleId="26">
    <w:name w:val="typo_table"/>
    <w:basedOn w:val="13"/>
    <w:qFormat/>
    <w:uiPriority w:val="0"/>
  </w:style>
  <w:style w:type="paragraph" w:customStyle="1" w:styleId="27">
    <w:name w:val="typo_h1"/>
    <w:basedOn w:val="1"/>
    <w:qFormat/>
    <w:uiPriority w:val="0"/>
    <w:pPr>
      <w:spacing w:line="648" w:lineRule="atLeast"/>
    </w:pPr>
    <w:rPr>
      <w:rFonts w:ascii="微软雅黑" w:hAnsi="微软雅黑" w:eastAsia="微软雅黑" w:cs="微软雅黑"/>
      <w:color w:val="333333"/>
      <w:sz w:val="48"/>
      <w:szCs w:val="48"/>
    </w:rPr>
  </w:style>
  <w:style w:type="character" w:customStyle="1" w:styleId="28">
    <w:name w:val="base"/>
    <w:basedOn w:val="15"/>
    <w:qFormat/>
    <w:uiPriority w:val="0"/>
    <w:rPr>
      <w:rFonts w:ascii="仿宋" w:hAnsi="仿宋" w:eastAsia="仿宋" w:cs="仿宋"/>
      <w:b/>
      <w:bCs/>
      <w:sz w:val="28"/>
      <w:szCs w:val="28"/>
    </w:rPr>
  </w:style>
  <w:style w:type="paragraph" w:customStyle="1" w:styleId="29">
    <w:name w:val="typo_p"/>
    <w:basedOn w:val="1"/>
    <w:qFormat/>
    <w:uiPriority w:val="0"/>
    <w:pPr>
      <w:spacing w:line="432" w:lineRule="atLeast"/>
    </w:pPr>
    <w:rPr>
      <w:rFonts w:ascii="微软雅黑" w:hAnsi="微软雅黑" w:eastAsia="微软雅黑" w:cs="微软雅黑"/>
      <w:color w:val="333333"/>
    </w:rPr>
  </w:style>
  <w:style w:type="character" w:customStyle="1" w:styleId="30">
    <w:name w:val="span"/>
    <w:basedOn w:val="15"/>
    <w:qFormat/>
    <w:uiPriority w:val="0"/>
    <w:rPr>
      <w:rFonts w:ascii="仿宋" w:hAnsi="仿宋" w:eastAsia="仿宋" w:cs="仿宋"/>
    </w:rPr>
  </w:style>
  <w:style w:type="character" w:customStyle="1" w:styleId="31">
    <w:name w:val="underline"/>
    <w:basedOn w:val="15"/>
    <w:qFormat/>
    <w:uiPriority w:val="0"/>
  </w:style>
  <w:style w:type="paragraph" w:customStyle="1" w:styleId="32">
    <w:name w:val="div"/>
    <w:basedOn w:val="1"/>
    <w:qFormat/>
    <w:uiPriority w:val="0"/>
    <w:pPr>
      <w:keepLines/>
      <w:spacing w:line="432" w:lineRule="atLeast"/>
    </w:pPr>
    <w:rPr>
      <w:rFonts w:ascii="微软雅黑" w:hAnsi="微软雅黑" w:eastAsia="微软雅黑" w:cs="微软雅黑"/>
      <w:color w:val="333333"/>
    </w:rPr>
  </w:style>
  <w:style w:type="character" w:customStyle="1" w:styleId="33">
    <w:name w:val="step-methods_step-item_label"/>
    <w:basedOn w:val="15"/>
    <w:qFormat/>
    <w:uiPriority w:val="0"/>
  </w:style>
  <w:style w:type="table" w:customStyle="1" w:styleId="34">
    <w:name w:val="typo_table_0"/>
    <w:basedOn w:val="13"/>
    <w:qFormat/>
    <w:uiPriority w:val="0"/>
  </w:style>
  <w:style w:type="character" w:customStyle="1" w:styleId="35">
    <w:name w:val="strong"/>
    <w:basedOn w:val="15"/>
    <w:qFormat/>
    <w:uiPriority w:val="0"/>
    <w:rPr>
      <w:b/>
      <w:bCs/>
      <w:color w:val="000000"/>
    </w:rPr>
  </w:style>
  <w:style w:type="character" w:customStyle="1" w:styleId="36">
    <w:name w:val="font41"/>
    <w:basedOn w:val="15"/>
    <w:qFormat/>
    <w:uiPriority w:val="0"/>
    <w:rPr>
      <w:rFonts w:hint="eastAsia" w:ascii="宋体" w:hAnsi="宋体" w:eastAsia="宋体" w:cs="宋体"/>
      <w:color w:val="000000"/>
      <w:sz w:val="22"/>
      <w:szCs w:val="22"/>
      <w:u w:val="none"/>
    </w:rPr>
  </w:style>
  <w:style w:type="character" w:customStyle="1" w:styleId="37">
    <w:name w:val="font11"/>
    <w:basedOn w:val="15"/>
    <w:qFormat/>
    <w:uiPriority w:val="0"/>
    <w:rPr>
      <w:rFonts w:hint="eastAsia" w:ascii="宋体" w:hAnsi="宋体" w:eastAsia="宋体" w:cs="宋体"/>
      <w:color w:val="000000"/>
      <w:sz w:val="22"/>
      <w:szCs w:val="22"/>
      <w:u w:val="none"/>
    </w:rPr>
  </w:style>
  <w:style w:type="character" w:customStyle="1" w:styleId="38">
    <w:name w:val="font21"/>
    <w:basedOn w:val="15"/>
    <w:qFormat/>
    <w:uiPriority w:val="0"/>
    <w:rPr>
      <w:color w:val="FF0000"/>
      <w:sz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74</Pages>
  <Words>52626</Words>
  <Characters>55558</Characters>
  <Lines>1</Lines>
  <Paragraphs>1</Paragraphs>
  <TotalTime>2</TotalTime>
  <ScaleCrop>false</ScaleCrop>
  <LinksUpToDate>false</LinksUpToDate>
  <CharactersWithSpaces>57314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2024-09-08T11:56:00Z</dcterms:created>
  <dc:creator>Administrator</dc:creator>
  <cp:lastModifiedBy>djwj</cp:lastModifiedBy>
  <dcterms:modified xsi:type="dcterms:W3CDTF">2024-10-18T02:54:10Z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302D8DCBE7BA4C4C87778572D98744C4_13</vt:lpwstr>
  </property>
</Properties>
</file>