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auto" w:sz="0" w:space="1"/>
          <w:left w:val="none" w:color="auto" w:sz="0" w:space="4"/>
          <w:bottom w:val="none" w:color="auto" w:sz="0" w:space="1"/>
          <w:right w:val="none" w:color="auto" w:sz="0" w:space="4"/>
        </w:pBdr>
        <w:spacing w:after="240" w:afterLines="100" w:line="400" w:lineRule="exact"/>
        <w:ind w:firstLine="562" w:firstLineChars="200"/>
        <w:jc w:val="center"/>
        <w:rPr>
          <w:rFonts w:hint="eastAsia" w:ascii="宋体" w:hAnsi="宋体" w:eastAsia="宋体" w:cs="宋体"/>
          <w:b/>
          <w:bCs/>
          <w:color w:val="FF0000"/>
          <w:szCs w:val="21"/>
          <w:highlight w:val="none"/>
        </w:rPr>
      </w:pPr>
      <w:r>
        <w:rPr>
          <w:rFonts w:hint="eastAsia" w:ascii="宋体" w:hAnsi="宋体" w:eastAsia="黑体"/>
          <w:b/>
          <w:bCs/>
          <w:color w:val="FF0000"/>
          <w:kern w:val="44"/>
          <w:sz w:val="28"/>
          <w:szCs w:val="44"/>
          <w:lang w:val="en-US" w:eastAsia="zh-CN"/>
        </w:rPr>
        <w:t>特别</w:t>
      </w:r>
      <w:r>
        <w:rPr>
          <w:rFonts w:hint="eastAsia" w:ascii="宋体" w:hAnsi="宋体" w:eastAsia="黑体"/>
          <w:b/>
          <w:bCs/>
          <w:color w:val="FF0000"/>
          <w:kern w:val="44"/>
          <w:sz w:val="28"/>
          <w:szCs w:val="44"/>
        </w:rPr>
        <w:t>警示条款</w:t>
      </w:r>
    </w:p>
    <w:p>
      <w:pPr>
        <w:pBdr>
          <w:top w:val="none" w:color="auto" w:sz="0" w:space="1"/>
          <w:left w:val="none" w:color="auto" w:sz="0" w:space="4"/>
          <w:bottom w:val="none" w:color="auto" w:sz="0" w:space="1"/>
          <w:right w:val="none" w:color="auto" w:sz="0" w:space="4"/>
        </w:pBdr>
        <w:spacing w:after="240" w:afterLines="100" w:line="400" w:lineRule="exact"/>
        <w:ind w:firstLine="422" w:firstLineChars="200"/>
        <w:rPr>
          <w:rFonts w:ascii="宋体" w:hAnsi="宋体" w:eastAsia="宋体" w:cs="宋体"/>
          <w:b/>
          <w:bCs/>
          <w:color w:val="FF0000"/>
          <w:szCs w:val="21"/>
          <w:highlight w:val="none"/>
        </w:rPr>
      </w:pPr>
      <w:r>
        <w:rPr>
          <w:rFonts w:hint="eastAsia" w:ascii="宋体" w:hAnsi="宋体" w:eastAsia="宋体" w:cs="宋体"/>
          <w:b/>
          <w:bCs/>
          <w:color w:val="FF0000"/>
          <w:szCs w:val="21"/>
          <w:highlight w:val="none"/>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center"/>
              <w:rPr>
                <w:rFonts w:ascii="宋体" w:hAnsi="宋体" w:eastAsia="宋体" w:cs="宋体"/>
                <w:color w:val="FF0000"/>
                <w:szCs w:val="21"/>
                <w:highlight w:val="none"/>
              </w:rPr>
            </w:pPr>
            <w:r>
              <w:rPr>
                <w:rFonts w:hint="eastAsia" w:ascii="宋体" w:hAnsi="宋体" w:eastAsia="宋体" w:cs="宋体"/>
                <w:color w:val="FF0000"/>
                <w:szCs w:val="21"/>
                <w:highlight w:val="none"/>
              </w:rPr>
              <w:t>序号</w:t>
            </w:r>
          </w:p>
        </w:tc>
        <w:tc>
          <w:tcPr>
            <w:tcW w:w="77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center"/>
              <w:rPr>
                <w:rFonts w:ascii="宋体" w:hAnsi="宋体" w:eastAsia="宋体" w:cs="宋体"/>
                <w:color w:val="FF0000"/>
                <w:szCs w:val="21"/>
                <w:highlight w:val="none"/>
              </w:rPr>
            </w:pPr>
            <w:r>
              <w:rPr>
                <w:rFonts w:hint="eastAsia" w:ascii="宋体" w:hAnsi="宋体" w:eastAsia="宋体" w:cs="宋体"/>
                <w:b/>
                <w:bCs/>
                <w:color w:val="FF0000"/>
                <w:szCs w:val="21"/>
                <w:highlight w:val="none"/>
              </w:rPr>
              <w:t>供应商参与投标禁止情形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center"/>
              <w:rPr>
                <w:rFonts w:ascii="宋体" w:hAnsi="宋体" w:eastAsia="宋体" w:cs="宋体"/>
                <w:color w:val="FF0000"/>
                <w:szCs w:val="21"/>
                <w:highlight w:val="none"/>
              </w:rPr>
            </w:pPr>
            <w:r>
              <w:rPr>
                <w:rFonts w:hint="eastAsia" w:ascii="宋体" w:hAnsi="宋体" w:eastAsia="宋体" w:cs="宋体"/>
                <w:color w:val="FF0000"/>
                <w:szCs w:val="21"/>
                <w:highlight w:val="none"/>
              </w:rPr>
              <w:t>1</w:t>
            </w:r>
          </w:p>
        </w:tc>
        <w:tc>
          <w:tcPr>
            <w:tcW w:w="77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left"/>
              <w:rPr>
                <w:rFonts w:ascii="宋体" w:hAnsi="宋体" w:eastAsia="宋体" w:cs="宋体"/>
                <w:color w:val="FF0000"/>
                <w:szCs w:val="21"/>
                <w:highlight w:val="none"/>
              </w:rPr>
            </w:pPr>
            <w:r>
              <w:rPr>
                <w:rFonts w:hint="eastAsia" w:ascii="宋体" w:hAnsi="宋体" w:eastAsia="宋体" w:cs="宋体"/>
                <w:color w:val="FF0000"/>
                <w:szCs w:val="21"/>
                <w:highlight w:val="none"/>
              </w:rPr>
              <w:t>与其他投标供应商的法定代表人、主要经营负责人、投标授权代表人、项目负责人、主要技术人员为</w:t>
            </w:r>
            <w:r>
              <w:rPr>
                <w:rFonts w:hint="eastAsia" w:ascii="宋体" w:hAnsi="宋体" w:eastAsia="宋体" w:cs="宋体"/>
                <w:b/>
                <w:bCs/>
                <w:color w:val="FF0000"/>
                <w:szCs w:val="21"/>
                <w:highlight w:val="none"/>
              </w:rPr>
              <w:t>同一人、属同一单位或者在同一单位缴纳社会保险</w:t>
            </w:r>
            <w:r>
              <w:rPr>
                <w:rFonts w:hint="eastAsia" w:ascii="宋体" w:hAnsi="宋体" w:eastAsia="宋体" w:cs="宋体"/>
                <w:color w:val="FF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center"/>
              <w:rPr>
                <w:rFonts w:ascii="宋体" w:hAnsi="宋体" w:eastAsia="宋体" w:cs="宋体"/>
                <w:color w:val="FF0000"/>
                <w:szCs w:val="21"/>
                <w:highlight w:val="none"/>
              </w:rPr>
            </w:pPr>
            <w:r>
              <w:rPr>
                <w:rFonts w:hint="eastAsia" w:ascii="宋体" w:hAnsi="宋体" w:eastAsia="宋体" w:cs="宋体"/>
                <w:color w:val="FF0000"/>
                <w:szCs w:val="21"/>
                <w:highlight w:val="none"/>
              </w:rPr>
              <w:t>2</w:t>
            </w:r>
          </w:p>
        </w:tc>
        <w:tc>
          <w:tcPr>
            <w:tcW w:w="77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left"/>
              <w:rPr>
                <w:rFonts w:ascii="宋体" w:hAnsi="宋体" w:eastAsia="宋体" w:cs="宋体"/>
                <w:color w:val="FF0000"/>
                <w:szCs w:val="21"/>
                <w:highlight w:val="none"/>
              </w:rPr>
            </w:pPr>
            <w:r>
              <w:rPr>
                <w:rFonts w:hint="eastAsia" w:ascii="宋体" w:hAnsi="宋体" w:eastAsia="宋体" w:cs="宋体"/>
                <w:color w:val="FF0000"/>
                <w:szCs w:val="21"/>
                <w:highlight w:val="none"/>
              </w:rPr>
              <w:t>参与本项目政府采购活动时，与其他投标供应商存在单位负责人为</w:t>
            </w:r>
            <w:r>
              <w:rPr>
                <w:rFonts w:hint="eastAsia" w:ascii="宋体" w:hAnsi="宋体" w:eastAsia="宋体" w:cs="宋体"/>
                <w:b/>
                <w:bCs/>
                <w:color w:val="FF0000"/>
                <w:szCs w:val="21"/>
                <w:highlight w:val="none"/>
              </w:rPr>
              <w:t>同一人或直接控股、管理关系</w:t>
            </w:r>
            <w:r>
              <w:rPr>
                <w:rFonts w:hint="eastAsia" w:ascii="宋体" w:hAnsi="宋体" w:eastAsia="宋体" w:cs="宋体"/>
                <w:color w:val="FF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center"/>
              <w:rPr>
                <w:rFonts w:ascii="宋体" w:hAnsi="宋体" w:eastAsia="宋体" w:cs="宋体"/>
                <w:color w:val="FF0000"/>
                <w:szCs w:val="21"/>
                <w:highlight w:val="none"/>
              </w:rPr>
            </w:pPr>
            <w:r>
              <w:rPr>
                <w:rFonts w:hint="eastAsia" w:ascii="宋体" w:hAnsi="宋体" w:eastAsia="宋体" w:cs="宋体"/>
                <w:color w:val="FF0000"/>
                <w:szCs w:val="21"/>
                <w:highlight w:val="none"/>
              </w:rPr>
              <w:t>3</w:t>
            </w:r>
          </w:p>
        </w:tc>
        <w:tc>
          <w:tcPr>
            <w:tcW w:w="77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left"/>
              <w:rPr>
                <w:rFonts w:ascii="宋体" w:hAnsi="宋体" w:eastAsia="宋体" w:cs="宋体"/>
                <w:color w:val="FF0000"/>
                <w:szCs w:val="21"/>
                <w:highlight w:val="none"/>
              </w:rPr>
            </w:pPr>
            <w:r>
              <w:rPr>
                <w:rFonts w:hint="eastAsia" w:ascii="宋体" w:hAnsi="宋体" w:eastAsia="宋体" w:cs="宋体"/>
                <w:color w:val="FF0000"/>
                <w:szCs w:val="21"/>
                <w:highlight w:val="none"/>
              </w:rPr>
              <w:t>与其他投标供应商的投标文件或部分投标文件</w:t>
            </w:r>
            <w:r>
              <w:rPr>
                <w:rFonts w:hint="eastAsia" w:ascii="宋体" w:hAnsi="宋体" w:eastAsia="宋体" w:cs="宋体"/>
                <w:b/>
                <w:bCs/>
                <w:color w:val="FF0000"/>
                <w:szCs w:val="21"/>
                <w:highlight w:val="none"/>
              </w:rPr>
              <w:t>相互混装或存在非正常一致</w:t>
            </w:r>
            <w:r>
              <w:rPr>
                <w:rFonts w:hint="eastAsia" w:ascii="宋体" w:hAnsi="宋体" w:eastAsia="宋体" w:cs="宋体"/>
                <w:color w:val="FF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8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center"/>
              <w:rPr>
                <w:rFonts w:ascii="宋体" w:hAnsi="宋体" w:eastAsia="宋体" w:cs="宋体"/>
                <w:color w:val="FF0000"/>
                <w:szCs w:val="21"/>
                <w:highlight w:val="none"/>
              </w:rPr>
            </w:pPr>
            <w:r>
              <w:rPr>
                <w:rFonts w:hint="eastAsia" w:ascii="宋体" w:hAnsi="宋体" w:eastAsia="宋体" w:cs="宋体"/>
                <w:color w:val="FF0000"/>
                <w:szCs w:val="21"/>
                <w:highlight w:val="none"/>
              </w:rPr>
              <w:t>4</w:t>
            </w:r>
          </w:p>
        </w:tc>
        <w:tc>
          <w:tcPr>
            <w:tcW w:w="77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left"/>
              <w:rPr>
                <w:rFonts w:ascii="宋体" w:hAnsi="宋体" w:eastAsia="宋体" w:cs="宋体"/>
                <w:color w:val="FF0000"/>
                <w:szCs w:val="21"/>
                <w:highlight w:val="none"/>
              </w:rPr>
            </w:pPr>
            <w:r>
              <w:rPr>
                <w:rFonts w:hint="eastAsia" w:ascii="宋体" w:hAnsi="宋体" w:eastAsia="宋体" w:cs="宋体"/>
                <w:color w:val="FF0000"/>
                <w:szCs w:val="21"/>
                <w:highlight w:val="none"/>
              </w:rPr>
              <w:t>与其他投标供应商的投标文件由</w:t>
            </w:r>
            <w:r>
              <w:rPr>
                <w:rFonts w:hint="eastAsia" w:ascii="宋体" w:hAnsi="宋体" w:eastAsia="宋体" w:cs="宋体"/>
                <w:b/>
                <w:bCs/>
                <w:color w:val="FF0000"/>
                <w:szCs w:val="21"/>
                <w:highlight w:val="none"/>
              </w:rPr>
              <w:t>同一单位或者同一人编制</w:t>
            </w:r>
            <w:r>
              <w:rPr>
                <w:rFonts w:hint="eastAsia" w:ascii="宋体" w:hAnsi="宋体" w:eastAsia="宋体" w:cs="宋体"/>
                <w:color w:val="FF0000"/>
                <w:szCs w:val="21"/>
                <w:highlight w:val="none"/>
              </w:rPr>
              <w:t>，或者使用</w:t>
            </w:r>
            <w:r>
              <w:rPr>
                <w:rFonts w:hint="eastAsia" w:ascii="宋体" w:hAnsi="宋体" w:eastAsia="宋体" w:cs="宋体"/>
                <w:b/>
                <w:bCs/>
                <w:color w:val="FF0000"/>
                <w:szCs w:val="21"/>
                <w:highlight w:val="none"/>
              </w:rPr>
              <w:t>同一设备编制</w:t>
            </w:r>
            <w:r>
              <w:rPr>
                <w:rFonts w:hint="eastAsia" w:ascii="宋体" w:hAnsi="宋体" w:eastAsia="宋体" w:cs="宋体"/>
                <w:color w:val="FF0000"/>
                <w:szCs w:val="21"/>
                <w:highlight w:val="none"/>
              </w:rPr>
              <w:t>（“文件制作机器码”“文件创建标识码”一致）。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8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center"/>
              <w:rPr>
                <w:rFonts w:ascii="宋体" w:hAnsi="宋体" w:eastAsia="宋体" w:cs="宋体"/>
                <w:color w:val="FF0000"/>
                <w:szCs w:val="21"/>
                <w:highlight w:val="none"/>
              </w:rPr>
            </w:pPr>
            <w:r>
              <w:rPr>
                <w:rFonts w:hint="eastAsia" w:ascii="宋体" w:hAnsi="宋体" w:eastAsia="宋体" w:cs="宋体"/>
                <w:color w:val="FF0000"/>
                <w:szCs w:val="21"/>
                <w:highlight w:val="none"/>
              </w:rPr>
              <w:t>5</w:t>
            </w:r>
          </w:p>
        </w:tc>
        <w:tc>
          <w:tcPr>
            <w:tcW w:w="77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left"/>
              <w:rPr>
                <w:rFonts w:ascii="宋体" w:hAnsi="宋体" w:eastAsia="宋体" w:cs="宋体"/>
                <w:color w:val="FF0000"/>
                <w:szCs w:val="21"/>
                <w:highlight w:val="none"/>
              </w:rPr>
            </w:pPr>
            <w:r>
              <w:rPr>
                <w:rFonts w:hint="eastAsia" w:ascii="宋体" w:hAnsi="宋体" w:eastAsia="宋体" w:cs="宋体"/>
                <w:color w:val="FF0000"/>
                <w:szCs w:val="21"/>
                <w:highlight w:val="none"/>
              </w:rPr>
              <w:t>提供</w:t>
            </w:r>
            <w:r>
              <w:rPr>
                <w:rFonts w:hint="eastAsia" w:ascii="宋体" w:hAnsi="宋体" w:eastAsia="宋体" w:cs="宋体"/>
                <w:b/>
                <w:bCs/>
                <w:color w:val="FF0000"/>
                <w:szCs w:val="21"/>
                <w:highlight w:val="none"/>
              </w:rPr>
              <w:t>未经出具机构核实</w:t>
            </w:r>
            <w:r>
              <w:rPr>
                <w:rFonts w:hint="eastAsia" w:ascii="宋体" w:hAnsi="宋体" w:eastAsia="宋体" w:cs="宋体"/>
                <w:color w:val="FF0000"/>
                <w:szCs w:val="21"/>
                <w:highlight w:val="none"/>
              </w:rPr>
              <w:t>的虚假的检验检测报告、业绩材料、社保缴纳证明、学历学位证书、职称认证证书等材料。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center"/>
              <w:rPr>
                <w:rFonts w:ascii="宋体" w:hAnsi="宋体" w:eastAsia="宋体" w:cs="宋体"/>
                <w:color w:val="FF0000"/>
                <w:szCs w:val="21"/>
                <w:highlight w:val="none"/>
              </w:rPr>
            </w:pPr>
            <w:r>
              <w:rPr>
                <w:rFonts w:hint="eastAsia" w:ascii="宋体" w:hAnsi="宋体" w:eastAsia="宋体" w:cs="宋体"/>
                <w:color w:val="FF0000"/>
                <w:szCs w:val="21"/>
                <w:highlight w:val="none"/>
              </w:rPr>
              <w:t>6</w:t>
            </w:r>
          </w:p>
        </w:tc>
        <w:tc>
          <w:tcPr>
            <w:tcW w:w="7711" w:type="dxa"/>
            <w:tcBorders>
              <w:tl2br w:val="nil"/>
              <w:tr2bl w:val="nil"/>
            </w:tcBorders>
            <w:vAlign w:val="center"/>
          </w:tcPr>
          <w:p>
            <w:pPr>
              <w:pBdr>
                <w:top w:val="none" w:color="auto" w:sz="0" w:space="1"/>
                <w:left w:val="none" w:color="auto" w:sz="0" w:space="4"/>
                <w:bottom w:val="none" w:color="auto" w:sz="0" w:space="1"/>
                <w:right w:val="none" w:color="auto" w:sz="0" w:space="4"/>
              </w:pBdr>
              <w:spacing w:line="400" w:lineRule="exact"/>
              <w:jc w:val="left"/>
              <w:rPr>
                <w:rFonts w:ascii="宋体" w:hAnsi="宋体" w:eastAsia="宋体" w:cs="宋体"/>
                <w:color w:val="FF0000"/>
                <w:szCs w:val="21"/>
                <w:highlight w:val="none"/>
              </w:rPr>
            </w:pPr>
            <w:r>
              <w:rPr>
                <w:rFonts w:hint="eastAsia" w:ascii="宋体" w:hAnsi="宋体" w:eastAsia="宋体" w:cs="宋体"/>
                <w:color w:val="FF0000"/>
                <w:szCs w:val="21"/>
                <w:highlight w:val="none"/>
              </w:rPr>
              <w:t>擅自将投标密钥或电子营业执照出借他人使用或未妥善保管。</w:t>
            </w:r>
          </w:p>
        </w:tc>
      </w:tr>
    </w:tbl>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一、</w:t>
      </w:r>
      <w:r>
        <w:rPr>
          <w:rFonts w:hint="eastAsia" w:ascii="宋体" w:hAnsi="宋体"/>
          <w:b/>
          <w:bCs/>
          <w:color w:val="FF0000"/>
          <w:sz w:val="20"/>
          <w:szCs w:val="20"/>
          <w:highlight w:val="none"/>
        </w:rPr>
        <w:t>《深圳经济特区政府采购条例》第五十七条</w:t>
      </w:r>
      <w:r>
        <w:rPr>
          <w:rFonts w:hint="eastAsia" w:ascii="宋体" w:hAnsi="宋体"/>
          <w:color w:val="FF0000"/>
          <w:sz w:val="20"/>
          <w:szCs w:val="20"/>
          <w:highlight w:val="none"/>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（一）在采购活动中应当回避而未回避的；</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（二）未按本条例规定签订、履行采购合同，造成严重后果的；</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（三）隐瞒真实情况，提供虚假资料的；</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（四）以非法手段排斥其他供应商参与竞争的；</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（五）与其他采购参加人串通投标的；</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（六）恶意投诉的；</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（七）向采购项目相关人行贿或者提供其他不当利益的；</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（八）阻碍、抗拒主管部门监督检查的；</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（九）其他违反本条例规定的行为。</w:t>
      </w:r>
    </w:p>
    <w:p>
      <w:pPr>
        <w:pBdr>
          <w:top w:val="none" w:color="auto" w:sz="0" w:space="1"/>
          <w:left w:val="none" w:color="auto" w:sz="0" w:space="4"/>
          <w:bottom w:val="none" w:color="auto" w:sz="0" w:space="1"/>
          <w:right w:val="none" w:color="auto" w:sz="0" w:space="4"/>
        </w:pBdr>
        <w:ind w:firstLine="402" w:firstLineChars="200"/>
        <w:rPr>
          <w:rFonts w:ascii="宋体" w:hAnsi="宋体"/>
          <w:color w:val="FF0000"/>
          <w:sz w:val="20"/>
          <w:szCs w:val="20"/>
          <w:highlight w:val="none"/>
        </w:rPr>
      </w:pPr>
      <w:r>
        <w:rPr>
          <w:rFonts w:hint="eastAsia" w:ascii="宋体" w:hAnsi="宋体"/>
          <w:b/>
          <w:bCs/>
          <w:color w:val="FF0000"/>
          <w:sz w:val="20"/>
          <w:szCs w:val="20"/>
          <w:highlight w:val="none"/>
        </w:rPr>
        <w:t xml:space="preserve">二、《深圳经济特区政府采购条例实施细则》第七十五条 </w:t>
      </w:r>
      <w:r>
        <w:rPr>
          <w:rFonts w:hint="eastAsia" w:ascii="宋体" w:hAnsi="宋体"/>
          <w:color w:val="FF0000"/>
          <w:sz w:val="20"/>
          <w:szCs w:val="20"/>
          <w:highlight w:val="none"/>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pPr>
        <w:pBdr>
          <w:top w:val="none" w:color="auto" w:sz="0" w:space="1"/>
          <w:left w:val="none" w:color="auto" w:sz="0" w:space="4"/>
          <w:bottom w:val="none" w:color="auto" w:sz="0" w:space="1"/>
          <w:right w:val="none" w:color="auto" w:sz="0" w:space="4"/>
        </w:pBdr>
        <w:ind w:firstLine="402" w:firstLineChars="200"/>
        <w:rPr>
          <w:rFonts w:ascii="宋体" w:hAnsi="宋体"/>
          <w:color w:val="FF0000"/>
          <w:sz w:val="20"/>
          <w:szCs w:val="20"/>
          <w:highlight w:val="none"/>
        </w:rPr>
      </w:pPr>
      <w:r>
        <w:rPr>
          <w:rFonts w:hint="eastAsia" w:ascii="宋体" w:hAnsi="宋体"/>
          <w:b/>
          <w:bCs/>
          <w:color w:val="FF0000"/>
          <w:sz w:val="20"/>
          <w:szCs w:val="20"/>
          <w:highlight w:val="none"/>
        </w:rPr>
        <w:t xml:space="preserve">三、《深圳经济特区政府采购条例实施细则》第七十七条 </w:t>
      </w:r>
      <w:r>
        <w:rPr>
          <w:rFonts w:hint="eastAsia" w:ascii="宋体" w:hAnsi="宋体"/>
          <w:color w:val="FF0000"/>
          <w:sz w:val="20"/>
          <w:szCs w:val="20"/>
          <w:highlight w:val="none"/>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pPr>
        <w:pBdr>
          <w:top w:val="none" w:color="auto" w:sz="0" w:space="1"/>
          <w:left w:val="none" w:color="auto" w:sz="0" w:space="4"/>
          <w:bottom w:val="none" w:color="auto" w:sz="0" w:space="1"/>
          <w:right w:val="none" w:color="auto" w:sz="0" w:space="4"/>
        </w:pBdr>
        <w:ind w:firstLine="400" w:firstLineChars="200"/>
        <w:rPr>
          <w:rFonts w:ascii="宋体" w:hAnsi="宋体"/>
          <w:color w:val="FF0000"/>
          <w:sz w:val="20"/>
          <w:szCs w:val="20"/>
          <w:highlight w:val="none"/>
        </w:rPr>
      </w:pPr>
      <w:r>
        <w:rPr>
          <w:rFonts w:hint="eastAsia" w:ascii="宋体" w:hAnsi="宋体"/>
          <w:color w:val="FF0000"/>
          <w:sz w:val="20"/>
          <w:szCs w:val="20"/>
          <w:highlight w:val="none"/>
        </w:rPr>
        <w:t>投标供应商不能提供项目负责人或者主要技术人员的劳动合同、社会保险等劳动关系证明材料的，视为存在前款第（三）项规定的情形。</w:t>
      </w:r>
    </w:p>
    <w:p>
      <w:pPr>
        <w:pBdr>
          <w:top w:val="none" w:color="auto" w:sz="0" w:space="1"/>
          <w:left w:val="none" w:color="auto" w:sz="0" w:space="4"/>
          <w:bottom w:val="none" w:color="auto" w:sz="0" w:space="1"/>
          <w:right w:val="none" w:color="auto" w:sz="0" w:space="4"/>
        </w:pBdr>
        <w:ind w:firstLine="400" w:firstLineChars="200"/>
        <w:rPr>
          <w:bCs/>
          <w:color w:val="FF0000"/>
          <w:sz w:val="20"/>
          <w:szCs w:val="20"/>
          <w:highlight w:val="none"/>
        </w:rPr>
      </w:pPr>
      <w:r>
        <w:rPr>
          <w:rFonts w:hint="eastAsia"/>
          <w:bCs/>
          <w:color w:val="FF0000"/>
          <w:sz w:val="20"/>
          <w:szCs w:val="20"/>
          <w:highlight w:val="none"/>
        </w:rPr>
        <w:t>四</w:t>
      </w:r>
      <w:r>
        <w:rPr>
          <w:rFonts w:hint="eastAsia" w:ascii="Times New Roman" w:eastAsia="宋体"/>
          <w:bCs/>
          <w:color w:val="FF0000"/>
          <w:sz w:val="20"/>
          <w:szCs w:val="20"/>
          <w:highlight w:val="none"/>
        </w:rPr>
        <w:t>、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pPr>
        <w:pBdr>
          <w:top w:val="none" w:color="auto" w:sz="0" w:space="1"/>
          <w:left w:val="none" w:color="auto" w:sz="0" w:space="4"/>
          <w:bottom w:val="none" w:color="auto" w:sz="0" w:space="1"/>
          <w:right w:val="none" w:color="auto" w:sz="0" w:space="4"/>
        </w:pBdr>
        <w:ind w:firstLine="400" w:firstLineChars="200"/>
        <w:rPr>
          <w:bCs/>
          <w:color w:val="FF0000"/>
          <w:sz w:val="20"/>
          <w:szCs w:val="20"/>
          <w:highlight w:val="none"/>
        </w:rPr>
      </w:pPr>
      <w:r>
        <w:rPr>
          <w:rFonts w:hint="eastAsia" w:ascii="Times New Roman" w:eastAsia="宋体"/>
          <w:bCs/>
          <w:color w:val="FF0000"/>
          <w:sz w:val="20"/>
          <w:szCs w:val="20"/>
          <w:highlight w:val="none"/>
        </w:rPr>
        <w:t>为避免出现不同供应商投标文件的文件制作机器码、文件创建标识码、IP地址一致的异常情况，建议各供应商编制、上传投标文件时不要使用公共电脑设备或公共网络。</w:t>
      </w:r>
    </w:p>
    <w:p>
      <w:pPr>
        <w:pBdr>
          <w:top w:val="none" w:color="auto" w:sz="0" w:space="1"/>
          <w:left w:val="none" w:color="auto" w:sz="0" w:space="4"/>
          <w:bottom w:val="none" w:color="auto" w:sz="0" w:space="1"/>
          <w:right w:val="none" w:color="auto" w:sz="0" w:space="4"/>
        </w:pBdr>
        <w:ind w:firstLine="400" w:firstLineChars="200"/>
        <w:rPr>
          <w:rFonts w:ascii="Times New Roman" w:eastAsia="宋体"/>
          <w:bCs/>
          <w:color w:val="FF0000"/>
          <w:sz w:val="20"/>
          <w:szCs w:val="20"/>
          <w:highlight w:val="none"/>
        </w:rPr>
      </w:pPr>
      <w:r>
        <w:rPr>
          <w:rFonts w:hint="eastAsia" w:ascii="Times New Roman" w:eastAsia="宋体"/>
          <w:bCs/>
          <w:color w:val="FF0000"/>
          <w:sz w:val="20"/>
          <w:szCs w:val="20"/>
          <w:highlight w:val="none"/>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color w:val="FF0000"/>
          <w:sz w:val="20"/>
          <w:szCs w:val="20"/>
          <w:highlight w:val="none"/>
        </w:rPr>
        <w:t>取消参与本市政府采购资格</w:t>
      </w:r>
      <w:r>
        <w:rPr>
          <w:rFonts w:hint="eastAsia" w:hAnsi="宋体"/>
          <w:color w:val="FF0000"/>
          <w:sz w:val="20"/>
          <w:szCs w:val="20"/>
          <w:highlight w:val="none"/>
        </w:rPr>
        <w:t>、</w:t>
      </w:r>
      <w:r>
        <w:rPr>
          <w:rFonts w:hint="eastAsia" w:ascii="宋体" w:hAnsi="宋体"/>
          <w:color w:val="FF0000"/>
          <w:sz w:val="20"/>
          <w:szCs w:val="20"/>
          <w:highlight w:val="none"/>
        </w:rPr>
        <w:t>依法吊销其营业</w:t>
      </w:r>
      <w:r>
        <w:rPr>
          <w:rFonts w:hint="eastAsia" w:hAnsi="宋体"/>
          <w:color w:val="FF0000"/>
          <w:sz w:val="20"/>
          <w:szCs w:val="20"/>
          <w:highlight w:val="none"/>
        </w:rPr>
        <w:t>执照等行政处罚，</w:t>
      </w:r>
      <w:r>
        <w:rPr>
          <w:rFonts w:hint="eastAsia" w:ascii="宋体" w:hAnsi="宋体"/>
          <w:color w:val="FF0000"/>
          <w:sz w:val="20"/>
          <w:szCs w:val="20"/>
          <w:highlight w:val="none"/>
        </w:rPr>
        <w:t>构成犯罪的，依法追究刑事责任</w:t>
      </w:r>
      <w:r>
        <w:rPr>
          <w:rFonts w:hint="eastAsia" w:ascii="Times New Roman" w:eastAsia="宋体"/>
          <w:bCs/>
          <w:color w:val="FF0000"/>
          <w:sz w:val="20"/>
          <w:szCs w:val="20"/>
          <w:highlight w:val="none"/>
        </w:rPr>
        <w:t>，请各供应商独立编制、上传投标文件，妥善保管和使用电子秘钥。</w:t>
      </w:r>
    </w:p>
    <w:p>
      <w:pPr>
        <w:pBdr>
          <w:top w:val="none" w:color="auto" w:sz="0" w:space="1"/>
          <w:left w:val="none" w:color="auto" w:sz="0" w:space="4"/>
          <w:bottom w:val="none" w:color="auto" w:sz="0" w:space="1"/>
          <w:right w:val="none" w:color="auto" w:sz="0" w:space="4"/>
        </w:pBdr>
        <w:ind w:firstLine="422" w:firstLineChars="200"/>
        <w:rPr>
          <w:highlight w:val="none"/>
        </w:rPr>
      </w:pPr>
      <w:r>
        <w:rPr>
          <w:rFonts w:hint="eastAsia" w:ascii="Times New Roman" w:eastAsia="宋体"/>
          <w:b/>
          <w:color w:val="FF0000"/>
          <w:highlight w:val="none"/>
        </w:rPr>
        <w:t>五</w:t>
      </w:r>
      <w:r>
        <w:rPr>
          <w:rFonts w:hint="eastAsia"/>
          <w:b/>
          <w:color w:val="FF0000"/>
          <w:highlight w:val="none"/>
        </w:rPr>
        <w:t>、请投标供应商阅读《政府采购违法行为风险知悉确认书》（内容详见“投标文件附件（信息不公开部分）”中节点“投标人认为需要加以说明的其他内容（格式自定）”），并经各投标供应商负责人签字并加盖单位公章后，扫描上传至投标文件一并提交。</w:t>
      </w:r>
    </w:p>
    <w:p>
      <w:pPr>
        <w:pStyle w:val="57"/>
        <w:pBdr>
          <w:top w:val="none" w:color="auto" w:sz="0" w:space="1"/>
          <w:left w:val="none" w:color="auto" w:sz="0" w:space="4"/>
          <w:bottom w:val="none" w:color="auto" w:sz="0" w:space="1"/>
          <w:right w:val="none" w:color="auto" w:sz="0" w:space="4"/>
        </w:pBdr>
        <w:rPr>
          <w:bCs/>
          <w:color w:val="FF0000"/>
          <w:sz w:val="20"/>
          <w:szCs w:val="20"/>
          <w:highlight w:val="none"/>
        </w:rPr>
      </w:pPr>
    </w:p>
    <w:p>
      <w:pPr>
        <w:pStyle w:val="17"/>
        <w:pBdr>
          <w:top w:val="none" w:color="auto" w:sz="0" w:space="1"/>
          <w:left w:val="none" w:color="auto" w:sz="0" w:space="4"/>
          <w:bottom w:val="none" w:color="auto" w:sz="0" w:space="1"/>
          <w:right w:val="none" w:color="auto" w:sz="0" w:space="4"/>
        </w:pBdr>
        <w:jc w:val="both"/>
        <w:outlineLvl w:val="1"/>
        <w:rPr>
          <w:rFonts w:ascii="黑体" w:eastAsia="黑体" w:cs="黑体"/>
          <w:color w:val="FF0000"/>
          <w:sz w:val="40"/>
          <w:szCs w:val="40"/>
          <w:highlight w:val="none"/>
        </w:rPr>
      </w:pPr>
      <w:r>
        <w:rPr>
          <w:rFonts w:hint="eastAsia" w:ascii="Times New Roman" w:hAnsi="Times New Roman" w:eastAsia="宋体" w:cs="Times New Roman"/>
          <w:b/>
          <w:color w:val="FF0000"/>
          <w:sz w:val="21"/>
          <w:highlight w:val="none"/>
        </w:rPr>
        <w:t>注：“特别警示条款”和《政府采购违法行为风险知悉确认书》用于对供应商违法行为的提醒，不作为供应商资格性审查及符合性审查条件。</w:t>
      </w:r>
    </w:p>
    <w:p>
      <w:pPr>
        <w:widowControl/>
        <w:spacing w:beforeAutospacing="1" w:afterAutospacing="1"/>
        <w:jc w:val="center"/>
        <w:outlineLvl w:val="1"/>
        <w:rPr>
          <w:rFonts w:ascii="黑体" w:hAnsi="宋体" w:eastAsia="黑体" w:cs="黑体"/>
          <w:kern w:val="0"/>
          <w:sz w:val="40"/>
          <w:szCs w:val="40"/>
          <w:highlight w:val="none"/>
        </w:rPr>
        <w:sectPr>
          <w:headerReference r:id="rId3" w:type="first"/>
          <w:footerReference r:id="rId4" w:type="default"/>
          <w:footerReference r:id="rId5" w:type="even"/>
          <w:pgSz w:w="11907" w:h="16840"/>
          <w:pgMar w:top="1440" w:right="1417" w:bottom="1440" w:left="1417" w:header="851" w:footer="992" w:gutter="0"/>
          <w:cols w:space="425" w:num="1"/>
          <w:titlePg/>
          <w:docGrid w:linePitch="462" w:charSpace="0"/>
        </w:sectPr>
      </w:pPr>
    </w:p>
    <w:p>
      <w:pPr>
        <w:rPr>
          <w:highlight w:val="none"/>
        </w:rPr>
      </w:pPr>
    </w:p>
    <w:p>
      <w:pPr>
        <w:widowControl/>
        <w:spacing w:beforeAutospacing="1" w:afterAutospacing="1"/>
        <w:jc w:val="center"/>
        <w:outlineLvl w:val="0"/>
        <w:rPr>
          <w:rFonts w:ascii="黑体" w:hAnsi="宋体" w:eastAsia="黑体" w:cs="黑体"/>
          <w:kern w:val="0"/>
          <w:sz w:val="40"/>
          <w:szCs w:val="40"/>
          <w:highlight w:val="none"/>
        </w:rPr>
      </w:pPr>
      <w:r>
        <w:rPr>
          <w:rFonts w:hint="eastAsia" w:ascii="黑体" w:hAnsi="宋体" w:eastAsia="黑体" w:cs="黑体"/>
          <w:kern w:val="0"/>
          <w:sz w:val="40"/>
          <w:szCs w:val="40"/>
          <w:highlight w:val="none"/>
        </w:rPr>
        <w:t>招标文件信息</w:t>
      </w:r>
    </w:p>
    <w:tbl>
      <w:tblPr>
        <w:tblStyle w:val="20"/>
        <w:tblW w:w="7938" w:type="dxa"/>
        <w:jc w:val="center"/>
        <w:tblCellSpacing w:w="0" w:type="dxa"/>
        <w:tblLayout w:type="autofit"/>
        <w:tblCellMar>
          <w:top w:w="36" w:type="dxa"/>
          <w:left w:w="36" w:type="dxa"/>
          <w:bottom w:w="36" w:type="dxa"/>
          <w:right w:w="36" w:type="dxa"/>
        </w:tblCellMar>
      </w:tblPr>
      <w:tblGrid>
        <w:gridCol w:w="1696"/>
        <w:gridCol w:w="6242"/>
      </w:tblGrid>
      <w:tr>
        <w:tblPrEx>
          <w:tblCellMar>
            <w:top w:w="36" w:type="dxa"/>
            <w:left w:w="36" w:type="dxa"/>
            <w:bottom w:w="36" w:type="dxa"/>
            <w:right w:w="36" w:type="dxa"/>
          </w:tblCellMar>
        </w:tblPrEx>
        <w:trPr>
          <w:trHeight w:val="737" w:hRule="atLeast"/>
          <w:tblCellSpacing w:w="0" w:type="dxa"/>
          <w:jc w:val="center"/>
        </w:trPr>
        <w:tc>
          <w:tcPr>
            <w:tcW w:w="1696" w:type="dxa"/>
            <w:vAlign w:val="center"/>
          </w:tcPr>
          <w:p>
            <w:pPr>
              <w:jc w:val="left"/>
              <w:rPr>
                <w:sz w:val="30"/>
                <w:szCs w:val="30"/>
                <w:highlight w:val="none"/>
              </w:rPr>
            </w:pPr>
            <w:r>
              <w:rPr>
                <w:sz w:val="30"/>
                <w:szCs w:val="30"/>
                <w:highlight w:val="none"/>
              </w:rPr>
              <w:t>项目编号：</w:t>
            </w:r>
          </w:p>
        </w:tc>
        <w:tc>
          <w:tcPr>
            <w:tcW w:w="6242" w:type="dxa"/>
            <w:vAlign w:val="center"/>
          </w:tcPr>
          <w:p>
            <w:pPr>
              <w:jc w:val="left"/>
              <w:rPr>
                <w:rFonts w:hint="eastAsia" w:eastAsiaTheme="minorEastAsia"/>
                <w:sz w:val="30"/>
                <w:szCs w:val="30"/>
                <w:highlight w:val="none"/>
                <w:lang w:eastAsia="zh-CN"/>
              </w:rPr>
            </w:pPr>
            <w:r>
              <w:rPr>
                <w:rFonts w:hint="eastAsia" w:asciiTheme="minorEastAsia" w:hAnsiTheme="minorEastAsia"/>
                <w:sz w:val="30"/>
                <w:szCs w:val="30"/>
                <w:highlight w:val="none"/>
                <w:lang w:eastAsia="zh-CN"/>
              </w:rPr>
              <w:t>LHAZXCG-2025-00012</w:t>
            </w:r>
          </w:p>
        </w:tc>
      </w:tr>
      <w:tr>
        <w:tblPrEx>
          <w:tblCellMar>
            <w:top w:w="36" w:type="dxa"/>
            <w:left w:w="36" w:type="dxa"/>
            <w:bottom w:w="36" w:type="dxa"/>
            <w:right w:w="36" w:type="dxa"/>
          </w:tblCellMar>
        </w:tblPrEx>
        <w:trPr>
          <w:trHeight w:val="737" w:hRule="atLeast"/>
          <w:tblCellSpacing w:w="0" w:type="dxa"/>
          <w:jc w:val="center"/>
        </w:trPr>
        <w:tc>
          <w:tcPr>
            <w:tcW w:w="1696" w:type="dxa"/>
            <w:vAlign w:val="center"/>
          </w:tcPr>
          <w:p>
            <w:pPr>
              <w:jc w:val="left"/>
              <w:rPr>
                <w:sz w:val="30"/>
                <w:szCs w:val="30"/>
                <w:highlight w:val="none"/>
              </w:rPr>
            </w:pPr>
            <w:r>
              <w:rPr>
                <w:sz w:val="30"/>
                <w:szCs w:val="30"/>
                <w:highlight w:val="none"/>
              </w:rPr>
              <w:t>项目名称：</w:t>
            </w:r>
          </w:p>
        </w:tc>
        <w:tc>
          <w:tcPr>
            <w:tcW w:w="6242" w:type="dxa"/>
            <w:vAlign w:val="center"/>
          </w:tcPr>
          <w:p>
            <w:pPr>
              <w:jc w:val="left"/>
              <w:rPr>
                <w:sz w:val="30"/>
                <w:szCs w:val="30"/>
                <w:highlight w:val="none"/>
              </w:rPr>
            </w:pPr>
            <w:r>
              <w:rPr>
                <w:rFonts w:hint="eastAsia" w:asciiTheme="minorEastAsia" w:hAnsiTheme="minorEastAsia"/>
                <w:sz w:val="30"/>
                <w:szCs w:val="30"/>
                <w:highlight w:val="none"/>
              </w:rPr>
              <w:t>2025年区教育城域网cernet教育网出口带宽租用项目</w:t>
            </w:r>
          </w:p>
        </w:tc>
      </w:tr>
      <w:tr>
        <w:tblPrEx>
          <w:tblCellMar>
            <w:top w:w="36" w:type="dxa"/>
            <w:left w:w="36" w:type="dxa"/>
            <w:bottom w:w="36" w:type="dxa"/>
            <w:right w:w="36" w:type="dxa"/>
          </w:tblCellMar>
        </w:tblPrEx>
        <w:trPr>
          <w:trHeight w:val="737" w:hRule="atLeast"/>
          <w:tblCellSpacing w:w="0" w:type="dxa"/>
          <w:jc w:val="center"/>
        </w:trPr>
        <w:tc>
          <w:tcPr>
            <w:tcW w:w="1696" w:type="dxa"/>
            <w:vAlign w:val="center"/>
          </w:tcPr>
          <w:p>
            <w:pPr>
              <w:jc w:val="left"/>
              <w:rPr>
                <w:sz w:val="30"/>
                <w:szCs w:val="30"/>
                <w:highlight w:val="none"/>
              </w:rPr>
            </w:pPr>
            <w:r>
              <w:rPr>
                <w:sz w:val="30"/>
                <w:szCs w:val="30"/>
                <w:highlight w:val="none"/>
              </w:rPr>
              <w:t>包</w:t>
            </w:r>
            <w:r>
              <w:rPr>
                <w:rFonts w:hint="eastAsia"/>
                <w:sz w:val="30"/>
                <w:szCs w:val="30"/>
                <w:highlight w:val="none"/>
              </w:rPr>
              <w:t xml:space="preserve">    </w:t>
            </w:r>
            <w:r>
              <w:rPr>
                <w:sz w:val="30"/>
                <w:szCs w:val="30"/>
                <w:highlight w:val="none"/>
              </w:rPr>
              <w:t>号：</w:t>
            </w:r>
          </w:p>
        </w:tc>
        <w:tc>
          <w:tcPr>
            <w:tcW w:w="6242" w:type="dxa"/>
            <w:vAlign w:val="center"/>
          </w:tcPr>
          <w:p>
            <w:pPr>
              <w:jc w:val="left"/>
              <w:rPr>
                <w:sz w:val="30"/>
                <w:szCs w:val="30"/>
                <w:highlight w:val="none"/>
              </w:rPr>
            </w:pPr>
            <w:r>
              <w:rPr>
                <w:sz w:val="30"/>
                <w:szCs w:val="30"/>
                <w:highlight w:val="none"/>
              </w:rPr>
              <w:t>A</w:t>
            </w:r>
          </w:p>
        </w:tc>
      </w:tr>
      <w:tr>
        <w:tblPrEx>
          <w:tblCellMar>
            <w:top w:w="36" w:type="dxa"/>
            <w:left w:w="36" w:type="dxa"/>
            <w:bottom w:w="36" w:type="dxa"/>
            <w:right w:w="36" w:type="dxa"/>
          </w:tblCellMar>
        </w:tblPrEx>
        <w:trPr>
          <w:trHeight w:val="737" w:hRule="atLeast"/>
          <w:tblCellSpacing w:w="0" w:type="dxa"/>
          <w:jc w:val="center"/>
        </w:trPr>
        <w:tc>
          <w:tcPr>
            <w:tcW w:w="1696" w:type="dxa"/>
            <w:vAlign w:val="center"/>
          </w:tcPr>
          <w:p>
            <w:pPr>
              <w:jc w:val="left"/>
              <w:rPr>
                <w:sz w:val="30"/>
                <w:szCs w:val="30"/>
                <w:highlight w:val="none"/>
              </w:rPr>
            </w:pPr>
            <w:r>
              <w:rPr>
                <w:sz w:val="30"/>
                <w:szCs w:val="30"/>
                <w:highlight w:val="none"/>
              </w:rPr>
              <w:t>项目类型：</w:t>
            </w:r>
          </w:p>
        </w:tc>
        <w:tc>
          <w:tcPr>
            <w:tcW w:w="6242" w:type="dxa"/>
            <w:vAlign w:val="center"/>
          </w:tcPr>
          <w:p>
            <w:pPr>
              <w:jc w:val="left"/>
              <w:rPr>
                <w:sz w:val="30"/>
                <w:szCs w:val="30"/>
                <w:highlight w:val="none"/>
              </w:rPr>
            </w:pPr>
            <w:r>
              <w:rPr>
                <w:rFonts w:hint="eastAsia"/>
                <w:sz w:val="30"/>
                <w:szCs w:val="30"/>
                <w:highlight w:val="none"/>
              </w:rPr>
              <w:t>服务</w:t>
            </w:r>
            <w:r>
              <w:rPr>
                <w:sz w:val="30"/>
                <w:szCs w:val="30"/>
                <w:highlight w:val="none"/>
              </w:rPr>
              <w:t>类</w:t>
            </w:r>
          </w:p>
        </w:tc>
      </w:tr>
      <w:tr>
        <w:tblPrEx>
          <w:tblCellMar>
            <w:top w:w="36" w:type="dxa"/>
            <w:left w:w="36" w:type="dxa"/>
            <w:bottom w:w="36" w:type="dxa"/>
            <w:right w:w="36" w:type="dxa"/>
          </w:tblCellMar>
        </w:tblPrEx>
        <w:trPr>
          <w:trHeight w:val="737" w:hRule="atLeast"/>
          <w:tblCellSpacing w:w="0" w:type="dxa"/>
          <w:jc w:val="center"/>
        </w:trPr>
        <w:tc>
          <w:tcPr>
            <w:tcW w:w="1696" w:type="dxa"/>
            <w:vAlign w:val="center"/>
          </w:tcPr>
          <w:p>
            <w:pPr>
              <w:jc w:val="left"/>
              <w:rPr>
                <w:sz w:val="30"/>
                <w:szCs w:val="30"/>
                <w:highlight w:val="none"/>
              </w:rPr>
            </w:pPr>
            <w:r>
              <w:rPr>
                <w:sz w:val="30"/>
                <w:szCs w:val="30"/>
                <w:highlight w:val="none"/>
              </w:rPr>
              <w:t>采购方式：</w:t>
            </w:r>
          </w:p>
        </w:tc>
        <w:tc>
          <w:tcPr>
            <w:tcW w:w="6242" w:type="dxa"/>
            <w:vAlign w:val="center"/>
          </w:tcPr>
          <w:p>
            <w:pPr>
              <w:jc w:val="left"/>
              <w:rPr>
                <w:sz w:val="30"/>
                <w:szCs w:val="30"/>
                <w:highlight w:val="none"/>
              </w:rPr>
            </w:pPr>
            <w:r>
              <w:rPr>
                <w:sz w:val="30"/>
                <w:szCs w:val="30"/>
                <w:highlight w:val="none"/>
              </w:rPr>
              <w:t>公开招标</w:t>
            </w:r>
          </w:p>
        </w:tc>
      </w:tr>
      <w:tr>
        <w:tblPrEx>
          <w:tblCellMar>
            <w:top w:w="36" w:type="dxa"/>
            <w:left w:w="36" w:type="dxa"/>
            <w:bottom w:w="36" w:type="dxa"/>
            <w:right w:w="36" w:type="dxa"/>
          </w:tblCellMar>
        </w:tblPrEx>
        <w:trPr>
          <w:trHeight w:val="737" w:hRule="atLeast"/>
          <w:tblCellSpacing w:w="0" w:type="dxa"/>
          <w:jc w:val="center"/>
        </w:trPr>
        <w:tc>
          <w:tcPr>
            <w:tcW w:w="1696" w:type="dxa"/>
            <w:vAlign w:val="center"/>
          </w:tcPr>
          <w:p>
            <w:pPr>
              <w:jc w:val="left"/>
              <w:rPr>
                <w:sz w:val="30"/>
                <w:szCs w:val="30"/>
                <w:highlight w:val="none"/>
              </w:rPr>
            </w:pPr>
            <w:r>
              <w:rPr>
                <w:sz w:val="30"/>
                <w:szCs w:val="30"/>
                <w:highlight w:val="none"/>
              </w:rPr>
              <w:t>货币类型：</w:t>
            </w:r>
          </w:p>
        </w:tc>
        <w:tc>
          <w:tcPr>
            <w:tcW w:w="6242" w:type="dxa"/>
            <w:vAlign w:val="center"/>
          </w:tcPr>
          <w:p>
            <w:pPr>
              <w:jc w:val="left"/>
              <w:rPr>
                <w:sz w:val="30"/>
                <w:szCs w:val="30"/>
                <w:highlight w:val="none"/>
              </w:rPr>
            </w:pPr>
            <w:r>
              <w:rPr>
                <w:sz w:val="30"/>
                <w:szCs w:val="30"/>
                <w:highlight w:val="none"/>
              </w:rPr>
              <w:t>人民币</w:t>
            </w:r>
          </w:p>
        </w:tc>
      </w:tr>
      <w:tr>
        <w:tblPrEx>
          <w:tblCellMar>
            <w:top w:w="36" w:type="dxa"/>
            <w:left w:w="36" w:type="dxa"/>
            <w:bottom w:w="36" w:type="dxa"/>
            <w:right w:w="36" w:type="dxa"/>
          </w:tblCellMar>
        </w:tblPrEx>
        <w:trPr>
          <w:trHeight w:val="737" w:hRule="atLeast"/>
          <w:tblCellSpacing w:w="0" w:type="dxa"/>
          <w:jc w:val="center"/>
        </w:trPr>
        <w:tc>
          <w:tcPr>
            <w:tcW w:w="1696" w:type="dxa"/>
            <w:vAlign w:val="center"/>
          </w:tcPr>
          <w:p>
            <w:pPr>
              <w:jc w:val="left"/>
              <w:rPr>
                <w:sz w:val="30"/>
                <w:szCs w:val="30"/>
                <w:highlight w:val="none"/>
              </w:rPr>
            </w:pPr>
            <w:r>
              <w:rPr>
                <w:sz w:val="30"/>
                <w:szCs w:val="30"/>
                <w:highlight w:val="none"/>
              </w:rPr>
              <w:t>评标方法：</w:t>
            </w:r>
          </w:p>
        </w:tc>
        <w:tc>
          <w:tcPr>
            <w:tcW w:w="6242" w:type="dxa"/>
            <w:vAlign w:val="center"/>
          </w:tcPr>
          <w:p>
            <w:pPr>
              <w:jc w:val="left"/>
              <w:rPr>
                <w:sz w:val="30"/>
                <w:szCs w:val="30"/>
                <w:highlight w:val="none"/>
              </w:rPr>
            </w:pPr>
            <w:r>
              <w:rPr>
                <w:rFonts w:ascii="宋体" w:hAnsi="宋体" w:cs="宋体"/>
                <w:kern w:val="0"/>
                <w:sz w:val="30"/>
                <w:szCs w:val="30"/>
                <w:highlight w:val="none"/>
                <w:lang w:bidi="ar"/>
              </w:rPr>
              <w:t>综合评分法</w:t>
            </w:r>
          </w:p>
        </w:tc>
      </w:tr>
    </w:tbl>
    <w:p>
      <w:pPr>
        <w:tabs>
          <w:tab w:val="left" w:pos="2790"/>
        </w:tabs>
        <w:snapToGrid w:val="0"/>
        <w:spacing w:line="440" w:lineRule="exact"/>
        <w:jc w:val="left"/>
        <w:rPr>
          <w:rFonts w:asciiTheme="minorEastAsia" w:hAnsiTheme="minorEastAsia"/>
          <w:sz w:val="30"/>
          <w:szCs w:val="30"/>
          <w:highlight w:val="none"/>
        </w:rPr>
      </w:pPr>
    </w:p>
    <w:p>
      <w:pPr>
        <w:tabs>
          <w:tab w:val="left" w:pos="2790"/>
        </w:tabs>
        <w:snapToGrid w:val="0"/>
        <w:jc w:val="center"/>
        <w:outlineLvl w:val="0"/>
        <w:rPr>
          <w:rFonts w:ascii="黑体" w:hAnsi="黑体" w:eastAsia="黑体" w:cs="Times New Roman"/>
          <w:sz w:val="40"/>
          <w:szCs w:val="40"/>
          <w:highlight w:val="none"/>
        </w:rPr>
      </w:pPr>
      <w:r>
        <w:rPr>
          <w:rFonts w:hint="eastAsia" w:ascii="黑体" w:hAnsi="黑体" w:eastAsia="黑体" w:cs="Times New Roman"/>
          <w:sz w:val="40"/>
          <w:szCs w:val="40"/>
          <w:highlight w:val="none"/>
        </w:rPr>
        <w:t>资格性审查表</w:t>
      </w:r>
    </w:p>
    <w:tbl>
      <w:tblPr>
        <w:tblStyle w:val="20"/>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6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90" w:lineRule="exact"/>
              <w:jc w:val="center"/>
              <w:rPr>
                <w:rFonts w:ascii="宋体" w:hAnsi="宋体" w:eastAsia="宋体" w:cs="宋体"/>
                <w:szCs w:val="21"/>
                <w:highlight w:val="none"/>
              </w:rPr>
            </w:pPr>
            <w:r>
              <w:rPr>
                <w:rFonts w:ascii="宋体" w:hAnsi="宋体" w:eastAsia="宋体" w:cs="Times New Roman"/>
                <w:szCs w:val="21"/>
                <w:highlight w:val="none"/>
              </w:rPr>
              <w:t>序号</w:t>
            </w:r>
          </w:p>
        </w:tc>
        <w:tc>
          <w:tcPr>
            <w:tcW w:w="8260"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90" w:lineRule="exact"/>
              <w:jc w:val="center"/>
              <w:rPr>
                <w:rFonts w:ascii="宋体" w:hAnsi="宋体" w:eastAsia="宋体" w:cs="宋体"/>
                <w:szCs w:val="21"/>
                <w:highlight w:val="none"/>
              </w:rPr>
            </w:pPr>
            <w:r>
              <w:rPr>
                <w:rFonts w:ascii="宋体" w:hAnsi="宋体" w:eastAsia="宋体" w:cs="Times New Roman"/>
                <w:szCs w:val="21"/>
                <w:highlight w:val="none"/>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宋体" w:hAnsi="宋体" w:eastAsia="宋体" w:cs="宋体"/>
                <w:szCs w:val="21"/>
                <w:highlight w:val="none"/>
              </w:rPr>
            </w:pPr>
            <w:r>
              <w:rPr>
                <w:rFonts w:ascii="宋体" w:hAnsi="宋体" w:eastAsia="宋体" w:cs="Times New Roman"/>
                <w:szCs w:val="21"/>
                <w:highlight w:val="none"/>
              </w:rPr>
              <w:t>1</w:t>
            </w:r>
          </w:p>
        </w:tc>
        <w:tc>
          <w:tcPr>
            <w:tcW w:w="8260" w:type="dxa"/>
            <w:tcBorders>
              <w:top w:val="single" w:color="000000" w:sz="8" w:space="0"/>
              <w:left w:val="single" w:color="000000" w:sz="8" w:space="0"/>
              <w:bottom w:val="single" w:color="000000" w:sz="8" w:space="0"/>
              <w:right w:val="single" w:color="000000" w:sz="8" w:space="0"/>
            </w:tcBorders>
          </w:tcPr>
          <w:p>
            <w:pPr>
              <w:spacing w:line="290" w:lineRule="exact"/>
              <w:rPr>
                <w:rFonts w:ascii="宋体" w:hAnsi="宋体" w:eastAsia="宋体" w:cs="宋体"/>
                <w:szCs w:val="21"/>
                <w:highlight w:val="none"/>
              </w:rPr>
            </w:pPr>
            <w:r>
              <w:rPr>
                <w:rFonts w:ascii="宋体" w:hAnsi="宋体" w:eastAsia="宋体" w:cs="宋体"/>
                <w:kern w:val="0"/>
                <w:szCs w:val="21"/>
                <w:highlight w:val="none"/>
              </w:rPr>
              <w:t>投标人不</w:t>
            </w:r>
            <w:r>
              <w:rPr>
                <w:rFonts w:hint="eastAsia" w:ascii="宋体" w:hAnsi="宋体" w:eastAsia="宋体" w:cs="宋体"/>
                <w:kern w:val="0"/>
                <w:szCs w:val="21"/>
                <w:highlight w:val="none"/>
              </w:rPr>
              <w:t>符合</w:t>
            </w:r>
            <w:r>
              <w:rPr>
                <w:rFonts w:ascii="宋体" w:hAnsi="宋体" w:eastAsia="宋体" w:cs="宋体"/>
                <w:kern w:val="0"/>
                <w:szCs w:val="21"/>
                <w:highlight w:val="none"/>
              </w:rPr>
              <w:t>资格要求，或未提交相应的资格证明资料（详见招标公告</w:t>
            </w:r>
            <w:r>
              <w:rPr>
                <w:rFonts w:hint="eastAsia" w:ascii="宋体" w:hAnsi="宋体" w:eastAsia="宋体" w:cs="Times New Roman"/>
                <w:szCs w:val="21"/>
                <w:highlight w:val="none"/>
              </w:rPr>
              <w:t>投标人资格要求，即申请人的资格要求</w:t>
            </w:r>
            <w:r>
              <w:rPr>
                <w:rFonts w:ascii="宋体" w:hAnsi="宋体" w:eastAsia="宋体" w:cs="宋体"/>
                <w:kern w:val="0"/>
                <w:szCs w:val="21"/>
                <w:highlight w:val="none"/>
              </w:rPr>
              <w:t>）。</w:t>
            </w:r>
          </w:p>
        </w:tc>
      </w:tr>
    </w:tbl>
    <w:p>
      <w:pPr>
        <w:tabs>
          <w:tab w:val="left" w:pos="2790"/>
        </w:tabs>
        <w:snapToGrid w:val="0"/>
        <w:jc w:val="center"/>
        <w:rPr>
          <w:rFonts w:ascii="黑体" w:hAnsi="黑体" w:eastAsia="黑体" w:cs="Times New Roman"/>
          <w:sz w:val="40"/>
          <w:szCs w:val="40"/>
          <w:highlight w:val="none"/>
        </w:rPr>
      </w:pPr>
    </w:p>
    <w:p>
      <w:pPr>
        <w:tabs>
          <w:tab w:val="left" w:pos="2790"/>
        </w:tabs>
        <w:snapToGrid w:val="0"/>
        <w:jc w:val="center"/>
        <w:outlineLvl w:val="0"/>
        <w:rPr>
          <w:rFonts w:ascii="黑体" w:hAnsi="黑体" w:eastAsia="黑体" w:cs="Times New Roman"/>
          <w:sz w:val="40"/>
          <w:szCs w:val="40"/>
          <w:highlight w:val="none"/>
        </w:rPr>
      </w:pPr>
      <w:r>
        <w:rPr>
          <w:rFonts w:hint="eastAsia" w:ascii="黑体" w:hAnsi="黑体" w:eastAsia="黑体" w:cs="Times New Roman"/>
          <w:sz w:val="40"/>
          <w:szCs w:val="40"/>
          <w:highlight w:val="none"/>
        </w:rPr>
        <w:t>符合性审查表</w:t>
      </w:r>
    </w:p>
    <w:tbl>
      <w:tblPr>
        <w:tblStyle w:val="20"/>
        <w:tblW w:w="90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1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90" w:lineRule="exact"/>
              <w:jc w:val="center"/>
              <w:rPr>
                <w:rFonts w:ascii="宋体" w:hAnsi="宋体" w:eastAsia="宋体" w:cs="宋体"/>
                <w:szCs w:val="21"/>
                <w:highlight w:val="none"/>
              </w:rPr>
            </w:pPr>
            <w:r>
              <w:rPr>
                <w:rFonts w:ascii="宋体" w:hAnsi="宋体" w:eastAsia="宋体" w:cs="Times New Roman"/>
                <w:szCs w:val="21"/>
                <w:highlight w:val="none"/>
              </w:rPr>
              <w:t>序号</w:t>
            </w:r>
          </w:p>
        </w:tc>
        <w:tc>
          <w:tcPr>
            <w:tcW w:w="8215"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90" w:lineRule="exact"/>
              <w:jc w:val="center"/>
              <w:rPr>
                <w:rFonts w:ascii="宋体" w:hAnsi="宋体" w:eastAsia="宋体" w:cs="宋体"/>
                <w:szCs w:val="21"/>
                <w:highlight w:val="none"/>
              </w:rPr>
            </w:pPr>
            <w:r>
              <w:rPr>
                <w:rFonts w:ascii="宋体" w:hAnsi="宋体" w:eastAsia="宋体" w:cs="Times New Roman"/>
                <w:szCs w:val="21"/>
                <w:highlight w:val="none"/>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1</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Calibri" w:hAnsi="Calibri" w:eastAsia="宋体" w:cs="Times New Roman"/>
                <w:b/>
                <w:highlight w:val="none"/>
              </w:rPr>
            </w:pPr>
            <w:r>
              <w:rPr>
                <w:rFonts w:hint="eastAsia"/>
                <w:highlight w:val="none"/>
              </w:rPr>
              <w:t>不得将一个包的内容拆开投标；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2</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Calibri" w:hAnsi="Calibri" w:eastAsia="宋体" w:cs="Times New Roman"/>
                <w:highlight w:val="none"/>
              </w:rPr>
            </w:pPr>
            <w:r>
              <w:rPr>
                <w:rFonts w:hint="eastAsia"/>
                <w:highlight w:val="none"/>
              </w:rPr>
              <w:t>对同一项目投标时，不得提供两套以上的投标方案（招标文件另有规定的除外）；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3</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Calibri" w:hAnsi="Calibri" w:eastAsia="宋体" w:cs="Times New Roman"/>
                <w:highlight w:val="none"/>
              </w:rPr>
            </w:pPr>
            <w:r>
              <w:rPr>
                <w:rFonts w:hint="eastAsia"/>
                <w:highlight w:val="none"/>
              </w:rPr>
              <w:t>分项报价或投标总价不得高于相应预算金额（或设定的预算金额下的最高限价）；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4</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Calibri" w:hAnsi="Calibri" w:eastAsia="宋体" w:cs="Times New Roman"/>
                <w:highlight w:val="none"/>
              </w:rPr>
            </w:pPr>
            <w:r>
              <w:rPr>
                <w:rFonts w:hint="eastAsia"/>
                <w:highlight w:val="none"/>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5</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Calibri" w:hAnsi="Calibri" w:eastAsia="宋体" w:cs="Times New Roman"/>
                <w:highlight w:val="none"/>
              </w:rPr>
            </w:pPr>
            <w:r>
              <w:rPr>
                <w:rFonts w:hint="eastAsia"/>
                <w:highlight w:val="none"/>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6</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Calibri" w:hAnsi="Calibri" w:eastAsia="宋体" w:cs="Times New Roman"/>
                <w:highlight w:val="none"/>
              </w:rPr>
            </w:pPr>
            <w:r>
              <w:rPr>
                <w:rFonts w:hint="eastAsia"/>
                <w:highlight w:val="none"/>
              </w:rPr>
              <w:t>未按招标文件所提供的样式填写《投标函》；未按招标文件所提供的《政府采购投标及履约承诺函》进行承诺；未按招标文件对投标文件组成的要求提供投标文件；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7</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Calibri" w:hAnsi="Calibri" w:eastAsia="宋体" w:cs="Times New Roman"/>
                <w:highlight w:val="none"/>
              </w:rPr>
            </w:pPr>
            <w:r>
              <w:rPr>
                <w:rFonts w:hint="eastAsia"/>
                <w:highlight w:val="none"/>
              </w:rPr>
              <w:t>采购标的/所投产品/货物清单/报价等任意一类有缺漏项或响应不全，或者对招标文件规定的项目需求内容或者需求数量进行修改，评审委员会判定投标响应不满足采购需求；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8</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szCs w:val="21"/>
                <w:highlight w:val="none"/>
              </w:rPr>
            </w:pPr>
            <w:r>
              <w:rPr>
                <w:rFonts w:hint="eastAsia"/>
                <w:highlight w:val="none"/>
              </w:rPr>
              <w:t>投标文件存在列放位置错误，导致属于信息公开情形的没有被公开；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9</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szCs w:val="21"/>
                <w:highlight w:val="none"/>
              </w:rPr>
            </w:pPr>
            <w:r>
              <w:rPr>
                <w:rFonts w:hint="eastAsia"/>
                <w:highlight w:val="none"/>
              </w:rPr>
              <w:t>投标文件电子文档不得带病毒；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ascii="Calibri" w:hAnsi="Calibri" w:eastAsia="宋体" w:cs="Times New Roman"/>
                <w:highlight w:val="none"/>
              </w:rPr>
              <w:t>10</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宋体" w:hAnsi="宋体" w:eastAsia="宋体"/>
                <w:szCs w:val="21"/>
                <w:highlight w:val="none"/>
              </w:rPr>
            </w:pPr>
            <w:r>
              <w:rPr>
                <w:rFonts w:hint="eastAsia"/>
                <w:highlight w:val="none"/>
              </w:rPr>
              <w:t>投标文件用不属于本公司的电子密钥或电子营业执照进行加密的；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hint="eastAsia" w:ascii="Calibri" w:hAnsi="Calibri" w:eastAsia="宋体" w:cs="Times New Roman"/>
                <w:highlight w:val="none"/>
              </w:rPr>
              <w:t>11</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宋体" w:hAnsi="宋体" w:eastAsia="宋体"/>
                <w:highlight w:val="none"/>
              </w:rPr>
            </w:pPr>
            <w:r>
              <w:rPr>
                <w:rFonts w:hint="eastAsia" w:ascii="Times New Roman" w:hAnsi="Times New Roman" w:eastAsia="宋体" w:cs="Times New Roman"/>
                <w:szCs w:val="24"/>
                <w:highlight w:val="none"/>
              </w:rPr>
              <w:t>不同投标供应商投标文件“文件制作机器码”一致；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hint="eastAsia" w:ascii="Calibri" w:hAnsi="Calibri" w:eastAsia="宋体" w:cs="Times New Roman"/>
                <w:highlight w:val="none"/>
              </w:rPr>
              <w:t>12</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szCs w:val="21"/>
                <w:highlight w:val="none"/>
              </w:rPr>
            </w:pPr>
            <w:r>
              <w:rPr>
                <w:rFonts w:hint="eastAsia" w:ascii="Times New Roman" w:hAnsi="Times New Roman" w:eastAsia="宋体" w:cs="Times New Roman"/>
                <w:szCs w:val="24"/>
                <w:highlight w:val="none"/>
              </w:rPr>
              <w:t>不同投标供应商投标文件“文件创建标识码”一致；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90" w:lineRule="exact"/>
              <w:jc w:val="center"/>
              <w:rPr>
                <w:rFonts w:ascii="Calibri" w:hAnsi="Calibri" w:eastAsia="宋体" w:cs="Times New Roman"/>
                <w:highlight w:val="none"/>
              </w:rPr>
            </w:pPr>
            <w:r>
              <w:rPr>
                <w:rFonts w:hint="eastAsia" w:ascii="Calibri" w:hAnsi="Calibri" w:eastAsia="宋体" w:cs="Times New Roman"/>
                <w:highlight w:val="none"/>
              </w:rPr>
              <w:t>13</w:t>
            </w:r>
          </w:p>
        </w:tc>
        <w:tc>
          <w:tcPr>
            <w:tcW w:w="8215" w:type="dxa"/>
            <w:tcBorders>
              <w:top w:val="single" w:color="000000" w:sz="8" w:space="0"/>
              <w:left w:val="single" w:color="000000" w:sz="8" w:space="0"/>
              <w:bottom w:val="single" w:color="000000" w:sz="8" w:space="0"/>
              <w:right w:val="single" w:color="000000" w:sz="8" w:space="0"/>
            </w:tcBorders>
          </w:tcPr>
          <w:p>
            <w:pPr>
              <w:widowControl/>
              <w:jc w:val="left"/>
              <w:textAlignment w:val="top"/>
              <w:rPr>
                <w:rFonts w:ascii="Calibri" w:hAnsi="Calibri" w:eastAsia="宋体" w:cs="Times New Roman"/>
                <w:highlight w:val="none"/>
              </w:rPr>
            </w:pPr>
            <w:r>
              <w:rPr>
                <w:rFonts w:hint="eastAsia"/>
                <w:highlight w:val="none"/>
              </w:rPr>
              <w:t>法律、法规、规章、规范性文件规定的其他情形。</w:t>
            </w:r>
          </w:p>
        </w:tc>
      </w:tr>
    </w:tbl>
    <w:p>
      <w:pPr>
        <w:pStyle w:val="17"/>
        <w:spacing w:afterAutospacing="0" w:line="312" w:lineRule="auto"/>
        <w:jc w:val="center"/>
        <w:outlineLvl w:val="0"/>
        <w:rPr>
          <w:rFonts w:ascii="黑体" w:eastAsia="黑体"/>
          <w:color w:val="000000" w:themeColor="text1"/>
          <w:sz w:val="40"/>
          <w:szCs w:val="40"/>
          <w:highlight w:val="none"/>
          <w14:textFill>
            <w14:solidFill>
              <w14:schemeClr w14:val="tx1"/>
            </w14:solidFill>
          </w14:textFill>
        </w:rPr>
      </w:pPr>
      <w:r>
        <w:rPr>
          <w:rFonts w:hint="eastAsia" w:ascii="黑体" w:hAnsi="黑体" w:eastAsia="黑体"/>
          <w:color w:val="000000" w:themeColor="text1"/>
          <w:sz w:val="40"/>
          <w:szCs w:val="40"/>
          <w:highlight w:val="none"/>
          <w14:textFill>
            <w14:solidFill>
              <w14:schemeClr w14:val="tx1"/>
            </w14:solidFill>
          </w14:textFill>
        </w:rPr>
        <w:t>评标信息</w:t>
      </w:r>
    </w:p>
    <w:tbl>
      <w:tblPr>
        <w:tblStyle w:val="20"/>
        <w:tblW w:w="9103" w:type="dxa"/>
        <w:jc w:val="center"/>
        <w:tblCellSpacing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45" w:type="dxa"/>
          <w:left w:w="45" w:type="dxa"/>
          <w:bottom w:w="45" w:type="dxa"/>
          <w:right w:w="45" w:type="dxa"/>
        </w:tblCellMar>
      </w:tblPr>
      <w:tblGrid>
        <w:gridCol w:w="63"/>
        <w:gridCol w:w="617"/>
        <w:gridCol w:w="680"/>
        <w:gridCol w:w="2835"/>
        <w:gridCol w:w="681"/>
        <w:gridCol w:w="4196"/>
        <w:gridCol w:w="31"/>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rPr>
          <w:gridBefore w:val="1"/>
          <w:wBefore w:w="63" w:type="dxa"/>
          <w:tblCellSpacing w:w="0" w:type="dxa"/>
          <w:jc w:val="center"/>
        </w:trPr>
        <w:tc>
          <w:tcPr>
            <w:tcW w:w="9040" w:type="dxa"/>
            <w:gridSpan w:val="6"/>
            <w:shd w:val="clear" w:color="auto" w:fill="auto"/>
            <w:vAlign w:val="center"/>
          </w:tcPr>
          <w:p>
            <w:pPr>
              <w:spacing w:line="312" w:lineRule="auto"/>
              <w:jc w:val="left"/>
              <w:rPr>
                <w:rFonts w:ascii="宋体"/>
                <w:b/>
                <w:bCs/>
                <w:color w:val="000000" w:themeColor="text1"/>
                <w:sz w:val="24"/>
                <w:highlight w:val="none"/>
                <w14:textFill>
                  <w14:solidFill>
                    <w14:schemeClr w14:val="tx1"/>
                  </w14:solidFill>
                </w14:textFill>
              </w:rPr>
            </w:pPr>
            <w:r>
              <w:rPr>
                <w:b/>
                <w:bCs/>
                <w:color w:val="000000" w:themeColor="text1"/>
                <w:highlight w:val="none"/>
                <w14:textFill>
                  <w14:solidFill>
                    <w14:schemeClr w14:val="tx1"/>
                  </w14:solidFill>
                </w14:textFill>
              </w:rPr>
              <w:t>评标方法：综合评分法</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gridBefore w:val="1"/>
          <w:wBefore w:w="63" w:type="dxa"/>
          <w:tblCellSpacing w:w="0" w:type="dxa"/>
          <w:jc w:val="center"/>
        </w:trPr>
        <w:tc>
          <w:tcPr>
            <w:tcW w:w="9040" w:type="dxa"/>
            <w:gridSpan w:val="6"/>
            <w:shd w:val="clear" w:color="auto" w:fill="auto"/>
            <w:vAlign w:val="center"/>
          </w:tcPr>
          <w:p>
            <w:pPr>
              <w:spacing w:line="312" w:lineRule="auto"/>
              <w:ind w:firstLine="420"/>
              <w:rPr>
                <w:rFonts w:eastAsia="宋体"/>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综合评分法，</w:t>
            </w:r>
            <w:r>
              <w:rPr>
                <w:rFonts w:hint="eastAsia"/>
                <w:color w:val="000000" w:themeColor="text1"/>
                <w:szCs w:val="21"/>
                <w:highlight w:val="none"/>
                <w14:textFill>
                  <w14:solidFill>
                    <w14:schemeClr w14:val="tx1"/>
                  </w14:solidFill>
                </w14:textFill>
              </w:rPr>
              <w:t>是指投标文件满足招标文件全部实质性要求，且按照评审因素的量化指标评审得分排名前列</w:t>
            </w:r>
            <w:r>
              <w:rPr>
                <w:color w:val="000000" w:themeColor="text1"/>
                <w:szCs w:val="21"/>
                <w:highlight w:val="none"/>
                <w14:textFill>
                  <w14:solidFill>
                    <w14:schemeClr w14:val="tx1"/>
                  </w14:solidFill>
                </w14:textFill>
              </w:rPr>
              <w:t>的投标人为中标候选人的评标方法。</w:t>
            </w:r>
          </w:p>
          <w:p>
            <w:pPr>
              <w:spacing w:line="312" w:lineRule="auto"/>
              <w:ind w:firstLine="420"/>
              <w:rPr>
                <w:color w:val="000000" w:themeColor="text1"/>
                <w:highlight w:val="none"/>
                <w14:textFill>
                  <w14:solidFill>
                    <w14:schemeClr w14:val="tx1"/>
                  </w14:solidFill>
                </w14:textFill>
              </w:rPr>
            </w:pPr>
          </w:p>
          <w:p>
            <w:pPr>
              <w:spacing w:line="312"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价格分计算方法：</w:t>
            </w:r>
          </w:p>
          <w:p>
            <w:pPr>
              <w:pStyle w:val="17"/>
              <w:spacing w:beforeAutospacing="0" w:afterAutospacing="0" w:line="312" w:lineRule="auto"/>
              <w:ind w:left="420"/>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 xml:space="preserve">采用低价优先法计算，即满足招标文件要求且投标价格最低的投标报价为评标基准价，其价格分为满分。其他投标人的价格分统一按照下列公式计算： </w:t>
            </w:r>
            <w:r>
              <w:rPr>
                <w:color w:val="000000" w:themeColor="text1"/>
                <w:sz w:val="21"/>
                <w:szCs w:val="21"/>
                <w:highlight w:val="none"/>
                <w14:textFill>
                  <w14:solidFill>
                    <w14:schemeClr w14:val="tx1"/>
                  </w14:solidFill>
                </w14:textFill>
              </w:rPr>
              <w:br w:type="textWrapping"/>
            </w:r>
            <w:r>
              <w:rPr>
                <w:color w:val="000000" w:themeColor="text1"/>
                <w:sz w:val="21"/>
                <w:szCs w:val="21"/>
                <w:highlight w:val="none"/>
                <w14:textFill>
                  <w14:solidFill>
                    <w14:schemeClr w14:val="tx1"/>
                  </w14:solidFill>
                </w14:textFill>
              </w:rPr>
              <w:t xml:space="preserve">投标报价得分=(评标基准价／投标报价)×100 </w:t>
            </w:r>
            <w:r>
              <w:rPr>
                <w:color w:val="000000" w:themeColor="text1"/>
                <w:sz w:val="21"/>
                <w:szCs w:val="21"/>
                <w:highlight w:val="none"/>
                <w14:textFill>
                  <w14:solidFill>
                    <w14:schemeClr w14:val="tx1"/>
                  </w14:solidFill>
                </w14:textFill>
              </w:rPr>
              <w:br w:type="textWrapping"/>
            </w:r>
            <w:r>
              <w:rPr>
                <w:color w:val="000000" w:themeColor="text1"/>
                <w:sz w:val="21"/>
                <w:szCs w:val="21"/>
                <w:highlight w:val="none"/>
                <w14:textFill>
                  <w14:solidFill>
                    <w14:schemeClr w14:val="tx1"/>
                  </w14:solidFill>
                </w14:textFill>
              </w:rPr>
              <w:t xml:space="preserve">评标总得分＝F1×A1＋F2×A2＋……＋Fn×An </w:t>
            </w:r>
            <w:r>
              <w:rPr>
                <w:color w:val="000000" w:themeColor="text1"/>
                <w:sz w:val="21"/>
                <w:szCs w:val="21"/>
                <w:highlight w:val="none"/>
                <w14:textFill>
                  <w14:solidFill>
                    <w14:schemeClr w14:val="tx1"/>
                  </w14:solidFill>
                </w14:textFill>
              </w:rPr>
              <w:br w:type="textWrapping"/>
            </w:r>
            <w:r>
              <w:rPr>
                <w:color w:val="000000" w:themeColor="text1"/>
                <w:sz w:val="21"/>
                <w:szCs w:val="21"/>
                <w:highlight w:val="none"/>
                <w14:textFill>
                  <w14:solidFill>
                    <w14:schemeClr w14:val="tx1"/>
                  </w14:solidFill>
                </w14:textFill>
              </w:rPr>
              <w:t xml:space="preserve">F1、F2……Fn分别为各项评审因素的得分； </w:t>
            </w:r>
            <w:r>
              <w:rPr>
                <w:color w:val="000000" w:themeColor="text1"/>
                <w:sz w:val="21"/>
                <w:szCs w:val="21"/>
                <w:highlight w:val="none"/>
                <w14:textFill>
                  <w14:solidFill>
                    <w14:schemeClr w14:val="tx1"/>
                  </w14:solidFill>
                </w14:textFill>
              </w:rPr>
              <w:br w:type="textWrapping"/>
            </w:r>
            <w:r>
              <w:rPr>
                <w:color w:val="000000" w:themeColor="text1"/>
                <w:sz w:val="21"/>
                <w:szCs w:val="21"/>
                <w:highlight w:val="none"/>
                <w14:textFill>
                  <w14:solidFill>
                    <w14:schemeClr w14:val="tx1"/>
                  </w14:solidFill>
                </w14:textFill>
              </w:rPr>
              <w:t xml:space="preserve">A1、A2、……An 分别为各项评审因素所占的权重(A1＋A2＋……＋An＝1)。 </w:t>
            </w:r>
            <w:r>
              <w:rPr>
                <w:color w:val="000000" w:themeColor="text1"/>
                <w:sz w:val="21"/>
                <w:szCs w:val="21"/>
                <w:highlight w:val="none"/>
                <w14:textFill>
                  <w14:solidFill>
                    <w14:schemeClr w14:val="tx1"/>
                  </w14:solidFill>
                </w14:textFill>
              </w:rPr>
              <w:br w:type="textWrapping"/>
            </w:r>
            <w:r>
              <w:rPr>
                <w:color w:val="000000" w:themeColor="text1"/>
                <w:sz w:val="21"/>
                <w:szCs w:val="21"/>
                <w:highlight w:val="none"/>
                <w14:textFill>
                  <w14:solidFill>
                    <w14:schemeClr w14:val="tx1"/>
                  </w14:solidFill>
                </w14:textFill>
              </w:rPr>
              <w:t>评标过程中，不得去掉报价中的最高报价和最低报价。</w:t>
            </w:r>
          </w:p>
          <w:p>
            <w:pPr>
              <w:pStyle w:val="17"/>
              <w:spacing w:beforeAutospacing="0" w:afterAutospacing="0" w:line="312" w:lineRule="auto"/>
              <w:ind w:left="420"/>
              <w:rPr>
                <w:color w:val="000000" w:themeColor="text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因落实政府采购政策进行价格调整的，以调整后的价格计算评标基准价和投标报价。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序号</w:t>
            </w:r>
          </w:p>
        </w:tc>
        <w:tc>
          <w:tcPr>
            <w:tcW w:w="4196"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评分项</w:t>
            </w:r>
          </w:p>
        </w:tc>
        <w:tc>
          <w:tcPr>
            <w:tcW w:w="4196"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权重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restart"/>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4196" w:type="dxa"/>
            <w:gridSpan w:val="3"/>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价格</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8392" w:type="dxa"/>
            <w:gridSpan w:val="4"/>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restart"/>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4196" w:type="dxa"/>
            <w:gridSpan w:val="3"/>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技术部分</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8392" w:type="dxa"/>
            <w:gridSpan w:val="4"/>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序号</w:t>
            </w:r>
          </w:p>
        </w:tc>
        <w:tc>
          <w:tcPr>
            <w:tcW w:w="2835" w:type="dxa"/>
            <w:tcBorders>
              <w:top w:val="outset" w:color="000000" w:sz="6" w:space="0"/>
              <w:left w:val="outset" w:color="000000" w:sz="6" w:space="0"/>
              <w:bottom w:val="outset" w:color="000000" w:sz="6" w:space="0"/>
              <w:right w:val="outset" w:color="000000" w:sz="6"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评分因素</w:t>
            </w:r>
          </w:p>
        </w:tc>
        <w:tc>
          <w:tcPr>
            <w:tcW w:w="681" w:type="dxa"/>
            <w:tcBorders>
              <w:top w:val="outset" w:color="000000" w:sz="6" w:space="0"/>
              <w:left w:val="outset" w:color="000000" w:sz="6" w:space="0"/>
              <w:bottom w:val="outset" w:color="000000" w:sz="6" w:space="0"/>
              <w:right w:val="outset" w:color="000000" w:sz="6"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权重(%)</w:t>
            </w:r>
          </w:p>
        </w:tc>
        <w:tc>
          <w:tcPr>
            <w:tcW w:w="4196" w:type="dxa"/>
            <w:tcBorders>
              <w:top w:val="outset" w:color="000000" w:sz="6" w:space="0"/>
              <w:left w:val="outset" w:color="000000" w:sz="6" w:space="0"/>
              <w:bottom w:val="outset" w:color="000000" w:sz="6" w:space="0"/>
              <w:right w:val="outset" w:color="000000" w:sz="6"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实施方案（工作措施、工作方法、工作手段、工作流程）</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投标人结合本项目实际提供项目实施方案,应包括：</w:t>
            </w:r>
          </w:p>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项目理解与概述；</w:t>
            </w:r>
          </w:p>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服务方案</w:t>
            </w:r>
            <w:r>
              <w:rPr>
                <w:rFonts w:ascii="宋体" w:hAnsi="宋体"/>
                <w:color w:val="000000" w:themeColor="text1"/>
                <w:szCs w:val="21"/>
                <w:highlight w:val="none"/>
                <w14:textFill>
                  <w14:solidFill>
                    <w14:schemeClr w14:val="tx1"/>
                  </w14:solidFill>
                </w14:textFill>
              </w:rPr>
              <w:t>；</w:t>
            </w:r>
          </w:p>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技术保障措施；</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运维与支持服务。</w:t>
            </w:r>
          </w:p>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考察投标人以上服务方案，如果全部满足得60分，满足任意3点得40分，满足任意2点得20分，其他情况不得分。在此基础上：</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评审为</w:t>
            </w:r>
            <w:r>
              <w:rPr>
                <w:rFonts w:hint="eastAsia" w:ascii="宋体" w:hAnsi="宋体"/>
                <w:color w:val="000000" w:themeColor="text1"/>
                <w:szCs w:val="21"/>
                <w:highlight w:val="none"/>
                <w14:textFill>
                  <w14:solidFill>
                    <w14:schemeClr w14:val="tx1"/>
                  </w14:solidFill>
                </w14:textFill>
              </w:rPr>
              <w:t>优（项目实施方案思路清晰明确，方案合理可行，满足服务要求，针对性强的），加40分；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2.评审为良（项目实施方案总体思路比较清晰，方案比较合理可行，可以满足服务要求的），加30分；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3.评价为中（项目实施方案思路基本清晰，方案基本合理可行，基本可以满足服务要求的），加20分；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4.评价为差（项目实施方案思路不清晰，方案不完整，不能满足服务需要的），不加分。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项目重点难点分析、应对措施及相关的合理化建议</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bookmarkStart w:id="0" w:name="OLE_LINK6"/>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投标人在投标文件中提供如下内容：</w:t>
            </w:r>
          </w:p>
          <w:p>
            <w:pPr>
              <w:numPr>
                <w:ilvl w:val="255"/>
                <w:numId w:val="0"/>
              </w:num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1.项目重点难点分析</w:t>
            </w:r>
          </w:p>
          <w:p>
            <w:pPr>
              <w:numPr>
                <w:ilvl w:val="255"/>
                <w:numId w:val="0"/>
              </w:num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2.重难点应对措施</w:t>
            </w:r>
          </w:p>
          <w:p>
            <w:pPr>
              <w:numPr>
                <w:ilvl w:val="255"/>
                <w:numId w:val="0"/>
              </w:num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3.合理化建议。</w:t>
            </w:r>
          </w:p>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考察投标人以上内容，满足任意</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点得</w:t>
            </w:r>
            <w:r>
              <w:rPr>
                <w:rFonts w:hint="eastAsia" w:ascii="宋体" w:hAnsi="宋体"/>
                <w:color w:val="000000" w:themeColor="text1"/>
                <w:szCs w:val="21"/>
                <w:highlight w:val="none"/>
                <w:lang w:val="en-US" w:eastAsia="zh-CN"/>
                <w14:textFill>
                  <w14:solidFill>
                    <w14:schemeClr w14:val="tx1"/>
                  </w14:solidFill>
                </w14:textFill>
              </w:rPr>
              <w:t>20</w:t>
            </w:r>
            <w:r>
              <w:rPr>
                <w:rFonts w:hint="eastAsia" w:ascii="宋体" w:hAnsi="宋体"/>
                <w:color w:val="000000" w:themeColor="text1"/>
                <w:szCs w:val="21"/>
                <w:highlight w:val="none"/>
                <w14:textFill>
                  <w14:solidFill>
                    <w14:schemeClr w14:val="tx1"/>
                  </w14:solidFill>
                </w14:textFill>
              </w:rPr>
              <w:t>分，最高得6</w:t>
            </w:r>
            <w:r>
              <w:rPr>
                <w:rFonts w:ascii="宋体" w:hAnsi="宋体"/>
                <w:color w:val="000000" w:themeColor="text1"/>
                <w:szCs w:val="21"/>
                <w:highlight w:val="none"/>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分。其他情况不得分。在此基础上：</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评审为</w:t>
            </w:r>
            <w:r>
              <w:rPr>
                <w:rFonts w:hint="eastAsia" w:ascii="宋体" w:hAnsi="宋体"/>
                <w:color w:val="000000" w:themeColor="text1"/>
                <w:szCs w:val="21"/>
                <w:highlight w:val="none"/>
                <w14:textFill>
                  <w14:solidFill>
                    <w14:schemeClr w14:val="tx1"/>
                  </w14:solidFill>
                </w14:textFill>
              </w:rPr>
              <w:t>优（重点难点分析契合项目需求、应对措施完善及相关的合理化建议具有针对性的），加40分；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2.评审为良（项目重点难点分析较契合项目需求、应对措施较完善及相关的合理化建议较具有针对性的），加30分；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3.评价为中（项目重点难点分析不全面契合项目需求、应对措施不够完善及相关的合理化建议不具有针对性的），加20分；</w:t>
            </w:r>
          </w:p>
          <w:p>
            <w:pPr>
              <w:spacing w:line="312"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4.评价为差（项目重点难点分析、应对措施及合理化建议不能满足服务需要的），不加分。</w:t>
            </w:r>
            <w:bookmarkEnd w:id="0"/>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质量（完成时间、安全、环保）保障措施及方案</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c>
          <w:tcPr>
            <w:tcW w:w="4196" w:type="dxa"/>
            <w:tcBorders>
              <w:top w:val="single" w:color="000000" w:sz="8" w:space="0"/>
              <w:left w:val="single" w:color="000000" w:sz="8" w:space="0"/>
              <w:bottom w:val="single" w:color="000000" w:sz="8" w:space="0"/>
              <w:right w:val="single" w:color="000000" w:sz="8" w:space="0"/>
            </w:tcBorders>
          </w:tcPr>
          <w:p>
            <w:pPr>
              <w:numPr>
                <w:ilvl w:val="0"/>
                <w:numId w:val="1"/>
              </w:num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投标人在投标文件中提供如下内容：</w:t>
            </w:r>
          </w:p>
          <w:p>
            <w:pPr>
              <w:numPr>
                <w:ilvl w:val="255"/>
                <w:numId w:val="0"/>
              </w:num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hint="eastAsia" w:ascii="宋体" w:hAnsi="宋体"/>
                <w:b w:val="0"/>
                <w:bCs w:val="0"/>
                <w:color w:val="000000" w:themeColor="text1"/>
                <w:szCs w:val="21"/>
                <w:highlight w:val="none"/>
                <w14:textFill>
                  <w14:solidFill>
                    <w14:schemeClr w14:val="tx1"/>
                  </w14:solidFill>
                </w14:textFill>
              </w:rPr>
              <w:t>服务水平协议保障</w:t>
            </w:r>
          </w:p>
          <w:p>
            <w:pPr>
              <w:numPr>
                <w:ilvl w:val="255"/>
                <w:numId w:val="0"/>
              </w:num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hint="eastAsia" w:ascii="宋体" w:hAnsi="宋体"/>
                <w:b w:val="0"/>
                <w:bCs w:val="0"/>
                <w:color w:val="000000" w:themeColor="text1"/>
                <w:szCs w:val="21"/>
                <w:highlight w:val="none"/>
                <w14:textFill>
                  <w14:solidFill>
                    <w14:schemeClr w14:val="tx1"/>
                  </w14:solidFill>
                </w14:textFill>
              </w:rPr>
              <w:t>技术支持团队与相应机制</w:t>
            </w:r>
          </w:p>
          <w:p>
            <w:pPr>
              <w:numPr>
                <w:ilvl w:val="255"/>
                <w:numId w:val="0"/>
              </w:num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hint="eastAsia" w:ascii="宋体" w:hAnsi="宋体"/>
                <w:b w:val="0"/>
                <w:bCs w:val="0"/>
                <w:color w:val="000000" w:themeColor="text1"/>
                <w:szCs w:val="21"/>
                <w:highlight w:val="none"/>
                <w14:textFill>
                  <w14:solidFill>
                    <w14:schemeClr w14:val="tx1"/>
                  </w14:solidFill>
                </w14:textFill>
              </w:rPr>
              <w:t>流量管理与优化</w:t>
            </w:r>
          </w:p>
          <w:p>
            <w:pPr>
              <w:widowControl/>
              <w:numPr>
                <w:ilvl w:val="255"/>
                <w:numId w:val="0"/>
              </w:numPr>
              <w:spacing w:line="312" w:lineRule="auto"/>
              <w:ind w:left="0" w:firstLine="0"/>
              <w:rPr>
                <w:b/>
                <w:bCs/>
                <w:color w:val="000000" w:themeColor="text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hint="eastAsia"/>
                <w:b w:val="0"/>
                <w:bCs w:val="0"/>
                <w:color w:val="000000" w:themeColor="text1"/>
                <w:highlight w:val="none"/>
                <w14:textFill>
                  <w14:solidFill>
                    <w14:schemeClr w14:val="tx1"/>
                  </w14:solidFill>
                </w14:textFill>
              </w:rPr>
              <w:t>服务质量监督与反馈</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考察投标人以上内容，满足任意</w:t>
            </w: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点得</w:t>
            </w:r>
            <w:r>
              <w:rPr>
                <w:rFonts w:hint="eastAsia" w:ascii="宋体" w:hAnsi="宋体"/>
                <w:color w:val="000000" w:themeColor="text1"/>
                <w:szCs w:val="21"/>
                <w:highlight w:val="none"/>
                <w:lang w:val="en-US" w:eastAsia="zh-CN"/>
                <w14:textFill>
                  <w14:solidFill>
                    <w14:schemeClr w14:val="tx1"/>
                  </w14:solidFill>
                </w14:textFill>
              </w:rPr>
              <w:t>15</w:t>
            </w:r>
            <w:r>
              <w:rPr>
                <w:rFonts w:hint="eastAsia" w:ascii="宋体" w:hAnsi="宋体"/>
                <w:color w:val="000000" w:themeColor="text1"/>
                <w:szCs w:val="21"/>
                <w:highlight w:val="none"/>
                <w14:textFill>
                  <w14:solidFill>
                    <w14:schemeClr w14:val="tx1"/>
                  </w14:solidFill>
                </w14:textFill>
              </w:rPr>
              <w:t>分，最高得6</w:t>
            </w:r>
            <w:r>
              <w:rPr>
                <w:rFonts w:ascii="宋体" w:hAnsi="宋体"/>
                <w:color w:val="000000" w:themeColor="text1"/>
                <w:szCs w:val="21"/>
                <w:highlight w:val="none"/>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分。其他情况不得分。在此基础上：</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评审为</w:t>
            </w:r>
            <w:r>
              <w:rPr>
                <w:rFonts w:hint="eastAsia" w:ascii="宋体" w:hAnsi="宋体"/>
                <w:color w:val="000000" w:themeColor="text1"/>
                <w:szCs w:val="21"/>
                <w:highlight w:val="none"/>
                <w14:textFill>
                  <w14:solidFill>
                    <w14:schemeClr w14:val="tx1"/>
                  </w14:solidFill>
                </w14:textFill>
              </w:rPr>
              <w:t>优（质量保障措施及方案思路清晰明确，方案合理可行，满足服务要求，针对性强的），加40分；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2.评审为良（质量保障措施及方案总体思路比较清晰，方案比较合理可行，可以满足服务要求的），加30分；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3.评价为中（质量保障措施及方案思路基本清晰，方案基本合理可行，基本可以满足服务要求的），加20分；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4.评价为差（质量保障措施及方案思路不清晰，方案不完整，不能满足服务需要的），不加分。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项目完成（服务期满）后的服务承诺</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color w:val="000000" w:themeColor="text1"/>
                <w:highlight w:val="none"/>
                <w14:textFill>
                  <w14:solidFill>
                    <w14:schemeClr w14:val="tx1"/>
                  </w14:solidFill>
                </w14:textFill>
              </w:rPr>
            </w:pPr>
            <w:bookmarkStart w:id="1" w:name="OLE_LINK10"/>
            <w:r>
              <w:rPr>
                <w:rFonts w:hint="eastAsia" w:ascii="宋体" w:hAnsi="宋体"/>
                <w:color w:val="000000" w:themeColor="text1"/>
                <w:szCs w:val="21"/>
                <w:highlight w:val="none"/>
                <w14:textFill>
                  <w14:solidFill>
                    <w14:schemeClr w14:val="tx1"/>
                  </w14:solidFill>
                </w14:textFill>
              </w:rPr>
              <w:t>（一）评分内容：</w:t>
            </w:r>
          </w:p>
          <w:p>
            <w:pPr>
              <w:pStyle w:val="2"/>
              <w:spacing w:line="312" w:lineRule="auto"/>
              <w:rPr>
                <w:rFonts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投标人提供项目完成（服务期满）后的服务承诺函（格式自拟），符合以下要求：</w:t>
            </w:r>
          </w:p>
          <w:p>
            <w:pPr>
              <w:pStyle w:val="2"/>
              <w:spacing w:line="312" w:lineRule="auto"/>
              <w:rPr>
                <w:rFonts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1</w:t>
            </w:r>
            <w:r>
              <w:rPr>
                <w:rFonts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14:textFill>
                  <w14:solidFill>
                    <w14:schemeClr w14:val="tx1"/>
                  </w14:solidFill>
                </w14:textFill>
              </w:rPr>
              <w:t>若延续服务采购人继续向投标人购买，投标人愿意继续以同样的服务标准及收费承接；</w:t>
            </w:r>
          </w:p>
          <w:p>
            <w:pPr>
              <w:pStyle w:val="2"/>
              <w:spacing w:line="312" w:lineRule="auto"/>
              <w:rPr>
                <w:rFonts w:ascii="宋体" w:hAnsi="宋体"/>
                <w:b w:val="0"/>
                <w:bCs w:val="0"/>
                <w:color w:val="000000" w:themeColor="text1"/>
                <w:sz w:val="21"/>
                <w:szCs w:val="21"/>
                <w:highlight w:val="none"/>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2</w:t>
            </w:r>
            <w:r>
              <w:rPr>
                <w:rFonts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14:textFill>
                  <w14:solidFill>
                    <w14:schemeClr w14:val="tx1"/>
                  </w14:solidFill>
                </w14:textFill>
              </w:rPr>
              <w:t>若项目不再延续或采购人购买其他供应商服务，投标人愿意配合完成服务交接工作。</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提供符合对应评分内容的承诺函（格式自拟）得1</w:t>
            </w:r>
            <w:r>
              <w:rPr>
                <w:rFonts w:ascii="宋体" w:hAnsi="宋体"/>
                <w:color w:val="000000" w:themeColor="text1"/>
                <w:szCs w:val="21"/>
                <w:highlight w:val="none"/>
                <w14:textFill>
                  <w14:solidFill>
                    <w14:schemeClr w14:val="tx1"/>
                  </w14:solidFill>
                </w14:textFill>
              </w:rPr>
              <w:t>00</w:t>
            </w:r>
            <w:r>
              <w:rPr>
                <w:rFonts w:hint="eastAsia" w:ascii="宋体" w:hAnsi="宋体"/>
                <w:color w:val="000000" w:themeColor="text1"/>
                <w:szCs w:val="21"/>
                <w:highlight w:val="none"/>
                <w14:textFill>
                  <w14:solidFill>
                    <w14:schemeClr w14:val="tx1"/>
                  </w14:solidFill>
                </w14:textFill>
              </w:rPr>
              <w:t>分，不提供或不符合不得分。</w:t>
            </w:r>
            <w:bookmarkEnd w:id="1"/>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违约承诺</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bookmarkStart w:id="2" w:name="OLE_LINK11"/>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投标人书面承诺：中标后需在合同签订之日起</w:t>
            </w: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个工作日内，按时开展该合同服务，包括I</w:t>
            </w:r>
            <w:r>
              <w:rPr>
                <w:rFonts w:ascii="宋体" w:hAnsi="宋体"/>
                <w:color w:val="000000" w:themeColor="text1"/>
                <w:szCs w:val="21"/>
                <w:highlight w:val="none"/>
                <w14:textFill>
                  <w14:solidFill>
                    <w14:schemeClr w14:val="tx1"/>
                  </w14:solidFill>
                </w14:textFill>
              </w:rPr>
              <w:t>P地址部署</w:t>
            </w:r>
            <w:r>
              <w:rPr>
                <w:rFonts w:hint="eastAsia" w:ascii="宋体" w:hAnsi="宋体"/>
                <w:color w:val="000000" w:themeColor="text1"/>
                <w:szCs w:val="21"/>
                <w:highlight w:val="none"/>
                <w14:textFill>
                  <w14:solidFill>
                    <w14:schemeClr w14:val="tx1"/>
                  </w14:solidFill>
                </w14:textFill>
              </w:rPr>
              <w:t>、带宽</w:t>
            </w:r>
            <w:r>
              <w:rPr>
                <w:rFonts w:ascii="宋体" w:hAnsi="宋体"/>
                <w:color w:val="000000" w:themeColor="text1"/>
                <w:szCs w:val="21"/>
                <w:highlight w:val="none"/>
                <w14:textFill>
                  <w14:solidFill>
                    <w14:schemeClr w14:val="tx1"/>
                  </w14:solidFill>
                </w14:textFill>
              </w:rPr>
              <w:t>开通</w:t>
            </w:r>
            <w:r>
              <w:rPr>
                <w:rFonts w:hint="eastAsia" w:ascii="宋体" w:hAnsi="宋体"/>
                <w:color w:val="000000" w:themeColor="text1"/>
                <w:szCs w:val="21"/>
                <w:highlight w:val="none"/>
                <w14:textFill>
                  <w14:solidFill>
                    <w14:schemeClr w14:val="tx1"/>
                  </w14:solidFill>
                </w14:textFill>
              </w:rPr>
              <w:t>等相关工作。如未能按时开展，将视为根本违约，采购方有权立即解除与其签订的采购合同，并需向采购方支付中标价的</w:t>
            </w: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%的违约金并赔偿其他损失。</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须提供违约承诺函（格式自拟），</w:t>
            </w:r>
            <w:r>
              <w:rPr>
                <w:rFonts w:hint="eastAsia" w:ascii="宋体" w:hAnsi="宋体"/>
                <w:color w:val="000000" w:themeColor="text1"/>
                <w:szCs w:val="21"/>
                <w:highlight w:val="none"/>
                <w:lang w:eastAsia="zh-CN"/>
                <w14:textFill>
                  <w14:solidFill>
                    <w14:schemeClr w14:val="tx1"/>
                  </w14:solidFill>
                </w14:textFill>
              </w:rPr>
              <w:t>承诺函应包含上述内容，</w:t>
            </w:r>
            <w:r>
              <w:rPr>
                <w:rFonts w:hint="eastAsia" w:ascii="宋体" w:hAnsi="宋体"/>
                <w:color w:val="000000" w:themeColor="text1"/>
                <w:szCs w:val="21"/>
                <w:highlight w:val="none"/>
                <w14:textFill>
                  <w14:solidFill>
                    <w14:schemeClr w14:val="tx1"/>
                  </w14:solidFill>
                </w14:textFill>
              </w:rPr>
              <w:t>按要求提供得</w:t>
            </w:r>
            <w:r>
              <w:rPr>
                <w:rFonts w:ascii="宋体" w:hAnsi="宋体"/>
                <w:color w:val="000000" w:themeColor="text1"/>
                <w:szCs w:val="21"/>
                <w:highlight w:val="none"/>
                <w14:textFill>
                  <w14:solidFill>
                    <w14:schemeClr w14:val="tx1"/>
                  </w14:solidFill>
                </w14:textFill>
              </w:rPr>
              <w:t>100</w:t>
            </w:r>
            <w:r>
              <w:rPr>
                <w:rFonts w:hint="eastAsia" w:ascii="宋体" w:hAnsi="宋体"/>
                <w:color w:val="000000" w:themeColor="text1"/>
                <w:szCs w:val="21"/>
                <w:highlight w:val="none"/>
                <w14:textFill>
                  <w14:solidFill>
                    <w14:schemeClr w14:val="tx1"/>
                  </w14:solidFill>
                </w14:textFill>
              </w:rPr>
              <w:t>分。</w:t>
            </w:r>
          </w:p>
          <w:p>
            <w:pPr>
              <w:spacing w:line="312" w:lineRule="auto"/>
              <w:jc w:val="left"/>
              <w:rPr>
                <w:rFonts w:hint="eastAsia" w:ascii="宋体" w:hAnsi="宋体" w:eastAsiaTheme="minorEastAsia"/>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未按要求提供或提供不清晰导致专家无法判断的不得分</w:t>
            </w:r>
            <w:bookmarkEnd w:id="2"/>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拟安排项目负责人情况（仅限1人）</w:t>
            </w:r>
          </w:p>
          <w:p>
            <w:pPr>
              <w:spacing w:line="312" w:lineRule="auto"/>
              <w:jc w:val="left"/>
              <w:rPr>
                <w:rFonts w:ascii="宋体" w:hAnsi="宋体"/>
                <w:color w:val="000000" w:themeColor="text1"/>
                <w:szCs w:val="21"/>
                <w:highlight w:val="none"/>
                <w14:textFill>
                  <w14:solidFill>
                    <w14:schemeClr w14:val="tx1"/>
                  </w14:solidFill>
                </w14:textFill>
              </w:rPr>
            </w:pP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为本项目拟安排项目负责人。要求具有研究生学历和硕士或以上学位，否则不得分。在此基础之上：</w:t>
            </w:r>
            <w:r>
              <w:rPr>
                <w:rFonts w:hint="eastAsia" w:ascii="宋体" w:hAnsi="宋体"/>
                <w:color w:val="000000" w:themeColor="text1"/>
                <w:szCs w:val="21"/>
                <w:highlight w:val="none"/>
                <w14:textFill>
                  <w14:solidFill>
                    <w14:schemeClr w14:val="tx1"/>
                  </w14:solidFill>
                </w14:textFill>
              </w:rPr>
              <w:br w:type="textWrapping"/>
            </w:r>
            <w:r>
              <w:rPr>
                <w:rFonts w:hint="eastAsia" w:ascii="宋体" w:hAnsi="宋体"/>
                <w:color w:val="000000" w:themeColor="text1"/>
                <w:szCs w:val="21"/>
                <w:highlight w:val="none"/>
                <w14:textFill>
                  <w14:solidFill>
                    <w14:schemeClr w14:val="tx1"/>
                  </w14:solidFill>
                </w14:textFill>
              </w:rPr>
              <w:t>1、具有行政机关或事业单位颁发的计算机与软件专业技术资格证书（专业：信息系统项目管理师）得5</w:t>
            </w:r>
            <w:r>
              <w:rPr>
                <w:rFonts w:ascii="宋体" w:hAnsi="宋体"/>
                <w:color w:val="000000" w:themeColor="text1"/>
                <w:szCs w:val="21"/>
                <w:highlight w:val="none"/>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w:t>
            </w:r>
            <w:r>
              <w:rPr>
                <w:rFonts w:hint="eastAsia" w:ascii="宋体" w:hAnsi="宋体"/>
                <w:color w:val="000000" w:themeColor="text1"/>
                <w:szCs w:val="21"/>
                <w:highlight w:val="none"/>
                <w14:textFill>
                  <w14:solidFill>
                    <w14:schemeClr w14:val="tx1"/>
                  </w14:solidFill>
                </w14:textFill>
              </w:rPr>
              <w:br w:type="textWrapping"/>
            </w:r>
            <w:r>
              <w:rPr>
                <w:rFonts w:hint="eastAsia" w:ascii="宋体" w:hAnsi="宋体"/>
                <w:color w:val="000000" w:themeColor="text1"/>
                <w:szCs w:val="21"/>
                <w:highlight w:val="none"/>
                <w14:textFill>
                  <w14:solidFill>
                    <w14:schemeClr w14:val="tx1"/>
                  </w14:solidFill>
                </w14:textFill>
              </w:rPr>
              <w:t>2、具有行政机关或事业单位颁发的ITSS IT服务项目经理认证证书得3</w:t>
            </w:r>
            <w:r>
              <w:rPr>
                <w:rFonts w:ascii="宋体" w:hAnsi="宋体"/>
                <w:color w:val="000000" w:themeColor="text1"/>
                <w:szCs w:val="21"/>
                <w:highlight w:val="none"/>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 xml:space="preserve">分； </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hint="eastAsia" w:ascii="宋体" w:hAnsi="宋体" w:cs="宋体"/>
                <w:color w:val="000000" w:themeColor="text1"/>
                <w:kern w:val="0"/>
                <w:szCs w:val="21"/>
                <w:highlight w:val="none"/>
                <w14:textFill>
                  <w14:solidFill>
                    <w14:schemeClr w14:val="tx1"/>
                  </w14:solidFill>
                </w14:textFill>
              </w:rPr>
              <w:t>具有项目管理专业人士资格认证</w:t>
            </w:r>
            <w:r>
              <w:rPr>
                <w:rFonts w:ascii="宋体" w:hAnsi="宋体" w:cs="宋体"/>
                <w:color w:val="000000" w:themeColor="text1"/>
                <w:kern w:val="0"/>
                <w:szCs w:val="21"/>
                <w:highlight w:val="none"/>
                <w14:textFill>
                  <w14:solidFill>
                    <w14:schemeClr w14:val="tx1"/>
                  </w14:solidFill>
                </w14:textFill>
              </w:rPr>
              <w:t>（PMP）证书</w:t>
            </w:r>
            <w:r>
              <w:rPr>
                <w:rFonts w:hint="eastAsia" w:ascii="宋体" w:hAnsi="宋体" w:cs="宋体"/>
                <w:color w:val="000000" w:themeColor="text1"/>
                <w:kern w:val="0"/>
                <w:szCs w:val="21"/>
                <w:highlight w:val="none"/>
                <w14:textFill>
                  <w14:solidFill>
                    <w14:schemeClr w14:val="tx1"/>
                  </w14:solidFill>
                </w14:textFill>
              </w:rPr>
              <w:t>得2</w:t>
            </w:r>
            <w:r>
              <w:rPr>
                <w:rFonts w:ascii="宋体" w:hAnsi="宋体" w:cs="宋体"/>
                <w:color w:val="000000" w:themeColor="text1"/>
                <w:kern w:val="0"/>
                <w:szCs w:val="21"/>
                <w:highlight w:val="none"/>
                <w14:textFill>
                  <w14:solidFill>
                    <w14:schemeClr w14:val="tx1"/>
                  </w14:solidFill>
                </w14:textFill>
              </w:rPr>
              <w:t>0</w:t>
            </w:r>
            <w:r>
              <w:rPr>
                <w:rFonts w:hint="eastAsia" w:ascii="宋体" w:hAnsi="宋体" w:cs="宋体"/>
                <w:color w:val="000000" w:themeColor="text1"/>
                <w:kern w:val="0"/>
                <w:szCs w:val="21"/>
                <w:highlight w:val="none"/>
                <w14:textFill>
                  <w14:solidFill>
                    <w14:schemeClr w14:val="tx1"/>
                  </w14:solidFill>
                </w14:textFill>
              </w:rPr>
              <w:t>分。</w:t>
            </w:r>
            <w:r>
              <w:rPr>
                <w:rFonts w:hint="eastAsia" w:ascii="宋体" w:hAnsi="宋体"/>
                <w:color w:val="000000" w:themeColor="text1"/>
                <w:szCs w:val="21"/>
                <w:highlight w:val="none"/>
                <w14:textFill>
                  <w14:solidFill>
                    <w14:schemeClr w14:val="tx1"/>
                  </w14:solidFill>
                </w14:textFill>
              </w:rPr>
              <w:br w:type="textWrapping"/>
            </w: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项目负责人必须为投标人自有员工，提供开标日前由投标人为其缴交的载有社保部门公章的近三个月（</w:t>
            </w:r>
            <w:r>
              <w:rPr>
                <w:rFonts w:ascii="宋体" w:hAnsi="宋体"/>
                <w:color w:val="000000" w:themeColor="text1"/>
                <w:szCs w:val="21"/>
                <w:highlight w:val="none"/>
                <w14:textFill>
                  <w14:solidFill>
                    <w14:schemeClr w14:val="tx1"/>
                  </w14:solidFill>
                </w14:textFill>
              </w:rPr>
              <w:t>2024</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14:textFill>
                  <w14:solidFill>
                    <w14:schemeClr w14:val="tx1"/>
                  </w14:solidFill>
                </w14:textFill>
              </w:rPr>
              <w:t>12</w:t>
            </w:r>
            <w:r>
              <w:rPr>
                <w:rFonts w:hint="eastAsia" w:ascii="宋体" w:hAnsi="宋体"/>
                <w:color w:val="000000" w:themeColor="text1"/>
                <w:szCs w:val="21"/>
                <w:highlight w:val="none"/>
                <w14:textFill>
                  <w14:solidFill>
                    <w14:schemeClr w14:val="tx1"/>
                  </w14:solidFill>
                </w14:textFill>
              </w:rPr>
              <w:t xml:space="preserve"> 月至2</w:t>
            </w:r>
            <w:r>
              <w:rPr>
                <w:rFonts w:ascii="宋体" w:hAnsi="宋体"/>
                <w:color w:val="000000" w:themeColor="text1"/>
                <w:szCs w:val="21"/>
                <w:highlight w:val="none"/>
                <w14:textFill>
                  <w14:solidFill>
                    <w14:schemeClr w14:val="tx1"/>
                  </w14:solidFill>
                </w14:textFill>
              </w:rPr>
              <w:t>025</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月）社保缴交证明材料（已退休返聘人员需提供聘用合同），如开标日上一个月的社保材料因社保部门原因暂时无法取得，则可以往前顺延一个月；社保资料必须至少显示缴交养老保险信息，未显示该信息的该社保资料则不符合要求，原件备查。</w:t>
            </w:r>
          </w:p>
          <w:p>
            <w:pPr>
              <w:spacing w:line="312" w:lineRule="auto"/>
              <w:jc w:val="left"/>
              <w:rPr>
                <w:rFonts w:hint="eastAsia" w:ascii="宋体" w:hAnsi="宋体" w:cstheme="minorBidi"/>
                <w:color w:val="000000" w:themeColor="text1"/>
                <w:kern w:val="2"/>
                <w:sz w:val="21"/>
                <w:szCs w:val="21"/>
                <w:highlight w:val="none"/>
                <w14:textFill>
                  <w14:solidFill>
                    <w14:schemeClr w14:val="tx1"/>
                  </w14:solidFill>
                </w14:textFill>
              </w:rPr>
            </w:pPr>
            <w:r>
              <w:rPr>
                <w:rFonts w:hint="eastAsia" w:ascii="宋体" w:hAnsi="宋体" w:cstheme="minorBidi"/>
                <w:color w:val="000000" w:themeColor="text1"/>
                <w:kern w:val="2"/>
                <w:sz w:val="21"/>
                <w:szCs w:val="21"/>
                <w:highlight w:val="none"/>
                <w14:textFill>
                  <w14:solidFill>
                    <w14:schemeClr w14:val="tx1"/>
                  </w14:solidFill>
                </w14:textFill>
              </w:rPr>
              <w:t>2.要求提供项目负责人相关证件或证书扫描件作为得分依据。</w:t>
            </w:r>
            <w:r>
              <w:rPr>
                <w:rFonts w:hint="eastAsia" w:ascii="宋体" w:hAnsi="宋体" w:cstheme="minorBidi"/>
                <w:color w:val="000000" w:themeColor="text1"/>
                <w:kern w:val="2"/>
                <w:sz w:val="21"/>
                <w:szCs w:val="21"/>
                <w:highlight w:val="none"/>
                <w:lang w:eastAsia="zh-CN"/>
                <w14:textFill>
                  <w14:solidFill>
                    <w14:schemeClr w14:val="tx1"/>
                  </w14:solidFill>
                </w14:textFill>
              </w:rPr>
              <w:t>其中</w:t>
            </w:r>
            <w:r>
              <w:rPr>
                <w:rFonts w:hint="eastAsia" w:ascii="宋体" w:hAnsi="宋体" w:cstheme="minorBidi"/>
                <w:color w:val="000000" w:themeColor="text1"/>
                <w:kern w:val="2"/>
                <w:sz w:val="21"/>
                <w:szCs w:val="21"/>
                <w:highlight w:val="none"/>
                <w14:textFill>
                  <w14:solidFill>
                    <w14:schemeClr w14:val="tx1"/>
                  </w14:solidFill>
                </w14:textFill>
              </w:rPr>
              <w:t>涉及学历或学位的，要求提供学历（学位）证书及学信网查询记录或学历（学位）认证报告。对于较早颁发的学历（学位）证书，学信网无法查询的，要求提供证书扫描件和其他佐证材料（如毕业院校、人社部门等颁发机构或监管机构等单位出具的证明）作为得分的依据。海外留学（含港澳台）人员无法通过学信网站查询，应当提供“教育部留学服务中心出具的国外学历认证证书以及教育部留学服务中心官网查询截图”作为得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未按要求提供或提供不清晰导致专家无法判断的不得分。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拟安排的项目团队成员（项目负责人除外）情况</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团队成员总人数要求至少</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人，满足人数要求的，得4</w:t>
            </w:r>
            <w:r>
              <w:rPr>
                <w:rFonts w:ascii="宋体" w:hAnsi="宋体"/>
                <w:color w:val="000000" w:themeColor="text1"/>
                <w:szCs w:val="21"/>
                <w:highlight w:val="none"/>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分。未达到人数要求的，不得分。在此基础之上</w:t>
            </w:r>
          </w:p>
          <w:p>
            <w:pPr>
              <w:widowControl/>
              <w:spacing w:line="312"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每提供1人具有HCIE、H3CIE、ZCIE认证证书之一的</w:t>
            </w:r>
            <w:r>
              <w:rPr>
                <w:rFonts w:hint="eastAsia" w:ascii="宋体" w:hAnsi="宋体"/>
                <w:color w:val="000000" w:themeColor="text1"/>
                <w:szCs w:val="21"/>
                <w:highlight w:val="none"/>
                <w:lang w:eastAsia="zh-CN"/>
                <w14:textFill>
                  <w14:solidFill>
                    <w14:schemeClr w14:val="tx1"/>
                  </w14:solidFill>
                </w14:textFill>
              </w:rPr>
              <w:t>，得</w:t>
            </w:r>
            <w:r>
              <w:rPr>
                <w:rFonts w:hint="eastAsia" w:ascii="宋体" w:hAnsi="宋体"/>
                <w:color w:val="000000" w:themeColor="text1"/>
                <w:szCs w:val="21"/>
                <w:highlight w:val="none"/>
                <w:lang w:val="en-US" w:eastAsia="zh-CN"/>
                <w14:textFill>
                  <w14:solidFill>
                    <w14:schemeClr w14:val="tx1"/>
                  </w14:solidFill>
                </w14:textFill>
              </w:rPr>
              <w:t>20分，最高得40分。</w:t>
            </w:r>
          </w:p>
          <w:p>
            <w:pPr>
              <w:widowControl/>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每提供1人具有人行政机关或事业单位颁发的</w:t>
            </w:r>
            <w:r>
              <w:rPr>
                <w:rFonts w:hint="eastAsia" w:ascii="宋体" w:hAnsi="宋体" w:eastAsiaTheme="minorEastAsia" w:cstheme="minorBidi"/>
                <w:color w:val="000000" w:themeColor="text1"/>
                <w:sz w:val="21"/>
                <w:szCs w:val="21"/>
                <w:highlight w:val="none"/>
                <w:shd w:val="clear"/>
                <w14:textFill>
                  <w14:solidFill>
                    <w14:schemeClr w14:val="tx1"/>
                  </w14:solidFill>
                </w14:textFill>
              </w:rPr>
              <w:t>计算机与软件专业技术资格证书（专业：网络规划设计师证书）</w:t>
            </w:r>
            <w:r>
              <w:rPr>
                <w:rFonts w:hint="eastAsia" w:ascii="宋体" w:hAnsi="宋体"/>
                <w:color w:val="000000" w:themeColor="text1"/>
                <w:szCs w:val="21"/>
                <w:highlight w:val="none"/>
                <w14:textFill>
                  <w14:solidFill>
                    <w14:schemeClr w14:val="tx1"/>
                  </w14:solidFill>
                </w14:textFill>
              </w:rPr>
              <w:t>或通信专业技术人员职业资格证书（要求级别为中级或以上）的，得</w:t>
            </w:r>
            <w:r>
              <w:rPr>
                <w:rFonts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14:textFill>
                  <w14:solidFill>
                    <w14:schemeClr w14:val="tx1"/>
                  </w14:solidFill>
                </w14:textFill>
              </w:rPr>
              <w:t>分</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最高得20分。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1.项目团队成员必须为投标人自有员工，提供相关人员证书扫描件及开标日前由投标人为其缴交的载有社保部门公章的近三个月（</w:t>
            </w:r>
            <w:r>
              <w:rPr>
                <w:rFonts w:ascii="宋体" w:hAnsi="宋体"/>
                <w:color w:val="000000" w:themeColor="text1"/>
                <w:szCs w:val="21"/>
                <w:highlight w:val="none"/>
                <w14:textFill>
                  <w14:solidFill>
                    <w14:schemeClr w14:val="tx1"/>
                  </w14:solidFill>
                </w14:textFill>
              </w:rPr>
              <w:t>2024</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14:textFill>
                  <w14:solidFill>
                    <w14:schemeClr w14:val="tx1"/>
                  </w14:solidFill>
                </w14:textFill>
              </w:rPr>
              <w:t>12</w:t>
            </w:r>
            <w:r>
              <w:rPr>
                <w:rFonts w:hint="eastAsia" w:ascii="宋体" w:hAnsi="宋体"/>
                <w:color w:val="000000" w:themeColor="text1"/>
                <w:szCs w:val="21"/>
                <w:highlight w:val="none"/>
                <w14:textFill>
                  <w14:solidFill>
                    <w14:schemeClr w14:val="tx1"/>
                  </w14:solidFill>
                </w14:textFill>
              </w:rPr>
              <w:t>月至2</w:t>
            </w:r>
            <w:r>
              <w:rPr>
                <w:rFonts w:ascii="宋体" w:hAnsi="宋体"/>
                <w:color w:val="000000" w:themeColor="text1"/>
                <w:szCs w:val="21"/>
                <w:highlight w:val="none"/>
                <w14:textFill>
                  <w14:solidFill>
                    <w14:schemeClr w14:val="tx1"/>
                  </w14:solidFill>
                </w14:textFill>
              </w:rPr>
              <w:t>025</w:t>
            </w:r>
            <w:r>
              <w:rPr>
                <w:rFonts w:hint="eastAsia" w:ascii="宋体" w:hAnsi="宋体"/>
                <w:color w:val="000000" w:themeColor="text1"/>
                <w:szCs w:val="21"/>
                <w:highlight w:val="none"/>
                <w14:textFill>
                  <w14:solidFill>
                    <w14:schemeClr w14:val="tx1"/>
                  </w14:solidFill>
                </w14:textFill>
              </w:rPr>
              <w:t>年</w:t>
            </w: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月）社保缴交证明材料（已退休返聘人员需提供聘用合同），如开标日上一个月的社保材料因社保部门原因暂时无法取得，则可以往前顺延一个月；社保资料必须至少显示缴交养老保险信息，未显示该信息的该社保资料则不符合要求，原件备查。</w:t>
            </w:r>
          </w:p>
          <w:p>
            <w:pPr>
              <w:pStyle w:val="12"/>
              <w:spacing w:line="312" w:lineRule="auto"/>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2.要求提供</w:t>
            </w:r>
            <w:r>
              <w:rPr>
                <w:rFonts w:hint="eastAsia" w:hAnsi="宋体"/>
                <w:color w:val="000000" w:themeColor="text1"/>
                <w:szCs w:val="21"/>
                <w:highlight w:val="none"/>
                <w14:textFill>
                  <w14:solidFill>
                    <w14:schemeClr w14:val="tx1"/>
                  </w14:solidFill>
                </w14:textFill>
              </w:rPr>
              <w:t>项目团队成员</w:t>
            </w:r>
            <w:r>
              <w:rPr>
                <w:rFonts w:hAnsi="宋体"/>
                <w:color w:val="000000" w:themeColor="text1"/>
                <w:szCs w:val="21"/>
                <w:highlight w:val="none"/>
                <w14:textFill>
                  <w14:solidFill>
                    <w14:schemeClr w14:val="tx1"/>
                  </w14:solidFill>
                </w14:textFill>
              </w:rPr>
              <w:t>相关</w:t>
            </w:r>
            <w:r>
              <w:rPr>
                <w:rFonts w:hint="eastAsia" w:hAnsi="宋体"/>
                <w:color w:val="000000" w:themeColor="text1"/>
                <w:szCs w:val="21"/>
                <w:highlight w:val="none"/>
                <w14:textFill>
                  <w14:solidFill>
                    <w14:schemeClr w14:val="tx1"/>
                  </w14:solidFill>
                </w14:textFill>
              </w:rPr>
              <w:t>证件或证书扫描件</w:t>
            </w:r>
            <w:r>
              <w:rPr>
                <w:rFonts w:hAnsi="宋体"/>
                <w:color w:val="000000" w:themeColor="text1"/>
                <w:szCs w:val="21"/>
                <w:highlight w:val="none"/>
                <w14:textFill>
                  <w14:solidFill>
                    <w14:schemeClr w14:val="tx1"/>
                  </w14:solidFill>
                </w14:textFill>
              </w:rPr>
              <w:t>作为得分依据。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未按要求提供或提供不清晰导致专家无法判断的不得分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restart"/>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p>
        </w:tc>
        <w:tc>
          <w:tcPr>
            <w:tcW w:w="4196" w:type="dxa"/>
            <w:gridSpan w:val="3"/>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商务部分</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8392" w:type="dxa"/>
            <w:gridSpan w:val="4"/>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序号</w:t>
            </w:r>
          </w:p>
        </w:tc>
        <w:tc>
          <w:tcPr>
            <w:tcW w:w="2835" w:type="dxa"/>
            <w:tcBorders>
              <w:top w:val="outset" w:color="000000" w:sz="6" w:space="0"/>
              <w:left w:val="outset" w:color="000000" w:sz="6" w:space="0"/>
              <w:bottom w:val="outset" w:color="000000" w:sz="6" w:space="0"/>
              <w:right w:val="outset" w:color="000000" w:sz="6"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评分因素</w:t>
            </w:r>
          </w:p>
        </w:tc>
        <w:tc>
          <w:tcPr>
            <w:tcW w:w="681" w:type="dxa"/>
            <w:tcBorders>
              <w:top w:val="outset" w:color="000000" w:sz="6" w:space="0"/>
              <w:left w:val="outset" w:color="000000" w:sz="6" w:space="0"/>
              <w:bottom w:val="outset" w:color="000000" w:sz="6" w:space="0"/>
              <w:right w:val="outset" w:color="000000" w:sz="6"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权重(%)</w:t>
            </w:r>
          </w:p>
        </w:tc>
        <w:tc>
          <w:tcPr>
            <w:tcW w:w="4196" w:type="dxa"/>
            <w:tcBorders>
              <w:top w:val="outset" w:color="000000" w:sz="6" w:space="0"/>
              <w:left w:val="outset" w:color="000000" w:sz="6" w:space="0"/>
              <w:bottom w:val="outset" w:color="000000" w:sz="6" w:space="0"/>
              <w:right w:val="outset" w:color="000000" w:sz="6" w:space="0"/>
            </w:tcBorders>
            <w:shd w:val="clear" w:color="auto" w:fill="E6EFFA"/>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投标人通过相关认证情况</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bookmarkStart w:id="3" w:name="OLE_LINK1"/>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投标人通过认证情况（有效期内的）:</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1.具有中国职业健康安全管理体系认证认证证书得</w:t>
            </w:r>
            <w:r>
              <w:rPr>
                <w:rFonts w:ascii="宋体" w:hAnsi="宋体"/>
                <w:color w:val="000000" w:themeColor="text1"/>
                <w:szCs w:val="21"/>
                <w:highlight w:val="none"/>
                <w14:textFill>
                  <w14:solidFill>
                    <w14:schemeClr w14:val="tx1"/>
                  </w14:solidFill>
                </w14:textFill>
              </w:rPr>
              <w:t>30</w:t>
            </w:r>
            <w:r>
              <w:rPr>
                <w:rFonts w:hint="eastAsia" w:ascii="宋体" w:hAnsi="宋体"/>
                <w:color w:val="000000" w:themeColor="text1"/>
                <w:szCs w:val="21"/>
                <w:highlight w:val="none"/>
                <w14:textFill>
                  <w14:solidFill>
                    <w14:schemeClr w14:val="tx1"/>
                  </w14:solidFill>
                </w14:textFill>
              </w:rPr>
              <w:t xml:space="preserve">分；    </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2.具有质量管理体系认证证书的，得4</w:t>
            </w:r>
            <w:r>
              <w:rPr>
                <w:rFonts w:ascii="宋体" w:hAnsi="宋体"/>
                <w:color w:val="000000" w:themeColor="text1"/>
                <w:szCs w:val="21"/>
                <w:highlight w:val="none"/>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w:t>
            </w:r>
          </w:p>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.具有环境管理体系认证证书的，得3</w:t>
            </w:r>
            <w:r>
              <w:rPr>
                <w:rFonts w:ascii="宋体" w:hAnsi="宋体"/>
                <w:color w:val="000000" w:themeColor="text1"/>
                <w:szCs w:val="21"/>
                <w:highlight w:val="none"/>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提供有效期内的相关认证证书及全国认证认可信息公共服务平台（http://cx.cnca.cn）认证信息查询截图（截图需显示证书状态为有效）。原件备查。未提供证明材料或者提供的证明材料不符合要求或提供的证明材料不清晰评审专家无法辨认的，不得分。</w:t>
            </w:r>
            <w:bookmarkEnd w:id="3"/>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bookmarkStart w:id="4" w:name="OLE_LINK2"/>
            <w:r>
              <w:rPr>
                <w:rFonts w:hint="eastAsia" w:ascii="宋体" w:hAnsi="宋体"/>
                <w:color w:val="000000" w:themeColor="text1"/>
                <w:szCs w:val="21"/>
                <w:highlight w:val="none"/>
                <w14:textFill>
                  <w14:solidFill>
                    <w14:schemeClr w14:val="tx1"/>
                  </w14:solidFill>
                </w14:textFill>
              </w:rPr>
              <w:t>项目拟使用的车辆（场地、工具、机器）情况</w:t>
            </w:r>
            <w:bookmarkEnd w:id="4"/>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供应商承诺为开展本项目配备服务车辆最少1辆、网络测试仪器最少2套的，得</w:t>
            </w:r>
            <w:r>
              <w:rPr>
                <w:rFonts w:ascii="宋体" w:hAnsi="宋体"/>
                <w:color w:val="000000" w:themeColor="text1"/>
                <w:szCs w:val="21"/>
                <w:highlight w:val="none"/>
                <w14:textFill>
                  <w14:solidFill>
                    <w14:schemeClr w14:val="tx1"/>
                  </w14:solidFill>
                </w14:textFill>
              </w:rPr>
              <w:t>100</w:t>
            </w:r>
            <w:r>
              <w:rPr>
                <w:rFonts w:hint="eastAsia" w:ascii="宋体" w:hAnsi="宋体"/>
                <w:color w:val="000000" w:themeColor="text1"/>
                <w:szCs w:val="21"/>
                <w:highlight w:val="none"/>
                <w14:textFill>
                  <w14:solidFill>
                    <w14:schemeClr w14:val="tx1"/>
                  </w14:solidFill>
                </w14:textFill>
              </w:rPr>
              <w:t>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承诺函格式自拟，需至少包含以上内容。 </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未按要求提供或提供不清晰导致专家无法判断的不得分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服务网点</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bookmarkStart w:id="5" w:name="OLE_LINK3"/>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1.投标人在深圳市有固定服务网点（即投标人注册地在深圳市范围内或投标人设有能提供本项目售后服务分公司等合法注册的分支机构）或投标人承诺中选后30日内在深圳市范围内设定固定服务网点的得 </w:t>
            </w:r>
            <w:r>
              <w:rPr>
                <w:rFonts w:ascii="宋体" w:hAnsi="宋体"/>
                <w:color w:val="000000" w:themeColor="text1"/>
                <w:szCs w:val="21"/>
                <w:highlight w:val="none"/>
                <w14:textFill>
                  <w14:solidFill>
                    <w14:schemeClr w14:val="tx1"/>
                  </w14:solidFill>
                </w14:textFill>
              </w:rPr>
              <w:t>100</w:t>
            </w:r>
            <w:r>
              <w:rPr>
                <w:rFonts w:hint="eastAsia" w:ascii="宋体" w:hAnsi="宋体"/>
                <w:color w:val="000000" w:themeColor="text1"/>
                <w:szCs w:val="21"/>
                <w:highlight w:val="none"/>
                <w14:textFill>
                  <w14:solidFill>
                    <w14:schemeClr w14:val="tx1"/>
                  </w14:solidFill>
                </w14:textFill>
              </w:rPr>
              <w:t>分,其他不得分。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 </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提供营业执照或承诺函（承诺函格式自拟），未提供或不清晰无法判断的不得分。</w:t>
            </w:r>
            <w:bookmarkEnd w:id="5"/>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highlight w:val="none"/>
                <w:lang w:bidi="ar"/>
                <w14:textFill>
                  <w14:solidFill>
                    <w14:schemeClr w14:val="tx1"/>
                  </w14:solidFill>
                </w14:textFill>
              </w:rPr>
              <w:t>投标人自主知识产权产品（创新、设计）情况</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bookmarkStart w:id="6" w:name="OLE_LINK4"/>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1.具有网络管理系统相关计算机软件著作权登记证书或专利证书的，得20分。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2.具有IPv6网络相关计算机软件著作权登记证书或专利证书，得20分。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3.具有IP地址管理相关计算机软件著作权登记证书或专利证书的，得20分。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4.投标人具有异常行为监测系统相关计算机软件著作权登记证书或专利证书，得20分。</w:t>
            </w:r>
          </w:p>
          <w:p>
            <w:pPr>
              <w:spacing w:line="312"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5.具有网络质量监测相关计算机软件著作权登记证书或专利证书的，得20分。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rPr>
                <w:rFonts w:ascii="宋体" w:hAnsi="宋体" w:cs="宋体"/>
                <w:color w:val="000000" w:themeColor="text1"/>
                <w:sz w:val="22"/>
                <w:highlight w:val="none"/>
                <w14:textFill>
                  <w14:solidFill>
                    <w14:schemeClr w14:val="tx1"/>
                  </w14:solidFill>
                </w14:textFill>
              </w:rPr>
            </w:pPr>
            <w:r>
              <w:rPr>
                <w:rFonts w:hint="eastAsia" w:ascii="宋体" w:hAnsi="宋体" w:eastAsia="宋体" w:cs="宋体"/>
                <w:color w:val="000000" w:themeColor="text1"/>
                <w:sz w:val="22"/>
                <w:highlight w:val="none"/>
                <w14:textFill>
                  <w14:solidFill>
                    <w14:schemeClr w14:val="tx1"/>
                  </w14:solidFill>
                </w14:textFill>
              </w:rPr>
              <w:t xml:space="preserve">1.要求提供有效的计算机软件著作权登记证书或产权（专利）证书等证明材料作为得分依据。著作权人或专利权人需体现投标人（须与分项报价表一致）的单位名称，否则不得分； </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2"/>
                <w:highlight w:val="none"/>
                <w14:textFill>
                  <w14:solidFill>
                    <w14:schemeClr w14:val="tx1"/>
                  </w14:solidFill>
                </w14:textFill>
              </w:rPr>
              <w:t>2.以上资料均要求提供扫描件及官方网站截图。评分中出现无证明资料或专家无法凭所提供资料判断是否得分的情况，一律作不得分处理。</w:t>
            </w:r>
            <w:bookmarkEnd w:id="6"/>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同类项目业绩</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4196"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2022</w:t>
            </w:r>
            <w:r>
              <w:rPr>
                <w:rFonts w:hint="eastAsia" w:ascii="宋体" w:hAnsi="宋体"/>
                <w:color w:val="000000" w:themeColor="text1"/>
                <w:szCs w:val="21"/>
                <w:highlight w:val="none"/>
                <w14:textFill>
                  <w14:solidFill>
                    <w14:schemeClr w14:val="tx1"/>
                  </w14:solidFill>
                </w14:textFill>
              </w:rPr>
              <w:t>年1月1日至本项目响应截止之日，投标人具有带宽接入类项目业绩, 每提供1个得</w:t>
            </w:r>
            <w:r>
              <w:rPr>
                <w:rFonts w:ascii="宋体" w:hAnsi="宋体"/>
                <w:color w:val="000000" w:themeColor="text1"/>
                <w:szCs w:val="21"/>
                <w:highlight w:val="none"/>
                <w14:textFill>
                  <w14:solidFill>
                    <w14:schemeClr w14:val="tx1"/>
                  </w14:solidFill>
                </w14:textFill>
              </w:rPr>
              <w:t>50</w:t>
            </w:r>
            <w:r>
              <w:rPr>
                <w:rFonts w:hint="eastAsia" w:ascii="宋体" w:hAnsi="宋体"/>
                <w:color w:val="000000" w:themeColor="text1"/>
                <w:szCs w:val="21"/>
                <w:highlight w:val="none"/>
                <w14:textFill>
                  <w14:solidFill>
                    <w14:schemeClr w14:val="tx1"/>
                  </w14:solidFill>
                </w14:textFill>
              </w:rPr>
              <w:t>分，满分</w:t>
            </w:r>
            <w:r>
              <w:rPr>
                <w:rFonts w:ascii="宋体" w:hAnsi="宋体"/>
                <w:color w:val="000000" w:themeColor="text1"/>
                <w:szCs w:val="21"/>
                <w:highlight w:val="none"/>
                <w14:textFill>
                  <w14:solidFill>
                    <w14:schemeClr w14:val="tx1"/>
                  </w14:solidFill>
                </w14:textFill>
              </w:rPr>
              <w:t>100</w:t>
            </w:r>
            <w:r>
              <w:rPr>
                <w:rFonts w:hint="eastAsia" w:ascii="宋体" w:hAnsi="宋体"/>
                <w:color w:val="000000" w:themeColor="text1"/>
                <w:szCs w:val="21"/>
                <w:highlight w:val="none"/>
                <w14:textFill>
                  <w14:solidFill>
                    <w14:schemeClr w14:val="tx1"/>
                  </w14:solidFill>
                </w14:textFill>
              </w:rPr>
              <w:t>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提供合同关键页或中选通知书或合同甲方出具的证明文件扫描件，原件备查。</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未按要求提供或提供不清晰导致专家无法判断的不得分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vMerge w:val="continue"/>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履约评价情况</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bookmarkStart w:id="7" w:name="OLE_LINK5"/>
            <w:r>
              <w:rPr>
                <w:rFonts w:hint="eastAsia" w:ascii="宋体" w:hAnsi="宋体"/>
                <w:color w:val="000000" w:themeColor="text1"/>
                <w:szCs w:val="21"/>
                <w:highlight w:val="none"/>
                <w14:textFill>
                  <w14:solidFill>
                    <w14:schemeClr w14:val="tx1"/>
                  </w14:solidFill>
                </w14:textFill>
              </w:rPr>
              <w:t>（一）评分内容：</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响应供应商提供的上述类项目业绩，经服务单位考核评价为优或满意的每提供1项得</w:t>
            </w:r>
            <w:r>
              <w:rPr>
                <w:rFonts w:ascii="宋体" w:hAnsi="宋体"/>
                <w:color w:val="000000" w:themeColor="text1"/>
                <w:szCs w:val="21"/>
                <w:highlight w:val="none"/>
                <w14:textFill>
                  <w14:solidFill>
                    <w14:schemeClr w14:val="tx1"/>
                  </w14:solidFill>
                </w14:textFill>
              </w:rPr>
              <w:t>50</w:t>
            </w:r>
            <w:r>
              <w:rPr>
                <w:rFonts w:hint="eastAsia" w:ascii="宋体" w:hAnsi="宋体"/>
                <w:color w:val="000000" w:themeColor="text1"/>
                <w:szCs w:val="21"/>
                <w:highlight w:val="none"/>
                <w14:textFill>
                  <w14:solidFill>
                    <w14:schemeClr w14:val="tx1"/>
                  </w14:solidFill>
                </w14:textFill>
              </w:rPr>
              <w:t xml:space="preserve">分，本项最高得 </w:t>
            </w:r>
            <w:r>
              <w:rPr>
                <w:rFonts w:ascii="宋体" w:hAnsi="宋体"/>
                <w:color w:val="000000" w:themeColor="text1"/>
                <w:szCs w:val="21"/>
                <w:highlight w:val="none"/>
                <w14:textFill>
                  <w14:solidFill>
                    <w14:schemeClr w14:val="tx1"/>
                  </w14:solidFill>
                </w14:textFill>
              </w:rPr>
              <w:t>100</w:t>
            </w:r>
            <w:r>
              <w:rPr>
                <w:rFonts w:hint="eastAsia" w:ascii="宋体" w:hAnsi="宋体"/>
                <w:color w:val="000000" w:themeColor="text1"/>
                <w:szCs w:val="21"/>
                <w:highlight w:val="none"/>
                <w14:textFill>
                  <w14:solidFill>
                    <w14:schemeClr w14:val="tx1"/>
                  </w14:solidFill>
                </w14:textFill>
              </w:rPr>
              <w:t>分。</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（二）评分依据：</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提供以上项目合同关键页及盖有用户单位公章的履约评价扫描件，原件备查。</w:t>
            </w:r>
          </w:p>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未按要求提供或提供不清晰导致专家无法判断的不得分</w:t>
            </w:r>
            <w:bookmarkEnd w:id="7"/>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tcBorders>
              <w:top w:val="single" w:color="000000" w:sz="8" w:space="0"/>
              <w:left w:val="single" w:color="000000" w:sz="8" w:space="0"/>
              <w:bottom w:val="single" w:color="000000" w:sz="8" w:space="0"/>
              <w:right w:val="single" w:color="000000" w:sz="8" w:space="0"/>
            </w:tcBorders>
            <w:vAlign w:val="center"/>
          </w:tcPr>
          <w:p>
            <w:pPr>
              <w:spacing w:line="312" w:lineRule="auto"/>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w:t>
            </w:r>
          </w:p>
        </w:tc>
        <w:tc>
          <w:tcPr>
            <w:tcW w:w="3515" w:type="dxa"/>
            <w:gridSpan w:val="2"/>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highlight w:val="none"/>
                <w:lang w:bidi="ar"/>
                <w14:textFill>
                  <w14:solidFill>
                    <w14:schemeClr w14:val="tx1"/>
                  </w14:solidFill>
                </w14:textFill>
              </w:rPr>
            </w:pPr>
            <w:r>
              <w:rPr>
                <w:rFonts w:hint="eastAsia" w:ascii="宋体" w:hAnsi="宋体"/>
                <w:color w:val="000000" w:themeColor="text1"/>
                <w:highlight w:val="none"/>
                <w:lang w:bidi="ar"/>
                <w14:textFill>
                  <w14:solidFill>
                    <w14:schemeClr w14:val="tx1"/>
                  </w14:solidFill>
                </w14:textFill>
              </w:rPr>
              <w:t>诚信部分</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4196" w:type="dxa"/>
            <w:tcBorders>
              <w:top w:val="single" w:color="000000" w:sz="8" w:space="0"/>
              <w:left w:val="single" w:color="000000" w:sz="8" w:space="0"/>
              <w:bottom w:val="single" w:color="000000" w:sz="8" w:space="0"/>
              <w:right w:val="single" w:color="000000" w:sz="8" w:space="0"/>
            </w:tcBorders>
          </w:tcPr>
          <w:p>
            <w:pPr>
              <w:spacing w:line="312" w:lineRule="auto"/>
              <w:jc w:val="left"/>
              <w:rPr>
                <w:rFonts w:ascii="宋体" w:hAnsi="宋体"/>
                <w:color w:val="000000" w:themeColor="text1"/>
                <w:szCs w:val="2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tcBorders>
              <w:top w:val="single" w:color="000000" w:sz="8" w:space="0"/>
              <w:left w:val="single" w:color="000000" w:sz="8" w:space="0"/>
              <w:bottom w:val="single" w:color="000000" w:sz="8" w:space="0"/>
              <w:right w:val="single" w:color="000000" w:sz="8" w:space="0"/>
            </w:tcBorders>
            <w:vAlign w:val="center"/>
          </w:tcPr>
          <w:p>
            <w:pPr>
              <w:spacing w:line="312" w:lineRule="auto"/>
              <w:rPr>
                <w:rFonts w:ascii="宋体" w:hAnsi="宋体" w:cs="宋体"/>
                <w:b/>
                <w:bCs/>
                <w:color w:val="000000" w:themeColor="text1"/>
                <w:sz w:val="24"/>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vAlign w:val="center"/>
          </w:tcPr>
          <w:p>
            <w:pPr>
              <w:spacing w:line="312" w:lineRule="auto"/>
              <w:jc w:val="center"/>
              <w:rPr>
                <w:rFonts w:cs="宋体" w:asciiTheme="minorEastAsia" w:hAnsiTheme="minorEastAsia"/>
                <w:color w:val="000000" w:themeColor="text1"/>
                <w:kern w:val="0"/>
                <w:sz w:val="20"/>
                <w:szCs w:val="21"/>
                <w:highlight w:val="none"/>
                <w14:textFill>
                  <w14:solidFill>
                    <w14:schemeClr w14:val="tx1"/>
                  </w14:solidFill>
                </w14:textFill>
              </w:rPr>
            </w:pPr>
            <w:r>
              <w:rPr>
                <w:rFonts w:cs="Times New Roman" w:asciiTheme="minorEastAsia" w:hAnsiTheme="minorEastAsia"/>
                <w:color w:val="000000" w:themeColor="text1"/>
                <w:kern w:val="0"/>
                <w:sz w:val="20"/>
                <w:szCs w:val="21"/>
                <w:highlight w:val="none"/>
                <w14:textFill>
                  <w14:solidFill>
                    <w14:schemeClr w14:val="tx1"/>
                  </w14:solidFill>
                </w14:textFill>
              </w:rPr>
              <w:t>序号</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center"/>
              <w:rPr>
                <w:rFonts w:cs="宋体" w:asciiTheme="minorEastAsia" w:hAnsiTheme="minorEastAsia"/>
                <w:color w:val="000000" w:themeColor="text1"/>
                <w:kern w:val="0"/>
                <w:sz w:val="20"/>
                <w:szCs w:val="21"/>
                <w:highlight w:val="none"/>
                <w14:textFill>
                  <w14:solidFill>
                    <w14:schemeClr w14:val="tx1"/>
                  </w14:solidFill>
                </w14:textFill>
              </w:rPr>
            </w:pPr>
            <w:r>
              <w:rPr>
                <w:rFonts w:hint="eastAsia" w:cs="Times New Roman" w:asciiTheme="minorEastAsia" w:hAnsiTheme="minorEastAsia"/>
                <w:color w:val="000000" w:themeColor="text1"/>
                <w:kern w:val="0"/>
                <w:sz w:val="20"/>
                <w:szCs w:val="21"/>
                <w:highlight w:val="none"/>
                <w14:textFill>
                  <w14:solidFill>
                    <w14:schemeClr w14:val="tx1"/>
                  </w14:solidFill>
                </w14:textFill>
              </w:rPr>
              <w:t>评审因素</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center"/>
              <w:rPr>
                <w:rFonts w:cs="宋体" w:asciiTheme="minorEastAsia" w:hAnsiTheme="minorEastAsia"/>
                <w:color w:val="000000" w:themeColor="text1"/>
                <w:kern w:val="0"/>
                <w:sz w:val="20"/>
                <w:szCs w:val="21"/>
                <w:highlight w:val="none"/>
                <w14:textFill>
                  <w14:solidFill>
                    <w14:schemeClr w14:val="tx1"/>
                  </w14:solidFill>
                </w14:textFill>
              </w:rPr>
            </w:pPr>
            <w:r>
              <w:rPr>
                <w:rFonts w:cs="Times New Roman" w:asciiTheme="minorEastAsia" w:hAnsiTheme="minorEastAsia"/>
                <w:color w:val="000000" w:themeColor="text1"/>
                <w:kern w:val="0"/>
                <w:sz w:val="20"/>
                <w:szCs w:val="21"/>
                <w:highlight w:val="none"/>
                <w14:textFill>
                  <w14:solidFill>
                    <w14:schemeClr w14:val="tx1"/>
                  </w14:solidFill>
                </w14:textFill>
              </w:rPr>
              <w:t>权重(%)</w:t>
            </w:r>
          </w:p>
        </w:tc>
        <w:tc>
          <w:tcPr>
            <w:tcW w:w="4196" w:type="dxa"/>
            <w:tcBorders>
              <w:top w:val="single" w:color="000000" w:sz="8" w:space="0"/>
              <w:left w:val="single" w:color="000000" w:sz="8" w:space="0"/>
              <w:bottom w:val="single" w:color="000000" w:sz="8" w:space="0"/>
              <w:right w:val="single" w:color="000000" w:sz="8" w:space="0"/>
            </w:tcBorders>
            <w:vAlign w:val="center"/>
          </w:tcPr>
          <w:p>
            <w:pPr>
              <w:spacing w:line="312" w:lineRule="auto"/>
              <w:jc w:val="center"/>
              <w:rPr>
                <w:rFonts w:ascii="宋体" w:hAnsi="宋体" w:cs="宋体"/>
                <w:color w:val="000000" w:themeColor="text1"/>
                <w:szCs w:val="21"/>
                <w:highlight w:val="none"/>
                <w14:textFill>
                  <w14:solidFill>
                    <w14:schemeClr w14:val="tx1"/>
                  </w14:solidFill>
                </w14:textFill>
              </w:rPr>
            </w:pPr>
            <w:r>
              <w:rPr>
                <w:rFonts w:cs="Times New Roman" w:asciiTheme="minorEastAsia" w:hAnsiTheme="minorEastAsia"/>
                <w:color w:val="000000" w:themeColor="text1"/>
                <w:kern w:val="0"/>
                <w:sz w:val="20"/>
                <w:szCs w:val="21"/>
                <w:highlight w:val="none"/>
                <w14:textFill>
                  <w14:solidFill>
                    <w14:schemeClr w14:val="tx1"/>
                  </w14:solidFill>
                </w14:textFill>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gridAfter w:val="1"/>
          <w:wAfter w:w="31" w:type="dxa"/>
          <w:tblCellSpacing w:w="0" w:type="dxa"/>
          <w:jc w:val="center"/>
        </w:trPr>
        <w:tc>
          <w:tcPr>
            <w:tcW w:w="680" w:type="dxa"/>
            <w:gridSpan w:val="2"/>
            <w:tcBorders>
              <w:top w:val="single" w:color="000000" w:sz="8" w:space="0"/>
              <w:left w:val="single" w:color="000000" w:sz="8" w:space="0"/>
              <w:bottom w:val="single" w:color="000000" w:sz="8" w:space="0"/>
              <w:right w:val="single" w:color="000000" w:sz="8" w:space="0"/>
            </w:tcBorders>
            <w:vAlign w:val="center"/>
          </w:tcPr>
          <w:p>
            <w:pPr>
              <w:spacing w:line="312" w:lineRule="auto"/>
              <w:rPr>
                <w:rFonts w:ascii="宋体" w:hAnsi="宋体" w:cs="宋体"/>
                <w:b/>
                <w:bCs/>
                <w:color w:val="000000" w:themeColor="text1"/>
                <w:sz w:val="24"/>
                <w:highlight w:val="none"/>
                <w14:textFill>
                  <w14:solidFill>
                    <w14:schemeClr w14:val="tx1"/>
                  </w14:solidFill>
                </w14:textFill>
              </w:rPr>
            </w:pPr>
          </w:p>
        </w:tc>
        <w:tc>
          <w:tcPr>
            <w:tcW w:w="680" w:type="dxa"/>
            <w:tcBorders>
              <w:top w:val="single" w:color="000000" w:sz="8" w:space="0"/>
              <w:left w:val="single" w:color="000000" w:sz="8" w:space="0"/>
              <w:bottom w:val="single" w:color="000000" w:sz="8" w:space="0"/>
              <w:right w:val="single" w:color="000000" w:sz="8" w:space="0"/>
            </w:tcBorders>
            <w:vAlign w:val="center"/>
          </w:tcPr>
          <w:p>
            <w:pPr>
              <w:spacing w:line="312" w:lineRule="auto"/>
              <w:jc w:val="center"/>
              <w:rPr>
                <w:rFonts w:ascii="宋体" w:hAnsi="宋体"/>
                <w:color w:val="000000" w:themeColor="text1"/>
                <w:highlight w:val="none"/>
                <w:lang w:bidi="ar"/>
                <w14:textFill>
                  <w14:solidFill>
                    <w14:schemeClr w14:val="tx1"/>
                  </w14:solidFill>
                </w14:textFill>
              </w:rPr>
            </w:pPr>
            <w:r>
              <w:rPr>
                <w:rFonts w:hint="eastAsia" w:cs="宋体" w:asciiTheme="minorEastAsia" w:hAnsiTheme="minorEastAsia"/>
                <w:color w:val="000000" w:themeColor="text1"/>
                <w:kern w:val="0"/>
                <w:sz w:val="20"/>
                <w:szCs w:val="21"/>
                <w:highlight w:val="none"/>
                <w14:textFill>
                  <w14:solidFill>
                    <w14:schemeClr w14:val="tx1"/>
                  </w14:solidFill>
                </w14:textFill>
              </w:rPr>
              <w:t>1</w:t>
            </w:r>
          </w:p>
        </w:tc>
        <w:tc>
          <w:tcPr>
            <w:tcW w:w="2835" w:type="dxa"/>
            <w:tcBorders>
              <w:top w:val="single" w:color="000000" w:sz="8" w:space="0"/>
              <w:left w:val="single" w:color="000000" w:sz="8" w:space="0"/>
              <w:bottom w:val="single" w:color="000000" w:sz="8" w:space="0"/>
              <w:right w:val="single" w:color="000000" w:sz="8" w:space="0"/>
            </w:tcBorders>
            <w:vAlign w:val="center"/>
          </w:tcPr>
          <w:p>
            <w:pPr>
              <w:spacing w:line="312" w:lineRule="auto"/>
              <w:jc w:val="center"/>
              <w:rPr>
                <w:rFonts w:ascii="宋体" w:hAnsi="宋体"/>
                <w:color w:val="000000" w:themeColor="text1"/>
                <w:highlight w:val="none"/>
                <w:lang w:bidi="ar"/>
                <w14:textFill>
                  <w14:solidFill>
                    <w14:schemeClr w14:val="tx1"/>
                  </w14:solidFill>
                </w14:textFill>
              </w:rPr>
            </w:pPr>
            <w:r>
              <w:rPr>
                <w:rFonts w:hint="eastAsia" w:cs="宋体" w:asciiTheme="minorEastAsia" w:hAnsiTheme="minorEastAsia"/>
                <w:color w:val="000000" w:themeColor="text1"/>
                <w:kern w:val="0"/>
                <w:sz w:val="20"/>
                <w:szCs w:val="21"/>
                <w:highlight w:val="none"/>
                <w14:textFill>
                  <w14:solidFill>
                    <w14:schemeClr w14:val="tx1"/>
                  </w14:solidFill>
                </w14:textFill>
              </w:rPr>
              <w:t>诚信情况</w:t>
            </w:r>
          </w:p>
        </w:tc>
        <w:tc>
          <w:tcPr>
            <w:tcW w:w="681" w:type="dxa"/>
            <w:tcBorders>
              <w:top w:val="single" w:color="000000" w:sz="8" w:space="0"/>
              <w:left w:val="single" w:color="000000" w:sz="8" w:space="0"/>
              <w:bottom w:val="single" w:color="000000" w:sz="8" w:space="0"/>
              <w:right w:val="single" w:color="000000" w:sz="8" w:space="0"/>
            </w:tcBorders>
            <w:vAlign w:val="center"/>
          </w:tcPr>
          <w:p>
            <w:pPr>
              <w:spacing w:line="312" w:lineRule="auto"/>
              <w:jc w:val="center"/>
              <w:rPr>
                <w:rFonts w:ascii="宋体" w:hAnsi="宋体"/>
                <w:color w:val="000000" w:themeColor="text1"/>
                <w:szCs w:val="21"/>
                <w:highlight w:val="none"/>
                <w14:textFill>
                  <w14:solidFill>
                    <w14:schemeClr w14:val="tx1"/>
                  </w14:solidFill>
                </w14:textFill>
              </w:rPr>
            </w:pPr>
            <w:r>
              <w:rPr>
                <w:rFonts w:hint="eastAsia" w:cs="宋体" w:asciiTheme="minorEastAsia" w:hAnsiTheme="minorEastAsia"/>
                <w:color w:val="000000" w:themeColor="text1"/>
                <w:kern w:val="0"/>
                <w:sz w:val="20"/>
                <w:szCs w:val="21"/>
                <w:highlight w:val="none"/>
                <w14:textFill>
                  <w14:solidFill>
                    <w14:schemeClr w14:val="tx1"/>
                  </w14:solidFill>
                </w14:textFill>
              </w:rPr>
              <w:t>5</w:t>
            </w:r>
          </w:p>
        </w:tc>
        <w:tc>
          <w:tcPr>
            <w:tcW w:w="4196" w:type="dxa"/>
            <w:tcBorders>
              <w:top w:val="single" w:color="000000" w:sz="8" w:space="0"/>
              <w:left w:val="single" w:color="000000" w:sz="8" w:space="0"/>
              <w:bottom w:val="single" w:color="000000" w:sz="8" w:space="0"/>
              <w:right w:val="single" w:color="000000" w:sz="8" w:space="0"/>
            </w:tcBorders>
          </w:tcPr>
          <w:p>
            <w:pPr>
              <w:pStyle w:val="2"/>
              <w:wordWrap w:val="0"/>
              <w:spacing w:line="312" w:lineRule="auto"/>
              <w:ind w:firstLine="420" w:firstLineChars="200"/>
              <w:rPr>
                <w:rFonts w:ascii="宋体" w:hAnsi="宋体" w:cs="宋体"/>
                <w:b w:val="0"/>
                <w:bCs w:val="0"/>
                <w:color w:val="000000" w:themeColor="text1"/>
                <w:sz w:val="21"/>
                <w:szCs w:val="21"/>
                <w:highlight w:val="none"/>
                <w14:textFill>
                  <w14:solidFill>
                    <w14:schemeClr w14:val="tx1"/>
                  </w14:solidFill>
                </w14:textFill>
              </w:rPr>
            </w:pPr>
            <w:r>
              <w:rPr>
                <w:rFonts w:hint="eastAsia" w:ascii="宋体" w:hAnsi="宋体" w:cs="宋体"/>
                <w:b w:val="0"/>
                <w:bCs w:val="0"/>
                <w:color w:val="000000" w:themeColor="text1"/>
                <w:sz w:val="21"/>
                <w:szCs w:val="21"/>
                <w:highlight w:val="none"/>
                <w14:textFill>
                  <w14:solidFill>
                    <w14:schemeClr w14:val="tx1"/>
                  </w14:solidFill>
                </w14:textFill>
              </w:rPr>
              <w:t>投标人存在《深圳市财政局政府采购供应商信用信息管理办法》（深财规〔2023〕3号）列明的一般行政处罚信息、一般违法失信记录信息的，本项不得分，不存在上述情形的本项得100分。投标人无需提供任何证明材料，评标过程中由工作人员向评审委员会提供有关供应商诚信查询结果。</w:t>
            </w:r>
          </w:p>
          <w:p>
            <w:pPr>
              <w:spacing w:line="312" w:lineRule="auto"/>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查询渠道：通过“信用中国”（www.creditchina.gov.cn，下载信用信息报告）、“中国政府采购网”（www.ccgp.gov.cn）以及“深圳市政府采购监管网”（http://zfcg.sz.gov.cn）查询供应商信用信息，信用信息以开标当日的查询结果为准。</w:t>
            </w:r>
          </w:p>
        </w:tc>
      </w:tr>
    </w:tbl>
    <w:p>
      <w:pPr>
        <w:jc w:val="center"/>
        <w:rPr>
          <w:b/>
          <w:sz w:val="84"/>
          <w:szCs w:val="84"/>
          <w:highlight w:val="none"/>
        </w:rPr>
      </w:pPr>
    </w:p>
    <w:p>
      <w:pPr>
        <w:pStyle w:val="3"/>
        <w:rPr>
          <w:b/>
          <w:sz w:val="120"/>
          <w:szCs w:val="120"/>
          <w:highlight w:val="none"/>
        </w:rPr>
      </w:pPr>
      <w:bookmarkStart w:id="8" w:name="_Hlk71465316"/>
    </w:p>
    <w:p>
      <w:pPr>
        <w:pStyle w:val="3"/>
        <w:rPr>
          <w:b/>
          <w:sz w:val="120"/>
          <w:szCs w:val="120"/>
          <w:highlight w:val="none"/>
        </w:rPr>
      </w:pPr>
    </w:p>
    <w:p>
      <w:pPr>
        <w:jc w:val="center"/>
        <w:rPr>
          <w:b/>
          <w:sz w:val="120"/>
          <w:szCs w:val="120"/>
          <w:highlight w:val="none"/>
        </w:rPr>
      </w:pPr>
    </w:p>
    <w:p>
      <w:pPr>
        <w:pStyle w:val="2"/>
        <w:rPr>
          <w:b/>
          <w:sz w:val="120"/>
          <w:szCs w:val="120"/>
          <w:highlight w:val="none"/>
        </w:rPr>
      </w:pPr>
    </w:p>
    <w:p>
      <w:pPr>
        <w:pStyle w:val="18"/>
        <w:rPr>
          <w:highlight w:val="none"/>
        </w:rPr>
      </w:pPr>
    </w:p>
    <w:p>
      <w:pPr>
        <w:jc w:val="center"/>
        <w:rPr>
          <w:b/>
          <w:sz w:val="120"/>
          <w:szCs w:val="120"/>
          <w:highlight w:val="none"/>
        </w:rPr>
      </w:pPr>
      <w:r>
        <w:rPr>
          <w:rFonts w:hint="eastAsia"/>
          <w:b/>
          <w:sz w:val="120"/>
          <w:szCs w:val="120"/>
          <w:highlight w:val="none"/>
        </w:rPr>
        <w:t>自行采购</w:t>
      </w:r>
    </w:p>
    <w:p>
      <w:pPr>
        <w:jc w:val="center"/>
        <w:rPr>
          <w:b/>
          <w:sz w:val="120"/>
          <w:szCs w:val="120"/>
          <w:highlight w:val="none"/>
        </w:rPr>
      </w:pPr>
      <w:r>
        <w:rPr>
          <w:rFonts w:hint="eastAsia"/>
          <w:b/>
          <w:sz w:val="120"/>
          <w:szCs w:val="120"/>
          <w:highlight w:val="none"/>
        </w:rPr>
        <w:t>招标文件</w:t>
      </w:r>
    </w:p>
    <w:p>
      <w:pPr>
        <w:jc w:val="center"/>
        <w:rPr>
          <w:b/>
          <w:sz w:val="52"/>
          <w:szCs w:val="52"/>
          <w:highlight w:val="none"/>
        </w:rPr>
      </w:pPr>
      <w:r>
        <w:rPr>
          <w:rFonts w:hint="eastAsia"/>
          <w:b/>
          <w:sz w:val="52"/>
          <w:szCs w:val="52"/>
          <w:highlight w:val="none"/>
        </w:rPr>
        <w:t>（服务类）</w:t>
      </w: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jc w:val="center"/>
        <w:rPr>
          <w:b/>
          <w:sz w:val="44"/>
          <w:szCs w:val="44"/>
          <w:highlight w:val="none"/>
        </w:rPr>
      </w:pPr>
      <w:r>
        <w:rPr>
          <w:rFonts w:hint="eastAsia" w:ascii="宋体" w:hAnsi="宋体"/>
          <w:b/>
          <w:sz w:val="44"/>
          <w:szCs w:val="44"/>
          <w:highlight w:val="none"/>
        </w:rPr>
        <w:t>深圳公共资源交易中心</w:t>
      </w:r>
    </w:p>
    <w:p>
      <w:pPr>
        <w:jc w:val="center"/>
        <w:rPr>
          <w:b/>
          <w:sz w:val="44"/>
          <w:szCs w:val="44"/>
          <w:highlight w:val="none"/>
        </w:rPr>
      </w:pPr>
      <w:r>
        <w:rPr>
          <w:rFonts w:hint="eastAsia" w:ascii="宋体" w:hAnsi="宋体"/>
          <w:b/>
          <w:sz w:val="44"/>
          <w:szCs w:val="44"/>
          <w:highlight w:val="none"/>
        </w:rPr>
        <w:t>（</w:t>
      </w:r>
      <w:r>
        <w:rPr>
          <w:b/>
          <w:sz w:val="44"/>
          <w:szCs w:val="44"/>
          <w:highlight w:val="none"/>
        </w:rPr>
        <w:t>20</w:t>
      </w:r>
      <w:r>
        <w:rPr>
          <w:rFonts w:hint="eastAsia"/>
          <w:b/>
          <w:sz w:val="44"/>
          <w:szCs w:val="44"/>
          <w:highlight w:val="none"/>
        </w:rPr>
        <w:t>25</w:t>
      </w:r>
      <w:r>
        <w:rPr>
          <w:rFonts w:hint="eastAsia" w:ascii="宋体" w:hAnsi="宋体"/>
          <w:b/>
          <w:sz w:val="44"/>
          <w:szCs w:val="44"/>
          <w:highlight w:val="none"/>
        </w:rPr>
        <w:t>）</w:t>
      </w:r>
    </w:p>
    <w:p>
      <w:pPr>
        <w:jc w:val="center"/>
        <w:rPr>
          <w:b/>
          <w:sz w:val="44"/>
          <w:szCs w:val="44"/>
          <w:highlight w:val="none"/>
        </w:rPr>
      </w:pPr>
    </w:p>
    <w:p>
      <w:pPr>
        <w:pStyle w:val="2"/>
        <w:rPr>
          <w:b/>
          <w:sz w:val="44"/>
          <w:szCs w:val="44"/>
          <w:highlight w:val="none"/>
        </w:rPr>
      </w:pPr>
    </w:p>
    <w:p>
      <w:pPr>
        <w:pStyle w:val="18"/>
        <w:rPr>
          <w:b/>
          <w:sz w:val="44"/>
          <w:szCs w:val="44"/>
          <w:highlight w:val="none"/>
        </w:rPr>
      </w:pPr>
    </w:p>
    <w:p>
      <w:pPr>
        <w:pStyle w:val="18"/>
        <w:rPr>
          <w:b/>
          <w:sz w:val="44"/>
          <w:szCs w:val="44"/>
          <w:highlight w:val="none"/>
        </w:rPr>
      </w:pPr>
    </w:p>
    <w:p>
      <w:pPr>
        <w:pStyle w:val="18"/>
        <w:rPr>
          <w:b/>
          <w:sz w:val="44"/>
          <w:szCs w:val="44"/>
          <w:highlight w:val="none"/>
        </w:rPr>
      </w:pPr>
    </w:p>
    <w:p>
      <w:pPr>
        <w:pStyle w:val="18"/>
        <w:rPr>
          <w:b/>
          <w:sz w:val="44"/>
          <w:szCs w:val="44"/>
          <w:highlight w:val="none"/>
        </w:rPr>
      </w:pPr>
    </w:p>
    <w:p>
      <w:pPr>
        <w:pStyle w:val="18"/>
        <w:rPr>
          <w:b/>
          <w:sz w:val="44"/>
          <w:szCs w:val="44"/>
          <w:highlight w:val="none"/>
        </w:rPr>
      </w:pPr>
    </w:p>
    <w:bookmarkEnd w:id="8"/>
    <w:p>
      <w:pPr>
        <w:jc w:val="center"/>
        <w:rPr>
          <w:rFonts w:ascii="Arial" w:hAnsi="Arial" w:eastAsia="宋体" w:cs="Times New Roman"/>
          <w:b/>
          <w:bCs/>
          <w:kern w:val="44"/>
          <w:sz w:val="32"/>
          <w:szCs w:val="32"/>
          <w:highlight w:val="none"/>
        </w:rPr>
      </w:pPr>
      <w:r>
        <w:rPr>
          <w:rFonts w:hint="eastAsia" w:ascii="Arial" w:hAnsi="Arial" w:eastAsia="宋体" w:cs="Times New Roman"/>
          <w:b/>
          <w:bCs/>
          <w:kern w:val="44"/>
          <w:sz w:val="32"/>
          <w:szCs w:val="32"/>
          <w:highlight w:val="none"/>
        </w:rPr>
        <w:t>目   录</w:t>
      </w:r>
    </w:p>
    <w:p>
      <w:pPr>
        <w:rPr>
          <w:b/>
          <w:sz w:val="24"/>
          <w:szCs w:val="24"/>
          <w:highlight w:val="none"/>
        </w:rPr>
      </w:pPr>
      <w:r>
        <w:rPr>
          <w:rFonts w:hint="eastAsia"/>
          <w:b/>
          <w:sz w:val="24"/>
          <w:szCs w:val="24"/>
          <w:highlight w:val="none"/>
        </w:rPr>
        <w:t>第一册  专用条款</w:t>
      </w:r>
    </w:p>
    <w:p>
      <w:pPr>
        <w:ind w:left="630" w:leftChars="300" w:firstLine="472" w:firstLineChars="196"/>
        <w:rPr>
          <w:b/>
          <w:sz w:val="24"/>
          <w:szCs w:val="24"/>
          <w:highlight w:val="none"/>
        </w:rPr>
      </w:pPr>
      <w:r>
        <w:rPr>
          <w:rFonts w:hint="eastAsia"/>
          <w:b/>
          <w:sz w:val="24"/>
          <w:szCs w:val="24"/>
          <w:highlight w:val="none"/>
        </w:rPr>
        <w:tab/>
      </w:r>
      <w:r>
        <w:rPr>
          <w:rFonts w:hint="eastAsia" w:ascii="宋体" w:hAnsi="宋体"/>
          <w:szCs w:val="21"/>
          <w:highlight w:val="none"/>
        </w:rPr>
        <w:t>关键信息</w:t>
      </w:r>
    </w:p>
    <w:p>
      <w:pPr>
        <w:ind w:left="630" w:leftChars="300" w:firstLine="411" w:firstLineChars="196"/>
        <w:rPr>
          <w:rFonts w:ascii="宋体" w:hAnsi="宋体"/>
          <w:szCs w:val="21"/>
          <w:highlight w:val="none"/>
        </w:rPr>
      </w:pPr>
      <w:r>
        <w:rPr>
          <w:rFonts w:hint="eastAsia" w:ascii="宋体" w:hAnsi="宋体"/>
          <w:szCs w:val="21"/>
          <w:highlight w:val="none"/>
        </w:rPr>
        <w:t>第一章  招标公告</w:t>
      </w:r>
    </w:p>
    <w:p>
      <w:pPr>
        <w:ind w:left="630" w:leftChars="300" w:firstLine="411" w:firstLineChars="196"/>
        <w:rPr>
          <w:rFonts w:ascii="宋体" w:hAnsi="宋体"/>
          <w:szCs w:val="21"/>
          <w:highlight w:val="none"/>
        </w:rPr>
      </w:pPr>
      <w:r>
        <w:rPr>
          <w:rFonts w:hint="eastAsia" w:ascii="宋体" w:hAnsi="宋体"/>
          <w:szCs w:val="21"/>
          <w:highlight w:val="none"/>
        </w:rPr>
        <w:t>第二章  对通用条款的补充内容及其他关键信息</w:t>
      </w:r>
    </w:p>
    <w:p>
      <w:pPr>
        <w:ind w:left="630" w:leftChars="300" w:firstLine="411" w:firstLineChars="196"/>
        <w:rPr>
          <w:rFonts w:ascii="宋体" w:hAnsi="宋体"/>
          <w:szCs w:val="21"/>
          <w:highlight w:val="none"/>
        </w:rPr>
      </w:pPr>
      <w:r>
        <w:rPr>
          <w:rFonts w:hint="eastAsia" w:ascii="宋体" w:hAnsi="宋体"/>
          <w:szCs w:val="21"/>
          <w:highlight w:val="none"/>
        </w:rPr>
        <w:t xml:space="preserve">第三章 </w:t>
      </w:r>
      <w:r>
        <w:rPr>
          <w:rFonts w:ascii="宋体" w:hAnsi="宋体"/>
          <w:szCs w:val="21"/>
          <w:highlight w:val="none"/>
        </w:rPr>
        <w:t xml:space="preserve"> </w:t>
      </w:r>
      <w:r>
        <w:rPr>
          <w:rFonts w:hint="eastAsia" w:ascii="宋体" w:hAnsi="宋体"/>
          <w:szCs w:val="21"/>
          <w:highlight w:val="none"/>
        </w:rPr>
        <w:t>用户需求书</w:t>
      </w:r>
    </w:p>
    <w:p>
      <w:pPr>
        <w:ind w:left="630" w:leftChars="300" w:firstLine="411" w:firstLineChars="196"/>
        <w:rPr>
          <w:rFonts w:ascii="宋体" w:hAnsi="宋体"/>
          <w:szCs w:val="21"/>
          <w:highlight w:val="none"/>
        </w:rPr>
      </w:pPr>
      <w:r>
        <w:rPr>
          <w:rFonts w:hint="eastAsia" w:ascii="宋体" w:hAnsi="宋体"/>
          <w:szCs w:val="21"/>
          <w:highlight w:val="none"/>
        </w:rPr>
        <w:t xml:space="preserve">第四章 </w:t>
      </w:r>
      <w:r>
        <w:rPr>
          <w:rFonts w:ascii="宋体" w:hAnsi="宋体"/>
          <w:szCs w:val="21"/>
          <w:highlight w:val="none"/>
        </w:rPr>
        <w:t xml:space="preserve"> </w:t>
      </w:r>
      <w:r>
        <w:rPr>
          <w:rFonts w:hint="eastAsia" w:ascii="宋体" w:hAnsi="宋体"/>
          <w:szCs w:val="21"/>
          <w:highlight w:val="none"/>
        </w:rPr>
        <w:t>投标文件组成要求及格式</w:t>
      </w:r>
    </w:p>
    <w:p>
      <w:pPr>
        <w:ind w:left="630" w:leftChars="300" w:firstLine="411" w:firstLineChars="196"/>
        <w:rPr>
          <w:rFonts w:ascii="宋体" w:hAnsi="宋体"/>
          <w:szCs w:val="21"/>
          <w:highlight w:val="none"/>
        </w:rPr>
      </w:pPr>
      <w:r>
        <w:rPr>
          <w:rFonts w:hint="eastAsia" w:ascii="宋体" w:hAnsi="宋体"/>
          <w:szCs w:val="21"/>
          <w:highlight w:val="none"/>
        </w:rPr>
        <w:t>第五章  合同条款及格式</w:t>
      </w:r>
    </w:p>
    <w:p>
      <w:pPr>
        <w:rPr>
          <w:b/>
          <w:sz w:val="24"/>
          <w:highlight w:val="none"/>
        </w:rPr>
      </w:pPr>
    </w:p>
    <w:p>
      <w:pPr>
        <w:rPr>
          <w:b/>
          <w:sz w:val="24"/>
          <w:szCs w:val="24"/>
          <w:highlight w:val="none"/>
        </w:rPr>
      </w:pPr>
      <w:r>
        <w:rPr>
          <w:rFonts w:hint="eastAsia"/>
          <w:b/>
          <w:sz w:val="24"/>
          <w:szCs w:val="24"/>
          <w:highlight w:val="none"/>
        </w:rPr>
        <w:t>第二册  通用条款</w:t>
      </w:r>
    </w:p>
    <w:p>
      <w:pPr>
        <w:ind w:left="630" w:leftChars="300" w:firstLine="411" w:firstLineChars="196"/>
        <w:rPr>
          <w:rFonts w:ascii="宋体" w:hAnsi="宋体"/>
          <w:szCs w:val="21"/>
          <w:highlight w:val="none"/>
        </w:rPr>
      </w:pPr>
      <w:r>
        <w:rPr>
          <w:rFonts w:hint="eastAsia" w:ascii="宋体" w:hAnsi="宋体"/>
          <w:szCs w:val="21"/>
          <w:highlight w:val="none"/>
        </w:rPr>
        <w:t>第一章  总则</w:t>
      </w:r>
    </w:p>
    <w:p>
      <w:pPr>
        <w:ind w:left="630" w:leftChars="300" w:firstLine="411" w:firstLineChars="196"/>
        <w:rPr>
          <w:rFonts w:ascii="宋体" w:hAnsi="宋体"/>
          <w:szCs w:val="21"/>
          <w:highlight w:val="none"/>
        </w:rPr>
      </w:pPr>
      <w:r>
        <w:rPr>
          <w:rFonts w:hint="eastAsia" w:ascii="宋体" w:hAnsi="宋体"/>
          <w:szCs w:val="21"/>
          <w:highlight w:val="none"/>
        </w:rPr>
        <w:t>第二章  招标文件</w:t>
      </w:r>
    </w:p>
    <w:p>
      <w:pPr>
        <w:ind w:left="630" w:leftChars="300" w:firstLine="411" w:firstLineChars="196"/>
        <w:rPr>
          <w:rFonts w:ascii="宋体" w:hAnsi="宋体"/>
          <w:szCs w:val="21"/>
          <w:highlight w:val="none"/>
        </w:rPr>
      </w:pPr>
      <w:r>
        <w:rPr>
          <w:rFonts w:hint="eastAsia" w:ascii="宋体" w:hAnsi="宋体"/>
          <w:szCs w:val="21"/>
          <w:highlight w:val="none"/>
        </w:rPr>
        <w:t>第三章  投标文件的编制</w:t>
      </w:r>
    </w:p>
    <w:p>
      <w:pPr>
        <w:ind w:left="630" w:leftChars="300" w:firstLine="411" w:firstLineChars="196"/>
        <w:rPr>
          <w:rFonts w:ascii="宋体" w:hAnsi="宋体"/>
          <w:szCs w:val="21"/>
          <w:highlight w:val="none"/>
        </w:rPr>
      </w:pPr>
      <w:r>
        <w:rPr>
          <w:rFonts w:hint="eastAsia" w:ascii="宋体" w:hAnsi="宋体"/>
          <w:szCs w:val="21"/>
          <w:highlight w:val="none"/>
        </w:rPr>
        <w:t>第四章  投标文件的递交</w:t>
      </w:r>
    </w:p>
    <w:p>
      <w:pPr>
        <w:ind w:left="630" w:leftChars="300" w:firstLine="411" w:firstLineChars="196"/>
        <w:rPr>
          <w:rFonts w:ascii="宋体" w:hAnsi="宋体"/>
          <w:szCs w:val="21"/>
          <w:highlight w:val="none"/>
        </w:rPr>
      </w:pPr>
      <w:r>
        <w:rPr>
          <w:rFonts w:hint="eastAsia" w:ascii="宋体" w:hAnsi="宋体"/>
          <w:szCs w:val="21"/>
          <w:highlight w:val="none"/>
        </w:rPr>
        <w:t>第五章  开标</w:t>
      </w:r>
    </w:p>
    <w:p>
      <w:pPr>
        <w:ind w:left="630" w:leftChars="300" w:firstLine="411" w:firstLineChars="196"/>
        <w:rPr>
          <w:rFonts w:ascii="宋体" w:hAnsi="宋体"/>
          <w:szCs w:val="21"/>
          <w:highlight w:val="none"/>
        </w:rPr>
      </w:pPr>
      <w:r>
        <w:rPr>
          <w:rFonts w:hint="eastAsia" w:ascii="宋体" w:hAnsi="宋体"/>
          <w:szCs w:val="21"/>
          <w:highlight w:val="none"/>
        </w:rPr>
        <w:t>第六章  评审要求</w:t>
      </w:r>
    </w:p>
    <w:p>
      <w:pPr>
        <w:ind w:left="630" w:leftChars="300" w:firstLine="411" w:firstLineChars="196"/>
        <w:rPr>
          <w:rFonts w:ascii="宋体" w:hAnsi="宋体"/>
          <w:szCs w:val="21"/>
          <w:highlight w:val="none"/>
        </w:rPr>
      </w:pPr>
      <w:r>
        <w:rPr>
          <w:rFonts w:hint="eastAsia" w:ascii="宋体" w:hAnsi="宋体"/>
          <w:szCs w:val="21"/>
          <w:highlight w:val="none"/>
        </w:rPr>
        <w:t>第七章  评审程序及评审方法</w:t>
      </w:r>
    </w:p>
    <w:p>
      <w:pPr>
        <w:ind w:left="630" w:leftChars="300" w:firstLine="411" w:firstLineChars="196"/>
        <w:rPr>
          <w:rFonts w:ascii="宋体" w:hAnsi="宋体"/>
          <w:szCs w:val="21"/>
          <w:highlight w:val="none"/>
        </w:rPr>
      </w:pPr>
      <w:r>
        <w:rPr>
          <w:rFonts w:hint="eastAsia" w:ascii="宋体" w:hAnsi="宋体"/>
          <w:szCs w:val="21"/>
          <w:highlight w:val="none"/>
        </w:rPr>
        <w:t>第八章  定标及公示</w:t>
      </w:r>
    </w:p>
    <w:p>
      <w:pPr>
        <w:ind w:left="630" w:leftChars="300" w:firstLine="411" w:firstLineChars="196"/>
        <w:rPr>
          <w:rFonts w:ascii="宋体" w:hAnsi="宋体"/>
          <w:szCs w:val="21"/>
          <w:highlight w:val="none"/>
        </w:rPr>
      </w:pPr>
      <w:r>
        <w:rPr>
          <w:rFonts w:hint="eastAsia" w:ascii="宋体" w:hAnsi="宋体"/>
          <w:szCs w:val="21"/>
          <w:highlight w:val="none"/>
        </w:rPr>
        <w:t>第九章  公开招标失败的后续处理</w:t>
      </w:r>
    </w:p>
    <w:p>
      <w:pPr>
        <w:ind w:left="630" w:leftChars="300" w:firstLine="411" w:firstLineChars="196"/>
        <w:rPr>
          <w:rFonts w:ascii="宋体" w:hAnsi="宋体"/>
          <w:szCs w:val="21"/>
          <w:highlight w:val="none"/>
        </w:rPr>
      </w:pPr>
      <w:r>
        <w:rPr>
          <w:rFonts w:hint="eastAsia" w:ascii="宋体" w:hAnsi="宋体"/>
          <w:szCs w:val="21"/>
          <w:highlight w:val="none"/>
        </w:rPr>
        <w:t>第十章  合同的授予与备案</w:t>
      </w:r>
    </w:p>
    <w:p>
      <w:pPr>
        <w:rPr>
          <w:highlight w:val="none"/>
        </w:rPr>
      </w:pPr>
      <w:r>
        <w:rPr>
          <w:rFonts w:hint="eastAsia"/>
          <w:highlight w:val="none"/>
        </w:rPr>
        <w:t xml:space="preserve">          第十一章  质疑处理</w:t>
      </w:r>
    </w:p>
    <w:p>
      <w:pPr>
        <w:rPr>
          <w:highlight w:val="none"/>
        </w:rPr>
      </w:pPr>
    </w:p>
    <w:p>
      <w:pPr>
        <w:rPr>
          <w:highlight w:val="none"/>
        </w:rPr>
      </w:pPr>
    </w:p>
    <w:p>
      <w:pPr>
        <w:widowControl/>
        <w:jc w:val="left"/>
        <w:rPr>
          <w:rFonts w:ascii="宋体" w:hAnsi="宋体" w:eastAsia="黑体" w:cs="Times New Roman"/>
          <w:b/>
          <w:bCs/>
          <w:color w:val="0000FF"/>
          <w:kern w:val="44"/>
          <w:sz w:val="36"/>
          <w:szCs w:val="44"/>
          <w:highlight w:val="none"/>
        </w:rPr>
      </w:pPr>
      <w:r>
        <w:rPr>
          <w:rFonts w:ascii="宋体" w:hAnsi="宋体" w:eastAsia="黑体" w:cs="Times New Roman"/>
          <w:b/>
          <w:bCs/>
          <w:color w:val="0000FF"/>
          <w:kern w:val="44"/>
          <w:sz w:val="36"/>
          <w:szCs w:val="44"/>
          <w:highlight w:val="none"/>
        </w:rPr>
        <w:br w:type="page"/>
      </w:r>
    </w:p>
    <w:p>
      <w:pPr>
        <w:keepNext/>
        <w:keepLines/>
        <w:spacing w:before="340" w:after="60" w:afterLines="25" w:line="578" w:lineRule="auto"/>
        <w:jc w:val="center"/>
        <w:outlineLvl w:val="0"/>
        <w:rPr>
          <w:rFonts w:ascii="Arial" w:hAnsi="Arial" w:eastAsia="宋体" w:cs="Times New Roman"/>
          <w:b/>
          <w:bCs/>
          <w:kern w:val="44"/>
          <w:sz w:val="32"/>
          <w:szCs w:val="32"/>
          <w:highlight w:val="none"/>
        </w:rPr>
      </w:pPr>
      <w:r>
        <w:rPr>
          <w:rFonts w:hint="eastAsia" w:ascii="Arial" w:hAnsi="Arial" w:eastAsia="宋体" w:cs="Times New Roman"/>
          <w:b/>
          <w:bCs/>
          <w:kern w:val="44"/>
          <w:sz w:val="32"/>
          <w:szCs w:val="32"/>
          <w:highlight w:val="none"/>
        </w:rPr>
        <w:t>第一册  专用条款</w:t>
      </w:r>
    </w:p>
    <w:p>
      <w:pPr>
        <w:keepNext/>
        <w:keepLines/>
        <w:adjustRightInd w:val="0"/>
        <w:spacing w:before="260" w:after="260"/>
        <w:jc w:val="center"/>
        <w:textAlignment w:val="baseline"/>
        <w:outlineLvl w:val="1"/>
        <w:rPr>
          <w:rFonts w:ascii="宋体" w:hAnsi="宋体" w:eastAsia="宋体" w:cs="Times New Roman"/>
          <w:b/>
          <w:bCs/>
          <w:kern w:val="0"/>
          <w:sz w:val="28"/>
          <w:szCs w:val="28"/>
          <w:highlight w:val="none"/>
        </w:rPr>
      </w:pPr>
      <w:r>
        <w:rPr>
          <w:rFonts w:hint="eastAsia" w:ascii="宋体" w:hAnsi="宋体" w:eastAsia="宋体" w:cs="Times New Roman"/>
          <w:b/>
          <w:bCs/>
          <w:kern w:val="0"/>
          <w:sz w:val="28"/>
          <w:szCs w:val="28"/>
          <w:highlight w:val="none"/>
        </w:rPr>
        <w:t>第一章  招标公告</w:t>
      </w:r>
    </w:p>
    <w:p>
      <w:pPr>
        <w:spacing w:line="360" w:lineRule="auto"/>
        <w:rPr>
          <w:rFonts w:ascii="宋体" w:hAnsi="宋体" w:cs="宋体"/>
          <w:b/>
          <w:bCs/>
          <w:kern w:val="0"/>
          <w:szCs w:val="21"/>
        </w:rPr>
      </w:pPr>
      <w:r>
        <w:rPr>
          <w:rFonts w:hint="eastAsia" w:ascii="宋体" w:hAnsi="宋体" w:cs="宋体"/>
          <w:b/>
          <w:bCs/>
          <w:kern w:val="0"/>
          <w:szCs w:val="21"/>
        </w:rPr>
        <w:t>申请人的资格要求：</w:t>
      </w:r>
    </w:p>
    <w:p>
      <w:pPr>
        <w:ind w:firstLine="630" w:firstLineChars="300"/>
        <w:rPr>
          <w:rFonts w:ascii="宋体" w:hAnsi="宋体" w:eastAsia="宋体" w:cs="宋体"/>
          <w:kern w:val="0"/>
          <w:szCs w:val="21"/>
          <w:highlight w:val="none"/>
        </w:rPr>
      </w:pPr>
      <w:r>
        <w:rPr>
          <w:rFonts w:hint="eastAsia" w:ascii="宋体" w:hAnsi="宋体" w:cs="宋体"/>
          <w:kern w:val="0"/>
          <w:szCs w:val="21"/>
        </w:rPr>
        <w:t>1</w:t>
      </w:r>
      <w:r>
        <w:rPr>
          <w:rFonts w:ascii="宋体" w:hAnsi="宋体" w:cs="宋体"/>
          <w:kern w:val="0"/>
          <w:szCs w:val="21"/>
        </w:rPr>
        <w:t>.</w:t>
      </w:r>
      <w:r>
        <w:rPr>
          <w:rFonts w:hint="eastAsia" w:ascii="宋体" w:hAnsi="宋体" w:eastAsia="宋体" w:cs="宋体"/>
          <w:sz w:val="21"/>
          <w:szCs w:val="21"/>
          <w:highlight w:val="none"/>
          <w:lang w:eastAsia="zh-CN"/>
        </w:rPr>
        <w:t>具有独立</w:t>
      </w:r>
      <w:r>
        <w:rPr>
          <w:rFonts w:hint="eastAsia" w:ascii="宋体" w:hAnsi="宋体" w:eastAsia="宋体" w:cs="宋体"/>
          <w:szCs w:val="21"/>
          <w:highlight w:val="none"/>
        </w:rPr>
        <w:t>承担民事责任的能力（提</w:t>
      </w:r>
      <w:bookmarkStart w:id="96" w:name="_GoBack"/>
      <w:bookmarkEnd w:id="96"/>
      <w:r>
        <w:rPr>
          <w:rFonts w:hint="eastAsia" w:ascii="宋体" w:hAnsi="宋体" w:eastAsia="宋体" w:cs="宋体"/>
          <w:szCs w:val="21"/>
          <w:highlight w:val="none"/>
        </w:rPr>
        <w:t>供营业执照或事业单位法人证书等证明资料扫描件，原件备查，分公司参与投标的，须提供分公司营业执照、其所属集团(或总公司)等具有独立法人资格的组织</w:t>
      </w:r>
      <w:r>
        <w:rPr>
          <w:rFonts w:hint="eastAsia" w:ascii="宋体" w:hAnsi="宋体" w:cs="宋体"/>
          <w:szCs w:val="21"/>
          <w:highlight w:val="none"/>
        </w:rPr>
        <w:t>的营业执照及其</w:t>
      </w:r>
      <w:r>
        <w:rPr>
          <w:rFonts w:hint="eastAsia" w:ascii="宋体" w:hAnsi="宋体" w:eastAsia="宋体" w:cs="宋体"/>
          <w:szCs w:val="21"/>
          <w:highlight w:val="none"/>
        </w:rPr>
        <w:t>出具的载明愿为其参与本项目投标的行为以及履约等行为承担民事责任的加盖总公司公章的授权函）</w:t>
      </w:r>
      <w:r>
        <w:rPr>
          <w:rFonts w:hint="eastAsia" w:ascii="宋体" w:hAnsi="宋体" w:cs="宋体"/>
          <w:szCs w:val="21"/>
          <w:highlight w:val="none"/>
        </w:rPr>
        <w:t>；</w:t>
      </w:r>
    </w:p>
    <w:p>
      <w:pPr>
        <w:ind w:firstLine="630" w:firstLineChars="300"/>
        <w:rPr>
          <w:rFonts w:hint="eastAsia" w:ascii="宋体" w:hAnsi="宋体" w:cs="宋体"/>
          <w:color w:val="FF0000"/>
          <w:kern w:val="0"/>
          <w:szCs w:val="21"/>
          <w:highlight w:val="none"/>
        </w:rPr>
      </w:pPr>
      <w:r>
        <w:rPr>
          <w:rFonts w:hint="eastAsia" w:ascii="宋体" w:hAnsi="宋体" w:cs="宋体"/>
          <w:color w:val="FF0000"/>
          <w:kern w:val="0"/>
          <w:szCs w:val="21"/>
          <w:highlight w:val="none"/>
        </w:rPr>
        <w:t>2.</w:t>
      </w:r>
      <w:bookmarkStart w:id="9" w:name="OLE_LINK9"/>
      <w:r>
        <w:rPr>
          <w:rFonts w:hint="eastAsia" w:ascii="宋体" w:hAnsi="宋体" w:cs="宋体"/>
          <w:color w:val="FF0000"/>
          <w:kern w:val="0"/>
          <w:szCs w:val="21"/>
          <w:highlight w:val="none"/>
        </w:rPr>
        <w:t>本项</w:t>
      </w:r>
      <w:bookmarkStart w:id="10" w:name="OLE_LINK8"/>
      <w:r>
        <w:rPr>
          <w:rFonts w:hint="eastAsia" w:ascii="宋体" w:hAnsi="宋体" w:cs="宋体"/>
          <w:color w:val="FF0000"/>
          <w:kern w:val="0"/>
          <w:szCs w:val="21"/>
          <w:highlight w:val="none"/>
        </w:rPr>
        <w:t>目不接受联合体投标</w:t>
      </w:r>
      <w:bookmarkEnd w:id="10"/>
      <w:r>
        <w:rPr>
          <w:rFonts w:hint="eastAsia" w:ascii="宋体" w:hAnsi="宋体" w:cs="宋体"/>
          <w:color w:val="FF0000"/>
          <w:kern w:val="0"/>
          <w:szCs w:val="21"/>
          <w:highlight w:val="none"/>
        </w:rPr>
        <w:t>，</w:t>
      </w:r>
      <w:bookmarkStart w:id="11" w:name="OLE_LINK7"/>
      <w:r>
        <w:rPr>
          <w:rFonts w:hint="eastAsia" w:ascii="宋体" w:hAnsi="宋体" w:cs="宋体"/>
          <w:color w:val="FF0000"/>
          <w:kern w:val="0"/>
          <w:szCs w:val="21"/>
          <w:highlight w:val="none"/>
        </w:rPr>
        <w:t>不接受投标人选用进口产品参与投标，详见招标文件“第三章 用户需求书”</w:t>
      </w:r>
      <w:bookmarkEnd w:id="11"/>
      <w:r>
        <w:rPr>
          <w:rFonts w:hint="eastAsia" w:ascii="宋体" w:hAnsi="宋体" w:cs="宋体"/>
          <w:color w:val="FF0000"/>
          <w:kern w:val="0"/>
          <w:szCs w:val="21"/>
          <w:highlight w:val="none"/>
        </w:rPr>
        <w:t>；</w:t>
      </w:r>
      <w:bookmarkEnd w:id="9"/>
    </w:p>
    <w:p>
      <w:pPr>
        <w:ind w:firstLine="630" w:firstLineChars="300"/>
        <w:rPr>
          <w:rFonts w:ascii="宋体" w:hAnsi="宋体" w:cs="宋体"/>
          <w:kern w:val="0"/>
          <w:szCs w:val="21"/>
          <w:highlight w:val="none"/>
        </w:rPr>
      </w:pPr>
      <w:r>
        <w:rPr>
          <w:rFonts w:hint="eastAsia" w:ascii="宋体" w:hAnsi="宋体" w:cs="宋体"/>
          <w:kern w:val="0"/>
          <w:szCs w:val="21"/>
          <w:highlight w:val="none"/>
        </w:rPr>
        <w:t>3</w:t>
      </w:r>
      <w:r>
        <w:rPr>
          <w:rFonts w:ascii="宋体" w:hAnsi="宋体" w:cs="宋体"/>
          <w:kern w:val="0"/>
          <w:szCs w:val="21"/>
          <w:highlight w:val="none"/>
        </w:rPr>
        <w:t>.</w:t>
      </w:r>
      <w:r>
        <w:rPr>
          <w:rFonts w:hint="eastAsia" w:ascii="宋体" w:hAnsi="宋体" w:cs="宋体"/>
          <w:kern w:val="0"/>
          <w:szCs w:val="21"/>
          <w:highlight w:val="none"/>
        </w:rPr>
        <w:t>参与本项目政府采购活动时不存在被有关部门禁止参与政府采购活动且在有效期内的情况（由供应商在《政府采购投标及履约承诺函》中作出声明）；</w:t>
      </w:r>
    </w:p>
    <w:p>
      <w:pPr>
        <w:ind w:firstLine="630" w:firstLineChars="300"/>
        <w:rPr>
          <w:rFonts w:ascii="宋体" w:hAnsi="宋体" w:cs="宋体"/>
          <w:kern w:val="0"/>
          <w:szCs w:val="21"/>
          <w:highlight w:val="none"/>
        </w:rPr>
      </w:pPr>
      <w:r>
        <w:rPr>
          <w:rFonts w:hint="eastAsia" w:ascii="宋体" w:hAnsi="宋体" w:cs="宋体"/>
          <w:kern w:val="0"/>
          <w:szCs w:val="21"/>
          <w:highlight w:val="none"/>
        </w:rPr>
        <w:t>4</w:t>
      </w:r>
      <w:r>
        <w:rPr>
          <w:rFonts w:ascii="宋体" w:hAnsi="宋体" w:cs="宋体"/>
          <w:kern w:val="0"/>
          <w:szCs w:val="21"/>
          <w:highlight w:val="none"/>
        </w:rPr>
        <w:t>.</w:t>
      </w:r>
      <w:r>
        <w:rPr>
          <w:rFonts w:hint="eastAsia" w:ascii="宋体" w:hAnsi="宋体" w:cs="宋体"/>
          <w:kern w:val="0"/>
          <w:szCs w:val="21"/>
          <w:highlight w:val="none"/>
        </w:rPr>
        <w:t>具备《中华人民共和国政府采购法》第二十二条第一款的条件（由供应商在《政府采购投标及履约承诺函》中作出声明）；</w:t>
      </w:r>
    </w:p>
    <w:p>
      <w:pPr>
        <w:ind w:firstLine="630" w:firstLineChars="300"/>
        <w:rPr>
          <w:rFonts w:ascii="宋体" w:hAnsi="宋体" w:cs="宋体"/>
          <w:kern w:val="0"/>
          <w:szCs w:val="21"/>
          <w:highlight w:val="none"/>
        </w:rPr>
      </w:pPr>
      <w:r>
        <w:rPr>
          <w:rFonts w:hint="eastAsia" w:ascii="宋体" w:hAnsi="宋体" w:cs="宋体"/>
          <w:kern w:val="0"/>
          <w:szCs w:val="21"/>
          <w:highlight w:val="none"/>
        </w:rPr>
        <w:t>5</w:t>
      </w:r>
      <w:r>
        <w:rPr>
          <w:rFonts w:ascii="宋体" w:hAnsi="宋体" w:cs="宋体"/>
          <w:kern w:val="0"/>
          <w:szCs w:val="21"/>
          <w:highlight w:val="none"/>
        </w:rPr>
        <w:t>.</w:t>
      </w:r>
      <w:r>
        <w:rPr>
          <w:rFonts w:hint="eastAsia" w:ascii="宋体" w:hAnsi="宋体" w:cs="宋体"/>
          <w:kern w:val="0"/>
          <w:szCs w:val="21"/>
          <w:highlight w:val="none"/>
        </w:rPr>
        <w:t>未被列入失信被执行人、重大税收违法案件当事人名单、政府采购严重违法失信行为记录名单（由供应商在《政府采购投标及履约承诺函》中作出声明）；</w:t>
      </w:r>
    </w:p>
    <w:p>
      <w:pPr>
        <w:ind w:firstLine="630" w:firstLineChars="300"/>
        <w:rPr>
          <w:rFonts w:ascii="宋体" w:hAnsi="宋体" w:cs="宋体"/>
          <w:color w:val="FF0000"/>
          <w:kern w:val="0"/>
          <w:szCs w:val="21"/>
          <w:highlight w:val="none"/>
        </w:rPr>
      </w:pPr>
      <w:r>
        <w:rPr>
          <w:rFonts w:hint="eastAsia" w:ascii="宋体" w:hAnsi="宋体" w:cs="宋体"/>
          <w:color w:val="FF0000"/>
          <w:kern w:val="0"/>
          <w:szCs w:val="21"/>
          <w:highlight w:val="none"/>
        </w:rPr>
        <w:t>6.不存在《深圳市财政局政府采购供应商信用信息管理办法》（深财规〔2023〕3号）列明的严重违法失信行为（由供应商在《政府采购投标及履约承诺函》中作出声明）；;</w:t>
      </w:r>
    </w:p>
    <w:p>
      <w:pPr>
        <w:ind w:firstLine="630" w:firstLineChars="300"/>
        <w:rPr>
          <w:rFonts w:ascii="宋体" w:hAnsi="宋体" w:eastAsia="宋体" w:cs="宋体"/>
          <w:kern w:val="0"/>
          <w:szCs w:val="21"/>
          <w:highlight w:val="none"/>
        </w:rPr>
      </w:pPr>
      <w:r>
        <w:rPr>
          <w:rFonts w:hint="eastAsia" w:ascii="宋体" w:hAnsi="宋体" w:cs="宋体"/>
          <w:kern w:val="0"/>
          <w:szCs w:val="21"/>
          <w:highlight w:val="none"/>
        </w:rPr>
        <w:t>7.为采购项目提供整体设计、规范编制或者项目管理、监理、检测等服务的供应商，不得再参加该采购项目的其他采购活动（由供应商在《政府采购投标及履约承诺函》中作出声明）；</w:t>
      </w:r>
    </w:p>
    <w:p>
      <w:pPr>
        <w:ind w:firstLine="630" w:firstLineChars="300"/>
        <w:rPr>
          <w:rFonts w:ascii="宋体" w:hAnsi="宋体" w:cs="宋体"/>
          <w:kern w:val="0"/>
          <w:szCs w:val="21"/>
          <w:highlight w:val="none"/>
        </w:rPr>
      </w:pPr>
      <w:r>
        <w:rPr>
          <w:rFonts w:hint="eastAsia" w:ascii="宋体" w:hAnsi="宋体" w:cs="宋体"/>
          <w:kern w:val="0"/>
          <w:szCs w:val="21"/>
          <w:highlight w:val="none"/>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pPr>
        <w:ind w:firstLine="420" w:firstLineChars="200"/>
        <w:rPr>
          <w:highlight w:val="none"/>
        </w:rPr>
      </w:pPr>
      <w:r>
        <w:rPr>
          <w:rFonts w:hint="eastAsia" w:ascii="宋体" w:hAnsi="宋体" w:cs="宋体"/>
          <w:kern w:val="0"/>
          <w:szCs w:val="21"/>
          <w:highlight w:val="none"/>
        </w:rPr>
        <w:t>9.本项目全部专门面向中小企业采购：否。</w:t>
      </w:r>
    </w:p>
    <w:p>
      <w:pPr>
        <w:wordWrap w:val="0"/>
        <w:ind w:firstLine="420" w:firstLineChars="200"/>
        <w:rPr>
          <w:rFonts w:ascii="宋体" w:hAnsi="宋体" w:cs="宋体"/>
          <w:kern w:val="0"/>
          <w:szCs w:val="21"/>
          <w:highlight w:val="none"/>
        </w:rPr>
      </w:pPr>
      <w:r>
        <w:rPr>
          <w:rFonts w:hint="eastAsia" w:ascii="宋体" w:hAnsi="宋体" w:cs="宋体"/>
          <w:kern w:val="0"/>
          <w:szCs w:val="21"/>
          <w:highlight w:val="none"/>
        </w:rPr>
        <w:t>注：（1）“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pPr>
        <w:ind w:firstLine="420" w:firstLineChars="200"/>
        <w:rPr>
          <w:rFonts w:ascii="宋体" w:hAnsi="宋体"/>
          <w:highlight w:val="none"/>
        </w:rPr>
      </w:pPr>
      <w:r>
        <w:rPr>
          <w:rFonts w:hint="eastAsia" w:ascii="宋体" w:hAnsi="宋体"/>
          <w:highlight w:val="none"/>
        </w:rPr>
        <w:t>（2）供应商投标（上传投标文件）必须先行办理注册手续，具体请按照本公告“六、其他补充事宜</w:t>
      </w:r>
      <w:r>
        <w:rPr>
          <w:rFonts w:ascii="宋体" w:hAnsi="宋体"/>
          <w:highlight w:val="none"/>
        </w:rPr>
        <w:t>”</w:t>
      </w:r>
      <w:r>
        <w:rPr>
          <w:rFonts w:hint="eastAsia" w:ascii="宋体" w:hAnsi="宋体"/>
          <w:highlight w:val="none"/>
        </w:rPr>
        <w:t>相关内容指引办理。</w:t>
      </w:r>
    </w:p>
    <w:p>
      <w:pPr>
        <w:snapToGrid w:val="0"/>
        <w:spacing w:line="360" w:lineRule="exact"/>
        <w:ind w:firstLine="442" w:firstLineChars="200"/>
        <w:rPr>
          <w:rFonts w:asciiTheme="minorEastAsia" w:hAnsiTheme="minorEastAsia" w:cstheme="minorEastAsia"/>
          <w:sz w:val="24"/>
          <w:szCs w:val="24"/>
          <w:highlight w:val="none"/>
        </w:rPr>
      </w:pPr>
      <w:r>
        <w:rPr>
          <w:rFonts w:hint="eastAsia"/>
          <w:b/>
          <w:sz w:val="22"/>
          <w:szCs w:val="18"/>
          <w:highlight w:val="none"/>
        </w:rPr>
        <w:t>完整公告内容详见：深圳公共资源交易网（</w:t>
      </w:r>
      <w:r>
        <w:rPr>
          <w:b/>
          <w:sz w:val="22"/>
          <w:szCs w:val="18"/>
          <w:highlight w:val="none"/>
        </w:rPr>
        <w:t>https://www.szggzy.com</w:t>
      </w:r>
      <w:r>
        <w:rPr>
          <w:rFonts w:hint="eastAsia"/>
          <w:b/>
          <w:sz w:val="22"/>
          <w:szCs w:val="18"/>
          <w:highlight w:val="none"/>
        </w:rPr>
        <w:t>）</w:t>
      </w:r>
    </w:p>
    <w:p>
      <w:pPr>
        <w:snapToGrid w:val="0"/>
        <w:spacing w:line="300" w:lineRule="auto"/>
        <w:ind w:firstLine="480" w:firstLineChars="200"/>
        <w:rPr>
          <w:rFonts w:ascii="Arial" w:hAnsi="Arial" w:eastAsia="宋体" w:cs="Times New Roman"/>
          <w:sz w:val="24"/>
          <w:szCs w:val="24"/>
          <w:highlight w:val="none"/>
        </w:rPr>
      </w:pPr>
    </w:p>
    <w:p>
      <w:pPr>
        <w:spacing w:after="60" w:afterLines="25"/>
        <w:jc w:val="center"/>
        <w:rPr>
          <w:b/>
          <w:color w:val="FF0000"/>
          <w:sz w:val="30"/>
          <w:szCs w:val="30"/>
          <w:highlight w:val="none"/>
        </w:rPr>
      </w:pPr>
      <w:r>
        <w:rPr>
          <w:rFonts w:hint="eastAsia" w:ascii="Arial" w:hAnsi="Arial" w:eastAsia="宋体" w:cs="Times New Roman"/>
          <w:b/>
          <w:color w:val="FF0000"/>
          <w:sz w:val="30"/>
          <w:szCs w:val="30"/>
          <w:highlight w:val="none"/>
        </w:rPr>
        <w:t>完整公告内容以网站公布信息为准，详见：深圳政府采购自行采购系统</w:t>
      </w:r>
      <w:r>
        <w:rPr>
          <w:rFonts w:hint="eastAsia"/>
          <w:b/>
          <w:color w:val="FF0000"/>
          <w:sz w:val="30"/>
          <w:szCs w:val="30"/>
          <w:highlight w:val="none"/>
        </w:rPr>
        <w:t>网（https://zxcg.szggzy.com/home/index.html）</w:t>
      </w:r>
    </w:p>
    <w:p>
      <w:pPr>
        <w:widowControl/>
        <w:jc w:val="left"/>
        <w:rPr>
          <w:rFonts w:ascii="Arial" w:hAnsi="Arial" w:eastAsia="宋体" w:cs="Times New Roman"/>
          <w:b/>
          <w:color w:val="FF0000"/>
          <w:sz w:val="32"/>
          <w:szCs w:val="32"/>
          <w:highlight w:val="none"/>
        </w:rPr>
      </w:pPr>
    </w:p>
    <w:p>
      <w:pPr>
        <w:widowControl/>
        <w:jc w:val="left"/>
        <w:rPr>
          <w:rFonts w:ascii="Arial" w:hAnsi="Arial" w:eastAsia="宋体" w:cs="Times New Roman"/>
          <w:b/>
          <w:color w:val="FF0000"/>
          <w:sz w:val="32"/>
          <w:szCs w:val="32"/>
          <w:highlight w:val="none"/>
        </w:rPr>
      </w:pPr>
    </w:p>
    <w:p>
      <w:pPr>
        <w:rPr>
          <w:rFonts w:ascii="宋体" w:hAnsi="宋体" w:eastAsia="宋体" w:cs="Times New Roman"/>
          <w:b/>
          <w:bCs/>
          <w:kern w:val="0"/>
          <w:sz w:val="28"/>
          <w:szCs w:val="28"/>
          <w:highlight w:val="none"/>
        </w:rPr>
      </w:pPr>
      <w:r>
        <w:rPr>
          <w:rFonts w:hint="eastAsia" w:ascii="宋体" w:hAnsi="宋体" w:eastAsia="宋体" w:cs="Times New Roman"/>
          <w:b/>
          <w:bCs/>
          <w:kern w:val="0"/>
          <w:sz w:val="28"/>
          <w:szCs w:val="28"/>
          <w:highlight w:val="none"/>
        </w:rPr>
        <w:br w:type="page"/>
      </w:r>
    </w:p>
    <w:p>
      <w:pPr>
        <w:keepNext/>
        <w:keepLines/>
        <w:spacing w:before="260" w:after="260" w:line="416" w:lineRule="auto"/>
        <w:jc w:val="center"/>
        <w:outlineLvl w:val="1"/>
        <w:rPr>
          <w:rFonts w:ascii="宋体" w:hAnsi="宋体" w:eastAsia="宋体" w:cs="Times New Roman"/>
          <w:b/>
          <w:bCs/>
          <w:kern w:val="0"/>
          <w:sz w:val="28"/>
          <w:szCs w:val="28"/>
          <w:highlight w:val="none"/>
        </w:rPr>
      </w:pPr>
      <w:r>
        <w:rPr>
          <w:rFonts w:hint="eastAsia" w:ascii="宋体" w:hAnsi="宋体" w:eastAsia="宋体" w:cs="Times New Roman"/>
          <w:b/>
          <w:bCs/>
          <w:kern w:val="0"/>
          <w:sz w:val="28"/>
          <w:szCs w:val="28"/>
          <w:highlight w:val="none"/>
        </w:rPr>
        <w:t xml:space="preserve">第二章 </w:t>
      </w:r>
      <w:bookmarkStart w:id="12" w:name="_Hlk71926094"/>
      <w:r>
        <w:rPr>
          <w:rFonts w:hint="eastAsia" w:ascii="宋体" w:hAnsi="宋体" w:eastAsia="宋体" w:cs="Times New Roman"/>
          <w:b/>
          <w:bCs/>
          <w:kern w:val="0"/>
          <w:sz w:val="28"/>
          <w:szCs w:val="28"/>
          <w:highlight w:val="none"/>
        </w:rPr>
        <w:t>对通用条款的补充内容及其他关键信息</w:t>
      </w:r>
      <w:bookmarkEnd w:id="12"/>
    </w:p>
    <w:p>
      <w:pPr>
        <w:keepNext/>
        <w:keepLines/>
        <w:adjustRightInd w:val="0"/>
        <w:spacing w:before="120" w:beforeLines="50" w:after="120" w:afterLines="50"/>
        <w:jc w:val="center"/>
        <w:textAlignment w:val="baseline"/>
        <w:outlineLvl w:val="2"/>
        <w:rPr>
          <w:rFonts w:ascii="宋体" w:hAnsi="宋体" w:eastAsia="宋体" w:cs="Times New Roman"/>
          <w:b/>
          <w:bCs/>
          <w:kern w:val="0"/>
          <w:sz w:val="24"/>
          <w:szCs w:val="24"/>
          <w:highlight w:val="none"/>
        </w:rPr>
      </w:pPr>
      <w:bookmarkStart w:id="13" w:name="_Toc60560625"/>
      <w:bookmarkStart w:id="14" w:name="_Toc60631620"/>
      <w:bookmarkStart w:id="15" w:name="_Toc101074876"/>
      <w:bookmarkStart w:id="16" w:name="_Toc73517639"/>
      <w:bookmarkStart w:id="17" w:name="_Toc73521635"/>
      <w:bookmarkStart w:id="18" w:name="_Toc100052364"/>
      <w:bookmarkStart w:id="19" w:name="_Toc73521547"/>
      <w:bookmarkStart w:id="20" w:name="_Toc73518117"/>
      <w:r>
        <w:rPr>
          <w:rFonts w:hint="eastAsia" w:ascii="宋体" w:hAnsi="宋体" w:eastAsia="宋体" w:cs="Times New Roman"/>
          <w:b/>
          <w:bCs/>
          <w:kern w:val="0"/>
          <w:sz w:val="24"/>
          <w:szCs w:val="24"/>
          <w:highlight w:val="none"/>
        </w:rPr>
        <w:t>一、对通用条款的补充内容</w:t>
      </w:r>
    </w:p>
    <w:bookmarkEnd w:id="13"/>
    <w:bookmarkEnd w:id="14"/>
    <w:bookmarkEnd w:id="15"/>
    <w:bookmarkEnd w:id="16"/>
    <w:bookmarkEnd w:id="17"/>
    <w:bookmarkEnd w:id="18"/>
    <w:bookmarkEnd w:id="19"/>
    <w:bookmarkEnd w:id="20"/>
    <w:tbl>
      <w:tblPr>
        <w:tblStyle w:val="20"/>
        <w:tblW w:w="899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78"/>
        <w:gridCol w:w="1755"/>
        <w:gridCol w:w="625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b/>
                <w:bCs/>
                <w:highlight w:val="none"/>
              </w:rPr>
            </w:pPr>
            <w:r>
              <w:rPr>
                <w:rFonts w:hint="eastAsia" w:ascii="宋体" w:hAnsi="宋体"/>
                <w:b/>
                <w:bCs/>
                <w:highlight w:val="none"/>
              </w:rPr>
              <w:t>通用条款序号</w:t>
            </w:r>
          </w:p>
        </w:tc>
        <w:tc>
          <w:tcPr>
            <w:tcW w:w="1755" w:type="dxa"/>
            <w:vAlign w:val="center"/>
          </w:tcPr>
          <w:p>
            <w:pPr>
              <w:jc w:val="center"/>
              <w:rPr>
                <w:rFonts w:ascii="宋体" w:hAnsi="宋体"/>
                <w:b/>
                <w:bCs/>
                <w:highlight w:val="none"/>
              </w:rPr>
            </w:pPr>
            <w:r>
              <w:rPr>
                <w:rFonts w:hint="eastAsia" w:ascii="宋体" w:hAnsi="宋体"/>
                <w:b/>
                <w:bCs/>
                <w:highlight w:val="none"/>
              </w:rPr>
              <w:t>涉及事项</w:t>
            </w:r>
          </w:p>
        </w:tc>
        <w:tc>
          <w:tcPr>
            <w:tcW w:w="6259" w:type="dxa"/>
            <w:vAlign w:val="center"/>
          </w:tcPr>
          <w:p>
            <w:pPr>
              <w:jc w:val="center"/>
              <w:rPr>
                <w:rFonts w:ascii="宋体" w:hAnsi="宋体"/>
                <w:b/>
                <w:bCs/>
                <w:highlight w:val="none"/>
              </w:rPr>
            </w:pPr>
            <w:r>
              <w:rPr>
                <w:rFonts w:hint="eastAsia" w:ascii="宋体" w:hAnsi="宋体"/>
                <w:b/>
                <w:bCs/>
                <w:highlight w:val="none"/>
              </w:rPr>
              <w:t xml:space="preserve">具 </w:t>
            </w:r>
            <w:r>
              <w:rPr>
                <w:rFonts w:ascii="宋体" w:hAnsi="宋体"/>
                <w:b/>
                <w:bCs/>
                <w:highlight w:val="none"/>
              </w:rPr>
              <w:t xml:space="preserve"> </w:t>
            </w:r>
            <w:r>
              <w:rPr>
                <w:rFonts w:hint="eastAsia" w:ascii="宋体" w:hAnsi="宋体"/>
                <w:b/>
                <w:bCs/>
                <w:highlight w:val="none"/>
              </w:rPr>
              <w:t xml:space="preserve">体 </w:t>
            </w:r>
            <w:r>
              <w:rPr>
                <w:rFonts w:ascii="宋体" w:hAnsi="宋体"/>
                <w:b/>
                <w:bCs/>
                <w:highlight w:val="none"/>
              </w:rPr>
              <w:t xml:space="preserve"> </w:t>
            </w:r>
            <w:r>
              <w:rPr>
                <w:rFonts w:hint="eastAsia" w:ascii="宋体" w:hAnsi="宋体"/>
                <w:b/>
                <w:bCs/>
                <w:highlight w:val="none"/>
              </w:rPr>
              <w:t xml:space="preserve">补 </w:t>
            </w:r>
            <w:r>
              <w:rPr>
                <w:rFonts w:ascii="宋体" w:hAnsi="宋体"/>
                <w:b/>
                <w:bCs/>
                <w:highlight w:val="none"/>
              </w:rPr>
              <w:t xml:space="preserve"> </w:t>
            </w:r>
            <w:r>
              <w:rPr>
                <w:rFonts w:hint="eastAsia" w:ascii="宋体" w:hAnsi="宋体"/>
                <w:b/>
                <w:bCs/>
                <w:highlight w:val="none"/>
              </w:rPr>
              <w:t xml:space="preserve">充 </w:t>
            </w:r>
            <w:r>
              <w:rPr>
                <w:rFonts w:ascii="宋体" w:hAnsi="宋体"/>
                <w:b/>
                <w:bCs/>
                <w:highlight w:val="none"/>
              </w:rPr>
              <w:t xml:space="preserve"> </w:t>
            </w:r>
            <w:r>
              <w:rPr>
                <w:rFonts w:hint="eastAsia" w:ascii="宋体" w:hAnsi="宋体"/>
                <w:b/>
                <w:bCs/>
                <w:highlight w:val="none"/>
              </w:rPr>
              <w:t xml:space="preserve">内 </w:t>
            </w:r>
            <w:r>
              <w:rPr>
                <w:rFonts w:ascii="宋体" w:hAnsi="宋体"/>
                <w:b/>
                <w:bCs/>
                <w:highlight w:val="none"/>
              </w:rPr>
              <w:t xml:space="preserve"> </w:t>
            </w:r>
            <w:r>
              <w:rPr>
                <w:rFonts w:hint="eastAsia" w:ascii="宋体" w:hAnsi="宋体"/>
                <w:b/>
                <w:bCs/>
                <w:highlight w:val="none"/>
              </w:rPr>
              <w:t>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3</w:t>
            </w:r>
            <w:r>
              <w:rPr>
                <w:rFonts w:ascii="宋体" w:hAnsi="宋体"/>
                <w:highlight w:val="none"/>
              </w:rPr>
              <w:t>.1</w:t>
            </w:r>
          </w:p>
        </w:tc>
        <w:tc>
          <w:tcPr>
            <w:tcW w:w="1755" w:type="dxa"/>
            <w:vAlign w:val="center"/>
          </w:tcPr>
          <w:p>
            <w:pPr>
              <w:jc w:val="center"/>
              <w:rPr>
                <w:highlight w:val="none"/>
              </w:rPr>
            </w:pPr>
            <w:r>
              <w:rPr>
                <w:rFonts w:hint="eastAsia"/>
                <w:highlight w:val="none"/>
              </w:rPr>
              <w:t>采购人</w:t>
            </w:r>
          </w:p>
        </w:tc>
        <w:tc>
          <w:tcPr>
            <w:tcW w:w="6259" w:type="dxa"/>
            <w:vAlign w:val="center"/>
          </w:tcPr>
          <w:p>
            <w:pPr>
              <w:jc w:val="left"/>
              <w:rPr>
                <w:rFonts w:ascii="宋体" w:hAnsi="宋体"/>
                <w:highlight w:val="none"/>
              </w:rPr>
            </w:pPr>
            <w:r>
              <w:rPr>
                <w:rFonts w:hint="eastAsia" w:ascii="宋体" w:hAnsi="宋体"/>
                <w:highlight w:val="none"/>
              </w:rPr>
              <w:t>深圳市龙华区教育局</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3</w:t>
            </w:r>
            <w:r>
              <w:rPr>
                <w:rFonts w:ascii="宋体" w:hAnsi="宋体"/>
                <w:highlight w:val="none"/>
              </w:rPr>
              <w:t>.2</w:t>
            </w:r>
          </w:p>
        </w:tc>
        <w:tc>
          <w:tcPr>
            <w:tcW w:w="1755" w:type="dxa"/>
            <w:vAlign w:val="center"/>
          </w:tcPr>
          <w:p>
            <w:pPr>
              <w:jc w:val="center"/>
              <w:rPr>
                <w:rFonts w:ascii="宋体" w:hAnsi="宋体"/>
                <w:highlight w:val="none"/>
              </w:rPr>
            </w:pPr>
            <w:r>
              <w:rPr>
                <w:rFonts w:hint="eastAsia" w:ascii="宋体" w:hAnsi="宋体"/>
                <w:highlight w:val="none"/>
              </w:rPr>
              <w:t>政府集中采购机构</w:t>
            </w:r>
          </w:p>
        </w:tc>
        <w:tc>
          <w:tcPr>
            <w:tcW w:w="6259" w:type="dxa"/>
            <w:vAlign w:val="center"/>
          </w:tcPr>
          <w:p>
            <w:pPr>
              <w:jc w:val="left"/>
              <w:rPr>
                <w:rFonts w:ascii="宋体" w:hAnsi="宋体"/>
                <w:highlight w:val="none"/>
              </w:rPr>
            </w:pPr>
            <w:r>
              <w:rPr>
                <w:rFonts w:hint="eastAsia" w:ascii="宋体" w:hAnsi="宋体" w:eastAsia="宋体" w:cs="Arial"/>
                <w:szCs w:val="21"/>
                <w:highlight w:val="none"/>
              </w:rPr>
              <w:t>本文件所述的“政府集中采购机构”</w:t>
            </w:r>
            <w:r>
              <w:rPr>
                <w:rFonts w:ascii="宋体" w:hAnsi="宋体" w:eastAsia="宋体" w:cs="Arial"/>
                <w:szCs w:val="21"/>
                <w:highlight w:val="none"/>
              </w:rPr>
              <w:t>指</w:t>
            </w:r>
            <w:r>
              <w:rPr>
                <w:rFonts w:hint="eastAsia" w:ascii="宋体" w:hAnsi="宋体" w:eastAsia="宋体" w:cs="Arial"/>
                <w:b/>
                <w:bCs/>
                <w:szCs w:val="21"/>
                <w:highlight w:val="none"/>
              </w:rPr>
              <w:t>深圳公共资源交易中心</w:t>
            </w:r>
            <w:r>
              <w:rPr>
                <w:rFonts w:hint="eastAsia" w:ascii="Arial" w:hAnsi="Arial" w:eastAsia="宋体" w:cs="Times New Roman"/>
                <w:szCs w:val="24"/>
                <w:highlight w:val="none"/>
              </w:rPr>
              <w:t>。本项目具体由深圳公共资源交易中心（深圳交易集团有限公司龙华分公司）执行</w:t>
            </w:r>
            <w:r>
              <w:rPr>
                <w:rFonts w:hint="eastAsia" w:ascii="Arial" w:hAnsi="Arial" w:eastAsia="宋体" w:cs="Times New Roman"/>
                <w:bCs/>
                <w:szCs w:val="24"/>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9</w:t>
            </w:r>
          </w:p>
        </w:tc>
        <w:tc>
          <w:tcPr>
            <w:tcW w:w="1755" w:type="dxa"/>
            <w:vAlign w:val="center"/>
          </w:tcPr>
          <w:p>
            <w:pPr>
              <w:jc w:val="center"/>
              <w:rPr>
                <w:rFonts w:ascii="宋体" w:hAnsi="宋体"/>
                <w:highlight w:val="none"/>
              </w:rPr>
            </w:pPr>
            <w:r>
              <w:rPr>
                <w:rFonts w:hint="eastAsia" w:ascii="宋体" w:hAnsi="宋体"/>
                <w:highlight w:val="none"/>
              </w:rPr>
              <w:t>踏勘现场</w:t>
            </w:r>
          </w:p>
        </w:tc>
        <w:tc>
          <w:tcPr>
            <w:tcW w:w="6259" w:type="dxa"/>
            <w:vAlign w:val="center"/>
          </w:tcPr>
          <w:p>
            <w:pPr>
              <w:jc w:val="left"/>
              <w:rPr>
                <w:rFonts w:ascii="Arial" w:hAnsi="Arial" w:eastAsia="宋体" w:cs="Times New Roman"/>
                <w:szCs w:val="24"/>
                <w:highlight w:val="none"/>
              </w:rPr>
            </w:pPr>
            <w:r>
              <w:rPr>
                <w:rFonts w:hint="eastAsia" w:ascii="Arial" w:hAnsi="Arial" w:eastAsia="宋体" w:cs="Times New Roman"/>
                <w:szCs w:val="24"/>
                <w:highlight w:val="none"/>
              </w:rPr>
              <w:t>不组织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1</w:t>
            </w:r>
            <w:r>
              <w:rPr>
                <w:rFonts w:ascii="宋体" w:hAnsi="宋体"/>
                <w:highlight w:val="none"/>
              </w:rPr>
              <w:t>0</w:t>
            </w:r>
          </w:p>
        </w:tc>
        <w:tc>
          <w:tcPr>
            <w:tcW w:w="1755" w:type="dxa"/>
            <w:vAlign w:val="center"/>
          </w:tcPr>
          <w:p>
            <w:pPr>
              <w:jc w:val="center"/>
              <w:rPr>
                <w:rFonts w:ascii="宋体" w:hAnsi="宋体"/>
                <w:highlight w:val="none"/>
              </w:rPr>
            </w:pPr>
            <w:r>
              <w:rPr>
                <w:rFonts w:hint="eastAsia" w:ascii="宋体" w:hAnsi="宋体"/>
                <w:highlight w:val="none"/>
              </w:rPr>
              <w:t>标前会议</w:t>
            </w:r>
          </w:p>
        </w:tc>
        <w:tc>
          <w:tcPr>
            <w:tcW w:w="6259" w:type="dxa"/>
            <w:vAlign w:val="center"/>
          </w:tcPr>
          <w:p>
            <w:pPr>
              <w:jc w:val="left"/>
              <w:rPr>
                <w:rFonts w:ascii="Arial" w:hAnsi="Arial" w:eastAsia="宋体" w:cs="Times New Roman"/>
                <w:szCs w:val="24"/>
                <w:highlight w:val="none"/>
              </w:rPr>
            </w:pPr>
            <w:r>
              <w:rPr>
                <w:rFonts w:hint="eastAsia" w:ascii="Arial" w:hAnsi="Arial" w:eastAsia="宋体" w:cs="Times New Roman"/>
                <w:szCs w:val="24"/>
                <w:highlight w:val="none"/>
              </w:rPr>
              <w:t>不组织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1</w:t>
            </w:r>
            <w:r>
              <w:rPr>
                <w:rFonts w:ascii="宋体" w:hAnsi="宋体"/>
                <w:highlight w:val="none"/>
              </w:rPr>
              <w:t>2</w:t>
            </w:r>
            <w:r>
              <w:rPr>
                <w:rFonts w:hint="eastAsia" w:ascii="宋体" w:hAnsi="宋体"/>
                <w:highlight w:val="none"/>
              </w:rPr>
              <w:t>/1</w:t>
            </w:r>
            <w:r>
              <w:rPr>
                <w:rFonts w:ascii="宋体" w:hAnsi="宋体"/>
                <w:highlight w:val="none"/>
              </w:rPr>
              <w:t>3</w:t>
            </w:r>
          </w:p>
        </w:tc>
        <w:tc>
          <w:tcPr>
            <w:tcW w:w="1755" w:type="dxa"/>
            <w:vAlign w:val="center"/>
          </w:tcPr>
          <w:p>
            <w:pPr>
              <w:jc w:val="center"/>
              <w:rPr>
                <w:rFonts w:ascii="宋体" w:hAnsi="宋体"/>
                <w:highlight w:val="none"/>
              </w:rPr>
            </w:pPr>
            <w:r>
              <w:rPr>
                <w:rFonts w:hint="eastAsia" w:ascii="宋体" w:hAnsi="宋体"/>
                <w:highlight w:val="none"/>
              </w:rPr>
              <w:t>招标文件的澄清和修改</w:t>
            </w:r>
          </w:p>
        </w:tc>
        <w:tc>
          <w:tcPr>
            <w:tcW w:w="6259" w:type="dxa"/>
            <w:vAlign w:val="center"/>
          </w:tcPr>
          <w:p>
            <w:pPr>
              <w:jc w:val="left"/>
              <w:rPr>
                <w:rFonts w:ascii="宋体" w:hAnsi="宋体"/>
                <w:highlight w:val="none"/>
              </w:rPr>
            </w:pPr>
            <w:r>
              <w:rPr>
                <w:rFonts w:hint="eastAsia" w:ascii="宋体" w:hAnsi="宋体"/>
                <w:highlight w:val="none"/>
              </w:rPr>
              <w:t>不晚于投标截止日三日前，投标人有义务在招标期间在政府集中采购机构网站浏览与本项目有关的澄清和修改信息。</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2</w:t>
            </w:r>
            <w:r>
              <w:rPr>
                <w:rFonts w:ascii="宋体" w:hAnsi="宋体"/>
                <w:highlight w:val="none"/>
              </w:rPr>
              <w:t>0</w:t>
            </w:r>
          </w:p>
        </w:tc>
        <w:tc>
          <w:tcPr>
            <w:tcW w:w="1755" w:type="dxa"/>
            <w:vAlign w:val="center"/>
          </w:tcPr>
          <w:p>
            <w:pPr>
              <w:jc w:val="center"/>
              <w:rPr>
                <w:rFonts w:ascii="宋体" w:hAnsi="宋体"/>
                <w:highlight w:val="none"/>
              </w:rPr>
            </w:pPr>
            <w:r>
              <w:rPr>
                <w:rFonts w:hint="eastAsia" w:ascii="宋体" w:hAnsi="宋体"/>
                <w:highlight w:val="none"/>
              </w:rPr>
              <w:t>投标有效期</w:t>
            </w:r>
          </w:p>
        </w:tc>
        <w:tc>
          <w:tcPr>
            <w:tcW w:w="6259" w:type="dxa"/>
            <w:vAlign w:val="center"/>
          </w:tcPr>
          <w:p>
            <w:pPr>
              <w:jc w:val="left"/>
              <w:rPr>
                <w:rFonts w:ascii="宋体" w:hAnsi="宋体"/>
                <w:highlight w:val="none"/>
              </w:rPr>
            </w:pPr>
            <w:r>
              <w:rPr>
                <w:rFonts w:hint="eastAsia" w:ascii="宋体" w:hAnsi="宋体"/>
                <w:highlight w:val="none"/>
              </w:rPr>
              <w:t>120日历天（从投标截止之日算起）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2</w:t>
            </w:r>
            <w:r>
              <w:rPr>
                <w:rFonts w:ascii="宋体" w:hAnsi="宋体"/>
                <w:highlight w:val="none"/>
              </w:rPr>
              <w:t>2</w:t>
            </w:r>
          </w:p>
        </w:tc>
        <w:tc>
          <w:tcPr>
            <w:tcW w:w="1755" w:type="dxa"/>
            <w:vAlign w:val="center"/>
          </w:tcPr>
          <w:p>
            <w:pPr>
              <w:jc w:val="center"/>
              <w:rPr>
                <w:rFonts w:ascii="宋体" w:hAnsi="宋体"/>
                <w:highlight w:val="none"/>
              </w:rPr>
            </w:pPr>
            <w:r>
              <w:rPr>
                <w:rFonts w:hint="eastAsia" w:ascii="宋体" w:hAnsi="宋体"/>
                <w:highlight w:val="none"/>
              </w:rPr>
              <w:t>投标人的替代方案</w:t>
            </w:r>
          </w:p>
        </w:tc>
        <w:tc>
          <w:tcPr>
            <w:tcW w:w="6259" w:type="dxa"/>
            <w:vAlign w:val="center"/>
          </w:tcPr>
          <w:p>
            <w:pPr>
              <w:jc w:val="left"/>
              <w:rPr>
                <w:rFonts w:ascii="宋体" w:hAnsi="宋体"/>
                <w:highlight w:val="none"/>
              </w:rPr>
            </w:pPr>
            <w:r>
              <w:rPr>
                <w:rFonts w:hint="eastAsia" w:ascii="宋体" w:hAnsi="宋体"/>
                <w:highlight w:val="none"/>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2</w:t>
            </w:r>
            <w:r>
              <w:rPr>
                <w:rFonts w:ascii="宋体" w:hAnsi="宋体"/>
                <w:highlight w:val="none"/>
              </w:rPr>
              <w:t>5</w:t>
            </w:r>
          </w:p>
        </w:tc>
        <w:tc>
          <w:tcPr>
            <w:tcW w:w="1755" w:type="dxa"/>
            <w:vAlign w:val="center"/>
          </w:tcPr>
          <w:p>
            <w:pPr>
              <w:jc w:val="center"/>
              <w:rPr>
                <w:rFonts w:ascii="宋体" w:hAnsi="宋体"/>
                <w:highlight w:val="none"/>
              </w:rPr>
            </w:pPr>
            <w:r>
              <w:rPr>
                <w:rFonts w:hint="eastAsia" w:ascii="宋体" w:hAnsi="宋体"/>
                <w:highlight w:val="none"/>
              </w:rPr>
              <w:t>投标文件的大小</w:t>
            </w:r>
          </w:p>
        </w:tc>
        <w:tc>
          <w:tcPr>
            <w:tcW w:w="6259" w:type="dxa"/>
            <w:vAlign w:val="center"/>
          </w:tcPr>
          <w:p>
            <w:pPr>
              <w:jc w:val="left"/>
              <w:rPr>
                <w:rFonts w:ascii="宋体" w:hAnsi="宋体"/>
                <w:highlight w:val="none"/>
              </w:rPr>
            </w:pPr>
            <w:r>
              <w:rPr>
                <w:rFonts w:hint="eastAsia" w:ascii="宋体" w:hAnsi="宋体"/>
                <w:highlight w:val="none"/>
              </w:rPr>
              <w:t>投标文件大小不得超过100MB</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2</w:t>
            </w:r>
            <w:r>
              <w:rPr>
                <w:rFonts w:ascii="宋体" w:hAnsi="宋体"/>
                <w:highlight w:val="none"/>
              </w:rPr>
              <w:t>6</w:t>
            </w:r>
          </w:p>
        </w:tc>
        <w:tc>
          <w:tcPr>
            <w:tcW w:w="1755" w:type="dxa"/>
            <w:vAlign w:val="center"/>
          </w:tcPr>
          <w:p>
            <w:pPr>
              <w:jc w:val="center"/>
              <w:rPr>
                <w:rFonts w:ascii="宋体" w:hAnsi="宋体"/>
                <w:highlight w:val="none"/>
              </w:rPr>
            </w:pPr>
            <w:bookmarkStart w:id="21" w:name="_Hlk71664860"/>
            <w:r>
              <w:rPr>
                <w:rFonts w:hint="eastAsia" w:ascii="宋体" w:hAnsi="宋体"/>
                <w:highlight w:val="none"/>
              </w:rPr>
              <w:t>样品、现场演示、方案讲解</w:t>
            </w:r>
            <w:bookmarkEnd w:id="21"/>
          </w:p>
        </w:tc>
        <w:tc>
          <w:tcPr>
            <w:tcW w:w="6259" w:type="dxa"/>
            <w:vAlign w:val="center"/>
          </w:tcPr>
          <w:p>
            <w:pPr>
              <w:jc w:val="left"/>
              <w:rPr>
                <w:rFonts w:ascii="宋体" w:hAnsi="宋体"/>
                <w:highlight w:val="none"/>
              </w:rPr>
            </w:pPr>
            <w:r>
              <w:rPr>
                <w:rFonts w:hint="eastAsia" w:ascii="宋体" w:hAnsi="宋体"/>
                <w:highlight w:val="none"/>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3</w:t>
            </w:r>
            <w:r>
              <w:rPr>
                <w:rFonts w:ascii="宋体" w:hAnsi="宋体"/>
                <w:highlight w:val="none"/>
              </w:rPr>
              <w:t>7</w:t>
            </w:r>
          </w:p>
        </w:tc>
        <w:tc>
          <w:tcPr>
            <w:tcW w:w="1755" w:type="dxa"/>
            <w:vAlign w:val="center"/>
          </w:tcPr>
          <w:p>
            <w:pPr>
              <w:jc w:val="center"/>
              <w:rPr>
                <w:rFonts w:ascii="宋体" w:hAnsi="宋体"/>
                <w:highlight w:val="none"/>
              </w:rPr>
            </w:pPr>
            <w:r>
              <w:rPr>
                <w:rFonts w:hint="eastAsia" w:ascii="宋体" w:hAnsi="宋体"/>
                <w:highlight w:val="none"/>
              </w:rPr>
              <w:t>评审方法</w:t>
            </w:r>
          </w:p>
        </w:tc>
        <w:tc>
          <w:tcPr>
            <w:tcW w:w="6259" w:type="dxa"/>
            <w:vAlign w:val="center"/>
          </w:tcPr>
          <w:p>
            <w:pPr>
              <w:jc w:val="left"/>
              <w:rPr>
                <w:rFonts w:ascii="宋体" w:hAnsi="宋体"/>
                <w:highlight w:val="none"/>
              </w:rPr>
            </w:pPr>
            <w:r>
              <w:rPr>
                <w:rFonts w:ascii="宋体" w:hAnsi="宋体"/>
                <w:b/>
                <w:bCs/>
                <w:highlight w:val="none"/>
              </w:rPr>
              <w:t>综合评分法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3</w:t>
            </w:r>
            <w:r>
              <w:rPr>
                <w:rFonts w:ascii="宋体" w:hAnsi="宋体"/>
                <w:highlight w:val="none"/>
              </w:rPr>
              <w:t>8</w:t>
            </w:r>
          </w:p>
        </w:tc>
        <w:tc>
          <w:tcPr>
            <w:tcW w:w="1755" w:type="dxa"/>
            <w:vAlign w:val="center"/>
          </w:tcPr>
          <w:p>
            <w:pPr>
              <w:jc w:val="center"/>
              <w:rPr>
                <w:rFonts w:ascii="宋体" w:hAnsi="宋体"/>
                <w:highlight w:val="none"/>
              </w:rPr>
            </w:pPr>
            <w:r>
              <w:rPr>
                <w:rFonts w:hint="eastAsia" w:ascii="宋体" w:hAnsi="宋体"/>
                <w:highlight w:val="none"/>
              </w:rPr>
              <w:t>定标方法</w:t>
            </w:r>
          </w:p>
        </w:tc>
        <w:tc>
          <w:tcPr>
            <w:tcW w:w="6259" w:type="dxa"/>
            <w:vAlign w:val="center"/>
          </w:tcPr>
          <w:p>
            <w:pPr>
              <w:jc w:val="left"/>
              <w:rPr>
                <w:rFonts w:ascii="宋体" w:hAnsi="宋体"/>
                <w:b/>
                <w:bCs/>
                <w:highlight w:val="none"/>
              </w:rPr>
            </w:pPr>
            <w:r>
              <w:rPr>
                <w:rFonts w:hint="eastAsia" w:ascii="宋体" w:hAnsi="宋体" w:eastAsia="宋体" w:cs="Times New Roman"/>
                <w:b/>
                <w:bCs/>
                <w:szCs w:val="21"/>
                <w:highlight w:val="none"/>
              </w:rPr>
              <w:t>非评定分离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pPr>
              <w:jc w:val="center"/>
              <w:rPr>
                <w:rFonts w:ascii="宋体" w:hAnsi="宋体"/>
                <w:highlight w:val="none"/>
              </w:rPr>
            </w:pPr>
            <w:r>
              <w:rPr>
                <w:rFonts w:hint="eastAsia" w:ascii="宋体" w:hAnsi="宋体"/>
                <w:highlight w:val="none"/>
              </w:rPr>
              <w:t>4</w:t>
            </w:r>
            <w:r>
              <w:rPr>
                <w:rFonts w:ascii="宋体" w:hAnsi="宋体"/>
                <w:highlight w:val="none"/>
              </w:rPr>
              <w:t>6</w:t>
            </w:r>
          </w:p>
        </w:tc>
        <w:tc>
          <w:tcPr>
            <w:tcW w:w="1755" w:type="dxa"/>
            <w:vAlign w:val="center"/>
          </w:tcPr>
          <w:p>
            <w:pPr>
              <w:jc w:val="center"/>
              <w:rPr>
                <w:rFonts w:ascii="宋体" w:hAnsi="宋体"/>
                <w:highlight w:val="none"/>
              </w:rPr>
            </w:pPr>
            <w:r>
              <w:rPr>
                <w:rFonts w:hint="eastAsia" w:ascii="宋体" w:hAnsi="宋体"/>
                <w:highlight w:val="none"/>
              </w:rPr>
              <w:t>履约担保</w:t>
            </w:r>
          </w:p>
        </w:tc>
        <w:tc>
          <w:tcPr>
            <w:tcW w:w="6259" w:type="dxa"/>
            <w:vAlign w:val="center"/>
          </w:tcPr>
          <w:p>
            <w:pPr>
              <w:jc w:val="left"/>
              <w:rPr>
                <w:rFonts w:ascii="宋体" w:hAnsi="宋体"/>
                <w:highlight w:val="none"/>
              </w:rPr>
            </w:pPr>
            <w:r>
              <w:rPr>
                <w:rFonts w:hint="eastAsia" w:ascii="宋体" w:hAnsi="宋体"/>
                <w:highlight w:val="none"/>
              </w:rPr>
              <w:t>不需要</w:t>
            </w:r>
          </w:p>
        </w:tc>
      </w:tr>
    </w:tbl>
    <w:p>
      <w:pPr>
        <w:widowControl/>
        <w:jc w:val="center"/>
        <w:rPr>
          <w:szCs w:val="21"/>
          <w:highlight w:val="none"/>
        </w:rPr>
      </w:pPr>
      <w:r>
        <w:rPr>
          <w:rFonts w:hint="eastAsia"/>
          <w:szCs w:val="21"/>
          <w:highlight w:val="none"/>
        </w:rPr>
        <w:t>备注：本表是通用条款相关条款的补充和明确，如与通用条款内容相冲突的，以本表为准。</w:t>
      </w:r>
    </w:p>
    <w:p>
      <w:pPr>
        <w:keepNext/>
        <w:keepLines/>
        <w:adjustRightInd w:val="0"/>
        <w:spacing w:before="120" w:beforeLines="50" w:after="120" w:afterLines="50"/>
        <w:jc w:val="center"/>
        <w:textAlignment w:val="baseline"/>
        <w:outlineLvl w:val="2"/>
        <w:rPr>
          <w:rFonts w:ascii="宋体" w:hAnsi="宋体" w:eastAsia="宋体" w:cs="Times New Roman"/>
          <w:b/>
          <w:bCs/>
          <w:kern w:val="0"/>
          <w:sz w:val="24"/>
          <w:szCs w:val="24"/>
          <w:highlight w:val="none"/>
        </w:rPr>
      </w:pPr>
      <w:r>
        <w:rPr>
          <w:rFonts w:hint="eastAsia" w:ascii="宋体" w:hAnsi="宋体" w:eastAsia="宋体" w:cs="Times New Roman"/>
          <w:b/>
          <w:bCs/>
          <w:kern w:val="0"/>
          <w:sz w:val="24"/>
          <w:szCs w:val="24"/>
          <w:highlight w:val="none"/>
        </w:rPr>
        <w:t>二、其他关键信息</w:t>
      </w:r>
    </w:p>
    <w:p>
      <w:pPr>
        <w:tabs>
          <w:tab w:val="left" w:pos="720"/>
        </w:tabs>
        <w:rPr>
          <w:rFonts w:ascii="黑体" w:hAnsi="宋体" w:eastAsia="黑体"/>
          <w:sz w:val="24"/>
          <w:highlight w:val="none"/>
        </w:rPr>
      </w:pPr>
      <w:r>
        <w:rPr>
          <w:rFonts w:hint="eastAsia" w:ascii="黑体" w:hAnsi="宋体" w:eastAsia="黑体"/>
          <w:sz w:val="24"/>
          <w:highlight w:val="none"/>
        </w:rPr>
        <w:t>（一）</w:t>
      </w:r>
      <w:r>
        <w:rPr>
          <w:rFonts w:hint="eastAsia" w:ascii="黑体" w:hAnsi="宋体" w:eastAsia="黑体"/>
          <w:bCs/>
          <w:sz w:val="24"/>
          <w:highlight w:val="none"/>
        </w:rPr>
        <w:t>与“对通用条款的补充内容”章节相关的事项</w:t>
      </w:r>
    </w:p>
    <w:p>
      <w:pPr>
        <w:tabs>
          <w:tab w:val="left" w:pos="720"/>
        </w:tabs>
        <w:rPr>
          <w:highlight w:val="none"/>
        </w:rPr>
      </w:pPr>
      <w:r>
        <w:rPr>
          <w:rFonts w:hint="eastAsia" w:ascii="黑体" w:hAnsi="宋体" w:eastAsia="黑体"/>
          <w:bCs/>
          <w:sz w:val="24"/>
          <w:highlight w:val="none"/>
        </w:rPr>
        <w:t>1、评标定标信息</w:t>
      </w:r>
    </w:p>
    <w:p>
      <w:pPr>
        <w:jc w:val="center"/>
        <w:rPr>
          <w:highlight w:val="none"/>
        </w:rPr>
      </w:pPr>
      <w:r>
        <w:rPr>
          <w:rFonts w:hint="eastAsia"/>
          <w:b/>
          <w:highlight w:val="none"/>
        </w:rPr>
        <w:t>非评定分离项目</w:t>
      </w:r>
    </w:p>
    <w:tbl>
      <w:tblPr>
        <w:tblStyle w:val="21"/>
        <w:tblW w:w="78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1"/>
        <w:gridCol w:w="3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tcPr>
          <w:p>
            <w:pPr>
              <w:jc w:val="center"/>
              <w:rPr>
                <w:highlight w:val="none"/>
              </w:rPr>
            </w:pPr>
            <w:r>
              <w:rPr>
                <w:rFonts w:hint="eastAsia"/>
                <w:highlight w:val="none"/>
              </w:rPr>
              <w:t>评标方法</w:t>
            </w:r>
          </w:p>
        </w:tc>
        <w:tc>
          <w:tcPr>
            <w:tcW w:w="3720" w:type="dxa"/>
          </w:tcPr>
          <w:p>
            <w:pPr>
              <w:jc w:val="center"/>
              <w:rPr>
                <w:rFonts w:eastAsia="宋体"/>
                <w:highlight w:val="none"/>
              </w:rPr>
            </w:pPr>
            <w:r>
              <w:rPr>
                <w:rFonts w:hint="eastAsia"/>
                <w:highlight w:val="none"/>
              </w:rPr>
              <w:sym w:font="Wingdings" w:char="00FE"/>
            </w:r>
            <w:r>
              <w:rPr>
                <w:rFonts w:hint="eastAsia"/>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tcPr>
          <w:p>
            <w:pPr>
              <w:jc w:val="center"/>
              <w:rPr>
                <w:highlight w:val="none"/>
              </w:rPr>
            </w:pPr>
            <w:r>
              <w:rPr>
                <w:rFonts w:hint="eastAsia"/>
                <w:highlight w:val="none"/>
              </w:rPr>
              <w:t>候选中标供应商家数</w:t>
            </w:r>
          </w:p>
        </w:tc>
        <w:tc>
          <w:tcPr>
            <w:tcW w:w="3720" w:type="dxa"/>
          </w:tcPr>
          <w:p>
            <w:pPr>
              <w:jc w:val="center"/>
              <w:rPr>
                <w:rFonts w:eastAsia="宋体"/>
                <w:highlight w:val="none"/>
              </w:rPr>
            </w:pPr>
            <w:r>
              <w:rPr>
                <w:rFonts w:hint="eastAsia" w:eastAsia="宋体"/>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1" w:type="dxa"/>
          </w:tcPr>
          <w:p>
            <w:pPr>
              <w:jc w:val="center"/>
              <w:rPr>
                <w:highlight w:val="none"/>
              </w:rPr>
            </w:pPr>
            <w:r>
              <w:rPr>
                <w:rFonts w:hint="eastAsia"/>
                <w:highlight w:val="none"/>
              </w:rPr>
              <w:t>中标供应商家数</w:t>
            </w:r>
          </w:p>
        </w:tc>
        <w:tc>
          <w:tcPr>
            <w:tcW w:w="3720" w:type="dxa"/>
          </w:tcPr>
          <w:p>
            <w:pPr>
              <w:jc w:val="center"/>
              <w:rPr>
                <w:highlight w:val="none"/>
              </w:rPr>
            </w:pPr>
            <w:r>
              <w:rPr>
                <w:rFonts w:hint="eastAsia"/>
                <w:highlight w:val="none"/>
              </w:rPr>
              <w:t>1</w:t>
            </w:r>
          </w:p>
        </w:tc>
      </w:tr>
    </w:tbl>
    <w:p>
      <w:pPr>
        <w:pStyle w:val="3"/>
        <w:rPr>
          <w:highlight w:val="none"/>
        </w:rPr>
      </w:pPr>
    </w:p>
    <w:p>
      <w:pPr>
        <w:tabs>
          <w:tab w:val="left" w:pos="720"/>
        </w:tabs>
        <w:rPr>
          <w:rFonts w:ascii="黑体" w:hAnsi="宋体" w:eastAsia="黑体"/>
          <w:sz w:val="24"/>
          <w:highlight w:val="none"/>
        </w:rPr>
      </w:pPr>
    </w:p>
    <w:p>
      <w:pPr>
        <w:tabs>
          <w:tab w:val="left" w:pos="720"/>
        </w:tabs>
        <w:rPr>
          <w:rFonts w:ascii="黑体" w:hAnsi="宋体" w:eastAsia="黑体"/>
          <w:sz w:val="24"/>
          <w:highlight w:val="none"/>
        </w:rPr>
      </w:pPr>
      <w:r>
        <w:rPr>
          <w:rFonts w:hint="eastAsia" w:ascii="黑体" w:hAnsi="宋体" w:eastAsia="黑体"/>
          <w:sz w:val="24"/>
          <w:highlight w:val="none"/>
        </w:rPr>
        <w:t>（二）其他事项</w:t>
      </w:r>
    </w:p>
    <w:p>
      <w:pPr>
        <w:tabs>
          <w:tab w:val="left" w:pos="720"/>
        </w:tabs>
        <w:rPr>
          <w:rFonts w:ascii="黑体" w:hAnsi="宋体" w:eastAsia="黑体"/>
          <w:sz w:val="24"/>
          <w:highlight w:val="none"/>
        </w:rPr>
      </w:pPr>
      <w:r>
        <w:rPr>
          <w:rFonts w:hint="eastAsia" w:ascii="黑体" w:hAnsi="宋体" w:eastAsia="黑体"/>
          <w:sz w:val="24"/>
          <w:highlight w:val="none"/>
        </w:rPr>
        <w:t>1、关于享受优惠政策的主体、价格扣除比例及采购标的所属行业</w:t>
      </w:r>
    </w:p>
    <w:p>
      <w:pPr>
        <w:ind w:firstLine="411" w:firstLineChars="196"/>
        <w:rPr>
          <w:rFonts w:ascii="Arial" w:hAnsi="Arial" w:eastAsia="宋体" w:cs="Times New Roman"/>
          <w:b/>
          <w:color w:val="0000FF"/>
          <w:szCs w:val="21"/>
          <w:highlight w:val="none"/>
        </w:rPr>
      </w:pPr>
      <w:r>
        <w:rPr>
          <w:rFonts w:hint="eastAsia" w:ascii="宋体" w:hAnsi="宋体"/>
          <w:highlight w:val="none"/>
        </w:rPr>
        <w:t>（1）</w:t>
      </w:r>
      <w:r>
        <w:rPr>
          <w:rFonts w:hint="eastAsia" w:ascii="Times New Roman" w:eastAsia="宋体"/>
          <w:highlight w:val="none"/>
        </w:rPr>
        <w:t>非专门面向中小企业采购的项目，应执行价格扣除比例：</w:t>
      </w:r>
      <w:r>
        <w:rPr>
          <w:rFonts w:hint="eastAsia" w:ascii="宋体" w:hAnsi="宋体"/>
          <w:highlight w:val="none"/>
        </w:rPr>
        <w:t>投标人提供的服务（以招标文件用户需求书“服务需求明细”的“服务需求名称”一栏为准）全部均由优惠主体承接的，对其投标总价给予</w:t>
      </w:r>
      <w:r>
        <w:rPr>
          <w:rFonts w:hint="eastAsia" w:ascii="宋体" w:hAnsi="宋体" w:eastAsia="宋体" w:cs="Times New Roman"/>
          <w:b/>
          <w:sz w:val="24"/>
          <w:szCs w:val="24"/>
          <w:highlight w:val="none"/>
          <w:u w:val="single"/>
        </w:rPr>
        <w:t>10%</w:t>
      </w:r>
      <w:r>
        <w:rPr>
          <w:rFonts w:hint="eastAsia" w:ascii="宋体" w:hAnsi="宋体"/>
          <w:highlight w:val="none"/>
        </w:rPr>
        <w:t>的扣除，用扣除后的价格参与评审。满足多项优惠政策的企业，不重复享受多项价格扣除政策。接受联合体投标的项目，如供应商为联合体参与投标，联合体共同投标协议中明确注明</w:t>
      </w:r>
      <w:r>
        <w:rPr>
          <w:rFonts w:ascii="宋体" w:hAnsi="宋体"/>
          <w:highlight w:val="none"/>
        </w:rPr>
        <w:t>约定优惠主体的协议合同金额占到联合体协议总金额</w:t>
      </w:r>
      <w:r>
        <w:rPr>
          <w:rFonts w:ascii="宋体" w:hAnsi="宋体"/>
          <w:b/>
          <w:highlight w:val="none"/>
        </w:rPr>
        <w:t>30%</w:t>
      </w:r>
      <w:r>
        <w:rPr>
          <w:rFonts w:ascii="宋体" w:hAnsi="宋体"/>
          <w:highlight w:val="none"/>
        </w:rPr>
        <w:t>以上的，</w:t>
      </w:r>
      <w:r>
        <w:rPr>
          <w:rFonts w:hint="eastAsia" w:ascii="宋体" w:hAnsi="宋体"/>
          <w:highlight w:val="none"/>
        </w:rPr>
        <w:t>对该联合体的投标总价给予</w:t>
      </w:r>
      <w:r>
        <w:rPr>
          <w:rFonts w:hint="eastAsia" w:ascii="宋体" w:hAnsi="宋体"/>
          <w:b/>
          <w:bCs/>
          <w:highlight w:val="none"/>
          <w:u w:val="single"/>
        </w:rPr>
        <w:t xml:space="preserve"> 4 </w:t>
      </w:r>
      <w:r>
        <w:rPr>
          <w:rFonts w:ascii="宋体" w:hAnsi="宋体"/>
          <w:b/>
          <w:bCs/>
          <w:highlight w:val="none"/>
        </w:rPr>
        <w:t>%</w:t>
      </w:r>
      <w:r>
        <w:rPr>
          <w:rFonts w:hint="eastAsia" w:ascii="宋体" w:hAnsi="宋体"/>
          <w:highlight w:val="none"/>
        </w:rPr>
        <w:t>的扣除，用扣除后的价格参与评审。联合体各方均为优惠主体的，该联合体视同为优惠主体，按前款规定享受评标优惠政策。</w:t>
      </w:r>
      <w:r>
        <w:rPr>
          <w:rFonts w:hint="eastAsia" w:ascii="Arial" w:hAnsi="Arial" w:eastAsia="宋体" w:cs="Times New Roman"/>
          <w:b/>
          <w:szCs w:val="21"/>
          <w:highlight w:val="none"/>
        </w:rPr>
        <w:t>政策调整后价格仅作为评审依据，不作为中标价格。</w:t>
      </w:r>
    </w:p>
    <w:p>
      <w:pPr>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备注：</w:t>
      </w:r>
      <w:r>
        <w:rPr>
          <w:rFonts w:hint="eastAsia"/>
          <w:b/>
          <w:bCs/>
          <w:highlight w:val="none"/>
        </w:rPr>
        <w:t>（a）</w:t>
      </w:r>
      <w:r>
        <w:rPr>
          <w:rFonts w:hint="eastAsia"/>
          <w:highlight w:val="none"/>
        </w:rPr>
        <w:t>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r>
        <w:rPr>
          <w:rFonts w:hint="eastAsia" w:ascii="宋体" w:hAnsi="宋体"/>
          <w:highlight w:val="none"/>
        </w:rPr>
        <w:t>根据《财政部 司法部关于政府采购支持监狱企业发展有关问题的通知》(财库〔2014〕68号)，在政府采购活动中，监狱企业视同小型、微型企业；根据《关于促进残疾人就业政府采购政策的通知》(财库〔2017〕141号)，在政府采购活动中，残疾人福利性单位视同小型、微型企业；</w:t>
      </w:r>
      <w:r>
        <w:rPr>
          <w:rFonts w:hint="eastAsia"/>
          <w:b/>
          <w:bCs/>
          <w:highlight w:val="none"/>
        </w:rPr>
        <w:t>（b）</w:t>
      </w:r>
      <w:r>
        <w:rPr>
          <w:rFonts w:hint="eastAsia"/>
          <w:highlight w:val="none"/>
        </w:rPr>
        <w:t>优惠主体承接是指提供服务的人员为中小企业依照《中华人民共和国劳动合同法》订立劳动合同的从业人员。</w:t>
      </w:r>
    </w:p>
    <w:p>
      <w:pPr>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（3）</w:t>
      </w:r>
      <w:bookmarkStart w:id="22" w:name="_Hlk71970739"/>
      <w:r>
        <w:rPr>
          <w:rFonts w:ascii="宋体" w:hAnsi="宋体" w:eastAsia="宋体" w:cs="宋体"/>
          <w:szCs w:val="21"/>
          <w:highlight w:val="none"/>
        </w:rPr>
        <w:t>中小企业参加政府采购活动，应当按照国务院批准的《中小企业划型标准规定》（工信部联企 业〔2011〕300号）、《金融业企业划型标准规定》（银发〔2015〕309号）和《财政部 工业和信息化部关于印发〈政府采购促进中小企业发展管理办法〉的通知》（财库〔2020〕46 号）的规定，出具《中小企业声明函》，</w:t>
      </w:r>
      <w:r>
        <w:rPr>
          <w:rFonts w:ascii="宋体" w:hAnsi="宋体" w:eastAsia="宋体" w:cs="宋体"/>
          <w:b/>
          <w:bCs/>
          <w:color w:val="FF0000"/>
          <w:szCs w:val="21"/>
          <w:highlight w:val="none"/>
        </w:rPr>
        <w:t>《中小企业声明函》中相关企业</w:t>
      </w:r>
      <w:r>
        <w:rPr>
          <w:rFonts w:hint="eastAsia" w:ascii="宋体" w:hAnsi="宋体" w:cs="宋体"/>
          <w:b/>
          <w:bCs/>
          <w:color w:val="FF0000"/>
          <w:szCs w:val="21"/>
          <w:highlight w:val="none"/>
        </w:rPr>
        <w:t>（服务承接商）</w:t>
      </w:r>
      <w:r>
        <w:rPr>
          <w:rFonts w:ascii="宋体" w:hAnsi="宋体" w:eastAsia="宋体" w:cs="宋体"/>
          <w:b/>
          <w:bCs/>
          <w:color w:val="FF0000"/>
          <w:szCs w:val="21"/>
          <w:highlight w:val="none"/>
        </w:rPr>
        <w:t>所属行业应当与采购标的所属行业相一致</w:t>
      </w:r>
      <w:r>
        <w:rPr>
          <w:rFonts w:hint="eastAsia" w:eastAsia="宋体"/>
          <w:b/>
          <w:bCs/>
          <w:color w:val="FF0000"/>
          <w:highlight w:val="none"/>
        </w:rPr>
        <w:t>，</w:t>
      </w:r>
      <w:r>
        <w:rPr>
          <w:rFonts w:hint="eastAsia"/>
          <w:b/>
          <w:bCs/>
          <w:color w:val="FF0000"/>
          <w:highlight w:val="none"/>
        </w:rPr>
        <w:t>标的所属行业</w:t>
      </w:r>
      <w:r>
        <w:rPr>
          <w:rFonts w:hint="eastAsia" w:ascii="Times New Roman" w:eastAsia="宋体"/>
          <w:b/>
          <w:bCs/>
          <w:color w:val="FF0000"/>
          <w:highlight w:val="none"/>
        </w:rPr>
        <w:t>以招标文件第一册第三章用户需求书“</w:t>
      </w:r>
      <w:r>
        <w:rPr>
          <w:rFonts w:hint="eastAsia"/>
          <w:b/>
          <w:bCs/>
          <w:color w:val="FF0000"/>
          <w:highlight w:val="none"/>
        </w:rPr>
        <w:t>服务需求</w:t>
      </w:r>
      <w:r>
        <w:rPr>
          <w:rFonts w:hint="eastAsia" w:ascii="Times New Roman" w:eastAsia="宋体"/>
          <w:b/>
          <w:bCs/>
          <w:color w:val="FF0000"/>
          <w:highlight w:val="none"/>
        </w:rPr>
        <w:t>明细”的“标的所属行业”一栏为准</w:t>
      </w:r>
      <w:r>
        <w:rPr>
          <w:rFonts w:ascii="宋体" w:hAnsi="宋体" w:eastAsia="宋体" w:cs="宋体"/>
          <w:b/>
          <w:bCs/>
          <w:color w:val="FF0000"/>
          <w:szCs w:val="21"/>
          <w:highlight w:val="none"/>
        </w:rPr>
        <w:t>。</w:t>
      </w:r>
      <w:bookmarkEnd w:id="22"/>
    </w:p>
    <w:p>
      <w:pPr>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4）小型企业、微型企业、残疾人福利性单位作为优惠主体的认定资料为《中小企业声明函》、《残疾人福利性单位声明函》；监狱企业作为优惠主体的认定资料为省级以上监狱管理局、戒毒管理局出具的监狱企业证明文件。声明函样式见本招标文件第一册专用条款第四章“投标文件组成要求及格式”中“中小企业声明函、残疾人福利性单位声明函及监狱企业声明函”章节提供的格式）。</w:t>
      </w:r>
    </w:p>
    <w:p>
      <w:pPr>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（5）享受价格扣除获得政府采购合同的，小微企业不得将合同分包给大中型企业。</w:t>
      </w:r>
    </w:p>
    <w:p>
      <w:pPr>
        <w:tabs>
          <w:tab w:val="left" w:pos="720"/>
        </w:tabs>
        <w:ind w:firstLine="420" w:firstLineChars="200"/>
        <w:rPr>
          <w:rFonts w:ascii="宋体" w:hAnsi="宋体"/>
          <w:bCs/>
          <w:highlight w:val="none"/>
        </w:rPr>
      </w:pPr>
    </w:p>
    <w:p>
      <w:pPr>
        <w:spacing w:line="360" w:lineRule="auto"/>
        <w:rPr>
          <w:rFonts w:ascii="宋体" w:hAnsi="宋体" w:eastAsia="宋体" w:cs="宋体"/>
          <w:b/>
          <w:bCs/>
          <w:szCs w:val="24"/>
          <w:highlight w:val="none"/>
        </w:rPr>
      </w:pPr>
      <w:r>
        <w:rPr>
          <w:rFonts w:hint="eastAsia" w:ascii="宋体" w:hAnsi="宋体" w:eastAsia="宋体" w:cs="宋体"/>
          <w:b/>
          <w:bCs/>
          <w:szCs w:val="24"/>
          <w:highlight w:val="none"/>
        </w:rPr>
        <w:t>2.关于政府采购订单融资政策</w:t>
      </w:r>
    </w:p>
    <w:p>
      <w:pPr>
        <w:wordWrap w:val="0"/>
        <w:ind w:firstLine="420" w:firstLineChars="200"/>
        <w:rPr>
          <w:rFonts w:ascii="宋体" w:hAnsi="宋体" w:eastAsia="宋体" w:cs="Times New Roman"/>
          <w:b/>
          <w:szCs w:val="24"/>
          <w:highlight w:val="none"/>
        </w:rPr>
      </w:pPr>
      <w:r>
        <w:rPr>
          <w:rFonts w:hint="eastAsia"/>
          <w:color w:val="FF0000"/>
          <w:highlight w:val="none"/>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pPr>
        <w:tabs>
          <w:tab w:val="left" w:pos="720"/>
        </w:tabs>
        <w:rPr>
          <w:rFonts w:ascii="黑体" w:hAnsi="宋体" w:eastAsia="黑体"/>
          <w:sz w:val="24"/>
          <w:highlight w:val="none"/>
        </w:rPr>
      </w:pPr>
    </w:p>
    <w:p>
      <w:pPr>
        <w:tabs>
          <w:tab w:val="left" w:pos="720"/>
        </w:tabs>
        <w:rPr>
          <w:rFonts w:ascii="宋体" w:hAnsi="宋体"/>
          <w:b/>
          <w:bCs/>
          <w:color w:val="FF0000"/>
          <w:highlight w:val="none"/>
        </w:rPr>
      </w:pPr>
      <w:r>
        <w:rPr>
          <w:rFonts w:hint="eastAsia" w:ascii="宋体" w:hAnsi="宋体"/>
          <w:b/>
          <w:bCs/>
          <w:color w:val="FF0000"/>
          <w:highlight w:val="none"/>
        </w:rPr>
        <w:t>3、</w:t>
      </w:r>
      <w:r>
        <w:rPr>
          <w:rFonts w:ascii="宋体" w:hAnsi="宋体"/>
          <w:b/>
          <w:bCs/>
          <w:color w:val="FF0000"/>
          <w:highlight w:val="none"/>
        </w:rPr>
        <w:t>本项目为代理服务项目，将向中标</w:t>
      </w:r>
      <w:r>
        <w:rPr>
          <w:rFonts w:hint="eastAsia" w:ascii="宋体" w:hAnsi="宋体"/>
          <w:b/>
          <w:bCs/>
          <w:color w:val="FF0000"/>
          <w:highlight w:val="none"/>
        </w:rPr>
        <w:t>（成交）</w:t>
      </w:r>
      <w:r>
        <w:rPr>
          <w:rFonts w:ascii="宋体" w:hAnsi="宋体"/>
          <w:b/>
          <w:bCs/>
          <w:color w:val="FF0000"/>
          <w:highlight w:val="none"/>
        </w:rPr>
        <w:t>供应商收取代理服务费</w:t>
      </w:r>
      <w:r>
        <w:rPr>
          <w:rFonts w:hint="eastAsia" w:ascii="宋体" w:hAnsi="宋体"/>
          <w:b/>
          <w:bCs/>
          <w:color w:val="FF0000"/>
          <w:highlight w:val="none"/>
        </w:rPr>
        <w:t>。</w:t>
      </w:r>
    </w:p>
    <w:p>
      <w:pPr>
        <w:widowControl/>
        <w:ind w:firstLine="420"/>
        <w:jc w:val="left"/>
        <w:rPr>
          <w:rFonts w:ascii="宋体" w:hAnsi="宋体"/>
          <w:color w:val="FF0000"/>
          <w:szCs w:val="21"/>
          <w:highlight w:val="none"/>
        </w:rPr>
      </w:pPr>
      <w:r>
        <w:rPr>
          <w:rFonts w:hint="eastAsia" w:ascii="宋体" w:hAnsi="宋体"/>
          <w:color w:val="FF0000"/>
          <w:szCs w:val="21"/>
          <w:highlight w:val="none"/>
        </w:rPr>
        <w:t>中标（成交）供应商在领取《中标（成交）通知书》之前须向深圳公共资源交易中心（深圳交易集团有限公司宝安分公司）交纳代理服务费。若因中标（成交）供应商交纳代理服务费所产生的时间影响到合同签订的，由中标（成交）供应商自行承担责任。代理服务费标准参照下列标准收取。本项目类型为</w:t>
      </w:r>
      <w:r>
        <w:rPr>
          <w:rFonts w:hint="eastAsia" w:ascii="宋体" w:hAnsi="宋体"/>
          <w:b/>
          <w:bCs/>
          <w:color w:val="FF0000"/>
          <w:szCs w:val="21"/>
          <w:highlight w:val="none"/>
          <w:u w:val="single"/>
        </w:rPr>
        <w:t>服务采购</w:t>
      </w:r>
      <w:r>
        <w:rPr>
          <w:rFonts w:hint="eastAsia" w:ascii="宋体" w:hAnsi="宋体"/>
          <w:color w:val="FF0000"/>
          <w:szCs w:val="21"/>
          <w:highlight w:val="none"/>
        </w:rPr>
        <w:t>：</w:t>
      </w:r>
    </w:p>
    <w:p>
      <w:pPr>
        <w:widowControl/>
        <w:ind w:firstLine="420"/>
        <w:jc w:val="left"/>
        <w:rPr>
          <w:rFonts w:ascii="宋体" w:hAnsi="宋体"/>
          <w:color w:val="FF0000"/>
          <w:szCs w:val="21"/>
          <w:highlight w:val="none"/>
        </w:rPr>
      </w:pPr>
      <w:r>
        <w:rPr>
          <w:rFonts w:hint="eastAsia" w:ascii="宋体" w:hAnsi="宋体"/>
          <w:color w:val="FF0000"/>
          <w:szCs w:val="21"/>
          <w:highlight w:val="none"/>
        </w:rPr>
        <w:t>（1）代理服务费以《中标（成交）通知书》确定的中标（成交）金额作为计算基数，按差额定率累进法计算。</w:t>
      </w:r>
    </w:p>
    <w:p>
      <w:pPr>
        <w:widowControl/>
        <w:ind w:firstLine="420"/>
        <w:jc w:val="left"/>
        <w:rPr>
          <w:rFonts w:ascii="宋体" w:hAnsi="宋体"/>
          <w:color w:val="FF0000"/>
          <w:szCs w:val="21"/>
          <w:highlight w:val="none"/>
        </w:rPr>
      </w:pPr>
      <w:r>
        <w:rPr>
          <w:rFonts w:hint="eastAsia" w:ascii="宋体" w:hAnsi="宋体"/>
          <w:color w:val="FF0000"/>
          <w:szCs w:val="21"/>
          <w:highlight w:val="none"/>
        </w:rPr>
        <w:t>（2）中标（成交）金额的各部分费率如下表：</w:t>
      </w:r>
    </w:p>
    <w:tbl>
      <w:tblPr>
        <w:tblStyle w:val="2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1799"/>
        <w:gridCol w:w="1799"/>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中标（成交）金额</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货物采购</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服务采购</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100万元以下</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100万元（含）-500万元</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1.1%</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0.8%</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500万元（含）-1000万元</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0.8%</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0.45%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1000万元（含）-5000万元</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0.25%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5000万元（含）-1亿元</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0.25%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0.1%</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1亿元（含）-5亿元</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5亿元（含）-10亿元</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0.035%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0.035%</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10亿元（含）-50亿元</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0.008%</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0.008%</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50亿元（含）-100亿元</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0.006%</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0.006%</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100亿元（含）以上</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0.004%</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0.004%</w:t>
            </w:r>
          </w:p>
        </w:tc>
        <w:tc>
          <w:tcPr>
            <w:tcW w:w="1799" w:type="dxa"/>
            <w:vAlign w:val="center"/>
          </w:tcPr>
          <w:p>
            <w:pPr>
              <w:widowControl/>
              <w:ind w:firstLine="420"/>
              <w:jc w:val="left"/>
              <w:rPr>
                <w:rFonts w:ascii="宋体" w:hAnsi="宋体"/>
                <w:color w:val="FF0000"/>
                <w:szCs w:val="21"/>
                <w:highlight w:val="none"/>
              </w:rPr>
            </w:pPr>
            <w:r>
              <w:rPr>
                <w:rFonts w:hint="eastAsia" w:ascii="宋体" w:hAnsi="宋体"/>
                <w:color w:val="FF0000"/>
                <w:szCs w:val="21"/>
                <w:highlight w:val="none"/>
              </w:rPr>
              <w:t>0.004%</w:t>
            </w:r>
          </w:p>
        </w:tc>
      </w:tr>
    </w:tbl>
    <w:p>
      <w:pPr>
        <w:widowControl/>
        <w:ind w:firstLine="420"/>
        <w:jc w:val="left"/>
        <w:rPr>
          <w:rFonts w:ascii="宋体" w:hAnsi="宋体"/>
          <w:color w:val="FF0000"/>
          <w:szCs w:val="21"/>
          <w:highlight w:val="none"/>
        </w:rPr>
      </w:pPr>
      <w:r>
        <w:rPr>
          <w:rFonts w:hint="eastAsia" w:ascii="宋体" w:hAnsi="宋体"/>
          <w:color w:val="FF0000"/>
          <w:szCs w:val="21"/>
          <w:highlight w:val="none"/>
        </w:rPr>
        <w:t>备注：1.每宗交易代理服务费不低于 5000 元；</w:t>
      </w:r>
    </w:p>
    <w:p>
      <w:pPr>
        <w:widowControl/>
        <w:ind w:firstLine="420"/>
        <w:jc w:val="left"/>
        <w:rPr>
          <w:rFonts w:ascii="宋体" w:hAnsi="宋体"/>
          <w:color w:val="FF0000"/>
          <w:szCs w:val="21"/>
          <w:highlight w:val="none"/>
        </w:rPr>
      </w:pPr>
      <w:r>
        <w:rPr>
          <w:rFonts w:hint="eastAsia" w:ascii="宋体" w:hAnsi="宋体"/>
          <w:color w:val="FF0000"/>
          <w:szCs w:val="21"/>
          <w:highlight w:val="none"/>
        </w:rPr>
        <w:t>2.对于报总价的采购类项目，中标（成交）价为中标（成交）金额；对于报单价或折扣或费率的采购类项目，中标（成交）价为预算上限金额或经委托方与代理方确定的支付上限金额。</w:t>
      </w:r>
    </w:p>
    <w:p>
      <w:pPr>
        <w:widowControl/>
        <w:ind w:firstLine="420"/>
        <w:jc w:val="left"/>
        <w:rPr>
          <w:rFonts w:ascii="宋体" w:hAnsi="宋体"/>
          <w:color w:val="FF0000"/>
          <w:szCs w:val="21"/>
          <w:highlight w:val="none"/>
        </w:rPr>
      </w:pPr>
      <w:r>
        <w:rPr>
          <w:rFonts w:hint="eastAsia" w:ascii="宋体" w:hAnsi="宋体"/>
          <w:color w:val="FF0000"/>
          <w:szCs w:val="21"/>
          <w:highlight w:val="none"/>
        </w:rPr>
        <w:t>如某货物采购项目，中标（成交）金额为600万元，总共交纳的代理服务费的具体计算过程如下：</w:t>
      </w:r>
    </w:p>
    <w:p>
      <w:pPr>
        <w:widowControl/>
        <w:ind w:firstLine="420"/>
        <w:jc w:val="left"/>
        <w:rPr>
          <w:rFonts w:ascii="宋体" w:hAnsi="宋体"/>
          <w:color w:val="FF0000"/>
          <w:szCs w:val="21"/>
          <w:highlight w:val="none"/>
        </w:rPr>
      </w:pPr>
      <w:r>
        <w:rPr>
          <w:rFonts w:hint="eastAsia" w:ascii="宋体" w:hAnsi="宋体"/>
          <w:color w:val="FF0000"/>
          <w:szCs w:val="21"/>
          <w:highlight w:val="none"/>
        </w:rPr>
        <w:t>标准代理服务费＝（100万以下部分的代理服务费）+（100万～500万部分的代理服务费）+（500万～600万部分的代理服务费）＝100万元×1.5%+（500-100）万元×1.1%+（600-500）万元×0.8%=1.5万元+4.4万元+0.8万元＝6.7万元</w:t>
      </w:r>
    </w:p>
    <w:p>
      <w:pPr>
        <w:widowControl/>
        <w:ind w:firstLine="420"/>
        <w:jc w:val="left"/>
        <w:rPr>
          <w:rFonts w:ascii="宋体" w:hAnsi="宋体"/>
          <w:color w:val="FF0000"/>
          <w:szCs w:val="21"/>
          <w:highlight w:val="none"/>
        </w:rPr>
      </w:pPr>
      <w:r>
        <w:rPr>
          <w:rFonts w:hint="eastAsia" w:ascii="宋体" w:hAnsi="宋体"/>
          <w:color w:val="FF0000"/>
          <w:szCs w:val="21"/>
          <w:highlight w:val="none"/>
        </w:rPr>
        <w:t>（3）中标（成交）供应商成交后，必须按规定采用银行对公转账方式向深圳交易集团有限公司直接交纳代理服务费，交纳信息及要求按照缴款（付款）通知书执行。</w:t>
      </w:r>
    </w:p>
    <w:p>
      <w:pPr>
        <w:pStyle w:val="2"/>
        <w:rPr>
          <w:rFonts w:ascii="宋体" w:hAnsi="宋体"/>
          <w:color w:val="FF0000"/>
          <w:szCs w:val="21"/>
          <w:highlight w:val="none"/>
        </w:rPr>
      </w:pPr>
    </w:p>
    <w:p>
      <w:pPr>
        <w:pStyle w:val="3"/>
        <w:rPr>
          <w:rFonts w:ascii="宋体" w:hAnsi="宋体"/>
          <w:color w:val="FF0000"/>
          <w:szCs w:val="21"/>
          <w:highlight w:val="none"/>
        </w:rPr>
      </w:pPr>
    </w:p>
    <w:p>
      <w:pPr>
        <w:pStyle w:val="3"/>
        <w:rPr>
          <w:rFonts w:ascii="宋体" w:hAnsi="宋体"/>
          <w:color w:val="FF0000"/>
          <w:szCs w:val="21"/>
          <w:highlight w:val="none"/>
        </w:rPr>
      </w:pPr>
    </w:p>
    <w:p>
      <w:pPr>
        <w:rPr>
          <w:rFonts w:ascii="宋体" w:hAnsi="宋体" w:eastAsia="宋体" w:cs="Times New Roman"/>
          <w:b/>
          <w:bCs/>
          <w:kern w:val="0"/>
          <w:sz w:val="28"/>
          <w:szCs w:val="28"/>
          <w:highlight w:val="none"/>
        </w:rPr>
      </w:pPr>
      <w:r>
        <w:rPr>
          <w:rFonts w:hint="eastAsia" w:ascii="宋体" w:hAnsi="宋体" w:eastAsia="宋体" w:cs="Times New Roman"/>
          <w:b/>
          <w:bCs/>
          <w:kern w:val="0"/>
          <w:sz w:val="28"/>
          <w:szCs w:val="28"/>
          <w:highlight w:val="none"/>
        </w:rPr>
        <w:br w:type="page"/>
      </w:r>
    </w:p>
    <w:p>
      <w:pPr>
        <w:pStyle w:val="5"/>
        <w:jc w:val="center"/>
        <w:rPr>
          <w:sz w:val="28"/>
          <w:szCs w:val="28"/>
          <w:highlight w:val="none"/>
        </w:rPr>
      </w:pPr>
      <w:bookmarkStart w:id="23" w:name="_Toc128884461"/>
      <w:r>
        <w:rPr>
          <w:rFonts w:hint="eastAsia"/>
          <w:sz w:val="28"/>
          <w:szCs w:val="28"/>
          <w:highlight w:val="none"/>
        </w:rPr>
        <w:t>第三章 用户需求书</w:t>
      </w:r>
    </w:p>
    <w:p>
      <w:pPr>
        <w:pStyle w:val="5"/>
        <w:spacing w:before="120" w:beforeLines="50" w:after="120" w:afterLines="50"/>
        <w:rPr>
          <w:szCs w:val="24"/>
          <w:highlight w:val="none"/>
        </w:rPr>
      </w:pPr>
      <w:r>
        <w:rPr>
          <w:rFonts w:hint="eastAsia"/>
          <w:szCs w:val="24"/>
          <w:highlight w:val="none"/>
        </w:rPr>
        <w:t>一、项目基本信息</w:t>
      </w:r>
    </w:p>
    <w:p>
      <w:pPr>
        <w:rPr>
          <w:rFonts w:ascii="宋体" w:hAnsi="宋体"/>
          <w:b/>
          <w:color w:val="FF0000"/>
          <w:szCs w:val="21"/>
          <w:highlight w:val="none"/>
        </w:rPr>
      </w:pPr>
    </w:p>
    <w:tbl>
      <w:tblPr>
        <w:tblStyle w:val="20"/>
        <w:tblW w:w="8931" w:type="dxa"/>
        <w:jc w:val="center"/>
        <w:tblLayout w:type="fixed"/>
        <w:tblCellMar>
          <w:top w:w="15" w:type="dxa"/>
          <w:left w:w="15" w:type="dxa"/>
          <w:bottom w:w="15" w:type="dxa"/>
          <w:right w:w="15" w:type="dxa"/>
        </w:tblCellMar>
      </w:tblPr>
      <w:tblGrid>
        <w:gridCol w:w="710"/>
        <w:gridCol w:w="2460"/>
        <w:gridCol w:w="3139"/>
        <w:gridCol w:w="2622"/>
      </w:tblGrid>
      <w:tr>
        <w:tblPrEx>
          <w:tblCellMar>
            <w:top w:w="15" w:type="dxa"/>
            <w:left w:w="15" w:type="dxa"/>
            <w:bottom w:w="15" w:type="dxa"/>
            <w:right w:w="15" w:type="dxa"/>
          </w:tblCellMar>
        </w:tblPrEx>
        <w:trPr>
          <w:trHeight w:val="552" w:hRule="atLeast"/>
          <w:jc w:val="center"/>
        </w:trPr>
        <w:tc>
          <w:tcPr>
            <w:tcW w:w="710" w:type="dxa"/>
            <w:tcBorders>
              <w:top w:val="single" w:color="000000" w:sz="4" w:space="0"/>
              <w:left w:val="single" w:color="000000" w:sz="4" w:space="0"/>
              <w:bottom w:val="single" w:color="000000" w:sz="4" w:space="0"/>
              <w:right w:val="single" w:color="auto" w:sz="4" w:space="0"/>
            </w:tcBorders>
            <w:shd w:val="clear" w:color="auto" w:fill="C6D9F0" w:themeFill="text2" w:themeFillTint="33"/>
            <w:vAlign w:val="center"/>
          </w:tcPr>
          <w:p>
            <w:pPr>
              <w:spacing w:line="540" w:lineRule="exact"/>
              <w:jc w:val="center"/>
              <w:rPr>
                <w:highlight w:val="none"/>
              </w:rPr>
            </w:pPr>
            <w:r>
              <w:rPr>
                <w:rFonts w:hint="eastAsia"/>
                <w:highlight w:val="none"/>
              </w:rPr>
              <w:t>序号</w:t>
            </w:r>
          </w:p>
        </w:tc>
        <w:tc>
          <w:tcPr>
            <w:tcW w:w="2460" w:type="dxa"/>
            <w:tcBorders>
              <w:top w:val="single" w:color="000000" w:sz="4" w:space="0"/>
              <w:left w:val="single" w:color="auto" w:sz="4" w:space="0"/>
              <w:bottom w:val="single" w:color="000000" w:sz="4" w:space="0"/>
              <w:right w:val="single" w:color="000000" w:sz="4" w:space="0"/>
            </w:tcBorders>
            <w:shd w:val="clear" w:color="auto" w:fill="C6D9F0" w:themeFill="text2" w:themeFillTint="33"/>
            <w:vAlign w:val="center"/>
          </w:tcPr>
          <w:p>
            <w:pPr>
              <w:spacing w:line="540" w:lineRule="exact"/>
              <w:jc w:val="center"/>
              <w:rPr>
                <w:highlight w:val="none"/>
              </w:rPr>
            </w:pPr>
            <w:r>
              <w:rPr>
                <w:rFonts w:hint="eastAsia"/>
                <w:highlight w:val="none"/>
              </w:rPr>
              <w:t>项目编号</w:t>
            </w:r>
          </w:p>
        </w:tc>
        <w:tc>
          <w:tcPr>
            <w:tcW w:w="3139" w:type="dxa"/>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pPr>
              <w:spacing w:line="540" w:lineRule="exact"/>
              <w:jc w:val="center"/>
              <w:rPr>
                <w:highlight w:val="none"/>
              </w:rPr>
            </w:pPr>
            <w:r>
              <w:rPr>
                <w:rFonts w:hint="eastAsia"/>
                <w:highlight w:val="none"/>
              </w:rPr>
              <w:t>采购项目名称</w:t>
            </w:r>
          </w:p>
        </w:tc>
        <w:tc>
          <w:tcPr>
            <w:tcW w:w="2622" w:type="dxa"/>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pPr>
              <w:spacing w:line="540" w:lineRule="exact"/>
              <w:jc w:val="center"/>
              <w:rPr>
                <w:highlight w:val="none"/>
              </w:rPr>
            </w:pPr>
            <w:r>
              <w:rPr>
                <w:rFonts w:hint="eastAsia" w:asciiTheme="minorEastAsia" w:hAnsiTheme="minorEastAsia"/>
                <w:sz w:val="24"/>
                <w:szCs w:val="24"/>
                <w:highlight w:val="none"/>
              </w:rPr>
              <w:t>财政预算限额（元）</w:t>
            </w:r>
          </w:p>
        </w:tc>
      </w:tr>
      <w:tr>
        <w:tblPrEx>
          <w:tblCellMar>
            <w:top w:w="15" w:type="dxa"/>
            <w:left w:w="15" w:type="dxa"/>
            <w:bottom w:w="15" w:type="dxa"/>
            <w:right w:w="15" w:type="dxa"/>
          </w:tblCellMar>
        </w:tblPrEx>
        <w:trPr>
          <w:trHeight w:val="795" w:hRule="atLeast"/>
          <w:jc w:val="center"/>
        </w:trPr>
        <w:tc>
          <w:tcPr>
            <w:tcW w:w="710" w:type="dxa"/>
            <w:tcBorders>
              <w:top w:val="single" w:color="000000" w:sz="4" w:space="0"/>
              <w:left w:val="single" w:color="000000" w:sz="4" w:space="0"/>
              <w:bottom w:val="single" w:color="000000" w:sz="4" w:space="0"/>
              <w:right w:val="single" w:color="auto" w:sz="4" w:space="0"/>
            </w:tcBorders>
            <w:vAlign w:val="center"/>
          </w:tcPr>
          <w:p>
            <w:pPr>
              <w:widowControl/>
              <w:spacing w:line="260" w:lineRule="exact"/>
              <w:jc w:val="center"/>
              <w:textAlignment w:val="top"/>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2460" w:type="dxa"/>
            <w:tcBorders>
              <w:top w:val="single" w:color="000000" w:sz="4" w:space="0"/>
              <w:left w:val="single" w:color="auto" w:sz="4" w:space="0"/>
              <w:bottom w:val="single" w:color="000000" w:sz="4" w:space="0"/>
              <w:right w:val="single" w:color="000000" w:sz="4" w:space="0"/>
            </w:tcBorders>
            <w:vAlign w:val="center"/>
          </w:tcPr>
          <w:p>
            <w:pPr>
              <w:widowControl/>
              <w:spacing w:line="260" w:lineRule="exact"/>
              <w:jc w:val="center"/>
              <w:textAlignment w:val="center"/>
              <w:rPr>
                <w:rFonts w:hint="eastAsia" w:ascii="仿宋" w:hAnsi="仿宋" w:eastAsia="仿宋" w:cs="仿宋"/>
                <w:color w:val="000000"/>
                <w:szCs w:val="21"/>
                <w:highlight w:val="none"/>
                <w:lang w:eastAsia="zh-CN"/>
              </w:rPr>
            </w:pPr>
            <w:r>
              <w:rPr>
                <w:rFonts w:hint="eastAsia" w:ascii="仿宋" w:hAnsi="仿宋" w:eastAsia="仿宋" w:cs="仿宋"/>
                <w:color w:val="000000"/>
                <w:szCs w:val="21"/>
                <w:highlight w:val="none"/>
                <w:lang w:eastAsia="zh-CN"/>
              </w:rPr>
              <w:t>LHAZXCG-2025-00012</w:t>
            </w:r>
          </w:p>
        </w:tc>
        <w:tc>
          <w:tcPr>
            <w:tcW w:w="3139" w:type="dxa"/>
            <w:tcBorders>
              <w:top w:val="single" w:color="000000" w:sz="4" w:space="0"/>
              <w:left w:val="single" w:color="000000" w:sz="4" w:space="0"/>
              <w:bottom w:val="single" w:color="auto" w:sz="4" w:space="0"/>
              <w:right w:val="single" w:color="000000" w:sz="4" w:space="0"/>
            </w:tcBorders>
            <w:vAlign w:val="center"/>
          </w:tcPr>
          <w:p>
            <w:pPr>
              <w:widowControl/>
              <w:spacing w:line="260" w:lineRule="exact"/>
              <w:jc w:val="center"/>
              <w:textAlignment w:val="center"/>
              <w:rPr>
                <w:rFonts w:ascii="仿宋" w:hAnsi="仿宋" w:eastAsia="仿宋" w:cs="仿宋"/>
                <w:color w:val="000000"/>
                <w:szCs w:val="21"/>
                <w:highlight w:val="none"/>
              </w:rPr>
            </w:pPr>
            <w:r>
              <w:rPr>
                <w:rFonts w:hint="eastAsia" w:ascii="仿宋" w:hAnsi="仿宋" w:eastAsia="仿宋" w:cs="仿宋"/>
                <w:color w:val="000000"/>
                <w:szCs w:val="21"/>
                <w:highlight w:val="none"/>
              </w:rPr>
              <w:t>2025年区教育城域网cernet教育网出口带宽租用项目</w:t>
            </w:r>
          </w:p>
        </w:tc>
        <w:tc>
          <w:tcPr>
            <w:tcW w:w="2622" w:type="dxa"/>
            <w:tcBorders>
              <w:top w:val="single" w:color="000000" w:sz="4" w:space="0"/>
              <w:left w:val="single" w:color="000000" w:sz="4" w:space="0"/>
              <w:bottom w:val="single" w:color="000000" w:sz="4" w:space="0"/>
              <w:right w:val="single" w:color="000000" w:sz="4" w:space="0"/>
            </w:tcBorders>
            <w:vAlign w:val="center"/>
          </w:tcPr>
          <w:p>
            <w:pPr>
              <w:widowControl/>
              <w:spacing w:line="260" w:lineRule="exact"/>
              <w:jc w:val="center"/>
              <w:textAlignment w:val="center"/>
              <w:rPr>
                <w:rFonts w:ascii="仿宋" w:hAnsi="仿宋" w:eastAsia="仿宋" w:cs="仿宋"/>
                <w:color w:val="000000"/>
                <w:szCs w:val="21"/>
                <w:highlight w:val="none"/>
              </w:rPr>
            </w:pPr>
            <w:r>
              <w:rPr>
                <w:rFonts w:hint="eastAsia" w:ascii="仿宋" w:hAnsi="仿宋" w:eastAsia="仿宋" w:cs="仿宋"/>
                <w:color w:val="000000"/>
                <w:szCs w:val="21"/>
                <w:highlight w:val="none"/>
              </w:rPr>
              <w:t>986000.00</w:t>
            </w:r>
          </w:p>
        </w:tc>
      </w:tr>
    </w:tbl>
    <w:p>
      <w:pPr>
        <w:rPr>
          <w:rFonts w:ascii="宋体" w:hAnsi="宋体"/>
          <w:b/>
          <w:color w:val="FF0000"/>
          <w:szCs w:val="21"/>
          <w:highlight w:val="none"/>
        </w:rPr>
      </w:pPr>
    </w:p>
    <w:p>
      <w:pPr>
        <w:pStyle w:val="5"/>
        <w:spacing w:before="120" w:beforeLines="50" w:after="120" w:afterLines="50"/>
        <w:rPr>
          <w:szCs w:val="24"/>
          <w:highlight w:val="none"/>
        </w:rPr>
      </w:pPr>
      <w:r>
        <w:rPr>
          <w:rFonts w:hint="eastAsia"/>
          <w:szCs w:val="24"/>
          <w:highlight w:val="none"/>
        </w:rPr>
        <w:t>二、项目概况</w:t>
      </w:r>
    </w:p>
    <w:p>
      <w:pPr>
        <w:spacing w:line="360" w:lineRule="auto"/>
        <w:ind w:firstLine="480" w:firstLineChars="200"/>
        <w:rPr>
          <w:sz w:val="24"/>
          <w:highlight w:val="none"/>
        </w:rPr>
      </w:pPr>
      <w:r>
        <w:rPr>
          <w:rFonts w:hint="eastAsia"/>
          <w:sz w:val="24"/>
          <w:highlight w:val="none"/>
        </w:rPr>
        <w:t>自2016年国务院批复成立龙华区以来，龙华区一直致力打造“智慧城区”“智慧龙华”。在教育系统建设方面，龙华区目前已完成一网三中心的建设，主要以教育城域网为核心，承载教育网络、教育信息安全监控、教育考试巡考监控等三大中心的业务运转。公民办学校均用裸光缆接入教育局核心网络，区域数据交换及互联网高速通道已全线贯通。龙华区教育局积极推进智慧教育行动，开拓高质量发展数字新赛道，建设一体化数字基座，打造人工智能教育“双翼多核”发展格局，实施“1+4+N”模式，探索以AI技术全周期、全链条赋能教学的人机协同模式，提高教育精准性、现代性、前瞻性，打造龙华智慧教育全景图；落地人工智能场景典型应用。培育一批人工智能教育实验校、示范校，推进五个典型场景应用，主要包括：龙华区校一体化教育数字基座建设和区级共性普及化应用、区校两级人工智能实验室集群建设、基于“教-学-评”一体化的智能个性化学习模式构建、区校一体化智慧心育全量解决资源研发以及拔尖创新人才培养生态打造，形成人工智能赋能教育治理的龙华智慧教育新样态。为满足龙华区智慧教育发展要求，推进下一代互联网IPv6在龙华区的规模化部署，特进行本次带宽招标采购工作。</w:t>
      </w:r>
    </w:p>
    <w:p>
      <w:pPr>
        <w:rPr>
          <w:rFonts w:ascii="宋体" w:hAnsi="宋体"/>
          <w:b/>
          <w:color w:val="FF0000"/>
          <w:szCs w:val="21"/>
          <w:highlight w:val="none"/>
        </w:rPr>
      </w:pPr>
    </w:p>
    <w:p>
      <w:pPr>
        <w:pStyle w:val="5"/>
        <w:spacing w:before="120" w:beforeLines="50" w:after="120" w:afterLines="50"/>
        <w:rPr>
          <w:szCs w:val="24"/>
          <w:highlight w:val="none"/>
        </w:rPr>
      </w:pPr>
      <w:r>
        <w:rPr>
          <w:rFonts w:hint="eastAsia"/>
          <w:szCs w:val="24"/>
          <w:highlight w:val="none"/>
        </w:rPr>
        <w:t>三、</w:t>
      </w:r>
      <w:bookmarkStart w:id="24" w:name="_Hlk72073432"/>
      <w:r>
        <w:rPr>
          <w:rFonts w:hint="eastAsia"/>
          <w:szCs w:val="24"/>
          <w:highlight w:val="none"/>
        </w:rPr>
        <w:t>服务需求明细</w:t>
      </w:r>
      <w:bookmarkEnd w:id="24"/>
    </w:p>
    <w:tbl>
      <w:tblPr>
        <w:tblStyle w:val="20"/>
        <w:tblW w:w="43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
        <w:gridCol w:w="2579"/>
        <w:gridCol w:w="898"/>
        <w:gridCol w:w="820"/>
        <w:gridCol w:w="1400"/>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92" w:type="pct"/>
            <w:vAlign w:val="center"/>
          </w:tcPr>
          <w:p>
            <w:pPr>
              <w:jc w:val="center"/>
              <w:rPr>
                <w:bCs/>
                <w:szCs w:val="21"/>
                <w:highlight w:val="none"/>
              </w:rPr>
            </w:pPr>
            <w:r>
              <w:rPr>
                <w:rFonts w:hint="eastAsia"/>
                <w:bCs/>
                <w:szCs w:val="21"/>
                <w:highlight w:val="none"/>
              </w:rPr>
              <w:t>序号</w:t>
            </w:r>
          </w:p>
        </w:tc>
        <w:tc>
          <w:tcPr>
            <w:tcW w:w="1749" w:type="pct"/>
            <w:vAlign w:val="center"/>
          </w:tcPr>
          <w:p>
            <w:pPr>
              <w:jc w:val="center"/>
              <w:rPr>
                <w:bCs/>
                <w:szCs w:val="21"/>
                <w:highlight w:val="none"/>
              </w:rPr>
            </w:pPr>
            <w:r>
              <w:rPr>
                <w:rFonts w:hint="eastAsia"/>
                <w:bCs/>
                <w:szCs w:val="21"/>
                <w:highlight w:val="none"/>
              </w:rPr>
              <w:t>服务需求名称（标的名称）</w:t>
            </w:r>
          </w:p>
        </w:tc>
        <w:tc>
          <w:tcPr>
            <w:tcW w:w="609" w:type="pct"/>
            <w:vAlign w:val="center"/>
          </w:tcPr>
          <w:p>
            <w:pPr>
              <w:jc w:val="center"/>
              <w:rPr>
                <w:bCs/>
                <w:szCs w:val="21"/>
                <w:highlight w:val="none"/>
              </w:rPr>
            </w:pPr>
            <w:r>
              <w:rPr>
                <w:rFonts w:hint="eastAsia"/>
                <w:bCs/>
                <w:szCs w:val="21"/>
                <w:highlight w:val="none"/>
              </w:rPr>
              <w:t>数量</w:t>
            </w:r>
          </w:p>
        </w:tc>
        <w:tc>
          <w:tcPr>
            <w:tcW w:w="556" w:type="pct"/>
            <w:vAlign w:val="center"/>
          </w:tcPr>
          <w:p>
            <w:pPr>
              <w:jc w:val="center"/>
              <w:rPr>
                <w:bCs/>
                <w:szCs w:val="21"/>
                <w:highlight w:val="none"/>
              </w:rPr>
            </w:pPr>
            <w:r>
              <w:rPr>
                <w:rFonts w:hint="eastAsia"/>
                <w:bCs/>
                <w:szCs w:val="21"/>
                <w:highlight w:val="none"/>
              </w:rPr>
              <w:t>单位</w:t>
            </w:r>
          </w:p>
        </w:tc>
        <w:tc>
          <w:tcPr>
            <w:tcW w:w="949" w:type="pct"/>
            <w:vAlign w:val="center"/>
          </w:tcPr>
          <w:p>
            <w:pPr>
              <w:jc w:val="center"/>
              <w:rPr>
                <w:bCs/>
                <w:szCs w:val="21"/>
                <w:highlight w:val="none"/>
              </w:rPr>
            </w:pPr>
            <w:r>
              <w:rPr>
                <w:rFonts w:hint="eastAsia" w:ascii="Times New Roman" w:eastAsia="宋体"/>
                <w:b/>
                <w:bCs/>
                <w:color w:val="FF0000"/>
                <w:szCs w:val="21"/>
                <w:highlight w:val="none"/>
              </w:rPr>
              <w:t>是否专门面向中小企业</w:t>
            </w:r>
          </w:p>
        </w:tc>
        <w:tc>
          <w:tcPr>
            <w:tcW w:w="843" w:type="pct"/>
            <w:vAlign w:val="center"/>
          </w:tcPr>
          <w:p>
            <w:pPr>
              <w:jc w:val="center"/>
              <w:rPr>
                <w:rFonts w:ascii="Times New Roman" w:eastAsia="宋体"/>
                <w:b/>
                <w:bCs/>
                <w:color w:val="FF0000"/>
                <w:szCs w:val="21"/>
                <w:highlight w:val="none"/>
              </w:rPr>
            </w:pPr>
            <w:r>
              <w:rPr>
                <w:rFonts w:hint="eastAsia" w:ascii="Times New Roman" w:eastAsia="宋体"/>
                <w:b/>
                <w:bCs/>
                <w:color w:val="FF0000"/>
                <w:szCs w:val="21"/>
                <w:highlight w:val="none"/>
              </w:rPr>
              <w:t>标的所属行业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92" w:type="pct"/>
            <w:vAlign w:val="center"/>
          </w:tcPr>
          <w:p>
            <w:pPr>
              <w:jc w:val="center"/>
              <w:rPr>
                <w:bCs/>
                <w:szCs w:val="21"/>
                <w:highlight w:val="none"/>
              </w:rPr>
            </w:pPr>
            <w:r>
              <w:rPr>
                <w:rFonts w:hint="eastAsia"/>
                <w:bCs/>
                <w:szCs w:val="21"/>
                <w:highlight w:val="none"/>
              </w:rPr>
              <w:t>1</w:t>
            </w:r>
          </w:p>
        </w:tc>
        <w:tc>
          <w:tcPr>
            <w:tcW w:w="1749" w:type="pct"/>
            <w:vAlign w:val="center"/>
          </w:tcPr>
          <w:p>
            <w:pPr>
              <w:jc w:val="center"/>
              <w:rPr>
                <w:bCs/>
                <w:szCs w:val="21"/>
                <w:highlight w:val="none"/>
              </w:rPr>
            </w:pPr>
            <w:r>
              <w:rPr>
                <w:rFonts w:hint="eastAsia"/>
                <w:bCs/>
                <w:szCs w:val="21"/>
                <w:highlight w:val="none"/>
              </w:rPr>
              <w:t>2025年区教育城域网cernet教育网出口带宽租用项目</w:t>
            </w:r>
          </w:p>
        </w:tc>
        <w:tc>
          <w:tcPr>
            <w:tcW w:w="609" w:type="pct"/>
            <w:vAlign w:val="center"/>
          </w:tcPr>
          <w:p>
            <w:pPr>
              <w:jc w:val="center"/>
              <w:rPr>
                <w:bCs/>
                <w:szCs w:val="21"/>
                <w:highlight w:val="none"/>
              </w:rPr>
            </w:pPr>
            <w:r>
              <w:rPr>
                <w:rFonts w:hint="eastAsia"/>
                <w:highlight w:val="none"/>
              </w:rPr>
              <w:t>1</w:t>
            </w:r>
          </w:p>
        </w:tc>
        <w:tc>
          <w:tcPr>
            <w:tcW w:w="556" w:type="pct"/>
            <w:vAlign w:val="center"/>
          </w:tcPr>
          <w:p>
            <w:pPr>
              <w:jc w:val="center"/>
              <w:rPr>
                <w:bCs/>
                <w:szCs w:val="21"/>
                <w:highlight w:val="none"/>
              </w:rPr>
            </w:pPr>
            <w:r>
              <w:rPr>
                <w:rFonts w:hint="eastAsia"/>
                <w:bCs/>
                <w:szCs w:val="21"/>
                <w:highlight w:val="none"/>
              </w:rPr>
              <w:t>项</w:t>
            </w:r>
          </w:p>
        </w:tc>
        <w:tc>
          <w:tcPr>
            <w:tcW w:w="949" w:type="pct"/>
            <w:vAlign w:val="center"/>
          </w:tcPr>
          <w:p>
            <w:pPr>
              <w:jc w:val="center"/>
              <w:rPr>
                <w:bCs/>
                <w:szCs w:val="21"/>
                <w:highlight w:val="none"/>
              </w:rPr>
            </w:pPr>
            <w:r>
              <w:rPr>
                <w:rFonts w:hint="eastAsia"/>
                <w:bCs/>
                <w:szCs w:val="21"/>
                <w:highlight w:val="none"/>
              </w:rPr>
              <w:t>否</w:t>
            </w:r>
          </w:p>
        </w:tc>
        <w:tc>
          <w:tcPr>
            <w:tcW w:w="843" w:type="pct"/>
            <w:vAlign w:val="center"/>
          </w:tcPr>
          <w:p>
            <w:pPr>
              <w:jc w:val="center"/>
              <w:rPr>
                <w:rFonts w:hint="eastAsia" w:eastAsiaTheme="minorEastAsia"/>
                <w:bCs/>
                <w:szCs w:val="21"/>
                <w:highlight w:val="none"/>
                <w:lang w:val="en-US" w:eastAsia="zh-CN"/>
              </w:rPr>
            </w:pPr>
            <w:r>
              <w:rPr>
                <w:rFonts w:hint="eastAsia"/>
                <w:highlight w:val="none"/>
              </w:rPr>
              <w:t>信息传输</w:t>
            </w:r>
            <w:r>
              <w:rPr>
                <w:rFonts w:hint="eastAsia"/>
                <w:highlight w:val="none"/>
                <w:lang w:eastAsia="zh-CN"/>
              </w:rPr>
              <w:t>业</w:t>
            </w:r>
          </w:p>
        </w:tc>
      </w:tr>
    </w:tbl>
    <w:p>
      <w:pPr>
        <w:rPr>
          <w:rFonts w:ascii="宋体" w:hAnsi="宋体"/>
          <w:b/>
          <w:color w:val="FF0000"/>
          <w:szCs w:val="21"/>
          <w:highlight w:val="none"/>
        </w:rPr>
      </w:pPr>
    </w:p>
    <w:p>
      <w:pPr>
        <w:pStyle w:val="5"/>
        <w:spacing w:before="120" w:beforeLines="50" w:after="120" w:afterLines="50"/>
        <w:rPr>
          <w:szCs w:val="24"/>
          <w:highlight w:val="none"/>
        </w:rPr>
      </w:pPr>
      <w:r>
        <w:rPr>
          <w:rFonts w:hint="eastAsia"/>
          <w:szCs w:val="24"/>
          <w:highlight w:val="none"/>
        </w:rPr>
        <w:t>四、实质性条款</w:t>
      </w:r>
    </w:p>
    <w:tbl>
      <w:tblPr>
        <w:tblStyle w:val="20"/>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pPr>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序号</w:t>
            </w:r>
          </w:p>
        </w:tc>
        <w:tc>
          <w:tcPr>
            <w:tcW w:w="7795" w:type="dxa"/>
          </w:tcPr>
          <w:p>
            <w:pPr>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实质性条款具体内容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4" w:type="dxa"/>
          </w:tcPr>
          <w:p>
            <w:pPr>
              <w:adjustRightInd w:val="0"/>
              <w:snapToGrid w:val="0"/>
              <w:spacing w:line="360" w:lineRule="auto"/>
              <w:rPr>
                <w:rFonts w:ascii="宋体" w:hAnsi="宋体"/>
                <w:kern w:val="0"/>
                <w:szCs w:val="21"/>
                <w:highlight w:val="none"/>
              </w:rPr>
            </w:pPr>
            <w:r>
              <w:rPr>
                <w:rFonts w:hint="eastAsia" w:ascii="宋体" w:hAnsi="宋体"/>
                <w:kern w:val="0"/>
                <w:szCs w:val="21"/>
                <w:highlight w:val="none"/>
              </w:rPr>
              <w:t>1</w:t>
            </w:r>
          </w:p>
        </w:tc>
        <w:tc>
          <w:tcPr>
            <w:tcW w:w="7795" w:type="dxa"/>
          </w:tcPr>
          <w:p>
            <w:pPr>
              <w:rPr>
                <w:rFonts w:hAnsi="宋体"/>
                <w:kern w:val="0"/>
                <w:szCs w:val="21"/>
                <w:highlight w:val="none"/>
              </w:rPr>
            </w:pPr>
            <w:r>
              <w:rPr>
                <w:rFonts w:hint="eastAsia"/>
                <w:highlight w:val="none"/>
              </w:rPr>
              <w:t>满足本项目标★的条款要求</w:t>
            </w:r>
          </w:p>
        </w:tc>
      </w:tr>
    </w:tbl>
    <w:p>
      <w:pPr>
        <w:pStyle w:val="7"/>
        <w:tabs>
          <w:tab w:val="left" w:pos="765"/>
        </w:tabs>
        <w:rPr>
          <w:rFonts w:ascii="黑体"/>
          <w:b w:val="0"/>
          <w:kern w:val="0"/>
          <w:sz w:val="24"/>
          <w:szCs w:val="24"/>
          <w:highlight w:val="none"/>
        </w:rPr>
      </w:pPr>
      <w:r>
        <w:rPr>
          <w:rFonts w:hint="eastAsia" w:ascii="黑体"/>
          <w:b w:val="0"/>
          <w:kern w:val="0"/>
          <w:sz w:val="24"/>
          <w:szCs w:val="24"/>
          <w:highlight w:val="none"/>
        </w:rPr>
        <w:t>注：上表所列内容为不可负偏离条款，负偏离将视为未实质性满足招标文件要求作投标无效处理。</w:t>
      </w:r>
      <w:bookmarkEnd w:id="23"/>
    </w:p>
    <w:p>
      <w:pPr>
        <w:rPr>
          <w:b/>
          <w:bCs/>
          <w:sz w:val="24"/>
          <w:highlight w:val="none"/>
        </w:rPr>
      </w:pPr>
    </w:p>
    <w:p>
      <w:pPr>
        <w:pStyle w:val="5"/>
        <w:spacing w:before="120" w:beforeLines="50" w:after="120" w:afterLines="50"/>
        <w:rPr>
          <w:szCs w:val="24"/>
          <w:highlight w:val="none"/>
        </w:rPr>
      </w:pPr>
      <w:r>
        <w:rPr>
          <w:rFonts w:hint="eastAsia"/>
          <w:szCs w:val="24"/>
          <w:highlight w:val="none"/>
        </w:rPr>
        <w:t>五、技术要求</w:t>
      </w:r>
    </w:p>
    <w:p>
      <w:pPr>
        <w:numPr>
          <w:ilvl w:val="0"/>
          <w:numId w:val="2"/>
        </w:numPr>
        <w:rPr>
          <w:b/>
          <w:bCs/>
          <w:highlight w:val="none"/>
        </w:rPr>
      </w:pPr>
      <w:r>
        <w:rPr>
          <w:rFonts w:hint="eastAsia"/>
          <w:b/>
          <w:bCs/>
          <w:highlight w:val="none"/>
        </w:rPr>
        <w:t>服务内容：</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（1）带宽要求</w:t>
      </w:r>
    </w:p>
    <w:p>
      <w:pPr>
        <w:pStyle w:val="2"/>
        <w:ind w:firstLine="482" w:firstLineChars="200"/>
        <w:rPr>
          <w:rFonts w:ascii="宋体" w:hAnsi="宋体"/>
          <w:b w:val="0"/>
          <w:bCs w:val="0"/>
          <w:sz w:val="21"/>
          <w:szCs w:val="21"/>
          <w:highlight w:val="none"/>
        </w:rPr>
      </w:pPr>
      <w:r>
        <w:rPr>
          <w:rFonts w:hint="eastAsia"/>
          <w:highlight w:val="none"/>
        </w:rPr>
        <w:t>★</w:t>
      </w:r>
      <w:r>
        <w:rPr>
          <w:rFonts w:hint="eastAsia" w:ascii="宋体" w:hAnsi="宋体"/>
          <w:b w:val="0"/>
          <w:bCs w:val="0"/>
          <w:sz w:val="21"/>
          <w:szCs w:val="21"/>
          <w:highlight w:val="none"/>
        </w:rPr>
        <w:t>要求提供中国教育和科研计算机网的独享IPv4和IPv6带宽</w:t>
      </w:r>
      <w:r>
        <w:rPr>
          <w:rFonts w:ascii="宋体" w:hAnsi="宋体"/>
          <w:b w:val="0"/>
          <w:bCs w:val="0"/>
          <w:sz w:val="21"/>
          <w:szCs w:val="21"/>
          <w:highlight w:val="none"/>
        </w:rPr>
        <w:t>20</w:t>
      </w:r>
      <w:r>
        <w:rPr>
          <w:rFonts w:hint="eastAsia" w:ascii="宋体" w:hAnsi="宋体"/>
          <w:b w:val="0"/>
          <w:bCs w:val="0"/>
          <w:sz w:val="21"/>
          <w:szCs w:val="21"/>
          <w:highlight w:val="none"/>
        </w:rPr>
        <w:t>00Mbps，上行带宽同为</w:t>
      </w:r>
      <w:r>
        <w:rPr>
          <w:rFonts w:ascii="宋体" w:hAnsi="宋体"/>
          <w:b w:val="0"/>
          <w:bCs w:val="0"/>
          <w:sz w:val="21"/>
          <w:szCs w:val="21"/>
          <w:highlight w:val="none"/>
        </w:rPr>
        <w:t>20</w:t>
      </w:r>
      <w:r>
        <w:rPr>
          <w:rFonts w:hint="eastAsia" w:ascii="宋体" w:hAnsi="宋体"/>
          <w:b w:val="0"/>
          <w:bCs w:val="0"/>
          <w:sz w:val="21"/>
          <w:szCs w:val="21"/>
          <w:highlight w:val="none"/>
        </w:rPr>
        <w:t>00Mbps。</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由招标人根据自身网络需求选择使用BGP互联或标准接入互联。招标人选用BGP互联时，要求在投标人所提供的网络内，将投标人为招标人提供的IPv4地址，以及招标人已有的其他所有的真实的IPv4地址段（包括招标人已有的其他运营商IPv4地址段）进行广播，且本BGP互联方式不得另行收费。</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（2）提供IP要求</w:t>
      </w:r>
    </w:p>
    <w:p>
      <w:pPr>
        <w:pStyle w:val="2"/>
        <w:ind w:firstLine="482" w:firstLineChars="200"/>
        <w:rPr>
          <w:rFonts w:ascii="宋体" w:hAnsi="宋体"/>
          <w:b w:val="0"/>
          <w:bCs w:val="0"/>
          <w:sz w:val="21"/>
          <w:szCs w:val="21"/>
          <w:highlight w:val="none"/>
        </w:rPr>
      </w:pPr>
      <w:r>
        <w:rPr>
          <w:rFonts w:hint="eastAsia"/>
          <w:highlight w:val="none"/>
        </w:rPr>
        <w:t>★</w:t>
      </w:r>
      <w:r>
        <w:rPr>
          <w:rFonts w:hint="eastAsia" w:ascii="宋体" w:hAnsi="宋体"/>
          <w:b w:val="0"/>
          <w:bCs w:val="0"/>
          <w:sz w:val="21"/>
          <w:szCs w:val="21"/>
          <w:highlight w:val="none"/>
        </w:rPr>
        <w:t>要求提供不少于1024个真实的、可全球路由的互联网独立IPv4地址，并登记于招标人名下。</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要求所提供的IPv4地址默认开放所有IP地址的全部TCP及UDP端口（含TCP 25、53、80、110、443；UDP 53等），且所有提供的IPv4地址全部可以提供反向解析服务。</w:t>
      </w:r>
    </w:p>
    <w:p>
      <w:pPr>
        <w:pStyle w:val="2"/>
        <w:ind w:firstLine="482" w:firstLineChars="200"/>
        <w:rPr>
          <w:rFonts w:ascii="宋体" w:hAnsi="宋体"/>
          <w:b w:val="0"/>
          <w:bCs w:val="0"/>
          <w:sz w:val="21"/>
          <w:szCs w:val="21"/>
          <w:highlight w:val="none"/>
        </w:rPr>
      </w:pPr>
      <w:r>
        <w:rPr>
          <w:rFonts w:hint="eastAsia"/>
          <w:highlight w:val="none"/>
        </w:rPr>
        <w:t>★</w:t>
      </w:r>
      <w:r>
        <w:rPr>
          <w:rFonts w:hint="eastAsia" w:ascii="宋体" w:hAnsi="宋体"/>
          <w:b w:val="0"/>
          <w:bCs w:val="0"/>
          <w:sz w:val="21"/>
          <w:szCs w:val="21"/>
          <w:highlight w:val="none"/>
        </w:rPr>
        <w:t>要求提供不少于1个/48大小的可全球路由的IPv6地址块。可视招标人的实际网络需求提供更多IPv6地址。</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（3）域名提供及管理</w:t>
      </w:r>
    </w:p>
    <w:p>
      <w:pPr>
        <w:pStyle w:val="2"/>
        <w:ind w:firstLine="482" w:firstLineChars="200"/>
        <w:rPr>
          <w:rFonts w:ascii="宋体" w:hAnsi="宋体"/>
          <w:b w:val="0"/>
          <w:bCs w:val="0"/>
          <w:sz w:val="21"/>
          <w:szCs w:val="21"/>
          <w:highlight w:val="none"/>
        </w:rPr>
      </w:pPr>
      <w:r>
        <w:rPr>
          <w:rFonts w:hint="eastAsia"/>
          <w:highlight w:val="none"/>
        </w:rPr>
        <w:t>★</w:t>
      </w:r>
      <w:r>
        <w:rPr>
          <w:rFonts w:hint="eastAsia" w:ascii="宋体" w:hAnsi="宋体"/>
          <w:b w:val="0"/>
          <w:bCs w:val="0"/>
          <w:sz w:val="21"/>
          <w:szCs w:val="21"/>
          <w:highlight w:val="none"/>
        </w:rPr>
        <w:t>要求投标人保障招标人的.EDU.CN域名正常可用，并协助完成域名备案。</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（4）Eduroam全球漫游服务</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投标人的网络应支持Eduroam（全球教育无线网漫游联盟）服务，并协助招标人部署Eduroam业务。实现招标人网内的无线用户凭借本地认证信息，可以在全球已开放Eduroam服务的教育机构直接漫游，服务龙华区智慧教育的全球视野。</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（5）网站备案扫描服务</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由投标人提供网站扫描服务。使用投标人提供的地址开设的网站如未根据工信部的要求进行备案的，通知招标人。并协助招标人进行备案。</w:t>
      </w:r>
    </w:p>
    <w:p>
      <w:pPr>
        <w:rPr>
          <w:b/>
          <w:bCs/>
          <w:highlight w:val="none"/>
        </w:rPr>
      </w:pPr>
      <w:r>
        <w:rPr>
          <w:rFonts w:hint="eastAsia"/>
          <w:b/>
          <w:bCs/>
          <w:highlight w:val="none"/>
        </w:rPr>
        <w:t>（二）服务要求：</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（1）服务开通期要求</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要求中标人在合同签订后五日内开始服务。</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（2）网络维护体系要求</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当发生服务中断或服务故障时，供应商应在半个小时内对故障进行查找处理并通知招标人，招标人应予以积极配合，平均故障处理时间少于2小时。故障恢复后，双方维护人员应进行测试、确认，各自做好记录存档。中标供应商应于2个工作日内正式给出详细故障说明，故障起止时间以双方网管系统的故障报告时间为准。</w:t>
      </w:r>
    </w:p>
    <w:p>
      <w:pPr>
        <w:pStyle w:val="2"/>
        <w:numPr>
          <w:ilvl w:val="0"/>
          <w:numId w:val="2"/>
        </w:numPr>
        <w:rPr>
          <w:rFonts w:ascii="宋体" w:hAnsi="宋体"/>
          <w:sz w:val="21"/>
          <w:szCs w:val="21"/>
          <w:highlight w:val="none"/>
        </w:rPr>
      </w:pPr>
      <w:r>
        <w:rPr>
          <w:rFonts w:hint="eastAsia" w:ascii="宋体" w:hAnsi="宋体"/>
          <w:sz w:val="21"/>
          <w:szCs w:val="21"/>
          <w:highlight w:val="none"/>
        </w:rPr>
        <w:t>临时带宽扩容要求：</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要求根据招标人的要求，在特殊时段提供临时带宽扩容服务。投标人可在接到招标人要求后，10分钟内免费为招标人提供按用户需求的的上下行对等接入宽。每次提供时间不少于7日历日，每年可提供不少于6次。</w:t>
      </w:r>
    </w:p>
    <w:p>
      <w:pPr>
        <w:pStyle w:val="2"/>
        <w:rPr>
          <w:rFonts w:ascii="宋体" w:hAnsi="宋体"/>
          <w:sz w:val="21"/>
          <w:szCs w:val="21"/>
          <w:highlight w:val="none"/>
        </w:rPr>
      </w:pPr>
      <w:r>
        <w:rPr>
          <w:rFonts w:hint="eastAsia" w:ascii="宋体" w:hAnsi="宋体"/>
          <w:sz w:val="21"/>
          <w:szCs w:val="21"/>
          <w:highlight w:val="none"/>
        </w:rPr>
        <w:t>（四）交付要求：</w:t>
      </w:r>
    </w:p>
    <w:p>
      <w:pPr>
        <w:pStyle w:val="2"/>
        <w:ind w:firstLine="420" w:firstLineChars="200"/>
        <w:rPr>
          <w:rFonts w:ascii="宋体" w:hAnsi="宋体"/>
          <w:b w:val="0"/>
          <w:bCs w:val="0"/>
          <w:sz w:val="21"/>
          <w:szCs w:val="21"/>
          <w:highlight w:val="none"/>
        </w:rPr>
      </w:pPr>
      <w:r>
        <w:rPr>
          <w:rFonts w:hint="eastAsia" w:ascii="宋体" w:hAnsi="宋体"/>
          <w:b w:val="0"/>
          <w:bCs w:val="0"/>
          <w:sz w:val="21"/>
          <w:szCs w:val="21"/>
          <w:highlight w:val="none"/>
        </w:rPr>
        <w:t>合同签订后五日内可开通</w:t>
      </w:r>
      <w:r>
        <w:rPr>
          <w:rFonts w:ascii="宋体" w:hAnsi="宋体"/>
          <w:b w:val="0"/>
          <w:bCs w:val="0"/>
          <w:sz w:val="21"/>
          <w:szCs w:val="21"/>
          <w:highlight w:val="none"/>
        </w:rPr>
        <w:t>20</w:t>
      </w:r>
      <w:r>
        <w:rPr>
          <w:rFonts w:hint="eastAsia" w:ascii="宋体" w:hAnsi="宋体"/>
          <w:b w:val="0"/>
          <w:bCs w:val="0"/>
          <w:sz w:val="21"/>
          <w:szCs w:val="21"/>
          <w:highlight w:val="none"/>
        </w:rPr>
        <w:t>00Mbps的中国教育和科研计算机网IPv4和IPv6接入带宽，并提供交付确认文件。</w:t>
      </w:r>
    </w:p>
    <w:p>
      <w:pPr>
        <w:rPr>
          <w:b/>
          <w:sz w:val="24"/>
          <w:highlight w:val="none"/>
        </w:rPr>
      </w:pPr>
    </w:p>
    <w:p>
      <w:pPr>
        <w:pStyle w:val="5"/>
        <w:spacing w:before="120" w:beforeLines="50" w:after="120" w:afterLines="50"/>
        <w:rPr>
          <w:szCs w:val="24"/>
          <w:highlight w:val="none"/>
        </w:rPr>
      </w:pPr>
      <w:r>
        <w:rPr>
          <w:rFonts w:hint="eastAsia"/>
          <w:szCs w:val="24"/>
          <w:highlight w:val="none"/>
        </w:rPr>
        <w:t>六、商务要求</w:t>
      </w:r>
    </w:p>
    <w:p>
      <w:pPr>
        <w:topLinePunct/>
        <w:spacing w:line="360" w:lineRule="auto"/>
        <w:ind w:firstLine="420" w:firstLineChars="200"/>
        <w:rPr>
          <w:rFonts w:ascii="宋体" w:hAnsi="宋体" w:cs="宋体"/>
          <w:b/>
          <w:bCs/>
          <w:color w:val="000000"/>
          <w:szCs w:val="21"/>
          <w:highlight w:val="none"/>
        </w:rPr>
      </w:pPr>
      <w:bookmarkStart w:id="25" w:name="_Hlk72352464"/>
      <w:r>
        <w:rPr>
          <w:rFonts w:hint="eastAsia"/>
          <w:highlight w:val="none"/>
        </w:rPr>
        <w:t>★</w:t>
      </w:r>
      <w:r>
        <w:rPr>
          <w:rFonts w:hint="eastAsia" w:ascii="宋体" w:hAnsi="宋体" w:cs="宋体"/>
          <w:b/>
          <w:bCs/>
          <w:color w:val="000000"/>
          <w:szCs w:val="21"/>
          <w:highlight w:val="none"/>
        </w:rPr>
        <w:t>1</w:t>
      </w:r>
      <w:r>
        <w:rPr>
          <w:rFonts w:ascii="宋体" w:hAnsi="宋体" w:cs="宋体"/>
          <w:b/>
          <w:bCs/>
          <w:color w:val="000000"/>
          <w:szCs w:val="21"/>
          <w:highlight w:val="none"/>
        </w:rPr>
        <w:t>.</w:t>
      </w:r>
      <w:r>
        <w:rPr>
          <w:rFonts w:hint="eastAsia" w:ascii="宋体" w:hAnsi="宋体" w:cs="宋体"/>
          <w:b/>
          <w:bCs/>
          <w:color w:val="000000"/>
          <w:szCs w:val="21"/>
          <w:highlight w:val="none"/>
        </w:rPr>
        <w:t>服务期限：</w:t>
      </w:r>
    </w:p>
    <w:p>
      <w:pPr>
        <w:spacing w:line="360" w:lineRule="auto"/>
        <w:ind w:firstLine="420" w:firstLineChars="200"/>
        <w:rPr>
          <w:rFonts w:ascii="宋体" w:hAnsi="宋体" w:cs="宋体"/>
          <w:highlight w:val="none"/>
          <w:u w:val="single"/>
        </w:rPr>
      </w:pPr>
      <w:r>
        <w:rPr>
          <w:rFonts w:hint="eastAsia" w:ascii="宋体" w:hAnsi="宋体" w:cs="宋体"/>
          <w:highlight w:val="none"/>
        </w:rPr>
        <w:t>本项目服务期限</w:t>
      </w:r>
      <w:r>
        <w:rPr>
          <w:rFonts w:hint="eastAsia" w:ascii="宋体" w:hAnsi="宋体" w:cs="宋体"/>
          <w:color w:val="FF0000"/>
          <w:highlight w:val="none"/>
        </w:rPr>
        <w:t>为</w:t>
      </w:r>
      <w:r>
        <w:rPr>
          <w:rFonts w:hint="eastAsia" w:ascii="宋体" w:hAnsi="宋体" w:cs="宋体"/>
          <w:color w:val="FF0000"/>
          <w:highlight w:val="none"/>
          <w:u w:val="single"/>
        </w:rPr>
        <w:t>2025年3月28日至2026年3月27日。</w:t>
      </w:r>
    </w:p>
    <w:p>
      <w:pPr>
        <w:topLinePunct/>
        <w:spacing w:line="360" w:lineRule="auto"/>
        <w:ind w:firstLine="420" w:firstLineChars="200"/>
        <w:rPr>
          <w:rFonts w:ascii="宋体" w:hAnsi="宋体" w:cs="宋体"/>
          <w:szCs w:val="21"/>
          <w:highlight w:val="none"/>
        </w:rPr>
      </w:pPr>
      <w:r>
        <w:rPr>
          <w:rFonts w:hint="eastAsia" w:ascii="宋体" w:hAnsi="宋体"/>
          <w:szCs w:val="21"/>
          <w:highlight w:val="none"/>
        </w:rPr>
        <w:t>该项目为长期服务项目，履约评价等级为优或满意的合同可续签不超过2次，每次不超过12个月，续期的合同实质性内容不得改变</w:t>
      </w:r>
      <w:r>
        <w:rPr>
          <w:rFonts w:ascii="宋体" w:hAnsi="宋体" w:cs="宋体"/>
          <w:szCs w:val="21"/>
          <w:highlight w:val="none"/>
        </w:rPr>
        <w:t>。</w:t>
      </w:r>
    </w:p>
    <w:p>
      <w:pPr>
        <w:spacing w:line="360" w:lineRule="auto"/>
        <w:ind w:firstLine="420" w:firstLineChars="200"/>
        <w:rPr>
          <w:rFonts w:ascii="宋体" w:hAnsi="宋体" w:cs="宋体"/>
          <w:b/>
          <w:bCs/>
          <w:color w:val="000000"/>
          <w:szCs w:val="21"/>
          <w:highlight w:val="none"/>
        </w:rPr>
      </w:pPr>
      <w:r>
        <w:rPr>
          <w:rFonts w:hint="eastAsia"/>
          <w:highlight w:val="none"/>
        </w:rPr>
        <w:t>★</w:t>
      </w:r>
      <w:r>
        <w:rPr>
          <w:rFonts w:hint="eastAsia" w:ascii="宋体" w:hAnsi="宋体" w:cs="宋体"/>
          <w:b/>
          <w:bCs/>
          <w:color w:val="000000"/>
          <w:szCs w:val="21"/>
          <w:highlight w:val="none"/>
        </w:rPr>
        <w:t>2</w:t>
      </w:r>
      <w:r>
        <w:rPr>
          <w:rFonts w:ascii="宋体" w:hAnsi="宋体" w:cs="宋体"/>
          <w:b/>
          <w:bCs/>
          <w:color w:val="000000"/>
          <w:szCs w:val="21"/>
          <w:highlight w:val="none"/>
        </w:rPr>
        <w:t>.</w:t>
      </w:r>
      <w:r>
        <w:rPr>
          <w:rFonts w:hint="eastAsia" w:ascii="宋体" w:hAnsi="宋体" w:cs="宋体"/>
          <w:b/>
          <w:bCs/>
          <w:color w:val="000000"/>
          <w:szCs w:val="21"/>
          <w:highlight w:val="none"/>
        </w:rPr>
        <w:t>付款期限和方式：</w:t>
      </w:r>
    </w:p>
    <w:p>
      <w:pPr>
        <w:pStyle w:val="8"/>
        <w:spacing w:before="60" w:beforeLines="25" w:after="60" w:afterLines="25"/>
        <w:rPr>
          <w:rFonts w:ascii="宋体" w:hAnsi="宋体" w:eastAsia="宋体" w:cs="Times New Roman"/>
          <w:szCs w:val="21"/>
          <w:highlight w:val="none"/>
        </w:rPr>
      </w:pPr>
      <w:r>
        <w:rPr>
          <w:rFonts w:hint="eastAsia" w:ascii="宋体" w:hAnsi="宋体" w:eastAsia="宋体" w:cs="Times New Roman"/>
          <w:szCs w:val="21"/>
          <w:highlight w:val="none"/>
        </w:rPr>
        <w:t>1</w:t>
      </w:r>
      <w:r>
        <w:rPr>
          <w:rFonts w:hint="eastAsia" w:ascii="宋体" w:hAnsi="宋体" w:eastAsia="宋体" w:cs="Times New Roman"/>
          <w:color w:val="FF0000"/>
          <w:szCs w:val="21"/>
          <w:highlight w:val="none"/>
        </w:rPr>
        <w:t>、合同签订后支付中标金额50%款项，6个月后支付中标金额30%款项，协议期满后验收合格支付中标金额20%款项，具体细节由采购人和中标人在合同中约定。</w:t>
      </w:r>
    </w:p>
    <w:p>
      <w:pPr>
        <w:spacing w:line="360" w:lineRule="auto"/>
        <w:ind w:firstLine="420" w:firstLineChars="200"/>
        <w:rPr>
          <w:rFonts w:ascii="宋体" w:hAnsi="宋体" w:cs="宋体"/>
          <w:szCs w:val="21"/>
          <w:highlight w:val="none"/>
        </w:rPr>
      </w:pPr>
      <w:r>
        <w:rPr>
          <w:rFonts w:hint="eastAsia" w:ascii="宋体" w:hAnsi="宋体"/>
          <w:szCs w:val="21"/>
          <w:highlight w:val="none"/>
        </w:rPr>
        <w:t>2、因财政资金拨款未到位而导致甲方未在约定期限内支付合同费用的，中标供应商不得要求采购人承担逾期付款的违约责任。每次付款前，中标供应商应需先提供相应额度的正规发票给采购人，以便办理支付手续</w:t>
      </w:r>
      <w:r>
        <w:rPr>
          <w:rFonts w:ascii="宋体" w:hAnsi="宋体" w:cs="宋体"/>
          <w:szCs w:val="21"/>
          <w:highlight w:val="none"/>
        </w:rPr>
        <w:t>。</w:t>
      </w:r>
    </w:p>
    <w:p>
      <w:pPr>
        <w:spacing w:line="360" w:lineRule="auto"/>
        <w:ind w:firstLine="422" w:firstLineChars="200"/>
        <w:rPr>
          <w:rFonts w:ascii="宋体" w:hAnsi="宋体" w:cs="宋体"/>
          <w:color w:val="000000"/>
          <w:szCs w:val="21"/>
          <w:highlight w:val="none"/>
        </w:rPr>
      </w:pPr>
      <w:r>
        <w:rPr>
          <w:rFonts w:hint="eastAsia" w:ascii="宋体" w:hAnsi="宋体" w:cs="宋体"/>
          <w:b/>
          <w:bCs/>
          <w:color w:val="000000"/>
          <w:szCs w:val="21"/>
          <w:highlight w:val="none"/>
        </w:rPr>
        <w:t>3</w:t>
      </w:r>
      <w:r>
        <w:rPr>
          <w:rFonts w:ascii="宋体" w:hAnsi="宋体" w:cs="宋体"/>
          <w:b/>
          <w:bCs/>
          <w:color w:val="000000"/>
          <w:szCs w:val="21"/>
          <w:highlight w:val="none"/>
        </w:rPr>
        <w:t>.</w:t>
      </w:r>
      <w:r>
        <w:rPr>
          <w:rFonts w:hint="eastAsia" w:ascii="宋体" w:hAnsi="宋体" w:cs="宋体"/>
          <w:b/>
          <w:bCs/>
          <w:color w:val="000000"/>
          <w:szCs w:val="21"/>
          <w:highlight w:val="none"/>
        </w:rPr>
        <w:t>服务地点：深圳市龙华区</w:t>
      </w:r>
      <w:r>
        <w:rPr>
          <w:rFonts w:hint="eastAsia" w:ascii="宋体" w:hAnsi="宋体" w:cs="宋体"/>
          <w:color w:val="000000"/>
          <w:szCs w:val="21"/>
          <w:highlight w:val="none"/>
        </w:rPr>
        <w:t xml:space="preserve">     </w:t>
      </w:r>
    </w:p>
    <w:p>
      <w:pPr>
        <w:spacing w:line="360" w:lineRule="auto"/>
        <w:ind w:firstLine="422" w:firstLineChars="200"/>
        <w:rPr>
          <w:rFonts w:ascii="宋体" w:hAnsi="宋体" w:cs="宋体"/>
          <w:b/>
          <w:bCs/>
          <w:color w:val="000000"/>
          <w:szCs w:val="21"/>
          <w:highlight w:val="none"/>
        </w:rPr>
      </w:pPr>
      <w:r>
        <w:rPr>
          <w:rFonts w:hint="eastAsia" w:ascii="宋体" w:hAnsi="宋体" w:cs="宋体"/>
          <w:b/>
          <w:bCs/>
          <w:color w:val="000000"/>
          <w:szCs w:val="21"/>
          <w:highlight w:val="none"/>
        </w:rPr>
        <w:t>4</w:t>
      </w:r>
      <w:r>
        <w:rPr>
          <w:rFonts w:ascii="宋体" w:hAnsi="宋体" w:cs="宋体"/>
          <w:b/>
          <w:bCs/>
          <w:color w:val="000000"/>
          <w:szCs w:val="21"/>
          <w:highlight w:val="none"/>
        </w:rPr>
        <w:t>.</w:t>
      </w:r>
      <w:r>
        <w:rPr>
          <w:rFonts w:hint="eastAsia" w:ascii="宋体" w:hAnsi="宋体" w:cs="宋体"/>
          <w:b/>
          <w:bCs/>
          <w:color w:val="000000"/>
          <w:szCs w:val="21"/>
          <w:highlight w:val="none"/>
        </w:rPr>
        <w:t>验收条件：</w:t>
      </w:r>
      <w:r>
        <w:rPr>
          <w:rFonts w:hint="eastAsia" w:ascii="宋体" w:hAnsi="宋体" w:cs="宋体"/>
          <w:color w:val="000000"/>
          <w:szCs w:val="21"/>
          <w:highlight w:val="none"/>
        </w:rPr>
        <w:t>以合同约定为准。</w:t>
      </w:r>
    </w:p>
    <w:p>
      <w:pPr>
        <w:spacing w:line="360" w:lineRule="auto"/>
        <w:ind w:firstLine="422" w:firstLineChars="200"/>
        <w:rPr>
          <w:rFonts w:ascii="宋体" w:hAnsi="宋体" w:cs="宋体"/>
          <w:b/>
          <w:bCs/>
          <w:color w:val="000000"/>
          <w:szCs w:val="21"/>
          <w:highlight w:val="none"/>
        </w:rPr>
      </w:pPr>
      <w:r>
        <w:rPr>
          <w:rFonts w:hint="eastAsia" w:ascii="宋体" w:hAnsi="宋体" w:cs="宋体"/>
          <w:b/>
          <w:bCs/>
          <w:color w:val="000000"/>
          <w:szCs w:val="21"/>
          <w:highlight w:val="none"/>
        </w:rPr>
        <w:t>5</w:t>
      </w:r>
      <w:r>
        <w:rPr>
          <w:rFonts w:ascii="宋体" w:hAnsi="宋体" w:cs="宋体"/>
          <w:b/>
          <w:bCs/>
          <w:color w:val="000000"/>
          <w:szCs w:val="21"/>
          <w:highlight w:val="none"/>
        </w:rPr>
        <w:t>.</w:t>
      </w:r>
      <w:r>
        <w:rPr>
          <w:rFonts w:hint="eastAsia" w:ascii="宋体" w:hAnsi="宋体" w:cs="宋体"/>
          <w:b/>
          <w:bCs/>
          <w:color w:val="000000"/>
          <w:szCs w:val="21"/>
          <w:highlight w:val="none"/>
        </w:rPr>
        <w:t>违约责任：</w:t>
      </w:r>
      <w:r>
        <w:rPr>
          <w:rFonts w:hint="eastAsia" w:ascii="宋体" w:hAnsi="宋体" w:cs="宋体"/>
          <w:color w:val="000000"/>
          <w:szCs w:val="21"/>
          <w:highlight w:val="none"/>
        </w:rPr>
        <w:t>以合同约定为准。</w:t>
      </w:r>
    </w:p>
    <w:p>
      <w:pPr>
        <w:pStyle w:val="8"/>
        <w:spacing w:before="60" w:beforeLines="25" w:after="60" w:afterLines="25" w:line="360" w:lineRule="auto"/>
        <w:rPr>
          <w:rFonts w:ascii="宋体" w:hAnsi="宋体"/>
          <w:szCs w:val="21"/>
          <w:highlight w:val="none"/>
        </w:rPr>
      </w:pPr>
      <w:r>
        <w:rPr>
          <w:rFonts w:hint="eastAsia" w:ascii="宋体" w:hAnsi="宋体" w:cs="宋体"/>
          <w:b/>
          <w:bCs/>
          <w:color w:val="000000"/>
          <w:szCs w:val="21"/>
          <w:highlight w:val="none"/>
        </w:rPr>
        <w:t>6</w:t>
      </w:r>
      <w:r>
        <w:rPr>
          <w:rFonts w:ascii="宋体" w:hAnsi="宋体" w:cs="宋体"/>
          <w:b/>
          <w:bCs/>
          <w:color w:val="000000"/>
          <w:szCs w:val="21"/>
          <w:highlight w:val="none"/>
        </w:rPr>
        <w:t>.</w:t>
      </w:r>
      <w:r>
        <w:rPr>
          <w:rFonts w:hint="eastAsia" w:ascii="宋体" w:hAnsi="宋体" w:cs="宋体"/>
          <w:b/>
          <w:bCs/>
          <w:color w:val="000000"/>
          <w:szCs w:val="21"/>
          <w:highlight w:val="none"/>
        </w:rPr>
        <w:t>争议解决方法</w:t>
      </w:r>
      <w:bookmarkEnd w:id="25"/>
      <w:r>
        <w:rPr>
          <w:rFonts w:hint="eastAsia" w:ascii="宋体" w:hAnsi="宋体" w:cs="宋体"/>
          <w:b/>
          <w:bCs/>
          <w:color w:val="000000"/>
          <w:szCs w:val="21"/>
          <w:highlight w:val="none"/>
        </w:rPr>
        <w:t>：</w:t>
      </w:r>
      <w:r>
        <w:rPr>
          <w:rFonts w:hint="eastAsia" w:ascii="宋体" w:hAnsi="宋体" w:cs="宋体"/>
          <w:color w:val="000000"/>
          <w:szCs w:val="21"/>
          <w:highlight w:val="none"/>
        </w:rPr>
        <w:t>以合同约定为准。</w:t>
      </w:r>
    </w:p>
    <w:p>
      <w:pPr>
        <w:ind w:firstLine="420" w:firstLineChars="200"/>
        <w:rPr>
          <w:rFonts w:asciiTheme="minorEastAsia" w:hAnsiTheme="minorEastAsia"/>
          <w:highlight w:val="none"/>
        </w:rPr>
      </w:pPr>
    </w:p>
    <w:p>
      <w:pPr>
        <w:rPr>
          <w:highlight w:val="none"/>
        </w:rPr>
      </w:pPr>
    </w:p>
    <w:p>
      <w:pPr>
        <w:pStyle w:val="5"/>
        <w:spacing w:before="120" w:beforeLines="50" w:after="120" w:afterLines="50"/>
        <w:rPr>
          <w:szCs w:val="24"/>
          <w:highlight w:val="none"/>
        </w:rPr>
      </w:pPr>
      <w:r>
        <w:rPr>
          <w:rFonts w:hint="eastAsia"/>
          <w:szCs w:val="24"/>
          <w:highlight w:val="none"/>
        </w:rPr>
        <w:t>七、其他重要条款</w:t>
      </w:r>
    </w:p>
    <w:p>
      <w:pPr>
        <w:pStyle w:val="17"/>
        <w:spacing w:before="60" w:beforeLines="25" w:after="60" w:afterLines="25" w:line="360" w:lineRule="auto"/>
        <w:ind w:firstLine="392" w:firstLineChars="187"/>
        <w:rPr>
          <w:rFonts w:cs="宋体"/>
          <w:szCs w:val="21"/>
          <w:highlight w:val="none"/>
        </w:rPr>
      </w:pPr>
      <w:r>
        <w:rPr>
          <w:rFonts w:hint="eastAsia" w:cs="宋体"/>
          <w:sz w:val="21"/>
          <w:szCs w:val="21"/>
          <w:highlight w:val="none"/>
          <w:lang w:bidi="ar"/>
        </w:rPr>
        <w:t>1、本项目服务费采用包干制，应包括服务成本、法定税费和利润。由投标人根据采购文件所提供的资料自行测算投标报价；一经中选，投标报价总价作为中选单位与采购单位签定的合同金额，合同期限内不做调整；</w:t>
      </w:r>
    </w:p>
    <w:p>
      <w:pPr>
        <w:pStyle w:val="17"/>
        <w:spacing w:before="60" w:beforeLines="25" w:after="60" w:afterLines="25" w:line="360" w:lineRule="auto"/>
        <w:ind w:firstLine="392" w:firstLineChars="187"/>
        <w:rPr>
          <w:rFonts w:cs="宋体"/>
          <w:bCs/>
          <w:sz w:val="21"/>
          <w:szCs w:val="21"/>
          <w:highlight w:val="none"/>
          <w:lang w:bidi="ar"/>
        </w:rPr>
      </w:pPr>
      <w:r>
        <w:rPr>
          <w:rFonts w:hint="eastAsia" w:cs="宋体"/>
          <w:sz w:val="21"/>
          <w:szCs w:val="21"/>
          <w:highlight w:val="none"/>
          <w:lang w:bidi="ar"/>
        </w:rPr>
        <w:t>2、投标人应根据其成本自行决定报价。</w:t>
      </w:r>
      <w:r>
        <w:rPr>
          <w:rFonts w:hint="eastAsia" w:cs="宋体"/>
          <w:b/>
          <w:sz w:val="21"/>
          <w:szCs w:val="21"/>
          <w:highlight w:val="none"/>
          <w:lang w:bidi="ar"/>
        </w:rPr>
        <w:t>评审小组</w:t>
      </w:r>
      <w:r>
        <w:rPr>
          <w:rFonts w:hint="eastAsia" w:cs="宋体"/>
          <w:sz w:val="21"/>
          <w:szCs w:val="21"/>
          <w:highlight w:val="none"/>
          <w:lang w:bidi="ar"/>
        </w:rPr>
        <w:t>认为投标人的报价明显低于其他通过符合性审查投标人的报价，有可能影响服务质量或不能诚信履约的，将会要求该投标人在评审现场合理的时间内提供书面说明，必要时提交相关证明材料。</w:t>
      </w:r>
      <w:r>
        <w:rPr>
          <w:rFonts w:hint="eastAsia" w:cs="宋体"/>
          <w:bCs/>
          <w:sz w:val="21"/>
          <w:szCs w:val="21"/>
          <w:highlight w:val="none"/>
          <w:lang w:bidi="ar"/>
        </w:rPr>
        <w:t>投标人不能证明其报价合理性的，评标小组应将其作为无效投标处理。若</w:t>
      </w:r>
      <w:r>
        <w:rPr>
          <w:rFonts w:hint="eastAsia" w:cs="宋体"/>
          <w:b/>
          <w:bCs/>
          <w:sz w:val="21"/>
          <w:szCs w:val="21"/>
          <w:highlight w:val="none"/>
          <w:lang w:bidi="ar"/>
        </w:rPr>
        <w:t>评审小组</w:t>
      </w:r>
      <w:r>
        <w:rPr>
          <w:rFonts w:hint="eastAsia" w:cs="宋体"/>
          <w:bCs/>
          <w:sz w:val="21"/>
          <w:szCs w:val="21"/>
          <w:highlight w:val="none"/>
          <w:lang w:bidi="ar"/>
        </w:rPr>
        <w:t>对是否须由投标人作出报价合理性说明，以及书面说明是否采纳等判断不一致的，按照“少数服从多数”的原则确定</w:t>
      </w:r>
      <w:r>
        <w:rPr>
          <w:rFonts w:hint="eastAsia" w:cs="宋体"/>
          <w:b/>
          <w:bCs/>
          <w:sz w:val="21"/>
          <w:szCs w:val="21"/>
          <w:highlight w:val="none"/>
          <w:lang w:bidi="ar"/>
        </w:rPr>
        <w:t>评审小组</w:t>
      </w:r>
      <w:r>
        <w:rPr>
          <w:rFonts w:hint="eastAsia" w:cs="宋体"/>
          <w:bCs/>
          <w:sz w:val="21"/>
          <w:szCs w:val="21"/>
          <w:highlight w:val="none"/>
          <w:lang w:bidi="ar"/>
        </w:rPr>
        <w:t>的意见。</w:t>
      </w:r>
    </w:p>
    <w:p>
      <w:pPr>
        <w:pStyle w:val="17"/>
        <w:spacing w:before="60" w:beforeLines="25" w:after="60" w:afterLines="25" w:line="360" w:lineRule="auto"/>
        <w:ind w:firstLine="392" w:firstLineChars="187"/>
        <w:rPr>
          <w:rFonts w:cs="宋体"/>
          <w:szCs w:val="21"/>
          <w:highlight w:val="none"/>
        </w:rPr>
      </w:pPr>
      <w:r>
        <w:rPr>
          <w:rFonts w:hint="eastAsia" w:cs="宋体"/>
          <w:bCs/>
          <w:sz w:val="21"/>
          <w:szCs w:val="21"/>
          <w:highlight w:val="none"/>
          <w:lang w:bidi="ar"/>
        </w:rPr>
        <w:t>3、</w:t>
      </w:r>
      <w:r>
        <w:rPr>
          <w:rFonts w:hint="eastAsia" w:cs="宋体"/>
          <w:sz w:val="21"/>
          <w:szCs w:val="21"/>
          <w:highlight w:val="none"/>
          <w:lang w:bidi="ar"/>
        </w:rPr>
        <w:t>如果中选价低于财政预算限额的70%，该项目将被列为优先实施履约检查的项目。</w:t>
      </w:r>
    </w:p>
    <w:p>
      <w:pPr>
        <w:pStyle w:val="17"/>
        <w:spacing w:before="60" w:beforeLines="25" w:after="60" w:afterLines="25" w:line="360" w:lineRule="auto"/>
        <w:ind w:firstLine="392" w:firstLineChars="187"/>
        <w:rPr>
          <w:rFonts w:cs="宋体"/>
          <w:szCs w:val="21"/>
          <w:highlight w:val="none"/>
        </w:rPr>
      </w:pPr>
      <w:r>
        <w:rPr>
          <w:rFonts w:hint="eastAsia" w:cs="宋体"/>
          <w:sz w:val="21"/>
          <w:szCs w:val="21"/>
          <w:highlight w:val="none"/>
          <w:lang w:bidi="ar"/>
        </w:rPr>
        <w:t>4、投标人的投标报价不得超过财政预算限额，如设投标最高限价的，报价不得超过最高限价；</w:t>
      </w:r>
    </w:p>
    <w:p>
      <w:pPr>
        <w:pStyle w:val="17"/>
        <w:spacing w:before="60" w:beforeLines="25" w:after="60" w:afterLines="25" w:line="360" w:lineRule="auto"/>
        <w:ind w:firstLine="392" w:firstLineChars="187"/>
        <w:rPr>
          <w:rFonts w:cs="宋体"/>
          <w:szCs w:val="21"/>
          <w:highlight w:val="none"/>
        </w:rPr>
      </w:pPr>
      <w:r>
        <w:rPr>
          <w:rFonts w:hint="eastAsia" w:cs="宋体"/>
          <w:sz w:val="21"/>
          <w:szCs w:val="21"/>
          <w:highlight w:val="none"/>
          <w:lang w:bidi="ar"/>
        </w:rPr>
        <w:t>5、投标人的投标报价，应是本项目采购范围和采购文件及合同条款上所列的各项内容中所述的全部，不得以任何理由予以重复，并以投标人在中提出的综合单价或总价为依据；</w:t>
      </w:r>
    </w:p>
    <w:p>
      <w:pPr>
        <w:pStyle w:val="17"/>
        <w:spacing w:before="60" w:beforeLines="25" w:after="60" w:afterLines="25" w:line="360" w:lineRule="auto"/>
        <w:ind w:firstLine="392" w:firstLineChars="187"/>
        <w:rPr>
          <w:rFonts w:cs="宋体"/>
          <w:szCs w:val="21"/>
          <w:highlight w:val="none"/>
        </w:rPr>
      </w:pPr>
      <w:r>
        <w:rPr>
          <w:rFonts w:hint="eastAsia" w:cs="宋体"/>
          <w:sz w:val="21"/>
          <w:szCs w:val="21"/>
          <w:highlight w:val="none"/>
          <w:lang w:bidi="ar"/>
        </w:rPr>
        <w:t>6、除非</w:t>
      </w:r>
      <w:r>
        <w:rPr>
          <w:rFonts w:hint="eastAsia"/>
          <w:sz w:val="21"/>
          <w:szCs w:val="21"/>
          <w:highlight w:val="none"/>
        </w:rPr>
        <w:t>龙华区教育系统</w:t>
      </w:r>
      <w:r>
        <w:rPr>
          <w:rFonts w:hint="eastAsia" w:cs="宋体"/>
          <w:sz w:val="21"/>
          <w:szCs w:val="21"/>
          <w:highlight w:val="none"/>
          <w:lang w:bidi="ar"/>
        </w:rPr>
        <w:t>通过修改采购文件予以更正，否则，投标人应毫无例外地按采购文件所列的清单中项目和数量填报综合单价和合价。投标人未填综合单价或合价的项目，视作该项费用已包括在其它有价款的综合单价或合价内；</w:t>
      </w:r>
    </w:p>
    <w:p>
      <w:pPr>
        <w:pStyle w:val="17"/>
        <w:spacing w:before="60" w:beforeLines="25" w:after="60" w:afterLines="25" w:line="360" w:lineRule="auto"/>
        <w:ind w:firstLine="392" w:firstLineChars="187"/>
        <w:rPr>
          <w:rFonts w:cs="宋体"/>
          <w:sz w:val="21"/>
          <w:szCs w:val="21"/>
          <w:highlight w:val="none"/>
          <w:lang w:bidi="ar"/>
        </w:rPr>
      </w:pPr>
      <w:r>
        <w:rPr>
          <w:rFonts w:hint="eastAsia" w:cs="宋体"/>
          <w:sz w:val="21"/>
          <w:szCs w:val="21"/>
          <w:highlight w:val="none"/>
          <w:lang w:bidi="ar"/>
        </w:rPr>
        <w:t>7、投标人应先到项目地点踏勘以充分了解项目的位置、情况、道路及任何其它足以影响投标报价的情况，任何因忽视或误解项目情况而导致的索赔或服务期限延长申请将不获批准；</w:t>
      </w:r>
    </w:p>
    <w:p>
      <w:pPr>
        <w:pStyle w:val="17"/>
        <w:spacing w:before="60" w:beforeLines="25" w:after="60" w:afterLines="25" w:line="360" w:lineRule="auto"/>
        <w:ind w:firstLine="392" w:firstLineChars="187"/>
        <w:rPr>
          <w:rFonts w:cs="宋体"/>
          <w:sz w:val="21"/>
          <w:szCs w:val="21"/>
          <w:highlight w:val="none"/>
          <w:lang w:bidi="ar"/>
        </w:rPr>
      </w:pPr>
      <w:r>
        <w:rPr>
          <w:rFonts w:hint="eastAsia" w:cs="宋体"/>
          <w:sz w:val="21"/>
          <w:szCs w:val="21"/>
          <w:highlight w:val="none"/>
          <w:lang w:bidi="ar"/>
        </w:rPr>
        <w:t>8、投标人不得期望通过索赔等方式获取补偿，否则，除可能遭到拒绝外，还可能将被作为不良行为记录在案，并可能影响其以后参加龙华区教育系统自行采购的项目投标。各投标人在投标报价时，应充分考虑投标报价的风险。</w:t>
      </w:r>
    </w:p>
    <w:p>
      <w:pPr>
        <w:pStyle w:val="17"/>
        <w:spacing w:before="60" w:beforeLines="25" w:after="60" w:afterLines="25" w:line="360" w:lineRule="auto"/>
        <w:ind w:firstLine="392" w:firstLineChars="187"/>
        <w:rPr>
          <w:rFonts w:cs="宋体"/>
          <w:sz w:val="21"/>
          <w:szCs w:val="21"/>
          <w:highlight w:val="none"/>
          <w:lang w:bidi="ar"/>
        </w:rPr>
      </w:pPr>
      <w:r>
        <w:rPr>
          <w:rFonts w:hint="eastAsia" w:cs="宋体"/>
          <w:sz w:val="21"/>
          <w:szCs w:val="21"/>
          <w:highlight w:val="none"/>
          <w:lang w:bidi="ar"/>
        </w:rPr>
        <w:t>9、中标人不得将项目非法分包或转包给任何单位和个人。否则，采购单位有权即刻终止合同，并要求中标人赔偿相应损失。</w:t>
      </w:r>
    </w:p>
    <w:p>
      <w:pPr>
        <w:pStyle w:val="17"/>
        <w:spacing w:before="60" w:beforeLines="25" w:after="60" w:afterLines="25" w:line="360" w:lineRule="auto"/>
        <w:ind w:firstLine="392" w:firstLineChars="187"/>
        <w:rPr>
          <w:rFonts w:cs="宋体"/>
          <w:sz w:val="21"/>
          <w:szCs w:val="21"/>
          <w:highlight w:val="none"/>
          <w:lang w:bidi="ar"/>
        </w:rPr>
      </w:pPr>
      <w:r>
        <w:rPr>
          <w:rFonts w:hint="eastAsia" w:cs="宋体"/>
          <w:sz w:val="21"/>
          <w:szCs w:val="21"/>
          <w:highlight w:val="none"/>
          <w:lang w:bidi="ar"/>
        </w:rPr>
        <w:t>10、投标人使用的标准必须是国际公认或国家、或地方政府颁布的同等或更高的标准，如投标人使用的标准低于上述标准,评标小组将有权不予接受，投标人必须列表将明显的差异详细说明。</w:t>
      </w:r>
    </w:p>
    <w:p>
      <w:pPr>
        <w:pStyle w:val="17"/>
        <w:spacing w:before="60" w:beforeLines="25" w:after="60" w:afterLines="25" w:line="360" w:lineRule="auto"/>
        <w:ind w:firstLine="392" w:firstLineChars="187"/>
        <w:rPr>
          <w:rFonts w:cs="宋体"/>
          <w:sz w:val="21"/>
          <w:szCs w:val="21"/>
          <w:highlight w:val="none"/>
          <w:lang w:bidi="ar"/>
        </w:rPr>
      </w:pPr>
      <w:r>
        <w:rPr>
          <w:rFonts w:hint="eastAsia" w:cs="宋体"/>
          <w:sz w:val="21"/>
          <w:szCs w:val="21"/>
          <w:highlight w:val="none"/>
          <w:lang w:bidi="ar"/>
        </w:rPr>
        <w:t>11、投标人须在质疑期内一次性提出针对同一采购程序环节的质疑。</w:t>
      </w:r>
    </w:p>
    <w:p>
      <w:pPr>
        <w:pStyle w:val="17"/>
        <w:spacing w:before="60" w:beforeLines="25" w:after="60" w:afterLines="25" w:line="360" w:lineRule="auto"/>
        <w:ind w:firstLine="392" w:firstLineChars="187"/>
        <w:rPr>
          <w:rFonts w:cs="宋体"/>
          <w:sz w:val="21"/>
          <w:szCs w:val="21"/>
          <w:highlight w:val="none"/>
          <w:lang w:bidi="ar"/>
        </w:rPr>
      </w:pPr>
      <w:r>
        <w:rPr>
          <w:rFonts w:hint="eastAsia" w:cs="宋体"/>
          <w:sz w:val="21"/>
          <w:szCs w:val="21"/>
          <w:highlight w:val="none"/>
          <w:lang w:bidi="ar"/>
        </w:rPr>
        <w:t>12、本项目按照深圳市龙华区教育局的相关采购规定执行，招标文件未明确的事项，参照政府采购有关法律法规执行。</w:t>
      </w:r>
    </w:p>
    <w:p>
      <w:pPr>
        <w:ind w:firstLine="420" w:firstLineChars="200"/>
        <w:rPr>
          <w:rFonts w:eastAsia="宋体"/>
          <w:bCs/>
          <w:szCs w:val="21"/>
          <w:highlight w:val="none"/>
        </w:rPr>
      </w:pPr>
    </w:p>
    <w:p>
      <w:pPr>
        <w:pStyle w:val="8"/>
        <w:spacing w:before="60" w:beforeLines="25" w:after="60" w:afterLines="25"/>
        <w:ind w:firstLine="392" w:firstLineChars="187"/>
        <w:rPr>
          <w:rFonts w:ascii="宋体" w:hAnsi="宋体"/>
          <w:szCs w:val="21"/>
          <w:highlight w:val="none"/>
        </w:rPr>
      </w:pPr>
    </w:p>
    <w:p>
      <w:pPr>
        <w:widowControl/>
        <w:jc w:val="left"/>
        <w:rPr>
          <w:rFonts w:ascii="宋体" w:hAnsi="宋体" w:eastAsia="黑体" w:cs="Times New Roman"/>
          <w:bCs/>
          <w:kern w:val="44"/>
          <w:sz w:val="28"/>
          <w:szCs w:val="44"/>
          <w:highlight w:val="none"/>
        </w:rPr>
      </w:pPr>
    </w:p>
    <w:p>
      <w:pPr>
        <w:rPr>
          <w:rFonts w:ascii="宋体" w:hAnsi="宋体" w:eastAsia="宋体" w:cs="Times New Roman"/>
          <w:b/>
          <w:bCs/>
          <w:kern w:val="0"/>
          <w:sz w:val="28"/>
          <w:szCs w:val="28"/>
          <w:highlight w:val="none"/>
        </w:rPr>
      </w:pPr>
      <w:r>
        <w:rPr>
          <w:rFonts w:hint="eastAsia" w:ascii="宋体" w:hAnsi="宋体" w:eastAsia="宋体" w:cs="Times New Roman"/>
          <w:b/>
          <w:bCs/>
          <w:kern w:val="0"/>
          <w:sz w:val="28"/>
          <w:szCs w:val="28"/>
          <w:highlight w:val="none"/>
        </w:rPr>
        <w:br w:type="page"/>
      </w:r>
    </w:p>
    <w:p>
      <w:pPr>
        <w:keepNext/>
        <w:keepLines/>
        <w:adjustRightInd w:val="0"/>
        <w:spacing w:line="320" w:lineRule="atLeast"/>
        <w:jc w:val="center"/>
        <w:textAlignment w:val="baseline"/>
        <w:outlineLvl w:val="1"/>
        <w:rPr>
          <w:rFonts w:ascii="宋体" w:hAnsi="宋体" w:eastAsia="宋体" w:cs="Times New Roman"/>
          <w:b/>
          <w:bCs/>
          <w:kern w:val="0"/>
          <w:sz w:val="28"/>
          <w:szCs w:val="28"/>
          <w:highlight w:val="none"/>
        </w:rPr>
      </w:pPr>
      <w:r>
        <w:rPr>
          <w:rFonts w:hint="eastAsia" w:ascii="宋体" w:hAnsi="宋体" w:eastAsia="宋体" w:cs="Times New Roman"/>
          <w:b/>
          <w:bCs/>
          <w:kern w:val="0"/>
          <w:sz w:val="28"/>
          <w:szCs w:val="28"/>
          <w:highlight w:val="none"/>
        </w:rPr>
        <w:t>第四章</w:t>
      </w:r>
      <w:r>
        <w:rPr>
          <w:rFonts w:ascii="宋体" w:hAnsi="宋体" w:eastAsia="宋体" w:cs="Times New Roman"/>
          <w:b/>
          <w:bCs/>
          <w:kern w:val="0"/>
          <w:sz w:val="28"/>
          <w:szCs w:val="28"/>
          <w:highlight w:val="none"/>
        </w:rPr>
        <w:t xml:space="preserve"> </w:t>
      </w:r>
      <w:r>
        <w:rPr>
          <w:rFonts w:hint="eastAsia" w:ascii="宋体" w:hAnsi="宋体" w:eastAsia="宋体" w:cs="Times New Roman"/>
          <w:b/>
          <w:bCs/>
          <w:kern w:val="0"/>
          <w:sz w:val="28"/>
          <w:szCs w:val="28"/>
          <w:highlight w:val="none"/>
        </w:rPr>
        <w:t xml:space="preserve"> 投标文件组成要求及格式</w:t>
      </w:r>
    </w:p>
    <w:p>
      <w:pPr>
        <w:pStyle w:val="2"/>
        <w:rPr>
          <w:highlight w:val="none"/>
        </w:rPr>
      </w:pPr>
      <w:bookmarkStart w:id="26" w:name="_Hlk72257167"/>
    </w:p>
    <w:bookmarkEnd w:id="26"/>
    <w:p>
      <w:pPr>
        <w:widowControl/>
        <w:spacing w:line="320" w:lineRule="atLeast"/>
        <w:jc w:val="left"/>
        <w:outlineLvl w:val="2"/>
        <w:rPr>
          <w:rFonts w:ascii="宋体" w:hAnsi="宋体" w:eastAsia="黑体" w:cs="Times New Roman"/>
          <w:bCs/>
          <w:kern w:val="44"/>
          <w:sz w:val="24"/>
          <w:szCs w:val="24"/>
          <w:highlight w:val="none"/>
        </w:rPr>
      </w:pPr>
      <w:r>
        <w:rPr>
          <w:rFonts w:hint="eastAsia" w:ascii="宋体" w:hAnsi="宋体" w:eastAsia="黑体" w:cs="Times New Roman"/>
          <w:bCs/>
          <w:kern w:val="44"/>
          <w:sz w:val="24"/>
          <w:szCs w:val="24"/>
          <w:highlight w:val="none"/>
        </w:rPr>
        <w:t>投标文件组成：</w:t>
      </w:r>
    </w:p>
    <w:p>
      <w:pPr>
        <w:spacing w:line="360" w:lineRule="exact"/>
        <w:rPr>
          <w:rFonts w:hint="eastAsia" w:ascii="宋体" w:hAnsi="宋体" w:eastAsia="宋体" w:cs="Times New Roman"/>
          <w:szCs w:val="21"/>
          <w:highlight w:val="none"/>
        </w:rPr>
      </w:pPr>
      <w:bookmarkStart w:id="27" w:name="_Hlk72257771"/>
      <w:r>
        <w:rPr>
          <w:rFonts w:hint="eastAsia" w:ascii="宋体" w:hAnsi="宋体" w:eastAsia="宋体" w:cs="Times New Roman"/>
          <w:szCs w:val="21"/>
          <w:highlight w:val="none"/>
        </w:rPr>
        <w:t>1.投标文件正文，主要包括以下内容：</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（1）</w:t>
      </w:r>
      <w:bookmarkStart w:id="28" w:name="_Hlk72070784"/>
      <w:r>
        <w:rPr>
          <w:rFonts w:hint="eastAsia" w:ascii="宋体" w:hAnsi="宋体" w:eastAsia="宋体" w:cs="Times New Roman"/>
          <w:szCs w:val="21"/>
          <w:highlight w:val="none"/>
        </w:rPr>
        <w:t>投标函</w:t>
      </w:r>
      <w:bookmarkEnd w:id="28"/>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（2）</w:t>
      </w:r>
      <w:bookmarkStart w:id="29" w:name="_Hlk72062521"/>
      <w:r>
        <w:rPr>
          <w:rFonts w:hint="eastAsia" w:ascii="宋体" w:hAnsi="宋体" w:eastAsia="宋体" w:cs="Times New Roman"/>
          <w:szCs w:val="21"/>
          <w:highlight w:val="none"/>
        </w:rPr>
        <w:t>政府采购投标及履约承诺函</w:t>
      </w:r>
      <w:bookmarkEnd w:id="29"/>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（3）投标人情况及资格证明文件</w:t>
      </w:r>
    </w:p>
    <w:p>
      <w:pPr>
        <w:spacing w:line="360" w:lineRule="exact"/>
        <w:rPr>
          <w:rFonts w:hint="eastAsia" w:ascii="宋体" w:hAnsi="宋体" w:eastAsia="宋体" w:cs="Times New Roman"/>
          <w:szCs w:val="21"/>
          <w:highlight w:val="none"/>
        </w:rPr>
      </w:pPr>
      <w:bookmarkStart w:id="30" w:name="_Hlk72257201"/>
      <w:r>
        <w:rPr>
          <w:rFonts w:hint="eastAsia" w:ascii="宋体" w:hAnsi="宋体" w:eastAsia="宋体" w:cs="Times New Roman"/>
          <w:szCs w:val="21"/>
          <w:highlight w:val="none"/>
        </w:rPr>
        <w:t>（4）项目详细报价</w:t>
      </w:r>
      <w:bookmarkEnd w:id="30"/>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（5）供应商基本情况表</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（6）投标人通过相关认证情况</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（7）项目拟使用的车辆（场地、工具、机器）情况</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（8）服务网点</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（9）投标人自主知识产权产品（创新、设计）情况</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（10）同类项目业绩</w:t>
      </w:r>
    </w:p>
    <w:p>
      <w:pPr>
        <w:spacing w:line="360" w:lineRule="exact"/>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11</w:t>
      </w:r>
      <w:r>
        <w:rPr>
          <w:rFonts w:hint="eastAsia" w:ascii="宋体" w:hAnsi="宋体" w:eastAsia="宋体" w:cs="Times New Roman"/>
          <w:szCs w:val="21"/>
          <w:highlight w:val="none"/>
          <w:lang w:eastAsia="zh-CN"/>
        </w:rPr>
        <w:t>）</w:t>
      </w:r>
      <w:r>
        <w:rPr>
          <w:rFonts w:hint="eastAsia" w:ascii="宋体" w:hAnsi="宋体"/>
          <w:color w:val="000000" w:themeColor="text1"/>
          <w:szCs w:val="21"/>
          <w:highlight w:val="none"/>
          <w14:textFill>
            <w14:solidFill>
              <w14:schemeClr w14:val="tx1"/>
            </w14:solidFill>
          </w14:textFill>
        </w:rPr>
        <w:t>履约评价情况</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2.投标文件附件：主要包括以下内容：</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（1）法定代表人（负责人）证明书</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2</w:t>
      </w:r>
      <w:r>
        <w:rPr>
          <w:rFonts w:hint="eastAsia" w:ascii="宋体" w:hAnsi="宋体" w:eastAsia="宋体" w:cs="Times New Roman"/>
          <w:szCs w:val="21"/>
          <w:highlight w:val="none"/>
        </w:rPr>
        <w:t>）投标文件签署授权委托书</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3</w:t>
      </w:r>
      <w:r>
        <w:rPr>
          <w:rFonts w:hint="eastAsia" w:ascii="宋体" w:hAnsi="宋体" w:eastAsia="宋体" w:cs="Times New Roman"/>
          <w:szCs w:val="21"/>
          <w:highlight w:val="none"/>
        </w:rPr>
        <w:t>）实质性条款响应情况表</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4</w:t>
      </w:r>
      <w:r>
        <w:rPr>
          <w:rFonts w:hint="eastAsia" w:ascii="宋体" w:hAnsi="宋体" w:eastAsia="宋体" w:cs="Times New Roman"/>
          <w:szCs w:val="21"/>
          <w:highlight w:val="none"/>
        </w:rPr>
        <w:t>）</w:t>
      </w:r>
      <w:r>
        <w:rPr>
          <w:rFonts w:hint="eastAsia" w:ascii="宋体" w:hAnsi="宋体"/>
          <w:color w:val="000000" w:themeColor="text1"/>
          <w:szCs w:val="21"/>
          <w:highlight w:val="none"/>
          <w14:textFill>
            <w14:solidFill>
              <w14:schemeClr w14:val="tx1"/>
            </w14:solidFill>
          </w14:textFill>
        </w:rPr>
        <w:t>实施方案（工作措施、工作方法、工作手段、工作流程）</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5</w:t>
      </w:r>
      <w:r>
        <w:rPr>
          <w:rFonts w:hint="eastAsia" w:ascii="宋体" w:hAnsi="宋体" w:eastAsia="宋体" w:cs="Times New Roman"/>
          <w:szCs w:val="21"/>
          <w:highlight w:val="none"/>
        </w:rPr>
        <w:t>）</w:t>
      </w:r>
      <w:r>
        <w:rPr>
          <w:rFonts w:hint="eastAsia" w:ascii="宋体" w:hAnsi="宋体"/>
          <w:color w:val="000000" w:themeColor="text1"/>
          <w:szCs w:val="21"/>
          <w:highlight w:val="none"/>
          <w14:textFill>
            <w14:solidFill>
              <w14:schemeClr w14:val="tx1"/>
            </w14:solidFill>
          </w14:textFill>
        </w:rPr>
        <w:t>项目重点难点分析、应对措施及相关的合理化建议</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6</w:t>
      </w:r>
      <w:r>
        <w:rPr>
          <w:rFonts w:hint="eastAsia" w:ascii="宋体" w:hAnsi="宋体" w:eastAsia="宋体" w:cs="Times New Roman"/>
          <w:szCs w:val="21"/>
          <w:highlight w:val="none"/>
        </w:rPr>
        <w:t>）</w:t>
      </w:r>
      <w:r>
        <w:rPr>
          <w:rFonts w:hint="eastAsia" w:ascii="宋体" w:hAnsi="宋体"/>
          <w:color w:val="000000" w:themeColor="text1"/>
          <w:szCs w:val="21"/>
          <w:highlight w:val="none"/>
          <w14:textFill>
            <w14:solidFill>
              <w14:schemeClr w14:val="tx1"/>
            </w14:solidFill>
          </w14:textFill>
        </w:rPr>
        <w:t>质量（完成时间、安全、环保）保障措施及方案</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7</w:t>
      </w:r>
      <w:r>
        <w:rPr>
          <w:rFonts w:hint="eastAsia" w:ascii="宋体" w:hAnsi="宋体" w:eastAsia="宋体" w:cs="Times New Roman"/>
          <w:szCs w:val="21"/>
          <w:highlight w:val="none"/>
        </w:rPr>
        <w:t>）项目完成（服务期满）后的服务承诺</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8</w:t>
      </w:r>
      <w:r>
        <w:rPr>
          <w:rFonts w:hint="eastAsia" w:ascii="宋体" w:hAnsi="宋体" w:eastAsia="宋体" w:cs="Times New Roman"/>
          <w:szCs w:val="21"/>
          <w:highlight w:val="none"/>
        </w:rPr>
        <w:t>）违约承诺</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w:t>
      </w:r>
      <w:r>
        <w:rPr>
          <w:rFonts w:hint="eastAsia" w:ascii="宋体" w:hAnsi="宋体" w:eastAsia="宋体" w:cs="Times New Roman"/>
          <w:szCs w:val="21"/>
          <w:highlight w:val="none"/>
          <w:lang w:val="en-US" w:eastAsia="zh-CN"/>
        </w:rPr>
        <w:t>9</w:t>
      </w:r>
      <w:r>
        <w:rPr>
          <w:rFonts w:hint="eastAsia" w:ascii="宋体" w:hAnsi="宋体" w:eastAsia="宋体" w:cs="Times New Roman"/>
          <w:szCs w:val="21"/>
          <w:highlight w:val="none"/>
        </w:rPr>
        <w:t>）拟安排项目负责人情况（仅限1人）</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（1</w:t>
      </w:r>
      <w:r>
        <w:rPr>
          <w:rFonts w:hint="eastAsia" w:ascii="宋体" w:hAnsi="宋体" w:eastAsia="宋体" w:cs="Times New Roman"/>
          <w:szCs w:val="21"/>
          <w:highlight w:val="none"/>
          <w:lang w:val="en-US" w:eastAsia="zh-CN"/>
        </w:rPr>
        <w:t>0</w:t>
      </w:r>
      <w:r>
        <w:rPr>
          <w:rFonts w:hint="eastAsia" w:ascii="宋体" w:hAnsi="宋体" w:eastAsia="宋体" w:cs="Times New Roman"/>
          <w:szCs w:val="21"/>
          <w:highlight w:val="none"/>
        </w:rPr>
        <w:t>）拟安排的项目团队成员（项目负责人除外）情况</w:t>
      </w:r>
    </w:p>
    <w:p>
      <w:pPr>
        <w:spacing w:line="360" w:lineRule="exact"/>
        <w:rPr>
          <w:rFonts w:hint="eastAsia" w:ascii="宋体" w:hAnsi="宋体" w:eastAsia="宋体" w:cs="Times New Roman"/>
          <w:szCs w:val="21"/>
          <w:highlight w:val="none"/>
        </w:rPr>
      </w:pPr>
      <w:r>
        <w:rPr>
          <w:rFonts w:hint="eastAsia" w:ascii="宋体" w:hAnsi="宋体" w:eastAsia="宋体" w:cs="Times New Roman"/>
          <w:szCs w:val="21"/>
          <w:highlight w:val="none"/>
        </w:rPr>
        <w:t>（1</w:t>
      </w:r>
      <w:r>
        <w:rPr>
          <w:rFonts w:hint="eastAsia" w:ascii="宋体" w:hAnsi="宋体" w:eastAsia="宋体" w:cs="Times New Roman"/>
          <w:szCs w:val="21"/>
          <w:highlight w:val="none"/>
          <w:lang w:val="en-US" w:eastAsia="zh-CN"/>
        </w:rPr>
        <w:t>1</w:t>
      </w:r>
      <w:r>
        <w:rPr>
          <w:rFonts w:hint="eastAsia" w:ascii="宋体" w:hAnsi="宋体" w:eastAsia="宋体" w:cs="Times New Roman"/>
          <w:szCs w:val="21"/>
          <w:highlight w:val="none"/>
        </w:rPr>
        <w:t>）投标人认为需要加以说明的其他内容</w:t>
      </w:r>
    </w:p>
    <w:p>
      <w:pPr>
        <w:spacing w:line="320" w:lineRule="atLeast"/>
        <w:rPr>
          <w:rFonts w:ascii="宋体" w:hAnsi="宋体"/>
          <w:b/>
          <w:sz w:val="24"/>
          <w:szCs w:val="24"/>
          <w:highlight w:val="none"/>
        </w:rPr>
      </w:pPr>
      <w:r>
        <w:rPr>
          <w:rFonts w:hint="eastAsia" w:ascii="宋体" w:hAnsi="宋体"/>
          <w:b/>
          <w:sz w:val="24"/>
          <w:szCs w:val="24"/>
          <w:highlight w:val="none"/>
        </w:rPr>
        <w:t>备注：</w:t>
      </w:r>
    </w:p>
    <w:p>
      <w:pPr>
        <w:snapToGrid w:val="0"/>
        <w:spacing w:line="320" w:lineRule="atLeast"/>
        <w:ind w:firstLine="482" w:firstLineChars="200"/>
        <w:rPr>
          <w:rFonts w:ascii="宋体" w:hAnsi="宋体"/>
          <w:b/>
          <w:sz w:val="24"/>
          <w:szCs w:val="24"/>
          <w:highlight w:val="none"/>
        </w:rPr>
      </w:pPr>
      <w:r>
        <w:rPr>
          <w:rFonts w:hint="eastAsia" w:ascii="宋体" w:hAnsi="宋体"/>
          <w:b/>
          <w:sz w:val="24"/>
          <w:szCs w:val="24"/>
          <w:highlight w:val="none"/>
        </w:rPr>
        <w:t>1.本项目为网上电子投标项目，投标文件不需法人或授权委托人另行签字，无需加盖单位公章，招标文件另有规定的除外。</w:t>
      </w:r>
    </w:p>
    <w:p>
      <w:pPr>
        <w:snapToGrid w:val="0"/>
        <w:spacing w:line="320" w:lineRule="atLeast"/>
        <w:ind w:firstLine="482" w:firstLineChars="200"/>
        <w:rPr>
          <w:rFonts w:ascii="宋体" w:hAnsi="宋体" w:eastAsia="黑体" w:cs="Times New Roman"/>
          <w:bCs/>
          <w:kern w:val="44"/>
          <w:sz w:val="32"/>
          <w:szCs w:val="32"/>
          <w:highlight w:val="none"/>
        </w:rPr>
      </w:pPr>
      <w:bookmarkStart w:id="31" w:name="_Hlk72263559"/>
      <w:r>
        <w:rPr>
          <w:rFonts w:hint="eastAsia" w:ascii="宋体" w:hAnsi="宋体"/>
          <w:b/>
          <w:sz w:val="24"/>
          <w:szCs w:val="24"/>
          <w:highlight w:val="none"/>
        </w:rPr>
        <w:t>2.关于填写“开标一览表”的说明：“开标一览表”中除“投标总价”外，其他信息不作评审依据。</w:t>
      </w:r>
      <w:bookmarkEnd w:id="27"/>
      <w:bookmarkEnd w:id="31"/>
      <w:r>
        <w:rPr>
          <w:rFonts w:ascii="宋体" w:hAnsi="宋体" w:eastAsia="黑体" w:cs="Times New Roman"/>
          <w:bCs/>
          <w:kern w:val="44"/>
          <w:sz w:val="32"/>
          <w:szCs w:val="32"/>
          <w:highlight w:val="none"/>
        </w:rPr>
        <w:br w:type="page"/>
      </w:r>
    </w:p>
    <w:p>
      <w:pPr>
        <w:widowControl/>
        <w:jc w:val="left"/>
        <w:outlineLvl w:val="2"/>
        <w:rPr>
          <w:rFonts w:ascii="宋体" w:hAnsi="宋体" w:eastAsia="宋体" w:cs="宋体"/>
          <w:b/>
          <w:color w:val="FF0000"/>
          <w:kern w:val="0"/>
          <w:sz w:val="32"/>
          <w:szCs w:val="32"/>
          <w:highlight w:val="none"/>
        </w:rPr>
      </w:pPr>
      <w:r>
        <w:rPr>
          <w:rFonts w:hint="eastAsia" w:ascii="宋体" w:hAnsi="宋体" w:eastAsia="宋体" w:cs="宋体"/>
          <w:b/>
          <w:color w:val="FF0000"/>
          <w:kern w:val="0"/>
          <w:sz w:val="32"/>
          <w:szCs w:val="32"/>
          <w:highlight w:val="none"/>
        </w:rPr>
        <w:t>（一）投标文件正文</w:t>
      </w:r>
    </w:p>
    <w:p>
      <w:pPr>
        <w:pStyle w:val="6"/>
        <w:jc w:val="center"/>
        <w:rPr>
          <w:rFonts w:ascii="黑体" w:eastAsia="黑体"/>
          <w:b w:val="0"/>
          <w:kern w:val="0"/>
          <w:sz w:val="24"/>
          <w:highlight w:val="none"/>
        </w:rPr>
      </w:pPr>
      <w:r>
        <w:rPr>
          <w:rFonts w:hint="eastAsia" w:ascii="黑体" w:eastAsia="黑体"/>
          <w:b w:val="0"/>
          <w:kern w:val="0"/>
          <w:sz w:val="24"/>
          <w:highlight w:val="none"/>
        </w:rPr>
        <w:t>一、投标函</w:t>
      </w:r>
    </w:p>
    <w:p>
      <w:pPr>
        <w:spacing w:line="360" w:lineRule="auto"/>
        <w:rPr>
          <w:rFonts w:ascii="宋体" w:hAnsi="宋体"/>
          <w:szCs w:val="21"/>
          <w:highlight w:val="none"/>
        </w:rPr>
      </w:pPr>
      <w:r>
        <w:rPr>
          <w:rFonts w:hint="eastAsia" w:ascii="宋体" w:hAnsi="宋体"/>
          <w:szCs w:val="21"/>
          <w:highlight w:val="none"/>
        </w:rPr>
        <w:t>致：</w:t>
      </w:r>
      <w:r>
        <w:rPr>
          <w:rFonts w:hint="eastAsia" w:ascii="宋体" w:hAnsi="宋体"/>
          <w:szCs w:val="21"/>
          <w:highlight w:val="none"/>
          <w:u w:val="single"/>
        </w:rPr>
        <w:t xml:space="preserve">  </w:t>
      </w:r>
      <w:r>
        <w:rPr>
          <w:rFonts w:hint="eastAsia" w:ascii="宋体" w:hAnsi="宋体"/>
          <w:color w:val="FF0000"/>
          <w:szCs w:val="21"/>
          <w:highlight w:val="none"/>
          <w:u w:val="single"/>
        </w:rPr>
        <w:t>深圳公共资源交易中心</w:t>
      </w:r>
      <w:r>
        <w:rPr>
          <w:rFonts w:hint="eastAsia" w:ascii="宋体" w:hAnsi="宋体"/>
          <w:szCs w:val="21"/>
          <w:highlight w:val="none"/>
          <w:u w:val="single"/>
        </w:rPr>
        <w:t xml:space="preserve">  </w:t>
      </w:r>
    </w:p>
    <w:p>
      <w:pPr>
        <w:spacing w:line="360" w:lineRule="auto"/>
        <w:ind w:firstLine="420" w:firstLineChars="200"/>
        <w:rPr>
          <w:rFonts w:ascii="宋体" w:hAnsi="宋体"/>
          <w:szCs w:val="21"/>
          <w:highlight w:val="none"/>
        </w:rPr>
      </w:pPr>
      <w:bookmarkStart w:id="32" w:name="_Hlk73818812"/>
      <w:r>
        <w:rPr>
          <w:rFonts w:hint="eastAsia"/>
          <w:szCs w:val="21"/>
          <w:highlight w:val="none"/>
        </w:rPr>
        <w:t>1、根据已收到贵单位的项目编号为</w:t>
      </w:r>
      <w:r>
        <w:rPr>
          <w:rFonts w:hint="eastAsia"/>
          <w:szCs w:val="21"/>
          <w:highlight w:val="none"/>
          <w:u w:val="thick"/>
          <w:lang w:eastAsia="zh-CN"/>
        </w:rPr>
        <w:t>LHAZXCG-2025-00012</w:t>
      </w:r>
      <w:r>
        <w:rPr>
          <w:rFonts w:hint="eastAsia"/>
          <w:szCs w:val="21"/>
          <w:highlight w:val="none"/>
        </w:rPr>
        <w:t>的</w:t>
      </w:r>
      <w:r>
        <w:rPr>
          <w:rFonts w:hint="eastAsia"/>
          <w:szCs w:val="21"/>
          <w:highlight w:val="none"/>
          <w:u w:val="thick"/>
        </w:rPr>
        <w:t xml:space="preserve">  2025年区教育城域网cernet教育网出口带宽租用项目      </w:t>
      </w:r>
      <w:r>
        <w:rPr>
          <w:rFonts w:hint="eastAsia"/>
          <w:szCs w:val="21"/>
          <w:highlight w:val="none"/>
        </w:rPr>
        <w:t>项目的招标文件，遵照《深圳经济特区政府采购条例》和《深圳网上政府采购管理暂行办法》等有关规定，我单位经研究上述招标文件的专用条款及通用条款后，</w:t>
      </w:r>
      <w:bookmarkStart w:id="33" w:name="_Hlk72263588"/>
      <w:r>
        <w:rPr>
          <w:rFonts w:hint="eastAsia"/>
          <w:szCs w:val="21"/>
          <w:highlight w:val="none"/>
        </w:rPr>
        <w:t>愿意按照招标文件要求承包上述项目并修补其任何缺陷。</w:t>
      </w:r>
      <w:bookmarkEnd w:id="33"/>
    </w:p>
    <w:p>
      <w:pPr>
        <w:spacing w:line="360" w:lineRule="auto"/>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、投标价格见</w:t>
      </w:r>
      <w:r>
        <w:rPr>
          <w:rFonts w:hint="eastAsia"/>
          <w:szCs w:val="21"/>
          <w:highlight w:val="none"/>
        </w:rPr>
        <w:t>投标书编制软件中《开标一览表》中填写的投标总价。</w:t>
      </w:r>
    </w:p>
    <w:p>
      <w:pPr>
        <w:spacing w:line="360" w:lineRule="auto"/>
        <w:ind w:firstLine="420" w:firstLineChars="200"/>
        <w:rPr>
          <w:rFonts w:ascii="宋体" w:hAnsi="宋体"/>
          <w:szCs w:val="21"/>
          <w:highlight w:val="none"/>
        </w:rPr>
      </w:pPr>
      <w:r>
        <w:rPr>
          <w:rFonts w:hint="eastAsia" w:ascii="宋体" w:hAnsi="宋体"/>
          <w:szCs w:val="21"/>
          <w:highlight w:val="none"/>
        </w:rPr>
        <w:t>3、如果我单位中标，我单位将按照招标文件的要求足额提交履约担保。</w:t>
      </w:r>
    </w:p>
    <w:p>
      <w:pPr>
        <w:spacing w:line="360" w:lineRule="auto"/>
        <w:ind w:firstLine="420" w:firstLineChars="200"/>
        <w:rPr>
          <w:rFonts w:ascii="宋体" w:hAnsi="宋体"/>
          <w:szCs w:val="21"/>
          <w:highlight w:val="none"/>
        </w:rPr>
      </w:pPr>
      <w:r>
        <w:rPr>
          <w:rFonts w:hint="eastAsia" w:ascii="宋体" w:hAnsi="宋体"/>
          <w:szCs w:val="21"/>
          <w:highlight w:val="none"/>
        </w:rPr>
        <w:t>4、我单位同意所递交的投标文件在“对通用条款的补充内容”中明确的投标有效期内有效，在此期间内我单位的投标有可能中标，我方将受此约束。</w:t>
      </w:r>
    </w:p>
    <w:p>
      <w:pPr>
        <w:spacing w:line="360" w:lineRule="auto"/>
        <w:ind w:firstLine="420" w:firstLineChars="200"/>
        <w:rPr>
          <w:rFonts w:ascii="宋体" w:hAnsi="宋体"/>
          <w:szCs w:val="21"/>
          <w:highlight w:val="none"/>
        </w:rPr>
      </w:pPr>
      <w:r>
        <w:rPr>
          <w:rFonts w:hint="eastAsia" w:ascii="宋体" w:hAnsi="宋体"/>
          <w:szCs w:val="21"/>
          <w:highlight w:val="none"/>
        </w:rPr>
        <w:t>5、除非另外达成协议并生效，贵单位的中标通知书和本投标文件将构成合同的重要内容。</w:t>
      </w:r>
    </w:p>
    <w:p>
      <w:pPr>
        <w:spacing w:line="360" w:lineRule="auto"/>
        <w:ind w:left="420" w:leftChars="200"/>
        <w:rPr>
          <w:rFonts w:ascii="宋体" w:hAnsi="宋体"/>
          <w:szCs w:val="21"/>
          <w:highlight w:val="none"/>
        </w:rPr>
      </w:pPr>
      <w:r>
        <w:rPr>
          <w:rFonts w:hint="eastAsia" w:ascii="宋体" w:hAnsi="宋体"/>
          <w:szCs w:val="21"/>
          <w:highlight w:val="none"/>
        </w:rPr>
        <w:t>6、我单位理解贵单位将不受必须接受所收到的最低报价或其它任何投标文件的约束。</w:t>
      </w:r>
      <w:bookmarkEnd w:id="32"/>
    </w:p>
    <w:p>
      <w:pPr>
        <w:spacing w:line="360" w:lineRule="auto"/>
        <w:ind w:left="420" w:leftChars="200"/>
        <w:rPr>
          <w:rFonts w:ascii="宋体" w:hAnsi="宋体"/>
          <w:b/>
          <w:szCs w:val="21"/>
          <w:highlight w:val="none"/>
        </w:rPr>
      </w:pPr>
      <w:r>
        <w:rPr>
          <w:rFonts w:hint="eastAsia" w:ascii="宋体" w:hAnsi="宋体"/>
          <w:b/>
          <w:szCs w:val="21"/>
          <w:highlight w:val="none"/>
        </w:rPr>
        <w:t>7</w:t>
      </w:r>
      <w:r>
        <w:rPr>
          <w:rFonts w:ascii="宋体" w:hAnsi="宋体"/>
          <w:b/>
          <w:szCs w:val="21"/>
          <w:highlight w:val="none"/>
        </w:rPr>
        <w:t>、如我单位提交样品，且未在规定时间内取回样品的，视同放弃取回，同意深圳公共资源交易中心对我单位提交的样品进行清理。</w:t>
      </w:r>
    </w:p>
    <w:p>
      <w:pPr>
        <w:spacing w:line="360" w:lineRule="auto"/>
        <w:ind w:left="420" w:leftChars="200" w:firstLine="210" w:firstLineChars="100"/>
        <w:rPr>
          <w:szCs w:val="21"/>
          <w:highlight w:val="none"/>
        </w:rPr>
      </w:pPr>
      <w:r>
        <w:rPr>
          <w:rFonts w:hint="eastAsia"/>
          <w:szCs w:val="21"/>
          <w:highlight w:val="none"/>
        </w:rPr>
        <w:t>投标人：</w:t>
      </w:r>
      <w:r>
        <w:rPr>
          <w:rFonts w:hint="eastAsia"/>
          <w:szCs w:val="21"/>
          <w:highlight w:val="none"/>
          <w:u w:val="thick"/>
        </w:rPr>
        <w:t xml:space="preserve">       </w:t>
      </w:r>
      <w:r>
        <w:rPr>
          <w:rFonts w:hint="eastAsia" w:eastAsia="宋体"/>
          <w:szCs w:val="21"/>
          <w:highlight w:val="none"/>
        </w:rPr>
        <w:t>；</w:t>
      </w:r>
      <w:r>
        <w:rPr>
          <w:rFonts w:hint="eastAsia"/>
          <w:szCs w:val="21"/>
          <w:highlight w:val="none"/>
        </w:rPr>
        <w:t xml:space="preserve">  单位地址：</w:t>
      </w:r>
      <w:r>
        <w:rPr>
          <w:rFonts w:hint="eastAsia"/>
          <w:szCs w:val="21"/>
          <w:highlight w:val="none"/>
          <w:u w:val="thick"/>
        </w:rPr>
        <w:t xml:space="preserve">       </w:t>
      </w:r>
      <w:r>
        <w:rPr>
          <w:rFonts w:hint="eastAsia" w:ascii="Times New Roman" w:eastAsia="宋体"/>
          <w:szCs w:val="21"/>
          <w:highlight w:val="none"/>
          <w:u w:val="thick"/>
        </w:rPr>
        <w:t xml:space="preserve">          </w:t>
      </w:r>
      <w:r>
        <w:rPr>
          <w:rFonts w:hint="eastAsia"/>
          <w:szCs w:val="21"/>
          <w:highlight w:val="none"/>
          <w:u w:val="thick"/>
        </w:rPr>
        <w:t xml:space="preserve"> </w:t>
      </w:r>
      <w:r>
        <w:rPr>
          <w:rFonts w:hint="eastAsia" w:ascii="Times New Roman" w:eastAsia="宋体"/>
          <w:szCs w:val="21"/>
          <w:highlight w:val="none"/>
          <w:u w:val="thick"/>
        </w:rPr>
        <w:t xml:space="preserve">  </w:t>
      </w:r>
      <w:r>
        <w:rPr>
          <w:rFonts w:hint="eastAsia" w:eastAsia="宋体"/>
          <w:szCs w:val="21"/>
          <w:highlight w:val="none"/>
        </w:rPr>
        <w:t>；</w:t>
      </w:r>
    </w:p>
    <w:p>
      <w:pPr>
        <w:spacing w:line="360" w:lineRule="auto"/>
        <w:ind w:left="420" w:leftChars="200" w:firstLine="210" w:firstLineChars="100"/>
        <w:rPr>
          <w:szCs w:val="21"/>
          <w:highlight w:val="none"/>
        </w:rPr>
      </w:pPr>
      <w:r>
        <w:rPr>
          <w:rFonts w:hint="eastAsia"/>
          <w:szCs w:val="21"/>
          <w:highlight w:val="none"/>
        </w:rPr>
        <w:t>法定代表人（负责人）或其</w:t>
      </w:r>
      <w:r>
        <w:rPr>
          <w:rFonts w:hint="eastAsia" w:ascii="Times New Roman" w:eastAsia="宋体"/>
          <w:szCs w:val="21"/>
          <w:highlight w:val="none"/>
        </w:rPr>
        <w:t>授权</w:t>
      </w:r>
      <w:r>
        <w:rPr>
          <w:rFonts w:hint="eastAsia"/>
          <w:szCs w:val="21"/>
          <w:highlight w:val="none"/>
        </w:rPr>
        <w:t>委托代理人：</w:t>
      </w:r>
      <w:r>
        <w:rPr>
          <w:rFonts w:hint="eastAsia"/>
          <w:szCs w:val="21"/>
          <w:highlight w:val="none"/>
          <w:u w:val="thick"/>
        </w:rPr>
        <w:t xml:space="preserve">         </w:t>
      </w:r>
      <w:r>
        <w:rPr>
          <w:rFonts w:hint="eastAsia" w:eastAsia="宋体"/>
          <w:szCs w:val="21"/>
          <w:highlight w:val="none"/>
        </w:rPr>
        <w:t>；</w:t>
      </w:r>
    </w:p>
    <w:p>
      <w:pPr>
        <w:spacing w:line="360" w:lineRule="auto"/>
        <w:ind w:left="420" w:leftChars="200" w:firstLine="210" w:firstLineChars="100"/>
        <w:rPr>
          <w:szCs w:val="21"/>
          <w:highlight w:val="none"/>
        </w:rPr>
      </w:pPr>
      <w:r>
        <w:rPr>
          <w:rFonts w:hint="eastAsia" w:ascii="Times New Roman" w:eastAsia="宋体"/>
          <w:szCs w:val="21"/>
          <w:highlight w:val="none"/>
        </w:rPr>
        <w:t>开户银行名称：</w:t>
      </w:r>
      <w:r>
        <w:rPr>
          <w:rFonts w:hint="eastAsia"/>
          <w:szCs w:val="21"/>
          <w:highlight w:val="none"/>
          <w:u w:val="thick"/>
        </w:rPr>
        <w:t xml:space="preserve">                        </w:t>
      </w:r>
      <w:r>
        <w:rPr>
          <w:rFonts w:hint="eastAsia" w:eastAsia="宋体"/>
          <w:szCs w:val="21"/>
          <w:highlight w:val="none"/>
        </w:rPr>
        <w:t>；</w:t>
      </w:r>
    </w:p>
    <w:p>
      <w:pPr>
        <w:spacing w:line="360" w:lineRule="auto"/>
        <w:ind w:left="420" w:leftChars="200" w:firstLine="210" w:firstLineChars="100"/>
        <w:rPr>
          <w:szCs w:val="21"/>
          <w:highlight w:val="none"/>
        </w:rPr>
      </w:pPr>
      <w:r>
        <w:rPr>
          <w:rFonts w:hint="eastAsia" w:ascii="Times New Roman" w:eastAsia="宋体"/>
          <w:szCs w:val="21"/>
          <w:highlight w:val="none"/>
        </w:rPr>
        <w:t>开户银行账号：</w:t>
      </w:r>
      <w:r>
        <w:rPr>
          <w:rFonts w:hint="eastAsia"/>
          <w:szCs w:val="21"/>
          <w:highlight w:val="none"/>
          <w:u w:val="thick"/>
        </w:rPr>
        <w:t xml:space="preserve">      </w:t>
      </w:r>
      <w:r>
        <w:rPr>
          <w:rFonts w:hint="eastAsia" w:ascii="Times New Roman" w:eastAsia="宋体"/>
          <w:szCs w:val="21"/>
          <w:highlight w:val="none"/>
          <w:u w:val="thick"/>
        </w:rPr>
        <w:t xml:space="preserve">            </w:t>
      </w:r>
      <w:r>
        <w:rPr>
          <w:rFonts w:hint="eastAsia"/>
          <w:szCs w:val="21"/>
          <w:highlight w:val="none"/>
          <w:u w:val="thick"/>
        </w:rPr>
        <w:t xml:space="preserve">      </w:t>
      </w:r>
      <w:r>
        <w:rPr>
          <w:rFonts w:hint="eastAsia" w:eastAsia="宋体"/>
          <w:szCs w:val="21"/>
          <w:highlight w:val="none"/>
        </w:rPr>
        <w:t>；</w:t>
      </w:r>
    </w:p>
    <w:p>
      <w:pPr>
        <w:spacing w:line="360" w:lineRule="auto"/>
        <w:ind w:left="420" w:leftChars="200" w:firstLine="210" w:firstLineChars="100"/>
        <w:rPr>
          <w:szCs w:val="21"/>
          <w:highlight w:val="none"/>
        </w:rPr>
      </w:pPr>
      <w:r>
        <w:rPr>
          <w:rFonts w:hint="eastAsia"/>
          <w:szCs w:val="21"/>
          <w:highlight w:val="none"/>
        </w:rPr>
        <w:t>邮政编码：</w:t>
      </w:r>
      <w:r>
        <w:rPr>
          <w:rFonts w:hint="eastAsia"/>
          <w:szCs w:val="21"/>
          <w:highlight w:val="none"/>
          <w:u w:val="thick"/>
        </w:rPr>
        <w:t xml:space="preserve">          </w:t>
      </w:r>
      <w:r>
        <w:rPr>
          <w:rFonts w:hint="eastAsia"/>
          <w:szCs w:val="21"/>
          <w:highlight w:val="none"/>
        </w:rPr>
        <w:t xml:space="preserve">  电话：</w:t>
      </w:r>
      <w:r>
        <w:rPr>
          <w:rFonts w:hint="eastAsia"/>
          <w:szCs w:val="21"/>
          <w:highlight w:val="none"/>
          <w:u w:val="thick"/>
        </w:rPr>
        <w:t xml:space="preserve">         </w:t>
      </w:r>
      <w:r>
        <w:rPr>
          <w:rFonts w:hint="eastAsia"/>
          <w:szCs w:val="21"/>
          <w:highlight w:val="none"/>
        </w:rPr>
        <w:t xml:space="preserve"> 传真：</w:t>
      </w:r>
      <w:r>
        <w:rPr>
          <w:rFonts w:hint="eastAsia"/>
          <w:szCs w:val="21"/>
          <w:highlight w:val="none"/>
          <w:u w:val="thick"/>
        </w:rPr>
        <w:t xml:space="preserve">     </w:t>
      </w:r>
      <w:r>
        <w:rPr>
          <w:rFonts w:hint="eastAsia" w:eastAsia="宋体"/>
          <w:szCs w:val="21"/>
          <w:highlight w:val="none"/>
        </w:rPr>
        <w:t>；</w:t>
      </w:r>
      <w:r>
        <w:rPr>
          <w:rFonts w:hint="eastAsia"/>
          <w:szCs w:val="21"/>
          <w:highlight w:val="none"/>
        </w:rPr>
        <w:t xml:space="preserve">     </w:t>
      </w:r>
    </w:p>
    <w:p>
      <w:pPr>
        <w:spacing w:line="360" w:lineRule="auto"/>
        <w:ind w:left="420" w:leftChars="200" w:firstLine="210" w:firstLineChars="100"/>
        <w:rPr>
          <w:szCs w:val="21"/>
          <w:highlight w:val="none"/>
        </w:rPr>
      </w:pPr>
    </w:p>
    <w:p>
      <w:pPr>
        <w:spacing w:line="360" w:lineRule="auto"/>
        <w:ind w:left="420" w:leftChars="200" w:firstLine="210" w:firstLineChars="100"/>
        <w:rPr>
          <w:sz w:val="24"/>
          <w:highlight w:val="none"/>
        </w:rPr>
      </w:pPr>
      <w:r>
        <w:rPr>
          <w:rFonts w:hint="eastAsia" w:ascii="宋体" w:hAnsi="宋体"/>
          <w:szCs w:val="21"/>
          <w:highlight w:val="none"/>
        </w:rPr>
        <w:t>日期：</w:t>
      </w:r>
      <w:r>
        <w:rPr>
          <w:rFonts w:hint="eastAsia" w:ascii="宋体" w:hAnsi="宋体"/>
          <w:szCs w:val="21"/>
          <w:highlight w:val="none"/>
          <w:u w:val="thick"/>
        </w:rPr>
        <w:t xml:space="preserve">       </w:t>
      </w:r>
      <w:r>
        <w:rPr>
          <w:rFonts w:hint="eastAsia" w:ascii="宋体" w:hAnsi="宋体"/>
          <w:szCs w:val="21"/>
          <w:highlight w:val="none"/>
        </w:rPr>
        <w:t>年</w:t>
      </w:r>
      <w:r>
        <w:rPr>
          <w:rFonts w:hint="eastAsia" w:ascii="宋体" w:hAnsi="宋体"/>
          <w:szCs w:val="21"/>
          <w:highlight w:val="none"/>
          <w:u w:val="thick"/>
        </w:rPr>
        <w:t xml:space="preserve">     </w:t>
      </w:r>
      <w:r>
        <w:rPr>
          <w:rFonts w:hint="eastAsia" w:ascii="宋体" w:hAnsi="宋体"/>
          <w:szCs w:val="21"/>
          <w:highlight w:val="none"/>
        </w:rPr>
        <w:t>月</w:t>
      </w:r>
      <w:r>
        <w:rPr>
          <w:rFonts w:hint="eastAsia" w:ascii="宋体" w:hAnsi="宋体"/>
          <w:szCs w:val="21"/>
          <w:highlight w:val="none"/>
          <w:u w:val="thick"/>
        </w:rPr>
        <w:t xml:space="preserve">    </w:t>
      </w:r>
      <w:r>
        <w:rPr>
          <w:rFonts w:hint="eastAsia" w:ascii="宋体" w:hAnsi="宋体"/>
          <w:szCs w:val="21"/>
          <w:highlight w:val="none"/>
        </w:rPr>
        <w:t>日</w:t>
      </w:r>
      <w:r>
        <w:rPr>
          <w:rFonts w:hint="eastAsia"/>
          <w:sz w:val="24"/>
          <w:highlight w:val="none"/>
        </w:rPr>
        <w:t xml:space="preserve">                                </w:t>
      </w:r>
    </w:p>
    <w:p>
      <w:pPr>
        <w:spacing w:line="360" w:lineRule="auto"/>
        <w:ind w:left="420" w:leftChars="200"/>
        <w:rPr>
          <w:sz w:val="24"/>
          <w:highlight w:val="none"/>
        </w:rPr>
      </w:pPr>
      <w:r>
        <w:rPr>
          <w:rFonts w:hint="eastAsia"/>
          <w:sz w:val="24"/>
          <w:highlight w:val="none"/>
        </w:rPr>
        <w:t xml:space="preserve">                       </w:t>
      </w:r>
    </w:p>
    <w:p>
      <w:pPr>
        <w:rPr>
          <w:rFonts w:ascii="黑体" w:hAnsi="宋体" w:eastAsia="黑体"/>
          <w:highlight w:val="none"/>
        </w:rPr>
      </w:pPr>
    </w:p>
    <w:p>
      <w:pPr>
        <w:rPr>
          <w:rFonts w:ascii="宋体" w:hAnsi="宋体"/>
          <w:szCs w:val="21"/>
          <w:highlight w:val="none"/>
        </w:rPr>
      </w:pPr>
    </w:p>
    <w:p>
      <w:pPr>
        <w:pStyle w:val="6"/>
        <w:jc w:val="center"/>
        <w:rPr>
          <w:rFonts w:ascii="黑体" w:eastAsia="黑体"/>
          <w:b w:val="0"/>
          <w:kern w:val="0"/>
          <w:sz w:val="24"/>
          <w:highlight w:val="none"/>
        </w:rPr>
      </w:pPr>
      <w:r>
        <w:rPr>
          <w:rFonts w:hint="eastAsia" w:ascii="黑体" w:eastAsia="黑体"/>
          <w:b w:val="0"/>
          <w:kern w:val="0"/>
          <w:sz w:val="24"/>
          <w:highlight w:val="none"/>
        </w:rPr>
        <w:t>二、政府采购投标及履约承诺函</w:t>
      </w:r>
    </w:p>
    <w:p>
      <w:pPr>
        <w:rPr>
          <w:rFonts w:ascii="宋体" w:hAnsi="宋体"/>
          <w:sz w:val="24"/>
          <w:highlight w:val="none"/>
        </w:rPr>
      </w:pPr>
    </w:p>
    <w:p>
      <w:pPr>
        <w:rPr>
          <w:rFonts w:ascii="宋体" w:hAnsi="宋体"/>
          <w:color w:val="FF0000"/>
          <w:szCs w:val="21"/>
          <w:highlight w:val="none"/>
        </w:rPr>
      </w:pPr>
      <w:r>
        <w:rPr>
          <w:rFonts w:hint="eastAsia" w:ascii="宋体" w:hAnsi="宋体"/>
          <w:color w:val="FF0000"/>
          <w:szCs w:val="21"/>
          <w:highlight w:val="none"/>
        </w:rPr>
        <w:t>致：</w:t>
      </w:r>
      <w:r>
        <w:rPr>
          <w:rFonts w:hint="eastAsia" w:ascii="宋体" w:hAnsi="宋体"/>
          <w:color w:val="FF0000"/>
          <w:szCs w:val="21"/>
          <w:highlight w:val="none"/>
          <w:u w:val="single"/>
        </w:rPr>
        <w:t>深圳公共资源交易中心</w:t>
      </w:r>
    </w:p>
    <w:p>
      <w:pPr>
        <w:spacing w:line="360" w:lineRule="auto"/>
        <w:ind w:right="-815" w:firstLine="420" w:firstLineChars="200"/>
        <w:rPr>
          <w:rFonts w:ascii="宋体" w:hAnsi="宋体"/>
          <w:szCs w:val="21"/>
          <w:highlight w:val="none"/>
        </w:rPr>
      </w:pPr>
      <w:r>
        <w:rPr>
          <w:rFonts w:hint="eastAsia" w:ascii="宋体" w:hAnsi="宋体"/>
          <w:szCs w:val="21"/>
          <w:highlight w:val="none"/>
        </w:rPr>
        <w:t>我单位承诺：</w:t>
      </w:r>
    </w:p>
    <w:p>
      <w:pPr>
        <w:spacing w:line="360" w:lineRule="auto"/>
        <w:ind w:firstLine="420" w:firstLineChars="200"/>
        <w:rPr>
          <w:rFonts w:ascii="宋体" w:hAnsi="宋体"/>
          <w:szCs w:val="21"/>
          <w:highlight w:val="none"/>
        </w:rPr>
      </w:pPr>
      <w:r>
        <w:rPr>
          <w:rFonts w:hint="eastAsia" w:ascii="宋体" w:hAnsi="宋体"/>
          <w:szCs w:val="21"/>
          <w:highlight w:val="none"/>
        </w:rPr>
        <w:t>1.我单位参与本项目</w:t>
      </w:r>
      <w:r>
        <w:rPr>
          <w:rFonts w:hint="eastAsia" w:ascii="宋体" w:hAnsi="宋体"/>
          <w:highlight w:val="none"/>
        </w:rPr>
        <w:t>所投标（响应）的货物、工程或服务，不存在侵犯知识产权的情况。</w:t>
      </w:r>
    </w:p>
    <w:p>
      <w:pPr>
        <w:spacing w:line="360" w:lineRule="auto"/>
        <w:ind w:firstLine="420" w:firstLineChars="200"/>
        <w:rPr>
          <w:rFonts w:ascii="宋体" w:hAnsi="宋体"/>
          <w:szCs w:val="21"/>
          <w:highlight w:val="none"/>
        </w:rPr>
      </w:pPr>
      <w:r>
        <w:rPr>
          <w:rFonts w:hint="eastAsia" w:ascii="宋体" w:hAnsi="宋体"/>
          <w:szCs w:val="21"/>
          <w:highlight w:val="none"/>
        </w:rPr>
        <w:t>2.我单位参与本项目</w:t>
      </w:r>
      <w:r>
        <w:rPr>
          <w:rFonts w:hint="eastAsia"/>
          <w:highlight w:val="none"/>
        </w:rPr>
        <w:t>政府采购活动时不存在被有关部门禁止参与政府采购活动且在有效期内的情况。</w:t>
      </w:r>
    </w:p>
    <w:p>
      <w:pPr>
        <w:spacing w:line="360" w:lineRule="auto"/>
        <w:ind w:firstLine="420" w:firstLineChars="200"/>
        <w:rPr>
          <w:rFonts w:ascii="宋体" w:hAnsi="宋体"/>
          <w:szCs w:val="21"/>
          <w:highlight w:val="none"/>
        </w:rPr>
      </w:pPr>
      <w:r>
        <w:rPr>
          <w:rFonts w:hint="eastAsia" w:ascii="宋体" w:hAnsi="宋体"/>
          <w:szCs w:val="21"/>
          <w:highlight w:val="none"/>
        </w:rPr>
        <w:t>3.我单位具备《中华人民共和国政府采购法》第二十二条第一款规定的六项条件。</w:t>
      </w:r>
    </w:p>
    <w:p>
      <w:pPr>
        <w:spacing w:line="360" w:lineRule="auto"/>
        <w:ind w:firstLine="420" w:firstLineChars="200"/>
        <w:rPr>
          <w:highlight w:val="none"/>
        </w:rPr>
      </w:pPr>
      <w:r>
        <w:rPr>
          <w:rFonts w:hint="eastAsia" w:ascii="宋体" w:hAnsi="宋体"/>
          <w:szCs w:val="21"/>
          <w:highlight w:val="none"/>
        </w:rPr>
        <w:t>4.我单位</w:t>
      </w:r>
      <w:r>
        <w:rPr>
          <w:rFonts w:hint="eastAsia"/>
          <w:highlight w:val="none"/>
        </w:rPr>
        <w:t>未被列入失信被执行人、重大税收违法案件当事人名单、政府采购严重违法失信行为记录名单。</w:t>
      </w:r>
    </w:p>
    <w:p>
      <w:pPr>
        <w:spacing w:line="360" w:lineRule="auto"/>
        <w:ind w:firstLine="420" w:firstLineChars="200"/>
        <w:rPr>
          <w:highlight w:val="none"/>
        </w:rPr>
      </w:pPr>
      <w:r>
        <w:rPr>
          <w:rFonts w:hint="eastAsia" w:ascii="Times New Roman" w:eastAsia="宋体"/>
          <w:color w:val="FF0000"/>
          <w:highlight w:val="none"/>
        </w:rPr>
        <w:t>5.我单位不存在《深圳市财政局政府采购供应商信用信息管理办法》（深财规〔2023〕3号）列明的严重违法失信行为。</w:t>
      </w:r>
    </w:p>
    <w:p>
      <w:pPr>
        <w:spacing w:line="360" w:lineRule="auto"/>
        <w:ind w:firstLine="420" w:firstLineChars="200"/>
        <w:rPr>
          <w:rFonts w:ascii="宋体" w:hAnsi="宋体"/>
          <w:szCs w:val="21"/>
          <w:highlight w:val="none"/>
        </w:rPr>
      </w:pPr>
      <w:r>
        <w:rPr>
          <w:rFonts w:hint="eastAsia" w:ascii="宋体" w:hAnsi="宋体"/>
          <w:szCs w:val="21"/>
          <w:highlight w:val="none"/>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pPr>
        <w:spacing w:line="360" w:lineRule="auto"/>
        <w:ind w:firstLine="420" w:firstLineChars="200"/>
        <w:rPr>
          <w:rFonts w:ascii="宋体" w:hAnsi="宋体"/>
          <w:szCs w:val="21"/>
          <w:highlight w:val="none"/>
        </w:rPr>
      </w:pPr>
      <w:r>
        <w:rPr>
          <w:rFonts w:hint="eastAsia" w:ascii="宋体" w:hAnsi="宋体"/>
          <w:szCs w:val="21"/>
          <w:highlight w:val="none"/>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pPr>
        <w:spacing w:line="360" w:lineRule="auto"/>
        <w:ind w:firstLine="420" w:firstLineChars="200"/>
        <w:rPr>
          <w:rFonts w:ascii="宋体" w:hAnsi="宋体"/>
          <w:szCs w:val="21"/>
          <w:highlight w:val="none"/>
        </w:rPr>
      </w:pPr>
      <w:r>
        <w:rPr>
          <w:rFonts w:hint="eastAsia" w:ascii="宋体" w:hAnsi="宋体"/>
          <w:szCs w:val="21"/>
          <w:highlight w:val="none"/>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360" w:lineRule="auto"/>
        <w:ind w:firstLine="420" w:firstLineChars="200"/>
        <w:rPr>
          <w:rFonts w:ascii="宋体" w:hAnsi="宋体"/>
          <w:szCs w:val="21"/>
          <w:highlight w:val="none"/>
        </w:rPr>
      </w:pPr>
      <w:r>
        <w:rPr>
          <w:rFonts w:hint="eastAsia" w:ascii="宋体" w:hAnsi="宋体"/>
          <w:szCs w:val="21"/>
          <w:highlight w:val="none"/>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360" w:lineRule="auto"/>
        <w:ind w:firstLine="420" w:firstLineChars="200"/>
        <w:rPr>
          <w:rFonts w:ascii="宋体" w:hAnsi="宋体"/>
          <w:szCs w:val="21"/>
          <w:highlight w:val="none"/>
        </w:rPr>
      </w:pPr>
      <w:r>
        <w:rPr>
          <w:rFonts w:hint="eastAsia" w:ascii="宋体" w:hAnsi="宋体"/>
          <w:szCs w:val="21"/>
          <w:highlight w:val="none"/>
        </w:rPr>
        <w:t>9.我单位承诺中标后项目不转包，未经采购人同意不进行分包。</w:t>
      </w:r>
    </w:p>
    <w:p>
      <w:pPr>
        <w:spacing w:line="360" w:lineRule="auto"/>
        <w:ind w:firstLine="420" w:firstLineChars="200"/>
        <w:rPr>
          <w:rFonts w:ascii="宋体" w:hAnsi="宋体"/>
          <w:highlight w:val="none"/>
        </w:rPr>
      </w:pPr>
      <w:r>
        <w:rPr>
          <w:rFonts w:hint="eastAsia" w:ascii="宋体" w:hAnsi="宋体"/>
          <w:szCs w:val="21"/>
          <w:highlight w:val="none"/>
        </w:rPr>
        <w:t>10</w:t>
      </w:r>
      <w:r>
        <w:rPr>
          <w:rFonts w:ascii="宋体" w:hAnsi="宋体"/>
          <w:szCs w:val="21"/>
          <w:highlight w:val="none"/>
        </w:rPr>
        <w:t>.</w:t>
      </w:r>
      <w:r>
        <w:rPr>
          <w:rFonts w:hint="eastAsia" w:ascii="宋体" w:hAnsi="宋体"/>
          <w:highlight w:val="none"/>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pPr>
        <w:spacing w:line="360" w:lineRule="auto"/>
        <w:ind w:firstLine="420" w:firstLineChars="200"/>
        <w:rPr>
          <w:rFonts w:ascii="宋体" w:hAnsi="宋体" w:cs="宋体"/>
          <w:b/>
          <w:kern w:val="0"/>
          <w:szCs w:val="21"/>
          <w:highlight w:val="none"/>
        </w:rPr>
      </w:pPr>
      <w:r>
        <w:rPr>
          <w:rFonts w:hint="eastAsia" w:ascii="宋体" w:hAnsi="宋体"/>
          <w:highlight w:val="none"/>
        </w:rPr>
        <w:t>11</w:t>
      </w:r>
      <w:r>
        <w:rPr>
          <w:rFonts w:ascii="宋体" w:hAnsi="宋体"/>
          <w:highlight w:val="none"/>
        </w:rPr>
        <w:t>.</w:t>
      </w:r>
      <w:r>
        <w:rPr>
          <w:rFonts w:hint="eastAsia" w:ascii="宋体" w:hAnsi="宋体"/>
          <w:highlight w:val="none"/>
        </w:rPr>
        <w:t>我单位保证，若所投货物涉及</w:t>
      </w:r>
      <w:r>
        <w:rPr>
          <w:rFonts w:ascii="宋体" w:hAnsi="宋体"/>
          <w:highlight w:val="none"/>
        </w:rPr>
        <w:t>《</w:t>
      </w:r>
      <w:r>
        <w:rPr>
          <w:rFonts w:hint="eastAsia" w:ascii="宋体" w:hAnsi="宋体"/>
          <w:highlight w:val="none"/>
        </w:rPr>
        <w:t>财政部生态环境部关于印发节能产品政府采购品目清单的通知》（财库〔20</w:t>
      </w:r>
      <w:r>
        <w:rPr>
          <w:rFonts w:ascii="宋体" w:hAnsi="宋体"/>
          <w:highlight w:val="none"/>
        </w:rPr>
        <w:t>19</w:t>
      </w:r>
      <w:r>
        <w:rPr>
          <w:rFonts w:hint="eastAsia" w:ascii="宋体" w:hAnsi="宋体"/>
          <w:highlight w:val="none"/>
        </w:rPr>
        <w:t>〕</w:t>
      </w:r>
      <w:r>
        <w:rPr>
          <w:rFonts w:ascii="宋体" w:hAnsi="宋体"/>
          <w:highlight w:val="none"/>
        </w:rPr>
        <w:t>19</w:t>
      </w:r>
      <w:r>
        <w:rPr>
          <w:rFonts w:hint="eastAsia" w:ascii="宋体" w:hAnsi="宋体"/>
          <w:highlight w:val="none"/>
        </w:rPr>
        <w:t>号）列明的政府采购强制产品，则所投该产品符合节能产品的认证要求。若所投产品包括数据中心相关设备的，应满足</w:t>
      </w:r>
      <w:r>
        <w:rPr>
          <w:rFonts w:hint="eastAsia"/>
          <w:highlight w:val="none"/>
        </w:rPr>
        <w:t>《财政部 生态环境部 工业和信息化部关于印发&lt;绿色数据中心政府采购需求标准（试行）&gt;的通知》</w:t>
      </w:r>
      <w:r>
        <w:rPr>
          <w:rFonts w:hint="eastAsia" w:eastAsia="宋体"/>
          <w:highlight w:val="none"/>
        </w:rPr>
        <w:t>（</w:t>
      </w:r>
      <w:r>
        <w:rPr>
          <w:rFonts w:hint="eastAsia"/>
          <w:highlight w:val="none"/>
        </w:rPr>
        <w:t>财库〔2023〕7号）</w:t>
      </w:r>
      <w:r>
        <w:rPr>
          <w:rFonts w:hint="eastAsia" w:ascii="Times New Roman" w:eastAsia="宋体"/>
          <w:highlight w:val="none"/>
        </w:rPr>
        <w:t>要求。若所投产品涉及国家强制性标准的，所投产品应符合国家强制性标准相关要求。</w:t>
      </w:r>
    </w:p>
    <w:p>
      <w:pPr>
        <w:spacing w:line="360" w:lineRule="auto"/>
        <w:ind w:firstLine="420" w:firstLineChars="200"/>
        <w:rPr>
          <w:rFonts w:ascii="宋体" w:hAnsi="宋体"/>
          <w:bCs/>
          <w:highlight w:val="none"/>
        </w:rPr>
      </w:pPr>
      <w:r>
        <w:rPr>
          <w:rFonts w:hint="eastAsia" w:ascii="宋体" w:hAnsi="宋体" w:cs="宋体"/>
          <w:bCs/>
          <w:kern w:val="0"/>
          <w:szCs w:val="21"/>
          <w:highlight w:val="none"/>
        </w:rPr>
        <w:t>12.</w:t>
      </w:r>
      <w:r>
        <w:rPr>
          <w:rFonts w:hint="eastAsia" w:ascii="宋体" w:hAnsi="宋体"/>
          <w:bCs/>
          <w:highlight w:val="none"/>
        </w:rPr>
        <w:t>我单位已知悉并同意中标（成交）结果信息公示（公开）的内容。</w:t>
      </w:r>
    </w:p>
    <w:p>
      <w:pPr>
        <w:spacing w:line="360" w:lineRule="auto"/>
        <w:ind w:firstLine="420" w:firstLineChars="200"/>
        <w:rPr>
          <w:rFonts w:ascii="宋体" w:hAnsi="宋体"/>
          <w:bCs/>
          <w:highlight w:val="none"/>
        </w:rPr>
      </w:pPr>
      <w:r>
        <w:rPr>
          <w:rFonts w:hint="eastAsia" w:ascii="宋体" w:hAnsi="宋体"/>
          <w:bCs/>
          <w:highlight w:val="none"/>
        </w:rPr>
        <w:t>13.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w:t>
      </w:r>
      <w:r>
        <w:rPr>
          <w:rFonts w:hint="eastAsia" w:ascii="宋体" w:hAnsi="宋体"/>
          <w:bCs/>
          <w:color w:val="FF0000"/>
          <w:highlight w:val="none"/>
        </w:rPr>
        <w:t>若存在“不同供应商的董事、股东或其他高级管理人员为同一人的”情形的，我单位保证不存在串通投标、恶意串通或者视为串通投标的情形。</w:t>
      </w:r>
    </w:p>
    <w:p>
      <w:pPr>
        <w:spacing w:line="360" w:lineRule="auto"/>
        <w:ind w:firstLine="422" w:firstLineChars="200"/>
        <w:rPr>
          <w:rFonts w:ascii="宋体" w:hAnsi="宋体"/>
          <w:b/>
          <w:highlight w:val="none"/>
        </w:rPr>
      </w:pPr>
      <w:r>
        <w:rPr>
          <w:rFonts w:hint="eastAsia" w:ascii="宋体" w:hAnsi="宋体"/>
          <w:b/>
          <w:highlight w:val="none"/>
        </w:rPr>
        <w:t>14.我单位清楚，如存在违反投标承诺行为情节严重的，将根据《深圳市财政局关于印发&lt;深圳市财政局政府采购供应商信用信息管理办法&gt;的通知》，依法被列入失信信息。</w:t>
      </w:r>
    </w:p>
    <w:p>
      <w:pPr>
        <w:pStyle w:val="2"/>
        <w:ind w:firstLine="482" w:firstLineChars="200"/>
        <w:rPr>
          <w:rFonts w:ascii="宋体" w:hAnsi="宋体"/>
          <w:highlight w:val="none"/>
        </w:rPr>
      </w:pPr>
    </w:p>
    <w:p>
      <w:pPr>
        <w:spacing w:line="360" w:lineRule="auto"/>
        <w:ind w:firstLine="420" w:firstLineChars="200"/>
        <w:rPr>
          <w:rFonts w:ascii="宋体" w:hAnsi="宋体"/>
          <w:szCs w:val="21"/>
          <w:highlight w:val="none"/>
        </w:rPr>
      </w:pPr>
      <w:r>
        <w:rPr>
          <w:rFonts w:hint="eastAsia" w:ascii="宋体" w:hAnsi="宋体"/>
          <w:szCs w:val="21"/>
          <w:highlight w:val="none"/>
        </w:rPr>
        <w:t>以上承诺，如有违反，愿依照国家相关法律法规处理，并承担由此给采购人带来的损失。</w:t>
      </w:r>
    </w:p>
    <w:p>
      <w:pPr>
        <w:spacing w:before="60" w:beforeLines="25" w:after="60" w:afterLines="25"/>
        <w:ind w:firstLine="5460" w:firstLineChars="2600"/>
        <w:rPr>
          <w:rFonts w:ascii="宋体" w:hAnsi="宋体"/>
          <w:szCs w:val="21"/>
          <w:highlight w:val="none"/>
        </w:rPr>
      </w:pPr>
      <w:r>
        <w:rPr>
          <w:rFonts w:hint="eastAsia" w:ascii="宋体" w:hAnsi="宋体"/>
          <w:szCs w:val="21"/>
          <w:highlight w:val="none"/>
        </w:rPr>
        <w:t xml:space="preserve">                                    </w:t>
      </w:r>
    </w:p>
    <w:p>
      <w:pPr>
        <w:spacing w:before="60" w:beforeLines="25" w:after="60" w:afterLines="25"/>
        <w:ind w:firstLine="5460" w:firstLineChars="2600"/>
        <w:rPr>
          <w:color w:val="FF0000"/>
          <w:highlight w:val="none"/>
        </w:rPr>
      </w:pPr>
      <w:r>
        <w:rPr>
          <w:rFonts w:hint="eastAsia"/>
          <w:color w:val="FF0000"/>
          <w:szCs w:val="21"/>
          <w:highlight w:val="none"/>
        </w:rPr>
        <w:t>投标人：</w:t>
      </w:r>
      <w:r>
        <w:rPr>
          <w:rFonts w:hint="eastAsia"/>
          <w:color w:val="FF0000"/>
          <w:szCs w:val="21"/>
          <w:highlight w:val="none"/>
          <w:u w:val="single"/>
        </w:rPr>
        <w:t xml:space="preserve">              </w:t>
      </w:r>
    </w:p>
    <w:p>
      <w:pPr>
        <w:ind w:firstLine="645"/>
        <w:rPr>
          <w:rFonts w:ascii="宋体" w:hAnsi="宋体"/>
          <w:color w:val="FF0000"/>
          <w:szCs w:val="21"/>
          <w:highlight w:val="none"/>
        </w:rPr>
      </w:pPr>
      <w:r>
        <w:rPr>
          <w:rFonts w:hint="eastAsia" w:ascii="宋体" w:hAnsi="宋体"/>
          <w:color w:val="FF0000"/>
          <w:szCs w:val="21"/>
          <w:highlight w:val="none"/>
        </w:rPr>
        <w:t xml:space="preserve">                                              日期：</w:t>
      </w:r>
      <w:r>
        <w:rPr>
          <w:rFonts w:hint="eastAsia" w:ascii="宋体" w:hAnsi="宋体"/>
          <w:color w:val="FF0000"/>
          <w:szCs w:val="21"/>
          <w:highlight w:val="none"/>
          <w:u w:val="single"/>
        </w:rPr>
        <w:t xml:space="preserve">    </w:t>
      </w:r>
      <w:r>
        <w:rPr>
          <w:rFonts w:hint="eastAsia" w:ascii="宋体" w:hAnsi="宋体"/>
          <w:color w:val="FF0000"/>
          <w:szCs w:val="21"/>
          <w:highlight w:val="none"/>
        </w:rPr>
        <w:t>年</w:t>
      </w:r>
      <w:r>
        <w:rPr>
          <w:rFonts w:hint="eastAsia" w:ascii="宋体" w:hAnsi="宋体"/>
          <w:color w:val="FF0000"/>
          <w:szCs w:val="21"/>
          <w:highlight w:val="none"/>
          <w:u w:val="single"/>
        </w:rPr>
        <w:t xml:space="preserve">   </w:t>
      </w:r>
      <w:r>
        <w:rPr>
          <w:rFonts w:hint="eastAsia" w:ascii="宋体" w:hAnsi="宋体"/>
          <w:color w:val="FF0000"/>
          <w:szCs w:val="21"/>
          <w:highlight w:val="none"/>
        </w:rPr>
        <w:t>月</w:t>
      </w:r>
      <w:r>
        <w:rPr>
          <w:rFonts w:hint="eastAsia" w:ascii="宋体" w:hAnsi="宋体"/>
          <w:color w:val="FF0000"/>
          <w:szCs w:val="21"/>
          <w:highlight w:val="none"/>
          <w:u w:val="single"/>
        </w:rPr>
        <w:t xml:space="preserve">   </w:t>
      </w:r>
      <w:r>
        <w:rPr>
          <w:rFonts w:hint="eastAsia" w:ascii="宋体" w:hAnsi="宋体"/>
          <w:color w:val="FF0000"/>
          <w:szCs w:val="21"/>
          <w:highlight w:val="none"/>
        </w:rPr>
        <w:t>日</w:t>
      </w:r>
    </w:p>
    <w:p>
      <w:pPr>
        <w:rPr>
          <w:highlight w:val="none"/>
        </w:rPr>
      </w:pPr>
    </w:p>
    <w:p>
      <w:pPr>
        <w:rPr>
          <w:highlight w:val="none"/>
        </w:rPr>
      </w:pPr>
    </w:p>
    <w:p>
      <w:pPr>
        <w:pStyle w:val="6"/>
        <w:spacing w:before="120" w:after="120"/>
        <w:jc w:val="center"/>
        <w:rPr>
          <w:rFonts w:ascii="黑体" w:eastAsia="黑体"/>
          <w:b w:val="0"/>
          <w:kern w:val="0"/>
          <w:sz w:val="24"/>
          <w:highlight w:val="none"/>
        </w:rPr>
      </w:pPr>
      <w:r>
        <w:rPr>
          <w:rFonts w:hint="eastAsia" w:ascii="黑体" w:eastAsia="黑体"/>
          <w:b w:val="0"/>
          <w:kern w:val="0"/>
          <w:sz w:val="24"/>
          <w:highlight w:val="none"/>
        </w:rPr>
        <w:t>三、投标人情况及资格证明文件</w:t>
      </w:r>
    </w:p>
    <w:p>
      <w:pPr>
        <w:ind w:firstLine="2640" w:firstLineChars="1100"/>
        <w:outlineLvl w:val="3"/>
        <w:rPr>
          <w:rFonts w:ascii="黑体" w:hAnsi="宋体" w:eastAsia="黑体"/>
          <w:bCs/>
          <w:kern w:val="0"/>
          <w:sz w:val="24"/>
          <w:szCs w:val="32"/>
          <w:highlight w:val="none"/>
        </w:rPr>
      </w:pPr>
      <w:r>
        <w:rPr>
          <w:rFonts w:hint="eastAsia" w:ascii="黑体" w:hAnsi="宋体" w:eastAsia="黑体"/>
          <w:bCs/>
          <w:kern w:val="0"/>
          <w:sz w:val="24"/>
          <w:szCs w:val="32"/>
          <w:highlight w:val="none"/>
        </w:rPr>
        <w:t>（一）投标人资格证明文件</w:t>
      </w:r>
    </w:p>
    <w:p>
      <w:pPr>
        <w:spacing w:before="120" w:beforeLines="50"/>
        <w:ind w:firstLine="422" w:firstLineChars="200"/>
        <w:rPr>
          <w:b/>
          <w:bCs/>
          <w:color w:val="FF0000"/>
          <w:highlight w:val="none"/>
        </w:rPr>
      </w:pPr>
      <w:r>
        <w:rPr>
          <w:rFonts w:hint="eastAsia"/>
          <w:b/>
          <w:bCs/>
          <w:color w:val="FF0000"/>
          <w:highlight w:val="none"/>
        </w:rPr>
        <w:t>（特别提示：投标人须按本招标文件第一册第一章招标公告 “申请人的资格要求”（即投标人资格要求）提供相关的资格证明资料，未提供或提供不完整、不符合要求的，将作投标无效处理，</w:t>
      </w:r>
      <w:r>
        <w:rPr>
          <w:rFonts w:hint="eastAsia" w:ascii="宋体" w:hAnsi="宋体" w:eastAsia="宋体" w:cs="宋体"/>
          <w:b/>
          <w:bCs/>
          <w:color w:val="FF0000"/>
          <w:highlight w:val="none"/>
        </w:rPr>
        <w:t>其中要求提供《政府采购投标及履约承诺函》且已在“二、政府采购投标及履约承诺函”章节中提供了，此处可不重复提供</w:t>
      </w:r>
      <w:r>
        <w:rPr>
          <w:rFonts w:hint="eastAsia" w:ascii="宋体" w:hAnsi="宋体" w:cs="宋体"/>
          <w:b/>
          <w:bCs/>
          <w:color w:val="FF0000"/>
          <w:highlight w:val="none"/>
        </w:rPr>
        <w:t>，《供应商基本情况表》为必填内容，须按照相应格式及节点提供</w:t>
      </w:r>
      <w:r>
        <w:rPr>
          <w:rFonts w:hint="eastAsia"/>
          <w:b/>
          <w:bCs/>
          <w:color w:val="FF0000"/>
          <w:highlight w:val="none"/>
        </w:rPr>
        <w:t>。）</w:t>
      </w:r>
    </w:p>
    <w:p>
      <w:pPr>
        <w:ind w:firstLine="482" w:firstLineChars="200"/>
        <w:rPr>
          <w:b/>
          <w:sz w:val="24"/>
          <w:highlight w:val="none"/>
        </w:rPr>
      </w:pPr>
    </w:p>
    <w:p>
      <w:pPr>
        <w:ind w:firstLine="480" w:firstLineChars="200"/>
        <w:outlineLvl w:val="3"/>
        <w:rPr>
          <w:rFonts w:ascii="黑体" w:hAnsi="宋体" w:eastAsia="黑体"/>
          <w:bCs/>
          <w:kern w:val="0"/>
          <w:sz w:val="24"/>
          <w:szCs w:val="32"/>
          <w:highlight w:val="none"/>
        </w:rPr>
      </w:pPr>
      <w:r>
        <w:rPr>
          <w:rFonts w:hint="eastAsia" w:ascii="黑体" w:hAnsi="宋体" w:eastAsia="黑体"/>
          <w:bCs/>
          <w:kern w:val="0"/>
          <w:sz w:val="24"/>
          <w:szCs w:val="32"/>
          <w:highlight w:val="none"/>
        </w:rPr>
        <w:t>（二）中小企业声明函、残疾人福利性单位声明函及监狱企业声明函</w:t>
      </w:r>
    </w:p>
    <w:p>
      <w:pPr>
        <w:jc w:val="left"/>
        <w:outlineLvl w:val="3"/>
        <w:rPr>
          <w:rFonts w:ascii="黑体" w:hAnsi="宋体" w:eastAsia="黑体"/>
          <w:bCs/>
          <w:kern w:val="0"/>
          <w:sz w:val="24"/>
          <w:szCs w:val="32"/>
          <w:highlight w:val="none"/>
        </w:rPr>
      </w:pP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填写指引：</w:t>
      </w:r>
    </w:p>
    <w:p>
      <w:pPr>
        <w:ind w:firstLine="420" w:firstLineChars="200"/>
        <w:outlineLvl w:val="3"/>
        <w:rPr>
          <w:rFonts w:ascii="黑体" w:hAnsi="黑体" w:eastAsia="黑体"/>
          <w:color w:val="FF0000"/>
          <w:szCs w:val="21"/>
          <w:highlight w:val="none"/>
        </w:rPr>
      </w:pPr>
      <w:r>
        <w:rPr>
          <w:rFonts w:hint="eastAsia" w:ascii="黑体" w:hAnsi="宋体" w:eastAsia="黑体"/>
          <w:bCs/>
          <w:color w:val="FF0000"/>
          <w:kern w:val="0"/>
          <w:szCs w:val="21"/>
          <w:highlight w:val="none"/>
        </w:rPr>
        <w:t>1、该部分内容由投标人根据自身实际情况填写，不符合要求的投标人可以不填写或直接删除相应的声明函。</w:t>
      </w:r>
      <w:r>
        <w:rPr>
          <w:rFonts w:hint="eastAsia" w:ascii="黑体" w:hAnsi="黑体" w:eastAsia="黑体"/>
          <w:color w:val="FF0000"/>
          <w:szCs w:val="21"/>
          <w:highlight w:val="none"/>
        </w:rPr>
        <w:t>投标人提供的声明函不属实的，属于提供虚假资料谋取中标，依照《中华人民共和国政府采购法》等国家有关规定追究相应责任。</w:t>
      </w:r>
    </w:p>
    <w:p>
      <w:pPr>
        <w:ind w:firstLine="420" w:firstLineChars="200"/>
        <w:outlineLvl w:val="3"/>
        <w:rPr>
          <w:rFonts w:ascii="黑体" w:hAnsi="黑体" w:eastAsia="黑体"/>
          <w:color w:val="FF0000"/>
          <w:szCs w:val="21"/>
          <w:highlight w:val="none"/>
        </w:rPr>
      </w:pPr>
      <w:r>
        <w:rPr>
          <w:rFonts w:hint="eastAsia" w:ascii="黑体" w:hAnsi="黑体" w:eastAsia="黑体"/>
          <w:color w:val="FF0000"/>
          <w:szCs w:val="21"/>
          <w:highlight w:val="none"/>
        </w:rPr>
        <w:t>2、该部分内容填写需要参考的相关文件：</w:t>
      </w:r>
    </w:p>
    <w:p>
      <w:pPr>
        <w:ind w:firstLine="420" w:firstLineChars="200"/>
        <w:outlineLvl w:val="3"/>
        <w:rPr>
          <w:rFonts w:ascii="黑体" w:hAnsi="黑体" w:eastAsia="黑体"/>
          <w:color w:val="FF0000"/>
          <w:szCs w:val="21"/>
          <w:highlight w:val="none"/>
        </w:rPr>
      </w:pPr>
      <w:r>
        <w:rPr>
          <w:rFonts w:hint="eastAsia" w:ascii="黑体" w:hAnsi="黑体" w:eastAsia="黑体"/>
          <w:color w:val="FF0000"/>
          <w:szCs w:val="21"/>
          <w:highlight w:val="none"/>
        </w:rPr>
        <w:t>(</w:t>
      </w:r>
      <w:r>
        <w:rPr>
          <w:rFonts w:ascii="黑体" w:hAnsi="黑体" w:eastAsia="黑体"/>
          <w:color w:val="FF0000"/>
          <w:szCs w:val="21"/>
          <w:highlight w:val="none"/>
        </w:rPr>
        <w:t>1</w:t>
      </w:r>
      <w:r>
        <w:rPr>
          <w:rFonts w:hint="eastAsia" w:ascii="黑体" w:hAnsi="黑体" w:eastAsia="黑体"/>
          <w:color w:val="FF0000"/>
          <w:szCs w:val="21"/>
          <w:highlight w:val="none"/>
        </w:rPr>
        <w:t>)财政部《政府采购促进中小企业发展管理办法》（财库〔2020〕46号）</w:t>
      </w:r>
    </w:p>
    <w:p>
      <w:pPr>
        <w:ind w:firstLine="420" w:firstLineChars="200"/>
        <w:outlineLvl w:val="3"/>
        <w:rPr>
          <w:rFonts w:ascii="黑体" w:hAnsi="黑体" w:eastAsia="黑体"/>
          <w:color w:val="FF0000"/>
          <w:szCs w:val="21"/>
          <w:highlight w:val="none"/>
        </w:rPr>
      </w:pPr>
      <w:r>
        <w:rPr>
          <w:rFonts w:hint="eastAsia" w:ascii="黑体" w:hAnsi="黑体" w:eastAsia="黑体"/>
          <w:color w:val="FF0000"/>
          <w:szCs w:val="21"/>
          <w:highlight w:val="none"/>
        </w:rPr>
        <w:t>(</w:t>
      </w:r>
      <w:r>
        <w:rPr>
          <w:rFonts w:ascii="黑体" w:hAnsi="黑体" w:eastAsia="黑体"/>
          <w:color w:val="FF0000"/>
          <w:szCs w:val="21"/>
          <w:highlight w:val="none"/>
        </w:rPr>
        <w:t>2</w:t>
      </w:r>
      <w:r>
        <w:rPr>
          <w:rFonts w:hint="eastAsia" w:ascii="黑体" w:hAnsi="黑体" w:eastAsia="黑体"/>
          <w:color w:val="FF0000"/>
          <w:szCs w:val="21"/>
          <w:highlight w:val="none"/>
        </w:rPr>
        <w:t>)</w:t>
      </w:r>
      <w:bookmarkStart w:id="34" w:name="_Hlk71925120"/>
      <w:r>
        <w:rPr>
          <w:rFonts w:hint="eastAsia" w:ascii="黑体" w:hAnsi="黑体" w:eastAsia="黑体"/>
          <w:color w:val="FF0000"/>
          <w:szCs w:val="21"/>
          <w:highlight w:val="none"/>
        </w:rPr>
        <w:t>《工业和信息化部、国家统计局、国家发展和改革委员会、财政部关于印发中小企业划型标准规定的通知》（工信部联企业〔2011〕300号</w:t>
      </w:r>
      <w:bookmarkEnd w:id="34"/>
      <w:r>
        <w:rPr>
          <w:rFonts w:hint="eastAsia" w:ascii="黑体" w:hAnsi="黑体" w:eastAsia="黑体"/>
          <w:color w:val="FF0000"/>
          <w:szCs w:val="21"/>
          <w:highlight w:val="none"/>
        </w:rPr>
        <w:t>）</w:t>
      </w:r>
    </w:p>
    <w:p>
      <w:pPr>
        <w:ind w:firstLine="420" w:firstLineChars="200"/>
        <w:outlineLvl w:val="3"/>
        <w:rPr>
          <w:rFonts w:ascii="黑体" w:hAnsi="黑体" w:eastAsia="黑体"/>
          <w:color w:val="FF0000"/>
          <w:szCs w:val="21"/>
          <w:highlight w:val="none"/>
        </w:rPr>
      </w:pPr>
      <w:r>
        <w:rPr>
          <w:rFonts w:hint="eastAsia" w:ascii="黑体" w:hAnsi="黑体" w:eastAsia="黑体"/>
          <w:color w:val="FF0000"/>
          <w:szCs w:val="21"/>
          <w:highlight w:val="none"/>
        </w:rPr>
        <w:t>(3)《统计上大中小微型企业划分办法(2017)》（国统字〔2017〕213号）</w:t>
      </w:r>
    </w:p>
    <w:p>
      <w:pPr>
        <w:ind w:firstLine="420" w:firstLineChars="200"/>
        <w:outlineLvl w:val="3"/>
        <w:rPr>
          <w:rFonts w:ascii="黑体" w:hAnsi="黑体" w:eastAsia="黑体"/>
          <w:color w:val="FF0000"/>
          <w:szCs w:val="21"/>
          <w:highlight w:val="none"/>
        </w:rPr>
      </w:pPr>
      <w:r>
        <w:rPr>
          <w:rFonts w:hint="eastAsia" w:ascii="黑体" w:hAnsi="黑体" w:eastAsia="黑体"/>
          <w:color w:val="FF0000"/>
          <w:szCs w:val="21"/>
          <w:highlight w:val="none"/>
        </w:rPr>
        <w:t>(4)《关于促进残疾人就业政府采购政策的通知》（财库〔2017〕141号）</w:t>
      </w:r>
    </w:p>
    <w:p>
      <w:pPr>
        <w:ind w:firstLine="420" w:firstLineChars="200"/>
        <w:outlineLvl w:val="3"/>
        <w:rPr>
          <w:rFonts w:ascii="黑体" w:hAnsi="黑体" w:eastAsia="黑体"/>
          <w:color w:val="FF0000"/>
          <w:szCs w:val="21"/>
          <w:highlight w:val="none"/>
        </w:rPr>
      </w:pPr>
      <w:r>
        <w:rPr>
          <w:rFonts w:hint="eastAsia" w:ascii="黑体" w:hAnsi="黑体" w:eastAsia="黑体"/>
          <w:color w:val="FF0000"/>
          <w:szCs w:val="21"/>
          <w:highlight w:val="none"/>
        </w:rPr>
        <w:t>(5)《关于政府采购支持监狱企业发展有关问题的通知》（财库〔2014〕68号）</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3、请依照提供的格式和内容填写声明函，不要随意变更格式；声明函不需要盖章或签字；</w:t>
      </w:r>
      <w:r>
        <w:rPr>
          <w:rFonts w:hint="eastAsia" w:ascii="黑体" w:hAnsi="黑体" w:eastAsia="黑体"/>
          <w:color w:val="FF0000"/>
          <w:szCs w:val="21"/>
          <w:highlight w:val="none"/>
        </w:rPr>
        <w:t>满足多项优惠政策的投标人，不重复享受多项价格扣除政策。</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4、声明函具体填写要求：</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（1）声明是中小企业须填写《中小企业声明函》的以下内容：</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第一处，在“单位名称”下划线处如实填写采购人名称（深圳公共资源交易中心不是本项目的采购人，而是组织实施机构）；</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第二处，在“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第三处，在“标的名称”下划线处填写所采购标的具体名称（以招标文件第一册第三章用户需求书“服务需求明细”的“服务需求名称（标的名称）”一栏为准）；如果涉及多项服务（标的）为同一企业承接的，“标的名称”下划线处可以如实填写多项服务；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第四处，在“采购文件中明确的所属行业”下划线处填写采购标的对应的中小企业划分标准所属行业（所属行业以招标文件第一册第三章用户需求书“服务需求明细”的“标的所属行业”一栏为准），并应确保与采购标的涉及的服务承接商本身的所属行业保持一致。对于分包方式面向中小企业采购的项目，“采购文件中明确的所属行业”应按照采购文件中注明的分包给中小企业的采购标的所属行业填写，并应确保与该分包部分采购标的涉及的服务承接商本身的所属行业保持一致；对于以联合体方式面向中小企业采购的项目，“采购文件中明确的所属行业”应按照采购文件中注明的联合体中中小企业承担的采购标的所属行业填写，并应确保与该分包部分采购标的涉及的服务承接商本身的所属行业保持一致；</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第五处，在“企业名称”下划线处如实填写</w:t>
      </w:r>
      <w:r>
        <w:rPr>
          <w:rFonts w:hint="eastAsia" w:ascii="黑体" w:hAnsi="宋体" w:eastAsia="黑体"/>
          <w:b/>
          <w:color w:val="FF0000"/>
          <w:kern w:val="0"/>
          <w:szCs w:val="21"/>
          <w:highlight w:val="none"/>
        </w:rPr>
        <w:t>服务承接商名称。</w:t>
      </w:r>
      <w:r>
        <w:rPr>
          <w:rFonts w:hint="eastAsia" w:ascii="黑体" w:hAnsi="宋体" w:eastAsia="黑体"/>
          <w:bCs/>
          <w:color w:val="FF0000"/>
          <w:kern w:val="0"/>
          <w:szCs w:val="21"/>
          <w:highlight w:val="none"/>
        </w:rPr>
        <w:t>对于分包方式面向中小企业采购的项目，“企业名称”应填写分包部分采购标的对应的服务承接商；对于以联合体方式面向中小企业采购的项目，“企业名称”应填写联合体中中小企业承担采购标的对应的服务承接商；</w:t>
      </w:r>
    </w:p>
    <w:p>
      <w:pPr>
        <w:ind w:firstLine="420" w:firstLineChars="200"/>
        <w:outlineLvl w:val="3"/>
        <w:rPr>
          <w:rFonts w:ascii="黑体" w:hAnsi="宋体" w:eastAsia="黑体"/>
          <w:bCs/>
          <w:color w:val="FF0000"/>
          <w:kern w:val="0"/>
          <w:szCs w:val="21"/>
          <w:highlight w:val="none"/>
        </w:rPr>
      </w:pPr>
      <w:r>
        <w:rPr>
          <w:rFonts w:hint="eastAsia" w:ascii="黑体" w:hAnsi="宋体" w:eastAsia="黑体" w:cs="Times New Roman"/>
          <w:bCs/>
          <w:color w:val="FF0000"/>
          <w:kern w:val="0"/>
          <w:szCs w:val="21"/>
          <w:highlight w:val="none"/>
        </w:rPr>
        <w:t>第六、</w:t>
      </w:r>
      <w:r>
        <w:rPr>
          <w:rFonts w:hint="eastAsia" w:ascii="黑体" w:hAnsi="宋体" w:eastAsia="黑体"/>
          <w:bCs/>
          <w:color w:val="FF0000"/>
          <w:kern w:val="0"/>
          <w:szCs w:val="21"/>
          <w:highlight w:val="none"/>
        </w:rPr>
        <w:t>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第九处，在“中型企业、小型企业、微型企业”下划线处应依据企业上年度从业人员、营业收入、资产总额等指标，按照《中小企业划型标准规定》（工信部联企业〔2011〕300号）、《金融业企业划型标准规定》（银发〔2015〕309号），判断《中小企业声明函》载明的服务承接商是否属于采购文件所属行业的中型企业/小型企业/微型企业。</w:t>
      </w:r>
    </w:p>
    <w:p>
      <w:pPr>
        <w:pStyle w:val="57"/>
        <w:ind w:firstLine="420" w:firstLineChars="200"/>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（3）事业单位、社会组织等非企业主体不享受中小企业扶持政策。</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（4）声明是残疾人福利性单位须填写《残疾人福利性单位声明函》的相关内容，具体参照以上《中小企业声明函》填写要求执行。</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（5）声明是监狱企业须填写《监狱企业声明函》的三项内容（填写位置的字体已加粗），具体参照以上《中小企业声明函》填写要求执行。</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5、本项目属于服务类项目，相关服务承接商应当为中小企业或残疾人福利性单位或监狱企业，如包含硬件设备、产品等货物采购的，不再对其中涉及的货物制造商作出要求。</w:t>
      </w:r>
    </w:p>
    <w:p>
      <w:pPr>
        <w:ind w:firstLine="420" w:firstLineChars="200"/>
        <w:outlineLvl w:val="3"/>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6、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w:t>
      </w:r>
    </w:p>
    <w:p>
      <w:pPr>
        <w:ind w:firstLine="420" w:firstLineChars="200"/>
        <w:rPr>
          <w:rFonts w:ascii="黑体" w:hAnsi="宋体" w:eastAsia="黑体"/>
          <w:bCs/>
          <w:color w:val="FF0000"/>
          <w:kern w:val="0"/>
          <w:szCs w:val="21"/>
          <w:highlight w:val="none"/>
        </w:rPr>
      </w:pPr>
      <w:r>
        <w:rPr>
          <w:rFonts w:hint="eastAsia" w:ascii="黑体" w:hAnsi="宋体" w:eastAsia="黑体"/>
          <w:bCs/>
          <w:color w:val="FF0000"/>
          <w:kern w:val="0"/>
          <w:szCs w:val="21"/>
          <w:highlight w:val="none"/>
        </w:rPr>
        <w:t>7、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pPr>
        <w:ind w:firstLine="420" w:firstLineChars="200"/>
        <w:rPr>
          <w:highlight w:val="none"/>
        </w:rPr>
      </w:pPr>
    </w:p>
    <w:p>
      <w:pPr>
        <w:numPr>
          <w:ilvl w:val="0"/>
          <w:numId w:val="3"/>
        </w:numPr>
        <w:jc w:val="center"/>
        <w:outlineLvl w:val="3"/>
        <w:rPr>
          <w:b/>
          <w:sz w:val="24"/>
          <w:highlight w:val="none"/>
        </w:rPr>
      </w:pPr>
      <w:r>
        <w:rPr>
          <w:b/>
          <w:sz w:val="24"/>
          <w:highlight w:val="none"/>
        </w:rPr>
        <w:t>中小企业声明函（</w:t>
      </w:r>
      <w:r>
        <w:rPr>
          <w:rFonts w:hint="eastAsia"/>
          <w:b/>
          <w:sz w:val="24"/>
          <w:highlight w:val="none"/>
        </w:rPr>
        <w:t>服务</w:t>
      </w:r>
      <w:r>
        <w:rPr>
          <w:b/>
          <w:sz w:val="24"/>
          <w:highlight w:val="none"/>
        </w:rPr>
        <w:t>）</w:t>
      </w:r>
    </w:p>
    <w:p>
      <w:pPr>
        <w:pStyle w:val="2"/>
        <w:rPr>
          <w:highlight w:val="none"/>
        </w:rPr>
      </w:pPr>
    </w:p>
    <w:p>
      <w:pPr>
        <w:spacing w:line="360" w:lineRule="auto"/>
        <w:ind w:firstLine="420" w:firstLineChars="200"/>
        <w:outlineLvl w:val="3"/>
        <w:rPr>
          <w:rFonts w:asciiTheme="minorEastAsia" w:hAnsiTheme="minorEastAsia" w:cstheme="minorEastAsia"/>
          <w:szCs w:val="21"/>
          <w:highlight w:val="none"/>
        </w:rPr>
      </w:pPr>
      <w:r>
        <w:rPr>
          <w:rFonts w:hint="eastAsia" w:asciiTheme="minorEastAsia" w:hAnsiTheme="minorEastAsia" w:cstheme="minorEastAsia"/>
          <w:szCs w:val="21"/>
          <w:highlight w:val="none"/>
        </w:rPr>
        <w:t>本公司（联合体）郑重声明，根据《政府采购促进中小企业发展管理办法》（财库﹝2020﹞46号）的规定，本公司（联合体）参加</w:t>
      </w:r>
      <w:r>
        <w:rPr>
          <w:rFonts w:hint="eastAsia" w:asciiTheme="minorEastAsia" w:hAnsiTheme="minorEastAsia" w:cstheme="minorEastAsia"/>
          <w:b/>
          <w:bCs/>
          <w:i/>
          <w:iCs/>
          <w:szCs w:val="21"/>
          <w:highlight w:val="none"/>
          <w:u w:val="single"/>
        </w:rPr>
        <w:t xml:space="preserve">   深圳市龙华区教育局  </w:t>
      </w:r>
      <w:r>
        <w:rPr>
          <w:rFonts w:hint="eastAsia" w:asciiTheme="minorEastAsia" w:hAnsiTheme="minorEastAsia" w:cstheme="minorEastAsia"/>
          <w:szCs w:val="21"/>
          <w:highlight w:val="none"/>
        </w:rPr>
        <w:t>的</w:t>
      </w:r>
      <w:r>
        <w:rPr>
          <w:rFonts w:hint="eastAsia" w:asciiTheme="minorEastAsia" w:hAnsiTheme="minorEastAsia" w:cstheme="minorEastAsia"/>
          <w:b/>
          <w:bCs/>
          <w:i/>
          <w:iCs/>
          <w:szCs w:val="21"/>
          <w:highlight w:val="none"/>
          <w:u w:val="single"/>
        </w:rPr>
        <w:t xml:space="preserve">   2025年区教育城域网cernet教育网出口带宽租用项目  </w:t>
      </w:r>
      <w:r>
        <w:rPr>
          <w:rFonts w:hint="eastAsia" w:asciiTheme="minorEastAsia" w:hAnsiTheme="minorEastAsia" w:cstheme="minorEastAsia"/>
          <w:szCs w:val="21"/>
          <w:highlight w:val="none"/>
        </w:rPr>
        <w:t>采购活动，服务全部由符合政策要求的中小企业承接。相关企业（含联合体中的中小企业、签订分包意向协议的中小企业）的具体情况如下：</w:t>
      </w:r>
    </w:p>
    <w:p>
      <w:pPr>
        <w:spacing w:line="360" w:lineRule="auto"/>
        <w:ind w:firstLine="420" w:firstLineChars="200"/>
        <w:outlineLvl w:val="3"/>
        <w:rPr>
          <w:rFonts w:asciiTheme="minorEastAsia" w:hAnsiTheme="minorEastAsia" w:cstheme="minorEastAsia"/>
          <w:szCs w:val="21"/>
          <w:highlight w:val="none"/>
        </w:rPr>
      </w:pPr>
      <w:r>
        <w:rPr>
          <w:rFonts w:hint="eastAsia" w:asciiTheme="minorEastAsia" w:hAnsiTheme="minorEastAsia" w:cstheme="minorEastAsia"/>
          <w:szCs w:val="21"/>
          <w:highlight w:val="none"/>
        </w:rPr>
        <w:t>1.</w:t>
      </w:r>
      <w:r>
        <w:rPr>
          <w:rFonts w:hint="eastAsia" w:asciiTheme="minorEastAsia" w:hAnsiTheme="minorEastAsia" w:cstheme="minorEastAsia"/>
          <w:b/>
          <w:bCs/>
          <w:i/>
          <w:iCs/>
          <w:szCs w:val="21"/>
          <w:highlight w:val="none"/>
          <w:u w:val="single"/>
        </w:rPr>
        <w:t xml:space="preserve">    （标的名称）     </w:t>
      </w:r>
      <w:r>
        <w:rPr>
          <w:rFonts w:hint="eastAsia" w:asciiTheme="minorEastAsia" w:hAnsiTheme="minorEastAsia" w:cstheme="minorEastAsia"/>
          <w:szCs w:val="21"/>
          <w:highlight w:val="none"/>
        </w:rPr>
        <w:t>，属于</w:t>
      </w:r>
      <w:r>
        <w:rPr>
          <w:rFonts w:hint="eastAsia" w:asciiTheme="minorEastAsia" w:hAnsiTheme="minorEastAsia" w:cstheme="minorEastAsia"/>
          <w:b/>
          <w:bCs/>
          <w:i/>
          <w:iCs/>
          <w:szCs w:val="21"/>
          <w:highlight w:val="none"/>
          <w:u w:val="single"/>
        </w:rPr>
        <w:t xml:space="preserve">    （采购文件中明确的所属行业）    </w:t>
      </w:r>
      <w:r>
        <w:rPr>
          <w:rFonts w:hint="eastAsia" w:asciiTheme="minorEastAsia" w:hAnsiTheme="minorEastAsia" w:cstheme="minorEastAsia"/>
          <w:szCs w:val="21"/>
          <w:highlight w:val="none"/>
        </w:rPr>
        <w:t>行业；承接企业为</w:t>
      </w:r>
      <w:r>
        <w:rPr>
          <w:rFonts w:hint="eastAsia" w:asciiTheme="minorEastAsia" w:hAnsiTheme="minorEastAsia" w:cstheme="minorEastAsia"/>
          <w:b/>
          <w:bCs/>
          <w:i/>
          <w:iCs/>
          <w:szCs w:val="21"/>
          <w:highlight w:val="none"/>
          <w:u w:val="single"/>
        </w:rPr>
        <w:t xml:space="preserve">    （企业名称，要求承接企业本身所属行业应当与招标文件要求的行业相一致）    </w:t>
      </w:r>
      <w:r>
        <w:rPr>
          <w:rFonts w:hint="eastAsia" w:asciiTheme="minorEastAsia" w:hAnsiTheme="minorEastAsia" w:cstheme="minorEastAsia"/>
          <w:szCs w:val="21"/>
          <w:highlight w:val="none"/>
        </w:rPr>
        <w:t>，从业人员</w:t>
      </w:r>
      <w:r>
        <w:rPr>
          <w:rFonts w:hint="eastAsia" w:asciiTheme="minorEastAsia" w:hAnsiTheme="minorEastAsia" w:cstheme="minorEastAsia"/>
          <w:b/>
          <w:bCs/>
          <w:i/>
          <w:iCs/>
          <w:szCs w:val="21"/>
          <w:highlight w:val="none"/>
          <w:u w:val="single"/>
        </w:rPr>
        <w:t xml:space="preserve">        </w:t>
      </w:r>
      <w:r>
        <w:rPr>
          <w:rFonts w:hint="eastAsia" w:asciiTheme="minorEastAsia" w:hAnsiTheme="minorEastAsia" w:cstheme="minorEastAsia"/>
          <w:szCs w:val="21"/>
          <w:highlight w:val="none"/>
        </w:rPr>
        <w:t>人，营业收入为</w:t>
      </w:r>
      <w:r>
        <w:rPr>
          <w:rFonts w:hint="eastAsia" w:asciiTheme="minorEastAsia" w:hAnsiTheme="minorEastAsia" w:cstheme="minorEastAsia"/>
          <w:b/>
          <w:bCs/>
          <w:i/>
          <w:iCs/>
          <w:szCs w:val="21"/>
          <w:highlight w:val="none"/>
          <w:u w:val="single"/>
        </w:rPr>
        <w:t xml:space="preserve">        </w:t>
      </w:r>
      <w:r>
        <w:rPr>
          <w:rFonts w:hint="eastAsia" w:asciiTheme="minorEastAsia" w:hAnsiTheme="minorEastAsia" w:cstheme="minorEastAsia"/>
          <w:szCs w:val="21"/>
          <w:highlight w:val="none"/>
        </w:rPr>
        <w:t>万元，资产总额为</w:t>
      </w:r>
      <w:r>
        <w:rPr>
          <w:rFonts w:hint="eastAsia" w:asciiTheme="minorEastAsia" w:hAnsiTheme="minorEastAsia" w:cstheme="minorEastAsia"/>
          <w:b/>
          <w:bCs/>
          <w:i/>
          <w:iCs/>
          <w:szCs w:val="21"/>
          <w:highlight w:val="none"/>
          <w:u w:val="single"/>
        </w:rPr>
        <w:t xml:space="preserve">        </w:t>
      </w:r>
      <w:r>
        <w:rPr>
          <w:rFonts w:hint="eastAsia" w:asciiTheme="minorEastAsia" w:hAnsiTheme="minorEastAsia" w:cstheme="minorEastAsia"/>
          <w:szCs w:val="21"/>
          <w:highlight w:val="none"/>
        </w:rPr>
        <w:t>万元，属于</w:t>
      </w:r>
      <w:r>
        <w:rPr>
          <w:rFonts w:hint="eastAsia" w:asciiTheme="minorEastAsia" w:hAnsiTheme="minorEastAsia" w:cstheme="minorEastAsia"/>
          <w:b/>
          <w:bCs/>
          <w:i/>
          <w:iCs/>
          <w:szCs w:val="21"/>
          <w:highlight w:val="none"/>
          <w:u w:val="single"/>
        </w:rPr>
        <w:t xml:space="preserve">    （中型企业、小型企业、微型企业）    </w:t>
      </w:r>
      <w:r>
        <w:rPr>
          <w:rFonts w:hint="eastAsia" w:asciiTheme="minorEastAsia" w:hAnsiTheme="minorEastAsia" w:cstheme="minorEastAsia"/>
          <w:szCs w:val="21"/>
          <w:highlight w:val="none"/>
        </w:rPr>
        <w:t>；</w:t>
      </w:r>
    </w:p>
    <w:p>
      <w:pPr>
        <w:spacing w:line="360" w:lineRule="auto"/>
        <w:ind w:firstLine="420" w:firstLineChars="200"/>
        <w:outlineLvl w:val="3"/>
        <w:rPr>
          <w:rFonts w:asciiTheme="minorEastAsia" w:hAnsiTheme="minorEastAsia" w:cstheme="minorEastAsia"/>
          <w:szCs w:val="21"/>
          <w:highlight w:val="none"/>
        </w:rPr>
      </w:pPr>
      <w:r>
        <w:rPr>
          <w:rFonts w:hint="eastAsia" w:asciiTheme="minorEastAsia" w:hAnsiTheme="minorEastAsia" w:cstheme="minorEastAsia"/>
          <w:szCs w:val="21"/>
          <w:highlight w:val="none"/>
        </w:rPr>
        <w:t>2.</w:t>
      </w:r>
      <w:r>
        <w:rPr>
          <w:rFonts w:hint="eastAsia" w:asciiTheme="minorEastAsia" w:hAnsiTheme="minorEastAsia" w:cstheme="minorEastAsia"/>
          <w:b/>
          <w:bCs/>
          <w:i/>
          <w:iCs/>
          <w:szCs w:val="21"/>
          <w:highlight w:val="none"/>
          <w:u w:val="single"/>
        </w:rPr>
        <w:t xml:space="preserve">    （标的名称）     </w:t>
      </w:r>
      <w:r>
        <w:rPr>
          <w:rFonts w:hint="eastAsia" w:asciiTheme="minorEastAsia" w:hAnsiTheme="minorEastAsia" w:cstheme="minorEastAsia"/>
          <w:szCs w:val="21"/>
          <w:highlight w:val="none"/>
        </w:rPr>
        <w:t>，属于</w:t>
      </w:r>
      <w:r>
        <w:rPr>
          <w:rFonts w:hint="eastAsia" w:asciiTheme="minorEastAsia" w:hAnsiTheme="minorEastAsia" w:cstheme="minorEastAsia"/>
          <w:b/>
          <w:bCs/>
          <w:i/>
          <w:iCs/>
          <w:szCs w:val="21"/>
          <w:highlight w:val="none"/>
          <w:u w:val="single"/>
        </w:rPr>
        <w:t xml:space="preserve">    （采购文件中明确的所属行业）    </w:t>
      </w:r>
      <w:r>
        <w:rPr>
          <w:rFonts w:hint="eastAsia" w:asciiTheme="minorEastAsia" w:hAnsiTheme="minorEastAsia" w:cstheme="minorEastAsia"/>
          <w:szCs w:val="21"/>
          <w:highlight w:val="none"/>
        </w:rPr>
        <w:t>行业；承接企业为</w:t>
      </w:r>
      <w:r>
        <w:rPr>
          <w:rFonts w:hint="eastAsia" w:asciiTheme="minorEastAsia" w:hAnsiTheme="minorEastAsia" w:cstheme="minorEastAsia"/>
          <w:b/>
          <w:bCs/>
          <w:i/>
          <w:iCs/>
          <w:szCs w:val="21"/>
          <w:highlight w:val="none"/>
          <w:u w:val="single"/>
        </w:rPr>
        <w:t xml:space="preserve">    （企业名称，要求承接企业本身所属行业应当与招标文件要求的行业相一致）    </w:t>
      </w:r>
      <w:r>
        <w:rPr>
          <w:rFonts w:hint="eastAsia" w:asciiTheme="minorEastAsia" w:hAnsiTheme="minorEastAsia" w:cstheme="minorEastAsia"/>
          <w:szCs w:val="21"/>
          <w:highlight w:val="none"/>
        </w:rPr>
        <w:t>，从业人员</w:t>
      </w:r>
      <w:r>
        <w:rPr>
          <w:rFonts w:hint="eastAsia" w:asciiTheme="minorEastAsia" w:hAnsiTheme="minorEastAsia" w:cstheme="minorEastAsia"/>
          <w:b/>
          <w:bCs/>
          <w:i/>
          <w:iCs/>
          <w:szCs w:val="21"/>
          <w:highlight w:val="none"/>
          <w:u w:val="single"/>
        </w:rPr>
        <w:t xml:space="preserve">        </w:t>
      </w:r>
      <w:r>
        <w:rPr>
          <w:rFonts w:hint="eastAsia" w:asciiTheme="minorEastAsia" w:hAnsiTheme="minorEastAsia" w:cstheme="minorEastAsia"/>
          <w:szCs w:val="21"/>
          <w:highlight w:val="none"/>
        </w:rPr>
        <w:t>人，营业收入为</w:t>
      </w:r>
      <w:r>
        <w:rPr>
          <w:rFonts w:hint="eastAsia" w:asciiTheme="minorEastAsia" w:hAnsiTheme="minorEastAsia" w:cstheme="minorEastAsia"/>
          <w:b/>
          <w:bCs/>
          <w:i/>
          <w:iCs/>
          <w:szCs w:val="21"/>
          <w:highlight w:val="none"/>
          <w:u w:val="single"/>
        </w:rPr>
        <w:t xml:space="preserve">        </w:t>
      </w:r>
      <w:r>
        <w:rPr>
          <w:rFonts w:hint="eastAsia" w:asciiTheme="minorEastAsia" w:hAnsiTheme="minorEastAsia" w:cstheme="minorEastAsia"/>
          <w:szCs w:val="21"/>
          <w:highlight w:val="none"/>
        </w:rPr>
        <w:t>万元，资产总额为</w:t>
      </w:r>
      <w:r>
        <w:rPr>
          <w:rFonts w:hint="eastAsia" w:asciiTheme="minorEastAsia" w:hAnsiTheme="minorEastAsia" w:cstheme="minorEastAsia"/>
          <w:b/>
          <w:bCs/>
          <w:i/>
          <w:iCs/>
          <w:szCs w:val="21"/>
          <w:highlight w:val="none"/>
          <w:u w:val="single"/>
        </w:rPr>
        <w:t xml:space="preserve">        </w:t>
      </w:r>
      <w:r>
        <w:rPr>
          <w:rFonts w:hint="eastAsia" w:asciiTheme="minorEastAsia" w:hAnsiTheme="minorEastAsia" w:cstheme="minorEastAsia"/>
          <w:szCs w:val="21"/>
          <w:highlight w:val="none"/>
        </w:rPr>
        <w:t>万元，属于</w:t>
      </w:r>
      <w:r>
        <w:rPr>
          <w:rFonts w:hint="eastAsia" w:asciiTheme="minorEastAsia" w:hAnsiTheme="minorEastAsia" w:cstheme="minorEastAsia"/>
          <w:b/>
          <w:bCs/>
          <w:i/>
          <w:iCs/>
          <w:szCs w:val="21"/>
          <w:highlight w:val="none"/>
          <w:u w:val="single"/>
        </w:rPr>
        <w:t xml:space="preserve">    （中型企业、小型企业、微型企业）    </w:t>
      </w:r>
      <w:r>
        <w:rPr>
          <w:rFonts w:hint="eastAsia" w:asciiTheme="minorEastAsia" w:hAnsiTheme="minorEastAsia" w:cstheme="minorEastAsia"/>
          <w:szCs w:val="21"/>
          <w:highlight w:val="none"/>
        </w:rPr>
        <w:t>；</w:t>
      </w:r>
    </w:p>
    <w:p>
      <w:pPr>
        <w:spacing w:line="360" w:lineRule="auto"/>
        <w:ind w:firstLine="420" w:firstLineChars="200"/>
        <w:outlineLvl w:val="3"/>
        <w:rPr>
          <w:rFonts w:asciiTheme="minorEastAsia" w:hAnsiTheme="minorEastAsia" w:cstheme="minorEastAsia"/>
          <w:szCs w:val="21"/>
          <w:highlight w:val="none"/>
        </w:rPr>
      </w:pPr>
      <w:r>
        <w:rPr>
          <w:rFonts w:hint="eastAsia" w:asciiTheme="minorEastAsia" w:hAnsiTheme="minorEastAsia" w:cstheme="minorEastAsia"/>
          <w:szCs w:val="21"/>
          <w:highlight w:val="none"/>
        </w:rPr>
        <w:t>……</w:t>
      </w:r>
    </w:p>
    <w:p>
      <w:pPr>
        <w:spacing w:line="360" w:lineRule="auto"/>
        <w:ind w:firstLine="420" w:firstLineChars="200"/>
        <w:outlineLvl w:val="3"/>
        <w:rPr>
          <w:rFonts w:asciiTheme="minorEastAsia" w:hAnsiTheme="minorEastAsia" w:cstheme="minorEastAsia"/>
          <w:szCs w:val="21"/>
          <w:highlight w:val="none"/>
        </w:rPr>
      </w:pPr>
      <w:r>
        <w:rPr>
          <w:rFonts w:hint="eastAsia" w:asciiTheme="minorEastAsia" w:hAnsiTheme="minorEastAsia" w:cstheme="minorEastAsia"/>
          <w:szCs w:val="21"/>
          <w:highlight w:val="none"/>
        </w:rPr>
        <w:t>以上企业，不属于大企业的分支机构，不存在控股股东为大企业的情形，也不存在与大企业的负责人为同一人的情形。</w:t>
      </w:r>
    </w:p>
    <w:p>
      <w:pPr>
        <w:spacing w:line="360" w:lineRule="auto"/>
        <w:ind w:firstLine="420" w:firstLineChars="200"/>
        <w:outlineLvl w:val="3"/>
        <w:rPr>
          <w:rFonts w:asciiTheme="minorEastAsia" w:hAnsiTheme="minorEastAsia" w:cstheme="minorEastAsia"/>
          <w:szCs w:val="21"/>
          <w:highlight w:val="none"/>
        </w:rPr>
      </w:pPr>
      <w:r>
        <w:rPr>
          <w:rFonts w:hint="eastAsia" w:asciiTheme="minorEastAsia" w:hAnsiTheme="minorEastAsia" w:cstheme="minorEastAsia"/>
          <w:szCs w:val="21"/>
          <w:highlight w:val="none"/>
        </w:rPr>
        <w:t>本企业对上述声明内容的真实性负责。如有虚假，将依法承担相应责任。</w:t>
      </w:r>
    </w:p>
    <w:p>
      <w:pPr>
        <w:spacing w:line="360" w:lineRule="auto"/>
        <w:ind w:firstLine="420" w:firstLineChars="200"/>
        <w:outlineLvl w:val="3"/>
        <w:rPr>
          <w:rFonts w:asciiTheme="minorEastAsia" w:hAnsiTheme="minorEastAsia" w:cstheme="minorEastAsia"/>
          <w:szCs w:val="21"/>
          <w:highlight w:val="none"/>
        </w:rPr>
      </w:pPr>
      <w:bookmarkStart w:id="35" w:name="_Hlk73562275"/>
      <w:r>
        <w:rPr>
          <w:rFonts w:hint="eastAsia" w:asciiTheme="minorEastAsia" w:hAnsiTheme="minorEastAsia" w:cstheme="minorEastAsia"/>
          <w:szCs w:val="21"/>
          <w:highlight w:val="none"/>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35"/>
    </w:p>
    <w:p>
      <w:pPr>
        <w:ind w:firstLine="420" w:firstLineChars="200"/>
        <w:rPr>
          <w:highlight w:val="none"/>
        </w:rPr>
      </w:pPr>
    </w:p>
    <w:p>
      <w:pPr>
        <w:jc w:val="center"/>
        <w:outlineLvl w:val="3"/>
        <w:rPr>
          <w:b/>
          <w:sz w:val="24"/>
          <w:highlight w:val="none"/>
        </w:rPr>
      </w:pPr>
      <w:r>
        <w:rPr>
          <w:rFonts w:hint="eastAsia"/>
          <w:b/>
          <w:sz w:val="24"/>
          <w:highlight w:val="none"/>
        </w:rPr>
        <w:t>2、残疾人福利性单位声明函（服务类）</w:t>
      </w:r>
    </w:p>
    <w:p>
      <w:pPr>
        <w:spacing w:line="360" w:lineRule="auto"/>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cstheme="minorEastAsia"/>
          <w:b/>
          <w:bCs/>
          <w:i/>
          <w:iCs/>
          <w:szCs w:val="21"/>
          <w:highlight w:val="none"/>
          <w:u w:val="single"/>
        </w:rPr>
        <w:t xml:space="preserve">    深圳市龙华区教育局   </w:t>
      </w:r>
      <w:r>
        <w:rPr>
          <w:rFonts w:hint="eastAsia" w:asciiTheme="minorEastAsia" w:hAnsiTheme="minorEastAsia" w:cstheme="minorEastAsia"/>
          <w:szCs w:val="21"/>
          <w:highlight w:val="none"/>
        </w:rPr>
        <w:t>单位的</w:t>
      </w:r>
      <w:r>
        <w:rPr>
          <w:rFonts w:hint="eastAsia" w:asciiTheme="minorEastAsia" w:hAnsiTheme="minorEastAsia" w:cstheme="minorEastAsia"/>
          <w:b/>
          <w:bCs/>
          <w:i/>
          <w:iCs/>
          <w:szCs w:val="21"/>
          <w:highlight w:val="none"/>
          <w:u w:val="single"/>
        </w:rPr>
        <w:t xml:space="preserve">  2025年区教育城域网cernet教育网出口带宽租用项目   </w:t>
      </w:r>
      <w:r>
        <w:rPr>
          <w:rFonts w:hint="eastAsia" w:asciiTheme="minorEastAsia" w:hAnsiTheme="minorEastAsia" w:cstheme="minorEastAsia"/>
          <w:szCs w:val="21"/>
          <w:highlight w:val="none"/>
        </w:rPr>
        <w:t>项目采购活动由本单位提供服务。</w:t>
      </w:r>
    </w:p>
    <w:p>
      <w:pPr>
        <w:spacing w:line="360" w:lineRule="auto"/>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本单位对上述声明的真实性负责。如有虚假，将依法承担相应责任。</w:t>
      </w:r>
    </w:p>
    <w:p>
      <w:pPr>
        <w:spacing w:line="360" w:lineRule="auto"/>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本投标人已知悉《财政部民政部中国残疾人联合会关于促进残疾人就业政府采购政策的通知》（财库〔2017〕141号）的规定，承诺提供的声明函内容是真实的，如提供声明函内容不实，则依法追究相关法律责任。</w:t>
      </w:r>
    </w:p>
    <w:p>
      <w:pPr>
        <w:ind w:firstLine="420" w:firstLineChars="200"/>
        <w:rPr>
          <w:rFonts w:ascii="宋体" w:hAnsi="宋体"/>
          <w:szCs w:val="21"/>
          <w:highlight w:val="none"/>
        </w:rPr>
      </w:pPr>
    </w:p>
    <w:p>
      <w:pPr>
        <w:ind w:firstLine="420" w:firstLineChars="200"/>
        <w:rPr>
          <w:rFonts w:ascii="宋体" w:hAnsi="宋体"/>
          <w:szCs w:val="21"/>
          <w:highlight w:val="none"/>
        </w:rPr>
      </w:pPr>
    </w:p>
    <w:p>
      <w:pPr>
        <w:ind w:firstLine="420" w:firstLineChars="200"/>
        <w:rPr>
          <w:rFonts w:ascii="宋体" w:hAnsi="宋体"/>
          <w:szCs w:val="21"/>
          <w:highlight w:val="none"/>
        </w:rPr>
      </w:pPr>
    </w:p>
    <w:p>
      <w:pPr>
        <w:jc w:val="center"/>
        <w:outlineLvl w:val="3"/>
        <w:rPr>
          <w:b/>
          <w:sz w:val="24"/>
          <w:highlight w:val="none"/>
        </w:rPr>
      </w:pPr>
      <w:r>
        <w:rPr>
          <w:rFonts w:hint="eastAsia"/>
          <w:b/>
          <w:sz w:val="24"/>
          <w:highlight w:val="none"/>
        </w:rPr>
        <w:t>3、监狱企业声明函【服务类，监狱企业如需享受优惠政策，还须另行提供省级以上监狱管理局、戒毒管理局（含新疆生产建设兵团）出具的监狱企业证明文件】</w:t>
      </w:r>
    </w:p>
    <w:p>
      <w:pPr>
        <w:ind w:firstLine="420" w:firstLineChars="200"/>
        <w:rPr>
          <w:rFonts w:ascii="宋体" w:hAnsi="宋体"/>
          <w:szCs w:val="21"/>
          <w:highlight w:val="none"/>
        </w:rPr>
      </w:pPr>
      <w:r>
        <w:rPr>
          <w:rFonts w:hint="eastAsia" w:ascii="宋体" w:hAnsi="宋体"/>
          <w:szCs w:val="21"/>
          <w:highlight w:val="none"/>
        </w:rPr>
        <w:t>本投标人郑重声明，根据《财政部司法部关于政府采购支持监狱企业发展有关问题的通知》（财库〔</w:t>
      </w:r>
      <w:r>
        <w:rPr>
          <w:rFonts w:ascii="宋体" w:hAnsi="宋体"/>
          <w:szCs w:val="21"/>
          <w:highlight w:val="none"/>
        </w:rPr>
        <w:t>2014</w:t>
      </w:r>
      <w:r>
        <w:rPr>
          <w:rFonts w:hint="eastAsia" w:ascii="宋体" w:hAnsi="宋体"/>
          <w:szCs w:val="21"/>
          <w:highlight w:val="none"/>
        </w:rPr>
        <w:t>〕</w:t>
      </w:r>
      <w:r>
        <w:rPr>
          <w:rFonts w:ascii="宋体" w:hAnsi="宋体"/>
          <w:szCs w:val="21"/>
          <w:highlight w:val="none"/>
        </w:rPr>
        <w:t>68</w:t>
      </w:r>
      <w:r>
        <w:rPr>
          <w:rFonts w:hint="eastAsia" w:ascii="宋体" w:hAnsi="宋体"/>
          <w:szCs w:val="21"/>
          <w:highlight w:val="none"/>
        </w:rPr>
        <w:t>号）的规定，本投标人</w:t>
      </w:r>
      <w:r>
        <w:rPr>
          <w:rFonts w:ascii="宋体" w:hAnsi="宋体"/>
          <w:szCs w:val="21"/>
          <w:highlight w:val="none"/>
        </w:rPr>
        <w:t>参加</w:t>
      </w:r>
      <w:r>
        <w:rPr>
          <w:rFonts w:hint="eastAsia" w:ascii="宋体" w:hAnsi="宋体"/>
          <w:b/>
          <w:bCs/>
          <w:szCs w:val="21"/>
          <w:highlight w:val="none"/>
          <w:u w:val="single"/>
        </w:rPr>
        <w:t>深圳市龙华区教育局</w:t>
      </w:r>
      <w:r>
        <w:rPr>
          <w:rFonts w:ascii="宋体" w:hAnsi="宋体"/>
          <w:szCs w:val="21"/>
          <w:highlight w:val="none"/>
        </w:rPr>
        <w:t>的</w:t>
      </w:r>
      <w:r>
        <w:rPr>
          <w:rFonts w:hint="eastAsia" w:ascii="宋体" w:hAnsi="宋体"/>
          <w:b/>
          <w:bCs/>
          <w:szCs w:val="21"/>
          <w:highlight w:val="none"/>
          <w:u w:val="single"/>
        </w:rPr>
        <w:t>2025年区教育城域网cernet教育网出口带宽租用项目</w:t>
      </w:r>
      <w:r>
        <w:rPr>
          <w:rFonts w:ascii="宋体" w:hAnsi="宋体"/>
          <w:szCs w:val="21"/>
          <w:highlight w:val="none"/>
        </w:rPr>
        <w:t>采购活动，</w:t>
      </w:r>
      <w:r>
        <w:rPr>
          <w:rFonts w:hint="eastAsia" w:ascii="宋体" w:hAnsi="宋体"/>
          <w:szCs w:val="21"/>
          <w:highlight w:val="none"/>
        </w:rPr>
        <w:t>服务</w:t>
      </w:r>
      <w:r>
        <w:rPr>
          <w:rFonts w:ascii="宋体" w:hAnsi="宋体"/>
          <w:szCs w:val="21"/>
          <w:highlight w:val="none"/>
        </w:rPr>
        <w:t>全部由符合政策要求的</w:t>
      </w:r>
      <w:r>
        <w:rPr>
          <w:rFonts w:hint="eastAsia" w:ascii="宋体" w:hAnsi="宋体"/>
          <w:szCs w:val="21"/>
          <w:highlight w:val="none"/>
        </w:rPr>
        <w:t>监狱企业承接</w:t>
      </w:r>
      <w:r>
        <w:rPr>
          <w:rFonts w:ascii="宋体" w:hAnsi="宋体"/>
          <w:szCs w:val="21"/>
          <w:highlight w:val="none"/>
        </w:rPr>
        <w:t>。相关</w:t>
      </w:r>
      <w:r>
        <w:rPr>
          <w:rFonts w:hint="eastAsia" w:ascii="宋体" w:hAnsi="宋体"/>
          <w:szCs w:val="21"/>
          <w:highlight w:val="none"/>
        </w:rPr>
        <w:t>监狱企业</w:t>
      </w:r>
      <w:r>
        <w:rPr>
          <w:rFonts w:ascii="宋体" w:hAnsi="宋体"/>
          <w:szCs w:val="21"/>
          <w:highlight w:val="none"/>
        </w:rPr>
        <w:t>的具体情况如下：</w:t>
      </w:r>
    </w:p>
    <w:p>
      <w:pPr>
        <w:ind w:firstLine="420" w:firstLineChars="200"/>
        <w:rPr>
          <w:rFonts w:ascii="宋体" w:hAnsi="宋体"/>
          <w:szCs w:val="21"/>
          <w:highlight w:val="none"/>
        </w:rPr>
      </w:pPr>
      <w:r>
        <w:rPr>
          <w:rFonts w:ascii="宋体" w:hAnsi="宋体"/>
          <w:szCs w:val="21"/>
          <w:highlight w:val="none"/>
        </w:rPr>
        <w:t>1.</w:t>
      </w:r>
      <w:r>
        <w:rPr>
          <w:rFonts w:ascii="宋体" w:hAnsi="宋体"/>
          <w:b/>
          <w:bCs/>
          <w:szCs w:val="21"/>
          <w:highlight w:val="none"/>
          <w:u w:val="single"/>
        </w:rPr>
        <w:t xml:space="preserve"> </w:t>
      </w:r>
      <w:r>
        <w:rPr>
          <w:rFonts w:ascii="宋体" w:hAnsi="宋体"/>
          <w:b/>
          <w:bCs/>
          <w:i/>
          <w:iCs/>
          <w:szCs w:val="21"/>
          <w:highlight w:val="none"/>
          <w:u w:val="single"/>
        </w:rPr>
        <w:t>（标的名称</w:t>
      </w:r>
      <w:r>
        <w:rPr>
          <w:rFonts w:ascii="宋体" w:hAnsi="宋体"/>
          <w:b/>
          <w:bCs/>
          <w:szCs w:val="21"/>
          <w:highlight w:val="none"/>
          <w:u w:val="single"/>
        </w:rPr>
        <w:t>）</w:t>
      </w:r>
      <w:r>
        <w:rPr>
          <w:rFonts w:ascii="宋体" w:hAnsi="宋体"/>
          <w:szCs w:val="21"/>
          <w:highlight w:val="none"/>
        </w:rPr>
        <w:t xml:space="preserve"> </w:t>
      </w:r>
      <w:r>
        <w:rPr>
          <w:rFonts w:hint="eastAsia" w:ascii="宋体" w:hAnsi="宋体"/>
          <w:szCs w:val="21"/>
          <w:highlight w:val="none"/>
        </w:rPr>
        <w:t>，承接单位</w:t>
      </w:r>
      <w:r>
        <w:rPr>
          <w:rFonts w:ascii="宋体" w:hAnsi="宋体"/>
          <w:szCs w:val="21"/>
          <w:highlight w:val="none"/>
        </w:rPr>
        <w:t>为</w:t>
      </w:r>
      <w:r>
        <w:rPr>
          <w:rFonts w:ascii="宋体" w:hAnsi="宋体"/>
          <w:b/>
          <w:bCs/>
          <w:i/>
          <w:iCs/>
          <w:szCs w:val="21"/>
          <w:highlight w:val="none"/>
          <w:u w:val="single"/>
        </w:rPr>
        <w:t>（</w:t>
      </w:r>
      <w:r>
        <w:rPr>
          <w:rFonts w:hint="eastAsia" w:ascii="宋体" w:hAnsi="宋体"/>
          <w:b/>
          <w:bCs/>
          <w:i/>
          <w:iCs/>
          <w:szCs w:val="21"/>
          <w:highlight w:val="none"/>
          <w:u w:val="single"/>
        </w:rPr>
        <w:t>企业</w:t>
      </w:r>
      <w:r>
        <w:rPr>
          <w:rFonts w:ascii="宋体" w:hAnsi="宋体"/>
          <w:b/>
          <w:bCs/>
          <w:i/>
          <w:iCs/>
          <w:szCs w:val="21"/>
          <w:highlight w:val="none"/>
          <w:u w:val="single"/>
        </w:rPr>
        <w:t>名称）</w:t>
      </w:r>
      <w:r>
        <w:rPr>
          <w:rFonts w:ascii="宋体" w:hAnsi="宋体"/>
          <w:szCs w:val="21"/>
          <w:highlight w:val="none"/>
        </w:rPr>
        <w:t>，属于</w:t>
      </w:r>
      <w:r>
        <w:rPr>
          <w:rFonts w:hint="eastAsia" w:ascii="宋体" w:hAnsi="宋体"/>
          <w:b/>
          <w:bCs/>
          <w:i/>
          <w:iCs/>
          <w:szCs w:val="21"/>
          <w:highlight w:val="none"/>
          <w:u w:val="single"/>
        </w:rPr>
        <w:t>监狱企业</w:t>
      </w:r>
      <w:r>
        <w:rPr>
          <w:rFonts w:ascii="宋体" w:hAnsi="宋体"/>
          <w:szCs w:val="21"/>
          <w:highlight w:val="none"/>
        </w:rPr>
        <w:t>；</w:t>
      </w:r>
    </w:p>
    <w:p>
      <w:pPr>
        <w:ind w:firstLine="420" w:firstLineChars="200"/>
        <w:rPr>
          <w:rFonts w:ascii="宋体" w:hAnsi="宋体"/>
          <w:szCs w:val="21"/>
          <w:highlight w:val="none"/>
        </w:rPr>
      </w:pPr>
      <w:r>
        <w:rPr>
          <w:rFonts w:ascii="宋体" w:hAnsi="宋体"/>
          <w:szCs w:val="21"/>
          <w:highlight w:val="none"/>
        </w:rPr>
        <w:t>2.</w:t>
      </w:r>
      <w:r>
        <w:rPr>
          <w:rFonts w:ascii="宋体" w:hAnsi="宋体"/>
          <w:b/>
          <w:bCs/>
          <w:szCs w:val="21"/>
          <w:highlight w:val="none"/>
          <w:u w:val="single"/>
        </w:rPr>
        <w:t xml:space="preserve"> </w:t>
      </w:r>
      <w:r>
        <w:rPr>
          <w:rFonts w:ascii="宋体" w:hAnsi="宋体"/>
          <w:b/>
          <w:bCs/>
          <w:i/>
          <w:iCs/>
          <w:szCs w:val="21"/>
          <w:highlight w:val="none"/>
          <w:u w:val="single"/>
        </w:rPr>
        <w:t>（标的名称）</w:t>
      </w:r>
      <w:r>
        <w:rPr>
          <w:rFonts w:ascii="宋体" w:hAnsi="宋体"/>
          <w:i/>
          <w:iCs/>
          <w:szCs w:val="21"/>
          <w:highlight w:val="none"/>
        </w:rPr>
        <w:t xml:space="preserve"> </w:t>
      </w:r>
      <w:r>
        <w:rPr>
          <w:rFonts w:hint="eastAsia" w:ascii="宋体" w:hAnsi="宋体"/>
          <w:szCs w:val="21"/>
          <w:highlight w:val="none"/>
        </w:rPr>
        <w:t>，承接单位</w:t>
      </w:r>
      <w:r>
        <w:rPr>
          <w:rFonts w:ascii="宋体" w:hAnsi="宋体"/>
          <w:szCs w:val="21"/>
          <w:highlight w:val="none"/>
        </w:rPr>
        <w:t>为</w:t>
      </w:r>
      <w:r>
        <w:rPr>
          <w:rFonts w:ascii="宋体" w:hAnsi="宋体"/>
          <w:b/>
          <w:bCs/>
          <w:i/>
          <w:iCs/>
          <w:szCs w:val="21"/>
          <w:highlight w:val="none"/>
          <w:u w:val="single"/>
        </w:rPr>
        <w:t>（</w:t>
      </w:r>
      <w:r>
        <w:rPr>
          <w:rFonts w:hint="eastAsia" w:ascii="宋体" w:hAnsi="宋体"/>
          <w:b/>
          <w:bCs/>
          <w:i/>
          <w:iCs/>
          <w:szCs w:val="21"/>
          <w:highlight w:val="none"/>
          <w:u w:val="single"/>
        </w:rPr>
        <w:t>企业</w:t>
      </w:r>
      <w:r>
        <w:rPr>
          <w:rFonts w:ascii="宋体" w:hAnsi="宋体"/>
          <w:b/>
          <w:bCs/>
          <w:i/>
          <w:iCs/>
          <w:szCs w:val="21"/>
          <w:highlight w:val="none"/>
          <w:u w:val="single"/>
        </w:rPr>
        <w:t>名称）</w:t>
      </w:r>
      <w:r>
        <w:rPr>
          <w:rFonts w:ascii="宋体" w:hAnsi="宋体"/>
          <w:szCs w:val="21"/>
          <w:highlight w:val="none"/>
        </w:rPr>
        <w:t>，属于</w:t>
      </w:r>
      <w:r>
        <w:rPr>
          <w:rFonts w:hint="eastAsia" w:ascii="宋体" w:hAnsi="宋体"/>
          <w:b/>
          <w:bCs/>
          <w:i/>
          <w:iCs/>
          <w:szCs w:val="21"/>
          <w:highlight w:val="none"/>
          <w:u w:val="single"/>
        </w:rPr>
        <w:t>监狱企业</w:t>
      </w:r>
      <w:r>
        <w:rPr>
          <w:rFonts w:hint="eastAsia" w:ascii="宋体" w:hAnsi="宋体"/>
          <w:szCs w:val="21"/>
          <w:highlight w:val="none"/>
        </w:rPr>
        <w:t>。</w:t>
      </w:r>
    </w:p>
    <w:p>
      <w:pPr>
        <w:ind w:firstLine="420" w:firstLineChars="200"/>
        <w:outlineLvl w:val="3"/>
        <w:rPr>
          <w:rFonts w:ascii="宋体" w:hAnsi="宋体"/>
          <w:szCs w:val="21"/>
          <w:highlight w:val="none"/>
        </w:rPr>
      </w:pPr>
      <w:r>
        <w:rPr>
          <w:rFonts w:ascii="宋体" w:hAnsi="宋体"/>
          <w:szCs w:val="21"/>
          <w:highlight w:val="none"/>
        </w:rPr>
        <w:t xml:space="preserve">…… </w:t>
      </w:r>
    </w:p>
    <w:p>
      <w:pPr>
        <w:ind w:firstLine="420" w:firstLineChars="200"/>
        <w:rPr>
          <w:rFonts w:ascii="宋体" w:hAnsi="宋体"/>
          <w:szCs w:val="21"/>
          <w:highlight w:val="none"/>
        </w:rPr>
      </w:pPr>
      <w:r>
        <w:rPr>
          <w:rFonts w:ascii="宋体" w:hAnsi="宋体"/>
          <w:szCs w:val="21"/>
          <w:highlight w:val="none"/>
        </w:rPr>
        <w:t>本</w:t>
      </w:r>
      <w:r>
        <w:rPr>
          <w:rFonts w:hint="eastAsia" w:ascii="宋体" w:hAnsi="宋体"/>
          <w:szCs w:val="21"/>
          <w:highlight w:val="none"/>
        </w:rPr>
        <w:t>投标人</w:t>
      </w:r>
      <w:r>
        <w:rPr>
          <w:rFonts w:ascii="宋体" w:hAnsi="宋体"/>
          <w:szCs w:val="21"/>
          <w:highlight w:val="none"/>
        </w:rPr>
        <w:t>对上述声明内容的真实性负责。如有虚假，将依法承担相应责任。</w:t>
      </w:r>
    </w:p>
    <w:p>
      <w:pPr>
        <w:rPr>
          <w:rFonts w:ascii="宋体" w:hAnsi="宋体" w:eastAsia="宋体" w:cs="Times New Roman"/>
          <w:b/>
          <w:bCs/>
          <w:kern w:val="0"/>
          <w:sz w:val="24"/>
          <w:szCs w:val="20"/>
          <w:highlight w:val="none"/>
        </w:rPr>
      </w:pPr>
      <w:r>
        <w:rPr>
          <w:rFonts w:hint="eastAsia" w:ascii="宋体" w:hAnsi="宋体"/>
          <w:szCs w:val="21"/>
          <w:highlight w:val="none"/>
        </w:rPr>
        <w:t>附：省级以上监狱管理局、戒毒管理局（含新疆生产建设兵团）出具的监狱企业证明文件。</w:t>
      </w:r>
      <w:r>
        <w:rPr>
          <w:rFonts w:hint="eastAsia" w:ascii="宋体" w:hAnsi="宋体" w:eastAsia="宋体" w:cs="Times New Roman"/>
          <w:b/>
          <w:bCs/>
          <w:kern w:val="0"/>
          <w:sz w:val="24"/>
          <w:szCs w:val="20"/>
          <w:highlight w:val="none"/>
        </w:rPr>
        <w:br w:type="page"/>
      </w:r>
    </w:p>
    <w:p>
      <w:pPr>
        <w:pStyle w:val="6"/>
        <w:jc w:val="center"/>
        <w:rPr>
          <w:rFonts w:ascii="黑体" w:eastAsia="黑体"/>
          <w:b w:val="0"/>
          <w:sz w:val="24"/>
          <w:szCs w:val="24"/>
          <w:highlight w:val="none"/>
        </w:rPr>
      </w:pPr>
      <w:r>
        <w:rPr>
          <w:rFonts w:hint="eastAsia" w:ascii="黑体" w:eastAsia="黑体"/>
          <w:b w:val="0"/>
          <w:sz w:val="24"/>
          <w:szCs w:val="24"/>
          <w:highlight w:val="none"/>
        </w:rPr>
        <w:t>四、项目详细报价</w:t>
      </w:r>
    </w:p>
    <w:p>
      <w:pPr>
        <w:tabs>
          <w:tab w:val="left" w:pos="720"/>
        </w:tabs>
        <w:ind w:firstLine="3132" w:firstLineChars="1300"/>
        <w:rPr>
          <w:b/>
          <w:sz w:val="24"/>
          <w:highlight w:val="none"/>
        </w:rPr>
      </w:pPr>
      <w:r>
        <w:rPr>
          <w:rFonts w:hint="eastAsia"/>
          <w:b/>
          <w:sz w:val="24"/>
          <w:highlight w:val="none"/>
        </w:rPr>
        <w:t>（一）分项报价表</w:t>
      </w:r>
    </w:p>
    <w:tbl>
      <w:tblPr>
        <w:tblStyle w:val="20"/>
        <w:tblW w:w="8613" w:type="dxa"/>
        <w:tblInd w:w="0" w:type="dxa"/>
        <w:tblLayout w:type="fixed"/>
        <w:tblCellMar>
          <w:top w:w="0" w:type="dxa"/>
          <w:left w:w="108" w:type="dxa"/>
          <w:bottom w:w="0" w:type="dxa"/>
          <w:right w:w="108" w:type="dxa"/>
        </w:tblCellMar>
      </w:tblPr>
      <w:tblGrid>
        <w:gridCol w:w="618"/>
        <w:gridCol w:w="4168"/>
        <w:gridCol w:w="1559"/>
        <w:gridCol w:w="2268"/>
      </w:tblGrid>
      <w:tr>
        <w:tblPrEx>
          <w:tblCellMar>
            <w:top w:w="0" w:type="dxa"/>
            <w:left w:w="108" w:type="dxa"/>
            <w:bottom w:w="0" w:type="dxa"/>
            <w:right w:w="108" w:type="dxa"/>
          </w:tblCellMar>
        </w:tblPrEx>
        <w:trPr>
          <w:trHeight w:val="285" w:hRule="atLeast"/>
        </w:trPr>
        <w:tc>
          <w:tcPr>
            <w:tcW w:w="618" w:type="dxa"/>
            <w:tcBorders>
              <w:top w:val="single" w:color="auto" w:sz="8" w:space="0"/>
              <w:left w:val="single" w:color="auto" w:sz="8" w:space="0"/>
              <w:bottom w:val="single" w:color="auto" w:sz="4" w:space="0"/>
              <w:right w:val="single" w:color="auto" w:sz="4" w:space="0"/>
            </w:tcBorders>
            <w:shd w:val="clear" w:color="000000" w:fill="E7E6E6"/>
            <w:vAlign w:val="center"/>
          </w:tcPr>
          <w:p>
            <w:pPr>
              <w:widowControl/>
              <w:jc w:val="center"/>
              <w:rPr>
                <w:rFonts w:ascii="宋体" w:hAnsi="宋体" w:cs="宋体"/>
                <w:b/>
                <w:bCs/>
                <w:kern w:val="0"/>
                <w:sz w:val="20"/>
                <w:szCs w:val="20"/>
                <w:highlight w:val="none"/>
              </w:rPr>
            </w:pPr>
            <w:r>
              <w:rPr>
                <w:rFonts w:hint="eastAsia" w:ascii="宋体" w:hAnsi="宋体" w:cs="宋体"/>
                <w:b/>
                <w:bCs/>
                <w:kern w:val="0"/>
                <w:sz w:val="20"/>
                <w:szCs w:val="20"/>
                <w:highlight w:val="none"/>
              </w:rPr>
              <w:t>序号</w:t>
            </w:r>
          </w:p>
        </w:tc>
        <w:tc>
          <w:tcPr>
            <w:tcW w:w="4168" w:type="dxa"/>
            <w:tcBorders>
              <w:top w:val="single" w:color="auto" w:sz="8" w:space="0"/>
              <w:left w:val="nil"/>
              <w:bottom w:val="single" w:color="auto" w:sz="4" w:space="0"/>
              <w:right w:val="single" w:color="auto" w:sz="4" w:space="0"/>
            </w:tcBorders>
            <w:shd w:val="clear" w:color="000000" w:fill="E7E6E6"/>
            <w:vAlign w:val="center"/>
          </w:tcPr>
          <w:p>
            <w:pPr>
              <w:widowControl/>
              <w:jc w:val="center"/>
              <w:rPr>
                <w:rFonts w:ascii="宋体" w:hAnsi="宋体" w:cs="宋体"/>
                <w:b/>
                <w:bCs/>
                <w:kern w:val="0"/>
                <w:sz w:val="20"/>
                <w:szCs w:val="20"/>
                <w:highlight w:val="none"/>
              </w:rPr>
            </w:pPr>
            <w:r>
              <w:rPr>
                <w:rFonts w:hint="eastAsia" w:ascii="宋体" w:hAnsi="宋体" w:cs="宋体"/>
                <w:b/>
                <w:bCs/>
                <w:kern w:val="0"/>
                <w:sz w:val="20"/>
                <w:szCs w:val="20"/>
                <w:highlight w:val="none"/>
              </w:rPr>
              <w:t>项目名称</w:t>
            </w:r>
          </w:p>
        </w:tc>
        <w:tc>
          <w:tcPr>
            <w:tcW w:w="1559" w:type="dxa"/>
            <w:tcBorders>
              <w:top w:val="single" w:color="auto" w:sz="8" w:space="0"/>
              <w:left w:val="nil"/>
              <w:bottom w:val="single" w:color="auto" w:sz="4" w:space="0"/>
              <w:right w:val="single" w:color="auto" w:sz="4" w:space="0"/>
            </w:tcBorders>
            <w:shd w:val="clear" w:color="000000" w:fill="E7E6E6"/>
            <w:vAlign w:val="center"/>
          </w:tcPr>
          <w:p>
            <w:pPr>
              <w:widowControl/>
              <w:jc w:val="center"/>
              <w:rPr>
                <w:rFonts w:ascii="宋体" w:hAnsi="宋体" w:cs="宋体"/>
                <w:b/>
                <w:bCs/>
                <w:kern w:val="0"/>
                <w:sz w:val="20"/>
                <w:szCs w:val="20"/>
                <w:highlight w:val="none"/>
              </w:rPr>
            </w:pPr>
            <w:r>
              <w:rPr>
                <w:rFonts w:hint="eastAsia" w:ascii="宋体" w:hAnsi="宋体" w:cs="宋体"/>
                <w:b/>
                <w:bCs/>
                <w:kern w:val="0"/>
                <w:sz w:val="20"/>
                <w:szCs w:val="20"/>
                <w:highlight w:val="none"/>
              </w:rPr>
              <w:t>金额（元）</w:t>
            </w:r>
          </w:p>
        </w:tc>
        <w:tc>
          <w:tcPr>
            <w:tcW w:w="2268" w:type="dxa"/>
            <w:tcBorders>
              <w:top w:val="single" w:color="auto" w:sz="8" w:space="0"/>
              <w:left w:val="nil"/>
              <w:bottom w:val="single" w:color="auto" w:sz="4" w:space="0"/>
              <w:right w:val="single" w:color="auto" w:sz="8" w:space="0"/>
            </w:tcBorders>
            <w:shd w:val="clear" w:color="000000" w:fill="E7E6E6"/>
            <w:vAlign w:val="center"/>
          </w:tcPr>
          <w:p>
            <w:pPr>
              <w:widowControl/>
              <w:jc w:val="center"/>
              <w:rPr>
                <w:rFonts w:ascii="宋体" w:hAnsi="宋体" w:cs="宋体"/>
                <w:b/>
                <w:bCs/>
                <w:kern w:val="0"/>
                <w:sz w:val="20"/>
                <w:szCs w:val="20"/>
                <w:highlight w:val="none"/>
              </w:rPr>
            </w:pPr>
            <w:r>
              <w:rPr>
                <w:rFonts w:hint="eastAsia" w:ascii="宋体" w:hAnsi="宋体" w:cs="宋体"/>
                <w:b/>
                <w:bCs/>
                <w:kern w:val="0"/>
                <w:sz w:val="20"/>
                <w:szCs w:val="20"/>
                <w:highlight w:val="none"/>
              </w:rPr>
              <w:t>说明（最高限价）</w:t>
            </w:r>
          </w:p>
        </w:tc>
      </w:tr>
      <w:tr>
        <w:tblPrEx>
          <w:tblCellMar>
            <w:top w:w="0" w:type="dxa"/>
            <w:left w:w="108" w:type="dxa"/>
            <w:bottom w:w="0" w:type="dxa"/>
            <w:right w:w="108" w:type="dxa"/>
          </w:tblCellMar>
        </w:tblPrEx>
        <w:trPr>
          <w:trHeight w:val="285" w:hRule="atLeast"/>
        </w:trPr>
        <w:tc>
          <w:tcPr>
            <w:tcW w:w="618"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1</w:t>
            </w:r>
          </w:p>
        </w:tc>
        <w:tc>
          <w:tcPr>
            <w:tcW w:w="41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2025年区教育城域网cernet教育网出口带宽租用项目</w:t>
            </w:r>
          </w:p>
        </w:tc>
        <w:tc>
          <w:tcPr>
            <w:tcW w:w="155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highlight w:val="none"/>
              </w:rPr>
            </w:pPr>
          </w:p>
        </w:tc>
        <w:tc>
          <w:tcPr>
            <w:tcW w:w="2268" w:type="dxa"/>
            <w:tcBorders>
              <w:top w:val="single" w:color="auto" w:sz="4" w:space="0"/>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986000.00</w:t>
            </w:r>
          </w:p>
        </w:tc>
      </w:tr>
      <w:tr>
        <w:tblPrEx>
          <w:tblCellMar>
            <w:top w:w="0" w:type="dxa"/>
            <w:left w:w="108" w:type="dxa"/>
            <w:bottom w:w="0" w:type="dxa"/>
            <w:right w:w="108" w:type="dxa"/>
          </w:tblCellMar>
        </w:tblPrEx>
        <w:trPr>
          <w:trHeight w:val="285" w:hRule="atLeast"/>
        </w:trPr>
        <w:tc>
          <w:tcPr>
            <w:tcW w:w="61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2</w:t>
            </w:r>
          </w:p>
        </w:tc>
        <w:tc>
          <w:tcPr>
            <w:tcW w:w="416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kern w:val="0"/>
                <w:sz w:val="20"/>
                <w:szCs w:val="20"/>
                <w:highlight w:val="none"/>
              </w:rPr>
            </w:pPr>
            <w:r>
              <w:rPr>
                <w:rFonts w:hint="eastAsia" w:ascii="宋体" w:hAnsi="宋体" w:cs="宋体"/>
                <w:b/>
                <w:bCs/>
                <w:kern w:val="0"/>
                <w:sz w:val="20"/>
                <w:szCs w:val="20"/>
                <w:highlight w:val="none"/>
              </w:rPr>
              <w:t>合计(元)</w:t>
            </w:r>
          </w:p>
        </w:tc>
        <w:tc>
          <w:tcPr>
            <w:tcW w:w="1559"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b/>
                <w:bCs/>
                <w:kern w:val="0"/>
                <w:sz w:val="20"/>
                <w:szCs w:val="20"/>
                <w:highlight w:val="none"/>
              </w:rPr>
            </w:pPr>
            <w:r>
              <w:rPr>
                <w:rFonts w:hint="eastAsia" w:ascii="宋体" w:hAnsi="宋体" w:cs="宋体"/>
                <w:b/>
                <w:bCs/>
                <w:kern w:val="0"/>
                <w:sz w:val="20"/>
                <w:szCs w:val="20"/>
                <w:highlight w:val="none"/>
              </w:rPr>
              <w:t>　</w:t>
            </w:r>
          </w:p>
        </w:tc>
        <w:tc>
          <w:tcPr>
            <w:tcW w:w="2268"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986000.00</w:t>
            </w:r>
          </w:p>
        </w:tc>
      </w:tr>
    </w:tbl>
    <w:p>
      <w:pPr>
        <w:pStyle w:val="2"/>
        <w:rPr>
          <w:highlight w:val="none"/>
        </w:rPr>
      </w:pPr>
    </w:p>
    <w:p>
      <w:pPr>
        <w:pStyle w:val="3"/>
        <w:rPr>
          <w:highlight w:val="none"/>
        </w:rPr>
      </w:pPr>
    </w:p>
    <w:p>
      <w:pPr>
        <w:tabs>
          <w:tab w:val="left" w:pos="720"/>
        </w:tabs>
        <w:jc w:val="center"/>
        <w:rPr>
          <w:rFonts w:ascii="Arial" w:hAnsi="Arial" w:eastAsia="宋体" w:cs="Times New Roman"/>
          <w:sz w:val="24"/>
          <w:szCs w:val="24"/>
          <w:highlight w:val="none"/>
        </w:rPr>
      </w:pPr>
      <w:r>
        <w:rPr>
          <w:rFonts w:hint="eastAsia"/>
          <w:b/>
          <w:sz w:val="24"/>
          <w:highlight w:val="none"/>
        </w:rPr>
        <w:t>（二）</w:t>
      </w:r>
      <w:bookmarkStart w:id="36" w:name="_Hlk72073235"/>
      <w:r>
        <w:rPr>
          <w:rFonts w:hint="eastAsia"/>
          <w:b/>
          <w:sz w:val="24"/>
          <w:highlight w:val="none"/>
        </w:rPr>
        <w:t>投标人认为需要涉及的其他内容报价清单</w:t>
      </w:r>
      <w:bookmarkEnd w:id="36"/>
    </w:p>
    <w:p>
      <w:pPr>
        <w:jc w:val="center"/>
        <w:rPr>
          <w:b/>
          <w:bCs/>
          <w:color w:val="FF0000"/>
          <w:sz w:val="24"/>
          <w:highlight w:val="none"/>
        </w:rPr>
      </w:pPr>
    </w:p>
    <w:p>
      <w:pPr>
        <w:jc w:val="center"/>
        <w:rPr>
          <w:rFonts w:ascii="宋体" w:hAnsi="宋体"/>
          <w:highlight w:val="none"/>
        </w:rPr>
      </w:pPr>
      <w:r>
        <w:rPr>
          <w:rFonts w:hint="eastAsia"/>
          <w:b/>
          <w:bCs/>
          <w:color w:val="FF0000"/>
          <w:sz w:val="24"/>
          <w:highlight w:val="none"/>
        </w:rPr>
        <w:t>★</w:t>
      </w:r>
      <w:r>
        <w:rPr>
          <w:rFonts w:hint="eastAsia" w:ascii="黑体" w:eastAsia="黑体"/>
          <w:sz w:val="24"/>
          <w:szCs w:val="24"/>
          <w:highlight w:val="none"/>
        </w:rPr>
        <w:t>五、</w:t>
      </w:r>
      <w:r>
        <w:rPr>
          <w:rFonts w:hint="eastAsia" w:ascii="黑体" w:hAnsi="宋体" w:eastAsia="黑体" w:cs="Times New Roman"/>
          <w:bCs/>
          <w:sz w:val="24"/>
          <w:szCs w:val="32"/>
          <w:highlight w:val="none"/>
        </w:rPr>
        <w:t>供应商基本情况表</w:t>
      </w:r>
    </w:p>
    <w:tbl>
      <w:tblPr>
        <w:tblStyle w:val="2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5"/>
        <w:gridCol w:w="1530"/>
        <w:gridCol w:w="904"/>
        <w:gridCol w:w="752"/>
        <w:gridCol w:w="1146"/>
        <w:gridCol w:w="1429"/>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pct"/>
            <w:gridSpan w:val="2"/>
            <w:vAlign w:val="center"/>
          </w:tcPr>
          <w:p>
            <w:pPr>
              <w:jc w:val="center"/>
              <w:rPr>
                <w:rFonts w:ascii="宋体" w:hAnsi="宋体" w:eastAsia="宋体" w:cs="宋体"/>
                <w:szCs w:val="21"/>
                <w:highlight w:val="none"/>
              </w:rPr>
            </w:pPr>
            <w:r>
              <w:rPr>
                <w:rFonts w:hint="eastAsia" w:ascii="宋体" w:hAnsi="宋体" w:eastAsia="宋体" w:cs="宋体"/>
                <w:szCs w:val="21"/>
                <w:highlight w:val="none"/>
              </w:rPr>
              <w:t>投标（响应）供应商</w:t>
            </w:r>
          </w:p>
        </w:tc>
        <w:tc>
          <w:tcPr>
            <w:tcW w:w="1427" w:type="pct"/>
            <w:gridSpan w:val="2"/>
            <w:vAlign w:val="center"/>
          </w:tcPr>
          <w:p>
            <w:pPr>
              <w:jc w:val="center"/>
              <w:rPr>
                <w:rFonts w:ascii="宋体" w:hAnsi="宋体" w:eastAsia="宋体" w:cs="宋体"/>
                <w:szCs w:val="21"/>
                <w:highlight w:val="none"/>
              </w:rPr>
            </w:pPr>
          </w:p>
        </w:tc>
        <w:tc>
          <w:tcPr>
            <w:tcW w:w="1113" w:type="pct"/>
            <w:gridSpan w:val="2"/>
            <w:vAlign w:val="center"/>
          </w:tcPr>
          <w:p>
            <w:pPr>
              <w:jc w:val="center"/>
              <w:rPr>
                <w:rFonts w:ascii="宋体" w:hAnsi="宋体" w:eastAsia="宋体" w:cs="宋体"/>
                <w:szCs w:val="21"/>
                <w:highlight w:val="none"/>
              </w:rPr>
            </w:pPr>
            <w:r>
              <w:rPr>
                <w:rFonts w:hint="eastAsia" w:ascii="宋体" w:hAnsi="宋体" w:eastAsia="宋体" w:cs="宋体"/>
                <w:szCs w:val="21"/>
                <w:highlight w:val="none"/>
              </w:rPr>
              <w:t>项目名称及编号</w:t>
            </w:r>
          </w:p>
        </w:tc>
        <w:tc>
          <w:tcPr>
            <w:tcW w:w="1669" w:type="pct"/>
            <w:gridSpan w:val="2"/>
            <w:vAlign w:val="center"/>
          </w:tcPr>
          <w:p>
            <w:pPr>
              <w:jc w:val="center"/>
              <w:rPr>
                <w:rFonts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pPr>
              <w:jc w:val="center"/>
              <w:rPr>
                <w:rFonts w:ascii="宋体" w:hAnsi="宋体" w:eastAsia="宋体" w:cs="宋体"/>
                <w:szCs w:val="21"/>
                <w:highlight w:val="none"/>
              </w:rPr>
            </w:pPr>
            <w:r>
              <w:rPr>
                <w:rFonts w:hint="eastAsia" w:ascii="宋体" w:hAnsi="宋体" w:eastAsia="宋体" w:cs="宋体"/>
                <w:b/>
                <w:bCs/>
                <w:szCs w:val="21"/>
                <w:highlight w:val="none"/>
              </w:rPr>
              <w:t>投标（响应）供应商相关人员情况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pPr>
              <w:snapToGrid w:val="0"/>
              <w:jc w:val="center"/>
              <w:rPr>
                <w:rFonts w:ascii="宋体" w:hAnsi="宋体" w:eastAsia="宋体" w:cs="宋体"/>
                <w:szCs w:val="21"/>
                <w:highlight w:val="none"/>
              </w:rPr>
            </w:pPr>
            <w:r>
              <w:rPr>
                <w:rFonts w:hint="eastAsia" w:ascii="宋体" w:hAnsi="宋体" w:eastAsia="宋体" w:cs="宋体"/>
                <w:szCs w:val="21"/>
                <w:highlight w:val="none"/>
              </w:rPr>
              <w:t>序号</w:t>
            </w:r>
          </w:p>
        </w:tc>
        <w:tc>
          <w:tcPr>
            <w:tcW w:w="1275" w:type="pct"/>
            <w:gridSpan w:val="2"/>
            <w:tcBorders>
              <w:bottom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职务</w:t>
            </w:r>
          </w:p>
        </w:tc>
        <w:tc>
          <w:tcPr>
            <w:tcW w:w="529" w:type="pct"/>
            <w:tcBorders>
              <w:bottom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姓名</w:t>
            </w:r>
          </w:p>
        </w:tc>
        <w:tc>
          <w:tcPr>
            <w:tcW w:w="1113" w:type="pct"/>
            <w:gridSpan w:val="2"/>
            <w:tcBorders>
              <w:bottom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身份证号码</w:t>
            </w:r>
          </w:p>
        </w:tc>
        <w:tc>
          <w:tcPr>
            <w:tcW w:w="838" w:type="pct"/>
            <w:tcBorders>
              <w:bottom w:val="single" w:color="auto" w:sz="4" w:space="0"/>
            </w:tcBorders>
            <w:vAlign w:val="center"/>
          </w:tcPr>
          <w:p>
            <w:pPr>
              <w:snapToGrid w:val="0"/>
              <w:jc w:val="center"/>
              <w:rPr>
                <w:rFonts w:ascii="宋体" w:hAnsi="宋体" w:eastAsia="宋体" w:cs="宋体"/>
                <w:szCs w:val="21"/>
                <w:highlight w:val="none"/>
              </w:rPr>
            </w:pPr>
            <w:r>
              <w:rPr>
                <w:rFonts w:hint="eastAsia" w:ascii="宋体" w:hAnsi="宋体" w:eastAsia="宋体" w:cs="宋体"/>
                <w:szCs w:val="21"/>
                <w:highlight w:val="none"/>
              </w:rPr>
              <w:t>劳动合同</w:t>
            </w:r>
          </w:p>
          <w:p>
            <w:pPr>
              <w:snapToGrid w:val="0"/>
              <w:jc w:val="center"/>
              <w:rPr>
                <w:rFonts w:ascii="宋体" w:hAnsi="宋体" w:eastAsia="宋体" w:cs="宋体"/>
                <w:szCs w:val="21"/>
                <w:highlight w:val="none"/>
              </w:rPr>
            </w:pPr>
            <w:r>
              <w:rPr>
                <w:rFonts w:hint="eastAsia" w:ascii="宋体" w:hAnsi="宋体" w:eastAsia="宋体" w:cs="宋体"/>
                <w:szCs w:val="21"/>
                <w:highlight w:val="none"/>
              </w:rPr>
              <w:t>关系单位</w:t>
            </w:r>
          </w:p>
        </w:tc>
        <w:tc>
          <w:tcPr>
            <w:tcW w:w="830" w:type="pct"/>
            <w:tcBorders>
              <w:bottom w:val="single" w:color="auto" w:sz="4" w:space="0"/>
            </w:tcBorders>
            <w:vAlign w:val="center"/>
          </w:tcPr>
          <w:p>
            <w:pPr>
              <w:snapToGrid w:val="0"/>
              <w:jc w:val="center"/>
              <w:rPr>
                <w:rFonts w:ascii="宋体" w:hAnsi="宋体" w:eastAsia="宋体" w:cs="宋体"/>
                <w:szCs w:val="21"/>
                <w:highlight w:val="none"/>
              </w:rPr>
            </w:pPr>
            <w:r>
              <w:rPr>
                <w:rFonts w:hint="eastAsia" w:ascii="宋体" w:hAnsi="宋体" w:eastAsia="宋体" w:cs="宋体"/>
                <w:szCs w:val="21"/>
                <w:highlight w:val="none"/>
              </w:rPr>
              <w:t>缴纳社会</w:t>
            </w:r>
          </w:p>
          <w:p>
            <w:pPr>
              <w:snapToGrid w:val="0"/>
              <w:jc w:val="center"/>
              <w:rPr>
                <w:rFonts w:ascii="宋体" w:hAnsi="宋体" w:eastAsia="宋体" w:cs="宋体"/>
                <w:szCs w:val="21"/>
                <w:highlight w:val="none"/>
              </w:rPr>
            </w:pPr>
            <w:r>
              <w:rPr>
                <w:rFonts w:hint="eastAsia" w:ascii="宋体" w:hAnsi="宋体" w:eastAsia="宋体" w:cs="宋体"/>
                <w:szCs w:val="21"/>
                <w:highlight w:val="none"/>
              </w:rPr>
              <w:t>保险单位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eastAsia="宋体" w:cs="宋体"/>
                <w:szCs w:val="21"/>
                <w:highlight w:val="none"/>
              </w:rPr>
            </w:pPr>
            <w:r>
              <w:rPr>
                <w:rFonts w:hint="eastAsia" w:ascii="宋体" w:hAnsi="宋体" w:eastAsia="宋体" w:cs="宋体"/>
                <w:szCs w:val="21"/>
                <w:highlight w:val="none"/>
              </w:rPr>
              <w:t>法定代表人/单位负责人/主要经营负责人</w:t>
            </w:r>
          </w:p>
        </w:tc>
        <w:tc>
          <w:tcPr>
            <w:tcW w:w="52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c>
          <w:tcPr>
            <w:tcW w:w="83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c>
          <w:tcPr>
            <w:tcW w:w="83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项目投标授权代表人</w:t>
            </w:r>
          </w:p>
        </w:tc>
        <w:tc>
          <w:tcPr>
            <w:tcW w:w="52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c>
          <w:tcPr>
            <w:tcW w:w="83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c>
          <w:tcPr>
            <w:tcW w:w="83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lang w:bidi="ar"/>
              </w:rPr>
              <w:t>3</w:t>
            </w:r>
          </w:p>
        </w:tc>
        <w:tc>
          <w:tcPr>
            <w:tcW w:w="1275" w:type="pct"/>
            <w:gridSpan w:val="2"/>
            <w:tcBorders>
              <w:top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项目负责人</w:t>
            </w:r>
          </w:p>
        </w:tc>
        <w:tc>
          <w:tcPr>
            <w:tcW w:w="529" w:type="pct"/>
            <w:tcBorders>
              <w:top w:val="single" w:color="auto" w:sz="4" w:space="0"/>
            </w:tcBorders>
            <w:vAlign w:val="center"/>
          </w:tcPr>
          <w:p>
            <w:pPr>
              <w:jc w:val="center"/>
              <w:rPr>
                <w:rFonts w:ascii="宋体" w:hAnsi="宋体" w:eastAsia="宋体" w:cs="宋体"/>
                <w:szCs w:val="21"/>
                <w:highlight w:val="none"/>
              </w:rPr>
            </w:pPr>
          </w:p>
        </w:tc>
        <w:tc>
          <w:tcPr>
            <w:tcW w:w="1113" w:type="pct"/>
            <w:gridSpan w:val="2"/>
            <w:tcBorders>
              <w:top w:val="single" w:color="auto" w:sz="4" w:space="0"/>
            </w:tcBorders>
            <w:vAlign w:val="center"/>
          </w:tcPr>
          <w:p>
            <w:pPr>
              <w:jc w:val="center"/>
              <w:rPr>
                <w:rFonts w:ascii="宋体" w:hAnsi="宋体" w:eastAsia="宋体" w:cs="宋体"/>
                <w:szCs w:val="21"/>
                <w:highlight w:val="none"/>
              </w:rPr>
            </w:pPr>
          </w:p>
        </w:tc>
        <w:tc>
          <w:tcPr>
            <w:tcW w:w="838" w:type="pct"/>
            <w:tcBorders>
              <w:top w:val="single" w:color="auto" w:sz="4" w:space="0"/>
            </w:tcBorders>
            <w:vAlign w:val="center"/>
          </w:tcPr>
          <w:p>
            <w:pPr>
              <w:jc w:val="center"/>
              <w:rPr>
                <w:rFonts w:ascii="宋体" w:hAnsi="宋体" w:eastAsia="宋体" w:cs="宋体"/>
                <w:szCs w:val="21"/>
                <w:highlight w:val="none"/>
              </w:rPr>
            </w:pPr>
          </w:p>
        </w:tc>
        <w:tc>
          <w:tcPr>
            <w:tcW w:w="830" w:type="pct"/>
            <w:tcBorders>
              <w:top w:val="single" w:color="auto" w:sz="4" w:space="0"/>
            </w:tcBorders>
            <w:vAlign w:val="center"/>
          </w:tcPr>
          <w:p>
            <w:pPr>
              <w:jc w:val="center"/>
              <w:rPr>
                <w:rFonts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pPr>
              <w:jc w:val="center"/>
              <w:rPr>
                <w:rFonts w:ascii="宋体" w:hAnsi="宋体" w:eastAsia="宋体" w:cs="宋体"/>
                <w:szCs w:val="21"/>
                <w:highlight w:val="none"/>
              </w:rPr>
            </w:pPr>
            <w:r>
              <w:rPr>
                <w:rFonts w:hint="eastAsia" w:ascii="宋体" w:hAnsi="宋体" w:eastAsia="宋体" w:cs="宋体"/>
                <w:szCs w:val="21"/>
                <w:highlight w:val="none"/>
                <w:lang w:bidi="ar"/>
              </w:rPr>
              <w:t>4</w:t>
            </w:r>
          </w:p>
        </w:tc>
        <w:tc>
          <w:tcPr>
            <w:tcW w:w="1275" w:type="pct"/>
            <w:gridSpan w:val="2"/>
            <w:vAlign w:val="center"/>
          </w:tcPr>
          <w:p>
            <w:pPr>
              <w:jc w:val="center"/>
              <w:rPr>
                <w:rFonts w:ascii="宋体" w:hAnsi="宋体" w:eastAsia="宋体" w:cs="宋体"/>
                <w:szCs w:val="21"/>
                <w:highlight w:val="none"/>
              </w:rPr>
            </w:pPr>
            <w:r>
              <w:rPr>
                <w:rFonts w:hint="eastAsia" w:ascii="宋体" w:hAnsi="宋体" w:eastAsia="宋体" w:cs="宋体"/>
                <w:szCs w:val="21"/>
                <w:highlight w:val="none"/>
              </w:rPr>
              <w:t>主要技术人员</w:t>
            </w:r>
          </w:p>
        </w:tc>
        <w:tc>
          <w:tcPr>
            <w:tcW w:w="529" w:type="pct"/>
            <w:vAlign w:val="center"/>
          </w:tcPr>
          <w:p>
            <w:pPr>
              <w:jc w:val="center"/>
              <w:rPr>
                <w:rFonts w:ascii="宋体" w:hAnsi="宋体" w:eastAsia="宋体" w:cs="宋体"/>
                <w:szCs w:val="21"/>
                <w:highlight w:val="none"/>
              </w:rPr>
            </w:pPr>
          </w:p>
        </w:tc>
        <w:tc>
          <w:tcPr>
            <w:tcW w:w="1113" w:type="pct"/>
            <w:gridSpan w:val="2"/>
            <w:vAlign w:val="center"/>
          </w:tcPr>
          <w:p>
            <w:pPr>
              <w:jc w:val="center"/>
              <w:rPr>
                <w:rFonts w:ascii="宋体" w:hAnsi="宋体" w:eastAsia="宋体" w:cs="宋体"/>
                <w:szCs w:val="21"/>
                <w:highlight w:val="none"/>
              </w:rPr>
            </w:pPr>
          </w:p>
        </w:tc>
        <w:tc>
          <w:tcPr>
            <w:tcW w:w="838" w:type="pct"/>
            <w:vAlign w:val="center"/>
          </w:tcPr>
          <w:p>
            <w:pPr>
              <w:jc w:val="center"/>
              <w:rPr>
                <w:rFonts w:ascii="宋体" w:hAnsi="宋体" w:eastAsia="宋体" w:cs="宋体"/>
                <w:szCs w:val="21"/>
                <w:highlight w:val="none"/>
              </w:rPr>
            </w:pPr>
          </w:p>
        </w:tc>
        <w:tc>
          <w:tcPr>
            <w:tcW w:w="830" w:type="pct"/>
            <w:vAlign w:val="center"/>
          </w:tcPr>
          <w:p>
            <w:pPr>
              <w:jc w:val="center"/>
              <w:rPr>
                <w:rFonts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pPr>
              <w:jc w:val="center"/>
              <w:rPr>
                <w:rFonts w:ascii="宋体" w:hAnsi="宋体" w:eastAsia="宋体" w:cs="宋体"/>
                <w:szCs w:val="21"/>
                <w:highlight w:val="none"/>
              </w:rPr>
            </w:pPr>
            <w:r>
              <w:rPr>
                <w:rFonts w:hint="eastAsia" w:ascii="宋体" w:hAnsi="宋体" w:eastAsia="宋体" w:cs="宋体"/>
                <w:szCs w:val="21"/>
                <w:highlight w:val="none"/>
                <w:lang w:bidi="ar"/>
              </w:rPr>
              <w:t>5</w:t>
            </w:r>
          </w:p>
        </w:tc>
        <w:tc>
          <w:tcPr>
            <w:tcW w:w="1275" w:type="pct"/>
            <w:gridSpan w:val="2"/>
            <w:vAlign w:val="center"/>
          </w:tcPr>
          <w:p>
            <w:pPr>
              <w:snapToGrid w:val="0"/>
              <w:jc w:val="center"/>
              <w:rPr>
                <w:rFonts w:ascii="宋体" w:hAnsi="宋体" w:eastAsia="宋体" w:cs="宋体"/>
                <w:szCs w:val="21"/>
                <w:highlight w:val="none"/>
              </w:rPr>
            </w:pPr>
            <w:r>
              <w:rPr>
                <w:rFonts w:hint="eastAsia" w:ascii="宋体" w:hAnsi="宋体" w:eastAsia="宋体" w:cs="宋体"/>
                <w:szCs w:val="21"/>
                <w:highlight w:val="none"/>
              </w:rPr>
              <w:t>投标文件编制人员</w:t>
            </w:r>
          </w:p>
        </w:tc>
        <w:tc>
          <w:tcPr>
            <w:tcW w:w="529" w:type="pct"/>
            <w:vAlign w:val="center"/>
          </w:tcPr>
          <w:p>
            <w:pPr>
              <w:jc w:val="center"/>
              <w:rPr>
                <w:rFonts w:ascii="宋体" w:hAnsi="宋体" w:eastAsia="宋体" w:cs="宋体"/>
                <w:szCs w:val="21"/>
                <w:highlight w:val="none"/>
              </w:rPr>
            </w:pPr>
          </w:p>
        </w:tc>
        <w:tc>
          <w:tcPr>
            <w:tcW w:w="1113" w:type="pct"/>
            <w:gridSpan w:val="2"/>
            <w:vAlign w:val="center"/>
          </w:tcPr>
          <w:p>
            <w:pPr>
              <w:jc w:val="center"/>
              <w:rPr>
                <w:rFonts w:ascii="宋体" w:hAnsi="宋体" w:eastAsia="宋体" w:cs="宋体"/>
                <w:szCs w:val="21"/>
                <w:highlight w:val="none"/>
              </w:rPr>
            </w:pPr>
          </w:p>
        </w:tc>
        <w:tc>
          <w:tcPr>
            <w:tcW w:w="838" w:type="pct"/>
            <w:vAlign w:val="center"/>
          </w:tcPr>
          <w:p>
            <w:pPr>
              <w:jc w:val="center"/>
              <w:rPr>
                <w:rFonts w:ascii="宋体" w:hAnsi="宋体" w:eastAsia="宋体" w:cs="宋体"/>
                <w:szCs w:val="21"/>
                <w:highlight w:val="none"/>
              </w:rPr>
            </w:pPr>
          </w:p>
        </w:tc>
        <w:tc>
          <w:tcPr>
            <w:tcW w:w="830" w:type="pct"/>
            <w:vAlign w:val="center"/>
          </w:tcPr>
          <w:p>
            <w:pPr>
              <w:jc w:val="center"/>
              <w:rPr>
                <w:rFonts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pPr>
              <w:jc w:val="left"/>
              <w:rPr>
                <w:rFonts w:ascii="宋体" w:hAnsi="宋体" w:eastAsia="宋体" w:cs="宋体"/>
                <w:szCs w:val="21"/>
                <w:highlight w:val="none"/>
              </w:rPr>
            </w:pPr>
            <w:r>
              <w:rPr>
                <w:rFonts w:hint="eastAsia" w:ascii="宋体" w:hAnsi="宋体" w:eastAsia="宋体" w:cs="宋体"/>
                <w:b/>
                <w:bCs/>
                <w:szCs w:val="21"/>
                <w:highlight w:val="none"/>
              </w:rPr>
              <w:t>说明：同一职务有多人担任（如主要技术人员），应分行填写。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vAlign w:val="center"/>
          </w:tcPr>
          <w:p>
            <w:pPr>
              <w:jc w:val="center"/>
              <w:rPr>
                <w:rFonts w:ascii="宋体" w:hAnsi="宋体" w:eastAsia="宋体" w:cs="宋体"/>
                <w:b/>
                <w:bCs/>
                <w:szCs w:val="21"/>
                <w:highlight w:val="none"/>
              </w:rPr>
            </w:pPr>
            <w:r>
              <w:rPr>
                <w:rFonts w:hint="eastAsia" w:ascii="宋体" w:hAnsi="宋体" w:eastAsia="宋体" w:cs="宋体"/>
                <w:b/>
                <w:bCs/>
                <w:szCs w:val="21"/>
                <w:highlight w:val="none"/>
              </w:rPr>
              <w:t>投标（响应）供应商关联关系情况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pPr>
              <w:jc w:val="center"/>
              <w:rPr>
                <w:rFonts w:ascii="宋体" w:hAnsi="宋体" w:eastAsia="宋体" w:cs="宋体"/>
                <w:szCs w:val="21"/>
                <w:highlight w:val="none"/>
                <w:lang w:bidi="ar"/>
              </w:rPr>
            </w:pPr>
            <w:r>
              <w:rPr>
                <w:rFonts w:hint="eastAsia" w:ascii="宋体" w:hAnsi="宋体" w:eastAsia="宋体" w:cs="宋体"/>
                <w:szCs w:val="21"/>
                <w:highlight w:val="none"/>
                <w:lang w:bidi="ar"/>
              </w:rPr>
              <w:t>序号</w:t>
            </w:r>
          </w:p>
        </w:tc>
        <w:tc>
          <w:tcPr>
            <w:tcW w:w="1275" w:type="pct"/>
            <w:gridSpan w:val="2"/>
            <w:tcBorders>
              <w:bottom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关联关系类型</w:t>
            </w:r>
          </w:p>
        </w:tc>
        <w:tc>
          <w:tcPr>
            <w:tcW w:w="971" w:type="pct"/>
            <w:gridSpan w:val="2"/>
            <w:tcBorders>
              <w:bottom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关联主体名称</w:t>
            </w:r>
          </w:p>
        </w:tc>
        <w:tc>
          <w:tcPr>
            <w:tcW w:w="2340" w:type="pct"/>
            <w:gridSpan w:val="3"/>
            <w:tcBorders>
              <w:bottom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lang w:bidi="ar"/>
              </w:rPr>
            </w:pPr>
            <w:r>
              <w:rPr>
                <w:rFonts w:hint="eastAsia" w:ascii="宋体" w:hAnsi="宋体" w:eastAsia="宋体" w:cs="宋体"/>
                <w:szCs w:val="21"/>
                <w:highlight w:val="none"/>
                <w:lang w:bidi="ar"/>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控股股东</w:t>
            </w:r>
          </w:p>
        </w:tc>
        <w:tc>
          <w:tcPr>
            <w:tcW w:w="97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hAnsi="宋体" w:eastAsia="宋体" w:cs="宋体"/>
                <w:szCs w:val="21"/>
                <w:highlight w:val="none"/>
              </w:rPr>
            </w:pPr>
            <w:r>
              <w:rPr>
                <w:rFonts w:hint="eastAsia" w:ascii="宋体" w:hAnsi="宋体" w:eastAsia="宋体" w:cs="宋体"/>
                <w:szCs w:val="21"/>
                <w:highlight w:val="none"/>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lang w:bidi="ar"/>
              </w:rPr>
            </w:pPr>
            <w:r>
              <w:rPr>
                <w:rFonts w:hint="eastAsia" w:ascii="宋体" w:hAnsi="宋体" w:eastAsia="宋体" w:cs="宋体"/>
                <w:szCs w:val="21"/>
                <w:highlight w:val="none"/>
                <w:lang w:bidi="ar"/>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r>
              <w:rPr>
                <w:rFonts w:hint="eastAsia" w:ascii="宋体" w:hAnsi="宋体" w:eastAsia="宋体" w:cs="宋体"/>
                <w:szCs w:val="21"/>
                <w:highlight w:val="none"/>
              </w:rPr>
              <w:t>管理关系</w:t>
            </w:r>
          </w:p>
        </w:tc>
        <w:tc>
          <w:tcPr>
            <w:tcW w:w="97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highlight w:val="none"/>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hAnsi="宋体" w:eastAsia="宋体" w:cs="宋体"/>
                <w:szCs w:val="21"/>
                <w:highlight w:val="none"/>
              </w:rPr>
            </w:pPr>
            <w:r>
              <w:rPr>
                <w:rFonts w:hint="eastAsia" w:ascii="宋体" w:hAnsi="宋体" w:eastAsia="宋体" w:cs="宋体"/>
                <w:szCs w:val="21"/>
                <w:highlight w:val="none"/>
              </w:rPr>
              <w:t>指对投标（响应）供应商不具有出资持股关系，但对其存在管理关系的主体。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napToGrid w:val="0"/>
              <w:jc w:val="left"/>
              <w:rPr>
                <w:rFonts w:ascii="宋体" w:hAnsi="宋体" w:eastAsia="宋体" w:cs="宋体"/>
                <w:b/>
                <w:bCs/>
                <w:color w:val="FF0000"/>
                <w:szCs w:val="21"/>
                <w:highlight w:val="none"/>
              </w:rPr>
            </w:pPr>
            <w:r>
              <w:rPr>
                <w:rFonts w:ascii="宋体" w:hAnsi="宋体" w:eastAsia="宋体" w:cs="宋体"/>
                <w:b/>
                <w:bCs/>
                <w:color w:val="FF0000"/>
                <w:szCs w:val="21"/>
                <w:highlight w:val="none"/>
              </w:rPr>
              <w:t>说明：1.同一关联关系类型有多个主体的，应分行填写。</w:t>
            </w:r>
          </w:p>
          <w:p>
            <w:pPr>
              <w:snapToGrid w:val="0"/>
              <w:jc w:val="left"/>
              <w:rPr>
                <w:rFonts w:ascii="宋体" w:hAnsi="宋体" w:eastAsia="宋体" w:cs="宋体"/>
                <w:szCs w:val="21"/>
                <w:highlight w:val="none"/>
              </w:rPr>
            </w:pPr>
            <w:r>
              <w:rPr>
                <w:rFonts w:ascii="宋体" w:hAnsi="宋体" w:eastAsia="宋体" w:cs="宋体"/>
                <w:b/>
                <w:bCs/>
                <w:color w:val="FF0000"/>
                <w:szCs w:val="21"/>
                <w:highlight w:val="none"/>
              </w:rPr>
              <w:t>2.《供应商基本情况表》为必填内容，若存在异常且不符合要求的供应商资格性审查将不予通过，作投标无效处理。</w:t>
            </w:r>
          </w:p>
        </w:tc>
      </w:tr>
    </w:tbl>
    <w:p>
      <w:pPr>
        <w:rPr>
          <w:rFonts w:ascii="宋体" w:hAnsi="宋体"/>
          <w:highlight w:val="none"/>
        </w:rPr>
      </w:pPr>
    </w:p>
    <w:p>
      <w:pPr>
        <w:pStyle w:val="2"/>
        <w:rPr>
          <w:rFonts w:ascii="宋体" w:hAnsi="宋体"/>
          <w:highlight w:val="none"/>
        </w:rPr>
      </w:pPr>
    </w:p>
    <w:p>
      <w:pPr>
        <w:pStyle w:val="3"/>
        <w:rPr>
          <w:highlight w:val="none"/>
        </w:rPr>
      </w:pPr>
    </w:p>
    <w:p>
      <w:pPr>
        <w:numPr>
          <w:ilvl w:val="0"/>
          <w:numId w:val="4"/>
        </w:numPr>
        <w:spacing w:line="400" w:lineRule="exact"/>
        <w:jc w:val="center"/>
        <w:rPr>
          <w:rFonts w:ascii="Arial" w:hAnsi="Arial" w:eastAsia="宋体" w:cs="Times New Roman"/>
          <w:b/>
          <w:sz w:val="24"/>
          <w:szCs w:val="24"/>
          <w:highlight w:val="none"/>
        </w:rPr>
      </w:pPr>
      <w:r>
        <w:rPr>
          <w:rFonts w:hint="eastAsia" w:ascii="Arial" w:hAnsi="Arial" w:eastAsia="宋体" w:cs="Times New Roman"/>
          <w:b/>
          <w:sz w:val="24"/>
          <w:szCs w:val="24"/>
          <w:highlight w:val="none"/>
        </w:rPr>
        <w:t>投标人通过相关认证情况</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spacing w:line="400" w:lineRule="exact"/>
        <w:jc w:val="center"/>
        <w:rPr>
          <w:rFonts w:ascii="Arial" w:hAnsi="Arial" w:eastAsia="宋体" w:cs="Times New Roman"/>
          <w:b/>
          <w:sz w:val="24"/>
          <w:szCs w:val="24"/>
          <w:highlight w:val="none"/>
        </w:rPr>
      </w:pPr>
      <w:r>
        <w:rPr>
          <w:rFonts w:hint="eastAsia" w:ascii="Arial" w:hAnsi="Arial" w:eastAsia="宋体" w:cs="Times New Roman"/>
          <w:b/>
          <w:sz w:val="24"/>
          <w:szCs w:val="24"/>
          <w:highlight w:val="none"/>
        </w:rPr>
        <w:t>七、项目拟使用的车辆（场地、工具、机器）情况</w:t>
      </w:r>
    </w:p>
    <w:p>
      <w:pPr>
        <w:widowControl/>
        <w:jc w:val="center"/>
        <w:rPr>
          <w:rFonts w:ascii="Verdana" w:hAnsi="Verdana" w:eastAsia="仿宋_GB2312"/>
          <w:color w:val="FF0000"/>
          <w:sz w:val="24"/>
          <w:szCs w:val="24"/>
          <w:highlight w:val="none"/>
        </w:rPr>
      </w:pPr>
      <w:r>
        <w:rPr>
          <w:rFonts w:hint="eastAsia" w:ascii="Verdana" w:hAnsi="Verdana" w:eastAsia="仿宋_GB2312"/>
          <w:color w:val="FF0000"/>
          <w:sz w:val="24"/>
          <w:szCs w:val="24"/>
          <w:highlight w:val="none"/>
        </w:rPr>
        <w:t>（根据评分细则的要求提供，格式自拟）</w:t>
      </w:r>
    </w:p>
    <w:p>
      <w:pPr>
        <w:widowControl/>
        <w:jc w:val="center"/>
        <w:rPr>
          <w:rFonts w:ascii="Arial" w:hAnsi="Arial" w:eastAsia="宋体" w:cs="Times New Roman"/>
          <w:b/>
          <w:sz w:val="24"/>
          <w:szCs w:val="24"/>
          <w:highlight w:val="none"/>
        </w:rPr>
      </w:pPr>
      <w:r>
        <w:rPr>
          <w:rFonts w:hint="eastAsia" w:ascii="Arial" w:hAnsi="Arial" w:eastAsia="宋体" w:cs="Times New Roman"/>
          <w:b/>
          <w:sz w:val="24"/>
          <w:szCs w:val="24"/>
          <w:highlight w:val="none"/>
        </w:rPr>
        <w:t>八、服务网点</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widowControl/>
        <w:jc w:val="center"/>
        <w:rPr>
          <w:rFonts w:ascii="Arial" w:hAnsi="Arial" w:eastAsia="宋体" w:cs="Times New Roman"/>
          <w:b/>
          <w:sz w:val="24"/>
          <w:szCs w:val="24"/>
          <w:highlight w:val="none"/>
        </w:rPr>
      </w:pPr>
      <w:r>
        <w:rPr>
          <w:rFonts w:hint="eastAsia" w:ascii="Arial" w:hAnsi="Arial" w:eastAsia="宋体" w:cs="Times New Roman"/>
          <w:b/>
          <w:sz w:val="24"/>
          <w:szCs w:val="24"/>
          <w:highlight w:val="none"/>
        </w:rPr>
        <w:t>九、投标人自主知识产权产品（创新、设计）情况</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rPr>
          <w:highlight w:val="none"/>
        </w:rPr>
      </w:pPr>
    </w:p>
    <w:p>
      <w:pPr>
        <w:widowControl/>
        <w:jc w:val="center"/>
        <w:rPr>
          <w:rFonts w:ascii="Arial" w:hAnsi="Arial" w:eastAsia="宋体" w:cs="Times New Roman"/>
          <w:b/>
          <w:sz w:val="24"/>
          <w:szCs w:val="24"/>
          <w:highlight w:val="none"/>
        </w:rPr>
      </w:pPr>
      <w:r>
        <w:rPr>
          <w:rFonts w:hint="eastAsia" w:ascii="Arial" w:hAnsi="Arial" w:eastAsia="宋体" w:cs="Times New Roman"/>
          <w:b/>
          <w:sz w:val="24"/>
          <w:szCs w:val="24"/>
          <w:highlight w:val="none"/>
        </w:rPr>
        <w:t>十、同类项目业绩</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widowControl/>
        <w:jc w:val="center"/>
        <w:rPr>
          <w:rFonts w:hint="eastAsia" w:ascii="Arial" w:hAnsi="Arial" w:eastAsia="宋体" w:cs="Times New Roman"/>
          <w:b/>
          <w:sz w:val="24"/>
          <w:szCs w:val="24"/>
          <w:highlight w:val="none"/>
          <w:lang w:eastAsia="zh-CN"/>
        </w:rPr>
      </w:pPr>
      <w:r>
        <w:rPr>
          <w:rFonts w:hint="eastAsia" w:ascii="Arial" w:hAnsi="Arial" w:eastAsia="宋体" w:cs="Times New Roman"/>
          <w:b/>
          <w:sz w:val="24"/>
          <w:szCs w:val="24"/>
          <w:highlight w:val="none"/>
          <w:lang w:eastAsia="zh-CN"/>
        </w:rPr>
        <w:t>十一、</w:t>
      </w:r>
      <w:r>
        <w:rPr>
          <w:rFonts w:hint="eastAsia" w:ascii="Arial" w:hAnsi="Arial" w:eastAsia="宋体" w:cs="Times New Roman"/>
          <w:b/>
          <w:sz w:val="24"/>
          <w:szCs w:val="24"/>
          <w:highlight w:val="none"/>
        </w:rPr>
        <w:t>履约评价情况</w:t>
      </w:r>
    </w:p>
    <w:p>
      <w:pPr>
        <w:widowControl/>
        <w:jc w:val="center"/>
        <w:rPr>
          <w:rFonts w:ascii="Arial" w:hAnsi="Arial" w:eastAsia="宋体" w:cs="Times New Roman"/>
          <w:b/>
          <w:color w:val="FF0000"/>
          <w:sz w:val="32"/>
          <w:szCs w:val="32"/>
          <w:highlight w:val="none"/>
        </w:rPr>
      </w:pPr>
      <w:r>
        <w:rPr>
          <w:rFonts w:hint="eastAsia" w:ascii="Verdana" w:hAnsi="Verdana" w:eastAsia="仿宋_GB2312"/>
          <w:color w:val="FF0000"/>
          <w:sz w:val="24"/>
          <w:szCs w:val="24"/>
          <w:highlight w:val="none"/>
        </w:rPr>
        <w:t>（根据评分细则的要求提供，格式自拟）</w:t>
      </w:r>
    </w:p>
    <w:p>
      <w:pPr>
        <w:pStyle w:val="4"/>
        <w:spacing w:after="60"/>
        <w:rPr>
          <w:highlight w:val="none"/>
        </w:rPr>
      </w:pPr>
    </w:p>
    <w:p>
      <w:pPr>
        <w:spacing w:after="60" w:afterLines="25" w:line="300" w:lineRule="auto"/>
        <w:outlineLvl w:val="2"/>
        <w:rPr>
          <w:rFonts w:ascii="Arial" w:hAnsi="Arial" w:eastAsia="宋体" w:cs="Times New Roman"/>
          <w:b/>
          <w:color w:val="FF0000"/>
          <w:sz w:val="32"/>
          <w:szCs w:val="32"/>
          <w:highlight w:val="none"/>
        </w:rPr>
      </w:pPr>
      <w:r>
        <w:rPr>
          <w:rFonts w:hint="eastAsia" w:ascii="Arial" w:hAnsi="Arial" w:eastAsia="宋体" w:cs="Times New Roman"/>
          <w:b/>
          <w:color w:val="FF0000"/>
          <w:sz w:val="32"/>
          <w:szCs w:val="32"/>
          <w:highlight w:val="none"/>
        </w:rPr>
        <w:t>（二）投标文件附件</w:t>
      </w:r>
    </w:p>
    <w:p>
      <w:pPr>
        <w:pStyle w:val="6"/>
        <w:jc w:val="center"/>
        <w:rPr>
          <w:rFonts w:ascii="黑体" w:eastAsia="黑体"/>
          <w:b w:val="0"/>
          <w:sz w:val="24"/>
          <w:highlight w:val="none"/>
        </w:rPr>
      </w:pPr>
      <w:r>
        <w:rPr>
          <w:rFonts w:hint="eastAsia" w:ascii="黑体" w:eastAsia="黑体"/>
          <w:b w:val="0"/>
          <w:sz w:val="24"/>
          <w:highlight w:val="none"/>
        </w:rPr>
        <w:t>一、</w:t>
      </w:r>
      <w:bookmarkStart w:id="37" w:name="_Hlk72092499"/>
      <w:r>
        <w:rPr>
          <w:rFonts w:hint="eastAsia" w:ascii="黑体" w:eastAsia="黑体"/>
          <w:b w:val="0"/>
          <w:sz w:val="24"/>
          <w:highlight w:val="none"/>
        </w:rPr>
        <w:t>法定代表人（负责人）证明书</w:t>
      </w:r>
      <w:bookmarkEnd w:id="37"/>
    </w:p>
    <w:p>
      <w:pPr>
        <w:rPr>
          <w:sz w:val="24"/>
          <w:highlight w:val="none"/>
        </w:rPr>
      </w:pPr>
    </w:p>
    <w:p>
      <w:pPr>
        <w:spacing w:line="360" w:lineRule="auto"/>
        <w:ind w:firstLine="420" w:firstLineChars="200"/>
        <w:rPr>
          <w:rFonts w:eastAsia="宋体"/>
          <w:szCs w:val="21"/>
          <w:highlight w:val="none"/>
        </w:rPr>
      </w:pPr>
      <w:r>
        <w:rPr>
          <w:rFonts w:hint="eastAsia"/>
          <w:szCs w:val="21"/>
          <w:highlight w:val="none"/>
          <w:u w:val="single"/>
        </w:rPr>
        <w:t xml:space="preserve">         </w:t>
      </w:r>
      <w:r>
        <w:rPr>
          <w:rFonts w:hint="eastAsia" w:ascii="Times New Roman" w:eastAsia="宋体"/>
          <w:szCs w:val="21"/>
          <w:highlight w:val="none"/>
          <w:u w:val="single"/>
        </w:rPr>
        <w:t xml:space="preserve">  </w:t>
      </w:r>
      <w:r>
        <w:rPr>
          <w:rFonts w:hint="eastAsia"/>
          <w:szCs w:val="21"/>
          <w:highlight w:val="none"/>
          <w:u w:val="single"/>
        </w:rPr>
        <w:t xml:space="preserve">   </w:t>
      </w:r>
      <w:r>
        <w:rPr>
          <w:rFonts w:hint="eastAsia" w:ascii="Times New Roman" w:eastAsia="宋体"/>
          <w:szCs w:val="21"/>
          <w:highlight w:val="none"/>
          <w:u w:val="single"/>
        </w:rPr>
        <w:t xml:space="preserve">   </w:t>
      </w:r>
      <w:r>
        <w:rPr>
          <w:rFonts w:hint="eastAsia" w:eastAsia="宋体"/>
          <w:szCs w:val="21"/>
          <w:highlight w:val="none"/>
        </w:rPr>
        <w:t>（</w:t>
      </w:r>
      <w:r>
        <w:rPr>
          <w:rFonts w:hint="eastAsia" w:ascii="Times New Roman" w:eastAsia="宋体"/>
          <w:szCs w:val="21"/>
          <w:highlight w:val="none"/>
        </w:rPr>
        <w:t>姓名</w:t>
      </w:r>
      <w:r>
        <w:rPr>
          <w:rFonts w:hint="eastAsia" w:eastAsia="宋体"/>
          <w:szCs w:val="21"/>
          <w:highlight w:val="none"/>
        </w:rPr>
        <w:t>）</w:t>
      </w:r>
      <w:r>
        <w:rPr>
          <w:rFonts w:hint="eastAsia"/>
          <w:szCs w:val="21"/>
          <w:highlight w:val="none"/>
        </w:rPr>
        <w:t>，现任我单位</w:t>
      </w:r>
      <w:r>
        <w:rPr>
          <w:rFonts w:hint="eastAsia"/>
          <w:szCs w:val="21"/>
          <w:highlight w:val="none"/>
          <w:u w:val="single"/>
        </w:rPr>
        <w:t xml:space="preserve">     </w:t>
      </w:r>
      <w:r>
        <w:rPr>
          <w:rFonts w:hint="eastAsia" w:ascii="Times New Roman" w:eastAsia="宋体"/>
          <w:szCs w:val="21"/>
          <w:highlight w:val="none"/>
          <w:u w:val="single"/>
        </w:rPr>
        <w:t xml:space="preserve">    </w:t>
      </w:r>
      <w:r>
        <w:rPr>
          <w:rFonts w:hint="eastAsia"/>
          <w:szCs w:val="21"/>
          <w:highlight w:val="none"/>
          <w:u w:val="single"/>
        </w:rPr>
        <w:t xml:space="preserve">    </w:t>
      </w:r>
      <w:r>
        <w:rPr>
          <w:rFonts w:hint="eastAsia"/>
          <w:szCs w:val="21"/>
          <w:highlight w:val="none"/>
        </w:rPr>
        <w:t>职务，为法定代表人（负责人），</w:t>
      </w:r>
      <w:r>
        <w:rPr>
          <w:rFonts w:hint="eastAsia" w:ascii="Times New Roman" w:eastAsia="宋体"/>
          <w:szCs w:val="21"/>
          <w:highlight w:val="none"/>
        </w:rPr>
        <w:t>身份证件</w:t>
      </w:r>
      <w:r>
        <w:rPr>
          <w:rFonts w:hint="eastAsia"/>
          <w:szCs w:val="21"/>
          <w:highlight w:val="none"/>
        </w:rPr>
        <w:t>号</w:t>
      </w:r>
      <w:r>
        <w:rPr>
          <w:rFonts w:hint="eastAsia" w:ascii="Times New Roman" w:eastAsia="宋体"/>
          <w:szCs w:val="21"/>
          <w:highlight w:val="none"/>
        </w:rPr>
        <w:t>为</w:t>
      </w:r>
      <w:r>
        <w:rPr>
          <w:rFonts w:hint="eastAsia"/>
          <w:szCs w:val="21"/>
          <w:highlight w:val="none"/>
        </w:rPr>
        <w:t>：</w:t>
      </w:r>
      <w:r>
        <w:rPr>
          <w:rFonts w:hint="eastAsia"/>
          <w:szCs w:val="21"/>
          <w:highlight w:val="none"/>
          <w:u w:val="single"/>
        </w:rPr>
        <w:t xml:space="preserve">                                     </w:t>
      </w:r>
      <w:r>
        <w:rPr>
          <w:rFonts w:hint="eastAsia" w:eastAsia="宋体"/>
          <w:szCs w:val="21"/>
          <w:highlight w:val="none"/>
        </w:rPr>
        <w:t>，</w:t>
      </w:r>
      <w:r>
        <w:rPr>
          <w:rFonts w:hint="eastAsia"/>
          <w:szCs w:val="21"/>
          <w:highlight w:val="none"/>
        </w:rPr>
        <w:t>联系电话：</w:t>
      </w:r>
      <w:r>
        <w:rPr>
          <w:rFonts w:hint="eastAsia" w:ascii="Times New Roman" w:eastAsia="宋体"/>
          <w:szCs w:val="21"/>
          <w:highlight w:val="none"/>
          <w:u w:val="single"/>
        </w:rPr>
        <w:t xml:space="preserve">                </w:t>
      </w:r>
      <w:r>
        <w:rPr>
          <w:rFonts w:hint="eastAsia" w:ascii="Times New Roman" w:eastAsia="宋体"/>
          <w:szCs w:val="21"/>
          <w:highlight w:val="none"/>
        </w:rPr>
        <w:t>。</w:t>
      </w:r>
    </w:p>
    <w:p>
      <w:pPr>
        <w:spacing w:line="360" w:lineRule="auto"/>
        <w:ind w:firstLine="420" w:firstLineChars="200"/>
        <w:rPr>
          <w:szCs w:val="21"/>
          <w:highlight w:val="none"/>
        </w:rPr>
      </w:pPr>
      <w:r>
        <w:rPr>
          <w:rFonts w:hint="eastAsia"/>
          <w:szCs w:val="21"/>
          <w:highlight w:val="none"/>
        </w:rPr>
        <w:t>特此证明。</w:t>
      </w:r>
    </w:p>
    <w:p>
      <w:pPr>
        <w:spacing w:line="360" w:lineRule="auto"/>
        <w:ind w:firstLine="420" w:firstLineChars="200"/>
        <w:rPr>
          <w:szCs w:val="21"/>
          <w:highlight w:val="none"/>
        </w:rPr>
      </w:pPr>
      <w:r>
        <w:rPr>
          <w:rFonts w:hint="eastAsia"/>
          <w:szCs w:val="21"/>
          <w:highlight w:val="none"/>
        </w:rPr>
        <w:t>说明：1、法定代表人为投标人（企业事业单位、国家机关、社会团体）的主要行政负责人。</w:t>
      </w:r>
    </w:p>
    <w:p>
      <w:pPr>
        <w:numPr>
          <w:ilvl w:val="0"/>
          <w:numId w:val="5"/>
        </w:numPr>
        <w:spacing w:line="360" w:lineRule="auto"/>
        <w:ind w:firstLine="420" w:firstLineChars="200"/>
        <w:rPr>
          <w:szCs w:val="21"/>
          <w:highlight w:val="none"/>
        </w:rPr>
      </w:pPr>
      <w:r>
        <w:rPr>
          <w:rFonts w:hint="eastAsia" w:eastAsia="宋体"/>
          <w:szCs w:val="21"/>
          <w:highlight w:val="none"/>
          <w:lang w:eastAsia="zh-Hans"/>
        </w:rPr>
        <w:t>本证明书要供法定代表人（负责人）</w:t>
      </w:r>
      <w:r>
        <w:rPr>
          <w:rFonts w:hint="eastAsia" w:ascii="Times New Roman" w:eastAsia="宋体"/>
          <w:szCs w:val="21"/>
          <w:highlight w:val="none"/>
        </w:rPr>
        <w:t>相关身份证明文件：身份证扫描件（正反两面）；港澳台居民可提供来往通行证扫描件；非中国国籍管辖范围人员，可提供公安部门认可的身份证明材料扫描件。</w:t>
      </w:r>
    </w:p>
    <w:p>
      <w:pPr>
        <w:numPr>
          <w:ilvl w:val="0"/>
          <w:numId w:val="5"/>
        </w:numPr>
        <w:spacing w:line="360" w:lineRule="auto"/>
        <w:ind w:firstLine="420" w:firstLineChars="200"/>
        <w:rPr>
          <w:szCs w:val="21"/>
          <w:highlight w:val="none"/>
        </w:rPr>
      </w:pPr>
      <w:r>
        <w:rPr>
          <w:rFonts w:hint="eastAsia" w:eastAsia="宋体"/>
          <w:szCs w:val="21"/>
          <w:highlight w:val="none"/>
          <w:lang w:eastAsia="zh-Hans"/>
        </w:rPr>
        <w:t>本项目投标授权代表为法定代表人（负责人）的，无需提供</w:t>
      </w:r>
      <w:r>
        <w:rPr>
          <w:rFonts w:hint="eastAsia"/>
          <w:szCs w:val="21"/>
          <w:highlight w:val="none"/>
        </w:rPr>
        <w:t>《投标文件签署授权委托书》</w:t>
      </w:r>
      <w:r>
        <w:rPr>
          <w:rFonts w:hint="eastAsia" w:eastAsia="宋体"/>
          <w:szCs w:val="21"/>
          <w:highlight w:val="none"/>
          <w:lang w:eastAsia="zh-Hans"/>
        </w:rPr>
        <w:t>。</w:t>
      </w:r>
    </w:p>
    <w:p>
      <w:pPr>
        <w:numPr>
          <w:ilvl w:val="0"/>
          <w:numId w:val="5"/>
        </w:numPr>
        <w:spacing w:line="360" w:lineRule="auto"/>
        <w:ind w:firstLine="420" w:firstLineChars="200"/>
        <w:rPr>
          <w:szCs w:val="21"/>
          <w:highlight w:val="none"/>
        </w:rPr>
      </w:pPr>
      <w:r>
        <w:rPr>
          <w:rFonts w:hint="eastAsia"/>
          <w:szCs w:val="21"/>
          <w:highlight w:val="none"/>
        </w:rPr>
        <w:t>内容必须填写真实、清楚，涂改无效，不得转让、买卖。</w:t>
      </w:r>
    </w:p>
    <w:tbl>
      <w:tblPr>
        <w:tblStyle w:val="21"/>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jc w:val="center"/>
              <w:rPr>
                <w:highlight w:val="none"/>
              </w:rPr>
            </w:pPr>
            <w:r>
              <w:rPr>
                <w:rFonts w:hint="eastAsia" w:ascii="Times New Roman" w:eastAsia="宋体"/>
                <w:highlight w:val="none"/>
              </w:rPr>
              <w:t>证件扫描件正面</w:t>
            </w:r>
          </w:p>
          <w:p>
            <w:pPr>
              <w:pStyle w:val="2"/>
              <w:jc w:val="center"/>
              <w:rPr>
                <w:highlight w:val="none"/>
              </w:rPr>
            </w:pPr>
          </w:p>
          <w:p>
            <w:pPr>
              <w:pStyle w:val="3"/>
              <w:jc w:val="center"/>
              <w:rPr>
                <w:highlight w:val="none"/>
              </w:rPr>
            </w:pPr>
          </w:p>
        </w:tc>
        <w:tc>
          <w:tcPr>
            <w:tcW w:w="4265" w:type="dxa"/>
          </w:tcPr>
          <w:p>
            <w:pPr>
              <w:jc w:val="center"/>
              <w:rPr>
                <w:highlight w:val="none"/>
              </w:rPr>
            </w:pPr>
            <w:r>
              <w:rPr>
                <w:rFonts w:hint="eastAsia" w:ascii="Times New Roman" w:eastAsia="宋体"/>
                <w:highlight w:val="none"/>
              </w:rPr>
              <w:t>证件扫描件反面</w:t>
            </w:r>
          </w:p>
          <w:p>
            <w:pPr>
              <w:pStyle w:val="2"/>
              <w:jc w:val="center"/>
              <w:rPr>
                <w:highlight w:val="none"/>
              </w:rPr>
            </w:pPr>
          </w:p>
          <w:p>
            <w:pPr>
              <w:pStyle w:val="3"/>
              <w:jc w:val="center"/>
              <w:rPr>
                <w:highlight w:val="none"/>
              </w:rPr>
            </w:pPr>
          </w:p>
        </w:tc>
      </w:tr>
    </w:tbl>
    <w:p>
      <w:pPr>
        <w:rPr>
          <w:sz w:val="24"/>
          <w:highlight w:val="none"/>
        </w:rPr>
      </w:pPr>
      <w:r>
        <w:rPr>
          <w:rFonts w:hint="eastAsia"/>
          <w:b/>
          <w:bCs/>
          <w:color w:val="FF0000"/>
          <w:szCs w:val="21"/>
          <w:highlight w:val="none"/>
        </w:rPr>
        <w:t>温馨提示：为避免出现《深圳经济特区政府采购条例实施细则》第七十五条第二项所列情形，请投标供应商核实你单位法定代表人、本项目投标授权代表人、项目负责人（如有）、主要技术人员（如有）等是否在贵公司缴纳社会保险。</w:t>
      </w:r>
    </w:p>
    <w:p>
      <w:pPr>
        <w:pStyle w:val="6"/>
        <w:spacing w:before="120" w:after="120"/>
        <w:jc w:val="center"/>
        <w:rPr>
          <w:rFonts w:ascii="黑体" w:eastAsia="黑体"/>
          <w:b w:val="0"/>
          <w:sz w:val="24"/>
          <w:highlight w:val="none"/>
        </w:rPr>
      </w:pPr>
    </w:p>
    <w:p>
      <w:pPr>
        <w:pStyle w:val="6"/>
        <w:spacing w:before="120" w:after="120"/>
        <w:jc w:val="center"/>
        <w:rPr>
          <w:rFonts w:ascii="黑体" w:eastAsia="黑体"/>
          <w:b w:val="0"/>
          <w:sz w:val="24"/>
          <w:highlight w:val="none"/>
        </w:rPr>
      </w:pPr>
      <w:r>
        <w:rPr>
          <w:rFonts w:hint="eastAsia" w:ascii="黑体" w:eastAsia="黑体"/>
          <w:b w:val="0"/>
          <w:sz w:val="24"/>
          <w:highlight w:val="none"/>
        </w:rPr>
        <w:t>二、投标文件签署授权委托书</w:t>
      </w:r>
    </w:p>
    <w:p>
      <w:pPr>
        <w:spacing w:line="360" w:lineRule="auto"/>
        <w:ind w:firstLine="420" w:firstLineChars="200"/>
        <w:rPr>
          <w:szCs w:val="21"/>
          <w:highlight w:val="none"/>
        </w:rPr>
      </w:pPr>
      <w:r>
        <w:rPr>
          <w:rFonts w:hint="eastAsia"/>
          <w:szCs w:val="21"/>
          <w:highlight w:val="none"/>
        </w:rPr>
        <w:t>本授权委托书声明：我</w:t>
      </w:r>
      <w:r>
        <w:rPr>
          <w:rFonts w:hint="eastAsia"/>
          <w:szCs w:val="21"/>
          <w:highlight w:val="none"/>
          <w:u w:val="single"/>
        </w:rPr>
        <w:t xml:space="preserve">           </w:t>
      </w:r>
      <w:r>
        <w:rPr>
          <w:rFonts w:hint="eastAsia"/>
          <w:szCs w:val="21"/>
          <w:highlight w:val="none"/>
        </w:rPr>
        <w:t>（姓名）系</w:t>
      </w:r>
      <w:r>
        <w:rPr>
          <w:rFonts w:hint="eastAsia"/>
          <w:szCs w:val="21"/>
          <w:highlight w:val="none"/>
          <w:u w:val="single"/>
        </w:rPr>
        <w:t xml:space="preserve">             </w:t>
      </w:r>
      <w:r>
        <w:rPr>
          <w:rFonts w:hint="eastAsia"/>
          <w:szCs w:val="21"/>
          <w:highlight w:val="none"/>
        </w:rPr>
        <w:t>（投标人名称）的法定代表人（负责人），现授权委托</w:t>
      </w:r>
      <w:r>
        <w:rPr>
          <w:rFonts w:hint="eastAsia"/>
          <w:szCs w:val="21"/>
          <w:highlight w:val="none"/>
          <w:u w:val="single"/>
        </w:rPr>
        <w:t xml:space="preserve">            </w:t>
      </w:r>
      <w:r>
        <w:rPr>
          <w:rFonts w:hint="eastAsia"/>
          <w:szCs w:val="21"/>
          <w:highlight w:val="none"/>
        </w:rPr>
        <w:t>（姓名）为我单位签署本项目已递交的投标文件的法定代表人（负责人）的授权委托代理人，代理人全权代表我所签署的本项目已递交的投标文件内容我均承认。</w:t>
      </w:r>
    </w:p>
    <w:p>
      <w:pPr>
        <w:spacing w:line="360" w:lineRule="auto"/>
        <w:ind w:firstLine="420" w:firstLineChars="200"/>
        <w:rPr>
          <w:szCs w:val="21"/>
          <w:highlight w:val="none"/>
        </w:rPr>
      </w:pPr>
      <w:r>
        <w:rPr>
          <w:rFonts w:hint="eastAsia"/>
          <w:szCs w:val="21"/>
          <w:highlight w:val="none"/>
        </w:rPr>
        <w:t>代理人无转委托权，特此委托。</w:t>
      </w:r>
    </w:p>
    <w:p>
      <w:pPr>
        <w:spacing w:line="360" w:lineRule="auto"/>
        <w:ind w:firstLine="420" w:firstLineChars="200"/>
        <w:rPr>
          <w:szCs w:val="21"/>
          <w:highlight w:val="none"/>
        </w:rPr>
      </w:pPr>
    </w:p>
    <w:p>
      <w:pPr>
        <w:spacing w:line="360" w:lineRule="auto"/>
        <w:ind w:firstLine="420" w:firstLineChars="200"/>
        <w:rPr>
          <w:szCs w:val="21"/>
          <w:highlight w:val="none"/>
        </w:rPr>
      </w:pPr>
      <w:r>
        <w:rPr>
          <w:rFonts w:hint="eastAsia"/>
          <w:szCs w:val="21"/>
          <w:highlight w:val="none"/>
        </w:rPr>
        <w:t>代理人</w:t>
      </w:r>
      <w:r>
        <w:rPr>
          <w:rFonts w:hint="eastAsia" w:eastAsia="宋体"/>
          <w:szCs w:val="21"/>
          <w:highlight w:val="none"/>
        </w:rPr>
        <w:t>：</w:t>
      </w:r>
      <w:r>
        <w:rPr>
          <w:rFonts w:hint="eastAsia"/>
          <w:szCs w:val="21"/>
          <w:highlight w:val="none"/>
          <w:u w:val="single"/>
        </w:rPr>
        <w:t xml:space="preserve">      </w:t>
      </w:r>
      <w:r>
        <w:rPr>
          <w:rFonts w:hint="eastAsia" w:ascii="Times New Roman" w:eastAsia="宋体"/>
          <w:szCs w:val="21"/>
          <w:highlight w:val="none"/>
          <w:u w:val="single"/>
        </w:rPr>
        <w:t xml:space="preserve">  </w:t>
      </w:r>
      <w:r>
        <w:rPr>
          <w:rFonts w:hint="eastAsia"/>
          <w:szCs w:val="21"/>
          <w:highlight w:val="none"/>
          <w:u w:val="single"/>
        </w:rPr>
        <w:t xml:space="preserve">      </w:t>
      </w:r>
      <w:r>
        <w:rPr>
          <w:rFonts w:hint="eastAsia" w:eastAsia="宋体"/>
          <w:szCs w:val="21"/>
          <w:highlight w:val="none"/>
        </w:rPr>
        <w:t>；</w:t>
      </w:r>
    </w:p>
    <w:p>
      <w:pPr>
        <w:spacing w:line="360" w:lineRule="auto"/>
        <w:ind w:firstLine="420" w:firstLineChars="200"/>
        <w:rPr>
          <w:szCs w:val="21"/>
          <w:highlight w:val="none"/>
        </w:rPr>
      </w:pPr>
      <w:r>
        <w:rPr>
          <w:rFonts w:hint="eastAsia"/>
          <w:szCs w:val="21"/>
          <w:highlight w:val="none"/>
        </w:rPr>
        <w:t>身份</w:t>
      </w:r>
      <w:r>
        <w:rPr>
          <w:rFonts w:hint="eastAsia" w:ascii="Times New Roman" w:eastAsia="宋体"/>
          <w:szCs w:val="21"/>
          <w:highlight w:val="none"/>
        </w:rPr>
        <w:t>证件号</w:t>
      </w:r>
      <w:r>
        <w:rPr>
          <w:rFonts w:hint="eastAsia"/>
          <w:szCs w:val="21"/>
          <w:highlight w:val="none"/>
        </w:rPr>
        <w:t>：</w:t>
      </w:r>
      <w:r>
        <w:rPr>
          <w:rFonts w:hint="eastAsia"/>
          <w:szCs w:val="21"/>
          <w:highlight w:val="none"/>
          <w:u w:val="single"/>
        </w:rPr>
        <w:t xml:space="preserve">                        </w:t>
      </w:r>
      <w:r>
        <w:rPr>
          <w:rFonts w:hint="eastAsia" w:eastAsia="宋体"/>
          <w:szCs w:val="21"/>
          <w:highlight w:val="none"/>
        </w:rPr>
        <w:t>，</w:t>
      </w:r>
      <w:r>
        <w:rPr>
          <w:rFonts w:hint="eastAsia"/>
          <w:szCs w:val="21"/>
          <w:highlight w:val="none"/>
        </w:rPr>
        <w:t>职务：</w:t>
      </w:r>
      <w:r>
        <w:rPr>
          <w:rFonts w:hint="eastAsia"/>
          <w:szCs w:val="21"/>
          <w:highlight w:val="none"/>
          <w:u w:val="single"/>
        </w:rPr>
        <w:t xml:space="preserve">   </w:t>
      </w:r>
      <w:r>
        <w:rPr>
          <w:rFonts w:hint="eastAsia" w:ascii="Times New Roman" w:eastAsia="宋体"/>
          <w:szCs w:val="21"/>
          <w:highlight w:val="none"/>
          <w:u w:val="single"/>
        </w:rPr>
        <w:t xml:space="preserve">         </w:t>
      </w:r>
      <w:r>
        <w:rPr>
          <w:rFonts w:hint="eastAsia"/>
          <w:szCs w:val="21"/>
          <w:highlight w:val="none"/>
          <w:u w:val="single"/>
        </w:rPr>
        <w:t xml:space="preserve">    </w:t>
      </w:r>
      <w:r>
        <w:rPr>
          <w:rFonts w:hint="eastAsia" w:eastAsia="宋体"/>
          <w:szCs w:val="21"/>
          <w:highlight w:val="none"/>
        </w:rPr>
        <w:t>；</w:t>
      </w:r>
    </w:p>
    <w:p>
      <w:pPr>
        <w:spacing w:line="360" w:lineRule="auto"/>
        <w:ind w:firstLine="420" w:firstLineChars="200"/>
        <w:rPr>
          <w:szCs w:val="21"/>
          <w:highlight w:val="none"/>
        </w:rPr>
      </w:pPr>
      <w:r>
        <w:rPr>
          <w:rFonts w:hint="eastAsia"/>
          <w:szCs w:val="21"/>
          <w:highlight w:val="none"/>
        </w:rPr>
        <w:t>联系电话：</w:t>
      </w:r>
      <w:r>
        <w:rPr>
          <w:rFonts w:hint="eastAsia"/>
          <w:szCs w:val="21"/>
          <w:highlight w:val="none"/>
          <w:u w:val="single"/>
        </w:rPr>
        <w:t xml:space="preserve">         </w:t>
      </w:r>
      <w:r>
        <w:rPr>
          <w:rFonts w:hint="eastAsia" w:eastAsia="宋体"/>
          <w:szCs w:val="21"/>
          <w:highlight w:val="none"/>
        </w:rPr>
        <w:t>，</w:t>
      </w:r>
      <w:r>
        <w:rPr>
          <w:rFonts w:hint="eastAsia"/>
          <w:szCs w:val="21"/>
          <w:highlight w:val="none"/>
        </w:rPr>
        <w:t>手机：</w:t>
      </w:r>
      <w:r>
        <w:rPr>
          <w:rFonts w:hint="eastAsia"/>
          <w:szCs w:val="21"/>
          <w:highlight w:val="none"/>
          <w:u w:val="single"/>
        </w:rPr>
        <w:t xml:space="preserve">                </w:t>
      </w:r>
      <w:r>
        <w:rPr>
          <w:rFonts w:hint="eastAsia" w:eastAsia="宋体"/>
          <w:szCs w:val="21"/>
          <w:highlight w:val="none"/>
        </w:rPr>
        <w:t>，</w:t>
      </w:r>
      <w:r>
        <w:rPr>
          <w:rFonts w:hint="eastAsia" w:ascii="Times New Roman" w:eastAsia="宋体"/>
          <w:szCs w:val="21"/>
          <w:highlight w:val="none"/>
        </w:rPr>
        <w:t>电子邮箱：</w:t>
      </w:r>
      <w:r>
        <w:rPr>
          <w:rFonts w:hint="eastAsia"/>
          <w:szCs w:val="21"/>
          <w:highlight w:val="none"/>
          <w:u w:val="single"/>
        </w:rPr>
        <w:t xml:space="preserve">            </w:t>
      </w:r>
      <w:r>
        <w:rPr>
          <w:rFonts w:hint="eastAsia" w:ascii="Times New Roman" w:eastAsia="宋体"/>
          <w:szCs w:val="21"/>
          <w:highlight w:val="none"/>
          <w:u w:val="single"/>
        </w:rPr>
        <w:t xml:space="preserve">  </w:t>
      </w:r>
      <w:r>
        <w:rPr>
          <w:rFonts w:hint="eastAsia"/>
          <w:szCs w:val="21"/>
          <w:highlight w:val="none"/>
          <w:u w:val="single"/>
        </w:rPr>
        <w:t xml:space="preserve">       </w:t>
      </w:r>
      <w:r>
        <w:rPr>
          <w:rFonts w:hint="eastAsia" w:eastAsia="宋体"/>
          <w:szCs w:val="21"/>
          <w:highlight w:val="none"/>
        </w:rPr>
        <w:t>；</w:t>
      </w:r>
    </w:p>
    <w:p>
      <w:pPr>
        <w:spacing w:line="360" w:lineRule="auto"/>
        <w:ind w:firstLine="420" w:firstLineChars="200"/>
        <w:rPr>
          <w:rFonts w:eastAsia="宋体"/>
          <w:szCs w:val="21"/>
          <w:highlight w:val="none"/>
        </w:rPr>
      </w:pPr>
      <w:r>
        <w:rPr>
          <w:rFonts w:hint="eastAsia"/>
          <w:szCs w:val="21"/>
          <w:highlight w:val="none"/>
        </w:rPr>
        <w:t>授权委托日期：</w:t>
      </w:r>
      <w:r>
        <w:rPr>
          <w:rFonts w:hint="eastAsia"/>
          <w:szCs w:val="21"/>
          <w:highlight w:val="none"/>
          <w:u w:val="single"/>
        </w:rPr>
        <w:t xml:space="preserve">         </w:t>
      </w:r>
      <w:r>
        <w:rPr>
          <w:rFonts w:hint="eastAsia"/>
          <w:szCs w:val="21"/>
          <w:highlight w:val="none"/>
        </w:rPr>
        <w:t>年</w:t>
      </w:r>
      <w:r>
        <w:rPr>
          <w:rFonts w:hint="eastAsia"/>
          <w:szCs w:val="21"/>
          <w:highlight w:val="none"/>
          <w:u w:val="single"/>
        </w:rPr>
        <w:t xml:space="preserve">     </w:t>
      </w:r>
      <w:r>
        <w:rPr>
          <w:rFonts w:hint="eastAsia"/>
          <w:szCs w:val="21"/>
          <w:highlight w:val="none"/>
        </w:rPr>
        <w:t xml:space="preserve">月 </w:t>
      </w:r>
      <w:r>
        <w:rPr>
          <w:rFonts w:hint="eastAsia"/>
          <w:szCs w:val="21"/>
          <w:highlight w:val="none"/>
          <w:u w:val="single"/>
        </w:rPr>
        <w:t xml:space="preserve">      </w:t>
      </w:r>
      <w:r>
        <w:rPr>
          <w:rFonts w:hint="eastAsia"/>
          <w:szCs w:val="21"/>
          <w:highlight w:val="none"/>
        </w:rPr>
        <w:t>日</w:t>
      </w:r>
      <w:r>
        <w:rPr>
          <w:rFonts w:hint="eastAsia" w:eastAsia="宋体"/>
          <w:szCs w:val="21"/>
          <w:highlight w:val="none"/>
        </w:rPr>
        <w:t>。</w:t>
      </w:r>
    </w:p>
    <w:p>
      <w:pPr>
        <w:spacing w:line="360" w:lineRule="auto"/>
        <w:ind w:firstLine="422" w:firstLineChars="200"/>
        <w:rPr>
          <w:b/>
          <w:color w:val="FF0000"/>
          <w:szCs w:val="21"/>
          <w:highlight w:val="none"/>
        </w:rPr>
      </w:pPr>
      <w:r>
        <w:rPr>
          <w:rFonts w:hint="eastAsia"/>
          <w:b/>
          <w:color w:val="FF0000"/>
          <w:szCs w:val="21"/>
          <w:highlight w:val="none"/>
        </w:rPr>
        <w:t>附：请提供代理人身份证扫描件（正反两面）；港澳台居民可提供来往通行证扫描件；非中国国籍管辖范围人员，可提供公安部门认可的身份证明材料扫描件。</w:t>
      </w:r>
    </w:p>
    <w:tbl>
      <w:tblPr>
        <w:tblStyle w:val="21"/>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jc w:val="center"/>
              <w:rPr>
                <w:highlight w:val="none"/>
              </w:rPr>
            </w:pPr>
            <w:r>
              <w:rPr>
                <w:rFonts w:hint="eastAsia" w:ascii="Times New Roman" w:eastAsia="宋体"/>
                <w:highlight w:val="none"/>
              </w:rPr>
              <w:t>证件扫描件正面</w:t>
            </w:r>
          </w:p>
          <w:p>
            <w:pPr>
              <w:pStyle w:val="2"/>
              <w:jc w:val="center"/>
              <w:rPr>
                <w:highlight w:val="none"/>
              </w:rPr>
            </w:pPr>
          </w:p>
          <w:p>
            <w:pPr>
              <w:pStyle w:val="3"/>
              <w:jc w:val="center"/>
              <w:rPr>
                <w:highlight w:val="none"/>
              </w:rPr>
            </w:pPr>
          </w:p>
        </w:tc>
        <w:tc>
          <w:tcPr>
            <w:tcW w:w="4265" w:type="dxa"/>
          </w:tcPr>
          <w:p>
            <w:pPr>
              <w:jc w:val="center"/>
              <w:rPr>
                <w:highlight w:val="none"/>
              </w:rPr>
            </w:pPr>
            <w:r>
              <w:rPr>
                <w:rFonts w:hint="eastAsia" w:ascii="Times New Roman" w:eastAsia="宋体"/>
                <w:highlight w:val="none"/>
              </w:rPr>
              <w:t>证件扫描件反面</w:t>
            </w:r>
          </w:p>
          <w:p>
            <w:pPr>
              <w:pStyle w:val="2"/>
              <w:jc w:val="center"/>
              <w:rPr>
                <w:highlight w:val="none"/>
              </w:rPr>
            </w:pPr>
          </w:p>
          <w:p>
            <w:pPr>
              <w:pStyle w:val="3"/>
              <w:jc w:val="center"/>
              <w:rPr>
                <w:highlight w:val="none"/>
              </w:rPr>
            </w:pPr>
          </w:p>
        </w:tc>
      </w:tr>
    </w:tbl>
    <w:p>
      <w:pPr>
        <w:tabs>
          <w:tab w:val="left" w:pos="651"/>
        </w:tabs>
        <w:snapToGrid w:val="0"/>
        <w:rPr>
          <w:rFonts w:ascii="宋体" w:hAnsi="宋体" w:eastAsia="宋体" w:cs="Times New Roman"/>
          <w:color w:val="FF0000"/>
          <w:sz w:val="28"/>
          <w:szCs w:val="28"/>
          <w:highlight w:val="none"/>
        </w:rPr>
      </w:pPr>
      <w:r>
        <w:rPr>
          <w:rFonts w:hint="eastAsia"/>
          <w:b/>
          <w:bCs/>
          <w:color w:val="FF0000"/>
          <w:szCs w:val="21"/>
          <w:highlight w:val="none"/>
        </w:rPr>
        <w:t>温馨提示：为避免出现《深圳经济特区政府采购条例实施细则》第七十五条第二项所列情形，请投标供应商核实你单位法定代表人、本项目投标授权代表人、项目负责人（如有）、主要技术人员（如有）等是否在贵公司缴纳社会保险。</w:t>
      </w:r>
      <w:r>
        <w:rPr>
          <w:rFonts w:ascii="宋体" w:hAnsi="宋体" w:eastAsia="宋体" w:cs="Times New Roman"/>
          <w:color w:val="FF0000"/>
          <w:sz w:val="28"/>
          <w:szCs w:val="28"/>
          <w:highlight w:val="none"/>
        </w:rPr>
        <w:br w:type="page"/>
      </w:r>
    </w:p>
    <w:p>
      <w:pPr>
        <w:pStyle w:val="6"/>
        <w:jc w:val="center"/>
        <w:rPr>
          <w:rFonts w:ascii="黑体" w:eastAsia="黑体"/>
          <w:b w:val="0"/>
          <w:kern w:val="0"/>
          <w:sz w:val="24"/>
          <w:szCs w:val="24"/>
          <w:highlight w:val="none"/>
        </w:rPr>
      </w:pPr>
      <w:r>
        <w:rPr>
          <w:rFonts w:hint="eastAsia" w:ascii="黑体" w:eastAsia="黑体"/>
          <w:b w:val="0"/>
          <w:kern w:val="0"/>
          <w:sz w:val="24"/>
          <w:szCs w:val="24"/>
          <w:highlight w:val="none"/>
        </w:rPr>
        <w:t>三、</w:t>
      </w:r>
      <w:bookmarkStart w:id="38" w:name="_Hlk72092634"/>
      <w:r>
        <w:rPr>
          <w:rFonts w:hint="eastAsia" w:ascii="黑体" w:eastAsia="黑体"/>
          <w:b w:val="0"/>
          <w:kern w:val="0"/>
          <w:sz w:val="24"/>
          <w:szCs w:val="24"/>
          <w:highlight w:val="none"/>
        </w:rPr>
        <w:t>实质性条款响应情况表</w:t>
      </w:r>
      <w:bookmarkEnd w:id="38"/>
    </w:p>
    <w:tbl>
      <w:tblPr>
        <w:tblStyle w:val="20"/>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603"/>
        <w:gridCol w:w="2463"/>
        <w:gridCol w:w="102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705" w:type="dxa"/>
            <w:vAlign w:val="center"/>
          </w:tcPr>
          <w:p>
            <w:pPr>
              <w:adjustRightInd w:val="0"/>
              <w:snapToGrid w:val="0"/>
              <w:spacing w:line="360" w:lineRule="auto"/>
              <w:jc w:val="center"/>
              <w:rPr>
                <w:rFonts w:ascii="宋体" w:hAnsi="宋体"/>
                <w:kern w:val="0"/>
                <w:szCs w:val="21"/>
                <w:highlight w:val="none"/>
              </w:rPr>
            </w:pPr>
            <w:bookmarkStart w:id="39" w:name="_Hlk72092651"/>
            <w:r>
              <w:rPr>
                <w:rFonts w:hint="eastAsia" w:ascii="宋体" w:hAnsi="宋体"/>
                <w:kern w:val="0"/>
                <w:szCs w:val="21"/>
                <w:highlight w:val="none"/>
              </w:rPr>
              <w:t>序号</w:t>
            </w:r>
          </w:p>
        </w:tc>
        <w:tc>
          <w:tcPr>
            <w:tcW w:w="2603" w:type="dxa"/>
            <w:vAlign w:val="center"/>
          </w:tcPr>
          <w:p>
            <w:pPr>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实质性条款具体内容</w:t>
            </w:r>
          </w:p>
        </w:tc>
        <w:tc>
          <w:tcPr>
            <w:tcW w:w="2463" w:type="dxa"/>
            <w:vAlign w:val="center"/>
          </w:tcPr>
          <w:p>
            <w:pPr>
              <w:adjustRightInd w:val="0"/>
              <w:snapToGrid w:val="0"/>
              <w:spacing w:line="360" w:lineRule="auto"/>
              <w:jc w:val="center"/>
              <w:rPr>
                <w:rFonts w:ascii="宋体" w:hAnsi="宋体"/>
                <w:kern w:val="0"/>
                <w:szCs w:val="21"/>
                <w:highlight w:val="none"/>
              </w:rPr>
            </w:pPr>
            <w:r>
              <w:rPr>
                <w:rFonts w:hint="eastAsia"/>
                <w:highlight w:val="none"/>
              </w:rPr>
              <w:t>投标响应</w:t>
            </w:r>
          </w:p>
        </w:tc>
        <w:tc>
          <w:tcPr>
            <w:tcW w:w="1028" w:type="dxa"/>
            <w:vAlign w:val="center"/>
          </w:tcPr>
          <w:p>
            <w:pPr>
              <w:adjustRightInd w:val="0"/>
              <w:snapToGrid w:val="0"/>
              <w:spacing w:line="360" w:lineRule="auto"/>
              <w:jc w:val="center"/>
              <w:rPr>
                <w:rFonts w:ascii="宋体" w:hAnsi="宋体"/>
                <w:kern w:val="0"/>
                <w:szCs w:val="21"/>
                <w:highlight w:val="none"/>
              </w:rPr>
            </w:pPr>
            <w:r>
              <w:rPr>
                <w:rFonts w:hint="eastAsia"/>
                <w:highlight w:val="none"/>
              </w:rPr>
              <w:t>偏离情况</w:t>
            </w:r>
          </w:p>
        </w:tc>
        <w:tc>
          <w:tcPr>
            <w:tcW w:w="1418" w:type="dxa"/>
            <w:vAlign w:val="center"/>
          </w:tcPr>
          <w:p>
            <w:pPr>
              <w:adjustRightInd w:val="0"/>
              <w:snapToGrid w:val="0"/>
              <w:spacing w:line="360" w:lineRule="auto"/>
              <w:jc w:val="center"/>
              <w:rPr>
                <w:rFonts w:ascii="宋体" w:hAnsi="宋体"/>
                <w:kern w:val="0"/>
                <w:szCs w:val="21"/>
                <w:highlight w:val="none"/>
              </w:rPr>
            </w:pPr>
            <w:r>
              <w:rPr>
                <w:rFonts w:hint="eastAsia"/>
                <w:highlight w:val="none"/>
              </w:rPr>
              <w:t>说明</w:t>
            </w:r>
          </w:p>
        </w:tc>
      </w:tr>
      <w:bookmark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pPr>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1</w:t>
            </w:r>
          </w:p>
        </w:tc>
        <w:tc>
          <w:tcPr>
            <w:tcW w:w="2603" w:type="dxa"/>
            <w:vAlign w:val="center"/>
          </w:tcPr>
          <w:p>
            <w:pPr>
              <w:jc w:val="left"/>
              <w:rPr>
                <w:rFonts w:hAnsi="宋体"/>
                <w:kern w:val="0"/>
                <w:szCs w:val="21"/>
                <w:highlight w:val="none"/>
              </w:rPr>
            </w:pPr>
            <w:r>
              <w:rPr>
                <w:rFonts w:hint="eastAsia"/>
                <w:highlight w:val="none"/>
              </w:rPr>
              <w:t>满足本项目标★的条款要求</w:t>
            </w:r>
          </w:p>
        </w:tc>
        <w:tc>
          <w:tcPr>
            <w:tcW w:w="2463" w:type="dxa"/>
            <w:vAlign w:val="center"/>
          </w:tcPr>
          <w:p>
            <w:pPr>
              <w:jc w:val="left"/>
              <w:rPr>
                <w:rFonts w:ascii="宋体" w:hAnsi="宋体"/>
                <w:kern w:val="0"/>
                <w:szCs w:val="21"/>
                <w:highlight w:val="none"/>
              </w:rPr>
            </w:pPr>
            <w:r>
              <w:rPr>
                <w:rFonts w:hint="eastAsia"/>
                <w:highlight w:val="none"/>
              </w:rPr>
              <w:t>满足本项目标★的条款要求</w:t>
            </w:r>
          </w:p>
        </w:tc>
        <w:tc>
          <w:tcPr>
            <w:tcW w:w="1028" w:type="dxa"/>
            <w:vAlign w:val="center"/>
          </w:tcPr>
          <w:p>
            <w:pPr>
              <w:adjustRightInd w:val="0"/>
              <w:snapToGrid w:val="0"/>
              <w:spacing w:line="360" w:lineRule="auto"/>
              <w:jc w:val="center"/>
              <w:rPr>
                <w:rFonts w:ascii="宋体" w:hAnsi="宋体"/>
                <w:kern w:val="0"/>
                <w:szCs w:val="21"/>
                <w:highlight w:val="none"/>
              </w:rPr>
            </w:pPr>
            <w:r>
              <w:rPr>
                <w:rFonts w:hint="eastAsia" w:ascii="宋体" w:hAnsi="宋体"/>
                <w:kern w:val="0"/>
                <w:szCs w:val="21"/>
                <w:highlight w:val="none"/>
              </w:rPr>
              <w:t>无偏离</w:t>
            </w:r>
          </w:p>
        </w:tc>
        <w:tc>
          <w:tcPr>
            <w:tcW w:w="1418" w:type="dxa"/>
            <w:vAlign w:val="center"/>
          </w:tcPr>
          <w:p>
            <w:pPr>
              <w:adjustRightInd w:val="0"/>
              <w:snapToGrid w:val="0"/>
              <w:spacing w:line="360" w:lineRule="auto"/>
              <w:jc w:val="center"/>
              <w:rPr>
                <w:rFonts w:ascii="宋体" w:hAnsi="宋体"/>
                <w:kern w:val="0"/>
                <w:szCs w:val="21"/>
                <w:highlight w:val="none"/>
              </w:rPr>
            </w:pPr>
          </w:p>
        </w:tc>
      </w:tr>
    </w:tbl>
    <w:p>
      <w:pPr>
        <w:ind w:firstLine="482" w:firstLineChars="200"/>
        <w:rPr>
          <w:b/>
          <w:sz w:val="24"/>
          <w:highlight w:val="none"/>
        </w:rPr>
      </w:pPr>
      <w:r>
        <w:rPr>
          <w:rFonts w:hint="eastAsia"/>
          <w:b/>
          <w:sz w:val="24"/>
          <w:highlight w:val="none"/>
        </w:rPr>
        <w:t>注：1.上表所列各项均为不可负偏离条款。</w:t>
      </w:r>
    </w:p>
    <w:p>
      <w:pPr>
        <w:ind w:firstLine="482" w:firstLineChars="200"/>
        <w:rPr>
          <w:b/>
          <w:sz w:val="24"/>
          <w:highlight w:val="none"/>
        </w:rPr>
      </w:pPr>
      <w:r>
        <w:rPr>
          <w:rFonts w:hint="eastAsia"/>
          <w:b/>
          <w:sz w:val="24"/>
          <w:highlight w:val="none"/>
        </w:rPr>
        <w:t>2.“投标响应”一栏应当详细填写投标人自身响应情况，而不能不合理照搬照抄招实质性条款具体内容。</w:t>
      </w:r>
    </w:p>
    <w:p>
      <w:pPr>
        <w:ind w:firstLine="482" w:firstLineChars="200"/>
        <w:rPr>
          <w:b/>
          <w:sz w:val="24"/>
          <w:highlight w:val="none"/>
        </w:rPr>
      </w:pPr>
      <w:r>
        <w:rPr>
          <w:rFonts w:hint="eastAsia"/>
          <w:b/>
          <w:sz w:val="24"/>
          <w:highlight w:val="none"/>
        </w:rPr>
        <w:t>3</w:t>
      </w:r>
      <w:r>
        <w:rPr>
          <w:b/>
          <w:sz w:val="24"/>
          <w:highlight w:val="none"/>
        </w:rPr>
        <w:t>.</w:t>
      </w:r>
      <w:r>
        <w:rPr>
          <w:rFonts w:hint="eastAsia"/>
          <w:b/>
          <w:sz w:val="24"/>
          <w:highlight w:val="none"/>
        </w:rPr>
        <w:t>“偏离情况”一栏应填写“正偏离”、“负偏离”或“无偏离”，“正偏离”表示“投标响应优于实质性条款具体内容要求”，“负偏离”表示“投标响应不满足实质性条款具体内容要求”，“无偏离”表示“投标响应与实质性条款具体内容要求一致”。</w:t>
      </w:r>
    </w:p>
    <w:p>
      <w:pPr>
        <w:ind w:firstLine="482" w:firstLineChars="200"/>
        <w:rPr>
          <w:b/>
          <w:sz w:val="24"/>
          <w:highlight w:val="none"/>
        </w:rPr>
      </w:pPr>
      <w:r>
        <w:rPr>
          <w:b/>
          <w:sz w:val="24"/>
          <w:highlight w:val="none"/>
        </w:rPr>
        <w:t>4.</w:t>
      </w:r>
      <w:r>
        <w:rPr>
          <w:rFonts w:hint="eastAsia"/>
          <w:b/>
          <w:sz w:val="24"/>
          <w:highlight w:val="none"/>
        </w:rPr>
        <w:t>评审委员会有权对投标响应情况作出判断（作出评审结论）。</w:t>
      </w:r>
    </w:p>
    <w:p>
      <w:pPr>
        <w:ind w:firstLine="482" w:firstLineChars="200"/>
        <w:rPr>
          <w:b/>
          <w:sz w:val="24"/>
          <w:highlight w:val="none"/>
        </w:rPr>
      </w:pPr>
      <w:r>
        <w:rPr>
          <w:b/>
          <w:sz w:val="24"/>
          <w:highlight w:val="none"/>
        </w:rPr>
        <w:t>5</w:t>
      </w:r>
      <w:r>
        <w:rPr>
          <w:rFonts w:hint="eastAsia"/>
          <w:b/>
          <w:sz w:val="24"/>
          <w:highlight w:val="none"/>
        </w:rPr>
        <w:t>.实质性响应条款“投标响应情况”与投标文件其它内容冲突的，以实质性响应条款“投标响应情况”为准。</w:t>
      </w:r>
    </w:p>
    <w:p>
      <w:pPr>
        <w:ind w:firstLine="482" w:firstLineChars="200"/>
        <w:rPr>
          <w:b/>
          <w:sz w:val="24"/>
          <w:highlight w:val="none"/>
        </w:rPr>
      </w:pPr>
      <w:r>
        <w:rPr>
          <w:rFonts w:hint="eastAsia"/>
          <w:b/>
          <w:sz w:val="24"/>
          <w:highlight w:val="none"/>
        </w:rPr>
        <w:t>6.要求提供证明资料，在“说明”一栏中列明证明资料的位置,以便评审；未要求提供证明材料的，投标人可以不提供。</w:t>
      </w:r>
    </w:p>
    <w:p>
      <w:pPr>
        <w:ind w:firstLine="420" w:firstLineChars="200"/>
        <w:rPr>
          <w:highlight w:val="none"/>
        </w:rPr>
      </w:pPr>
    </w:p>
    <w:p>
      <w:pPr>
        <w:pStyle w:val="6"/>
        <w:numPr>
          <w:ilvl w:val="0"/>
          <w:numId w:val="6"/>
        </w:numPr>
        <w:jc w:val="center"/>
        <w:rPr>
          <w:rFonts w:ascii="黑体" w:eastAsia="黑体"/>
          <w:b w:val="0"/>
          <w:bCs w:val="0"/>
          <w:sz w:val="24"/>
          <w:szCs w:val="20"/>
          <w:highlight w:val="none"/>
        </w:rPr>
      </w:pPr>
      <w:r>
        <w:rPr>
          <w:rFonts w:hint="eastAsia" w:ascii="黑体" w:eastAsia="黑体"/>
          <w:b w:val="0"/>
          <w:bCs w:val="0"/>
          <w:sz w:val="24"/>
          <w:szCs w:val="20"/>
          <w:highlight w:val="none"/>
        </w:rPr>
        <w:t>实施方案（工作措施、工作方法、工作手段、工作流程）</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pStyle w:val="6"/>
        <w:numPr>
          <w:ilvl w:val="0"/>
          <w:numId w:val="6"/>
        </w:numPr>
        <w:jc w:val="center"/>
        <w:rPr>
          <w:rFonts w:ascii="黑体" w:eastAsia="黑体"/>
          <w:b w:val="0"/>
          <w:bCs w:val="0"/>
          <w:sz w:val="24"/>
          <w:szCs w:val="20"/>
          <w:highlight w:val="none"/>
        </w:rPr>
      </w:pPr>
      <w:r>
        <w:rPr>
          <w:rFonts w:hint="eastAsia" w:ascii="黑体" w:eastAsia="黑体"/>
          <w:b w:val="0"/>
          <w:bCs w:val="0"/>
          <w:sz w:val="24"/>
          <w:szCs w:val="20"/>
          <w:highlight w:val="none"/>
        </w:rPr>
        <w:t>项目重点难点分析、应对措施及相关的合理化建议</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pStyle w:val="6"/>
        <w:numPr>
          <w:ilvl w:val="0"/>
          <w:numId w:val="6"/>
        </w:numPr>
        <w:jc w:val="center"/>
        <w:rPr>
          <w:rFonts w:ascii="黑体" w:eastAsia="黑体"/>
          <w:b w:val="0"/>
          <w:bCs w:val="0"/>
          <w:sz w:val="24"/>
          <w:szCs w:val="20"/>
          <w:highlight w:val="none"/>
        </w:rPr>
      </w:pPr>
      <w:r>
        <w:rPr>
          <w:rFonts w:hint="eastAsia" w:ascii="黑体" w:eastAsia="黑体"/>
          <w:b w:val="0"/>
          <w:bCs w:val="0"/>
          <w:sz w:val="24"/>
          <w:szCs w:val="20"/>
          <w:highlight w:val="none"/>
        </w:rPr>
        <w:t>质量（完成时间、安全、环保）保障措施及方案</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pStyle w:val="6"/>
        <w:numPr>
          <w:ilvl w:val="0"/>
          <w:numId w:val="6"/>
        </w:numPr>
        <w:jc w:val="center"/>
        <w:rPr>
          <w:rFonts w:ascii="黑体" w:eastAsia="黑体"/>
          <w:b w:val="0"/>
          <w:bCs w:val="0"/>
          <w:sz w:val="24"/>
          <w:szCs w:val="20"/>
          <w:highlight w:val="none"/>
        </w:rPr>
      </w:pPr>
      <w:r>
        <w:rPr>
          <w:rFonts w:hint="eastAsia" w:ascii="黑体" w:eastAsia="黑体"/>
          <w:b w:val="0"/>
          <w:bCs w:val="0"/>
          <w:sz w:val="24"/>
          <w:szCs w:val="20"/>
          <w:highlight w:val="none"/>
        </w:rPr>
        <w:t>项目完成（服务期满）后的服务承诺</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pStyle w:val="6"/>
        <w:numPr>
          <w:ilvl w:val="0"/>
          <w:numId w:val="6"/>
        </w:numPr>
        <w:jc w:val="center"/>
        <w:rPr>
          <w:rFonts w:ascii="黑体" w:eastAsia="黑体"/>
          <w:b w:val="0"/>
          <w:bCs w:val="0"/>
          <w:sz w:val="24"/>
          <w:szCs w:val="20"/>
          <w:highlight w:val="none"/>
        </w:rPr>
      </w:pPr>
      <w:r>
        <w:rPr>
          <w:rFonts w:hint="eastAsia" w:ascii="黑体" w:eastAsia="黑体"/>
          <w:b w:val="0"/>
          <w:bCs w:val="0"/>
          <w:sz w:val="24"/>
          <w:szCs w:val="20"/>
          <w:highlight w:val="none"/>
        </w:rPr>
        <w:t>违约承诺</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rPr>
          <w:highlight w:val="none"/>
        </w:rPr>
      </w:pPr>
    </w:p>
    <w:p>
      <w:pPr>
        <w:pStyle w:val="6"/>
        <w:numPr>
          <w:ilvl w:val="0"/>
          <w:numId w:val="6"/>
        </w:numPr>
        <w:jc w:val="center"/>
        <w:rPr>
          <w:rFonts w:ascii="黑体" w:eastAsia="黑体"/>
          <w:b w:val="0"/>
          <w:bCs w:val="0"/>
          <w:sz w:val="24"/>
          <w:szCs w:val="20"/>
          <w:highlight w:val="none"/>
        </w:rPr>
      </w:pPr>
      <w:r>
        <w:rPr>
          <w:rFonts w:hint="eastAsia" w:ascii="黑体" w:eastAsia="黑体"/>
          <w:b w:val="0"/>
          <w:bCs w:val="0"/>
          <w:sz w:val="24"/>
          <w:szCs w:val="20"/>
          <w:highlight w:val="none"/>
        </w:rPr>
        <w:t>拟安排的项目负责人情况（仅限一人）</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pStyle w:val="6"/>
        <w:numPr>
          <w:ilvl w:val="0"/>
          <w:numId w:val="6"/>
        </w:numPr>
        <w:jc w:val="center"/>
        <w:rPr>
          <w:rFonts w:ascii="黑体" w:eastAsia="黑体"/>
          <w:b w:val="0"/>
          <w:bCs w:val="0"/>
          <w:sz w:val="24"/>
          <w:szCs w:val="20"/>
          <w:highlight w:val="none"/>
        </w:rPr>
      </w:pPr>
      <w:r>
        <w:rPr>
          <w:rFonts w:hint="eastAsia" w:ascii="黑体" w:eastAsia="黑体"/>
          <w:b w:val="0"/>
          <w:bCs w:val="0"/>
          <w:sz w:val="24"/>
          <w:szCs w:val="20"/>
          <w:highlight w:val="none"/>
        </w:rPr>
        <w:t>拟安排的项目主要团队成员（主要技术人员）情况（项目负责人除外）</w:t>
      </w:r>
    </w:p>
    <w:p>
      <w:pPr>
        <w:widowControl/>
        <w:jc w:val="center"/>
        <w:rPr>
          <w:highlight w:val="none"/>
        </w:rPr>
      </w:pPr>
      <w:r>
        <w:rPr>
          <w:rFonts w:hint="eastAsia" w:ascii="Verdana" w:hAnsi="Verdana" w:eastAsia="仿宋_GB2312"/>
          <w:color w:val="FF0000"/>
          <w:sz w:val="24"/>
          <w:szCs w:val="24"/>
          <w:highlight w:val="none"/>
        </w:rPr>
        <w:t>（根据评分细则的要求提供，格式自拟）</w:t>
      </w:r>
    </w:p>
    <w:p>
      <w:pPr>
        <w:rPr>
          <w:highlight w:val="none"/>
        </w:rPr>
      </w:pPr>
    </w:p>
    <w:p>
      <w:pPr>
        <w:pStyle w:val="6"/>
        <w:numPr>
          <w:ilvl w:val="0"/>
          <w:numId w:val="6"/>
        </w:numPr>
        <w:jc w:val="center"/>
        <w:rPr>
          <w:rFonts w:ascii="黑体" w:eastAsia="黑体"/>
          <w:b w:val="0"/>
          <w:bCs w:val="0"/>
          <w:sz w:val="24"/>
          <w:szCs w:val="20"/>
          <w:highlight w:val="none"/>
        </w:rPr>
      </w:pPr>
      <w:r>
        <w:rPr>
          <w:rFonts w:hint="eastAsia" w:ascii="黑体" w:eastAsia="黑体"/>
          <w:b w:val="0"/>
          <w:bCs w:val="0"/>
          <w:sz w:val="24"/>
          <w:szCs w:val="20"/>
          <w:highlight w:val="none"/>
        </w:rPr>
        <w:t>投标人认为需要加以说明的其他内容</w:t>
      </w:r>
    </w:p>
    <w:p>
      <w:pPr>
        <w:widowControl/>
        <w:jc w:val="center"/>
        <w:rPr>
          <w:rFonts w:ascii="黑体" w:hAnsi="宋体" w:eastAsia="黑体"/>
          <w:kern w:val="0"/>
          <w:sz w:val="24"/>
          <w:szCs w:val="20"/>
          <w:highlight w:val="none"/>
        </w:rPr>
      </w:pPr>
      <w:r>
        <w:rPr>
          <w:rFonts w:hint="eastAsia" w:ascii="黑体" w:hAnsi="宋体" w:eastAsia="黑体"/>
          <w:kern w:val="0"/>
          <w:sz w:val="24"/>
          <w:szCs w:val="20"/>
          <w:highlight w:val="none"/>
        </w:rPr>
        <w:t>（一）政府采购违法行为风险知悉确认书</w:t>
      </w:r>
    </w:p>
    <w:p>
      <w:pPr>
        <w:widowControl/>
        <w:jc w:val="center"/>
        <w:rPr>
          <w:rFonts w:ascii="黑体" w:hAnsi="宋体" w:eastAsia="黑体"/>
          <w:kern w:val="0"/>
          <w:sz w:val="24"/>
          <w:szCs w:val="20"/>
          <w:highlight w:val="none"/>
        </w:rPr>
      </w:pPr>
    </w:p>
    <w:p>
      <w:pPr>
        <w:spacing w:after="120" w:afterLines="50" w:line="360" w:lineRule="exact"/>
        <w:ind w:firstLine="482" w:firstLineChars="200"/>
        <w:rPr>
          <w:rFonts w:eastAsia="宋体" w:cs="Times New Roman"/>
          <w:b/>
          <w:bCs/>
          <w:sz w:val="24"/>
          <w:highlight w:val="none"/>
        </w:rPr>
      </w:pPr>
      <w:r>
        <w:rPr>
          <w:rFonts w:hint="eastAsia"/>
          <w:b/>
          <w:bCs/>
          <w:sz w:val="24"/>
          <w:highlight w:val="none"/>
        </w:rPr>
        <w:t>我</w:t>
      </w:r>
      <w:r>
        <w:rPr>
          <w:rFonts w:hint="eastAsia" w:ascii="Calibri" w:hAnsi="Calibri" w:eastAsia="宋体" w:cs="Times New Roman"/>
          <w:b/>
          <w:bCs/>
          <w:sz w:val="24"/>
          <w:szCs w:val="24"/>
          <w:highlight w:val="none"/>
        </w:rPr>
        <w:t>单位</w:t>
      </w:r>
      <w:r>
        <w:rPr>
          <w:rFonts w:hint="eastAsia" w:eastAsia="宋体"/>
          <w:b/>
          <w:bCs/>
          <w:sz w:val="24"/>
          <w:highlight w:val="none"/>
        </w:rPr>
        <w:t>在</w:t>
      </w:r>
      <w:r>
        <w:rPr>
          <w:rFonts w:hint="eastAsia"/>
          <w:b/>
          <w:bCs/>
          <w:sz w:val="24"/>
          <w:highlight w:val="none"/>
        </w:rPr>
        <w:t>投标前已充分知悉以下情形为参与政府采购活动时的重大风险事项，并承诺已对下述风险提示事项重点排查，</w:t>
      </w:r>
      <w:r>
        <w:rPr>
          <w:rFonts w:hint="eastAsia" w:eastAsia="宋体" w:cs="Times New Roman"/>
          <w:b/>
          <w:bCs/>
          <w:sz w:val="24"/>
          <w:highlight w:val="none"/>
        </w:rPr>
        <w:t>若存在下述情况，我单位愿意依法承担被记入供应商诚信档案、罚款、取消参与政府采购资格、吊销营业执照等处罚；构成犯罪的，依法承担刑事责任。</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pPr>
              <w:spacing w:line="400" w:lineRule="exact"/>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序号</w:t>
            </w:r>
          </w:p>
        </w:tc>
        <w:tc>
          <w:tcPr>
            <w:tcW w:w="7811" w:type="dxa"/>
          </w:tcPr>
          <w:p>
            <w:pPr>
              <w:spacing w:line="400" w:lineRule="exact"/>
              <w:jc w:val="center"/>
              <w:rPr>
                <w:rFonts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供应商参与投标禁止情形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pPr>
              <w:spacing w:line="400" w:lineRule="exact"/>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7811" w:type="dxa"/>
            <w:vAlign w:val="center"/>
          </w:tcPr>
          <w:p>
            <w:pPr>
              <w:spacing w:line="400" w:lineRule="exact"/>
              <w:jc w:val="left"/>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与其他投标供应商的法定代表人、主要经营负责人、投标授权代表人、项目负责人、主要技术人员为</w:t>
            </w:r>
            <w:r>
              <w:rPr>
                <w:rFonts w:hint="eastAsia" w:ascii="仿宋_GB2312" w:hAnsi="仿宋_GB2312" w:eastAsia="仿宋_GB2312" w:cs="仿宋_GB2312"/>
                <w:b/>
                <w:bCs/>
                <w:sz w:val="24"/>
                <w:szCs w:val="24"/>
                <w:highlight w:val="none"/>
              </w:rPr>
              <w:t>同一人、属同一单位或者在同一单位缴纳社会保险</w:t>
            </w:r>
            <w:r>
              <w:rPr>
                <w:rFonts w:hint="eastAsia" w:ascii="仿宋_GB2312" w:hAnsi="仿宋_GB2312" w:eastAsia="仿宋_GB2312" w:cs="仿宋_GB231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pPr>
              <w:spacing w:line="400" w:lineRule="exact"/>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p>
        </w:tc>
        <w:tc>
          <w:tcPr>
            <w:tcW w:w="7811" w:type="dxa"/>
            <w:vAlign w:val="center"/>
          </w:tcPr>
          <w:p>
            <w:pPr>
              <w:spacing w:line="400" w:lineRule="exact"/>
              <w:jc w:val="left"/>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参与本项目政府采购活动时，与其他投标供应商存在单位负责人为</w:t>
            </w:r>
            <w:r>
              <w:rPr>
                <w:rFonts w:hint="eastAsia" w:ascii="仿宋_GB2312" w:hAnsi="仿宋_GB2312" w:eastAsia="仿宋_GB2312" w:cs="仿宋_GB2312"/>
                <w:b/>
                <w:bCs/>
                <w:sz w:val="24"/>
                <w:szCs w:val="24"/>
                <w:highlight w:val="none"/>
              </w:rPr>
              <w:t>同一人或直接控股、管理关系</w:t>
            </w:r>
            <w:r>
              <w:rPr>
                <w:rFonts w:hint="eastAsia" w:ascii="仿宋_GB2312" w:hAnsi="仿宋_GB2312" w:eastAsia="仿宋_GB2312" w:cs="仿宋_GB231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pPr>
              <w:spacing w:line="400" w:lineRule="exact"/>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w:t>
            </w:r>
          </w:p>
        </w:tc>
        <w:tc>
          <w:tcPr>
            <w:tcW w:w="7811" w:type="dxa"/>
            <w:vAlign w:val="center"/>
          </w:tcPr>
          <w:p>
            <w:pPr>
              <w:spacing w:line="400" w:lineRule="exact"/>
              <w:jc w:val="left"/>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与其他投标供应商的投标文件或部分投标文件</w:t>
            </w:r>
            <w:r>
              <w:rPr>
                <w:rFonts w:hint="eastAsia" w:ascii="仿宋_GB2312" w:hAnsi="仿宋_GB2312" w:eastAsia="仿宋_GB2312" w:cs="仿宋_GB2312"/>
                <w:b/>
                <w:bCs/>
                <w:sz w:val="24"/>
                <w:szCs w:val="24"/>
                <w:highlight w:val="none"/>
              </w:rPr>
              <w:t>相互混装或存在非正常一致</w:t>
            </w:r>
            <w:r>
              <w:rPr>
                <w:rFonts w:hint="eastAsia" w:ascii="仿宋_GB2312" w:hAnsi="仿宋_GB2312" w:eastAsia="仿宋_GB2312" w:cs="仿宋_GB231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pPr>
              <w:spacing w:line="400" w:lineRule="exact"/>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w:t>
            </w:r>
          </w:p>
        </w:tc>
        <w:tc>
          <w:tcPr>
            <w:tcW w:w="7811" w:type="dxa"/>
            <w:vAlign w:val="center"/>
          </w:tcPr>
          <w:p>
            <w:pPr>
              <w:spacing w:line="400" w:lineRule="exact"/>
              <w:jc w:val="left"/>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与其他投标供应商的投标文件由</w:t>
            </w:r>
            <w:r>
              <w:rPr>
                <w:rFonts w:hint="eastAsia" w:ascii="仿宋_GB2312" w:hAnsi="仿宋_GB2312" w:eastAsia="仿宋_GB2312" w:cs="仿宋_GB2312"/>
                <w:b/>
                <w:bCs/>
                <w:sz w:val="24"/>
                <w:szCs w:val="24"/>
                <w:highlight w:val="none"/>
              </w:rPr>
              <w:t>同一单位或者同一人编制</w:t>
            </w:r>
            <w:r>
              <w:rPr>
                <w:rFonts w:hint="eastAsia" w:ascii="仿宋_GB2312" w:hAnsi="仿宋_GB2312" w:eastAsia="仿宋_GB2312" w:cs="仿宋_GB2312"/>
                <w:sz w:val="24"/>
                <w:szCs w:val="24"/>
                <w:highlight w:val="none"/>
              </w:rPr>
              <w:t>，或者使用</w:t>
            </w:r>
            <w:r>
              <w:rPr>
                <w:rFonts w:hint="eastAsia" w:ascii="仿宋_GB2312" w:hAnsi="仿宋_GB2312" w:eastAsia="仿宋_GB2312" w:cs="仿宋_GB2312"/>
                <w:b/>
                <w:bCs/>
                <w:sz w:val="24"/>
                <w:szCs w:val="24"/>
                <w:highlight w:val="none"/>
              </w:rPr>
              <w:t>同一设备编制</w:t>
            </w:r>
            <w:r>
              <w:rPr>
                <w:rFonts w:hint="eastAsia" w:ascii="仿宋_GB2312" w:hAnsi="仿宋_GB2312" w:eastAsia="仿宋_GB2312" w:cs="仿宋_GB2312"/>
                <w:sz w:val="24"/>
                <w:szCs w:val="24"/>
                <w:highlight w:val="none"/>
              </w:rPr>
              <w:t>（“文件制作机器码”“文件创建标识码”一致）。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pPr>
              <w:spacing w:line="400" w:lineRule="exact"/>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w:t>
            </w:r>
          </w:p>
        </w:tc>
        <w:tc>
          <w:tcPr>
            <w:tcW w:w="7811" w:type="dxa"/>
            <w:vAlign w:val="center"/>
          </w:tcPr>
          <w:p>
            <w:pPr>
              <w:spacing w:line="400" w:lineRule="exact"/>
              <w:jc w:val="left"/>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提供</w:t>
            </w:r>
            <w:r>
              <w:rPr>
                <w:rFonts w:hint="eastAsia" w:ascii="仿宋_GB2312" w:hAnsi="仿宋_GB2312" w:eastAsia="仿宋_GB2312" w:cs="仿宋_GB2312"/>
                <w:b/>
                <w:bCs/>
                <w:sz w:val="24"/>
                <w:szCs w:val="24"/>
                <w:highlight w:val="none"/>
              </w:rPr>
              <w:t>未经出具机构核实</w:t>
            </w:r>
            <w:r>
              <w:rPr>
                <w:rFonts w:hint="eastAsia" w:ascii="仿宋_GB2312" w:hAnsi="仿宋_GB2312" w:eastAsia="仿宋_GB2312" w:cs="仿宋_GB2312"/>
                <w:sz w:val="24"/>
                <w:szCs w:val="24"/>
                <w:highlight w:val="none"/>
              </w:rPr>
              <w:t>的虚假的检验检测报告、业绩材料、社保缴纳证明、学历学位证书、职称认证证书等材料。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1" w:type="dxa"/>
          </w:tcPr>
          <w:p>
            <w:pPr>
              <w:spacing w:line="400" w:lineRule="exact"/>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w:t>
            </w:r>
          </w:p>
        </w:tc>
        <w:tc>
          <w:tcPr>
            <w:tcW w:w="7811" w:type="dxa"/>
            <w:vAlign w:val="center"/>
          </w:tcPr>
          <w:p>
            <w:pPr>
              <w:spacing w:line="400" w:lineRule="exact"/>
              <w:jc w:val="left"/>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擅自将投标密钥或电子营业执照出借他人使用或未妥善保管。</w:t>
            </w:r>
          </w:p>
        </w:tc>
      </w:tr>
    </w:tbl>
    <w:p>
      <w:pPr>
        <w:spacing w:before="120" w:beforeLines="50" w:line="380" w:lineRule="exact"/>
        <w:ind w:firstLine="422" w:firstLineChars="200"/>
        <w:rPr>
          <w:b/>
          <w:highlight w:val="none"/>
        </w:rPr>
      </w:pPr>
      <w:r>
        <w:rPr>
          <w:rFonts w:hint="eastAsia"/>
          <w:b/>
          <w:highlight w:val="none"/>
        </w:rPr>
        <w:t>一、我单位已充分知悉“隐瞒真实情况，提供虚假资料”的法定情形，包括但不限于：</w:t>
      </w:r>
    </w:p>
    <w:p>
      <w:pPr>
        <w:spacing w:line="380" w:lineRule="exact"/>
        <w:ind w:firstLine="420" w:firstLineChars="200"/>
        <w:rPr>
          <w:highlight w:val="none"/>
        </w:rPr>
      </w:pPr>
      <w:r>
        <w:rPr>
          <w:rFonts w:hint="eastAsia"/>
          <w:highlight w:val="none"/>
        </w:rPr>
        <w:t>（一）通过转让或者租借等方式从其他单位获取资格或者资质证书投标的。</w:t>
      </w:r>
    </w:p>
    <w:p>
      <w:pPr>
        <w:spacing w:line="380" w:lineRule="exact"/>
        <w:ind w:firstLine="420" w:firstLineChars="200"/>
        <w:rPr>
          <w:highlight w:val="none"/>
        </w:rPr>
      </w:pPr>
      <w:r>
        <w:rPr>
          <w:rFonts w:hint="eastAsia"/>
          <w:highlight w:val="none"/>
        </w:rPr>
        <w:t>（二）由其他单位或者其他单位负责人在投标供应商编制的投标文件上加盖印章或者签字的。</w:t>
      </w:r>
    </w:p>
    <w:p>
      <w:pPr>
        <w:spacing w:line="380" w:lineRule="exact"/>
        <w:ind w:firstLine="420" w:firstLineChars="200"/>
        <w:rPr>
          <w:highlight w:val="none"/>
        </w:rPr>
      </w:pPr>
      <w:r>
        <w:rPr>
          <w:rFonts w:hint="eastAsia"/>
          <w:highlight w:val="none"/>
        </w:rPr>
        <w:t>（三）项目负责人或者主要技术人员不是本单位人员的。</w:t>
      </w:r>
    </w:p>
    <w:p>
      <w:pPr>
        <w:spacing w:line="380" w:lineRule="exact"/>
        <w:ind w:firstLine="420" w:firstLineChars="200"/>
        <w:rPr>
          <w:highlight w:val="none"/>
        </w:rPr>
      </w:pPr>
      <w:r>
        <w:rPr>
          <w:rFonts w:hint="eastAsia"/>
          <w:highlight w:val="none"/>
        </w:rPr>
        <w:t>（四）投标保证金不是从投标供应商基本账户转出的。</w:t>
      </w:r>
    </w:p>
    <w:p>
      <w:pPr>
        <w:spacing w:line="380" w:lineRule="exact"/>
        <w:ind w:firstLine="420" w:firstLineChars="200"/>
        <w:rPr>
          <w:highlight w:val="none"/>
        </w:rPr>
      </w:pPr>
      <w:r>
        <w:rPr>
          <w:rFonts w:hint="eastAsia"/>
          <w:highlight w:val="none"/>
        </w:rPr>
        <w:t>（五）其他隐瞒真实情况、提供虚假资料的行为。</w:t>
      </w:r>
    </w:p>
    <w:p>
      <w:pPr>
        <w:spacing w:line="380" w:lineRule="exact"/>
        <w:ind w:firstLine="422" w:firstLineChars="200"/>
        <w:rPr>
          <w:b/>
          <w:highlight w:val="none"/>
        </w:rPr>
      </w:pPr>
      <w:r>
        <w:rPr>
          <w:rFonts w:hint="eastAsia"/>
          <w:b/>
          <w:highlight w:val="none"/>
        </w:rPr>
        <w:t>二、我单位已充分知悉“与其他采购参加人串通投标”的法定情形，包括但不限于：</w:t>
      </w:r>
    </w:p>
    <w:p>
      <w:pPr>
        <w:spacing w:line="380" w:lineRule="exact"/>
        <w:ind w:firstLine="420" w:firstLineChars="200"/>
        <w:rPr>
          <w:highlight w:val="none"/>
        </w:rPr>
      </w:pPr>
      <w:r>
        <w:rPr>
          <w:rFonts w:hint="eastAsia"/>
          <w:highlight w:val="none"/>
        </w:rPr>
        <w:t>（一）投标供应商之间相互约定给予未中标的供应商利益补偿。</w:t>
      </w:r>
    </w:p>
    <w:p>
      <w:pPr>
        <w:spacing w:line="380" w:lineRule="exact"/>
        <w:ind w:firstLine="420" w:firstLineChars="200"/>
        <w:rPr>
          <w:highlight w:val="none"/>
        </w:rPr>
      </w:pPr>
      <w:r>
        <w:rPr>
          <w:rFonts w:hint="eastAsia"/>
          <w:highlight w:val="none"/>
        </w:rPr>
        <w:t>（二）不同投标供应商的法定代表人、主要经营负责人、项目投标授权代表人、项目负责人、主要技术人员为同一人、属同一单位或者在同一单位缴纳社会保险。</w:t>
      </w:r>
    </w:p>
    <w:p>
      <w:pPr>
        <w:spacing w:line="340" w:lineRule="exact"/>
        <w:ind w:firstLine="420" w:firstLineChars="200"/>
        <w:rPr>
          <w:highlight w:val="none"/>
        </w:rPr>
      </w:pPr>
      <w:r>
        <w:rPr>
          <w:rFonts w:hint="eastAsia"/>
          <w:highlight w:val="none"/>
        </w:rPr>
        <w:t>（三）不同投标供应商的投标文件由同一单位或者同一人编制，或者由同一人分阶段参与编制的。</w:t>
      </w:r>
    </w:p>
    <w:p>
      <w:pPr>
        <w:spacing w:line="340" w:lineRule="exact"/>
        <w:ind w:firstLine="420" w:firstLineChars="200"/>
        <w:rPr>
          <w:highlight w:val="none"/>
        </w:rPr>
      </w:pPr>
      <w:r>
        <w:rPr>
          <w:rFonts w:hint="eastAsia"/>
          <w:highlight w:val="none"/>
        </w:rPr>
        <w:t>（四）不同投标供应商的投标文件或部分投标文件相互混装。</w:t>
      </w:r>
    </w:p>
    <w:p>
      <w:pPr>
        <w:spacing w:line="340" w:lineRule="exact"/>
        <w:ind w:firstLine="420" w:firstLineChars="200"/>
        <w:rPr>
          <w:highlight w:val="none"/>
        </w:rPr>
      </w:pPr>
      <w:r>
        <w:rPr>
          <w:rFonts w:hint="eastAsia"/>
          <w:highlight w:val="none"/>
        </w:rPr>
        <w:t>（五）不同投标供应商的投标文件内容存在非正常一致。</w:t>
      </w:r>
    </w:p>
    <w:p>
      <w:pPr>
        <w:spacing w:line="340" w:lineRule="exact"/>
        <w:ind w:firstLine="420" w:firstLineChars="200"/>
        <w:rPr>
          <w:highlight w:val="none"/>
        </w:rPr>
      </w:pPr>
      <w:r>
        <w:rPr>
          <w:rFonts w:hint="eastAsia"/>
          <w:highlight w:val="none"/>
        </w:rPr>
        <w:t>（六）由同一单位工作人员为两家以上（含两家）供应商进行同一项投标活动的。</w:t>
      </w:r>
    </w:p>
    <w:p>
      <w:pPr>
        <w:spacing w:line="340" w:lineRule="exact"/>
        <w:ind w:firstLine="420" w:firstLineChars="200"/>
        <w:rPr>
          <w:highlight w:val="none"/>
        </w:rPr>
      </w:pPr>
      <w:r>
        <w:rPr>
          <w:rFonts w:hint="eastAsia"/>
          <w:highlight w:val="none"/>
        </w:rPr>
        <w:t>（七）不同投标人的投标报价呈规律性差异。</w:t>
      </w:r>
    </w:p>
    <w:p>
      <w:pPr>
        <w:spacing w:line="340" w:lineRule="exact"/>
        <w:ind w:firstLine="420" w:firstLineChars="200"/>
        <w:rPr>
          <w:highlight w:val="none"/>
        </w:rPr>
      </w:pPr>
      <w:r>
        <w:rPr>
          <w:rFonts w:hint="eastAsia"/>
          <w:highlight w:val="none"/>
        </w:rPr>
        <w:t>（八）不同投标人的投标保证金从同一单位或者个人的账户转出。</w:t>
      </w:r>
    </w:p>
    <w:p>
      <w:pPr>
        <w:spacing w:line="340" w:lineRule="exact"/>
        <w:ind w:firstLine="420" w:firstLineChars="200"/>
        <w:rPr>
          <w:highlight w:val="none"/>
        </w:rPr>
      </w:pPr>
      <w:r>
        <w:rPr>
          <w:rFonts w:hint="eastAsia"/>
          <w:highlight w:val="none"/>
        </w:rPr>
        <w:t>（九）主管部门依照法律、法规认定的其他情形。</w:t>
      </w:r>
    </w:p>
    <w:p>
      <w:pPr>
        <w:spacing w:line="340" w:lineRule="exact"/>
        <w:ind w:firstLine="422" w:firstLineChars="200"/>
        <w:rPr>
          <w:b/>
          <w:highlight w:val="none"/>
        </w:rPr>
      </w:pPr>
      <w:r>
        <w:rPr>
          <w:rFonts w:hint="eastAsia"/>
          <w:b/>
          <w:highlight w:val="none"/>
        </w:rPr>
        <w:t>三、我单位已充分知悉下列情形存在法律风险，在投标前已对相关风险事项进行排查。</w:t>
      </w:r>
    </w:p>
    <w:p>
      <w:pPr>
        <w:spacing w:line="340" w:lineRule="exact"/>
        <w:ind w:firstLine="420" w:firstLineChars="200"/>
        <w:rPr>
          <w:b/>
          <w:highlight w:val="none"/>
        </w:rPr>
      </w:pPr>
      <w:r>
        <w:rPr>
          <w:rFonts w:hint="eastAsia"/>
          <w:highlight w:val="none"/>
        </w:rPr>
        <w:t>（一）对于从其他主体获取的投标资料，我单位应审慎核查，确保其真实性。</w:t>
      </w:r>
      <w:r>
        <w:rPr>
          <w:rFonts w:hint="eastAsia"/>
          <w:b/>
          <w:highlight w:val="none"/>
        </w:rPr>
        <w:t>如主管部门查实投标文件中存在虚假资料的，无论相关资料是否由第三方或本公司员工提供，均不影响主管部门对供应商存在“隐瞒真实情况，提供虚假资料”违法行为的认定。</w:t>
      </w:r>
    </w:p>
    <w:p>
      <w:pPr>
        <w:spacing w:line="340" w:lineRule="exact"/>
        <w:ind w:firstLine="420" w:firstLineChars="200"/>
        <w:rPr>
          <w:highlight w:val="none"/>
        </w:rPr>
      </w:pPr>
      <w:r>
        <w:rPr>
          <w:rFonts w:hint="eastAsia"/>
          <w:highlight w:val="none"/>
        </w:rPr>
        <w:t>（二）对于涉及国家机关出具的公文、证件、证明材料等文件，一旦涉嫌虚假，经查实，主管部门将依法从严处理，并移送有关部门追究法律责任；涉嫌犯罪的，移送司法机关处理。</w:t>
      </w:r>
    </w:p>
    <w:p>
      <w:pPr>
        <w:spacing w:line="340" w:lineRule="exact"/>
        <w:ind w:firstLine="420" w:firstLineChars="200"/>
        <w:rPr>
          <w:highlight w:val="none"/>
        </w:rPr>
      </w:pPr>
      <w:r>
        <w:rPr>
          <w:rFonts w:hint="eastAsia"/>
          <w:highlight w:val="none"/>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b/>
          <w:bCs/>
          <w:highlight w:val="none"/>
        </w:rPr>
        <w:t>擅自将投标密钥或电子营业执照出借他人使用所造成的法律后果，由我单位自行承担</w:t>
      </w:r>
      <w:r>
        <w:rPr>
          <w:rFonts w:hint="eastAsia"/>
          <w:highlight w:val="none"/>
        </w:rPr>
        <w:t>。</w:t>
      </w:r>
    </w:p>
    <w:p>
      <w:pPr>
        <w:spacing w:line="340" w:lineRule="exact"/>
        <w:ind w:firstLine="422" w:firstLineChars="200"/>
        <w:rPr>
          <w:b/>
          <w:highlight w:val="none"/>
        </w:rPr>
      </w:pPr>
      <w:r>
        <w:rPr>
          <w:rFonts w:hint="eastAsia"/>
          <w:b/>
          <w:highlight w:val="none"/>
        </w:rPr>
        <w:t>四、我单位已充分知悉政府采购违法、违规行为的法律后果。</w:t>
      </w:r>
    </w:p>
    <w:p>
      <w:pPr>
        <w:spacing w:line="340" w:lineRule="exact"/>
        <w:ind w:firstLine="420" w:firstLineChars="200"/>
        <w:rPr>
          <w:highlight w:val="none"/>
        </w:rPr>
      </w:pPr>
      <w:r>
        <w:rPr>
          <w:rFonts w:hint="eastAsia"/>
          <w:highlight w:val="none"/>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pPr>
        <w:spacing w:line="340" w:lineRule="exact"/>
        <w:ind w:firstLine="420" w:firstLineChars="200"/>
        <w:rPr>
          <w:highlight w:val="none"/>
        </w:rPr>
      </w:pPr>
      <w:r>
        <w:rPr>
          <w:rFonts w:hint="eastAsia"/>
          <w:highlight w:val="none"/>
        </w:rPr>
        <w:t>以下文字请投标供应商抄写并确认：“我单位已仔细阅读《政府采购违法行为风险知悉确认书》，充分知悉违法行为的法律后果，并承诺将严谨、诚信、依法依规参与政府采购活动”。</w:t>
      </w:r>
    </w:p>
    <w:tbl>
      <w:tblPr>
        <w:tblStyle w:val="48"/>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pPr>
              <w:autoSpaceDE w:val="0"/>
              <w:autoSpaceDN w:val="0"/>
              <w:spacing w:line="340" w:lineRule="exact"/>
              <w:ind w:firstLine="1866"/>
              <w:rPr>
                <w:rFonts w:ascii="宋体" w:hAnsi="宋体" w:eastAsia="宋体"/>
                <w:spacing w:val="-4"/>
                <w:kern w:val="0"/>
                <w:szCs w:val="21"/>
                <w:highlight w:val="none"/>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pPr>
              <w:autoSpaceDE w:val="0"/>
              <w:autoSpaceDN w:val="0"/>
              <w:spacing w:line="340" w:lineRule="exact"/>
              <w:ind w:firstLine="1866"/>
              <w:rPr>
                <w:rFonts w:ascii="宋体" w:hAnsi="宋体" w:eastAsia="宋体"/>
                <w:spacing w:val="-4"/>
                <w:kern w:val="0"/>
                <w:szCs w:val="21"/>
                <w:highlight w:val="none"/>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pPr>
              <w:autoSpaceDE w:val="0"/>
              <w:autoSpaceDN w:val="0"/>
              <w:spacing w:line="340" w:lineRule="exact"/>
              <w:ind w:firstLine="1866"/>
              <w:rPr>
                <w:rFonts w:ascii="宋体" w:hAnsi="宋体" w:eastAsia="宋体"/>
                <w:spacing w:val="-4"/>
                <w:kern w:val="0"/>
                <w:szCs w:val="21"/>
                <w:highlight w:val="none"/>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pPr>
              <w:autoSpaceDE w:val="0"/>
              <w:autoSpaceDN w:val="0"/>
              <w:spacing w:line="340" w:lineRule="exact"/>
              <w:ind w:firstLine="1866"/>
              <w:rPr>
                <w:rFonts w:ascii="宋体" w:hAnsi="宋体" w:eastAsia="宋体"/>
                <w:spacing w:val="-4"/>
                <w:kern w:val="0"/>
                <w:szCs w:val="21"/>
                <w:highlight w:val="none"/>
              </w:rPr>
            </w:pPr>
          </w:p>
        </w:tc>
      </w:tr>
    </w:tbl>
    <w:p>
      <w:pPr>
        <w:widowControl/>
        <w:wordWrap w:val="0"/>
        <w:autoSpaceDE w:val="0"/>
        <w:autoSpaceDN w:val="0"/>
        <w:spacing w:line="340" w:lineRule="exact"/>
        <w:ind w:right="808" w:firstLine="404" w:firstLineChars="200"/>
        <w:jc w:val="right"/>
        <w:rPr>
          <w:rFonts w:ascii="宋体" w:hAnsi="宋体" w:eastAsia="宋体"/>
          <w:spacing w:val="-4"/>
          <w:kern w:val="0"/>
          <w:szCs w:val="21"/>
          <w:highlight w:val="none"/>
        </w:rPr>
      </w:pPr>
    </w:p>
    <w:p>
      <w:pPr>
        <w:widowControl/>
        <w:wordWrap w:val="0"/>
        <w:autoSpaceDE w:val="0"/>
        <w:autoSpaceDN w:val="0"/>
        <w:spacing w:line="340" w:lineRule="exact"/>
        <w:ind w:right="808" w:firstLine="404" w:firstLineChars="200"/>
        <w:jc w:val="right"/>
        <w:rPr>
          <w:rFonts w:ascii="宋体" w:hAnsi="宋体" w:eastAsia="宋体"/>
          <w:spacing w:val="-4"/>
          <w:kern w:val="0"/>
          <w:szCs w:val="21"/>
          <w:highlight w:val="none"/>
          <w:u w:val="single"/>
        </w:rPr>
      </w:pPr>
      <w:r>
        <w:rPr>
          <w:rFonts w:hint="eastAsia" w:ascii="宋体" w:hAnsi="宋体" w:eastAsia="宋体"/>
          <w:spacing w:val="-4"/>
          <w:kern w:val="0"/>
          <w:szCs w:val="21"/>
          <w:highlight w:val="none"/>
        </w:rPr>
        <w:t>单位负责人签名：</w:t>
      </w:r>
      <w:r>
        <w:rPr>
          <w:rFonts w:hint="eastAsia" w:ascii="宋体" w:hAnsi="宋体" w:eastAsia="宋体"/>
          <w:spacing w:val="-4"/>
          <w:kern w:val="0"/>
          <w:szCs w:val="21"/>
          <w:highlight w:val="none"/>
          <w:u w:val="single"/>
        </w:rPr>
        <w:t xml:space="preserve">              </w:t>
      </w:r>
    </w:p>
    <w:p>
      <w:pPr>
        <w:widowControl/>
        <w:wordWrap w:val="0"/>
        <w:autoSpaceDE w:val="0"/>
        <w:autoSpaceDN w:val="0"/>
        <w:spacing w:line="340" w:lineRule="exact"/>
        <w:ind w:right="808" w:firstLine="404" w:firstLineChars="200"/>
        <w:jc w:val="center"/>
        <w:rPr>
          <w:rFonts w:ascii="宋体" w:hAnsi="宋体" w:eastAsia="宋体"/>
          <w:spacing w:val="-4"/>
          <w:kern w:val="0"/>
          <w:szCs w:val="21"/>
          <w:highlight w:val="none"/>
          <w:u w:val="single"/>
        </w:rPr>
      </w:pPr>
      <w:r>
        <w:rPr>
          <w:rFonts w:hint="eastAsia" w:ascii="宋体" w:hAnsi="宋体" w:eastAsia="宋体"/>
          <w:spacing w:val="-4"/>
          <w:kern w:val="0"/>
          <w:szCs w:val="21"/>
          <w:highlight w:val="none"/>
        </w:rPr>
        <w:t xml:space="preserve">                                 （加盖公章）</w:t>
      </w:r>
    </w:p>
    <w:p>
      <w:pPr>
        <w:widowControl/>
        <w:wordWrap w:val="0"/>
        <w:autoSpaceDE w:val="0"/>
        <w:autoSpaceDN w:val="0"/>
        <w:spacing w:line="340" w:lineRule="exact"/>
        <w:ind w:right="808" w:firstLine="404" w:firstLineChars="200"/>
        <w:jc w:val="right"/>
        <w:rPr>
          <w:rFonts w:ascii="宋体" w:hAnsi="宋体" w:eastAsia="宋体"/>
          <w:spacing w:val="-4"/>
          <w:kern w:val="0"/>
          <w:szCs w:val="21"/>
          <w:highlight w:val="none"/>
          <w:u w:val="single"/>
        </w:rPr>
      </w:pPr>
      <w:r>
        <w:rPr>
          <w:rFonts w:hint="eastAsia" w:ascii="宋体" w:hAnsi="宋体" w:eastAsia="宋体"/>
          <w:spacing w:val="-4"/>
          <w:kern w:val="0"/>
          <w:szCs w:val="21"/>
          <w:highlight w:val="none"/>
        </w:rPr>
        <w:t xml:space="preserve">     日期：</w:t>
      </w:r>
      <w:r>
        <w:rPr>
          <w:rFonts w:hint="eastAsia" w:ascii="宋体" w:hAnsi="宋体" w:eastAsia="宋体"/>
          <w:spacing w:val="-4"/>
          <w:kern w:val="0"/>
          <w:szCs w:val="21"/>
          <w:highlight w:val="none"/>
          <w:u w:val="single"/>
        </w:rPr>
        <w:t xml:space="preserve">              </w:t>
      </w:r>
    </w:p>
    <w:p>
      <w:pPr>
        <w:widowControl/>
        <w:autoSpaceDE w:val="0"/>
        <w:autoSpaceDN w:val="0"/>
        <w:spacing w:line="340" w:lineRule="exact"/>
        <w:ind w:firstLine="406" w:firstLineChars="200"/>
        <w:jc w:val="left"/>
        <w:rPr>
          <w:rFonts w:ascii="宋体" w:hAnsi="宋体" w:eastAsia="宋体"/>
          <w:b/>
          <w:bCs/>
          <w:spacing w:val="-4"/>
          <w:kern w:val="0"/>
          <w:szCs w:val="21"/>
          <w:highlight w:val="none"/>
        </w:rPr>
      </w:pPr>
    </w:p>
    <w:p>
      <w:pPr>
        <w:widowControl/>
        <w:autoSpaceDE w:val="0"/>
        <w:autoSpaceDN w:val="0"/>
        <w:spacing w:line="340" w:lineRule="exact"/>
        <w:ind w:firstLine="406" w:firstLineChars="200"/>
        <w:jc w:val="left"/>
        <w:rPr>
          <w:rFonts w:ascii="宋体" w:hAnsi="宋体" w:eastAsia="宋体"/>
          <w:b/>
          <w:bCs/>
          <w:color w:val="FF0000"/>
          <w:spacing w:val="-4"/>
          <w:kern w:val="0"/>
          <w:szCs w:val="21"/>
          <w:highlight w:val="none"/>
        </w:rPr>
      </w:pPr>
      <w:r>
        <w:rPr>
          <w:rFonts w:hint="eastAsia" w:ascii="宋体" w:hAnsi="宋体" w:eastAsia="宋体"/>
          <w:b/>
          <w:bCs/>
          <w:color w:val="FF0000"/>
          <w:spacing w:val="-4"/>
          <w:kern w:val="0"/>
          <w:szCs w:val="21"/>
          <w:highlight w:val="none"/>
        </w:rPr>
        <w:t>注：</w:t>
      </w:r>
      <w:r>
        <w:rPr>
          <w:rFonts w:hint="eastAsia" w:ascii="宋体" w:hAnsi="宋体"/>
          <w:b/>
          <w:bCs/>
          <w:color w:val="FF0000"/>
          <w:spacing w:val="-4"/>
          <w:kern w:val="0"/>
          <w:szCs w:val="21"/>
          <w:highlight w:val="none"/>
        </w:rPr>
        <w:t>1.</w:t>
      </w:r>
      <w:r>
        <w:rPr>
          <w:rFonts w:hint="eastAsia" w:ascii="宋体" w:hAnsi="宋体" w:eastAsia="宋体"/>
          <w:b/>
          <w:bCs/>
          <w:color w:val="FF0000"/>
          <w:spacing w:val="-4"/>
          <w:kern w:val="0"/>
          <w:szCs w:val="21"/>
          <w:highlight w:val="none"/>
        </w:rPr>
        <w:t>《政府采购违法行为风险知悉确认书》需由投标供应商负责人签字并加盖单位公章后，扫描上传至投标文件一并提交。</w:t>
      </w:r>
    </w:p>
    <w:p>
      <w:pPr>
        <w:pStyle w:val="57"/>
        <w:ind w:firstLine="422" w:firstLineChars="200"/>
        <w:rPr>
          <w:b/>
          <w:bCs/>
          <w:color w:val="FF0000"/>
          <w:highlight w:val="none"/>
        </w:rPr>
      </w:pPr>
      <w:r>
        <w:rPr>
          <w:rFonts w:hint="eastAsia"/>
          <w:b/>
          <w:bCs/>
          <w:color w:val="FF0000"/>
          <w:highlight w:val="none"/>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pPr>
        <w:widowControl/>
        <w:wordWrap w:val="0"/>
        <w:autoSpaceDE w:val="0"/>
        <w:autoSpaceDN w:val="0"/>
        <w:spacing w:line="400" w:lineRule="exact"/>
        <w:ind w:right="1414" w:firstLine="404" w:firstLineChars="200"/>
        <w:jc w:val="right"/>
        <w:rPr>
          <w:rFonts w:ascii="宋体" w:hAnsi="宋体"/>
          <w:color w:val="FF0000"/>
          <w:spacing w:val="-4"/>
          <w:kern w:val="0"/>
          <w:szCs w:val="21"/>
          <w:highlight w:val="none"/>
        </w:rPr>
      </w:pPr>
      <w:r>
        <w:rPr>
          <w:rFonts w:hint="eastAsia" w:ascii="宋体" w:hAnsi="宋体"/>
          <w:spacing w:val="-4"/>
          <w:kern w:val="0"/>
          <w:szCs w:val="21"/>
          <w:highlight w:val="none"/>
        </w:rPr>
        <w:t xml:space="preserve">     </w:t>
      </w:r>
    </w:p>
    <w:p>
      <w:pPr>
        <w:widowControl/>
        <w:autoSpaceDE w:val="0"/>
        <w:autoSpaceDN w:val="0"/>
        <w:spacing w:line="400" w:lineRule="exact"/>
        <w:ind w:right="1414" w:firstLine="480" w:firstLineChars="200"/>
        <w:jc w:val="right"/>
        <w:rPr>
          <w:kern w:val="0"/>
          <w:sz w:val="24"/>
          <w:highlight w:val="none"/>
        </w:rPr>
      </w:pPr>
    </w:p>
    <w:p>
      <w:pPr>
        <w:widowControl/>
        <w:autoSpaceDE w:val="0"/>
        <w:autoSpaceDN w:val="0"/>
        <w:spacing w:line="400" w:lineRule="exact"/>
        <w:ind w:right="1414" w:firstLine="480" w:firstLineChars="200"/>
        <w:jc w:val="right"/>
        <w:rPr>
          <w:kern w:val="0"/>
          <w:sz w:val="24"/>
          <w:highlight w:val="none"/>
        </w:rPr>
      </w:pPr>
    </w:p>
    <w:p>
      <w:pPr>
        <w:jc w:val="center"/>
        <w:rPr>
          <w:rFonts w:ascii="黑体" w:eastAsia="黑体"/>
          <w:sz w:val="24"/>
          <w:szCs w:val="20"/>
          <w:highlight w:val="none"/>
        </w:rPr>
      </w:pPr>
      <w:r>
        <w:rPr>
          <w:rFonts w:hint="eastAsia" w:ascii="黑体" w:eastAsia="黑体"/>
          <w:sz w:val="24"/>
          <w:szCs w:val="20"/>
          <w:highlight w:val="none"/>
        </w:rPr>
        <w:t>（二）订单融资情况</w:t>
      </w:r>
    </w:p>
    <w:p>
      <w:pPr>
        <w:ind w:firstLine="422" w:firstLineChars="200"/>
        <w:rPr>
          <w:rFonts w:ascii="宋体" w:hAnsi="宋体" w:cs="宋体"/>
          <w:b/>
          <w:bCs/>
          <w:highlight w:val="none"/>
        </w:rPr>
      </w:pPr>
      <w:r>
        <w:rPr>
          <w:rFonts w:hint="eastAsia" w:ascii="宋体" w:hAnsi="宋体" w:cs="宋体"/>
          <w:b/>
          <w:bCs/>
          <w:highlight w:val="none"/>
        </w:rPr>
        <w:t>1、关于政府采购订单融资政策</w:t>
      </w:r>
    </w:p>
    <w:p>
      <w:pPr>
        <w:pStyle w:val="2"/>
        <w:spacing w:line="240" w:lineRule="auto"/>
        <w:ind w:firstLine="420" w:firstLineChars="200"/>
        <w:rPr>
          <w:rFonts w:ascii="Times New Roman" w:hAnsi="Times New Roman" w:eastAsia="宋体" w:cs="Times New Roman"/>
          <w:b w:val="0"/>
          <w:sz w:val="21"/>
          <w:szCs w:val="21"/>
          <w:highlight w:val="none"/>
        </w:rPr>
      </w:pPr>
      <w:r>
        <w:rPr>
          <w:rFonts w:hint="eastAsia" w:ascii="Times New Roman" w:hAnsi="Times New Roman" w:eastAsia="宋体" w:cs="Times New Roman"/>
          <w:b w:val="0"/>
          <w:sz w:val="21"/>
          <w:szCs w:val="21"/>
          <w:highlight w:val="none"/>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pPr>
        <w:ind w:firstLine="422" w:firstLineChars="200"/>
        <w:rPr>
          <w:rFonts w:ascii="宋体" w:hAnsi="宋体" w:cs="宋体"/>
          <w:b/>
          <w:bCs/>
          <w:highlight w:val="none"/>
        </w:rPr>
      </w:pPr>
      <w:r>
        <w:rPr>
          <w:rFonts w:hint="eastAsia" w:ascii="宋体" w:hAnsi="宋体" w:cs="宋体"/>
          <w:b/>
          <w:bCs/>
          <w:highlight w:val="none"/>
        </w:rPr>
        <w:t>2、供应商账户信息</w:t>
      </w:r>
    </w:p>
    <w:p>
      <w:pPr>
        <w:ind w:left="420" w:leftChars="200" w:firstLine="210" w:firstLineChars="100"/>
        <w:rPr>
          <w:szCs w:val="21"/>
          <w:highlight w:val="none"/>
        </w:rPr>
      </w:pPr>
      <w:r>
        <w:rPr>
          <w:rFonts w:hint="eastAsia"/>
          <w:szCs w:val="21"/>
          <w:highlight w:val="none"/>
        </w:rPr>
        <w:t>投标人（单位全称）：</w:t>
      </w:r>
      <w:r>
        <w:rPr>
          <w:rFonts w:hint="eastAsia"/>
          <w:szCs w:val="21"/>
          <w:highlight w:val="none"/>
          <w:u w:val="thick"/>
        </w:rPr>
        <w:t xml:space="preserve">                           </w:t>
      </w:r>
      <w:r>
        <w:rPr>
          <w:rFonts w:hint="eastAsia" w:eastAsia="宋体"/>
          <w:szCs w:val="21"/>
          <w:highlight w:val="none"/>
        </w:rPr>
        <w:t>；</w:t>
      </w:r>
      <w:r>
        <w:rPr>
          <w:rFonts w:hint="eastAsia"/>
          <w:szCs w:val="21"/>
          <w:highlight w:val="none"/>
        </w:rPr>
        <w:t xml:space="preserve">  </w:t>
      </w:r>
    </w:p>
    <w:p>
      <w:pPr>
        <w:ind w:left="420" w:leftChars="200" w:firstLine="210" w:firstLineChars="100"/>
        <w:rPr>
          <w:szCs w:val="21"/>
          <w:highlight w:val="none"/>
        </w:rPr>
      </w:pPr>
      <w:r>
        <w:rPr>
          <w:rFonts w:hint="eastAsia"/>
          <w:szCs w:val="21"/>
          <w:highlight w:val="none"/>
        </w:rPr>
        <w:t>投标人单位地址：</w:t>
      </w:r>
      <w:r>
        <w:rPr>
          <w:rFonts w:hint="eastAsia"/>
          <w:szCs w:val="21"/>
          <w:highlight w:val="none"/>
          <w:u w:val="thick"/>
        </w:rPr>
        <w:t xml:space="preserve">       </w:t>
      </w:r>
      <w:r>
        <w:rPr>
          <w:rFonts w:hint="eastAsia" w:ascii="Times New Roman" w:eastAsia="宋体"/>
          <w:szCs w:val="21"/>
          <w:highlight w:val="none"/>
          <w:u w:val="thick"/>
        </w:rPr>
        <w:t xml:space="preserve">          </w:t>
      </w:r>
      <w:r>
        <w:rPr>
          <w:rFonts w:hint="eastAsia"/>
          <w:szCs w:val="21"/>
          <w:highlight w:val="none"/>
          <w:u w:val="thick"/>
        </w:rPr>
        <w:t xml:space="preserve"> </w:t>
      </w:r>
      <w:r>
        <w:rPr>
          <w:rFonts w:hint="eastAsia" w:ascii="Times New Roman" w:eastAsia="宋体"/>
          <w:szCs w:val="21"/>
          <w:highlight w:val="none"/>
          <w:u w:val="thick"/>
        </w:rPr>
        <w:t xml:space="preserve">  </w:t>
      </w:r>
      <w:r>
        <w:rPr>
          <w:rFonts w:hint="eastAsia" w:eastAsia="宋体"/>
          <w:szCs w:val="21"/>
          <w:highlight w:val="none"/>
        </w:rPr>
        <w:t>；</w:t>
      </w:r>
    </w:p>
    <w:p>
      <w:pPr>
        <w:ind w:left="420" w:leftChars="200" w:firstLine="210" w:firstLineChars="100"/>
        <w:rPr>
          <w:szCs w:val="21"/>
          <w:highlight w:val="none"/>
        </w:rPr>
      </w:pPr>
      <w:r>
        <w:rPr>
          <w:rFonts w:hint="eastAsia"/>
          <w:szCs w:val="21"/>
          <w:highlight w:val="none"/>
        </w:rPr>
        <w:t>法定代表人（负责人）或其</w:t>
      </w:r>
      <w:r>
        <w:rPr>
          <w:rFonts w:hint="eastAsia" w:ascii="Times New Roman" w:eastAsia="宋体"/>
          <w:szCs w:val="21"/>
          <w:highlight w:val="none"/>
        </w:rPr>
        <w:t>授权</w:t>
      </w:r>
      <w:r>
        <w:rPr>
          <w:rFonts w:hint="eastAsia"/>
          <w:szCs w:val="21"/>
          <w:highlight w:val="none"/>
        </w:rPr>
        <w:t>委托代理人：</w:t>
      </w:r>
      <w:r>
        <w:rPr>
          <w:rFonts w:hint="eastAsia"/>
          <w:szCs w:val="21"/>
          <w:highlight w:val="none"/>
          <w:u w:val="thick"/>
        </w:rPr>
        <w:t xml:space="preserve">                      </w:t>
      </w:r>
      <w:r>
        <w:rPr>
          <w:rFonts w:hint="eastAsia" w:eastAsia="宋体"/>
          <w:szCs w:val="21"/>
          <w:highlight w:val="none"/>
        </w:rPr>
        <w:t>；</w:t>
      </w:r>
    </w:p>
    <w:p>
      <w:pPr>
        <w:ind w:left="420" w:leftChars="200" w:firstLine="210" w:firstLineChars="100"/>
        <w:rPr>
          <w:szCs w:val="21"/>
          <w:highlight w:val="none"/>
          <w:u w:val="thick"/>
        </w:rPr>
      </w:pPr>
      <w:r>
        <w:rPr>
          <w:rFonts w:hint="eastAsia"/>
          <w:szCs w:val="21"/>
          <w:highlight w:val="none"/>
        </w:rPr>
        <w:t>联系电话：</w:t>
      </w:r>
      <w:r>
        <w:rPr>
          <w:rFonts w:hint="eastAsia"/>
          <w:szCs w:val="21"/>
          <w:highlight w:val="none"/>
          <w:u w:val="thick"/>
        </w:rPr>
        <w:t xml:space="preserve">        </w:t>
      </w:r>
      <w:r>
        <w:rPr>
          <w:rFonts w:hint="eastAsia" w:ascii="Times New Roman" w:eastAsia="宋体"/>
          <w:szCs w:val="21"/>
          <w:highlight w:val="none"/>
          <w:u w:val="thick"/>
        </w:rPr>
        <w:t xml:space="preserve">          </w:t>
      </w:r>
      <w:r>
        <w:rPr>
          <w:rFonts w:hint="eastAsia"/>
          <w:szCs w:val="21"/>
          <w:highlight w:val="none"/>
          <w:u w:val="thick"/>
        </w:rPr>
        <w:t xml:space="preserve"> </w:t>
      </w:r>
      <w:r>
        <w:rPr>
          <w:rFonts w:hint="eastAsia" w:ascii="Times New Roman" w:eastAsia="宋体"/>
          <w:szCs w:val="21"/>
          <w:highlight w:val="none"/>
          <w:u w:val="thick"/>
        </w:rPr>
        <w:t xml:space="preserve">  </w:t>
      </w:r>
      <w:r>
        <w:rPr>
          <w:rFonts w:hint="eastAsia" w:eastAsia="宋体"/>
          <w:szCs w:val="21"/>
          <w:highlight w:val="none"/>
        </w:rPr>
        <w:t>；</w:t>
      </w:r>
    </w:p>
    <w:p>
      <w:pPr>
        <w:ind w:left="420" w:leftChars="200" w:firstLine="210" w:firstLineChars="100"/>
        <w:rPr>
          <w:szCs w:val="21"/>
          <w:highlight w:val="none"/>
        </w:rPr>
      </w:pPr>
      <w:r>
        <w:rPr>
          <w:rFonts w:hint="eastAsia" w:ascii="Times New Roman" w:eastAsia="宋体"/>
          <w:szCs w:val="21"/>
          <w:highlight w:val="none"/>
        </w:rPr>
        <w:t>开户银行名称：</w:t>
      </w:r>
      <w:r>
        <w:rPr>
          <w:rFonts w:hint="eastAsia"/>
          <w:szCs w:val="21"/>
          <w:highlight w:val="none"/>
          <w:u w:val="thick"/>
        </w:rPr>
        <w:t xml:space="preserve">                                                 </w:t>
      </w:r>
      <w:r>
        <w:rPr>
          <w:rFonts w:hint="eastAsia" w:eastAsia="宋体"/>
          <w:szCs w:val="21"/>
          <w:highlight w:val="none"/>
        </w:rPr>
        <w:t>；</w:t>
      </w:r>
    </w:p>
    <w:p>
      <w:pPr>
        <w:ind w:left="420" w:leftChars="200" w:firstLine="210" w:firstLineChars="100"/>
        <w:rPr>
          <w:szCs w:val="21"/>
          <w:highlight w:val="none"/>
          <w:u w:val="thick"/>
        </w:rPr>
      </w:pPr>
      <w:r>
        <w:rPr>
          <w:rFonts w:hint="eastAsia"/>
          <w:szCs w:val="21"/>
          <w:highlight w:val="none"/>
        </w:rPr>
        <w:t>开户银行账号：</w:t>
      </w:r>
      <w:r>
        <w:rPr>
          <w:rFonts w:hint="eastAsia"/>
          <w:szCs w:val="21"/>
          <w:highlight w:val="none"/>
          <w:u w:val="thick"/>
        </w:rPr>
        <w:t xml:space="preserve">                                                  </w:t>
      </w:r>
      <w:r>
        <w:rPr>
          <w:rFonts w:hint="eastAsia"/>
          <w:szCs w:val="21"/>
          <w:highlight w:val="none"/>
        </w:rPr>
        <w:t>；</w:t>
      </w:r>
    </w:p>
    <w:p>
      <w:pPr>
        <w:ind w:left="420" w:leftChars="200" w:firstLine="210" w:firstLineChars="100"/>
        <w:rPr>
          <w:szCs w:val="21"/>
          <w:highlight w:val="none"/>
        </w:rPr>
      </w:pPr>
      <w:r>
        <w:rPr>
          <w:rFonts w:hint="eastAsia"/>
          <w:szCs w:val="21"/>
          <w:highlight w:val="none"/>
        </w:rPr>
        <w:t>开户银行地址：</w:t>
      </w:r>
      <w:r>
        <w:rPr>
          <w:rFonts w:hint="eastAsia"/>
          <w:szCs w:val="21"/>
          <w:highlight w:val="none"/>
          <w:u w:val="thick"/>
        </w:rPr>
        <w:t xml:space="preserve">                                                  </w:t>
      </w:r>
      <w:r>
        <w:rPr>
          <w:rFonts w:hint="eastAsia"/>
          <w:szCs w:val="21"/>
          <w:highlight w:val="none"/>
        </w:rPr>
        <w:t>。</w:t>
      </w:r>
    </w:p>
    <w:p>
      <w:pPr>
        <w:ind w:left="420" w:leftChars="200" w:firstLine="210" w:firstLineChars="100"/>
        <w:rPr>
          <w:szCs w:val="21"/>
          <w:highlight w:val="none"/>
        </w:rPr>
      </w:pPr>
      <w:r>
        <w:rPr>
          <w:rFonts w:hint="eastAsia"/>
          <w:szCs w:val="21"/>
          <w:highlight w:val="none"/>
        </w:rPr>
        <w:t xml:space="preserve"> </w:t>
      </w:r>
      <w:r>
        <w:rPr>
          <w:rFonts w:hint="eastAsia" w:ascii="宋体" w:hAnsi="宋体"/>
          <w:b/>
          <w:bCs/>
          <w:color w:val="FF0000"/>
          <w:spacing w:val="-4"/>
          <w:kern w:val="0"/>
          <w:szCs w:val="21"/>
          <w:highlight w:val="none"/>
        </w:rPr>
        <w:t>注：本项填写内容作为订单融资开展的参考信息，不作为供应商资格性审查及符合性审查条件。</w:t>
      </w:r>
    </w:p>
    <w:p>
      <w:pPr>
        <w:widowControl/>
        <w:autoSpaceDE w:val="0"/>
        <w:autoSpaceDN w:val="0"/>
        <w:spacing w:line="400" w:lineRule="exact"/>
        <w:ind w:right="1414" w:firstLine="480" w:firstLineChars="200"/>
        <w:jc w:val="right"/>
        <w:rPr>
          <w:kern w:val="0"/>
          <w:sz w:val="24"/>
          <w:highlight w:val="none"/>
        </w:rPr>
      </w:pPr>
    </w:p>
    <w:p>
      <w:pPr>
        <w:widowControl/>
        <w:autoSpaceDE w:val="0"/>
        <w:autoSpaceDN w:val="0"/>
        <w:spacing w:line="400" w:lineRule="exact"/>
        <w:ind w:right="1414" w:firstLine="480" w:firstLineChars="200"/>
        <w:jc w:val="right"/>
        <w:rPr>
          <w:kern w:val="0"/>
          <w:sz w:val="24"/>
          <w:highlight w:val="none"/>
        </w:rPr>
      </w:pPr>
    </w:p>
    <w:p>
      <w:pPr>
        <w:widowControl/>
        <w:autoSpaceDE w:val="0"/>
        <w:autoSpaceDN w:val="0"/>
        <w:spacing w:line="400" w:lineRule="exact"/>
        <w:ind w:right="1414" w:firstLine="480" w:firstLineChars="200"/>
        <w:jc w:val="right"/>
        <w:rPr>
          <w:kern w:val="0"/>
          <w:sz w:val="24"/>
          <w:highlight w:val="none"/>
        </w:rPr>
      </w:pPr>
    </w:p>
    <w:p>
      <w:pPr>
        <w:widowControl/>
        <w:autoSpaceDE w:val="0"/>
        <w:autoSpaceDN w:val="0"/>
        <w:spacing w:line="400" w:lineRule="exact"/>
        <w:ind w:right="1414" w:firstLine="480" w:firstLineChars="200"/>
        <w:jc w:val="right"/>
        <w:rPr>
          <w:kern w:val="0"/>
          <w:sz w:val="24"/>
          <w:highlight w:val="none"/>
        </w:rPr>
      </w:pPr>
    </w:p>
    <w:p>
      <w:pPr>
        <w:ind w:firstLine="720" w:firstLineChars="300"/>
        <w:rPr>
          <w:sz w:val="24"/>
          <w:highlight w:val="none"/>
        </w:rPr>
      </w:pPr>
    </w:p>
    <w:p>
      <w:pPr>
        <w:widowControl/>
        <w:spacing w:line="360" w:lineRule="auto"/>
        <w:jc w:val="left"/>
        <w:rPr>
          <w:b/>
          <w:bCs/>
          <w:kern w:val="0"/>
          <w:sz w:val="24"/>
          <w:highlight w:val="none"/>
        </w:rPr>
      </w:pPr>
    </w:p>
    <w:p>
      <w:pPr>
        <w:widowControl/>
        <w:jc w:val="center"/>
        <w:rPr>
          <w:rFonts w:ascii="黑体" w:hAnsi="宋体" w:eastAsia="黑体"/>
          <w:kern w:val="0"/>
          <w:sz w:val="24"/>
          <w:szCs w:val="20"/>
          <w:highlight w:val="none"/>
        </w:rPr>
      </w:pPr>
      <w:r>
        <w:rPr>
          <w:rFonts w:hint="eastAsia" w:ascii="黑体" w:hAnsi="宋体" w:eastAsia="黑体"/>
          <w:kern w:val="0"/>
          <w:sz w:val="24"/>
          <w:szCs w:val="20"/>
          <w:highlight w:val="none"/>
        </w:rPr>
        <w:t>（三）投标人认为需要加以说明的其他内容（格式自定）</w:t>
      </w:r>
    </w:p>
    <w:p>
      <w:pPr>
        <w:pStyle w:val="2"/>
        <w:rPr>
          <w:highlight w:val="none"/>
        </w:rPr>
        <w:sectPr>
          <w:pgSz w:w="11907" w:h="16840"/>
          <w:pgMar w:top="1440" w:right="1797" w:bottom="1440" w:left="1797" w:header="851" w:footer="992" w:gutter="0"/>
          <w:cols w:space="425" w:num="1"/>
          <w:titlePg/>
          <w:docGrid w:linePitch="462" w:charSpace="0"/>
        </w:sectPr>
      </w:pPr>
    </w:p>
    <w:p>
      <w:pPr>
        <w:keepNext/>
        <w:keepLines/>
        <w:adjustRightInd w:val="0"/>
        <w:spacing w:before="260" w:after="260"/>
        <w:jc w:val="center"/>
        <w:textAlignment w:val="baseline"/>
        <w:outlineLvl w:val="1"/>
        <w:rPr>
          <w:rFonts w:ascii="宋体" w:hAnsi="宋体" w:eastAsia="宋体" w:cs="Times New Roman"/>
          <w:b/>
          <w:bCs/>
          <w:kern w:val="0"/>
          <w:sz w:val="28"/>
          <w:szCs w:val="28"/>
          <w:highlight w:val="none"/>
        </w:rPr>
      </w:pPr>
      <w:r>
        <w:rPr>
          <w:rFonts w:hint="eastAsia" w:ascii="宋体" w:hAnsi="宋体" w:eastAsia="宋体" w:cs="Times New Roman"/>
          <w:b/>
          <w:bCs/>
          <w:kern w:val="0"/>
          <w:sz w:val="28"/>
          <w:szCs w:val="28"/>
          <w:highlight w:val="none"/>
        </w:rPr>
        <w:t>第五章  合同条款及格式</w:t>
      </w:r>
    </w:p>
    <w:p>
      <w:pPr>
        <w:widowControl/>
        <w:jc w:val="center"/>
        <w:rPr>
          <w:rFonts w:ascii="宋体" w:hAnsi="宋体" w:eastAsia="黑体" w:cs="Times New Roman"/>
          <w:bCs/>
          <w:kern w:val="44"/>
          <w:sz w:val="28"/>
          <w:szCs w:val="44"/>
          <w:highlight w:val="none"/>
        </w:rPr>
      </w:pPr>
      <w:bookmarkStart w:id="40" w:name="_Hlk72574405"/>
      <w:r>
        <w:rPr>
          <w:rFonts w:hint="eastAsia"/>
          <w:b/>
          <w:sz w:val="24"/>
          <w:highlight w:val="none"/>
        </w:rPr>
        <w:t>（仅供参考，具体以项目需求及采购结果为准）</w:t>
      </w:r>
      <w:bookmarkEnd w:id="40"/>
    </w:p>
    <w:p>
      <w:pPr>
        <w:snapToGrid w:val="0"/>
        <w:spacing w:line="300" w:lineRule="auto"/>
        <w:jc w:val="center"/>
        <w:rPr>
          <w:rFonts w:ascii="仿宋" w:hAnsi="仿宋" w:eastAsia="仿宋" w:cs="Times New Roman"/>
          <w:sz w:val="28"/>
          <w:szCs w:val="28"/>
          <w:highlight w:val="none"/>
        </w:rPr>
      </w:pPr>
    </w:p>
    <w:p>
      <w:pPr>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甲方：</w:t>
      </w:r>
    </w:p>
    <w:p>
      <w:pPr>
        <w:rPr>
          <w:rFonts w:ascii="宋体" w:hAnsi="宋体" w:eastAsia="宋体" w:cs="Times New Roman"/>
          <w:sz w:val="24"/>
          <w:szCs w:val="24"/>
          <w:highlight w:val="none"/>
        </w:rPr>
      </w:pPr>
      <w:r>
        <w:rPr>
          <w:rFonts w:hint="eastAsia" w:ascii="宋体" w:hAnsi="宋体" w:eastAsia="宋体" w:cs="Times New Roman"/>
          <w:sz w:val="24"/>
          <w:szCs w:val="24"/>
          <w:highlight w:val="none"/>
        </w:rPr>
        <w:t>地址：</w:t>
      </w:r>
    </w:p>
    <w:p>
      <w:pPr>
        <w:rPr>
          <w:rFonts w:ascii="宋体" w:hAnsi="宋体" w:eastAsia="宋体" w:cs="Times New Roman"/>
          <w:sz w:val="24"/>
          <w:szCs w:val="24"/>
          <w:highlight w:val="none"/>
        </w:rPr>
      </w:pPr>
      <w:r>
        <w:rPr>
          <w:rFonts w:hint="eastAsia" w:ascii="宋体" w:hAnsi="宋体" w:eastAsia="宋体" w:cs="Times New Roman"/>
          <w:sz w:val="24"/>
          <w:szCs w:val="24"/>
          <w:highlight w:val="none"/>
        </w:rPr>
        <w:t>联系人：</w:t>
      </w:r>
    </w:p>
    <w:p>
      <w:pPr>
        <w:rPr>
          <w:rFonts w:ascii="宋体" w:hAnsi="宋体" w:eastAsia="宋体" w:cs="Times New Roman"/>
          <w:b/>
          <w:bCs/>
          <w:sz w:val="24"/>
          <w:szCs w:val="24"/>
          <w:highlight w:val="none"/>
        </w:rPr>
      </w:pPr>
      <w:r>
        <w:rPr>
          <w:rFonts w:hint="eastAsia" w:ascii="宋体" w:hAnsi="宋体" w:eastAsia="宋体" w:cs="Times New Roman"/>
          <w:sz w:val="24"/>
          <w:szCs w:val="24"/>
          <w:highlight w:val="none"/>
        </w:rPr>
        <w:t>联系电话：</w:t>
      </w:r>
    </w:p>
    <w:p>
      <w:pPr>
        <w:rPr>
          <w:rFonts w:ascii="宋体" w:hAnsi="宋体" w:eastAsia="宋体" w:cs="Times New Roman"/>
          <w:b/>
          <w:bCs/>
          <w:sz w:val="24"/>
          <w:szCs w:val="24"/>
          <w:highlight w:val="none"/>
        </w:rPr>
      </w:pPr>
    </w:p>
    <w:p>
      <w:pPr>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乙方：</w:t>
      </w:r>
    </w:p>
    <w:p>
      <w:pPr>
        <w:rPr>
          <w:rFonts w:ascii="宋体" w:hAnsi="宋体" w:eastAsia="宋体" w:cs="Times New Roman"/>
          <w:sz w:val="24"/>
          <w:szCs w:val="24"/>
          <w:highlight w:val="none"/>
        </w:rPr>
      </w:pPr>
      <w:r>
        <w:rPr>
          <w:rFonts w:hint="eastAsia" w:ascii="宋体" w:hAnsi="宋体" w:eastAsia="宋体" w:cs="Times New Roman"/>
          <w:sz w:val="24"/>
          <w:szCs w:val="24"/>
          <w:highlight w:val="none"/>
        </w:rPr>
        <w:t>地址：</w:t>
      </w:r>
    </w:p>
    <w:p>
      <w:pPr>
        <w:rPr>
          <w:rFonts w:ascii="宋体" w:hAnsi="宋体" w:eastAsia="宋体" w:cs="Times New Roman"/>
          <w:sz w:val="24"/>
          <w:szCs w:val="24"/>
          <w:highlight w:val="none"/>
        </w:rPr>
      </w:pPr>
      <w:r>
        <w:rPr>
          <w:rFonts w:hint="eastAsia" w:ascii="宋体" w:hAnsi="宋体" w:eastAsia="宋体" w:cs="Times New Roman"/>
          <w:sz w:val="24"/>
          <w:szCs w:val="24"/>
          <w:highlight w:val="none"/>
        </w:rPr>
        <w:t>联系人：</w:t>
      </w:r>
    </w:p>
    <w:p>
      <w:pPr>
        <w:rPr>
          <w:rFonts w:ascii="宋体" w:hAnsi="宋体" w:eastAsia="宋体" w:cs="Times New Roman"/>
          <w:b/>
          <w:bCs/>
          <w:sz w:val="24"/>
          <w:szCs w:val="24"/>
          <w:highlight w:val="none"/>
        </w:rPr>
      </w:pPr>
      <w:r>
        <w:rPr>
          <w:rFonts w:hint="eastAsia" w:ascii="宋体" w:hAnsi="宋体" w:eastAsia="宋体" w:cs="Times New Roman"/>
          <w:sz w:val="24"/>
          <w:szCs w:val="24"/>
          <w:highlight w:val="none"/>
        </w:rPr>
        <w:t>联系电话：</w:t>
      </w:r>
    </w:p>
    <w:p>
      <w:pPr>
        <w:rPr>
          <w:rFonts w:ascii="宋体" w:hAnsi="宋体" w:eastAsia="宋体" w:cs="Times New Roman"/>
          <w:sz w:val="24"/>
          <w:szCs w:val="24"/>
          <w:highlight w:val="none"/>
        </w:rPr>
      </w:pPr>
    </w:p>
    <w:p>
      <w:pPr>
        <w:rPr>
          <w:rFonts w:ascii="宋体" w:hAnsi="宋体" w:eastAsia="宋体" w:cs="Times New Roman"/>
          <w:sz w:val="24"/>
          <w:szCs w:val="24"/>
          <w:highlight w:val="none"/>
        </w:rPr>
      </w:pP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根据深圳公共资源交易中心（深圳交易集团有限公司*</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分公司）*</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号项目结果，*</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单位为中标人。按照《中华人民共和国民法典》（第三编 合同）》和《深圳经济特区政府采购条例》，经深圳市（以下简称甲方）和单位（以下简称乙方）协商，就甲方委托乙方承担</w:t>
      </w:r>
      <w:r>
        <w:rPr>
          <w:rFonts w:hint="eastAsia" w:ascii="宋体" w:hAnsi="宋体" w:eastAsia="宋体" w:cs="Times New Roman"/>
          <w:b/>
          <w:bCs/>
          <w:snapToGrid w:val="0"/>
          <w:kern w:val="0"/>
          <w:sz w:val="24"/>
          <w:szCs w:val="24"/>
          <w:highlight w:val="none"/>
          <w:u w:val="single"/>
          <w:lang w:val="zh-CN"/>
        </w:rPr>
        <w:t xml:space="preserve">                      项目</w:t>
      </w:r>
      <w:r>
        <w:rPr>
          <w:rFonts w:hint="eastAsia" w:ascii="宋体" w:hAnsi="宋体" w:eastAsia="宋体" w:cs="Times New Roman"/>
          <w:sz w:val="24"/>
          <w:szCs w:val="24"/>
          <w:highlight w:val="none"/>
        </w:rPr>
        <w:t>，达成以下合同条款：</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第一条　项目概况</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项目名称： </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项目内容： </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服务时间： </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合同价款：合同总价为元，含一切税、费。</w:t>
      </w:r>
      <w:r>
        <w:rPr>
          <w:rFonts w:ascii="Times New Roman" w:hAnsi="Times New Roman" w:eastAsia="宋体" w:cs="Times New Roman"/>
          <w:sz w:val="24"/>
          <w:szCs w:val="24"/>
          <w:highlight w:val="none"/>
        </w:rPr>
        <w:t>本合同总价包括</w:t>
      </w:r>
      <w:r>
        <w:rPr>
          <w:rFonts w:hint="eastAsia" w:ascii="宋体" w:hAnsi="宋体" w:eastAsia="宋体" w:cs="Times New Roman"/>
          <w:sz w:val="24"/>
          <w:szCs w:val="24"/>
          <w:highlight w:val="none"/>
        </w:rPr>
        <w:t>乙方为实施本项目*</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所需的设备仪器费、车辆租赁费、</w:t>
      </w:r>
      <w:r>
        <w:rPr>
          <w:rFonts w:ascii="Times New Roman" w:hAnsi="Times New Roman" w:eastAsia="宋体" w:cs="Times New Roman"/>
          <w:sz w:val="24"/>
          <w:szCs w:val="24"/>
          <w:highlight w:val="none"/>
        </w:rPr>
        <w:t>服务</w:t>
      </w:r>
      <w:r>
        <w:rPr>
          <w:rFonts w:hint="eastAsia" w:ascii="Times New Roman" w:hAnsi="Times New Roman" w:eastAsia="宋体" w:cs="Times New Roman"/>
          <w:sz w:val="24"/>
          <w:szCs w:val="24"/>
          <w:highlight w:val="none"/>
        </w:rPr>
        <w:t>和</w:t>
      </w:r>
      <w:r>
        <w:rPr>
          <w:rFonts w:ascii="Times New Roman" w:hAnsi="Times New Roman" w:eastAsia="宋体" w:cs="Times New Roman"/>
          <w:sz w:val="24"/>
          <w:szCs w:val="24"/>
          <w:highlight w:val="none"/>
        </w:rPr>
        <w:t>技术费用</w:t>
      </w:r>
      <w:r>
        <w:rPr>
          <w:rFonts w:hint="eastAsia" w:ascii="Times New Roman" w:hAnsi="Times New Roman" w:eastAsia="宋体" w:cs="Times New Roman"/>
          <w:sz w:val="24"/>
          <w:szCs w:val="24"/>
          <w:highlight w:val="none"/>
        </w:rPr>
        <w:t>等</w:t>
      </w:r>
      <w:r>
        <w:rPr>
          <w:rFonts w:ascii="Times New Roman" w:hAnsi="Times New Roman" w:eastAsia="宋体" w:cs="Times New Roman"/>
          <w:sz w:val="24"/>
          <w:szCs w:val="24"/>
          <w:highlight w:val="none"/>
        </w:rPr>
        <w:t>，为固定不变价格，且不随通货膨胀的影响而波动。合同总价包括</w:t>
      </w:r>
      <w:r>
        <w:rPr>
          <w:rFonts w:hint="eastAsia" w:ascii="宋体" w:hAnsi="宋体" w:eastAsia="宋体" w:cs="Times New Roman"/>
          <w:sz w:val="24"/>
          <w:szCs w:val="24"/>
          <w:highlight w:val="none"/>
        </w:rPr>
        <w:t>乙方</w:t>
      </w:r>
      <w:r>
        <w:rPr>
          <w:rFonts w:ascii="Times New Roman" w:hAnsi="Times New Roman" w:eastAsia="宋体" w:cs="Times New Roman"/>
          <w:sz w:val="24"/>
          <w:szCs w:val="24"/>
          <w:highlight w:val="none"/>
        </w:rPr>
        <w:t>履行本合同义务所发生的一切费用和支出和以各种方式寄送技术资料到</w:t>
      </w:r>
      <w:r>
        <w:rPr>
          <w:rFonts w:hint="eastAsia" w:ascii="Times New Roman" w:hAnsi="Times New Roman" w:eastAsia="宋体" w:cs="Times New Roman"/>
          <w:sz w:val="24"/>
          <w:szCs w:val="24"/>
          <w:highlight w:val="none"/>
        </w:rPr>
        <w:t>甲</w:t>
      </w:r>
      <w:r>
        <w:rPr>
          <w:rFonts w:ascii="Times New Roman" w:hAnsi="Times New Roman" w:eastAsia="宋体" w:cs="Times New Roman"/>
          <w:sz w:val="24"/>
          <w:szCs w:val="24"/>
          <w:highlight w:val="none"/>
        </w:rPr>
        <w:t>方办公室所发生的费用。</w:t>
      </w:r>
    </w:p>
    <w:p>
      <w:pPr>
        <w:ind w:firstLine="420"/>
        <w:rPr>
          <w:rFonts w:ascii="宋体" w:hAnsi="宋体" w:eastAsia="宋体" w:cs="Times New Roman"/>
          <w:sz w:val="24"/>
          <w:szCs w:val="24"/>
          <w:highlight w:val="none"/>
        </w:rPr>
      </w:pPr>
      <w:r>
        <w:rPr>
          <w:rFonts w:hint="eastAsia" w:ascii="宋体" w:hAnsi="宋体" w:eastAsia="宋体" w:cs="Times New Roman"/>
          <w:sz w:val="24"/>
          <w:szCs w:val="24"/>
          <w:highlight w:val="none"/>
        </w:rPr>
        <w:t>支付方式：分期支付。</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第二条  服务范围</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1、  </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2、  </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3、  </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4、 其他合同未明示的相关工作。</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第三条  时间要求及阶段成果</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1、合同签订天内完成项目实施的准备工作，包括工作大纲和试验细则的编制；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2、 </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4、</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第四条  咨询服务资料归属</w:t>
      </w:r>
    </w:p>
    <w:p>
      <w:pPr>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w:t>
      </w:r>
      <w:r>
        <w:rPr>
          <w:rFonts w:hint="eastAsia" w:ascii="Times New Roman" w:hAnsi="Times New Roman" w:eastAsia="宋体" w:cs="Times New Roman"/>
          <w:sz w:val="24"/>
          <w:szCs w:val="24"/>
          <w:highlight w:val="none"/>
        </w:rPr>
        <w:t>、</w:t>
      </w:r>
      <w:r>
        <w:rPr>
          <w:rFonts w:ascii="Times New Roman" w:hAnsi="Times New Roman" w:eastAsia="宋体" w:cs="Times New Roman"/>
          <w:sz w:val="24"/>
          <w:szCs w:val="24"/>
          <w:highlight w:val="none"/>
        </w:rPr>
        <w:t>所有提交给</w:t>
      </w:r>
      <w:r>
        <w:rPr>
          <w:rFonts w:hint="eastAsia" w:ascii="Times New Roman" w:hAnsi="Times New Roman" w:eastAsia="宋体" w:cs="Times New Roman"/>
          <w:sz w:val="24"/>
          <w:szCs w:val="24"/>
          <w:highlight w:val="none"/>
        </w:rPr>
        <w:t>甲</w:t>
      </w:r>
      <w:r>
        <w:rPr>
          <w:rFonts w:ascii="Times New Roman" w:hAnsi="Times New Roman" w:eastAsia="宋体" w:cs="Times New Roman"/>
          <w:sz w:val="24"/>
          <w:szCs w:val="24"/>
          <w:highlight w:val="none"/>
        </w:rPr>
        <w:t>方的咨询服务</w:t>
      </w:r>
      <w:r>
        <w:rPr>
          <w:rFonts w:hint="eastAsia" w:ascii="Times New Roman" w:hAnsi="Times New Roman" w:eastAsia="宋体" w:cs="Times New Roman"/>
          <w:sz w:val="24"/>
          <w:szCs w:val="24"/>
          <w:highlight w:val="none"/>
        </w:rPr>
        <w:t>文件</w:t>
      </w:r>
      <w:r>
        <w:rPr>
          <w:rFonts w:ascii="Times New Roman" w:hAnsi="Times New Roman" w:eastAsia="宋体" w:cs="Times New Roman"/>
          <w:sz w:val="24"/>
          <w:szCs w:val="24"/>
          <w:highlight w:val="none"/>
        </w:rPr>
        <w:t>及相关的资料的最后文本，包括为履行技术咨询服务范围所编制的图纸、计划和证明资料等，都属于</w:t>
      </w:r>
      <w:r>
        <w:rPr>
          <w:rFonts w:hint="eastAsia" w:ascii="Times New Roman" w:hAnsi="Times New Roman" w:eastAsia="宋体" w:cs="Times New Roman"/>
          <w:sz w:val="24"/>
          <w:szCs w:val="24"/>
          <w:highlight w:val="none"/>
        </w:rPr>
        <w:t>甲</w:t>
      </w:r>
      <w:r>
        <w:rPr>
          <w:rFonts w:ascii="Times New Roman" w:hAnsi="Times New Roman" w:eastAsia="宋体" w:cs="Times New Roman"/>
          <w:sz w:val="24"/>
          <w:szCs w:val="24"/>
          <w:highlight w:val="none"/>
        </w:rPr>
        <w:t>方的财产，</w:t>
      </w:r>
      <w:r>
        <w:rPr>
          <w:rFonts w:hint="eastAsia" w:ascii="宋体" w:hAnsi="宋体" w:eastAsia="宋体" w:cs="Times New Roman"/>
          <w:sz w:val="24"/>
          <w:szCs w:val="24"/>
          <w:highlight w:val="none"/>
        </w:rPr>
        <w:t>乙</w:t>
      </w:r>
      <w:r>
        <w:rPr>
          <w:rFonts w:ascii="Times New Roman" w:hAnsi="Times New Roman" w:eastAsia="宋体" w:cs="Times New Roman"/>
          <w:sz w:val="24"/>
          <w:szCs w:val="24"/>
          <w:highlight w:val="none"/>
        </w:rPr>
        <w:t>方在提交给</w:t>
      </w:r>
      <w:r>
        <w:rPr>
          <w:rFonts w:hint="eastAsia" w:ascii="Times New Roman" w:hAnsi="Times New Roman" w:eastAsia="宋体" w:cs="Times New Roman"/>
          <w:sz w:val="24"/>
          <w:szCs w:val="24"/>
          <w:highlight w:val="none"/>
        </w:rPr>
        <w:t>甲</w:t>
      </w:r>
      <w:r>
        <w:rPr>
          <w:rFonts w:ascii="Times New Roman" w:hAnsi="Times New Roman" w:eastAsia="宋体" w:cs="Times New Roman"/>
          <w:sz w:val="24"/>
          <w:szCs w:val="24"/>
          <w:highlight w:val="none"/>
        </w:rPr>
        <w:t>方之前应将上述资料进行整理归类和编制索引</w:t>
      </w:r>
      <w:r>
        <w:rPr>
          <w:rFonts w:hint="eastAsia" w:ascii="Times New Roman" w:hAnsi="Times New Roman" w:eastAsia="宋体" w:cs="Times New Roman"/>
          <w:sz w:val="24"/>
          <w:szCs w:val="24"/>
          <w:highlight w:val="none"/>
        </w:rPr>
        <w:t>。</w:t>
      </w:r>
    </w:p>
    <w:p>
      <w:pPr>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2</w:t>
      </w:r>
      <w:r>
        <w:rPr>
          <w:rFonts w:hint="eastAsia" w:ascii="Times New Roman" w:hAnsi="Times New Roman" w:eastAsia="宋体" w:cs="Times New Roman"/>
          <w:sz w:val="24"/>
          <w:szCs w:val="24"/>
          <w:highlight w:val="none"/>
        </w:rPr>
        <w:t>、</w:t>
      </w:r>
      <w:r>
        <w:rPr>
          <w:rFonts w:hint="eastAsia" w:ascii="宋体" w:hAnsi="宋体" w:eastAsia="宋体" w:cs="Times New Roman"/>
          <w:sz w:val="24"/>
          <w:szCs w:val="24"/>
          <w:highlight w:val="none"/>
        </w:rPr>
        <w:t>乙</w:t>
      </w:r>
      <w:r>
        <w:rPr>
          <w:rFonts w:ascii="Times New Roman" w:hAnsi="Times New Roman" w:eastAsia="宋体" w:cs="Times New Roman"/>
          <w:sz w:val="24"/>
          <w:szCs w:val="24"/>
          <w:highlight w:val="none"/>
        </w:rPr>
        <w:t>方未经</w:t>
      </w:r>
      <w:r>
        <w:rPr>
          <w:rFonts w:hint="eastAsia" w:ascii="Times New Roman" w:hAnsi="Times New Roman" w:eastAsia="宋体" w:cs="Times New Roman"/>
          <w:sz w:val="24"/>
          <w:szCs w:val="24"/>
          <w:highlight w:val="none"/>
        </w:rPr>
        <w:t>甲</w:t>
      </w:r>
      <w:r>
        <w:rPr>
          <w:rFonts w:ascii="Times New Roman" w:hAnsi="Times New Roman" w:eastAsia="宋体" w:cs="Times New Roman"/>
          <w:sz w:val="24"/>
          <w:szCs w:val="24"/>
          <w:highlight w:val="none"/>
        </w:rPr>
        <w:t>方的书面同意，不得将上述资料用于与本咨询服务项目之外的任何项目</w:t>
      </w:r>
      <w:r>
        <w:rPr>
          <w:rFonts w:hint="eastAsia" w:ascii="Times New Roman" w:hAnsi="Times New Roman" w:eastAsia="宋体" w:cs="Times New Roman"/>
          <w:sz w:val="24"/>
          <w:szCs w:val="24"/>
          <w:highlight w:val="none"/>
        </w:rPr>
        <w:t>。</w:t>
      </w:r>
    </w:p>
    <w:p>
      <w:pPr>
        <w:ind w:firstLine="480" w:firstLineChars="200"/>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3、</w:t>
      </w:r>
      <w:r>
        <w:rPr>
          <w:rFonts w:ascii="Times New Roman" w:hAnsi="Times New Roman" w:eastAsia="宋体" w:cs="Times New Roman"/>
          <w:sz w:val="24"/>
          <w:szCs w:val="24"/>
          <w:highlight w:val="none"/>
        </w:rPr>
        <w:t>合同履行</w:t>
      </w:r>
      <w:r>
        <w:rPr>
          <w:rFonts w:hint="eastAsia" w:ascii="Times New Roman" w:hAnsi="Times New Roman" w:eastAsia="宋体" w:cs="Times New Roman"/>
          <w:sz w:val="24"/>
          <w:szCs w:val="24"/>
          <w:highlight w:val="none"/>
        </w:rPr>
        <w:t>完毕，</w:t>
      </w:r>
      <w:r>
        <w:rPr>
          <w:rFonts w:ascii="Times New Roman" w:hAnsi="Times New Roman" w:eastAsia="宋体" w:cs="Times New Roman"/>
          <w:sz w:val="24"/>
          <w:szCs w:val="24"/>
          <w:highlight w:val="none"/>
        </w:rPr>
        <w:t>未经</w:t>
      </w:r>
      <w:r>
        <w:rPr>
          <w:rFonts w:hint="eastAsia" w:ascii="Times New Roman" w:hAnsi="Times New Roman" w:eastAsia="宋体" w:cs="Times New Roman"/>
          <w:sz w:val="24"/>
          <w:szCs w:val="24"/>
          <w:highlight w:val="none"/>
        </w:rPr>
        <w:t>甲</w:t>
      </w:r>
      <w:r>
        <w:rPr>
          <w:rFonts w:ascii="Times New Roman" w:hAnsi="Times New Roman" w:eastAsia="宋体" w:cs="Times New Roman"/>
          <w:sz w:val="24"/>
          <w:szCs w:val="24"/>
          <w:highlight w:val="none"/>
        </w:rPr>
        <w:t>方的书面同意</w:t>
      </w:r>
      <w:r>
        <w:rPr>
          <w:rFonts w:hint="eastAsia" w:ascii="Times New Roman" w:hAnsi="Times New Roman" w:eastAsia="宋体" w:cs="Times New Roman"/>
          <w:sz w:val="24"/>
          <w:szCs w:val="24"/>
          <w:highlight w:val="none"/>
        </w:rPr>
        <w:t>，</w:t>
      </w:r>
      <w:r>
        <w:rPr>
          <w:rFonts w:hint="eastAsia" w:ascii="宋体" w:hAnsi="宋体" w:eastAsia="宋体" w:cs="Times New Roman"/>
          <w:sz w:val="24"/>
          <w:szCs w:val="24"/>
          <w:highlight w:val="none"/>
        </w:rPr>
        <w:t>乙</w:t>
      </w:r>
      <w:r>
        <w:rPr>
          <w:rFonts w:ascii="Times New Roman" w:hAnsi="Times New Roman" w:eastAsia="宋体" w:cs="Times New Roman"/>
          <w:sz w:val="24"/>
          <w:szCs w:val="24"/>
          <w:highlight w:val="none"/>
        </w:rPr>
        <w:t>方</w:t>
      </w:r>
      <w:r>
        <w:rPr>
          <w:rFonts w:hint="eastAsia" w:ascii="Times New Roman" w:hAnsi="Times New Roman" w:eastAsia="宋体" w:cs="Times New Roman"/>
          <w:sz w:val="24"/>
          <w:szCs w:val="24"/>
          <w:highlight w:val="none"/>
        </w:rPr>
        <w:t>不得保存在</w:t>
      </w:r>
      <w:r>
        <w:rPr>
          <w:rFonts w:ascii="Times New Roman" w:hAnsi="Times New Roman" w:eastAsia="宋体" w:cs="Times New Roman"/>
          <w:sz w:val="24"/>
          <w:szCs w:val="24"/>
          <w:highlight w:val="none"/>
        </w:rPr>
        <w:t>履行合同过程中所获得或接触到的任何</w:t>
      </w:r>
      <w:r>
        <w:rPr>
          <w:rFonts w:hint="eastAsia" w:ascii="宋体" w:hAnsi="宋体" w:eastAsia="宋体" w:cs="Times New Roman"/>
          <w:sz w:val="24"/>
          <w:szCs w:val="24"/>
          <w:highlight w:val="none"/>
        </w:rPr>
        <w:t>内部数据资料。</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第五条  甲方的义务</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1、负责与本咨询服务项目有关的第三方的协调，提供开展咨询服务工作的外部条件。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2、向乙方提供与本项目咨询服务工作有关的资料。</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3、负责组织有关专家对项目试验成果评估报告的评审。</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第六条　乙方的义务</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１、应按照招标文件、投标文件要求按期完成本项目咨询服务工作。</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2、负责组织项目的实施，保证工程进度和成桥荷载试验工作质量，并满足交通部交工验收相关标准。</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3、向甲方提交检测资料等各套，一套电子版文件。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4、在履行合同期间或合同规定期限内，不得泄露与本合同规定业务活动有关的保密资料。</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第七条  甲方的权利</w:t>
      </w:r>
    </w:p>
    <w:p>
      <w:pPr>
        <w:ind w:firstLine="480" w:firstLineChars="200"/>
        <w:rPr>
          <w:rFonts w:ascii="宋体" w:hAnsi="宋体" w:eastAsia="宋体" w:cs="Times New Roman"/>
          <w:sz w:val="24"/>
          <w:szCs w:val="24"/>
          <w:highlight w:val="none"/>
        </w:rPr>
      </w:pPr>
      <w:r>
        <w:rPr>
          <w:rFonts w:ascii="宋体" w:hAnsi="宋体" w:eastAsia="宋体" w:cs="Times New Roman"/>
          <w:sz w:val="24"/>
          <w:szCs w:val="24"/>
          <w:highlight w:val="none"/>
        </w:rPr>
        <w:t>1</w:t>
      </w:r>
      <w:r>
        <w:rPr>
          <w:rFonts w:hint="eastAsia" w:ascii="宋体" w:hAnsi="宋体" w:eastAsia="宋体" w:cs="Times New Roman"/>
          <w:sz w:val="24"/>
          <w:szCs w:val="24"/>
          <w:highlight w:val="none"/>
        </w:rPr>
        <w:t>、有权向乙方询问工作进展情况及相关的内容。</w:t>
      </w:r>
    </w:p>
    <w:p>
      <w:pPr>
        <w:ind w:firstLine="480" w:firstLineChars="200"/>
        <w:rPr>
          <w:rFonts w:ascii="宋体" w:hAnsi="宋体" w:eastAsia="宋体" w:cs="Times New Roman"/>
          <w:sz w:val="24"/>
          <w:szCs w:val="24"/>
          <w:highlight w:val="none"/>
        </w:rPr>
      </w:pPr>
      <w:r>
        <w:rPr>
          <w:rFonts w:ascii="宋体" w:hAnsi="宋体" w:eastAsia="宋体" w:cs="Times New Roman"/>
          <w:sz w:val="24"/>
          <w:szCs w:val="24"/>
          <w:highlight w:val="none"/>
        </w:rPr>
        <w:t>2</w:t>
      </w:r>
      <w:r>
        <w:rPr>
          <w:rFonts w:hint="eastAsia" w:ascii="宋体" w:hAnsi="宋体" w:eastAsia="宋体" w:cs="Times New Roman"/>
          <w:sz w:val="24"/>
          <w:szCs w:val="24"/>
          <w:highlight w:val="none"/>
        </w:rPr>
        <w:t>、有权阐述对具体问题的意见和建议。</w:t>
      </w:r>
    </w:p>
    <w:p>
      <w:pPr>
        <w:ind w:firstLine="480" w:firstLineChars="200"/>
        <w:rPr>
          <w:rFonts w:ascii="宋体" w:hAnsi="宋体" w:eastAsia="宋体" w:cs="Times New Roman"/>
          <w:sz w:val="24"/>
          <w:szCs w:val="24"/>
          <w:highlight w:val="none"/>
        </w:rPr>
      </w:pPr>
      <w:r>
        <w:rPr>
          <w:rFonts w:ascii="宋体" w:hAnsi="宋体" w:eastAsia="宋体" w:cs="Times New Roman"/>
          <w:sz w:val="24"/>
          <w:szCs w:val="24"/>
          <w:highlight w:val="none"/>
        </w:rPr>
        <w:t>3</w:t>
      </w:r>
      <w:r>
        <w:rPr>
          <w:rFonts w:hint="eastAsia" w:ascii="宋体" w:hAnsi="宋体" w:eastAsia="宋体" w:cs="Times New Roman"/>
          <w:sz w:val="24"/>
          <w:szCs w:val="24"/>
          <w:highlight w:val="none"/>
        </w:rPr>
        <w:t>、当甲方认定乙方人员不按合同履行其职责，或与第三人串通给甲方造成经济损失的，甲方有权要求更换人员，直至终止合同并要求乙方承担相应的赔偿责任。</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第八条  乙方的权利</w:t>
      </w:r>
    </w:p>
    <w:p>
      <w:pPr>
        <w:ind w:firstLine="480" w:firstLineChars="200"/>
        <w:rPr>
          <w:rFonts w:ascii="宋体" w:hAnsi="宋体" w:eastAsia="宋体" w:cs="Times New Roman"/>
          <w:sz w:val="24"/>
          <w:szCs w:val="24"/>
          <w:highlight w:val="none"/>
        </w:rPr>
      </w:pPr>
      <w:r>
        <w:rPr>
          <w:rFonts w:ascii="宋体" w:hAnsi="宋体" w:eastAsia="宋体" w:cs="Times New Roman"/>
          <w:sz w:val="24"/>
          <w:szCs w:val="24"/>
          <w:highlight w:val="none"/>
        </w:rPr>
        <w:t>1</w:t>
      </w:r>
      <w:r>
        <w:rPr>
          <w:rFonts w:hint="eastAsia" w:ascii="宋体" w:hAnsi="宋体" w:eastAsia="宋体" w:cs="Times New Roman"/>
          <w:sz w:val="24"/>
          <w:szCs w:val="24"/>
          <w:highlight w:val="none"/>
        </w:rPr>
        <w:t>、乙方在本项目服务过程中，如甲方提供的资料不明确时可向甲方提出书面报告。</w:t>
      </w:r>
    </w:p>
    <w:p>
      <w:pPr>
        <w:ind w:firstLine="480" w:firstLineChars="200"/>
        <w:rPr>
          <w:rFonts w:ascii="宋体" w:hAnsi="宋体" w:eastAsia="宋体" w:cs="Times New Roman"/>
          <w:sz w:val="24"/>
          <w:szCs w:val="24"/>
          <w:highlight w:val="none"/>
        </w:rPr>
      </w:pPr>
      <w:r>
        <w:rPr>
          <w:rFonts w:ascii="宋体" w:hAnsi="宋体" w:eastAsia="宋体" w:cs="Times New Roman"/>
          <w:sz w:val="24"/>
          <w:szCs w:val="24"/>
          <w:highlight w:val="none"/>
        </w:rPr>
        <w:t>2</w:t>
      </w:r>
      <w:r>
        <w:rPr>
          <w:rFonts w:hint="eastAsia" w:ascii="宋体" w:hAnsi="宋体" w:eastAsia="宋体" w:cs="Times New Roman"/>
          <w:sz w:val="24"/>
          <w:szCs w:val="24"/>
          <w:highlight w:val="none"/>
        </w:rPr>
        <w:t>、乙方在本项目服务过程中，有权对第三方提出与本咨询服务业务有关的问题进行核对或查问。</w:t>
      </w:r>
    </w:p>
    <w:p>
      <w:pPr>
        <w:ind w:firstLine="480" w:firstLineChars="200"/>
        <w:rPr>
          <w:rFonts w:ascii="宋体" w:hAnsi="宋体" w:eastAsia="宋体" w:cs="Times New Roman"/>
          <w:sz w:val="24"/>
          <w:szCs w:val="24"/>
          <w:highlight w:val="none"/>
        </w:rPr>
      </w:pPr>
      <w:r>
        <w:rPr>
          <w:rFonts w:ascii="宋体" w:hAnsi="宋体" w:eastAsia="宋体" w:cs="Times New Roman"/>
          <w:sz w:val="24"/>
          <w:szCs w:val="24"/>
          <w:highlight w:val="none"/>
        </w:rPr>
        <w:t>3</w:t>
      </w:r>
      <w:r>
        <w:rPr>
          <w:rFonts w:hint="eastAsia" w:ascii="宋体" w:hAnsi="宋体" w:eastAsia="宋体" w:cs="Times New Roman"/>
          <w:sz w:val="24"/>
          <w:szCs w:val="24"/>
          <w:highlight w:val="none"/>
        </w:rPr>
        <w:t>、乙方在本项目服务过程中，有到工程现场勘察的权利。</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第九条  甲方的责任</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1、应当履行本合同约定的义务，如有违反则应当承担违约责任，赔偿给乙方造成的损失。</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2、甲方向乙方提出赔偿要求不能成立时，则应补偿由于该赔偿或其他要求所导致乙方的各种费用的支出。</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第十条  乙方的责任</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1、乙方的责任期即本合同有效期。如因非乙方的责任造成进度的推迟或延误而超过约定的日期，双方应进一步约定相应延长合同有效期。</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2、乙方的责任期内，应当履行本合同中约定的义务，因乙方的单方过失造成的经济损失，应当向甲方进行赔偿。</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3、乙方对甲方或第三方所提出的问题不能及时核对或答复，导致合同不能全部或部分履行，乙方应承担责任。</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4、乙方向甲方提出赔偿要求不能成立时，则应补偿由于该赔偿或其他要求所导致甲方的各种费用的支出。</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第十一条  人员要求</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1、参加本项目试验的人员必须具有国家和有关部门规定的相应资质。</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 参加本项目的试验人员的配置必须与投标文件中的服务承诺书和试验服务组织实施方案一致。</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3、必须以直属试验人员参与本项目服务，不得使用挂靠队伍。</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第十二条  乙方咨询服务工具要求</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1、乙方应配备中标项目所需的足够数量的仪器、仪表以及工具等设备。用户不需向乙方提供施工工具和仪器、仪表。</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2、乙方在提供服务过程中应自备车辆。</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第十三条  保密要求</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w:t>
      </w:r>
      <w:r>
        <w:rPr>
          <w:rFonts w:ascii="宋体" w:hAnsi="宋体" w:eastAsia="宋体" w:cs="Times New Roman"/>
          <w:sz w:val="24"/>
          <w:szCs w:val="24"/>
          <w:highlight w:val="none"/>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w:t>
      </w:r>
      <w:r>
        <w:rPr>
          <w:rFonts w:ascii="宋体" w:hAnsi="宋体" w:eastAsia="宋体" w:cs="Times New Roman"/>
          <w:sz w:val="24"/>
          <w:szCs w:val="24"/>
          <w:highlight w:val="none"/>
        </w:rPr>
        <w:t>乙方在履行合同过程中所获得或接触到的任何</w:t>
      </w:r>
      <w:r>
        <w:rPr>
          <w:rFonts w:hint="eastAsia" w:ascii="宋体" w:hAnsi="宋体" w:eastAsia="宋体" w:cs="Times New Roman"/>
          <w:sz w:val="24"/>
          <w:szCs w:val="24"/>
          <w:highlight w:val="none"/>
        </w:rPr>
        <w:t>内部数据资料，未经甲方同意，不得向第三方透露。</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w:t>
      </w:r>
      <w:r>
        <w:rPr>
          <w:rFonts w:ascii="宋体" w:hAnsi="宋体" w:eastAsia="宋体" w:cs="Times New Roman"/>
          <w:sz w:val="24"/>
          <w:szCs w:val="24"/>
          <w:highlight w:val="none"/>
        </w:rPr>
        <w:t>乙方</w:t>
      </w:r>
      <w:r>
        <w:rPr>
          <w:rFonts w:hint="eastAsia" w:ascii="宋体" w:hAnsi="宋体" w:eastAsia="宋体" w:cs="Times New Roman"/>
          <w:sz w:val="24"/>
          <w:szCs w:val="24"/>
          <w:highlight w:val="none"/>
        </w:rPr>
        <w:t>实施项目的一切程序都应符合国家安全、保密的有关规定和标准。</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4、</w:t>
      </w:r>
      <w:r>
        <w:rPr>
          <w:rFonts w:ascii="宋体" w:hAnsi="宋体" w:eastAsia="宋体" w:cs="Times New Roman"/>
          <w:sz w:val="24"/>
          <w:szCs w:val="24"/>
          <w:highlight w:val="none"/>
        </w:rPr>
        <w:t>乙方</w:t>
      </w:r>
      <w:r>
        <w:rPr>
          <w:rFonts w:hint="eastAsia" w:ascii="宋体" w:hAnsi="宋体" w:eastAsia="宋体" w:cs="Times New Roman"/>
          <w:sz w:val="24"/>
          <w:szCs w:val="24"/>
          <w:highlight w:val="none"/>
        </w:rPr>
        <w:t>参加项目的有关人员均需同甲方签订保密协议。</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 xml:space="preserve">第十四条  验收     </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1、下列文件的验收分为</w:t>
      </w:r>
      <w:r>
        <w:rPr>
          <w:rFonts w:hint="eastAsia" w:ascii="宋体" w:hAnsi="宋体" w:eastAsia="宋体" w:cs="Times New Roman"/>
          <w:sz w:val="24"/>
          <w:szCs w:val="24"/>
          <w:highlight w:val="none"/>
          <w:u w:val="single"/>
        </w:rPr>
        <w:t xml:space="preserve">          三</w:t>
      </w:r>
      <w:r>
        <w:rPr>
          <w:rFonts w:hint="eastAsia" w:ascii="宋体" w:hAnsi="宋体" w:eastAsia="宋体" w:cs="Times New Roman"/>
          <w:sz w:val="24"/>
          <w:szCs w:val="24"/>
          <w:highlight w:val="none"/>
        </w:rPr>
        <w:t>个阶段:</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2、其余文件和工作由用户组织有关技术人员根据国家和行业有关规范、规程、标准和用户需求直接验收。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3、验收依据为招标文件、投标文件，国家和行业有关规范、规程和标准。</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第十五条  付款方式</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1、合同签订后   天内乙方向甲方开具合法有效的发票后，甲方于   天内向乙方支付合同总价%的款项。</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2、检测完成并提交评估报告后  天内，乙方向甲方开具合法有效发票后 天，甲方向乙方支付合同总价%的款项。</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3、报告通过专家评审后，甲方向乙方支付合同总价%的款项。</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第十六条  争议解决办法</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执行本合同发生的争议，由甲乙双方协商解决，如协商不成的，应提交甲方所在地人民法院诉讼解决。</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第十七条  风险责任</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１、乙方应完全地按照招标文件的要求和乙方投标文件的承诺完成本项目，出于自身财务、技术、人力等原因导致项目失败的，应承担全部责任。</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2、乙方在实施荷载试验过程中应对自身的安全生产负责，若非因甲方原因发生的各种事故甲方不承担任何责任。</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第十八条  违约责任</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１、因乙方原因，未能按规定时间完成有关工作的，每延误一天，甲方可在支付合同余款中扣除合同价款千分之一。</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2、由于乙方原因造成试验成果质量低劣，不能满足大纲要求时，应继续完善试验工作，其费用由乙方承担。</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3、乙方交付的成果经验收不合格，应于7日内无条件修改，费用由乙方自行承担，在甲方要求整改后再次验收不合格的，甲方有权解除合同、要求乙方返还甲方已支付的合同款项，并有权要求乙方按合同总额   %支付违约金。。</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5、乙方或其工作人员违反本合同约定的保密义务，甲方有权要求乙方按合同总额   %支付违约金；造成不良影响或对甲方造成损失的，甲方有权要求乙方消除影响，承担赔偿责任，并有权解除合同。</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6、因乙方提供的服务成果受到侵权指控或者引发法律纠纷，影响甲方使用服务成果或者导致合同目的不能实现的，甲方有权要求乙方按合同总额   %支付违约金，并有权解除合同。</w:t>
      </w:r>
    </w:p>
    <w:p>
      <w:pPr>
        <w:ind w:firstLine="482" w:firstLineChars="200"/>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第十九条  其他</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1、本协议书与下列文件一起构成合同文件，如下述文件之间有任何抵触、矛盾或歧义，应按以下顺序解释：</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（1）政府采购合同协议书及其变更、补充协议</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（2）政府采购合同专用条款</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（3）政府采购合同通用条款</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（4）中标（成交）通知书</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（5）投标（响应）文件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（6）采购文件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（7）有关技术文件，图纸</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（8）国家法律、行政法规和规章制度规定或合同约定的作为合同组成部分的其他文件。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2、下列文件均为本合同的组成部分：</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（1）号招标文件、答疑及补充通知；</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（2）投标文件；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（3）本合同执行中共同签署的补充与修正文件。</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本合同一式份，甲、乙方双方各执份，具有同等法律效力。本合同自双方法人代表签字（盖章）认可之日起生效。</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本合同未尽事宜，双方友好协商，达成解决方案，经双方签字后，可作为本合同的有效附件。</w:t>
      </w:r>
    </w:p>
    <w:p>
      <w:pPr>
        <w:ind w:firstLine="480" w:firstLineChars="200"/>
        <w:rPr>
          <w:rFonts w:ascii="宋体" w:hAnsi="宋体" w:eastAsia="宋体" w:cs="Times New Roman"/>
          <w:sz w:val="24"/>
          <w:szCs w:val="24"/>
          <w:highlight w:val="none"/>
        </w:rPr>
      </w:pPr>
    </w:p>
    <w:p>
      <w:pPr>
        <w:ind w:firstLine="480" w:firstLineChars="200"/>
        <w:rPr>
          <w:rFonts w:ascii="宋体" w:hAnsi="宋体" w:eastAsia="宋体" w:cs="Times New Roman"/>
          <w:sz w:val="24"/>
          <w:szCs w:val="24"/>
          <w:highlight w:val="none"/>
        </w:rPr>
      </w:pPr>
    </w:p>
    <w:p>
      <w:pPr>
        <w:spacing w:line="360" w:lineRule="auto"/>
        <w:ind w:firstLine="560"/>
        <w:jc w:val="left"/>
        <w:rPr>
          <w:rFonts w:ascii="宋体" w:hAnsi="宋体" w:eastAsia="宋体" w:cs="Times New Roman"/>
          <w:sz w:val="24"/>
          <w:szCs w:val="24"/>
          <w:highlight w:val="none"/>
        </w:rPr>
      </w:pPr>
      <w:r>
        <w:rPr>
          <w:rFonts w:hint="eastAsia" w:ascii="宋体" w:hAnsi="宋体" w:eastAsia="宋体" w:cs="Times New Roman"/>
          <w:sz w:val="24"/>
          <w:szCs w:val="24"/>
          <w:highlight w:val="none"/>
        </w:rPr>
        <w:t>甲方（采购人）：   （盖章）       乙方（供应商）：    （盖章）</w:t>
      </w:r>
    </w:p>
    <w:p>
      <w:pPr>
        <w:spacing w:line="360" w:lineRule="auto"/>
        <w:ind w:firstLine="560"/>
        <w:jc w:val="left"/>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法定代表人：                     法定代表人： </w:t>
      </w:r>
    </w:p>
    <w:p>
      <w:pPr>
        <w:spacing w:line="360" w:lineRule="auto"/>
        <w:ind w:firstLine="560"/>
        <w:jc w:val="left"/>
        <w:rPr>
          <w:rFonts w:ascii="宋体" w:hAnsi="宋体" w:eastAsia="宋体" w:cs="Times New Roman"/>
          <w:sz w:val="24"/>
          <w:szCs w:val="24"/>
          <w:highlight w:val="none"/>
        </w:rPr>
      </w:pPr>
      <w:r>
        <w:rPr>
          <w:rFonts w:hint="eastAsia" w:ascii="宋体" w:hAnsi="宋体" w:eastAsia="宋体" w:cs="Times New Roman"/>
          <w:sz w:val="24"/>
          <w:szCs w:val="24"/>
          <w:highlight w:val="none"/>
        </w:rPr>
        <w:t>委托代理人：                     委托代理人：</w:t>
      </w:r>
    </w:p>
    <w:p>
      <w:pPr>
        <w:ind w:firstLine="480" w:firstLineChars="200"/>
        <w:rPr>
          <w:rFonts w:ascii="宋体" w:hAnsi="宋体" w:eastAsia="宋体" w:cs="Times New Roman"/>
          <w:sz w:val="24"/>
          <w:szCs w:val="24"/>
          <w:highlight w:val="none"/>
        </w:rPr>
      </w:pPr>
      <w:r>
        <w:rPr>
          <w:rFonts w:hint="eastAsia" w:ascii="宋体" w:hAnsi="宋体" w:eastAsia="宋体" w:cs="Times New Roman"/>
          <w:sz w:val="24"/>
          <w:szCs w:val="24"/>
          <w:highlight w:val="none"/>
        </w:rPr>
        <w:t>日期：   年     月    日         日期：   年     月    日</w:t>
      </w:r>
    </w:p>
    <w:p>
      <w:pPr>
        <w:snapToGrid w:val="0"/>
        <w:spacing w:line="300" w:lineRule="auto"/>
        <w:rPr>
          <w:rFonts w:ascii="仿宋_GB2312" w:hAnsi="华文仿宋" w:eastAsia="仿宋_GB2312" w:cs="Times New Roman"/>
          <w:sz w:val="28"/>
          <w:highlight w:val="none"/>
        </w:rPr>
      </w:pPr>
    </w:p>
    <w:p>
      <w:pPr>
        <w:widowControl/>
        <w:jc w:val="left"/>
        <w:rPr>
          <w:rFonts w:ascii="Arial" w:hAnsi="Arial" w:eastAsia="宋体" w:cs="Times New Roman"/>
          <w:color w:val="FF0000"/>
          <w:szCs w:val="24"/>
          <w:highlight w:val="none"/>
        </w:rPr>
      </w:pPr>
    </w:p>
    <w:p>
      <w:pPr>
        <w:widowControl/>
        <w:jc w:val="left"/>
        <w:rPr>
          <w:b/>
          <w:color w:val="FF0000"/>
          <w:sz w:val="52"/>
          <w:szCs w:val="52"/>
          <w:highlight w:val="none"/>
        </w:rPr>
      </w:pPr>
      <w:r>
        <w:rPr>
          <w:b/>
          <w:color w:val="FF0000"/>
          <w:sz w:val="52"/>
          <w:szCs w:val="52"/>
          <w:highlight w:val="none"/>
        </w:rPr>
        <w:br w:type="page"/>
      </w:r>
    </w:p>
    <w:p>
      <w:pPr>
        <w:keepNext/>
        <w:keepLines/>
        <w:spacing w:before="340" w:after="78" w:afterLines="25" w:line="578" w:lineRule="auto"/>
        <w:jc w:val="center"/>
        <w:outlineLvl w:val="0"/>
        <w:rPr>
          <w:rFonts w:ascii="Arial" w:hAnsi="Arial" w:eastAsia="宋体" w:cs="Times New Roman"/>
          <w:b/>
          <w:bCs/>
          <w:kern w:val="44"/>
          <w:sz w:val="32"/>
          <w:szCs w:val="32"/>
          <w:highlight w:val="none"/>
        </w:rPr>
      </w:pPr>
      <w:r>
        <w:rPr>
          <w:rFonts w:hint="eastAsia" w:ascii="Arial" w:hAnsi="Arial" w:eastAsia="宋体" w:cs="Times New Roman"/>
          <w:b/>
          <w:bCs/>
          <w:kern w:val="44"/>
          <w:sz w:val="32"/>
          <w:szCs w:val="32"/>
          <w:highlight w:val="none"/>
        </w:rPr>
        <w:t>第二册  通用条款（公开招标）</w:t>
      </w:r>
    </w:p>
    <w:p>
      <w:pPr>
        <w:pStyle w:val="42"/>
        <w:keepNext/>
        <w:keepLines/>
        <w:numPr>
          <w:ilvl w:val="0"/>
          <w:numId w:val="7"/>
        </w:numPr>
        <w:tabs>
          <w:tab w:val="left" w:pos="720"/>
        </w:tabs>
        <w:adjustRightInd w:val="0"/>
        <w:spacing w:before="156" w:beforeLines="50" w:after="156" w:afterLines="50"/>
        <w:ind w:firstLineChars="0"/>
        <w:jc w:val="center"/>
        <w:textAlignment w:val="baseline"/>
        <w:outlineLvl w:val="1"/>
        <w:rPr>
          <w:rFonts w:asciiTheme="majorHAnsi" w:hAnsiTheme="majorHAnsi" w:eastAsiaTheme="majorEastAsia" w:cstheme="majorBidi"/>
          <w:b/>
          <w:bCs/>
          <w:sz w:val="28"/>
          <w:szCs w:val="28"/>
          <w:highlight w:val="none"/>
        </w:rPr>
      </w:pPr>
      <w:bookmarkStart w:id="41" w:name="_Hlk72399513"/>
      <w:r>
        <w:rPr>
          <w:rFonts w:hint="eastAsia" w:asciiTheme="majorHAnsi" w:hAnsiTheme="majorHAnsi" w:eastAsiaTheme="majorEastAsia" w:cstheme="majorBidi"/>
          <w:b/>
          <w:bCs/>
          <w:sz w:val="28"/>
          <w:szCs w:val="28"/>
          <w:highlight w:val="none"/>
        </w:rPr>
        <w:t>总则</w:t>
      </w:r>
    </w:p>
    <w:bookmarkEnd w:id="41"/>
    <w:p>
      <w:pPr>
        <w:rPr>
          <w:rFonts w:ascii="黑体" w:hAnsi="宋体" w:eastAsia="黑体"/>
          <w:sz w:val="24"/>
          <w:highlight w:val="none"/>
        </w:rPr>
      </w:pPr>
      <w:bookmarkStart w:id="42" w:name="_Hlk72439706"/>
      <w:r>
        <w:rPr>
          <w:rFonts w:hint="eastAsia" w:ascii="黑体" w:hAnsi="宋体" w:eastAsia="黑体"/>
          <w:sz w:val="24"/>
          <w:highlight w:val="none"/>
        </w:rPr>
        <w:t>1. 通用条款说明</w:t>
      </w:r>
    </w:p>
    <w:p>
      <w:pPr>
        <w:ind w:firstLine="411" w:firstLineChars="196"/>
        <w:rPr>
          <w:rFonts w:ascii="宋体" w:hAnsi="宋体"/>
          <w:szCs w:val="21"/>
          <w:highlight w:val="none"/>
        </w:rPr>
      </w:pPr>
      <w:r>
        <w:rPr>
          <w:rFonts w:hint="eastAsia" w:ascii="宋体" w:hAnsi="宋体"/>
          <w:szCs w:val="21"/>
          <w:highlight w:val="none"/>
        </w:rPr>
        <w:t>1.1政府集中采购机构发出招标文件通用条款版本，列出深圳市政府采购项目进行招标采购所适用的通用条款内容。</w:t>
      </w:r>
      <w:bookmarkStart w:id="43" w:name="_Hlk72399729"/>
      <w:r>
        <w:rPr>
          <w:rFonts w:hint="eastAsia" w:ascii="宋体" w:hAnsi="宋体"/>
          <w:szCs w:val="21"/>
          <w:highlight w:val="none"/>
        </w:rPr>
        <w:t>如有需要，政府集中采购机构可以对通用条款的内容进行补充。</w:t>
      </w:r>
      <w:bookmarkEnd w:id="43"/>
    </w:p>
    <w:p>
      <w:pPr>
        <w:ind w:firstLine="411" w:firstLineChars="196"/>
        <w:rPr>
          <w:rFonts w:ascii="宋体" w:hAnsi="宋体"/>
          <w:szCs w:val="21"/>
          <w:highlight w:val="none"/>
        </w:rPr>
      </w:pPr>
      <w:r>
        <w:rPr>
          <w:rFonts w:hint="eastAsia" w:ascii="宋体" w:hAnsi="宋体"/>
          <w:szCs w:val="21"/>
          <w:highlight w:val="none"/>
        </w:rPr>
        <w:t>1.2招标文件分为第一册“专用条款”和第二册“通用条款”。</w:t>
      </w:r>
    </w:p>
    <w:p>
      <w:pPr>
        <w:ind w:firstLine="411" w:firstLineChars="196"/>
        <w:rPr>
          <w:rFonts w:ascii="宋体" w:hAnsi="宋体"/>
          <w:szCs w:val="21"/>
          <w:highlight w:val="none"/>
        </w:rPr>
      </w:pPr>
      <w:r>
        <w:rPr>
          <w:rFonts w:hint="eastAsia" w:ascii="宋体" w:hAnsi="宋体"/>
          <w:szCs w:val="21"/>
          <w:highlight w:val="none"/>
        </w:rPr>
        <w:t>1.3“专用条款”是对本次采购项目的具体要求，包含招标公告、对通用条款的补充内容及其他关键信息、用户需求书、投标文件格式及附件、合同条款及格式等内容。</w:t>
      </w:r>
    </w:p>
    <w:p>
      <w:pPr>
        <w:ind w:firstLine="411" w:firstLineChars="196"/>
        <w:rPr>
          <w:rFonts w:ascii="宋体" w:hAnsi="宋体"/>
          <w:szCs w:val="21"/>
          <w:highlight w:val="none"/>
        </w:rPr>
      </w:pPr>
      <w:r>
        <w:rPr>
          <w:rFonts w:hint="eastAsia" w:ascii="宋体" w:hAnsi="宋体"/>
          <w:szCs w:val="21"/>
          <w:highlight w:val="none"/>
        </w:rPr>
        <w:t>1.4“通用条款”是适用于政府采购公开招标项目的基础性条款，具有普遍性和通用性。</w:t>
      </w:r>
    </w:p>
    <w:p>
      <w:pPr>
        <w:ind w:firstLine="411" w:firstLineChars="196"/>
        <w:rPr>
          <w:rFonts w:ascii="宋体" w:hAnsi="宋体"/>
          <w:szCs w:val="21"/>
          <w:highlight w:val="none"/>
        </w:rPr>
      </w:pPr>
      <w:r>
        <w:rPr>
          <w:rFonts w:hint="eastAsia" w:ascii="宋体" w:hAnsi="宋体"/>
          <w:szCs w:val="21"/>
          <w:highlight w:val="none"/>
        </w:rPr>
        <w:t>1.5 “专用条款”和“通用条款”表述不一致或有冲突时，以“专用条款”为准。</w:t>
      </w:r>
    </w:p>
    <w:p>
      <w:pPr>
        <w:rPr>
          <w:rFonts w:ascii="黑体" w:hAnsi="宋体" w:eastAsia="黑体"/>
          <w:sz w:val="24"/>
          <w:highlight w:val="none"/>
        </w:rPr>
      </w:pPr>
      <w:r>
        <w:rPr>
          <w:rFonts w:hint="eastAsia" w:ascii="黑体" w:hAnsi="宋体" w:eastAsia="黑体"/>
          <w:sz w:val="24"/>
          <w:highlight w:val="none"/>
        </w:rPr>
        <w:t>2</w:t>
      </w:r>
      <w:r>
        <w:rPr>
          <w:rFonts w:ascii="黑体" w:hAnsi="宋体" w:eastAsia="黑体"/>
          <w:sz w:val="24"/>
          <w:highlight w:val="none"/>
        </w:rPr>
        <w:t>．</w:t>
      </w:r>
      <w:r>
        <w:rPr>
          <w:rFonts w:hint="eastAsia" w:ascii="黑体" w:hAnsi="宋体" w:eastAsia="黑体"/>
          <w:sz w:val="24"/>
          <w:highlight w:val="none"/>
        </w:rPr>
        <w:t>招标说明</w:t>
      </w:r>
    </w:p>
    <w:p>
      <w:pPr>
        <w:ind w:firstLine="411" w:firstLineChars="196"/>
        <w:rPr>
          <w:rFonts w:ascii="宋体" w:hAnsi="宋体"/>
          <w:szCs w:val="21"/>
          <w:highlight w:val="none"/>
        </w:rPr>
      </w:pPr>
      <w:r>
        <w:rPr>
          <w:rFonts w:hint="eastAsia" w:ascii="宋体" w:hAnsi="宋体"/>
          <w:szCs w:val="21"/>
          <w:highlight w:val="none"/>
        </w:rPr>
        <w:t>本项目参照《深圳经济特区政府采购条例》、《深圳经济特区政府采购条例实施细则》及政府采购其他法律法规，通过公开招标方式确定中标供应商。</w:t>
      </w:r>
    </w:p>
    <w:p>
      <w:pPr>
        <w:rPr>
          <w:rFonts w:ascii="黑体" w:hAnsi="宋体" w:eastAsia="黑体"/>
          <w:sz w:val="24"/>
          <w:highlight w:val="none"/>
        </w:rPr>
      </w:pPr>
      <w:r>
        <w:rPr>
          <w:rFonts w:hint="eastAsia" w:ascii="黑体" w:hAnsi="宋体" w:eastAsia="黑体"/>
          <w:sz w:val="24"/>
          <w:highlight w:val="none"/>
        </w:rPr>
        <w:t>3．定义</w:t>
      </w:r>
    </w:p>
    <w:p>
      <w:pPr>
        <w:ind w:firstLine="420" w:firstLineChars="200"/>
        <w:rPr>
          <w:rFonts w:ascii="宋体" w:hAnsi="宋体"/>
          <w:szCs w:val="21"/>
          <w:highlight w:val="none"/>
        </w:rPr>
      </w:pPr>
      <w:r>
        <w:rPr>
          <w:rFonts w:ascii="宋体" w:hAnsi="宋体"/>
          <w:szCs w:val="21"/>
          <w:highlight w:val="none"/>
        </w:rPr>
        <w:t>招标文件中下列术语应解释为：</w:t>
      </w:r>
    </w:p>
    <w:p>
      <w:pPr>
        <w:ind w:firstLine="411" w:firstLineChars="196"/>
        <w:rPr>
          <w:rFonts w:ascii="宋体" w:hAnsi="宋体"/>
          <w:szCs w:val="21"/>
          <w:highlight w:val="none"/>
        </w:rPr>
      </w:pPr>
      <w:r>
        <w:rPr>
          <w:rFonts w:hint="eastAsia" w:ascii="宋体" w:hAnsi="宋体"/>
          <w:szCs w:val="21"/>
          <w:highlight w:val="none"/>
        </w:rPr>
        <w:t>3.</w:t>
      </w:r>
      <w:r>
        <w:rPr>
          <w:rFonts w:ascii="宋体" w:hAnsi="宋体"/>
          <w:szCs w:val="21"/>
          <w:highlight w:val="none"/>
        </w:rPr>
        <w:t>1</w:t>
      </w:r>
      <w:r>
        <w:rPr>
          <w:rFonts w:hint="eastAsia" w:ascii="宋体" w:hAnsi="宋体"/>
          <w:szCs w:val="21"/>
          <w:highlight w:val="none"/>
        </w:rPr>
        <w:t>“采购人”：指利用财政性资金依法进行政府采购的国家机关、事业单位、团体组织；</w:t>
      </w:r>
      <w:r>
        <w:rPr>
          <w:rFonts w:ascii="宋体" w:hAnsi="宋体"/>
          <w:szCs w:val="21"/>
          <w:highlight w:val="none"/>
        </w:rPr>
        <w:t xml:space="preserve"> </w:t>
      </w:r>
    </w:p>
    <w:p>
      <w:pPr>
        <w:ind w:firstLine="411" w:firstLineChars="196"/>
        <w:rPr>
          <w:rFonts w:ascii="宋体" w:hAnsi="宋体"/>
          <w:szCs w:val="21"/>
          <w:highlight w:val="none"/>
        </w:rPr>
      </w:pPr>
      <w:r>
        <w:rPr>
          <w:rFonts w:hint="eastAsia" w:ascii="宋体" w:hAnsi="宋体"/>
          <w:szCs w:val="21"/>
          <w:highlight w:val="none"/>
        </w:rPr>
        <w:t>3.2 “政府集中采购机构”</w:t>
      </w:r>
      <w:r>
        <w:rPr>
          <w:rFonts w:hint="eastAsia" w:ascii="Arial" w:hAnsi="Arial" w:cs="Arial"/>
          <w:szCs w:val="21"/>
          <w:highlight w:val="none"/>
          <w:shd w:val="clear" w:color="auto" w:fill="FFFFFF"/>
        </w:rPr>
        <w:t>是指市政府设立的，组织实施政府采购项目，并对政府采购活动提供服务的专门机构；</w:t>
      </w:r>
      <w:r>
        <w:rPr>
          <w:rFonts w:hint="eastAsia" w:ascii="宋体" w:hAnsi="宋体"/>
          <w:szCs w:val="21"/>
          <w:highlight w:val="none"/>
        </w:rPr>
        <w:t>本文件所述的“政府集中采购机构”</w:t>
      </w:r>
      <w:r>
        <w:rPr>
          <w:rFonts w:ascii="宋体" w:hAnsi="宋体"/>
          <w:szCs w:val="21"/>
          <w:highlight w:val="none"/>
        </w:rPr>
        <w:t>指</w:t>
      </w:r>
      <w:r>
        <w:rPr>
          <w:rFonts w:hint="eastAsia" w:ascii="宋体" w:hAnsi="宋体"/>
          <w:b/>
          <w:bCs/>
          <w:szCs w:val="21"/>
          <w:highlight w:val="none"/>
        </w:rPr>
        <w:t>深圳公共资源交易中心</w:t>
      </w:r>
      <w:r>
        <w:rPr>
          <w:rFonts w:hint="eastAsia" w:ascii="宋体" w:hAnsi="宋体"/>
          <w:szCs w:val="21"/>
          <w:highlight w:val="none"/>
        </w:rPr>
        <w:t>；</w:t>
      </w:r>
    </w:p>
    <w:p>
      <w:pPr>
        <w:ind w:firstLine="411" w:firstLineChars="196"/>
        <w:rPr>
          <w:rFonts w:ascii="宋体" w:hAnsi="宋体"/>
          <w:szCs w:val="21"/>
          <w:highlight w:val="none"/>
        </w:rPr>
      </w:pPr>
      <w:r>
        <w:rPr>
          <w:rFonts w:hint="eastAsia" w:ascii="宋体" w:hAnsi="宋体"/>
          <w:szCs w:val="21"/>
          <w:highlight w:val="none"/>
        </w:rPr>
        <w:t>3.3“投标人”，即供应商，指参加投标竞争并愿意按照招标文件要求向采购人提供货物、工程或者服务的依法成立的法人、其他组织或者自然人；</w:t>
      </w:r>
    </w:p>
    <w:p>
      <w:pPr>
        <w:ind w:firstLine="411" w:firstLineChars="196"/>
        <w:rPr>
          <w:rFonts w:ascii="宋体" w:hAnsi="宋体"/>
          <w:szCs w:val="21"/>
          <w:highlight w:val="none"/>
        </w:rPr>
      </w:pPr>
      <w:r>
        <w:rPr>
          <w:rFonts w:hint="eastAsia" w:ascii="宋体" w:hAnsi="宋体"/>
          <w:szCs w:val="21"/>
          <w:highlight w:val="none"/>
        </w:rPr>
        <w:t>3.4“评审委员会”是依据《深圳经济特区政府采购条例》、《深圳经济特区政府采购条例实施细则》等有关规定组建的专门负责本次招标其评审工作的临时性机构；</w:t>
      </w:r>
    </w:p>
    <w:p>
      <w:pPr>
        <w:ind w:firstLine="411" w:firstLineChars="196"/>
        <w:rPr>
          <w:rFonts w:ascii="宋体" w:hAnsi="宋体"/>
          <w:szCs w:val="21"/>
          <w:highlight w:val="none"/>
        </w:rPr>
      </w:pPr>
      <w:r>
        <w:rPr>
          <w:rFonts w:hint="eastAsia" w:ascii="宋体" w:hAnsi="宋体"/>
          <w:szCs w:val="21"/>
          <w:highlight w:val="none"/>
        </w:rPr>
        <w:t>3.5“日期”</w:t>
      </w:r>
      <w:r>
        <w:rPr>
          <w:rFonts w:ascii="宋体" w:hAnsi="宋体"/>
          <w:szCs w:val="21"/>
          <w:highlight w:val="none"/>
        </w:rPr>
        <w:t>指</w:t>
      </w:r>
      <w:r>
        <w:rPr>
          <w:rFonts w:hint="eastAsia" w:ascii="宋体" w:hAnsi="宋体"/>
          <w:szCs w:val="21"/>
          <w:highlight w:val="none"/>
        </w:rPr>
        <w:t>公历日；</w:t>
      </w:r>
    </w:p>
    <w:p>
      <w:pPr>
        <w:ind w:firstLine="411" w:firstLineChars="196"/>
        <w:rPr>
          <w:rFonts w:ascii="宋体" w:hAnsi="宋体"/>
          <w:szCs w:val="21"/>
          <w:highlight w:val="none"/>
        </w:rPr>
      </w:pPr>
      <w:r>
        <w:rPr>
          <w:rFonts w:hint="eastAsia" w:ascii="宋体" w:hAnsi="宋体"/>
          <w:szCs w:val="21"/>
          <w:highlight w:val="none"/>
        </w:rPr>
        <w:t>3.6“合同”指由本次招标所产生的合同或合约文件；</w:t>
      </w:r>
    </w:p>
    <w:p>
      <w:pPr>
        <w:ind w:firstLine="411" w:firstLineChars="196"/>
        <w:rPr>
          <w:rFonts w:ascii="宋体" w:hAnsi="宋体"/>
          <w:szCs w:val="21"/>
          <w:highlight w:val="none"/>
        </w:rPr>
      </w:pPr>
      <w:r>
        <w:rPr>
          <w:rFonts w:hint="eastAsia" w:ascii="宋体" w:hAnsi="宋体"/>
          <w:szCs w:val="21"/>
          <w:highlight w:val="none"/>
        </w:rPr>
        <w:t>3.7“电子投标文件”指利用</w:t>
      </w:r>
      <w:r>
        <w:rPr>
          <w:rFonts w:hint="eastAsia" w:ascii="宋体" w:hAnsi="宋体"/>
          <w:b/>
          <w:bCs/>
          <w:color w:val="FF0000"/>
          <w:szCs w:val="21"/>
          <w:highlight w:val="none"/>
        </w:rPr>
        <w:t>深圳公共资源交易中心（深圳交易集团有限公司龙华分公司）</w:t>
      </w:r>
      <w:r>
        <w:rPr>
          <w:rFonts w:hint="eastAsia" w:ascii="宋体" w:hAnsi="宋体"/>
          <w:szCs w:val="21"/>
          <w:highlight w:val="none"/>
        </w:rPr>
        <w:t>网站提供的深圳智慧采购平台投标文件制作专用软件（以下简称：投标文件制作软件）制作并加密的投标文件,适用于网上投标；（投标文件制作软件可从“下载地址：http://zfcg.szggzy.com:8081/cgxy/013002/20210923/173e0b2c-7a4c-4246-a0c7-e0ea75d84dd6.html深圳智慧采购平台投标文件制作专用软件.zip”下载）</w:t>
      </w:r>
    </w:p>
    <w:p>
      <w:pPr>
        <w:ind w:firstLine="411" w:firstLineChars="196"/>
        <w:rPr>
          <w:rFonts w:ascii="宋体" w:hAnsi="宋体"/>
          <w:szCs w:val="21"/>
          <w:highlight w:val="none"/>
        </w:rPr>
      </w:pPr>
      <w:r>
        <w:rPr>
          <w:rFonts w:hint="eastAsia" w:ascii="宋体" w:hAnsi="宋体"/>
          <w:szCs w:val="21"/>
          <w:highlight w:val="none"/>
        </w:rPr>
        <w:t>3.8“网上投标”指通过</w:t>
      </w:r>
      <w:r>
        <w:rPr>
          <w:rFonts w:hint="eastAsia" w:ascii="宋体" w:hAnsi="宋体"/>
          <w:b/>
          <w:bCs/>
          <w:color w:val="FF0000"/>
          <w:szCs w:val="21"/>
          <w:highlight w:val="none"/>
        </w:rPr>
        <w:t>深圳公共资源交易中心（深圳交易集团有限公司龙华分公司）</w:t>
      </w:r>
      <w:r>
        <w:rPr>
          <w:rFonts w:hint="eastAsia" w:ascii="宋体" w:hAnsi="宋体"/>
          <w:szCs w:val="21"/>
          <w:highlight w:val="none"/>
        </w:rPr>
        <w:t>网站上传电子投标文件；</w:t>
      </w:r>
    </w:p>
    <w:p>
      <w:pPr>
        <w:ind w:firstLine="411" w:firstLineChars="196"/>
        <w:rPr>
          <w:rFonts w:ascii="宋体" w:hAnsi="宋体"/>
          <w:szCs w:val="21"/>
          <w:highlight w:val="none"/>
        </w:rPr>
      </w:pPr>
      <w:r>
        <w:rPr>
          <w:rFonts w:hint="eastAsia" w:ascii="宋体" w:hAnsi="宋体"/>
          <w:szCs w:val="21"/>
          <w:highlight w:val="none"/>
        </w:rPr>
        <w:t>3.9招标文件中的标题或题名仅起引导作用，而不应视为对招标文件内容的理解和解释。</w:t>
      </w:r>
    </w:p>
    <w:p>
      <w:pPr>
        <w:rPr>
          <w:rFonts w:ascii="黑体" w:hAnsi="宋体" w:eastAsia="黑体"/>
          <w:sz w:val="24"/>
          <w:highlight w:val="none"/>
        </w:rPr>
      </w:pPr>
      <w:r>
        <w:rPr>
          <w:rFonts w:hint="eastAsia" w:ascii="黑体" w:hAnsi="宋体" w:eastAsia="黑体"/>
          <w:sz w:val="24"/>
          <w:highlight w:val="none"/>
        </w:rPr>
        <w:t xml:space="preserve">4. </w:t>
      </w:r>
      <w:bookmarkStart w:id="44" w:name="_Hlk72398643"/>
      <w:r>
        <w:rPr>
          <w:rFonts w:hint="eastAsia" w:ascii="黑体" w:hAnsi="宋体" w:eastAsia="黑体"/>
          <w:sz w:val="24"/>
          <w:highlight w:val="none"/>
        </w:rPr>
        <w:t>政府采购供应商责任</w:t>
      </w:r>
    </w:p>
    <w:p>
      <w:pPr>
        <w:ind w:firstLine="411" w:firstLineChars="196"/>
        <w:rPr>
          <w:rFonts w:ascii="宋体" w:hAnsi="宋体"/>
          <w:szCs w:val="21"/>
          <w:highlight w:val="none"/>
        </w:rPr>
      </w:pPr>
      <w:r>
        <w:rPr>
          <w:rFonts w:hint="eastAsia" w:ascii="宋体" w:hAnsi="宋体"/>
          <w:szCs w:val="21"/>
          <w:highlight w:val="none"/>
        </w:rPr>
        <w:t>4.1欢迎诚信、有实力和有社会责任心的供应商参与政府采购事业。</w:t>
      </w:r>
    </w:p>
    <w:p>
      <w:pPr>
        <w:ind w:firstLine="411" w:firstLineChars="196"/>
        <w:rPr>
          <w:rFonts w:ascii="宋体" w:hAnsi="宋体"/>
          <w:szCs w:val="21"/>
          <w:highlight w:val="none"/>
        </w:rPr>
      </w:pPr>
      <w:r>
        <w:rPr>
          <w:rFonts w:hint="eastAsia" w:ascii="宋体" w:hAnsi="宋体"/>
          <w:szCs w:val="21"/>
          <w:highlight w:val="none"/>
        </w:rPr>
        <w:t>4.2投标人应当遵循公平竞争的原则，不得恶意串通，不得妨碍其他投标人的竞争行为，不得损害采购人或者其他投标人的合法权益。如违反上述要求，经核实后，供应商的投标无效。</w:t>
      </w:r>
    </w:p>
    <w:p>
      <w:pPr>
        <w:rPr>
          <w:rFonts w:ascii="黑体" w:hAnsi="宋体" w:eastAsia="黑体"/>
          <w:sz w:val="24"/>
          <w:highlight w:val="none"/>
        </w:rPr>
      </w:pPr>
      <w:r>
        <w:rPr>
          <w:rFonts w:hint="eastAsia" w:ascii="黑体" w:hAnsi="宋体" w:eastAsia="黑体"/>
          <w:sz w:val="24"/>
          <w:highlight w:val="none"/>
        </w:rPr>
        <w:t>5．投标人参加政府采购的条件</w:t>
      </w:r>
    </w:p>
    <w:p>
      <w:pPr>
        <w:ind w:firstLine="411" w:firstLineChars="196"/>
        <w:jc w:val="left"/>
        <w:rPr>
          <w:rFonts w:ascii="宋体" w:hAnsi="宋体"/>
          <w:szCs w:val="21"/>
          <w:highlight w:val="none"/>
        </w:rPr>
      </w:pPr>
      <w:r>
        <w:rPr>
          <w:rFonts w:hint="eastAsia" w:ascii="宋体" w:hAnsi="宋体"/>
          <w:szCs w:val="21"/>
          <w:highlight w:val="none"/>
        </w:rPr>
        <w:t>5.1投标人应在投标前到</w:t>
      </w:r>
      <w:r>
        <w:rPr>
          <w:rFonts w:hint="eastAsia" w:ascii="宋体" w:hAnsi="宋体"/>
          <w:b/>
          <w:bCs/>
          <w:szCs w:val="21"/>
          <w:highlight w:val="none"/>
        </w:rPr>
        <w:t>深圳公共资源交易中心（具体在深圳交易集团有限公司政府采购业务分公司进行办理）</w:t>
      </w:r>
      <w:r>
        <w:rPr>
          <w:rFonts w:hint="eastAsia" w:ascii="宋体" w:hAnsi="宋体"/>
          <w:szCs w:val="21"/>
          <w:highlight w:val="none"/>
        </w:rPr>
        <w:t>进行注册并办理电子密钥。《供应商注册及信息变更指引》详见www.szggzy.com网站“交易服务指南-政府采购”。</w:t>
      </w:r>
    </w:p>
    <w:p>
      <w:pPr>
        <w:ind w:firstLine="411" w:firstLineChars="196"/>
        <w:rPr>
          <w:rFonts w:ascii="宋体" w:hAnsi="宋体"/>
          <w:szCs w:val="21"/>
          <w:highlight w:val="none"/>
        </w:rPr>
      </w:pPr>
      <w:r>
        <w:rPr>
          <w:rFonts w:hint="eastAsia" w:ascii="宋体" w:hAnsi="宋体"/>
          <w:szCs w:val="21"/>
          <w:highlight w:val="none"/>
        </w:rPr>
        <w:t>5.2投标人资格要求</w:t>
      </w:r>
    </w:p>
    <w:p>
      <w:pPr>
        <w:ind w:firstLine="411" w:firstLineChars="196"/>
        <w:rPr>
          <w:rFonts w:ascii="宋体" w:hAnsi="宋体"/>
          <w:szCs w:val="21"/>
          <w:highlight w:val="none"/>
        </w:rPr>
      </w:pPr>
      <w:r>
        <w:rPr>
          <w:rFonts w:hint="eastAsia" w:ascii="宋体" w:hAnsi="宋体"/>
          <w:szCs w:val="21"/>
          <w:highlight w:val="none"/>
        </w:rPr>
        <w:t>参加本项目的投标人应具备的资格条件详见本项目招标公告中 “投标人资格要求”（即申请人的资格要求）的内容。</w:t>
      </w:r>
    </w:p>
    <w:p>
      <w:pPr>
        <w:ind w:firstLine="411" w:firstLineChars="196"/>
        <w:rPr>
          <w:rFonts w:ascii="宋体" w:hAnsi="宋体"/>
          <w:szCs w:val="21"/>
          <w:highlight w:val="none"/>
        </w:rPr>
      </w:pPr>
      <w:r>
        <w:rPr>
          <w:rFonts w:hint="eastAsia" w:ascii="宋体" w:hAnsi="宋体"/>
          <w:szCs w:val="21"/>
          <w:highlight w:val="none"/>
        </w:rPr>
        <w:t>5.3联合体投标</w:t>
      </w:r>
    </w:p>
    <w:p>
      <w:pPr>
        <w:ind w:firstLine="411" w:firstLineChars="196"/>
        <w:rPr>
          <w:rFonts w:ascii="宋体" w:hAnsi="宋体"/>
          <w:szCs w:val="21"/>
          <w:highlight w:val="none"/>
        </w:rPr>
      </w:pPr>
      <w:r>
        <w:rPr>
          <w:rFonts w:hint="eastAsia" w:ascii="宋体" w:hAnsi="宋体"/>
          <w:szCs w:val="21"/>
          <w:highlight w:val="none"/>
        </w:rPr>
        <w:t>5.3.1　以下有关联合体投标的条款仅适用于允许投标人组成联合体投标的项目。</w:t>
      </w:r>
    </w:p>
    <w:p>
      <w:pPr>
        <w:ind w:firstLine="411" w:firstLineChars="196"/>
        <w:rPr>
          <w:rFonts w:ascii="宋体" w:hAnsi="宋体"/>
          <w:szCs w:val="21"/>
          <w:highlight w:val="none"/>
        </w:rPr>
      </w:pPr>
      <w:r>
        <w:rPr>
          <w:rFonts w:hint="eastAsia" w:ascii="宋体" w:hAnsi="宋体"/>
          <w:szCs w:val="21"/>
          <w:highlight w:val="none"/>
        </w:rPr>
        <w:t>5.3.2  由两个或两个以上的自然人、法人或者其他组织可以组成一个联合体，以一个供应商的身份共同投标时，应符合以下原则：</w:t>
      </w:r>
    </w:p>
    <w:p>
      <w:pPr>
        <w:ind w:firstLine="411" w:firstLineChars="196"/>
        <w:rPr>
          <w:rFonts w:ascii="宋体" w:hAnsi="宋体"/>
          <w:highlight w:val="none"/>
        </w:rPr>
      </w:pPr>
      <w:r>
        <w:rPr>
          <w:rFonts w:hint="eastAsia" w:ascii="宋体" w:hAnsi="宋体"/>
          <w:highlight w:val="none"/>
        </w:rPr>
        <w:t>（1）投标联合体各方参加政府采购活动应当具备下列条件：</w:t>
      </w:r>
      <w:r>
        <w:rPr>
          <w:rFonts w:ascii="宋体" w:hAnsi="宋体"/>
          <w:highlight w:val="none"/>
        </w:rPr>
        <w:t xml:space="preserve"> </w:t>
      </w:r>
    </w:p>
    <w:p>
      <w:pPr>
        <w:ind w:left="420" w:leftChars="200" w:firstLine="411" w:firstLineChars="196"/>
        <w:rPr>
          <w:rFonts w:ascii="宋体" w:hAnsi="宋体"/>
          <w:highlight w:val="none"/>
        </w:rPr>
      </w:pPr>
      <w:r>
        <w:rPr>
          <w:rFonts w:hint="eastAsia" w:ascii="宋体" w:hAnsi="宋体"/>
          <w:highlight w:val="none"/>
        </w:rPr>
        <w:t>1、具有独立承担民事责任的能力；</w:t>
      </w:r>
      <w:r>
        <w:rPr>
          <w:rFonts w:ascii="宋体" w:hAnsi="宋体"/>
          <w:highlight w:val="none"/>
        </w:rPr>
        <w:t xml:space="preserve"> </w:t>
      </w:r>
    </w:p>
    <w:p>
      <w:pPr>
        <w:ind w:left="420" w:firstLine="411" w:firstLineChars="196"/>
        <w:rPr>
          <w:rFonts w:ascii="宋体" w:hAnsi="宋体"/>
          <w:highlight w:val="none"/>
        </w:rPr>
      </w:pPr>
      <w:r>
        <w:rPr>
          <w:rFonts w:hint="eastAsia" w:ascii="宋体" w:hAnsi="宋体"/>
          <w:highlight w:val="none"/>
        </w:rPr>
        <w:t>2、有良好的商业信誉和健全的财务会计制度；</w:t>
      </w:r>
      <w:r>
        <w:rPr>
          <w:rFonts w:ascii="宋体" w:hAnsi="宋体"/>
          <w:highlight w:val="none"/>
        </w:rPr>
        <w:t xml:space="preserve"> </w:t>
      </w:r>
    </w:p>
    <w:p>
      <w:pPr>
        <w:ind w:left="420" w:leftChars="200" w:firstLine="411" w:firstLineChars="196"/>
        <w:rPr>
          <w:rFonts w:ascii="宋体" w:hAnsi="宋体"/>
          <w:highlight w:val="none"/>
        </w:rPr>
      </w:pPr>
      <w:r>
        <w:rPr>
          <w:rFonts w:hint="eastAsia" w:ascii="宋体" w:hAnsi="宋体"/>
          <w:highlight w:val="none"/>
        </w:rPr>
        <w:t>3、具有履行合同所必需的设备和专业技术能力；</w:t>
      </w:r>
      <w:r>
        <w:rPr>
          <w:rFonts w:ascii="宋体" w:hAnsi="宋体"/>
          <w:highlight w:val="none"/>
        </w:rPr>
        <w:t xml:space="preserve"> </w:t>
      </w:r>
    </w:p>
    <w:p>
      <w:pPr>
        <w:ind w:left="420" w:leftChars="200" w:firstLine="411" w:firstLineChars="196"/>
        <w:rPr>
          <w:rFonts w:ascii="宋体" w:hAnsi="宋体"/>
          <w:highlight w:val="none"/>
        </w:rPr>
      </w:pPr>
      <w:r>
        <w:rPr>
          <w:rFonts w:hint="eastAsia" w:ascii="宋体" w:hAnsi="宋体"/>
          <w:highlight w:val="none"/>
        </w:rPr>
        <w:t>4、有依法缴纳税收和社会保障资金的良好记录；</w:t>
      </w:r>
      <w:r>
        <w:rPr>
          <w:rFonts w:ascii="宋体" w:hAnsi="宋体"/>
          <w:highlight w:val="none"/>
        </w:rPr>
        <w:t xml:space="preserve"> </w:t>
      </w:r>
    </w:p>
    <w:p>
      <w:pPr>
        <w:ind w:left="420" w:leftChars="200" w:firstLine="411" w:firstLineChars="196"/>
        <w:rPr>
          <w:rFonts w:ascii="宋体" w:hAnsi="宋体"/>
          <w:highlight w:val="none"/>
        </w:rPr>
      </w:pPr>
      <w:r>
        <w:rPr>
          <w:rFonts w:hint="eastAsia" w:ascii="宋体" w:hAnsi="宋体"/>
          <w:highlight w:val="none"/>
        </w:rPr>
        <w:t>5、参加政府采购活动前三年内，在经营活动中没有重大违法记录；</w:t>
      </w:r>
      <w:r>
        <w:rPr>
          <w:rFonts w:ascii="宋体" w:hAnsi="宋体"/>
          <w:highlight w:val="none"/>
        </w:rPr>
        <w:t xml:space="preserve"> </w:t>
      </w:r>
    </w:p>
    <w:p>
      <w:pPr>
        <w:ind w:left="420" w:leftChars="200" w:firstLine="411" w:firstLineChars="196"/>
        <w:rPr>
          <w:rFonts w:ascii="宋体" w:hAnsi="宋体"/>
          <w:highlight w:val="none"/>
        </w:rPr>
      </w:pPr>
      <w:r>
        <w:rPr>
          <w:rFonts w:hint="eastAsia" w:ascii="宋体" w:hAnsi="宋体"/>
          <w:highlight w:val="none"/>
        </w:rPr>
        <w:t>6、法律、行政法规规定的其他条件。</w:t>
      </w:r>
      <w:r>
        <w:rPr>
          <w:rFonts w:ascii="宋体" w:hAnsi="宋体"/>
          <w:highlight w:val="none"/>
        </w:rPr>
        <w:t xml:space="preserve"> </w:t>
      </w:r>
    </w:p>
    <w:p>
      <w:pPr>
        <w:ind w:firstLine="411" w:firstLineChars="196"/>
        <w:rPr>
          <w:rFonts w:ascii="宋体" w:hAnsi="宋体"/>
          <w:highlight w:val="none"/>
        </w:rPr>
      </w:pPr>
      <w:r>
        <w:rPr>
          <w:rFonts w:hint="eastAsia" w:ascii="宋体" w:hAnsi="宋体"/>
          <w:highlight w:val="none"/>
        </w:rPr>
        <w:t>（2）在投标截止前，投标联合体各方均应注册成政府集中采购机构供应商；</w:t>
      </w:r>
    </w:p>
    <w:p>
      <w:pPr>
        <w:ind w:firstLine="411" w:firstLineChars="196"/>
        <w:rPr>
          <w:rFonts w:ascii="宋体" w:hAnsi="宋体"/>
          <w:highlight w:val="none"/>
        </w:rPr>
      </w:pPr>
      <w:r>
        <w:rPr>
          <w:rFonts w:hint="eastAsia" w:ascii="宋体" w:hAnsi="宋体"/>
          <w:highlight w:val="none"/>
        </w:rPr>
        <w:t>（3）联合体中有同类资质的供应商按照联合体分工承担相同工作的，应当按照资质等级较低的供应商确定资质等级；</w:t>
      </w:r>
    </w:p>
    <w:p>
      <w:pPr>
        <w:ind w:firstLine="411" w:firstLineChars="196"/>
        <w:rPr>
          <w:highlight w:val="none"/>
        </w:rPr>
      </w:pPr>
      <w:r>
        <w:rPr>
          <w:rFonts w:hint="eastAsia"/>
          <w:highlight w:val="none"/>
        </w:rPr>
        <w:t>（4）是否允许联合体参加投标，应当由采购人和采购代理机构根据项目的实际情况和潜在供应商的数量自主决定，如果决定接受联合体投标则应当在招标公告中明示；</w:t>
      </w:r>
    </w:p>
    <w:p>
      <w:pPr>
        <w:ind w:firstLine="411" w:firstLineChars="196"/>
        <w:rPr>
          <w:rFonts w:ascii="宋体" w:hAnsi="宋体"/>
          <w:highlight w:val="none"/>
        </w:rPr>
      </w:pPr>
      <w:r>
        <w:rPr>
          <w:rFonts w:hint="eastAsia" w:ascii="宋体" w:hAnsi="宋体"/>
          <w:highlight w:val="none"/>
        </w:rPr>
        <w:t>（5）投标人的投标文件及中标后签署的合同协议对联合体各方均具法律约束力；</w:t>
      </w:r>
    </w:p>
    <w:p>
      <w:pPr>
        <w:ind w:firstLine="411" w:firstLineChars="196"/>
        <w:rPr>
          <w:rFonts w:ascii="宋体" w:hAnsi="宋体"/>
          <w:highlight w:val="none"/>
        </w:rPr>
      </w:pPr>
      <w:r>
        <w:rPr>
          <w:rFonts w:hint="eastAsia" w:ascii="宋体" w:hAnsi="宋体"/>
          <w:highlight w:val="none"/>
        </w:rPr>
        <w:t>（6）联合体各方应当签订联合体投标协议，明确约定各方拟承担的工作和责任，并将该协议随投标文件一并递交给政府集中采购机构；</w:t>
      </w:r>
    </w:p>
    <w:p>
      <w:pPr>
        <w:ind w:firstLine="411" w:firstLineChars="196"/>
        <w:rPr>
          <w:rFonts w:ascii="宋体" w:hAnsi="宋体"/>
          <w:highlight w:val="none"/>
        </w:rPr>
      </w:pPr>
      <w:r>
        <w:rPr>
          <w:rFonts w:hint="eastAsia" w:ascii="宋体" w:hAnsi="宋体"/>
          <w:highlight w:val="none"/>
        </w:rPr>
        <w:t>（7）联合体中标后，联合体各方应当共同与采购人签订合同，就中标项目向采购人承担连带责任；</w:t>
      </w:r>
    </w:p>
    <w:p>
      <w:pPr>
        <w:ind w:firstLine="411" w:firstLineChars="196"/>
        <w:rPr>
          <w:rFonts w:ascii="宋体" w:hAnsi="宋体"/>
          <w:highlight w:val="none"/>
        </w:rPr>
      </w:pPr>
      <w:r>
        <w:rPr>
          <w:rFonts w:hint="eastAsia" w:ascii="宋体" w:hAnsi="宋体"/>
          <w:highlight w:val="none"/>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pPr>
        <w:ind w:firstLine="411" w:firstLineChars="196"/>
        <w:rPr>
          <w:rFonts w:ascii="宋体" w:hAnsi="宋体"/>
          <w:szCs w:val="21"/>
          <w:highlight w:val="none"/>
        </w:rPr>
      </w:pPr>
      <w:r>
        <w:rPr>
          <w:rFonts w:hint="eastAsia" w:ascii="宋体" w:hAnsi="宋体"/>
          <w:highlight w:val="none"/>
        </w:rPr>
        <w:t>（9）本通用条款中“投标人”一词亦指联合体各方，专用条款另有规定或说明的除外。</w:t>
      </w:r>
    </w:p>
    <w:p>
      <w:pPr>
        <w:rPr>
          <w:rFonts w:ascii="黑体" w:hAnsi="宋体" w:eastAsia="黑体"/>
          <w:sz w:val="24"/>
          <w:highlight w:val="none"/>
        </w:rPr>
      </w:pPr>
      <w:r>
        <w:rPr>
          <w:rFonts w:hint="eastAsia" w:ascii="黑体" w:hAnsi="宋体" w:eastAsia="黑体"/>
          <w:sz w:val="24"/>
          <w:highlight w:val="none"/>
        </w:rPr>
        <w:t>6．政策导向</w:t>
      </w:r>
    </w:p>
    <w:p>
      <w:pPr>
        <w:ind w:firstLine="411" w:firstLineChars="196"/>
        <w:rPr>
          <w:rFonts w:ascii="宋体" w:hAnsi="宋体"/>
          <w:highlight w:val="none"/>
        </w:rPr>
      </w:pPr>
      <w:r>
        <w:rPr>
          <w:rFonts w:hint="eastAsia" w:ascii="宋体" w:hAnsi="宋体"/>
          <w:highlight w:val="none"/>
        </w:rPr>
        <w:t>6.1</w:t>
      </w:r>
      <w:r>
        <w:rPr>
          <w:rFonts w:ascii="宋体" w:hAnsi="宋体"/>
          <w:highlight w:val="none"/>
        </w:rPr>
        <w:t xml:space="preserve">  </w:t>
      </w:r>
      <w:r>
        <w:rPr>
          <w:rFonts w:hint="eastAsia" w:ascii="宋体" w:hAnsi="宋体"/>
          <w:highlight w:val="none"/>
        </w:rPr>
        <w:t>政府采购支持本国产品、支持中小企业、监狱企业和残疾人福利性单位发展，支持乡村产业振兴，支持创新、节能减排、绿色环保等。</w:t>
      </w:r>
    </w:p>
    <w:p>
      <w:pPr>
        <w:ind w:firstLine="405"/>
        <w:rPr>
          <w:rFonts w:ascii="宋体" w:hAnsi="宋体"/>
          <w:highlight w:val="none"/>
        </w:rPr>
      </w:pPr>
      <w:r>
        <w:rPr>
          <w:rFonts w:hint="eastAsia" w:ascii="宋体" w:hAnsi="宋体"/>
          <w:highlight w:val="none"/>
        </w:rPr>
        <w:t>6.2</w:t>
      </w:r>
      <w:r>
        <w:rPr>
          <w:rFonts w:ascii="宋体" w:hAnsi="宋体"/>
          <w:highlight w:val="none"/>
        </w:rPr>
        <w:t xml:space="preserve">  </w:t>
      </w:r>
      <w:r>
        <w:rPr>
          <w:rFonts w:hint="eastAsia" w:ascii="宋体" w:hAnsi="宋体"/>
          <w:highlight w:val="none"/>
        </w:rPr>
        <w:t>本项目落实深圳市政府采购供应商诚信管理政策要求。</w:t>
      </w:r>
    </w:p>
    <w:p>
      <w:pPr>
        <w:ind w:firstLine="405"/>
        <w:rPr>
          <w:rFonts w:eastAsia="宋体"/>
          <w:highlight w:val="none"/>
        </w:rPr>
      </w:pPr>
      <w:r>
        <w:rPr>
          <w:rFonts w:hint="eastAsia" w:ascii="宋体" w:hAnsi="宋体"/>
          <w:highlight w:val="none"/>
        </w:rPr>
        <w:t>6.3  本项目支持投标人性别平等的相关政策。</w:t>
      </w:r>
    </w:p>
    <w:p>
      <w:pPr>
        <w:rPr>
          <w:rFonts w:ascii="黑体" w:hAnsi="宋体" w:eastAsia="黑体"/>
          <w:sz w:val="24"/>
          <w:highlight w:val="none"/>
        </w:rPr>
      </w:pPr>
      <w:r>
        <w:rPr>
          <w:rFonts w:hint="eastAsia" w:ascii="黑体" w:hAnsi="宋体" w:eastAsia="黑体"/>
          <w:sz w:val="24"/>
          <w:highlight w:val="none"/>
        </w:rPr>
        <w:t>7. 本项目若涉及采购货物，则合格的货物及相应服务应满足以下要求：</w:t>
      </w:r>
    </w:p>
    <w:p>
      <w:pPr>
        <w:ind w:firstLine="411" w:firstLineChars="196"/>
        <w:rPr>
          <w:rFonts w:ascii="宋体" w:hAnsi="宋体"/>
          <w:highlight w:val="none"/>
        </w:rPr>
      </w:pPr>
      <w:r>
        <w:rPr>
          <w:rFonts w:hint="eastAsia" w:ascii="宋体" w:hAnsi="宋体"/>
          <w:highlight w:val="none"/>
        </w:rPr>
        <w:t>7</w:t>
      </w:r>
      <w:r>
        <w:rPr>
          <w:rFonts w:ascii="宋体" w:hAnsi="宋体"/>
          <w:highlight w:val="none"/>
        </w:rPr>
        <w:t xml:space="preserve">.1  </w:t>
      </w:r>
      <w:r>
        <w:rPr>
          <w:rFonts w:hint="eastAsia" w:ascii="宋体" w:hAnsi="宋体"/>
          <w:highlight w:val="none"/>
        </w:rPr>
        <w:t>必须是全新、未使用过的原装合格正品（包括零部件），如安装或配置了软件的，须为正版软件。</w:t>
      </w:r>
    </w:p>
    <w:p>
      <w:pPr>
        <w:ind w:firstLine="411" w:firstLineChars="196"/>
        <w:rPr>
          <w:rFonts w:ascii="宋体" w:hAnsi="宋体"/>
          <w:highlight w:val="none"/>
        </w:rPr>
      </w:pPr>
      <w:r>
        <w:rPr>
          <w:rFonts w:hint="eastAsia" w:ascii="宋体" w:hAnsi="宋体"/>
          <w:highlight w:val="none"/>
        </w:rPr>
        <w:t>7.2  国产的货物及其有关服务必须符合中华人民共和国的设计、制造生产标准及行业标准。招标公告有其他要求的，亦应符合其要求。</w:t>
      </w:r>
    </w:p>
    <w:p>
      <w:pPr>
        <w:ind w:firstLine="411" w:firstLineChars="196"/>
        <w:rPr>
          <w:rFonts w:ascii="宋体" w:hAnsi="宋体"/>
          <w:highlight w:val="none"/>
        </w:rPr>
      </w:pPr>
      <w:r>
        <w:rPr>
          <w:rFonts w:hint="eastAsia" w:ascii="宋体" w:hAnsi="宋体"/>
          <w:highlight w:val="none"/>
        </w:rPr>
        <w:t>7</w:t>
      </w:r>
      <w:r>
        <w:rPr>
          <w:rFonts w:ascii="宋体" w:hAnsi="宋体"/>
          <w:highlight w:val="none"/>
        </w:rPr>
        <w:t>.</w:t>
      </w:r>
      <w:r>
        <w:rPr>
          <w:rFonts w:hint="eastAsia" w:ascii="宋体" w:hAnsi="宋体"/>
          <w:highlight w:val="none"/>
        </w:rPr>
        <w:t>3</w:t>
      </w:r>
      <w:r>
        <w:rPr>
          <w:rFonts w:ascii="宋体" w:hAnsi="宋体"/>
          <w:highlight w:val="none"/>
        </w:rPr>
        <w:t xml:space="preserve">  </w:t>
      </w:r>
      <w:r>
        <w:rPr>
          <w:rFonts w:hint="eastAsia" w:ascii="宋体" w:hAnsi="宋体"/>
          <w:highlight w:val="none"/>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pPr>
        <w:ind w:firstLine="411" w:firstLineChars="196"/>
        <w:rPr>
          <w:rFonts w:ascii="宋体" w:hAnsi="宋体"/>
          <w:highlight w:val="none"/>
        </w:rPr>
      </w:pPr>
      <w:r>
        <w:rPr>
          <w:rFonts w:hint="eastAsia" w:ascii="宋体" w:hAnsi="宋体"/>
          <w:highlight w:val="none"/>
        </w:rPr>
        <w:t>7</w:t>
      </w:r>
      <w:r>
        <w:rPr>
          <w:rFonts w:ascii="宋体" w:hAnsi="宋体"/>
          <w:highlight w:val="none"/>
        </w:rPr>
        <w:t>.</w:t>
      </w:r>
      <w:r>
        <w:rPr>
          <w:rFonts w:hint="eastAsia" w:ascii="宋体" w:hAnsi="宋体"/>
          <w:highlight w:val="none"/>
        </w:rPr>
        <w:t>4</w:t>
      </w:r>
      <w:r>
        <w:rPr>
          <w:rFonts w:ascii="宋体" w:hAnsi="宋体"/>
          <w:highlight w:val="none"/>
        </w:rPr>
        <w:t xml:space="preserve">  </w:t>
      </w:r>
      <w:r>
        <w:rPr>
          <w:rFonts w:hint="eastAsia" w:ascii="宋体" w:hAnsi="宋体"/>
          <w:highlight w:val="none"/>
        </w:rPr>
        <w:t>投标人</w:t>
      </w:r>
      <w:bookmarkStart w:id="45" w:name="_Hlk72152753"/>
      <w:r>
        <w:rPr>
          <w:rFonts w:hint="eastAsia" w:ascii="宋体" w:hAnsi="宋体"/>
          <w:highlight w:val="none"/>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45"/>
    </w:p>
    <w:p>
      <w:pPr>
        <w:ind w:firstLine="411" w:firstLineChars="196"/>
        <w:rPr>
          <w:rFonts w:ascii="宋体" w:hAnsi="宋体"/>
          <w:highlight w:val="none"/>
        </w:rPr>
      </w:pPr>
      <w:r>
        <w:rPr>
          <w:rFonts w:hint="eastAsia" w:ascii="宋体" w:hAnsi="宋体"/>
          <w:highlight w:val="none"/>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pPr>
        <w:ind w:firstLine="411" w:firstLineChars="196"/>
        <w:rPr>
          <w:rFonts w:ascii="宋体" w:hAnsi="宋体"/>
          <w:highlight w:val="none"/>
        </w:rPr>
      </w:pPr>
      <w:r>
        <w:rPr>
          <w:rFonts w:hint="eastAsia" w:ascii="宋体" w:hAnsi="宋体"/>
          <w:highlight w:val="none"/>
        </w:rPr>
        <w:t>7.6  工期要求：投标人在投标时对其所投项目应提交交货进度、交货计划等，在合同规定的时间内完成项目实施工作。</w:t>
      </w:r>
    </w:p>
    <w:p>
      <w:pPr>
        <w:ind w:firstLine="411" w:firstLineChars="196"/>
        <w:rPr>
          <w:rFonts w:ascii="宋体" w:hAnsi="宋体"/>
          <w:highlight w:val="none"/>
        </w:rPr>
      </w:pPr>
      <w:r>
        <w:rPr>
          <w:rFonts w:hint="eastAsia" w:ascii="宋体" w:hAnsi="宋体"/>
          <w:highlight w:val="none"/>
        </w:rPr>
        <w:t>7.7  投标人必须承担的设备运输、安装调试、验收检测和提供设备操作说明书、图纸等其他相关及类似的义务。</w:t>
      </w:r>
    </w:p>
    <w:p>
      <w:pPr>
        <w:rPr>
          <w:rFonts w:ascii="黑体" w:hAnsi="宋体" w:eastAsia="黑体"/>
          <w:sz w:val="24"/>
          <w:highlight w:val="none"/>
        </w:rPr>
      </w:pPr>
      <w:r>
        <w:rPr>
          <w:rFonts w:hint="eastAsia" w:ascii="黑体" w:hAnsi="宋体" w:eastAsia="黑体"/>
          <w:sz w:val="24"/>
          <w:highlight w:val="none"/>
        </w:rPr>
        <w:t>8．投标费用</w:t>
      </w:r>
    </w:p>
    <w:p>
      <w:pPr>
        <w:ind w:firstLine="411" w:firstLineChars="196"/>
        <w:rPr>
          <w:rFonts w:ascii="宋体" w:hAnsi="宋体"/>
          <w:szCs w:val="21"/>
          <w:highlight w:val="none"/>
        </w:rPr>
      </w:pPr>
      <w:r>
        <w:rPr>
          <w:rFonts w:hint="eastAsia" w:ascii="宋体" w:hAnsi="宋体"/>
          <w:szCs w:val="21"/>
          <w:highlight w:val="none"/>
        </w:rPr>
        <w:t>不论投标结果如何，投标人应承担其编制投标文件与递交投标文件所涉及的一切费用。</w:t>
      </w:r>
    </w:p>
    <w:p>
      <w:pPr>
        <w:rPr>
          <w:rFonts w:ascii="黑体" w:hAnsi="宋体" w:eastAsia="黑体"/>
          <w:sz w:val="24"/>
          <w:highlight w:val="none"/>
        </w:rPr>
      </w:pPr>
      <w:r>
        <w:rPr>
          <w:rFonts w:hint="eastAsia" w:ascii="黑体" w:hAnsi="宋体" w:eastAsia="黑体"/>
          <w:sz w:val="24"/>
          <w:highlight w:val="none"/>
        </w:rPr>
        <w:t>9．踏勘现场</w:t>
      </w:r>
    </w:p>
    <w:p>
      <w:pPr>
        <w:ind w:firstLine="411" w:firstLineChars="196"/>
        <w:rPr>
          <w:rFonts w:ascii="宋体" w:hAnsi="宋体"/>
          <w:szCs w:val="21"/>
          <w:highlight w:val="none"/>
        </w:rPr>
      </w:pPr>
      <w:r>
        <w:rPr>
          <w:rFonts w:hint="eastAsia" w:ascii="宋体" w:hAnsi="宋体"/>
          <w:szCs w:val="21"/>
          <w:highlight w:val="none"/>
        </w:rPr>
        <w:t>9.1如有需要（详见专用条款），采购人或政府集中采购机构将组织投标人对项目现场及周围环境进行踏勘，以便投标人获取有关编制投标文件和签署合同所需的资料。踏勘现场所发生的费用由投标人自行承担。投标人应按招标文件所约定的时间、地点踏勘现场。</w:t>
      </w:r>
    </w:p>
    <w:p>
      <w:pPr>
        <w:ind w:firstLine="411" w:firstLineChars="196"/>
        <w:rPr>
          <w:rFonts w:ascii="宋体" w:hAnsi="宋体"/>
          <w:highlight w:val="none"/>
        </w:rPr>
      </w:pPr>
      <w:r>
        <w:rPr>
          <w:rFonts w:hint="eastAsia" w:ascii="宋体" w:hAnsi="宋体"/>
          <w:highlight w:val="none"/>
        </w:rPr>
        <w:t>9.2投标人及其人员经过采购人的允许，可以进入采购人的项目现场踏勘。若招标文件要求投标人于统一时间地点踏勘现场的，投标人应当按时前往。</w:t>
      </w:r>
    </w:p>
    <w:p>
      <w:pPr>
        <w:ind w:firstLine="411" w:firstLineChars="196"/>
        <w:rPr>
          <w:rFonts w:ascii="宋体" w:hAnsi="宋体"/>
          <w:highlight w:val="none"/>
        </w:rPr>
      </w:pPr>
      <w:r>
        <w:rPr>
          <w:rFonts w:hint="eastAsia" w:ascii="宋体" w:hAnsi="宋体"/>
          <w:highlight w:val="none"/>
        </w:rPr>
        <w:t>9.3采购人应当通过政府集中采购机构向投标人提供有关现场的书面资料和数据。</w:t>
      </w:r>
    </w:p>
    <w:p>
      <w:pPr>
        <w:ind w:firstLine="411" w:firstLineChars="196"/>
        <w:rPr>
          <w:rFonts w:ascii="宋体" w:hAnsi="宋体"/>
          <w:highlight w:val="none"/>
        </w:rPr>
      </w:pPr>
      <w:r>
        <w:rPr>
          <w:rFonts w:hint="eastAsia" w:ascii="宋体" w:hAnsi="宋体"/>
          <w:highlight w:val="none"/>
        </w:rPr>
        <w:t>9.4任何人或任何组织在踏勘现场时向投标人提供的任何书面资料或口头承诺，未经政府集中采购机构在网上发布或书面通知，均作无效处理。</w:t>
      </w:r>
    </w:p>
    <w:p>
      <w:pPr>
        <w:ind w:firstLine="411" w:firstLineChars="196"/>
        <w:rPr>
          <w:rFonts w:ascii="宋体" w:hAnsi="宋体"/>
          <w:highlight w:val="none"/>
        </w:rPr>
      </w:pPr>
      <w:r>
        <w:rPr>
          <w:rFonts w:ascii="宋体" w:hAnsi="宋体"/>
          <w:szCs w:val="21"/>
          <w:highlight w:val="none"/>
        </w:rPr>
        <w:t>9</w:t>
      </w:r>
      <w:r>
        <w:rPr>
          <w:rFonts w:hint="eastAsia" w:ascii="宋体" w:hAnsi="宋体"/>
          <w:szCs w:val="21"/>
          <w:highlight w:val="none"/>
        </w:rPr>
        <w:t>.</w:t>
      </w:r>
      <w:r>
        <w:rPr>
          <w:rFonts w:ascii="宋体" w:hAnsi="宋体"/>
          <w:szCs w:val="21"/>
          <w:highlight w:val="none"/>
        </w:rPr>
        <w:t>5</w:t>
      </w:r>
      <w:r>
        <w:rPr>
          <w:rFonts w:hint="eastAsia" w:ascii="宋体" w:hAnsi="宋体"/>
          <w:szCs w:val="21"/>
          <w:highlight w:val="none"/>
        </w:rPr>
        <w:t>未参与踏勘现场不作为否定投标人资格的理由。</w:t>
      </w:r>
    </w:p>
    <w:p>
      <w:pPr>
        <w:rPr>
          <w:rFonts w:ascii="宋体" w:hAnsi="宋体"/>
          <w:szCs w:val="21"/>
          <w:highlight w:val="none"/>
        </w:rPr>
      </w:pPr>
      <w:r>
        <w:rPr>
          <w:rFonts w:hint="eastAsia" w:ascii="黑体" w:hAnsi="宋体" w:eastAsia="黑体"/>
          <w:sz w:val="24"/>
          <w:highlight w:val="none"/>
        </w:rPr>
        <w:t>1</w:t>
      </w:r>
      <w:r>
        <w:rPr>
          <w:rFonts w:ascii="黑体" w:hAnsi="宋体" w:eastAsia="黑体"/>
          <w:sz w:val="24"/>
          <w:highlight w:val="none"/>
        </w:rPr>
        <w:t>0</w:t>
      </w:r>
      <w:r>
        <w:rPr>
          <w:rFonts w:hint="eastAsia" w:ascii="黑体" w:hAnsi="宋体" w:eastAsia="黑体"/>
          <w:sz w:val="24"/>
          <w:highlight w:val="none"/>
        </w:rPr>
        <w:t>．标前会议</w:t>
      </w:r>
    </w:p>
    <w:p>
      <w:pPr>
        <w:ind w:firstLine="411" w:firstLineChars="196"/>
        <w:rPr>
          <w:rFonts w:ascii="宋体" w:hAnsi="宋体"/>
          <w:szCs w:val="21"/>
          <w:highlight w:val="none"/>
        </w:rPr>
      </w:pPr>
      <w:r>
        <w:rPr>
          <w:rFonts w:hint="eastAsia" w:ascii="宋体" w:hAnsi="宋体"/>
          <w:szCs w:val="21"/>
          <w:highlight w:val="none"/>
        </w:rPr>
        <w:t>1</w:t>
      </w:r>
      <w:r>
        <w:rPr>
          <w:rFonts w:ascii="宋体" w:hAnsi="宋体"/>
          <w:szCs w:val="21"/>
          <w:highlight w:val="none"/>
        </w:rPr>
        <w:t>0</w:t>
      </w: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如采购人或政府集中采购机构认为有必要组织标前会议，投标人应按照招标文件规定的时间或政府集中采购机构另行书面通知（包括政府集中采购机构网站发布方式，如更正公告等）的时间和地点，参与标前会议。</w:t>
      </w:r>
    </w:p>
    <w:p>
      <w:pPr>
        <w:ind w:firstLine="411" w:firstLineChars="196"/>
        <w:rPr>
          <w:rFonts w:ascii="宋体" w:hAnsi="宋体"/>
          <w:szCs w:val="21"/>
          <w:highlight w:val="none"/>
        </w:rPr>
      </w:pPr>
      <w:r>
        <w:rPr>
          <w:rFonts w:ascii="宋体" w:hAnsi="宋体"/>
          <w:highlight w:val="none"/>
        </w:rPr>
        <w:t>10</w:t>
      </w:r>
      <w:r>
        <w:rPr>
          <w:rFonts w:hint="eastAsia" w:ascii="宋体" w:hAnsi="宋体"/>
          <w:highlight w:val="none"/>
        </w:rPr>
        <w:t>.</w:t>
      </w:r>
      <w:r>
        <w:rPr>
          <w:rFonts w:ascii="宋体" w:hAnsi="宋体"/>
          <w:highlight w:val="none"/>
        </w:rPr>
        <w:t>2</w:t>
      </w:r>
      <w:r>
        <w:rPr>
          <w:rFonts w:hint="eastAsia" w:ascii="宋体" w:hAnsi="宋体"/>
          <w:highlight w:val="none"/>
        </w:rPr>
        <w:t>任何人或任何组织在标前会议时向投标人提供的任何书面资料或口头承诺，未经政府集中采购机构在网上发布或书面通知，均作无效处理。</w:t>
      </w:r>
    </w:p>
    <w:p>
      <w:pPr>
        <w:ind w:firstLine="411" w:firstLineChars="196"/>
        <w:rPr>
          <w:rFonts w:ascii="宋体" w:hAnsi="宋体"/>
          <w:szCs w:val="21"/>
          <w:highlight w:val="none"/>
        </w:rPr>
      </w:pPr>
      <w:r>
        <w:rPr>
          <w:rFonts w:hint="eastAsia" w:ascii="宋体" w:hAnsi="宋体"/>
          <w:szCs w:val="21"/>
          <w:highlight w:val="none"/>
        </w:rPr>
        <w:t>1</w:t>
      </w:r>
      <w:r>
        <w:rPr>
          <w:rFonts w:ascii="宋体" w:hAnsi="宋体"/>
          <w:szCs w:val="21"/>
          <w:highlight w:val="none"/>
        </w:rPr>
        <w:t>0</w:t>
      </w: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未参与标前会议不作为否定投标人资格的理由。</w:t>
      </w:r>
    </w:p>
    <w:bookmarkEnd w:id="44"/>
    <w:p>
      <w:pPr>
        <w:ind w:firstLine="411" w:firstLineChars="196"/>
        <w:rPr>
          <w:rFonts w:ascii="宋体" w:hAnsi="宋体"/>
          <w:highlight w:val="none"/>
        </w:rPr>
      </w:pPr>
    </w:p>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招标文件</w:t>
      </w:r>
    </w:p>
    <w:p>
      <w:pPr>
        <w:rPr>
          <w:rFonts w:ascii="黑体" w:hAnsi="宋体" w:eastAsia="黑体"/>
          <w:sz w:val="24"/>
          <w:highlight w:val="none"/>
        </w:rPr>
      </w:pPr>
      <w:r>
        <w:rPr>
          <w:rFonts w:hint="eastAsia" w:ascii="黑体" w:hAnsi="宋体" w:eastAsia="黑体"/>
          <w:sz w:val="24"/>
          <w:highlight w:val="none"/>
        </w:rPr>
        <w:t>1</w:t>
      </w:r>
      <w:r>
        <w:rPr>
          <w:rFonts w:ascii="黑体" w:hAnsi="宋体" w:eastAsia="黑体"/>
          <w:sz w:val="24"/>
          <w:highlight w:val="none"/>
        </w:rPr>
        <w:t>1</w:t>
      </w:r>
      <w:r>
        <w:rPr>
          <w:rFonts w:hint="eastAsia" w:ascii="黑体" w:hAnsi="宋体" w:eastAsia="黑体"/>
          <w:sz w:val="24"/>
          <w:highlight w:val="none"/>
        </w:rPr>
        <w:t>．</w:t>
      </w:r>
      <w:bookmarkStart w:id="46" w:name="_Hlk72399819"/>
      <w:r>
        <w:rPr>
          <w:rFonts w:hint="eastAsia" w:ascii="黑体" w:hAnsi="宋体" w:eastAsia="黑体"/>
          <w:sz w:val="24"/>
          <w:highlight w:val="none"/>
        </w:rPr>
        <w:t>招标文件的编制与组成</w:t>
      </w:r>
    </w:p>
    <w:p>
      <w:pPr>
        <w:snapToGrid w:val="0"/>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1</w:t>
      </w:r>
      <w:r>
        <w:rPr>
          <w:rFonts w:hint="eastAsia" w:ascii="宋体" w:hAnsi="宋体"/>
          <w:szCs w:val="21"/>
          <w:highlight w:val="none"/>
        </w:rPr>
        <w:t>.1招标文件除以下内容外，政府集中采购机构在招标期间发出的澄清或修改等相关公告或通知内容，均是招标文件的组成部分，对投标人起约束作用；</w:t>
      </w:r>
    </w:p>
    <w:p>
      <w:pPr>
        <w:ind w:firstLine="411" w:firstLineChars="196"/>
        <w:rPr>
          <w:rFonts w:ascii="宋体" w:hAnsi="宋体"/>
          <w:szCs w:val="21"/>
          <w:highlight w:val="none"/>
        </w:rPr>
      </w:pPr>
      <w:r>
        <w:rPr>
          <w:rFonts w:hint="eastAsia" w:ascii="宋体" w:hAnsi="宋体"/>
          <w:szCs w:val="21"/>
          <w:highlight w:val="none"/>
        </w:rPr>
        <w:t>招标文件包括下列内容：</w:t>
      </w:r>
    </w:p>
    <w:p>
      <w:pPr>
        <w:ind w:left="420" w:leftChars="200" w:firstLine="413" w:firstLineChars="196"/>
        <w:rPr>
          <w:rFonts w:ascii="宋体" w:hAnsi="宋体"/>
          <w:b/>
          <w:szCs w:val="21"/>
          <w:highlight w:val="none"/>
        </w:rPr>
      </w:pPr>
      <w:r>
        <w:rPr>
          <w:rFonts w:hint="eastAsia" w:ascii="宋体" w:hAnsi="宋体"/>
          <w:b/>
          <w:szCs w:val="21"/>
          <w:highlight w:val="none"/>
        </w:rPr>
        <w:t>第一册  专用条款</w:t>
      </w:r>
    </w:p>
    <w:p>
      <w:pPr>
        <w:ind w:left="1079" w:leftChars="514"/>
        <w:rPr>
          <w:rFonts w:ascii="宋体" w:hAnsi="宋体"/>
          <w:b/>
          <w:szCs w:val="21"/>
          <w:highlight w:val="none"/>
        </w:rPr>
      </w:pPr>
      <w:r>
        <w:rPr>
          <w:rFonts w:hint="eastAsia" w:ascii="宋体" w:hAnsi="宋体"/>
          <w:b/>
          <w:szCs w:val="21"/>
          <w:highlight w:val="none"/>
        </w:rPr>
        <w:t>关键信息</w:t>
      </w:r>
    </w:p>
    <w:p>
      <w:pPr>
        <w:ind w:left="630" w:leftChars="300" w:firstLine="411" w:firstLineChars="196"/>
        <w:rPr>
          <w:rFonts w:ascii="宋体" w:hAnsi="宋体"/>
          <w:szCs w:val="21"/>
          <w:highlight w:val="none"/>
        </w:rPr>
      </w:pPr>
      <w:r>
        <w:rPr>
          <w:rFonts w:hint="eastAsia" w:ascii="宋体" w:hAnsi="宋体"/>
          <w:szCs w:val="21"/>
          <w:highlight w:val="none"/>
        </w:rPr>
        <w:t>第一章  招标公告</w:t>
      </w:r>
    </w:p>
    <w:p>
      <w:pPr>
        <w:ind w:left="630" w:leftChars="300" w:firstLine="411" w:firstLineChars="196"/>
        <w:rPr>
          <w:rFonts w:ascii="宋体" w:hAnsi="宋体"/>
          <w:szCs w:val="21"/>
          <w:highlight w:val="none"/>
        </w:rPr>
      </w:pPr>
      <w:r>
        <w:rPr>
          <w:rFonts w:hint="eastAsia" w:ascii="宋体" w:hAnsi="宋体"/>
          <w:szCs w:val="21"/>
          <w:highlight w:val="none"/>
        </w:rPr>
        <w:t>第二章  对通用条款的补充内容及其他关键信息</w:t>
      </w:r>
    </w:p>
    <w:p>
      <w:pPr>
        <w:ind w:left="630" w:leftChars="300" w:firstLine="411" w:firstLineChars="196"/>
        <w:rPr>
          <w:rFonts w:ascii="宋体" w:hAnsi="宋体"/>
          <w:szCs w:val="21"/>
          <w:highlight w:val="none"/>
        </w:rPr>
      </w:pPr>
      <w:r>
        <w:rPr>
          <w:rFonts w:hint="eastAsia" w:ascii="宋体" w:hAnsi="宋体"/>
          <w:szCs w:val="21"/>
          <w:highlight w:val="none"/>
        </w:rPr>
        <w:t>第三章  用户需求书</w:t>
      </w:r>
    </w:p>
    <w:p>
      <w:pPr>
        <w:ind w:left="630" w:leftChars="300" w:firstLine="411" w:firstLineChars="196"/>
        <w:rPr>
          <w:rFonts w:ascii="宋体" w:hAnsi="宋体"/>
          <w:szCs w:val="21"/>
          <w:highlight w:val="none"/>
        </w:rPr>
      </w:pPr>
      <w:r>
        <w:rPr>
          <w:rFonts w:hint="eastAsia"/>
          <w:highlight w:val="none"/>
        </w:rPr>
        <w:t xml:space="preserve">第四章 </w:t>
      </w:r>
      <w:r>
        <w:rPr>
          <w:highlight w:val="none"/>
        </w:rPr>
        <w:t xml:space="preserve"> </w:t>
      </w:r>
      <w:r>
        <w:rPr>
          <w:rFonts w:hint="eastAsia"/>
          <w:highlight w:val="none"/>
        </w:rPr>
        <w:t>投标文件格式及附件</w:t>
      </w:r>
    </w:p>
    <w:p>
      <w:pPr>
        <w:ind w:left="630" w:leftChars="300" w:firstLine="411" w:firstLineChars="196"/>
        <w:rPr>
          <w:rFonts w:ascii="宋体" w:hAnsi="宋体"/>
          <w:szCs w:val="21"/>
          <w:highlight w:val="none"/>
        </w:rPr>
      </w:pPr>
      <w:r>
        <w:rPr>
          <w:rFonts w:hint="eastAsia" w:ascii="宋体" w:hAnsi="宋体"/>
          <w:szCs w:val="21"/>
          <w:highlight w:val="none"/>
        </w:rPr>
        <w:t>第五章  合同条款及格式</w:t>
      </w:r>
    </w:p>
    <w:p>
      <w:pPr>
        <w:ind w:left="420" w:leftChars="200" w:firstLine="413" w:firstLineChars="196"/>
        <w:rPr>
          <w:rFonts w:ascii="宋体" w:hAnsi="宋体"/>
          <w:b/>
          <w:szCs w:val="21"/>
          <w:highlight w:val="none"/>
        </w:rPr>
      </w:pPr>
      <w:r>
        <w:rPr>
          <w:rFonts w:hint="eastAsia" w:ascii="宋体" w:hAnsi="宋体"/>
          <w:b/>
          <w:szCs w:val="21"/>
          <w:highlight w:val="none"/>
        </w:rPr>
        <w:t>第二册  通用条款</w:t>
      </w:r>
    </w:p>
    <w:p>
      <w:pPr>
        <w:ind w:left="630" w:leftChars="300" w:firstLine="411" w:firstLineChars="196"/>
        <w:rPr>
          <w:rFonts w:ascii="宋体" w:hAnsi="宋体"/>
          <w:szCs w:val="21"/>
          <w:highlight w:val="none"/>
        </w:rPr>
      </w:pPr>
      <w:r>
        <w:rPr>
          <w:rFonts w:hint="eastAsia" w:ascii="宋体" w:hAnsi="宋体"/>
          <w:szCs w:val="21"/>
          <w:highlight w:val="none"/>
        </w:rPr>
        <w:t>第一章  总则</w:t>
      </w:r>
    </w:p>
    <w:p>
      <w:pPr>
        <w:ind w:left="630" w:leftChars="300" w:firstLine="411" w:firstLineChars="196"/>
        <w:rPr>
          <w:rFonts w:ascii="宋体" w:hAnsi="宋体"/>
          <w:szCs w:val="21"/>
          <w:highlight w:val="none"/>
        </w:rPr>
      </w:pPr>
      <w:r>
        <w:rPr>
          <w:rFonts w:hint="eastAsia" w:ascii="宋体" w:hAnsi="宋体"/>
          <w:szCs w:val="21"/>
          <w:highlight w:val="none"/>
        </w:rPr>
        <w:t>第二章  招标文件</w:t>
      </w:r>
    </w:p>
    <w:p>
      <w:pPr>
        <w:ind w:left="630" w:leftChars="300" w:firstLine="411" w:firstLineChars="196"/>
        <w:rPr>
          <w:rFonts w:ascii="宋体" w:hAnsi="宋体"/>
          <w:szCs w:val="21"/>
          <w:highlight w:val="none"/>
        </w:rPr>
      </w:pPr>
      <w:r>
        <w:rPr>
          <w:rFonts w:hint="eastAsia" w:ascii="宋体" w:hAnsi="宋体"/>
          <w:szCs w:val="21"/>
          <w:highlight w:val="none"/>
        </w:rPr>
        <w:t>第三章  投标文件的编制</w:t>
      </w:r>
    </w:p>
    <w:p>
      <w:pPr>
        <w:ind w:left="630" w:leftChars="300" w:firstLine="411" w:firstLineChars="196"/>
        <w:rPr>
          <w:rFonts w:ascii="宋体" w:hAnsi="宋体"/>
          <w:szCs w:val="21"/>
          <w:highlight w:val="none"/>
        </w:rPr>
      </w:pPr>
      <w:r>
        <w:rPr>
          <w:rFonts w:hint="eastAsia" w:ascii="宋体" w:hAnsi="宋体"/>
          <w:szCs w:val="21"/>
          <w:highlight w:val="none"/>
        </w:rPr>
        <w:t>第四章  投标文件的递交</w:t>
      </w:r>
    </w:p>
    <w:p>
      <w:pPr>
        <w:ind w:left="630" w:leftChars="300" w:firstLine="411" w:firstLineChars="196"/>
        <w:rPr>
          <w:rFonts w:ascii="宋体" w:hAnsi="宋体"/>
          <w:szCs w:val="21"/>
          <w:highlight w:val="none"/>
        </w:rPr>
      </w:pPr>
      <w:r>
        <w:rPr>
          <w:rFonts w:hint="eastAsia" w:ascii="宋体" w:hAnsi="宋体"/>
          <w:szCs w:val="21"/>
          <w:highlight w:val="none"/>
        </w:rPr>
        <w:t>第五章  开标</w:t>
      </w:r>
    </w:p>
    <w:p>
      <w:pPr>
        <w:ind w:left="630" w:leftChars="300" w:firstLine="411" w:firstLineChars="196"/>
        <w:rPr>
          <w:rFonts w:ascii="宋体" w:hAnsi="宋体"/>
          <w:szCs w:val="21"/>
          <w:highlight w:val="none"/>
        </w:rPr>
      </w:pPr>
      <w:r>
        <w:rPr>
          <w:rFonts w:hint="eastAsia" w:ascii="宋体" w:hAnsi="宋体"/>
          <w:szCs w:val="21"/>
          <w:highlight w:val="none"/>
        </w:rPr>
        <w:t>第六章  评审要求</w:t>
      </w:r>
    </w:p>
    <w:p>
      <w:pPr>
        <w:ind w:left="630" w:leftChars="300" w:firstLine="411" w:firstLineChars="196"/>
        <w:rPr>
          <w:rFonts w:ascii="宋体" w:hAnsi="宋体"/>
          <w:szCs w:val="21"/>
          <w:highlight w:val="none"/>
        </w:rPr>
      </w:pPr>
      <w:r>
        <w:rPr>
          <w:rFonts w:hint="eastAsia" w:ascii="宋体" w:hAnsi="宋体"/>
          <w:szCs w:val="21"/>
          <w:highlight w:val="none"/>
        </w:rPr>
        <w:t>第七章  评审程序及评审方法</w:t>
      </w:r>
    </w:p>
    <w:p>
      <w:pPr>
        <w:ind w:left="630" w:leftChars="300" w:firstLine="411" w:firstLineChars="196"/>
        <w:rPr>
          <w:rFonts w:ascii="宋体" w:hAnsi="宋体"/>
          <w:szCs w:val="21"/>
          <w:highlight w:val="none"/>
        </w:rPr>
      </w:pPr>
      <w:r>
        <w:rPr>
          <w:rFonts w:hint="eastAsia" w:ascii="宋体" w:hAnsi="宋体"/>
          <w:szCs w:val="21"/>
          <w:highlight w:val="none"/>
        </w:rPr>
        <w:t>第八章  定标及公示</w:t>
      </w:r>
    </w:p>
    <w:p>
      <w:pPr>
        <w:ind w:left="630" w:leftChars="300" w:firstLine="411" w:firstLineChars="196"/>
        <w:rPr>
          <w:rFonts w:ascii="宋体" w:hAnsi="宋体"/>
          <w:szCs w:val="21"/>
          <w:highlight w:val="none"/>
        </w:rPr>
      </w:pPr>
      <w:r>
        <w:rPr>
          <w:rFonts w:hint="eastAsia" w:ascii="宋体" w:hAnsi="宋体"/>
          <w:szCs w:val="21"/>
          <w:highlight w:val="none"/>
        </w:rPr>
        <w:t>第九章  公开招标失败的后续处理</w:t>
      </w:r>
    </w:p>
    <w:p>
      <w:pPr>
        <w:ind w:left="630" w:leftChars="300" w:firstLine="411" w:firstLineChars="196"/>
        <w:rPr>
          <w:rFonts w:ascii="宋体" w:hAnsi="宋体"/>
          <w:szCs w:val="21"/>
          <w:highlight w:val="none"/>
        </w:rPr>
      </w:pPr>
      <w:r>
        <w:rPr>
          <w:rFonts w:hint="eastAsia" w:ascii="宋体" w:hAnsi="宋体"/>
          <w:szCs w:val="21"/>
          <w:highlight w:val="none"/>
        </w:rPr>
        <w:t>第十章  合同的授予与备案</w:t>
      </w:r>
    </w:p>
    <w:p>
      <w:pPr>
        <w:ind w:left="630" w:leftChars="300" w:firstLine="411" w:firstLineChars="196"/>
        <w:rPr>
          <w:rFonts w:ascii="宋体" w:hAnsi="宋体"/>
          <w:szCs w:val="21"/>
          <w:highlight w:val="none"/>
        </w:rPr>
      </w:pPr>
      <w:r>
        <w:rPr>
          <w:rFonts w:hint="eastAsia" w:ascii="宋体" w:hAnsi="宋体"/>
          <w:szCs w:val="21"/>
          <w:highlight w:val="none"/>
        </w:rPr>
        <w:t>第十一章  质疑处理</w:t>
      </w:r>
    </w:p>
    <w:p>
      <w:pPr>
        <w:ind w:firstLine="411" w:firstLineChars="196"/>
        <w:rPr>
          <w:rFonts w:ascii="宋体" w:hAnsi="宋体"/>
          <w:szCs w:val="21"/>
          <w:highlight w:val="none"/>
        </w:rPr>
      </w:pPr>
      <w:r>
        <w:rPr>
          <w:rFonts w:hint="eastAsia" w:ascii="宋体" w:hAnsi="宋体"/>
          <w:szCs w:val="21"/>
          <w:highlight w:val="none"/>
        </w:rPr>
        <w:t>1</w:t>
      </w:r>
      <w:r>
        <w:rPr>
          <w:rFonts w:ascii="宋体" w:hAnsi="宋体"/>
          <w:szCs w:val="21"/>
          <w:highlight w:val="none"/>
        </w:rPr>
        <w:t>1</w:t>
      </w:r>
      <w:r>
        <w:rPr>
          <w:rFonts w:hint="eastAsia" w:ascii="宋体" w:hAnsi="宋体"/>
          <w:szCs w:val="21"/>
          <w:highlight w:val="none"/>
        </w:rPr>
        <w:t>.2 投标人下载招标文件后，应仔细检查招标文件的所有内容，如有疑问应在答疑截止时间之前向政府集中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pPr>
        <w:ind w:firstLine="411" w:firstLineChars="196"/>
        <w:rPr>
          <w:rFonts w:ascii="宋体" w:hAnsi="宋体"/>
          <w:szCs w:val="21"/>
          <w:highlight w:val="none"/>
        </w:rPr>
      </w:pPr>
      <w:r>
        <w:rPr>
          <w:rFonts w:hint="eastAsia" w:ascii="宋体" w:hAnsi="宋体"/>
          <w:szCs w:val="21"/>
          <w:highlight w:val="none"/>
        </w:rPr>
        <w:t>1</w:t>
      </w:r>
      <w:r>
        <w:rPr>
          <w:rFonts w:ascii="宋体" w:hAnsi="宋体"/>
          <w:szCs w:val="21"/>
          <w:highlight w:val="none"/>
        </w:rPr>
        <w:t>1</w:t>
      </w:r>
      <w:r>
        <w:rPr>
          <w:rFonts w:hint="eastAsia" w:ascii="宋体" w:hAnsi="宋体"/>
          <w:szCs w:val="21"/>
          <w:highlight w:val="none"/>
        </w:rPr>
        <w:t>.3</w:t>
      </w:r>
      <w:r>
        <w:rPr>
          <w:rFonts w:hint="eastAsia" w:ascii="宋体" w:hAnsi="宋体"/>
          <w:highlight w:val="none"/>
        </w:rPr>
        <w:t>任何人或任何组织向投标人提交的任何书面或口头资料，未经政府集中采购机构在网上发布或书面通知，均作无效处理，不得作为招标文件的组成部分。政府集中采购机构对投标人由此而做出的推论、理解和结论概不负责。</w:t>
      </w:r>
    </w:p>
    <w:p>
      <w:pPr>
        <w:rPr>
          <w:rFonts w:ascii="黑体" w:hAnsi="宋体" w:eastAsia="黑体"/>
          <w:sz w:val="24"/>
          <w:highlight w:val="none"/>
        </w:rPr>
      </w:pPr>
      <w:r>
        <w:rPr>
          <w:rFonts w:hint="eastAsia" w:ascii="黑体" w:hAnsi="宋体" w:eastAsia="黑体"/>
          <w:sz w:val="24"/>
          <w:highlight w:val="none"/>
        </w:rPr>
        <w:t>1</w:t>
      </w:r>
      <w:r>
        <w:rPr>
          <w:rFonts w:ascii="黑体" w:hAnsi="宋体" w:eastAsia="黑体"/>
          <w:sz w:val="24"/>
          <w:highlight w:val="none"/>
        </w:rPr>
        <w:t>2</w:t>
      </w:r>
      <w:r>
        <w:rPr>
          <w:rFonts w:hint="eastAsia" w:ascii="黑体" w:hAnsi="宋体" w:eastAsia="黑体"/>
          <w:sz w:val="24"/>
          <w:highlight w:val="none"/>
        </w:rPr>
        <w:t>．招标文件的澄清</w:t>
      </w:r>
    </w:p>
    <w:p>
      <w:pPr>
        <w:ind w:firstLine="411" w:firstLineChars="196"/>
        <w:rPr>
          <w:rFonts w:ascii="宋体" w:hAnsi="宋体"/>
          <w:szCs w:val="21"/>
          <w:highlight w:val="none"/>
        </w:rPr>
      </w:pPr>
      <w:r>
        <w:rPr>
          <w:rFonts w:hint="eastAsia" w:ascii="宋体" w:hAnsi="宋体"/>
          <w:szCs w:val="21"/>
          <w:highlight w:val="none"/>
        </w:rPr>
        <w:t>1</w:t>
      </w:r>
      <w:r>
        <w:rPr>
          <w:rFonts w:ascii="宋体" w:hAnsi="宋体"/>
          <w:szCs w:val="21"/>
          <w:highlight w:val="none"/>
        </w:rPr>
        <w:t>2</w:t>
      </w:r>
      <w:r>
        <w:rPr>
          <w:rFonts w:hint="eastAsia" w:ascii="宋体" w:hAnsi="宋体"/>
          <w:szCs w:val="21"/>
          <w:highlight w:val="none"/>
        </w:rPr>
        <w:t>.1招标文件澄清的目的是澄清、解答投标人在查阅招标文件后或现场踏勘中可能提出的与投标有关的疑问或询问。</w:t>
      </w:r>
    </w:p>
    <w:p>
      <w:pPr>
        <w:ind w:firstLine="411" w:firstLineChars="196"/>
        <w:rPr>
          <w:rFonts w:ascii="宋体" w:hAnsi="宋体"/>
          <w:szCs w:val="21"/>
          <w:highlight w:val="none"/>
        </w:rPr>
      </w:pPr>
      <w:r>
        <w:rPr>
          <w:rFonts w:hint="eastAsia" w:ascii="宋体" w:hAnsi="宋体"/>
          <w:szCs w:val="21"/>
          <w:highlight w:val="none"/>
        </w:rPr>
        <w:t>1</w:t>
      </w:r>
      <w:r>
        <w:rPr>
          <w:rFonts w:ascii="宋体" w:hAnsi="宋体"/>
          <w:szCs w:val="21"/>
          <w:highlight w:val="none"/>
        </w:rPr>
        <w:t>2</w:t>
      </w:r>
      <w:r>
        <w:rPr>
          <w:rFonts w:hint="eastAsia" w:ascii="宋体" w:hAnsi="宋体"/>
          <w:szCs w:val="21"/>
          <w:highlight w:val="none"/>
        </w:rPr>
        <w:t>.2投标人如对招标文件内容有疑问，应当在招标公告规定的澄清（提问）截止时间前以网上提问的形式通过网上政府采购系统提交政府集中采购机构。</w:t>
      </w:r>
    </w:p>
    <w:p>
      <w:pPr>
        <w:ind w:firstLine="411" w:firstLineChars="196"/>
        <w:rPr>
          <w:rFonts w:ascii="宋体" w:hAnsi="宋体"/>
          <w:szCs w:val="21"/>
          <w:highlight w:val="none"/>
        </w:rPr>
      </w:pPr>
      <w:r>
        <w:rPr>
          <w:rFonts w:hint="eastAsia" w:ascii="宋体" w:hAnsi="宋体"/>
          <w:szCs w:val="21"/>
          <w:highlight w:val="none"/>
        </w:rPr>
        <w:t>1</w:t>
      </w:r>
      <w:r>
        <w:rPr>
          <w:rFonts w:ascii="宋体" w:hAnsi="宋体"/>
          <w:szCs w:val="21"/>
          <w:highlight w:val="none"/>
        </w:rPr>
        <w:t>2</w:t>
      </w:r>
      <w:r>
        <w:rPr>
          <w:rFonts w:hint="eastAsia" w:ascii="宋体" w:hAnsi="宋体"/>
          <w:szCs w:val="21"/>
          <w:highlight w:val="none"/>
        </w:rPr>
        <w:t>.3不论是政府集中采购机构根据需要主动对招标文件进行必要的澄清或是根据投标人的要求对招标文件做出澄清，政府集中采购机构都将在投标截止日期前以书面形式（包括政府集中采购机构网站发布方式）答复或发送给所有投标人。答复内容是招标文件的组成部分，对投标人起约束作用，其有效性按照本通用条款第1</w:t>
      </w:r>
      <w:r>
        <w:rPr>
          <w:rFonts w:ascii="宋体" w:hAnsi="宋体"/>
          <w:szCs w:val="21"/>
          <w:highlight w:val="none"/>
        </w:rPr>
        <w:t>3.3</w:t>
      </w:r>
      <w:r>
        <w:rPr>
          <w:rFonts w:hint="eastAsia" w:ascii="宋体" w:hAnsi="宋体"/>
          <w:szCs w:val="21"/>
          <w:highlight w:val="none"/>
        </w:rPr>
        <w:t>、1</w:t>
      </w:r>
      <w:r>
        <w:rPr>
          <w:rFonts w:ascii="宋体" w:hAnsi="宋体"/>
          <w:szCs w:val="21"/>
          <w:highlight w:val="none"/>
        </w:rPr>
        <w:t>3.4</w:t>
      </w:r>
      <w:r>
        <w:rPr>
          <w:rFonts w:hint="eastAsia" w:ascii="宋体" w:hAnsi="宋体"/>
          <w:szCs w:val="21"/>
          <w:highlight w:val="none"/>
        </w:rPr>
        <w:t>款规定执行。</w:t>
      </w:r>
    </w:p>
    <w:p>
      <w:pPr>
        <w:rPr>
          <w:rFonts w:ascii="黑体" w:hAnsi="宋体" w:eastAsia="黑体"/>
          <w:sz w:val="24"/>
          <w:highlight w:val="none"/>
        </w:rPr>
      </w:pPr>
      <w:r>
        <w:rPr>
          <w:rFonts w:ascii="黑体" w:hAnsi="宋体" w:eastAsia="黑体"/>
          <w:sz w:val="24"/>
          <w:highlight w:val="none"/>
        </w:rPr>
        <w:t>1</w:t>
      </w:r>
      <w:r>
        <w:rPr>
          <w:rFonts w:hint="eastAsia" w:ascii="黑体" w:hAnsi="宋体" w:eastAsia="黑体"/>
          <w:sz w:val="24"/>
          <w:highlight w:val="none"/>
        </w:rPr>
        <w:t>3．招标文件的修改</w:t>
      </w:r>
    </w:p>
    <w:p>
      <w:pPr>
        <w:ind w:firstLine="411" w:firstLineChars="196"/>
        <w:rPr>
          <w:rFonts w:ascii="宋体" w:hAnsi="宋体"/>
          <w:szCs w:val="21"/>
          <w:highlight w:val="none"/>
        </w:rPr>
      </w:pPr>
      <w:r>
        <w:rPr>
          <w:rFonts w:ascii="宋体" w:hAnsi="宋体"/>
          <w:szCs w:val="21"/>
          <w:highlight w:val="none"/>
        </w:rPr>
        <w:t>1</w:t>
      </w:r>
      <w:r>
        <w:rPr>
          <w:rFonts w:hint="eastAsia" w:ascii="宋体" w:hAnsi="宋体"/>
          <w:szCs w:val="21"/>
          <w:highlight w:val="none"/>
        </w:rPr>
        <w:t>3.1招标文件发出后，在投标截止日期前任何时候，确需要变更招标文件内容的，政府集中采购机构可主动或在解答投标人提出的澄清问题时对招标文件进行修改。</w:t>
      </w:r>
    </w:p>
    <w:p>
      <w:pPr>
        <w:ind w:firstLine="411" w:firstLineChars="196"/>
        <w:rPr>
          <w:rFonts w:ascii="宋体" w:hAnsi="宋体"/>
          <w:szCs w:val="21"/>
          <w:highlight w:val="none"/>
        </w:rPr>
      </w:pPr>
      <w:r>
        <w:rPr>
          <w:rFonts w:ascii="宋体" w:hAnsi="宋体"/>
          <w:szCs w:val="21"/>
          <w:highlight w:val="none"/>
        </w:rPr>
        <w:t>1</w:t>
      </w:r>
      <w:r>
        <w:rPr>
          <w:rFonts w:hint="eastAsia" w:ascii="宋体" w:hAnsi="宋体"/>
          <w:szCs w:val="21"/>
          <w:highlight w:val="none"/>
        </w:rPr>
        <w:t>3.2招标文件的修改以书面形式（包括政府集中采购机构网站发布方式，如更正公告等）发送给所有投标人，招标文件的修改内容作为招标文件的组成部分，并具有约束力。</w:t>
      </w:r>
    </w:p>
    <w:p>
      <w:pPr>
        <w:ind w:firstLine="411" w:firstLineChars="196"/>
        <w:rPr>
          <w:rFonts w:ascii="宋体" w:hAnsi="宋体"/>
          <w:szCs w:val="21"/>
          <w:highlight w:val="none"/>
        </w:rPr>
      </w:pPr>
      <w:r>
        <w:rPr>
          <w:rFonts w:ascii="宋体" w:hAnsi="宋体"/>
          <w:szCs w:val="21"/>
          <w:highlight w:val="none"/>
        </w:rPr>
        <w:t>1</w:t>
      </w:r>
      <w:r>
        <w:rPr>
          <w:rFonts w:hint="eastAsia" w:ascii="宋体" w:hAnsi="宋体"/>
          <w:szCs w:val="21"/>
          <w:highlight w:val="none"/>
        </w:rPr>
        <w:t>3.3招标文件、招标文件澄清答复内容、招标文件修改补充内容均以书面形式（包括政府集中采购机构网站公开发布方式，如更正公告等）明确的内容为准。当招标文件、修改补充通知、招标文件澄清答复内容相互矛盾时，以最后发出的内容为准。</w:t>
      </w:r>
    </w:p>
    <w:p>
      <w:pPr>
        <w:ind w:firstLine="411" w:firstLineChars="196"/>
        <w:rPr>
          <w:rFonts w:ascii="宋体" w:hAnsi="宋体"/>
          <w:szCs w:val="21"/>
          <w:highlight w:val="none"/>
        </w:rPr>
      </w:pPr>
      <w:r>
        <w:rPr>
          <w:rFonts w:ascii="宋体" w:hAnsi="宋体"/>
          <w:szCs w:val="21"/>
          <w:highlight w:val="none"/>
        </w:rPr>
        <w:t>1</w:t>
      </w:r>
      <w:r>
        <w:rPr>
          <w:rFonts w:hint="eastAsia" w:ascii="宋体" w:hAnsi="宋体"/>
          <w:szCs w:val="21"/>
          <w:highlight w:val="none"/>
        </w:rPr>
        <w:t>3.4政府集中采购机构保证招标文件澄清答复内容和招标文件修改补充内容在投标截止时间前以书面形式（包括政府集中采购机构网站发布方式，如更正公告等）发送给所有投标人。为使投标人在编制投标文件时有充分时间对招标文件的修改部分进行研究，政府集中采购机构可以酌情延长递交投标文件的截止日期。</w:t>
      </w:r>
      <w:bookmarkEnd w:id="46"/>
    </w:p>
    <w:p>
      <w:pPr>
        <w:rPr>
          <w:rFonts w:ascii="宋体" w:hAnsi="宋体"/>
          <w:szCs w:val="21"/>
          <w:highlight w:val="none"/>
        </w:rPr>
      </w:pPr>
    </w:p>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投标文件的编制</w:t>
      </w:r>
    </w:p>
    <w:p>
      <w:pPr>
        <w:rPr>
          <w:rFonts w:ascii="黑体" w:hAnsi="宋体" w:eastAsia="黑体"/>
          <w:sz w:val="24"/>
          <w:highlight w:val="none"/>
        </w:rPr>
      </w:pPr>
      <w:r>
        <w:rPr>
          <w:rFonts w:hint="eastAsia" w:ascii="黑体" w:hAnsi="宋体" w:eastAsia="黑体"/>
          <w:sz w:val="24"/>
          <w:highlight w:val="none"/>
        </w:rPr>
        <w:t>14．</w:t>
      </w:r>
      <w:bookmarkStart w:id="47" w:name="_Hlk72400236"/>
      <w:r>
        <w:rPr>
          <w:rFonts w:hint="eastAsia" w:ascii="黑体" w:hAnsi="宋体" w:eastAsia="黑体"/>
          <w:sz w:val="24"/>
          <w:highlight w:val="none"/>
        </w:rPr>
        <w:t>投标文件的语言及度量单位</w:t>
      </w:r>
    </w:p>
    <w:p>
      <w:pPr>
        <w:ind w:firstLine="411" w:firstLineChars="196"/>
        <w:rPr>
          <w:rFonts w:ascii="宋体" w:hAnsi="宋体"/>
          <w:szCs w:val="21"/>
          <w:highlight w:val="none"/>
        </w:rPr>
      </w:pPr>
      <w:r>
        <w:rPr>
          <w:rFonts w:hint="eastAsia" w:ascii="宋体" w:hAnsi="宋体"/>
          <w:szCs w:val="21"/>
          <w:highlight w:val="none"/>
        </w:rPr>
        <w:t>14.1 投标人与政府集中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ind w:firstLine="411" w:firstLineChars="196"/>
        <w:rPr>
          <w:rFonts w:ascii="宋体" w:hAnsi="宋体"/>
          <w:szCs w:val="21"/>
          <w:highlight w:val="none"/>
        </w:rPr>
      </w:pPr>
      <w:r>
        <w:rPr>
          <w:rFonts w:hint="eastAsia" w:ascii="宋体" w:hAnsi="宋体"/>
          <w:szCs w:val="21"/>
          <w:highlight w:val="none"/>
        </w:rPr>
        <w:t>14.2 除技术规范另有规定外，投标文件使用的度量单位，均采用中华人民共和国法定计量单位。</w:t>
      </w:r>
    </w:p>
    <w:bookmarkEnd w:id="47"/>
    <w:p>
      <w:pPr>
        <w:rPr>
          <w:rFonts w:ascii="黑体" w:hAnsi="宋体" w:eastAsia="黑体"/>
          <w:sz w:val="24"/>
          <w:highlight w:val="none"/>
        </w:rPr>
      </w:pPr>
      <w:r>
        <w:rPr>
          <w:rFonts w:hint="eastAsia" w:ascii="黑体" w:hAnsi="宋体" w:eastAsia="黑体"/>
          <w:sz w:val="24"/>
          <w:highlight w:val="none"/>
        </w:rPr>
        <w:t>15．</w:t>
      </w:r>
      <w:bookmarkStart w:id="48" w:name="_Hlk72401567"/>
      <w:r>
        <w:rPr>
          <w:rFonts w:hint="eastAsia" w:ascii="黑体" w:hAnsi="宋体" w:eastAsia="黑体"/>
          <w:sz w:val="24"/>
          <w:highlight w:val="none"/>
        </w:rPr>
        <w:t>投标文件的组成</w:t>
      </w:r>
    </w:p>
    <w:p>
      <w:pPr>
        <w:ind w:firstLine="411" w:firstLineChars="196"/>
        <w:rPr>
          <w:rFonts w:ascii="宋体" w:hAnsi="宋体"/>
          <w:szCs w:val="21"/>
          <w:highlight w:val="none"/>
        </w:rPr>
      </w:pPr>
      <w:r>
        <w:rPr>
          <w:rFonts w:hint="eastAsia" w:ascii="宋体" w:hAnsi="宋体"/>
          <w:szCs w:val="21"/>
          <w:highlight w:val="none"/>
        </w:rPr>
        <w:t>具体内容在招标文件专用条款中进行规定。</w:t>
      </w:r>
    </w:p>
    <w:p>
      <w:pPr>
        <w:rPr>
          <w:rFonts w:ascii="黑体" w:hAnsi="宋体" w:eastAsia="黑体"/>
          <w:sz w:val="24"/>
          <w:highlight w:val="none"/>
        </w:rPr>
      </w:pPr>
      <w:r>
        <w:rPr>
          <w:rFonts w:ascii="黑体" w:hAnsi="宋体" w:eastAsia="黑体"/>
          <w:sz w:val="24"/>
          <w:highlight w:val="none"/>
        </w:rPr>
        <w:t>16．投标文件格式</w:t>
      </w:r>
    </w:p>
    <w:p>
      <w:pPr>
        <w:ind w:firstLine="411" w:firstLineChars="196"/>
        <w:rPr>
          <w:rFonts w:ascii="宋体" w:hAnsi="宋体"/>
          <w:szCs w:val="21"/>
          <w:highlight w:val="none"/>
        </w:rPr>
      </w:pPr>
      <w:r>
        <w:rPr>
          <w:rFonts w:hint="eastAsia" w:ascii="宋体" w:hAnsi="宋体"/>
          <w:szCs w:val="21"/>
          <w:highlight w:val="none"/>
        </w:rPr>
        <w:t>投标文件包括本通用条款第</w:t>
      </w:r>
      <w:r>
        <w:rPr>
          <w:rFonts w:ascii="宋体" w:hAnsi="宋体"/>
          <w:szCs w:val="21"/>
          <w:highlight w:val="none"/>
        </w:rPr>
        <w:t>15条中规定的内容。如招标文件提供了投标文件格式，则</w:t>
      </w:r>
      <w:r>
        <w:rPr>
          <w:rFonts w:hint="eastAsia" w:ascii="宋体" w:hAnsi="宋体"/>
          <w:b/>
          <w:bCs/>
          <w:szCs w:val="21"/>
          <w:highlight w:val="none"/>
        </w:rPr>
        <w:t>投标人提交的投标文件应毫无例外地使用招标文件所提供的相应格式</w:t>
      </w:r>
      <w:r>
        <w:rPr>
          <w:rFonts w:hint="eastAsia" w:ascii="宋体" w:hAnsi="宋体"/>
          <w:szCs w:val="21"/>
          <w:highlight w:val="none"/>
        </w:rPr>
        <w:t>（表格均可按同样格式扩展）。</w:t>
      </w:r>
    </w:p>
    <w:p>
      <w:pPr>
        <w:rPr>
          <w:rFonts w:ascii="黑体" w:hAnsi="宋体" w:eastAsia="黑体"/>
          <w:sz w:val="24"/>
          <w:highlight w:val="none"/>
        </w:rPr>
      </w:pPr>
      <w:r>
        <w:rPr>
          <w:rFonts w:hint="eastAsia" w:ascii="黑体" w:hAnsi="宋体" w:eastAsia="黑体"/>
          <w:sz w:val="24"/>
          <w:highlight w:val="none"/>
        </w:rPr>
        <w:t>17．投标货币</w:t>
      </w:r>
    </w:p>
    <w:p>
      <w:pPr>
        <w:ind w:firstLine="411" w:firstLineChars="196"/>
        <w:rPr>
          <w:rFonts w:ascii="宋体" w:hAnsi="宋体"/>
          <w:szCs w:val="21"/>
          <w:highlight w:val="none"/>
        </w:rPr>
      </w:pPr>
      <w:r>
        <w:rPr>
          <w:rFonts w:hint="eastAsia" w:ascii="宋体" w:hAnsi="宋体"/>
          <w:szCs w:val="21"/>
          <w:highlight w:val="none"/>
        </w:rPr>
        <w:t>本项目的投标报价应以人民币计。</w:t>
      </w:r>
    </w:p>
    <w:bookmarkEnd w:id="48"/>
    <w:p>
      <w:pPr>
        <w:rPr>
          <w:rFonts w:ascii="黑体" w:hAnsi="宋体" w:eastAsia="黑体"/>
          <w:sz w:val="24"/>
          <w:highlight w:val="none"/>
        </w:rPr>
      </w:pPr>
      <w:r>
        <w:rPr>
          <w:rFonts w:hint="eastAsia" w:ascii="黑体" w:hAnsi="宋体" w:eastAsia="黑体"/>
          <w:sz w:val="24"/>
          <w:highlight w:val="none"/>
        </w:rPr>
        <w:t>18．</w:t>
      </w:r>
      <w:bookmarkStart w:id="49" w:name="_Hlk72401735"/>
      <w:r>
        <w:rPr>
          <w:rFonts w:hint="eastAsia" w:ascii="黑体" w:hAnsi="宋体" w:eastAsia="黑体"/>
          <w:sz w:val="24"/>
          <w:highlight w:val="none"/>
        </w:rPr>
        <w:t>证明投标文件投标技术方案的合格性和符合招标文件规定的文件要求</w:t>
      </w:r>
    </w:p>
    <w:p>
      <w:pPr>
        <w:ind w:firstLine="411" w:firstLineChars="196"/>
        <w:rPr>
          <w:rFonts w:ascii="宋体" w:hAnsi="宋体"/>
          <w:szCs w:val="21"/>
          <w:highlight w:val="none"/>
        </w:rPr>
      </w:pPr>
      <w:r>
        <w:rPr>
          <w:rFonts w:hint="eastAsia" w:ascii="宋体" w:hAnsi="宋体"/>
          <w:szCs w:val="21"/>
          <w:highlight w:val="none"/>
        </w:rPr>
        <w:t>18</w:t>
      </w:r>
      <w:r>
        <w:rPr>
          <w:rFonts w:ascii="宋体" w:hAnsi="宋体"/>
          <w:szCs w:val="21"/>
          <w:highlight w:val="none"/>
        </w:rPr>
        <w:t xml:space="preserve">.1 </w:t>
      </w:r>
      <w:r>
        <w:rPr>
          <w:rFonts w:hint="eastAsia" w:ascii="宋体" w:hAnsi="宋体"/>
          <w:szCs w:val="21"/>
          <w:highlight w:val="none"/>
        </w:rPr>
        <w:t>投标人应提交证明文件，证明其投标技术方案项下的货物和服务的合格性符合招标文件规定。该投标技术方案及其证明文件均作为投标文件组成部分。</w:t>
      </w:r>
    </w:p>
    <w:p>
      <w:pPr>
        <w:ind w:firstLine="411" w:firstLineChars="196"/>
        <w:rPr>
          <w:rFonts w:ascii="宋体" w:hAnsi="宋体"/>
          <w:szCs w:val="21"/>
          <w:highlight w:val="none"/>
        </w:rPr>
      </w:pPr>
      <w:r>
        <w:rPr>
          <w:rFonts w:ascii="宋体" w:hAnsi="宋体"/>
          <w:szCs w:val="21"/>
          <w:highlight w:val="none"/>
        </w:rPr>
        <w:t>1</w:t>
      </w:r>
      <w:r>
        <w:rPr>
          <w:rFonts w:hint="eastAsia" w:ascii="宋体" w:hAnsi="宋体"/>
          <w:szCs w:val="21"/>
          <w:highlight w:val="none"/>
        </w:rPr>
        <w:t>8</w:t>
      </w:r>
      <w:r>
        <w:rPr>
          <w:rFonts w:ascii="宋体" w:hAnsi="宋体"/>
          <w:szCs w:val="21"/>
          <w:highlight w:val="none"/>
        </w:rPr>
        <w:t xml:space="preserve">.2 </w:t>
      </w:r>
      <w:r>
        <w:rPr>
          <w:rFonts w:hint="eastAsia" w:ascii="宋体" w:hAnsi="宋体"/>
          <w:szCs w:val="21"/>
          <w:highlight w:val="none"/>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pPr>
        <w:ind w:firstLine="411" w:firstLineChars="196"/>
        <w:rPr>
          <w:rFonts w:ascii="宋体" w:hAnsi="宋体"/>
          <w:szCs w:val="21"/>
          <w:highlight w:val="none"/>
        </w:rPr>
      </w:pPr>
      <w:r>
        <w:rPr>
          <w:rFonts w:hint="eastAsia" w:ascii="宋体" w:hAnsi="宋体"/>
          <w:szCs w:val="21"/>
          <w:highlight w:val="none"/>
        </w:rPr>
        <w:t>18.2.1主要技术指标和性能的详细说明。</w:t>
      </w:r>
    </w:p>
    <w:p>
      <w:pPr>
        <w:ind w:firstLine="411" w:firstLineChars="196"/>
        <w:rPr>
          <w:rFonts w:ascii="宋体" w:hAnsi="宋体"/>
          <w:szCs w:val="21"/>
          <w:highlight w:val="none"/>
        </w:rPr>
      </w:pPr>
      <w:r>
        <w:rPr>
          <w:rFonts w:hint="eastAsia" w:ascii="宋体" w:hAnsi="宋体"/>
          <w:szCs w:val="21"/>
          <w:highlight w:val="none"/>
        </w:rPr>
        <w:t>18.2.</w:t>
      </w:r>
      <w:r>
        <w:rPr>
          <w:rFonts w:ascii="宋体" w:hAnsi="宋体"/>
          <w:szCs w:val="21"/>
          <w:highlight w:val="none"/>
        </w:rPr>
        <w:t>2</w:t>
      </w:r>
      <w:r>
        <w:rPr>
          <w:rFonts w:hint="eastAsia" w:ascii="宋体" w:hAnsi="宋体"/>
          <w:szCs w:val="21"/>
          <w:highlight w:val="none"/>
        </w:rPr>
        <w:t>投标产品从采购人开始使用至招标文件中规定的周期内正常、连续地使用所必须的备件和专用工具清单，包括备件和专用工具的货源及现行价格。</w:t>
      </w:r>
    </w:p>
    <w:p>
      <w:pPr>
        <w:ind w:firstLine="411" w:firstLineChars="196"/>
        <w:rPr>
          <w:rFonts w:ascii="宋体" w:hAnsi="宋体"/>
          <w:szCs w:val="21"/>
          <w:highlight w:val="none"/>
        </w:rPr>
      </w:pPr>
      <w:r>
        <w:rPr>
          <w:rFonts w:hint="eastAsia" w:ascii="宋体" w:hAnsi="宋体"/>
          <w:szCs w:val="21"/>
          <w:highlight w:val="none"/>
        </w:rPr>
        <w:t>18.2.</w:t>
      </w:r>
      <w:r>
        <w:rPr>
          <w:rFonts w:ascii="宋体" w:hAnsi="宋体"/>
          <w:szCs w:val="21"/>
          <w:highlight w:val="none"/>
        </w:rPr>
        <w:t>3</w:t>
      </w:r>
      <w:r>
        <w:rPr>
          <w:rFonts w:hint="eastAsia" w:ascii="宋体" w:hAnsi="宋体"/>
          <w:szCs w:val="21"/>
          <w:highlight w:val="none"/>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pPr>
        <w:ind w:firstLine="411" w:firstLineChars="196"/>
        <w:rPr>
          <w:rFonts w:ascii="宋体" w:hAnsi="宋体"/>
          <w:szCs w:val="21"/>
          <w:highlight w:val="none"/>
        </w:rPr>
      </w:pPr>
      <w:r>
        <w:rPr>
          <w:rFonts w:hint="eastAsia" w:ascii="宋体" w:hAnsi="宋体"/>
          <w:szCs w:val="21"/>
          <w:highlight w:val="none"/>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highlight w:val="none"/>
        </w:rPr>
        <w:t>清晰度要求能够使用电脑阅读、识别和判断</w:t>
      </w:r>
      <w:r>
        <w:rPr>
          <w:rFonts w:hint="eastAsia" w:ascii="宋体" w:hAnsi="宋体"/>
          <w:szCs w:val="21"/>
          <w:highlight w:val="none"/>
        </w:rPr>
        <w:t>；</w:t>
      </w:r>
    </w:p>
    <w:p>
      <w:pPr>
        <w:ind w:firstLine="411" w:firstLineChars="196"/>
        <w:rPr>
          <w:rFonts w:ascii="宋体" w:hAnsi="宋体"/>
          <w:szCs w:val="21"/>
          <w:highlight w:val="none"/>
        </w:rPr>
      </w:pPr>
      <w:r>
        <w:rPr>
          <w:rFonts w:hint="eastAsia" w:ascii="宋体" w:hAnsi="宋体"/>
          <w:szCs w:val="21"/>
          <w:highlight w:val="none"/>
        </w:rPr>
        <w:t>18.2.5我国政府机构出具的产品检验和核准证件应为证件正面、背面和附件标注的全部具体内容；产品检验和核准证件的尺寸和清晰度应该能够在电脑上被阅读、识别和判断，提供原件扫描件。</w:t>
      </w:r>
    </w:p>
    <w:p>
      <w:pPr>
        <w:ind w:firstLine="411" w:firstLineChars="196"/>
        <w:rPr>
          <w:rFonts w:ascii="宋体" w:hAnsi="宋体"/>
          <w:szCs w:val="21"/>
          <w:highlight w:val="none"/>
        </w:rPr>
      </w:pPr>
      <w:r>
        <w:rPr>
          <w:rFonts w:hint="eastAsia" w:ascii="宋体" w:hAnsi="宋体"/>
          <w:szCs w:val="21"/>
          <w:highlight w:val="none"/>
        </w:rPr>
        <w:t>18.3相关资料不符合18.2款要求的，评审委员会有权认定为投标技术方案不合格响应，其相关分数予以扣减或作投标无效处理。</w:t>
      </w:r>
    </w:p>
    <w:p>
      <w:pPr>
        <w:ind w:firstLine="411" w:firstLineChars="196"/>
        <w:rPr>
          <w:rFonts w:ascii="宋体" w:hAnsi="宋体"/>
          <w:szCs w:val="21"/>
          <w:highlight w:val="none"/>
        </w:rPr>
      </w:pPr>
      <w:r>
        <w:rPr>
          <w:rFonts w:ascii="宋体" w:hAnsi="宋体"/>
          <w:szCs w:val="21"/>
          <w:highlight w:val="none"/>
        </w:rPr>
        <w:t>1</w:t>
      </w:r>
      <w:r>
        <w:rPr>
          <w:rFonts w:hint="eastAsia" w:ascii="宋体" w:hAnsi="宋体"/>
          <w:szCs w:val="21"/>
          <w:highlight w:val="none"/>
        </w:rPr>
        <w:t>8</w:t>
      </w:r>
      <w:r>
        <w:rPr>
          <w:rFonts w:ascii="宋体" w:hAnsi="宋体"/>
          <w:szCs w:val="21"/>
          <w:highlight w:val="none"/>
        </w:rPr>
        <w:t>.</w:t>
      </w:r>
      <w:r>
        <w:rPr>
          <w:rFonts w:hint="eastAsia" w:ascii="宋体" w:hAnsi="宋体"/>
          <w:szCs w:val="21"/>
          <w:highlight w:val="none"/>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highlight w:val="none"/>
        </w:rPr>
        <w:t>满足要求</w:t>
      </w:r>
      <w:r>
        <w:rPr>
          <w:rFonts w:hint="eastAsia" w:ascii="宋体" w:hAnsi="宋体"/>
          <w:szCs w:val="21"/>
          <w:highlight w:val="none"/>
        </w:rPr>
        <w:t>，由评审委员会来评判。</w:t>
      </w:r>
    </w:p>
    <w:p>
      <w:pPr>
        <w:ind w:firstLine="411" w:firstLineChars="196"/>
        <w:rPr>
          <w:rFonts w:ascii="宋体" w:hAnsi="宋体"/>
          <w:szCs w:val="21"/>
          <w:highlight w:val="none"/>
        </w:rPr>
      </w:pPr>
      <w:r>
        <w:rPr>
          <w:rFonts w:hint="eastAsia" w:ascii="宋体" w:hAnsi="宋体"/>
          <w:szCs w:val="21"/>
          <w:highlight w:val="none"/>
        </w:rPr>
        <w:t>18.5除非另有规定或说明，投标人对同一项目投标时，不得同时提供两套或两套以上的投标方案。</w:t>
      </w:r>
    </w:p>
    <w:bookmarkEnd w:id="49"/>
    <w:p>
      <w:pPr>
        <w:rPr>
          <w:rFonts w:ascii="黑体" w:hAnsi="宋体" w:eastAsia="黑体"/>
          <w:sz w:val="24"/>
          <w:highlight w:val="none"/>
        </w:rPr>
      </w:pPr>
      <w:r>
        <w:rPr>
          <w:rFonts w:hint="eastAsia" w:ascii="黑体" w:hAnsi="宋体" w:eastAsia="黑体"/>
          <w:sz w:val="24"/>
          <w:highlight w:val="none"/>
        </w:rPr>
        <w:t>19．</w:t>
      </w:r>
      <w:bookmarkStart w:id="50" w:name="_Hlk72402034"/>
      <w:r>
        <w:rPr>
          <w:rFonts w:hint="eastAsia" w:ascii="黑体" w:hAnsi="宋体" w:eastAsia="黑体"/>
          <w:sz w:val="24"/>
          <w:highlight w:val="none"/>
        </w:rPr>
        <w:t>投标文件其他证明文件的要求</w:t>
      </w:r>
    </w:p>
    <w:p>
      <w:pPr>
        <w:rPr>
          <w:rFonts w:ascii="宋体" w:hAnsi="宋体"/>
          <w:color w:val="FF0000"/>
          <w:szCs w:val="21"/>
          <w:highlight w:val="none"/>
        </w:rPr>
      </w:pPr>
      <w:r>
        <w:rPr>
          <w:rFonts w:hint="eastAsia" w:ascii="黑体" w:hAnsi="宋体" w:eastAsia="黑体"/>
          <w:sz w:val="24"/>
          <w:highlight w:val="none"/>
        </w:rPr>
        <w:t xml:space="preserve">    </w:t>
      </w:r>
      <w:r>
        <w:rPr>
          <w:rFonts w:hint="eastAsia" w:ascii="宋体" w:hAnsi="宋体"/>
          <w:szCs w:val="21"/>
          <w:highlight w:val="none"/>
        </w:rPr>
        <w:t>19.1</w:t>
      </w:r>
      <w:bookmarkStart w:id="51" w:name="_Hlk71407299"/>
      <w:r>
        <w:rPr>
          <w:rFonts w:hint="eastAsia" w:ascii="宋体" w:hAnsi="宋体"/>
          <w:szCs w:val="21"/>
          <w:highlight w:val="none"/>
        </w:rPr>
        <w:t>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采购人、代理机构及评审委员会依据各自审查范围，有权认定其投标文件未对招标文件有关需求进行响应，涉及资格性审查或符合性审查的予以投标无效处理，涉及《评标信息》打分项的则该项评分予以0分处理。对供应商投标资料是否异常、是否有效问题进行核查和判定，如认为供应商投标资料有异常或无效的，若涉及资格性审查或符合性审查条款的，则应作投标无效处理；若涉及评分的，则作不得分处理。</w:t>
      </w:r>
    </w:p>
    <w:bookmarkEnd w:id="51"/>
    <w:p>
      <w:pPr>
        <w:ind w:firstLine="411" w:firstLineChars="196"/>
        <w:rPr>
          <w:rFonts w:ascii="宋体" w:hAnsi="宋体"/>
          <w:szCs w:val="21"/>
          <w:highlight w:val="none"/>
        </w:rPr>
      </w:pPr>
      <w:r>
        <w:rPr>
          <w:rFonts w:hint="eastAsia" w:ascii="宋体" w:hAnsi="宋体"/>
          <w:szCs w:val="21"/>
          <w:highlight w:val="none"/>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pPr>
        <w:rPr>
          <w:rFonts w:ascii="黑体" w:hAnsi="宋体" w:eastAsia="黑体"/>
          <w:sz w:val="24"/>
          <w:highlight w:val="none"/>
        </w:rPr>
      </w:pPr>
      <w:r>
        <w:rPr>
          <w:rFonts w:hint="eastAsia" w:ascii="黑体" w:hAnsi="宋体" w:eastAsia="黑体"/>
          <w:sz w:val="24"/>
          <w:highlight w:val="none"/>
        </w:rPr>
        <w:t>20．投标有效期</w:t>
      </w:r>
    </w:p>
    <w:bookmarkEnd w:id="50"/>
    <w:p>
      <w:pPr>
        <w:ind w:firstLine="411" w:firstLineChars="196"/>
        <w:rPr>
          <w:rFonts w:ascii="宋体" w:hAnsi="宋体"/>
          <w:szCs w:val="21"/>
          <w:highlight w:val="none"/>
        </w:rPr>
      </w:pPr>
      <w:bookmarkStart w:id="52" w:name="_Hlk72402214"/>
      <w:r>
        <w:rPr>
          <w:rFonts w:hint="eastAsia" w:ascii="宋体" w:hAnsi="宋体"/>
          <w:szCs w:val="21"/>
          <w:highlight w:val="none"/>
        </w:rPr>
        <w:t>20.1 投标有效期为</w:t>
      </w:r>
      <w:r>
        <w:rPr>
          <w:rFonts w:hint="eastAsia" w:ascii="Arial" w:hAnsi="Arial" w:cs="Arial"/>
          <w:szCs w:val="21"/>
          <w:highlight w:val="none"/>
        </w:rPr>
        <w:t>从投标截止之日算起的日历天数。</w:t>
      </w:r>
      <w:r>
        <w:rPr>
          <w:rFonts w:hint="eastAsia" w:ascii="宋体" w:hAnsi="宋体"/>
          <w:szCs w:val="21"/>
          <w:highlight w:val="none"/>
        </w:rPr>
        <w:t>在此期限内，所有投标文件均保持有效。</w:t>
      </w:r>
    </w:p>
    <w:p>
      <w:pPr>
        <w:ind w:firstLine="411" w:firstLineChars="196"/>
        <w:rPr>
          <w:rFonts w:ascii="宋体" w:hAnsi="宋体"/>
          <w:szCs w:val="21"/>
          <w:highlight w:val="none"/>
        </w:rPr>
      </w:pPr>
      <w:r>
        <w:rPr>
          <w:rFonts w:hint="eastAsia" w:ascii="宋体" w:hAnsi="宋体"/>
          <w:szCs w:val="21"/>
          <w:highlight w:val="none"/>
        </w:rPr>
        <w:t>20.2 在特殊情况下，政府集中采购机构在原定的投标有效期满之前，政府集中采购机构可以根据需要以书面形式（包括政府集中采购机构网站公开发布方式）向投标人提出延长投标有效期的要求，对此要求投标人须以书面形式予以答复，投标人可以拒绝政府集中采购机构此项要求，其投标在原投标有效期满后不再有效。同意延长投标有效期的投标人不能要求也不允许修改其投标文件。</w:t>
      </w:r>
    </w:p>
    <w:p>
      <w:pPr>
        <w:ind w:firstLine="411" w:firstLineChars="196"/>
        <w:rPr>
          <w:rFonts w:ascii="宋体" w:hAnsi="宋体"/>
          <w:szCs w:val="21"/>
          <w:highlight w:val="none"/>
        </w:rPr>
      </w:pPr>
      <w:r>
        <w:rPr>
          <w:rFonts w:hint="eastAsia" w:ascii="宋体" w:hAnsi="宋体"/>
          <w:szCs w:val="21"/>
          <w:highlight w:val="none"/>
        </w:rPr>
        <w:t>20</w:t>
      </w:r>
      <w:r>
        <w:rPr>
          <w:rFonts w:ascii="宋体" w:hAnsi="宋体"/>
          <w:szCs w:val="21"/>
          <w:highlight w:val="none"/>
        </w:rPr>
        <w:t>.3</w:t>
      </w:r>
      <w:r>
        <w:rPr>
          <w:rFonts w:hint="eastAsia" w:ascii="宋体" w:hAnsi="宋体"/>
          <w:szCs w:val="21"/>
          <w:highlight w:val="none"/>
        </w:rPr>
        <w:t xml:space="preserve"> 中标供应商的投标文件有效期，截止于完成本招标文件规定的全部项目内容，并通过竣工验收及保修期结束。</w:t>
      </w:r>
    </w:p>
    <w:bookmarkEnd w:id="52"/>
    <w:p>
      <w:pPr>
        <w:rPr>
          <w:rFonts w:ascii="黑体" w:hAnsi="宋体" w:eastAsia="黑体"/>
          <w:sz w:val="24"/>
          <w:highlight w:val="none"/>
        </w:rPr>
      </w:pPr>
      <w:r>
        <w:rPr>
          <w:rFonts w:hint="eastAsia" w:ascii="黑体" w:hAnsi="宋体" w:eastAsia="黑体"/>
          <w:sz w:val="24"/>
          <w:highlight w:val="none"/>
        </w:rPr>
        <w:t>21．</w:t>
      </w:r>
      <w:bookmarkStart w:id="53" w:name="_Hlk72402325"/>
      <w:r>
        <w:rPr>
          <w:rFonts w:hint="eastAsia" w:ascii="黑体" w:hAnsi="宋体" w:eastAsia="黑体"/>
          <w:sz w:val="24"/>
          <w:highlight w:val="none"/>
        </w:rPr>
        <w:t xml:space="preserve">关于投标保证金 </w:t>
      </w:r>
    </w:p>
    <w:p>
      <w:pPr>
        <w:rPr>
          <w:rFonts w:ascii="宋体" w:hAnsi="宋体"/>
          <w:szCs w:val="21"/>
          <w:highlight w:val="none"/>
        </w:rPr>
      </w:pPr>
      <w:r>
        <w:rPr>
          <w:rFonts w:hint="eastAsia" w:ascii="宋体" w:hAnsi="宋体"/>
          <w:szCs w:val="21"/>
          <w:highlight w:val="none"/>
        </w:rPr>
        <w:t xml:space="preserve">    21.1</w:t>
      </w:r>
      <w:r>
        <w:rPr>
          <w:rFonts w:hint="eastAsia"/>
          <w:highlight w:val="none"/>
        </w:rPr>
        <w:t>根据《深圳市财政局关于调整政府采购投标（响应）保证金管理政策的通知》（深财购〔2021〕51号）文的规定，本项目不收取投标保证金。</w:t>
      </w:r>
    </w:p>
    <w:p>
      <w:pPr>
        <w:rPr>
          <w:rFonts w:ascii="黑体" w:hAnsi="宋体" w:eastAsia="黑体"/>
          <w:sz w:val="24"/>
          <w:highlight w:val="none"/>
        </w:rPr>
      </w:pPr>
      <w:r>
        <w:rPr>
          <w:rFonts w:hint="eastAsia" w:ascii="黑体" w:hAnsi="宋体" w:eastAsia="黑体"/>
          <w:sz w:val="24"/>
          <w:highlight w:val="none"/>
        </w:rPr>
        <w:t>22．投标人的替代方案</w:t>
      </w:r>
    </w:p>
    <w:p>
      <w:pPr>
        <w:ind w:firstLine="411" w:firstLineChars="196"/>
        <w:rPr>
          <w:rFonts w:ascii="宋体" w:hAnsi="宋体"/>
          <w:szCs w:val="21"/>
          <w:highlight w:val="none"/>
        </w:rPr>
      </w:pPr>
      <w:r>
        <w:rPr>
          <w:rFonts w:hint="eastAsia" w:ascii="宋体" w:hAnsi="宋体"/>
          <w:szCs w:val="21"/>
          <w:highlight w:val="none"/>
        </w:rPr>
        <w:t>22.1投标人所提交的投标文件应完全满足招标文件（包括图纸和技术规范所示的基本技术设计）的要求。除非项目明确允许投标人提交替代方案，否则投标人有关替代方案的条款将初审不通过，作投标无效处理。</w:t>
      </w:r>
    </w:p>
    <w:p>
      <w:pPr>
        <w:ind w:firstLine="411" w:firstLineChars="196"/>
        <w:rPr>
          <w:rFonts w:ascii="宋体" w:hAnsi="宋体"/>
          <w:szCs w:val="21"/>
          <w:highlight w:val="none"/>
        </w:rPr>
      </w:pPr>
      <w:r>
        <w:rPr>
          <w:rFonts w:hint="eastAsia" w:ascii="宋体" w:hAnsi="宋体"/>
          <w:szCs w:val="21"/>
          <w:highlight w:val="none"/>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53"/>
    <w:p>
      <w:pPr>
        <w:rPr>
          <w:rFonts w:ascii="黑体" w:hAnsi="宋体" w:eastAsia="黑体"/>
          <w:sz w:val="24"/>
          <w:highlight w:val="none"/>
        </w:rPr>
      </w:pPr>
      <w:r>
        <w:rPr>
          <w:rFonts w:hint="eastAsia" w:ascii="黑体" w:hAnsi="宋体" w:eastAsia="黑体"/>
          <w:sz w:val="24"/>
          <w:highlight w:val="none"/>
        </w:rPr>
        <w:t>23．</w:t>
      </w:r>
      <w:bookmarkStart w:id="54" w:name="_Hlk72402860"/>
      <w:r>
        <w:rPr>
          <w:rFonts w:ascii="黑体" w:hAnsi="宋体" w:eastAsia="黑体"/>
          <w:sz w:val="24"/>
          <w:highlight w:val="none"/>
        </w:rPr>
        <w:t>投标文件的</w:t>
      </w:r>
      <w:r>
        <w:rPr>
          <w:rFonts w:hint="eastAsia" w:ascii="黑体" w:hAnsi="宋体" w:eastAsia="黑体"/>
          <w:sz w:val="24"/>
          <w:highlight w:val="none"/>
        </w:rPr>
        <w:t>制作</w:t>
      </w:r>
      <w:r>
        <w:rPr>
          <w:rFonts w:ascii="黑体" w:hAnsi="宋体" w:eastAsia="黑体"/>
          <w:sz w:val="24"/>
          <w:highlight w:val="none"/>
        </w:rPr>
        <w:t>要求</w:t>
      </w:r>
    </w:p>
    <w:p>
      <w:pPr>
        <w:ind w:firstLine="411" w:firstLineChars="196"/>
        <w:rPr>
          <w:rFonts w:ascii="宋体" w:hAnsi="宋体"/>
          <w:highlight w:val="none"/>
        </w:rPr>
      </w:pPr>
      <w:r>
        <w:rPr>
          <w:rFonts w:hint="eastAsia" w:ascii="宋体" w:hAnsi="宋体"/>
          <w:highlight w:val="none"/>
        </w:rPr>
        <w:t>23.1投标人应准备所投项目的电子投标文件一份。</w:t>
      </w:r>
    </w:p>
    <w:p>
      <w:pPr>
        <w:ind w:firstLine="411" w:firstLineChars="196"/>
        <w:rPr>
          <w:rFonts w:ascii="宋体" w:hAnsi="宋体"/>
          <w:highlight w:val="none"/>
        </w:rPr>
      </w:pPr>
      <w:r>
        <w:rPr>
          <w:rFonts w:hint="eastAsia" w:ascii="宋体" w:hAnsi="宋体"/>
          <w:highlight w:val="none"/>
        </w:rPr>
        <w:t>23.2投标人在使用《投标书编制软件》编制投标书时须注意：</w:t>
      </w:r>
    </w:p>
    <w:p>
      <w:pPr>
        <w:ind w:firstLine="411" w:firstLineChars="196"/>
        <w:rPr>
          <w:rFonts w:ascii="宋体" w:hAnsi="宋体"/>
          <w:highlight w:val="none"/>
        </w:rPr>
      </w:pPr>
      <w:r>
        <w:rPr>
          <w:rFonts w:hint="eastAsia" w:ascii="宋体" w:hAnsi="宋体"/>
          <w:highlight w:val="none"/>
        </w:rPr>
        <w:t>23.2.1导入《投标书编制软件》的招标文件项目编号、包号应与以此制作的投标文件项目编号、包号一致。例如，不能将甲项目A包的招标书导入《投标书编制软件》，制作乙项目B包的投标书。</w:t>
      </w:r>
    </w:p>
    <w:p>
      <w:pPr>
        <w:ind w:firstLine="411" w:firstLineChars="196"/>
        <w:rPr>
          <w:rFonts w:ascii="宋体" w:hAnsi="宋体"/>
          <w:highlight w:val="none"/>
        </w:rPr>
      </w:pPr>
      <w:r>
        <w:rPr>
          <w:rFonts w:hint="eastAsia" w:ascii="宋体" w:hAnsi="宋体"/>
          <w:highlight w:val="none"/>
        </w:rPr>
        <w:t>23.2.2不能用非本公司的电子密钥加密本公司的投标文件，或者用其它公司的登录用户上传本公司的投标文件。</w:t>
      </w:r>
    </w:p>
    <w:p>
      <w:pPr>
        <w:ind w:firstLine="411" w:firstLineChars="196"/>
        <w:rPr>
          <w:rFonts w:ascii="宋体" w:hAnsi="宋体"/>
          <w:highlight w:val="none"/>
        </w:rPr>
      </w:pPr>
      <w:r>
        <w:rPr>
          <w:rFonts w:hint="eastAsia" w:ascii="宋体" w:hAnsi="宋体"/>
          <w:highlight w:val="none"/>
        </w:rPr>
        <w:t>23.2.3要求用《投标书编制软件》编制投标书的包，不能用其它方式编制投标书。编制投标文件时，电脑须连通互联网。</w:t>
      </w:r>
    </w:p>
    <w:p>
      <w:pPr>
        <w:ind w:firstLine="411" w:firstLineChars="196"/>
        <w:rPr>
          <w:rFonts w:ascii="宋体" w:hAnsi="宋体"/>
          <w:highlight w:val="none"/>
        </w:rPr>
      </w:pPr>
      <w:r>
        <w:rPr>
          <w:rFonts w:hint="eastAsia" w:ascii="宋体" w:hAnsi="宋体"/>
          <w:highlight w:val="none"/>
        </w:rPr>
        <w:t>23.2.4投标文件不能带病毒。政府集中采购机构将用专业杀毒软件对投标文件进行病毒检测，如果这两种软件均报告发现病毒，则政府集中采购机构认为该投标文件带病毒。</w:t>
      </w:r>
    </w:p>
    <w:p>
      <w:pPr>
        <w:ind w:firstLine="411" w:firstLineChars="196"/>
        <w:rPr>
          <w:rFonts w:ascii="宋体" w:hAnsi="宋体"/>
          <w:highlight w:val="none"/>
        </w:rPr>
      </w:pPr>
      <w:r>
        <w:rPr>
          <w:rFonts w:hint="eastAsia" w:ascii="宋体" w:hAnsi="宋体"/>
          <w:highlight w:val="none"/>
        </w:rPr>
        <w:t>23.2.6投标人在编辑投标文件时，</w:t>
      </w:r>
      <w:r>
        <w:rPr>
          <w:rFonts w:hint="eastAsia" w:ascii="宋体" w:hAnsi="宋体"/>
          <w:b/>
          <w:highlight w:val="none"/>
        </w:rPr>
        <w:t>在投标文件目录中属于本节点内容的必须在本节点中填写，填写到其他节点或附件，</w:t>
      </w:r>
      <w:r>
        <w:rPr>
          <w:rFonts w:hint="eastAsia" w:ascii="宋体" w:hAnsi="宋体"/>
          <w:highlight w:val="none"/>
        </w:rPr>
        <w:t>一切后果由供应商自行承担。</w:t>
      </w:r>
    </w:p>
    <w:p>
      <w:pPr>
        <w:ind w:firstLine="411" w:firstLineChars="196"/>
        <w:rPr>
          <w:rFonts w:ascii="宋体" w:hAnsi="宋体"/>
          <w:highlight w:val="none"/>
        </w:rPr>
      </w:pPr>
      <w:r>
        <w:rPr>
          <w:rFonts w:hint="eastAsia" w:ascii="宋体" w:hAnsi="宋体"/>
          <w:highlight w:val="none"/>
        </w:rPr>
        <w:t>23.2.7投标文件编写完成后，</w:t>
      </w:r>
      <w:r>
        <w:rPr>
          <w:rFonts w:hint="eastAsia" w:ascii="宋体" w:hAnsi="宋体"/>
          <w:b/>
          <w:highlight w:val="none"/>
        </w:rPr>
        <w:t>必须用属于投标人的电子密钥或电子营业执照进行加密，否则视同未盖公章，将导致投标文件无效。</w:t>
      </w:r>
    </w:p>
    <w:p>
      <w:pPr>
        <w:ind w:firstLine="411" w:firstLineChars="196"/>
        <w:rPr>
          <w:rFonts w:ascii="宋体" w:hAnsi="宋体"/>
          <w:highlight w:val="none"/>
        </w:rPr>
      </w:pPr>
      <w:r>
        <w:rPr>
          <w:rFonts w:hint="eastAsia" w:ascii="宋体" w:hAnsi="宋体"/>
          <w:highlight w:val="none"/>
        </w:rPr>
        <w:t>23.2.8政府集中采购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pPr>
        <w:ind w:firstLine="411" w:firstLineChars="196"/>
        <w:rPr>
          <w:rFonts w:ascii="宋体" w:hAnsi="宋体"/>
          <w:highlight w:val="none"/>
        </w:rPr>
      </w:pPr>
      <w:r>
        <w:rPr>
          <w:rFonts w:hint="eastAsia" w:ascii="宋体" w:hAnsi="宋体"/>
          <w:highlight w:val="none"/>
        </w:rPr>
        <w:t>23.2.9如果开标时出现网络故障、技术故障，影响了政府采购活动，政府集中采购机构有权采取措施如延期、接受无法从网上上传的投标书等，以保障政府采购活动的公开、公平和公正。</w:t>
      </w:r>
    </w:p>
    <w:p>
      <w:pPr>
        <w:ind w:firstLine="411" w:firstLineChars="196"/>
        <w:rPr>
          <w:rFonts w:ascii="宋体" w:hAnsi="宋体"/>
          <w:highlight w:val="none"/>
        </w:rPr>
      </w:pPr>
      <w:r>
        <w:rPr>
          <w:rFonts w:hint="eastAsia" w:ascii="宋体" w:hAnsi="宋体"/>
          <w:highlight w:val="none"/>
        </w:rPr>
        <w:t>23.3电报、电话、传真形式的投标概不接受。</w:t>
      </w:r>
    </w:p>
    <w:p>
      <w:pPr>
        <w:ind w:firstLine="413" w:firstLineChars="196"/>
        <w:rPr>
          <w:rFonts w:ascii="宋体" w:hAnsi="宋体"/>
          <w:b/>
          <w:highlight w:val="none"/>
        </w:rPr>
      </w:pPr>
      <w:r>
        <w:rPr>
          <w:rFonts w:hint="eastAsia" w:ascii="宋体" w:hAnsi="宋体"/>
          <w:b/>
          <w:highlight w:val="none"/>
        </w:rPr>
        <w:t>23.4经投标人电子密钥或电子营业执照加密的投标文件无须盖章或签字，</w:t>
      </w:r>
      <w:r>
        <w:rPr>
          <w:rFonts w:hint="eastAsia" w:ascii="宋体" w:hAnsi="宋体"/>
          <w:highlight w:val="none"/>
        </w:rPr>
        <w:t>专用条款另有要求的除外。</w:t>
      </w:r>
    </w:p>
    <w:p>
      <w:pPr>
        <w:ind w:firstLine="413" w:firstLineChars="196"/>
        <w:rPr>
          <w:rFonts w:ascii="宋体" w:hAnsi="宋体"/>
          <w:highlight w:val="none"/>
        </w:rPr>
      </w:pPr>
      <w:r>
        <w:rPr>
          <w:rFonts w:hint="eastAsia" w:ascii="宋体" w:hAnsi="宋体"/>
          <w:b/>
          <w:highlight w:val="none"/>
        </w:rPr>
        <w:t>23.5</w:t>
      </w:r>
      <w:r>
        <w:rPr>
          <w:rFonts w:hint="eastAsia" w:ascii="宋体" w:hAnsi="宋体"/>
          <w:highlight w:val="none"/>
        </w:rPr>
        <w:t xml:space="preserve"> 各类资格（资质）文件提供扫描件，专用条款另有要求的除外。</w:t>
      </w:r>
      <w:bookmarkEnd w:id="54"/>
    </w:p>
    <w:p>
      <w:pPr>
        <w:ind w:firstLine="411" w:firstLineChars="196"/>
        <w:rPr>
          <w:rFonts w:ascii="宋体" w:hAnsi="宋体"/>
          <w:szCs w:val="21"/>
          <w:highlight w:val="none"/>
        </w:rPr>
      </w:pPr>
    </w:p>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投标文件的递交</w:t>
      </w:r>
    </w:p>
    <w:p>
      <w:pPr>
        <w:rPr>
          <w:rFonts w:ascii="黑体" w:hAnsi="宋体" w:eastAsia="黑体"/>
          <w:sz w:val="24"/>
          <w:highlight w:val="none"/>
        </w:rPr>
      </w:pPr>
      <w:bookmarkStart w:id="55" w:name="_Hlk72405459"/>
      <w:r>
        <w:rPr>
          <w:rFonts w:hint="eastAsia" w:ascii="黑体" w:hAnsi="宋体" w:eastAsia="黑体"/>
          <w:sz w:val="24"/>
          <w:highlight w:val="none"/>
        </w:rPr>
        <w:t>24．投标文件的保密</w:t>
      </w:r>
    </w:p>
    <w:p>
      <w:pPr>
        <w:ind w:firstLine="411" w:firstLineChars="196"/>
        <w:rPr>
          <w:rFonts w:ascii="宋体" w:hAnsi="宋体"/>
          <w:highlight w:val="none"/>
        </w:rPr>
      </w:pPr>
      <w:r>
        <w:rPr>
          <w:rFonts w:hint="eastAsia" w:ascii="宋体" w:hAnsi="宋体"/>
          <w:highlight w:val="none"/>
        </w:rPr>
        <w:t>24.1在投标文件制作完成后，生成后会选择是否加密投标文件，如不加密则直接点击生成文件即可，如需加密请插入CA锁，点击加密后生成文件，需输入CA锁密码即可加密成功。加密后会提示文件生成成功！(注意：加密的投标文件开标时须使用加密文件时使用的锁在项目规定时间内解密！)</w:t>
      </w:r>
    </w:p>
    <w:p>
      <w:pPr>
        <w:rPr>
          <w:rFonts w:ascii="宋体" w:hAnsi="宋体"/>
          <w:b/>
          <w:highlight w:val="none"/>
        </w:rPr>
      </w:pPr>
      <w:r>
        <w:rPr>
          <w:rFonts w:hint="eastAsia" w:ascii="宋体" w:hAnsi="宋体"/>
          <w:b/>
          <w:highlight w:val="none"/>
        </w:rPr>
        <w:t>24.2若采购项目出现延期情况：</w:t>
      </w:r>
    </w:p>
    <w:p>
      <w:pPr>
        <w:ind w:firstLine="422" w:firstLineChars="200"/>
        <w:rPr>
          <w:rFonts w:ascii="黑体" w:hAnsi="宋体" w:eastAsia="黑体"/>
          <w:b/>
          <w:sz w:val="24"/>
          <w:highlight w:val="none"/>
        </w:rPr>
      </w:pPr>
      <w:r>
        <w:rPr>
          <w:rFonts w:hint="eastAsia" w:ascii="宋体" w:hAnsi="宋体"/>
          <w:b/>
          <w:highlight w:val="none"/>
        </w:rPr>
        <w:t>如果供下载的招标文件有更新，投标人必须重新下载招标文件、重新制作投标文件、重新加密投标文件、重新上传投标文件。</w:t>
      </w:r>
    </w:p>
    <w:p>
      <w:pPr>
        <w:rPr>
          <w:rFonts w:ascii="黑体" w:hAnsi="宋体" w:eastAsia="黑体"/>
          <w:sz w:val="24"/>
          <w:highlight w:val="none"/>
        </w:rPr>
      </w:pPr>
      <w:r>
        <w:rPr>
          <w:rFonts w:hint="eastAsia" w:ascii="黑体" w:hAnsi="宋体" w:eastAsia="黑体"/>
          <w:sz w:val="24"/>
          <w:highlight w:val="none"/>
        </w:rPr>
        <w:t>25．上传投标文件及投标截止日期</w:t>
      </w:r>
    </w:p>
    <w:p>
      <w:pPr>
        <w:ind w:firstLine="411" w:firstLineChars="196"/>
        <w:rPr>
          <w:rFonts w:ascii="宋体" w:hAnsi="宋体"/>
          <w:highlight w:val="none"/>
        </w:rPr>
      </w:pPr>
      <w:r>
        <w:rPr>
          <w:rFonts w:hint="eastAsia" w:ascii="宋体" w:hAnsi="宋体"/>
          <w:highlight w:val="none"/>
        </w:rPr>
        <w:t>25</w:t>
      </w:r>
      <w:r>
        <w:rPr>
          <w:rFonts w:ascii="宋体" w:hAnsi="宋体"/>
          <w:highlight w:val="none"/>
        </w:rPr>
        <w:t>.</w:t>
      </w:r>
      <w:r>
        <w:rPr>
          <w:rFonts w:hint="eastAsia" w:ascii="宋体" w:hAnsi="宋体"/>
          <w:highlight w:val="none"/>
        </w:rPr>
        <w:t>1实行网上投标，</w:t>
      </w:r>
      <w:r>
        <w:rPr>
          <w:rFonts w:ascii="宋体" w:hAnsi="宋体"/>
          <w:highlight w:val="none"/>
        </w:rPr>
        <w:t>投标人必须</w:t>
      </w:r>
      <w:r>
        <w:rPr>
          <w:rFonts w:hint="eastAsia" w:ascii="宋体" w:hAnsi="宋体"/>
          <w:highlight w:val="none"/>
        </w:rPr>
        <w:t>在招标</w:t>
      </w:r>
      <w:r>
        <w:rPr>
          <w:rFonts w:ascii="宋体" w:hAnsi="宋体"/>
          <w:highlight w:val="none"/>
        </w:rPr>
        <w:t>文件规定的投标截止时间前</w:t>
      </w:r>
      <w:r>
        <w:rPr>
          <w:rFonts w:hint="eastAsia" w:ascii="宋体" w:hAnsi="宋体"/>
          <w:highlight w:val="none"/>
        </w:rPr>
        <w:t>用电子密钥登录“深圳政府采购自行采购系统（https://trade.szggzy.com/ggzy/center/#/login）”上传投标文件。如上传过程中遇到问题，可拨打采购公告中的技术支持电话。如多次上传均告失败，请在投标截止时间之前携带加密后的电子投标文件送达至</w:t>
      </w:r>
      <w:r>
        <w:rPr>
          <w:rFonts w:hint="eastAsia" w:ascii="宋体" w:hAnsi="宋体"/>
          <w:b/>
          <w:bCs/>
          <w:szCs w:val="21"/>
          <w:highlight w:val="none"/>
        </w:rPr>
        <w:t>深圳公共资源交易中心（深圳交易集团有限公司龙华分公司）（地址：深圳市龙华区观湖街道大和社区大和路288号宝观城锦鲤大厦办公楼22楼）协助上传，但上传过程中投标截止时间到达仍无法上传成功的，由投标人自行负责</w:t>
      </w:r>
      <w:r>
        <w:rPr>
          <w:rFonts w:hint="eastAsia" w:ascii="宋体" w:hAnsi="宋体"/>
          <w:highlight w:val="none"/>
        </w:rPr>
        <w:t>。</w:t>
      </w:r>
    </w:p>
    <w:p>
      <w:pPr>
        <w:ind w:firstLine="411" w:firstLineChars="196"/>
        <w:rPr>
          <w:rFonts w:ascii="宋体" w:hAnsi="宋体"/>
          <w:highlight w:val="none"/>
        </w:rPr>
      </w:pPr>
      <w:r>
        <w:rPr>
          <w:rFonts w:hint="eastAsia" w:ascii="宋体" w:hAnsi="宋体"/>
          <w:highlight w:val="none"/>
        </w:rPr>
        <w:t>25.2政府集中采购机构可以按本通用条款第13条规定，通过修改招标文件自行决定酌情延长投标截止期。在此情况下，政府集中采购机构、采购人和投标人受投标截止期制约的所有权利和义务均应延长至新的截止期。</w:t>
      </w:r>
    </w:p>
    <w:p>
      <w:pPr>
        <w:ind w:firstLine="411" w:firstLineChars="196"/>
        <w:rPr>
          <w:rFonts w:ascii="宋体" w:hAnsi="宋体"/>
          <w:highlight w:val="none"/>
        </w:rPr>
      </w:pPr>
      <w:r>
        <w:rPr>
          <w:rFonts w:hint="eastAsia" w:ascii="宋体" w:hAnsi="宋体"/>
          <w:highlight w:val="none"/>
        </w:rPr>
        <w:t>25</w:t>
      </w:r>
      <w:r>
        <w:rPr>
          <w:rFonts w:ascii="宋体" w:hAnsi="宋体"/>
          <w:highlight w:val="none"/>
        </w:rPr>
        <w:t>.</w:t>
      </w:r>
      <w:r>
        <w:rPr>
          <w:rFonts w:hint="eastAsia" w:ascii="宋体" w:hAnsi="宋体"/>
          <w:highlight w:val="none"/>
        </w:rPr>
        <w:t>3投标截止时间以后不得上传投标文件。</w:t>
      </w:r>
    </w:p>
    <w:p>
      <w:pPr>
        <w:ind w:firstLine="411" w:firstLineChars="196"/>
        <w:rPr>
          <w:rFonts w:ascii="宋体" w:hAnsi="宋体"/>
          <w:highlight w:val="none"/>
        </w:rPr>
      </w:pPr>
    </w:p>
    <w:p>
      <w:pPr>
        <w:ind w:firstLine="411" w:firstLineChars="196"/>
        <w:rPr>
          <w:rFonts w:ascii="宋体" w:hAnsi="宋体"/>
          <w:highlight w:val="none"/>
        </w:rPr>
      </w:pPr>
    </w:p>
    <w:bookmarkEnd w:id="55"/>
    <w:p>
      <w:pPr>
        <w:rPr>
          <w:rFonts w:ascii="黑体" w:hAnsi="宋体" w:eastAsia="黑体"/>
          <w:sz w:val="24"/>
          <w:highlight w:val="none"/>
        </w:rPr>
      </w:pPr>
      <w:r>
        <w:rPr>
          <w:rFonts w:hint="eastAsia" w:ascii="黑体" w:hAnsi="宋体" w:eastAsia="黑体"/>
          <w:sz w:val="24"/>
          <w:highlight w:val="none"/>
        </w:rPr>
        <w:t>26. 样品、现场演示、方案讲解</w:t>
      </w:r>
    </w:p>
    <w:p>
      <w:pPr>
        <w:ind w:firstLine="411" w:firstLineChars="196"/>
        <w:rPr>
          <w:rFonts w:ascii="宋体" w:hAnsi="宋体"/>
          <w:szCs w:val="21"/>
          <w:highlight w:val="none"/>
        </w:rPr>
      </w:pPr>
      <w:r>
        <w:rPr>
          <w:rFonts w:hint="eastAsia" w:ascii="宋体" w:hAnsi="宋体"/>
          <w:szCs w:val="21"/>
          <w:highlight w:val="none"/>
        </w:rPr>
        <w:t>26.1 样品、现场演示、方案讲解等事项在招标文件专用条款中进行规定。</w:t>
      </w:r>
    </w:p>
    <w:p>
      <w:pPr>
        <w:rPr>
          <w:rFonts w:ascii="黑体" w:hAnsi="宋体" w:eastAsia="黑体"/>
          <w:sz w:val="24"/>
          <w:highlight w:val="none"/>
        </w:rPr>
      </w:pPr>
      <w:bookmarkStart w:id="56" w:name="_Hlk72428346"/>
      <w:r>
        <w:rPr>
          <w:rFonts w:ascii="黑体" w:hAnsi="宋体" w:eastAsia="黑体"/>
          <w:sz w:val="24"/>
          <w:highlight w:val="none"/>
        </w:rPr>
        <w:t>2</w:t>
      </w:r>
      <w:r>
        <w:rPr>
          <w:rFonts w:hint="eastAsia" w:ascii="黑体" w:hAnsi="宋体" w:eastAsia="黑体"/>
          <w:sz w:val="24"/>
          <w:highlight w:val="none"/>
        </w:rPr>
        <w:t>7．</w:t>
      </w:r>
      <w:r>
        <w:rPr>
          <w:rFonts w:ascii="黑体" w:hAnsi="宋体" w:eastAsia="黑体"/>
          <w:sz w:val="24"/>
          <w:highlight w:val="none"/>
        </w:rPr>
        <w:t>投标文件的修改和撤销</w:t>
      </w:r>
    </w:p>
    <w:p>
      <w:pPr>
        <w:ind w:firstLine="411" w:firstLineChars="196"/>
        <w:rPr>
          <w:rFonts w:ascii="宋体" w:hAnsi="宋体"/>
          <w:highlight w:val="none"/>
        </w:rPr>
      </w:pPr>
      <w:r>
        <w:rPr>
          <w:rFonts w:ascii="宋体" w:hAnsi="宋体"/>
          <w:highlight w:val="none"/>
        </w:rPr>
        <w:t>2</w:t>
      </w:r>
      <w:r>
        <w:rPr>
          <w:rFonts w:hint="eastAsia" w:ascii="宋体" w:hAnsi="宋体"/>
          <w:highlight w:val="none"/>
        </w:rPr>
        <w:t>7</w:t>
      </w:r>
      <w:r>
        <w:rPr>
          <w:rFonts w:ascii="宋体" w:hAnsi="宋体"/>
          <w:highlight w:val="none"/>
        </w:rPr>
        <w:t>.</w:t>
      </w:r>
      <w:r>
        <w:rPr>
          <w:rFonts w:hint="eastAsia" w:ascii="宋体" w:hAnsi="宋体"/>
          <w:highlight w:val="none"/>
        </w:rPr>
        <w:t>1</w:t>
      </w:r>
      <w:r>
        <w:rPr>
          <w:rFonts w:ascii="宋体" w:hAnsi="宋体"/>
          <w:highlight w:val="none"/>
        </w:rPr>
        <w:t>投标方在提交投标文件后可对其投标文件进行修改</w:t>
      </w:r>
      <w:r>
        <w:rPr>
          <w:rFonts w:hint="eastAsia" w:ascii="宋体" w:hAnsi="宋体"/>
          <w:highlight w:val="none"/>
        </w:rPr>
        <w:t>并重新上传投标文件</w:t>
      </w:r>
      <w:r>
        <w:rPr>
          <w:rFonts w:ascii="宋体" w:hAnsi="宋体"/>
          <w:highlight w:val="none"/>
        </w:rPr>
        <w:t>或</w:t>
      </w:r>
      <w:r>
        <w:rPr>
          <w:rFonts w:hint="eastAsia" w:ascii="宋体" w:hAnsi="宋体"/>
          <w:highlight w:val="none"/>
        </w:rPr>
        <w:t>在网上进行</w:t>
      </w:r>
      <w:r>
        <w:rPr>
          <w:rFonts w:ascii="宋体" w:hAnsi="宋体"/>
          <w:highlight w:val="none"/>
        </w:rPr>
        <w:t>撤销</w:t>
      </w:r>
      <w:r>
        <w:rPr>
          <w:rFonts w:hint="eastAsia" w:ascii="宋体" w:hAnsi="宋体"/>
          <w:highlight w:val="none"/>
        </w:rPr>
        <w:t>投标的操作</w:t>
      </w:r>
      <w:r>
        <w:rPr>
          <w:rFonts w:ascii="宋体" w:hAnsi="宋体"/>
          <w:highlight w:val="none"/>
        </w:rPr>
        <w:t>。</w:t>
      </w:r>
    </w:p>
    <w:p>
      <w:pPr>
        <w:ind w:firstLine="411" w:firstLineChars="196"/>
        <w:rPr>
          <w:rFonts w:ascii="宋体" w:hAnsi="宋体"/>
          <w:highlight w:val="none"/>
        </w:rPr>
      </w:pPr>
      <w:r>
        <w:rPr>
          <w:rFonts w:ascii="宋体" w:hAnsi="宋体"/>
          <w:highlight w:val="none"/>
        </w:rPr>
        <w:t>2</w:t>
      </w:r>
      <w:r>
        <w:rPr>
          <w:rFonts w:hint="eastAsia" w:ascii="宋体" w:hAnsi="宋体"/>
          <w:highlight w:val="none"/>
        </w:rPr>
        <w:t>7</w:t>
      </w:r>
      <w:r>
        <w:rPr>
          <w:rFonts w:ascii="宋体" w:hAnsi="宋体"/>
          <w:highlight w:val="none"/>
        </w:rPr>
        <w:t>.</w:t>
      </w:r>
      <w:r>
        <w:rPr>
          <w:rFonts w:hint="eastAsia" w:ascii="宋体" w:hAnsi="宋体"/>
          <w:highlight w:val="none"/>
        </w:rPr>
        <w:t>2</w:t>
      </w:r>
      <w:r>
        <w:rPr>
          <w:rFonts w:ascii="宋体" w:hAnsi="宋体"/>
          <w:highlight w:val="none"/>
        </w:rPr>
        <w:t>投标截止时间以后不得修改投标文件。</w:t>
      </w:r>
    </w:p>
    <w:p>
      <w:pPr>
        <w:ind w:firstLine="411" w:firstLineChars="196"/>
        <w:rPr>
          <w:rFonts w:ascii="宋体" w:hAnsi="宋体"/>
          <w:highlight w:val="none"/>
        </w:rPr>
      </w:pPr>
      <w:r>
        <w:rPr>
          <w:rFonts w:ascii="宋体" w:hAnsi="宋体"/>
          <w:highlight w:val="none"/>
        </w:rPr>
        <w:t>2</w:t>
      </w:r>
      <w:r>
        <w:rPr>
          <w:rFonts w:hint="eastAsia" w:ascii="宋体" w:hAnsi="宋体"/>
          <w:highlight w:val="none"/>
        </w:rPr>
        <w:t>7</w:t>
      </w:r>
      <w:r>
        <w:rPr>
          <w:rFonts w:ascii="宋体" w:hAnsi="宋体"/>
          <w:highlight w:val="none"/>
        </w:rPr>
        <w:t>.</w:t>
      </w:r>
      <w:r>
        <w:rPr>
          <w:rFonts w:hint="eastAsia" w:ascii="宋体" w:hAnsi="宋体"/>
          <w:highlight w:val="none"/>
        </w:rPr>
        <w:t>3从投标截止期至投标人在投标文件中确定的投标有效期之间的这段时间内，投标人不得撤回其投标。</w:t>
      </w:r>
    </w:p>
    <w:p>
      <w:pPr>
        <w:ind w:firstLine="411" w:firstLineChars="196"/>
        <w:rPr>
          <w:rFonts w:ascii="宋体" w:hAnsi="宋体"/>
          <w:szCs w:val="21"/>
          <w:highlight w:val="none"/>
        </w:rPr>
      </w:pPr>
      <w:r>
        <w:rPr>
          <w:rFonts w:hint="eastAsia" w:ascii="宋体" w:hAnsi="宋体"/>
          <w:szCs w:val="21"/>
          <w:highlight w:val="none"/>
        </w:rPr>
        <w:t>27.4政府集中采购机构不退还投标文件，专用条款另有规定的除外。</w:t>
      </w:r>
    </w:p>
    <w:bookmarkEnd w:id="56"/>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开标</w:t>
      </w:r>
    </w:p>
    <w:p>
      <w:pPr>
        <w:rPr>
          <w:rFonts w:ascii="黑体" w:hAnsi="宋体" w:eastAsia="黑体"/>
          <w:sz w:val="24"/>
          <w:highlight w:val="none"/>
        </w:rPr>
      </w:pPr>
      <w:r>
        <w:rPr>
          <w:rFonts w:hint="eastAsia" w:ascii="黑体" w:hAnsi="宋体" w:eastAsia="黑体"/>
          <w:sz w:val="24"/>
          <w:highlight w:val="none"/>
        </w:rPr>
        <w:t>28．开标</w:t>
      </w:r>
    </w:p>
    <w:p>
      <w:pPr>
        <w:ind w:firstLine="359" w:firstLineChars="171"/>
        <w:rPr>
          <w:rFonts w:ascii="宋体" w:hAnsi="宋体"/>
          <w:szCs w:val="21"/>
          <w:highlight w:val="none"/>
        </w:rPr>
      </w:pPr>
      <w:r>
        <w:rPr>
          <w:rFonts w:ascii="宋体" w:hAnsi="宋体"/>
          <w:szCs w:val="21"/>
          <w:highlight w:val="none"/>
        </w:rPr>
        <w:t>2</w:t>
      </w:r>
      <w:r>
        <w:rPr>
          <w:rFonts w:hint="eastAsia" w:ascii="宋体" w:hAnsi="宋体"/>
          <w:szCs w:val="21"/>
          <w:highlight w:val="none"/>
        </w:rPr>
        <w:t>8</w:t>
      </w:r>
      <w:r>
        <w:rPr>
          <w:rFonts w:ascii="宋体" w:hAnsi="宋体"/>
          <w:szCs w:val="21"/>
          <w:highlight w:val="none"/>
        </w:rPr>
        <w:t>.</w:t>
      </w:r>
      <w:r>
        <w:rPr>
          <w:rFonts w:hint="eastAsia" w:ascii="宋体" w:hAnsi="宋体"/>
          <w:szCs w:val="21"/>
          <w:highlight w:val="none"/>
        </w:rPr>
        <w:t>1投标人须在开标当日的开标时间至解密截止时间内进行解密，逾期未解密的作无效处理。解密方法：登录“</w:t>
      </w:r>
      <w:r>
        <w:rPr>
          <w:rFonts w:hint="eastAsia" w:ascii="宋体" w:hAnsi="宋体"/>
          <w:highlight w:val="none"/>
        </w:rPr>
        <w:t>深圳政府采购自行采购系统（https://trade.szggzy.com/ggzy/center/#/login）</w:t>
      </w:r>
      <w:r>
        <w:rPr>
          <w:rFonts w:hint="eastAsia" w:ascii="宋体" w:hAnsi="宋体"/>
          <w:szCs w:val="21"/>
          <w:highlight w:val="none"/>
        </w:rPr>
        <w:t>”，使用本单位制作电子投标文件同一个电子密钥进行在线解密、查询开标情况。</w:t>
      </w:r>
    </w:p>
    <w:p>
      <w:pPr>
        <w:ind w:firstLine="315" w:firstLineChars="150"/>
        <w:rPr>
          <w:rFonts w:ascii="宋体" w:hAnsi="宋体"/>
          <w:szCs w:val="21"/>
          <w:highlight w:val="none"/>
        </w:rPr>
      </w:pPr>
      <w:r>
        <w:rPr>
          <w:rFonts w:hint="eastAsia" w:ascii="宋体" w:hAnsi="宋体"/>
          <w:szCs w:val="21"/>
          <w:highlight w:val="none"/>
        </w:rPr>
        <w:t>28.2政府集中采购机构将在满足开标条件（①解密时间结束，解密后的投标供应商数量满足开标要求或②解密时间结束前所有投标供应商均完成投标文件解密）后，对投标文件进行开标，并在网上公布开标结果。</w:t>
      </w:r>
    </w:p>
    <w:p>
      <w:pPr>
        <w:ind w:firstLine="315" w:firstLineChars="150"/>
        <w:rPr>
          <w:rFonts w:ascii="宋体" w:hAnsi="宋体"/>
          <w:szCs w:val="21"/>
          <w:highlight w:val="none"/>
        </w:rPr>
      </w:pPr>
    </w:p>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评审要求</w:t>
      </w:r>
    </w:p>
    <w:p>
      <w:pPr>
        <w:rPr>
          <w:rFonts w:ascii="黑体" w:hAnsi="宋体" w:eastAsia="黑体"/>
          <w:sz w:val="24"/>
          <w:highlight w:val="none"/>
        </w:rPr>
      </w:pPr>
      <w:r>
        <w:rPr>
          <w:rFonts w:hint="eastAsia" w:ascii="黑体" w:hAnsi="宋体" w:eastAsia="黑体"/>
          <w:sz w:val="24"/>
          <w:highlight w:val="none"/>
        </w:rPr>
        <w:t>29．评审委员会组成</w:t>
      </w:r>
    </w:p>
    <w:p>
      <w:pPr>
        <w:ind w:firstLine="411" w:firstLineChars="196"/>
        <w:rPr>
          <w:rFonts w:ascii="宋体" w:hAnsi="宋体"/>
          <w:highlight w:val="none"/>
        </w:rPr>
      </w:pPr>
      <w:r>
        <w:rPr>
          <w:rFonts w:hint="eastAsia" w:ascii="宋体" w:hAnsi="宋体"/>
          <w:highlight w:val="none"/>
        </w:rPr>
        <w:t>29.1网上开标结束后召开评审会议，</w:t>
      </w:r>
      <w:r>
        <w:rPr>
          <w:rFonts w:hint="eastAsia" w:ascii="宋体" w:hAnsi="宋体"/>
          <w:szCs w:val="21"/>
          <w:highlight w:val="none"/>
        </w:rPr>
        <w:t>评审委员会</w:t>
      </w:r>
      <w:r>
        <w:rPr>
          <w:rFonts w:hint="eastAsia" w:ascii="宋体" w:hAnsi="宋体"/>
          <w:highlight w:val="none"/>
        </w:rPr>
        <w:t>由政府集中采购机构依法组建，负责评审活动。</w:t>
      </w:r>
    </w:p>
    <w:p>
      <w:pPr>
        <w:ind w:firstLine="411" w:firstLineChars="196"/>
        <w:rPr>
          <w:rFonts w:ascii="宋体" w:hAnsi="宋体"/>
          <w:highlight w:val="none"/>
        </w:rPr>
      </w:pPr>
      <w:bookmarkStart w:id="57" w:name="_Hlk72436580"/>
      <w:r>
        <w:rPr>
          <w:rFonts w:hint="eastAsia" w:ascii="宋体" w:hAnsi="宋体"/>
          <w:highlight w:val="none"/>
        </w:rPr>
        <w:t>评审委员会由采购人代表和评审专家组成，成员人数应当为5人以上单数（部分条件下为7人以上单数），其中评审专家不得少于成员总数的三分之二。</w:t>
      </w:r>
      <w:bookmarkEnd w:id="57"/>
      <w:r>
        <w:rPr>
          <w:rFonts w:hint="eastAsia" w:ascii="宋体" w:hAnsi="宋体"/>
          <w:highlight w:val="none"/>
        </w:rPr>
        <w:t>评定</w:t>
      </w:r>
      <w:r>
        <w:rPr>
          <w:rFonts w:hint="eastAsia"/>
          <w:highlight w:val="none"/>
        </w:rPr>
        <w:t>分离项目</w:t>
      </w:r>
      <w:r>
        <w:rPr>
          <w:highlight w:val="none"/>
        </w:rPr>
        <w:t>评审专家</w:t>
      </w:r>
      <w:r>
        <w:rPr>
          <w:rFonts w:hint="eastAsia"/>
          <w:highlight w:val="none"/>
        </w:rPr>
        <w:t>均</w:t>
      </w:r>
      <w:r>
        <w:rPr>
          <w:highlight w:val="none"/>
        </w:rPr>
        <w:t>由</w:t>
      </w:r>
      <w:r>
        <w:rPr>
          <w:rFonts w:hint="eastAsia"/>
          <w:highlight w:val="none"/>
        </w:rPr>
        <w:t>评审专家组成。</w:t>
      </w:r>
      <w:r>
        <w:rPr>
          <w:rFonts w:hint="eastAsia" w:ascii="宋体" w:hAnsi="宋体"/>
          <w:szCs w:val="21"/>
          <w:highlight w:val="none"/>
        </w:rPr>
        <w:t>评审专家一般是</w:t>
      </w:r>
      <w:r>
        <w:rPr>
          <w:rFonts w:hint="eastAsia" w:ascii="宋体" w:hAnsi="宋体"/>
          <w:highlight w:val="none"/>
        </w:rPr>
        <w:t>从深圳市政府采购评审专家库中随机抽取。采购人代表须持本单位签发的《评审授权书》参加评审。</w:t>
      </w:r>
    </w:p>
    <w:p>
      <w:pPr>
        <w:ind w:firstLine="411" w:firstLineChars="196"/>
        <w:rPr>
          <w:rFonts w:ascii="宋体" w:hAnsi="宋体"/>
          <w:highlight w:val="none"/>
        </w:rPr>
      </w:pPr>
      <w:r>
        <w:rPr>
          <w:rFonts w:hint="eastAsia" w:ascii="宋体" w:hAnsi="宋体"/>
          <w:highlight w:val="none"/>
        </w:rPr>
        <w:t>29.2评审定标应当遵循公平、公正、科学、择优的原则。</w:t>
      </w:r>
    </w:p>
    <w:p>
      <w:pPr>
        <w:ind w:firstLine="411" w:firstLineChars="196"/>
        <w:rPr>
          <w:rFonts w:ascii="宋体" w:hAnsi="宋体"/>
          <w:highlight w:val="none"/>
        </w:rPr>
      </w:pPr>
      <w:r>
        <w:rPr>
          <w:rFonts w:hint="eastAsia" w:ascii="宋体" w:hAnsi="宋体"/>
          <w:highlight w:val="none"/>
        </w:rPr>
        <w:t>29.3评审活动依法进行，任何单位和个人不得非法干预评标过程和结果。</w:t>
      </w:r>
    </w:p>
    <w:p>
      <w:pPr>
        <w:ind w:firstLine="411" w:firstLineChars="196"/>
        <w:rPr>
          <w:rFonts w:ascii="宋体" w:hAnsi="宋体"/>
          <w:highlight w:val="none"/>
        </w:rPr>
      </w:pPr>
      <w:r>
        <w:rPr>
          <w:rFonts w:hint="eastAsia" w:ascii="宋体" w:hAnsi="宋体"/>
          <w:highlight w:val="none"/>
        </w:rPr>
        <w:t>29.4评审过程中不允许违背评标程序或采用招标文件未载明的评标方法或评标因素进行评标。</w:t>
      </w:r>
    </w:p>
    <w:p>
      <w:pPr>
        <w:ind w:firstLine="411" w:firstLineChars="196"/>
        <w:rPr>
          <w:rFonts w:ascii="宋体" w:hAnsi="宋体"/>
          <w:bCs/>
          <w:highlight w:val="none"/>
        </w:rPr>
      </w:pPr>
      <w:r>
        <w:rPr>
          <w:rFonts w:hint="eastAsia" w:ascii="宋体" w:hAnsi="宋体"/>
          <w:bCs/>
          <w:highlight w:val="none"/>
        </w:rPr>
        <w:t>29.5 开标后，直到签订合同为止，凡属于对投标文件的审查、澄清、评价和比较的有关资料以及中标候选人的推荐情况、与评审有关的其他任何情况均严格保密（</w:t>
      </w:r>
      <w:r>
        <w:rPr>
          <w:rFonts w:hint="eastAsia"/>
          <w:highlight w:val="none"/>
        </w:rPr>
        <w:t>信息公开的内容除外</w:t>
      </w:r>
      <w:r>
        <w:rPr>
          <w:rFonts w:hint="eastAsia" w:ascii="宋体" w:hAnsi="宋体"/>
          <w:bCs/>
          <w:highlight w:val="none"/>
        </w:rPr>
        <w:t>）。</w:t>
      </w:r>
    </w:p>
    <w:p>
      <w:pPr>
        <w:rPr>
          <w:rFonts w:ascii="黑体" w:hAnsi="宋体" w:eastAsia="黑体"/>
          <w:sz w:val="24"/>
          <w:highlight w:val="none"/>
        </w:rPr>
      </w:pPr>
      <w:r>
        <w:rPr>
          <w:rFonts w:hint="eastAsia" w:ascii="黑体" w:hAnsi="宋体" w:eastAsia="黑体"/>
          <w:sz w:val="24"/>
          <w:highlight w:val="none"/>
        </w:rPr>
        <w:t>30．向评审委员会提供的资料</w:t>
      </w:r>
    </w:p>
    <w:p>
      <w:pPr>
        <w:ind w:firstLine="411" w:firstLineChars="196"/>
        <w:rPr>
          <w:rFonts w:ascii="宋体" w:hAnsi="宋体"/>
          <w:highlight w:val="none"/>
        </w:rPr>
      </w:pPr>
      <w:r>
        <w:rPr>
          <w:rFonts w:hint="eastAsia" w:ascii="宋体" w:hAnsi="宋体"/>
          <w:highlight w:val="none"/>
        </w:rPr>
        <w:t>30.1公开发布的招标文件，包括图纸、服务清单、答疑文件等；</w:t>
      </w:r>
    </w:p>
    <w:p>
      <w:pPr>
        <w:ind w:firstLine="411" w:firstLineChars="196"/>
        <w:rPr>
          <w:rFonts w:ascii="宋体" w:hAnsi="宋体"/>
          <w:highlight w:val="none"/>
        </w:rPr>
      </w:pPr>
      <w:r>
        <w:rPr>
          <w:rFonts w:hint="eastAsia" w:ascii="宋体" w:hAnsi="宋体"/>
          <w:highlight w:val="none"/>
        </w:rPr>
        <w:t>30.2其他评标必须的资料。</w:t>
      </w:r>
    </w:p>
    <w:p>
      <w:pPr>
        <w:ind w:firstLine="411" w:firstLineChars="196"/>
        <w:rPr>
          <w:rFonts w:ascii="宋体" w:hAnsi="宋体"/>
          <w:highlight w:val="none"/>
        </w:rPr>
      </w:pPr>
      <w:r>
        <w:rPr>
          <w:rFonts w:hint="eastAsia" w:ascii="宋体" w:hAnsi="宋体"/>
          <w:highlight w:val="none"/>
        </w:rPr>
        <w:t>30.3</w:t>
      </w:r>
      <w:r>
        <w:rPr>
          <w:rFonts w:hint="eastAsia" w:ascii="宋体" w:hAnsi="宋体"/>
          <w:szCs w:val="21"/>
          <w:highlight w:val="none"/>
        </w:rPr>
        <w:t>评审委员会</w:t>
      </w:r>
      <w:r>
        <w:rPr>
          <w:rFonts w:hint="eastAsia" w:ascii="宋体" w:hAnsi="宋体"/>
          <w:highlight w:val="none"/>
        </w:rPr>
        <w:t>应当认真研究招标文件，至少应了解熟悉以下内容：</w:t>
      </w:r>
    </w:p>
    <w:p>
      <w:pPr>
        <w:ind w:firstLine="411" w:firstLineChars="196"/>
        <w:rPr>
          <w:rFonts w:ascii="宋体" w:hAnsi="宋体"/>
          <w:highlight w:val="none"/>
        </w:rPr>
      </w:pPr>
      <w:r>
        <w:rPr>
          <w:rFonts w:hint="eastAsia" w:ascii="宋体" w:hAnsi="宋体"/>
          <w:highlight w:val="none"/>
        </w:rPr>
        <w:t>（1）招标的目的；</w:t>
      </w:r>
    </w:p>
    <w:p>
      <w:pPr>
        <w:ind w:firstLine="411" w:firstLineChars="196"/>
        <w:rPr>
          <w:rFonts w:ascii="宋体" w:hAnsi="宋体"/>
          <w:highlight w:val="none"/>
        </w:rPr>
      </w:pPr>
      <w:r>
        <w:rPr>
          <w:rFonts w:hint="eastAsia" w:ascii="宋体" w:hAnsi="宋体"/>
          <w:highlight w:val="none"/>
        </w:rPr>
        <w:t>（2）招标项目需求的范围和性质；</w:t>
      </w:r>
    </w:p>
    <w:p>
      <w:pPr>
        <w:ind w:firstLine="411" w:firstLineChars="196"/>
        <w:rPr>
          <w:rFonts w:ascii="宋体" w:hAnsi="宋体"/>
          <w:highlight w:val="none"/>
        </w:rPr>
      </w:pPr>
      <w:r>
        <w:rPr>
          <w:rFonts w:hint="eastAsia" w:ascii="宋体" w:hAnsi="宋体"/>
          <w:highlight w:val="none"/>
        </w:rPr>
        <w:t>（3）招标文件规定的投标人的资格、财政预算限额、商务条款；</w:t>
      </w:r>
    </w:p>
    <w:p>
      <w:pPr>
        <w:ind w:firstLine="411" w:firstLineChars="196"/>
        <w:rPr>
          <w:rFonts w:ascii="宋体" w:hAnsi="宋体"/>
          <w:highlight w:val="none"/>
        </w:rPr>
      </w:pPr>
      <w:r>
        <w:rPr>
          <w:rFonts w:hint="eastAsia" w:ascii="宋体" w:hAnsi="宋体"/>
          <w:highlight w:val="none"/>
        </w:rPr>
        <w:t>（4）招标文件规定的评标程序、评标方法和评标因素；</w:t>
      </w:r>
    </w:p>
    <w:p>
      <w:pPr>
        <w:ind w:firstLine="411" w:firstLineChars="196"/>
        <w:rPr>
          <w:rFonts w:ascii="宋体" w:hAnsi="宋体"/>
          <w:highlight w:val="none"/>
        </w:rPr>
      </w:pPr>
      <w:r>
        <w:rPr>
          <w:rFonts w:hint="eastAsia" w:ascii="宋体" w:hAnsi="宋体"/>
          <w:highlight w:val="none"/>
        </w:rPr>
        <w:t>（5）招标文件所列示的资格性审查表及符合性审查表。</w:t>
      </w:r>
    </w:p>
    <w:p>
      <w:pPr>
        <w:rPr>
          <w:rFonts w:ascii="黑体" w:hAnsi="宋体" w:eastAsia="黑体"/>
          <w:sz w:val="24"/>
          <w:highlight w:val="none"/>
        </w:rPr>
      </w:pPr>
      <w:r>
        <w:rPr>
          <w:rFonts w:hint="eastAsia" w:ascii="黑体" w:hAnsi="宋体" w:eastAsia="黑体"/>
          <w:sz w:val="24"/>
          <w:highlight w:val="none"/>
        </w:rPr>
        <w:t>31．独立评审</w:t>
      </w:r>
    </w:p>
    <w:p>
      <w:pPr>
        <w:ind w:firstLine="411" w:firstLineChars="196"/>
        <w:rPr>
          <w:rFonts w:ascii="宋体" w:hAnsi="宋体"/>
          <w:bCs/>
          <w:highlight w:val="none"/>
        </w:rPr>
      </w:pPr>
      <w:r>
        <w:rPr>
          <w:rFonts w:hint="eastAsia" w:ascii="宋体" w:hAnsi="宋体"/>
          <w:bCs/>
          <w:highlight w:val="none"/>
        </w:rPr>
        <w:t>3</w:t>
      </w:r>
      <w:r>
        <w:rPr>
          <w:rFonts w:ascii="宋体" w:hAnsi="宋体"/>
          <w:bCs/>
          <w:highlight w:val="none"/>
        </w:rPr>
        <w:t>1</w:t>
      </w:r>
      <w:r>
        <w:rPr>
          <w:rFonts w:hint="eastAsia" w:ascii="宋体" w:hAnsi="宋体"/>
          <w:bCs/>
          <w:highlight w:val="none"/>
        </w:rPr>
        <w:t>.1</w:t>
      </w:r>
      <w:r>
        <w:rPr>
          <w:rFonts w:hint="eastAsia" w:ascii="宋体" w:hAnsi="宋体"/>
          <w:szCs w:val="21"/>
          <w:highlight w:val="none"/>
        </w:rPr>
        <w:t>评审委员会</w:t>
      </w:r>
      <w:r>
        <w:rPr>
          <w:rFonts w:hint="eastAsia" w:ascii="宋体" w:hAnsi="宋体"/>
          <w:bCs/>
          <w:highlight w:val="none"/>
        </w:rPr>
        <w:t>成员的评标活动应当独立进行，并应遵循投标文件初审、澄清有关问题、比较与评价、确定中标供应商、编写评审报告的工作程序。</w:t>
      </w:r>
    </w:p>
    <w:p>
      <w:pPr>
        <w:ind w:firstLine="411" w:firstLineChars="196"/>
        <w:rPr>
          <w:rFonts w:ascii="宋体" w:hAnsi="宋体"/>
          <w:bCs/>
          <w:szCs w:val="21"/>
          <w:highlight w:val="none"/>
        </w:rPr>
      </w:pPr>
    </w:p>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评审程序及评审方法</w:t>
      </w:r>
    </w:p>
    <w:p>
      <w:pPr>
        <w:rPr>
          <w:rFonts w:ascii="黑体" w:hAnsi="宋体" w:eastAsia="黑体"/>
          <w:sz w:val="24"/>
          <w:highlight w:val="none"/>
        </w:rPr>
      </w:pPr>
      <w:r>
        <w:rPr>
          <w:rFonts w:hint="eastAsia" w:ascii="黑体" w:hAnsi="宋体" w:eastAsia="黑体"/>
          <w:sz w:val="24"/>
          <w:highlight w:val="none"/>
        </w:rPr>
        <w:t>32．投标文件初审</w:t>
      </w:r>
    </w:p>
    <w:p>
      <w:pPr>
        <w:ind w:firstLine="411" w:firstLineChars="196"/>
        <w:rPr>
          <w:rFonts w:ascii="宋体" w:hAnsi="宋体"/>
          <w:highlight w:val="none"/>
        </w:rPr>
      </w:pPr>
      <w:r>
        <w:rPr>
          <w:rFonts w:hint="eastAsia" w:ascii="宋体" w:hAnsi="宋体"/>
          <w:highlight w:val="none"/>
        </w:rPr>
        <w:t>32.1投标文件初审包括资格性审查和符合性审查。</w:t>
      </w:r>
    </w:p>
    <w:p>
      <w:pPr>
        <w:ind w:firstLine="411" w:firstLineChars="196"/>
        <w:rPr>
          <w:rFonts w:ascii="宋体" w:hAnsi="宋体"/>
          <w:highlight w:val="none"/>
        </w:rPr>
      </w:pPr>
      <w:r>
        <w:rPr>
          <w:rFonts w:hint="eastAsia" w:ascii="宋体" w:hAnsi="宋体"/>
          <w:highlight w:val="none"/>
        </w:rPr>
        <w:t>资格性审查：依据法律法规和招标文件的规定，对投标文件中的资格证明等进行审查，以确定投标供应商是否具备投标资格。</w:t>
      </w:r>
    </w:p>
    <w:p>
      <w:pPr>
        <w:ind w:firstLine="411" w:firstLineChars="196"/>
        <w:rPr>
          <w:rFonts w:ascii="宋体" w:hAnsi="宋体"/>
          <w:highlight w:val="none"/>
        </w:rPr>
      </w:pPr>
      <w:r>
        <w:rPr>
          <w:rFonts w:hint="eastAsia" w:ascii="宋体" w:hAnsi="宋体"/>
          <w:highlight w:val="none"/>
        </w:rPr>
        <w:t>符合性审查：依据招标文件的规定，对投标文件的有效性、完整性和对招标文件的响应程度进行审查，以确定是否满足符合性审查的要求。</w:t>
      </w:r>
    </w:p>
    <w:p>
      <w:pPr>
        <w:ind w:firstLine="411" w:firstLineChars="196"/>
        <w:rPr>
          <w:rFonts w:ascii="宋体" w:hAnsi="宋体"/>
          <w:highlight w:val="none"/>
        </w:rPr>
      </w:pPr>
      <w:r>
        <w:rPr>
          <w:rFonts w:hint="eastAsia" w:ascii="宋体" w:hAnsi="宋体"/>
          <w:highlight w:val="none"/>
        </w:rPr>
        <w:t>32.2 投标文件初审内容请详见《资格性审查表》和《符合性审查表》部分。投标人若有一条审查不通过则按投标无效处理。</w:t>
      </w:r>
    </w:p>
    <w:p>
      <w:pPr>
        <w:ind w:firstLine="411" w:firstLineChars="196"/>
        <w:rPr>
          <w:rFonts w:ascii="宋体" w:hAnsi="宋体"/>
          <w:bCs/>
          <w:highlight w:val="none"/>
        </w:rPr>
      </w:pPr>
      <w:r>
        <w:rPr>
          <w:rFonts w:hint="eastAsia" w:ascii="宋体" w:hAnsi="宋体"/>
          <w:bCs/>
          <w:highlight w:val="none"/>
        </w:rPr>
        <w:t>32.3 投标文件初审中关于供应商家数的计算:</w:t>
      </w:r>
    </w:p>
    <w:p>
      <w:pPr>
        <w:ind w:firstLine="411" w:firstLineChars="196"/>
        <w:rPr>
          <w:rFonts w:ascii="宋体" w:hAnsi="宋体"/>
          <w:bCs/>
          <w:highlight w:val="none"/>
        </w:rPr>
      </w:pPr>
      <w:r>
        <w:rPr>
          <w:rFonts w:hint="eastAsia" w:ascii="宋体" w:hAnsi="宋体"/>
          <w:bCs/>
          <w:highlight w:val="none"/>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pPr>
        <w:ind w:firstLine="411" w:firstLineChars="196"/>
        <w:rPr>
          <w:rFonts w:ascii="宋体" w:hAnsi="宋体"/>
          <w:bCs/>
          <w:highlight w:val="none"/>
        </w:rPr>
      </w:pPr>
      <w:r>
        <w:rPr>
          <w:rFonts w:hint="eastAsia" w:ascii="宋体" w:hAnsi="宋体"/>
          <w:bCs/>
          <w:highlight w:val="none"/>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hint="eastAsia" w:ascii="宋体" w:hAnsi="宋体"/>
          <w:bCs/>
          <w:szCs w:val="21"/>
          <w:highlight w:val="none"/>
        </w:rPr>
        <w:t>评审委员会</w:t>
      </w:r>
      <w:r>
        <w:rPr>
          <w:rFonts w:hint="eastAsia" w:ascii="宋体" w:hAnsi="宋体"/>
          <w:bCs/>
          <w:highlight w:val="none"/>
        </w:rPr>
        <w:t>按照招标文件规定的方式确定一个投标人获得中标人推荐资格，招标文件未规定的采取随机抽取方式确定，其他同品牌投标人不作为中标候选人。</w:t>
      </w:r>
    </w:p>
    <w:p>
      <w:pPr>
        <w:ind w:firstLine="411" w:firstLineChars="196"/>
        <w:rPr>
          <w:rFonts w:ascii="宋体" w:hAnsi="宋体"/>
          <w:bCs/>
          <w:highlight w:val="none"/>
        </w:rPr>
      </w:pPr>
      <w:r>
        <w:rPr>
          <w:rFonts w:hint="eastAsia" w:ascii="宋体" w:hAnsi="宋体"/>
          <w:bCs/>
          <w:highlight w:val="none"/>
        </w:rPr>
        <w:t>32.3.3非单一产品采购项目，采购人应当根据采购项目技术构成、产品价格比重等合理确定核心产品，并在招标文件中载明。多家投标人提供的核心产品品牌相同的，按前两款规定处理。</w:t>
      </w:r>
    </w:p>
    <w:p>
      <w:pPr>
        <w:ind w:firstLine="411" w:firstLineChars="196"/>
        <w:rPr>
          <w:rFonts w:ascii="宋体" w:hAnsi="宋体"/>
          <w:highlight w:val="none"/>
        </w:rPr>
      </w:pPr>
      <w:r>
        <w:rPr>
          <w:rFonts w:hint="eastAsia" w:ascii="宋体" w:hAnsi="宋体"/>
          <w:highlight w:val="none"/>
        </w:rPr>
        <w:t>32.4投标人投标文件作无效处理的情形，具体包括但不限于以下：</w:t>
      </w:r>
    </w:p>
    <w:p>
      <w:pPr>
        <w:ind w:firstLine="411" w:firstLineChars="196"/>
        <w:rPr>
          <w:highlight w:val="none"/>
        </w:rPr>
      </w:pPr>
      <w:r>
        <w:rPr>
          <w:rFonts w:hint="eastAsia" w:ascii="宋体" w:hAnsi="宋体"/>
          <w:highlight w:val="none"/>
        </w:rPr>
        <w:t>32.4.1</w:t>
      </w:r>
      <w:r>
        <w:rPr>
          <w:rFonts w:hint="eastAsia"/>
          <w:highlight w:val="none"/>
        </w:rPr>
        <w:t>不同投标人的投标文件由同一单位或者同一个人编制，或者由同一个人分阶段参与编制；</w:t>
      </w:r>
    </w:p>
    <w:p>
      <w:pPr>
        <w:ind w:firstLine="411" w:firstLineChars="196"/>
        <w:rPr>
          <w:highlight w:val="none"/>
        </w:rPr>
      </w:pPr>
      <w:r>
        <w:rPr>
          <w:rFonts w:ascii="宋体" w:hAnsi="宋体"/>
          <w:highlight w:val="none"/>
        </w:rPr>
        <w:t>32.4.</w:t>
      </w:r>
      <w:r>
        <w:rPr>
          <w:rFonts w:hint="eastAsia" w:ascii="宋体" w:hAnsi="宋体"/>
          <w:highlight w:val="none"/>
        </w:rPr>
        <w:t>2</w:t>
      </w:r>
      <w:r>
        <w:rPr>
          <w:rFonts w:hint="eastAsia"/>
          <w:highlight w:val="none"/>
        </w:rPr>
        <w:t>不同投标人委托同一单位或者个人办理投标事宜；</w:t>
      </w:r>
    </w:p>
    <w:p>
      <w:pPr>
        <w:ind w:firstLine="411" w:firstLineChars="196"/>
        <w:rPr>
          <w:rFonts w:ascii="宋体" w:hAnsi="宋体"/>
          <w:highlight w:val="none"/>
        </w:rPr>
      </w:pPr>
      <w:r>
        <w:rPr>
          <w:rFonts w:hint="eastAsia" w:ascii="宋体" w:hAnsi="宋体"/>
          <w:highlight w:val="none"/>
        </w:rPr>
        <w:t>32.4.3不同投标人的投标文件载明的项目管理成员或者联系人员为同一人；</w:t>
      </w:r>
    </w:p>
    <w:p>
      <w:pPr>
        <w:ind w:firstLine="411" w:firstLineChars="196"/>
        <w:rPr>
          <w:rFonts w:ascii="宋体" w:hAnsi="宋体"/>
          <w:highlight w:val="none"/>
        </w:rPr>
      </w:pPr>
      <w:r>
        <w:rPr>
          <w:rFonts w:hint="eastAsia" w:ascii="宋体" w:hAnsi="宋体"/>
          <w:highlight w:val="none"/>
        </w:rPr>
        <w:t>32.4.4不同投标人的投标文件异常一致或者投标报价呈规律性差异；</w:t>
      </w:r>
    </w:p>
    <w:p>
      <w:pPr>
        <w:ind w:firstLine="411" w:firstLineChars="196"/>
        <w:rPr>
          <w:rFonts w:ascii="宋体" w:hAnsi="宋体"/>
          <w:highlight w:val="none"/>
        </w:rPr>
      </w:pPr>
      <w:r>
        <w:rPr>
          <w:rFonts w:hint="eastAsia" w:ascii="宋体" w:hAnsi="宋体"/>
          <w:highlight w:val="none"/>
        </w:rPr>
        <w:t>32.4.5</w:t>
      </w:r>
      <w:r>
        <w:rPr>
          <w:rFonts w:ascii="宋体" w:hAnsi="宋体"/>
          <w:highlight w:val="none"/>
        </w:rPr>
        <w:t>不同投标供应商的投标文件或部分投标文件相互混装</w:t>
      </w:r>
      <w:r>
        <w:rPr>
          <w:rFonts w:hint="eastAsia" w:ascii="宋体" w:hAnsi="宋体"/>
          <w:highlight w:val="none"/>
        </w:rPr>
        <w:t>；</w:t>
      </w:r>
    </w:p>
    <w:p>
      <w:pPr>
        <w:ind w:firstLine="411" w:firstLineChars="196"/>
        <w:rPr>
          <w:rFonts w:ascii="宋体" w:hAnsi="宋体"/>
          <w:highlight w:val="none"/>
        </w:rPr>
      </w:pPr>
      <w:r>
        <w:rPr>
          <w:rFonts w:hint="eastAsia" w:ascii="宋体" w:hAnsi="宋体"/>
          <w:highlight w:val="none"/>
        </w:rPr>
        <w:t>32.4.6投标供应商之间相互约定给予未中标的供应商利益补偿；</w:t>
      </w:r>
    </w:p>
    <w:p>
      <w:pPr>
        <w:ind w:firstLine="411" w:firstLineChars="196"/>
        <w:rPr>
          <w:rFonts w:ascii="宋体" w:hAnsi="宋体"/>
          <w:highlight w:val="none"/>
        </w:rPr>
      </w:pPr>
      <w:r>
        <w:rPr>
          <w:rFonts w:hint="eastAsia" w:ascii="宋体" w:hAnsi="宋体"/>
          <w:highlight w:val="none"/>
        </w:rPr>
        <w:t>32.4.7不同投标供应商的法定代表人、主要经营负责人、项目投标授权代表人、项目负责人、主要技术人员为同一人、属同一单位或者同一单位缴纳社会保险；</w:t>
      </w:r>
    </w:p>
    <w:p>
      <w:pPr>
        <w:ind w:firstLine="411" w:firstLineChars="196"/>
        <w:rPr>
          <w:rFonts w:ascii="宋体" w:hAnsi="宋体"/>
          <w:highlight w:val="none"/>
        </w:rPr>
      </w:pPr>
      <w:r>
        <w:rPr>
          <w:rFonts w:hint="eastAsia" w:ascii="宋体" w:hAnsi="宋体"/>
          <w:highlight w:val="none"/>
        </w:rPr>
        <w:t>32.4.8不同投标供应商的投标文件内容存在非正常一致；</w:t>
      </w:r>
    </w:p>
    <w:p>
      <w:pPr>
        <w:ind w:firstLine="411" w:firstLineChars="196"/>
        <w:rPr>
          <w:rFonts w:ascii="宋体" w:hAnsi="宋体"/>
          <w:highlight w:val="none"/>
        </w:rPr>
      </w:pPr>
      <w:r>
        <w:rPr>
          <w:rFonts w:hint="eastAsia" w:ascii="宋体" w:hAnsi="宋体"/>
          <w:highlight w:val="none"/>
        </w:rPr>
        <w:t>32.4.9在同一单位工作人员为两家以上（含两家）供应商进行同一项投标活动；</w:t>
      </w:r>
    </w:p>
    <w:p>
      <w:pPr>
        <w:ind w:firstLine="411" w:firstLineChars="196"/>
        <w:rPr>
          <w:rFonts w:ascii="宋体" w:hAnsi="宋体"/>
          <w:highlight w:val="none"/>
        </w:rPr>
      </w:pPr>
      <w:r>
        <w:rPr>
          <w:rFonts w:hint="eastAsia" w:ascii="宋体" w:hAnsi="宋体"/>
          <w:highlight w:val="none"/>
        </w:rPr>
        <w:t>32.4.10主管部门依照法律、法规认定的其他情形。</w:t>
      </w:r>
    </w:p>
    <w:p>
      <w:pPr>
        <w:rPr>
          <w:rFonts w:ascii="宋体" w:hAnsi="宋体"/>
          <w:highlight w:val="none"/>
        </w:rPr>
      </w:pPr>
      <w:r>
        <w:rPr>
          <w:rFonts w:hint="eastAsia" w:ascii="宋体" w:hAnsi="宋体"/>
          <w:highlight w:val="none"/>
        </w:rPr>
        <w:t>32.5对不属于《资格性审查表》和《符合性审查表》所列的其他情形，除专用条款另有规定和32.4条款所列情形外，不得作为投标无效的理由。</w:t>
      </w:r>
    </w:p>
    <w:p>
      <w:pPr>
        <w:rPr>
          <w:rFonts w:ascii="黑体" w:hAnsi="宋体" w:eastAsia="黑体"/>
          <w:sz w:val="24"/>
          <w:highlight w:val="none"/>
        </w:rPr>
      </w:pPr>
      <w:r>
        <w:rPr>
          <w:rFonts w:hint="eastAsia" w:ascii="黑体" w:hAnsi="宋体" w:eastAsia="黑体"/>
          <w:sz w:val="24"/>
          <w:highlight w:val="none"/>
        </w:rPr>
        <w:t>33．澄清有关问题</w:t>
      </w:r>
    </w:p>
    <w:p>
      <w:pPr>
        <w:ind w:firstLine="411" w:firstLineChars="196"/>
        <w:rPr>
          <w:rFonts w:ascii="宋体" w:hAnsi="宋体"/>
          <w:highlight w:val="none"/>
        </w:rPr>
      </w:pPr>
      <w:bookmarkStart w:id="58" w:name="_Hlk71407321"/>
      <w:r>
        <w:rPr>
          <w:rFonts w:hint="eastAsia" w:ascii="宋体" w:hAnsi="宋体"/>
          <w:highlight w:val="none"/>
        </w:rPr>
        <w:t>3</w:t>
      </w:r>
      <w:r>
        <w:rPr>
          <w:rFonts w:ascii="宋体" w:hAnsi="宋体"/>
          <w:highlight w:val="none"/>
        </w:rPr>
        <w:t>3.1</w:t>
      </w:r>
      <w:r>
        <w:rPr>
          <w:rFonts w:hint="eastAsia" w:ascii="宋体" w:hAnsi="宋体"/>
          <w:highlight w:val="none"/>
        </w:rPr>
        <w:t>对招标文件中描述有歧义或前后不一致的地方（不含</w:t>
      </w:r>
      <w:r>
        <w:rPr>
          <w:szCs w:val="21"/>
          <w:highlight w:val="none"/>
        </w:rPr>
        <w:t>招标文件存在歧义、重大缺陷导致评</w:t>
      </w:r>
      <w:r>
        <w:rPr>
          <w:rFonts w:hint="eastAsia"/>
          <w:szCs w:val="21"/>
          <w:highlight w:val="none"/>
        </w:rPr>
        <w:t>审</w:t>
      </w:r>
      <w:r>
        <w:rPr>
          <w:szCs w:val="21"/>
          <w:highlight w:val="none"/>
        </w:rPr>
        <w:t>工作无法进行</w:t>
      </w:r>
      <w:r>
        <w:rPr>
          <w:rFonts w:hint="eastAsia"/>
          <w:szCs w:val="21"/>
          <w:highlight w:val="none"/>
        </w:rPr>
        <w:t>的情况）</w:t>
      </w:r>
      <w:r>
        <w:rPr>
          <w:rFonts w:hint="eastAsia" w:ascii="宋体" w:hAnsi="宋体"/>
          <w:highlight w:val="none"/>
        </w:rPr>
        <w:t>，评审委员会有权进行评判，但对同一条款的评判应适用于每个投标人。</w:t>
      </w:r>
      <w:bookmarkEnd w:id="58"/>
    </w:p>
    <w:p>
      <w:pPr>
        <w:ind w:firstLine="411" w:firstLineChars="196"/>
        <w:rPr>
          <w:rFonts w:ascii="宋体" w:hAnsi="宋体"/>
          <w:highlight w:val="none"/>
        </w:rPr>
      </w:pPr>
      <w:r>
        <w:rPr>
          <w:rFonts w:hint="eastAsia" w:ascii="宋体" w:hAnsi="宋体"/>
          <w:highlight w:val="none"/>
        </w:rPr>
        <w:t>3</w:t>
      </w:r>
      <w:r>
        <w:rPr>
          <w:rFonts w:ascii="宋体" w:hAnsi="宋体"/>
          <w:highlight w:val="none"/>
        </w:rPr>
        <w:t>3.2</w:t>
      </w:r>
      <w:r>
        <w:rPr>
          <w:szCs w:val="21"/>
          <w:highlight w:val="none"/>
        </w:rPr>
        <w:t>评</w:t>
      </w:r>
      <w:r>
        <w:rPr>
          <w:rFonts w:hint="eastAsia"/>
          <w:szCs w:val="21"/>
          <w:highlight w:val="none"/>
        </w:rPr>
        <w:t>审</w:t>
      </w:r>
      <w:r>
        <w:rPr>
          <w:szCs w:val="21"/>
          <w:highlight w:val="none"/>
        </w:rPr>
        <w:t>委员会发现招标文件存在歧义、重大缺陷导致评</w:t>
      </w:r>
      <w:r>
        <w:rPr>
          <w:rFonts w:hint="eastAsia"/>
          <w:szCs w:val="21"/>
          <w:highlight w:val="none"/>
        </w:rPr>
        <w:t>审</w:t>
      </w:r>
      <w:r>
        <w:rPr>
          <w:szCs w:val="21"/>
          <w:highlight w:val="none"/>
        </w:rPr>
        <w:t>工作无法进行，或者招标文件内容违反国家有关强制性规定的，应当停止评</w:t>
      </w:r>
      <w:r>
        <w:rPr>
          <w:rFonts w:hint="eastAsia"/>
          <w:szCs w:val="21"/>
          <w:highlight w:val="none"/>
        </w:rPr>
        <w:t>审</w:t>
      </w:r>
      <w:r>
        <w:rPr>
          <w:szCs w:val="21"/>
          <w:highlight w:val="none"/>
        </w:rPr>
        <w:t>工作，与</w:t>
      </w:r>
      <w:r>
        <w:rPr>
          <w:rFonts w:hint="eastAsia"/>
          <w:szCs w:val="21"/>
          <w:highlight w:val="none"/>
        </w:rPr>
        <w:t>政府集中采购机构</w:t>
      </w:r>
      <w:r>
        <w:rPr>
          <w:szCs w:val="21"/>
          <w:highlight w:val="none"/>
        </w:rPr>
        <w:t>沟通并作书面记录。</w:t>
      </w:r>
      <w:r>
        <w:rPr>
          <w:rFonts w:hint="eastAsia"/>
          <w:szCs w:val="21"/>
          <w:highlight w:val="none"/>
        </w:rPr>
        <w:t>经</w:t>
      </w:r>
      <w:r>
        <w:rPr>
          <w:szCs w:val="21"/>
          <w:highlight w:val="none"/>
        </w:rPr>
        <w:t>确认后，</w:t>
      </w:r>
      <w:r>
        <w:rPr>
          <w:rFonts w:hint="eastAsia"/>
          <w:szCs w:val="21"/>
          <w:highlight w:val="none"/>
        </w:rPr>
        <w:t>项目</w:t>
      </w:r>
      <w:r>
        <w:rPr>
          <w:szCs w:val="21"/>
          <w:highlight w:val="none"/>
        </w:rPr>
        <w:t>应当修改招标文件，重新组织采购活动。</w:t>
      </w:r>
    </w:p>
    <w:p>
      <w:pPr>
        <w:ind w:firstLine="411" w:firstLineChars="196"/>
        <w:rPr>
          <w:rFonts w:ascii="宋体" w:hAnsi="宋体"/>
          <w:highlight w:val="none"/>
        </w:rPr>
      </w:pPr>
      <w:r>
        <w:rPr>
          <w:rFonts w:ascii="宋体" w:hAnsi="宋体"/>
          <w:highlight w:val="none"/>
        </w:rPr>
        <w:t>33.3</w:t>
      </w:r>
      <w:r>
        <w:rPr>
          <w:rFonts w:hint="eastAsia" w:ascii="宋体" w:hAnsi="宋体"/>
          <w:highlight w:val="none"/>
        </w:rPr>
        <w:t>对于投标文件中含义不明确、同类问题表述不一致或者有明显文字和计算错误的内容，评审委员会应当以书面形式要求投标人作出必要的澄清、说明或者补正。</w:t>
      </w:r>
    </w:p>
    <w:p>
      <w:pPr>
        <w:ind w:firstLine="411" w:firstLineChars="196"/>
        <w:rPr>
          <w:rFonts w:ascii="宋体" w:hAnsi="宋体"/>
          <w:highlight w:val="none"/>
        </w:rPr>
      </w:pPr>
      <w:r>
        <w:rPr>
          <w:rFonts w:hint="eastAsia" w:ascii="宋体" w:hAnsi="宋体"/>
          <w:highlight w:val="none"/>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pPr>
        <w:ind w:firstLine="411" w:firstLineChars="196"/>
        <w:rPr>
          <w:rFonts w:ascii="宋体" w:hAnsi="宋体"/>
          <w:szCs w:val="21"/>
          <w:highlight w:val="none"/>
        </w:rPr>
      </w:pPr>
      <w:r>
        <w:rPr>
          <w:rFonts w:hint="eastAsia" w:ascii="宋体" w:hAnsi="宋体"/>
          <w:szCs w:val="21"/>
          <w:highlight w:val="none"/>
        </w:rPr>
        <w:t>根据本通用条款第34条，凡属于评审委员会在评审中发现的算术错误进行核实的修改不在此列。</w:t>
      </w:r>
    </w:p>
    <w:p>
      <w:pPr>
        <w:rPr>
          <w:rFonts w:ascii="黑体" w:hAnsi="宋体" w:eastAsia="黑体"/>
          <w:sz w:val="24"/>
          <w:highlight w:val="none"/>
        </w:rPr>
      </w:pPr>
      <w:bookmarkStart w:id="59" w:name="_Toc73521669"/>
      <w:bookmarkStart w:id="60" w:name="_Toc73518151"/>
      <w:bookmarkStart w:id="61" w:name="_Toc73517673"/>
      <w:bookmarkStart w:id="62" w:name="_Toc73521581"/>
      <w:bookmarkStart w:id="63" w:name="_Toc100052400"/>
      <w:r>
        <w:rPr>
          <w:rFonts w:hint="eastAsia" w:ascii="黑体" w:hAnsi="宋体" w:eastAsia="黑体"/>
          <w:sz w:val="24"/>
          <w:highlight w:val="none"/>
        </w:rPr>
        <w:t>34．错误的修正</w:t>
      </w:r>
      <w:bookmarkEnd w:id="59"/>
      <w:bookmarkEnd w:id="60"/>
      <w:bookmarkEnd w:id="61"/>
      <w:bookmarkEnd w:id="62"/>
      <w:bookmarkEnd w:id="63"/>
    </w:p>
    <w:p>
      <w:pPr>
        <w:ind w:firstLine="411" w:firstLineChars="196"/>
        <w:rPr>
          <w:rFonts w:ascii="宋体" w:hAnsi="宋体"/>
          <w:szCs w:val="21"/>
          <w:highlight w:val="none"/>
        </w:rPr>
      </w:pPr>
      <w:r>
        <w:rPr>
          <w:rFonts w:hint="eastAsia" w:ascii="宋体" w:hAnsi="宋体"/>
          <w:szCs w:val="21"/>
          <w:highlight w:val="none"/>
        </w:rPr>
        <w:t>投标文件报价出现前后不一致的，除专用条款另有规定外，按照下列规定修正：</w:t>
      </w:r>
    </w:p>
    <w:p>
      <w:pPr>
        <w:ind w:firstLine="411" w:firstLineChars="196"/>
        <w:rPr>
          <w:rFonts w:ascii="宋体" w:hAnsi="宋体"/>
          <w:szCs w:val="21"/>
          <w:highlight w:val="none"/>
        </w:rPr>
      </w:pPr>
      <w:r>
        <w:rPr>
          <w:rFonts w:hint="eastAsia" w:ascii="宋体" w:hAnsi="宋体"/>
          <w:szCs w:val="21"/>
          <w:highlight w:val="none"/>
        </w:rPr>
        <w:t>34.1投标文件中开标一览表投标报价内容与投标文件中投标报价相应内容不一致的，以开标一览表为准；</w:t>
      </w:r>
    </w:p>
    <w:p>
      <w:pPr>
        <w:ind w:firstLine="411" w:firstLineChars="196"/>
        <w:rPr>
          <w:rFonts w:ascii="宋体" w:hAnsi="宋体"/>
          <w:szCs w:val="21"/>
          <w:highlight w:val="none"/>
        </w:rPr>
      </w:pPr>
      <w:r>
        <w:rPr>
          <w:rFonts w:hint="eastAsia" w:ascii="宋体" w:hAnsi="宋体"/>
          <w:szCs w:val="21"/>
          <w:highlight w:val="none"/>
        </w:rPr>
        <w:t>34.2大写金额和小写金额不一致的，以大写金额为准；</w:t>
      </w:r>
    </w:p>
    <w:p>
      <w:pPr>
        <w:ind w:firstLine="411" w:firstLineChars="196"/>
        <w:rPr>
          <w:rFonts w:ascii="宋体" w:hAnsi="宋体"/>
          <w:szCs w:val="21"/>
          <w:highlight w:val="none"/>
        </w:rPr>
      </w:pPr>
      <w:r>
        <w:rPr>
          <w:rFonts w:hint="eastAsia" w:ascii="宋体" w:hAnsi="宋体"/>
          <w:szCs w:val="21"/>
          <w:highlight w:val="none"/>
        </w:rPr>
        <w:t>34.3单价金额小数点或者百分比有明显错位，以开标一览表的总价为准，并修改单价；</w:t>
      </w:r>
    </w:p>
    <w:p>
      <w:pPr>
        <w:ind w:firstLine="411" w:firstLineChars="196"/>
        <w:rPr>
          <w:rFonts w:ascii="宋体" w:hAnsi="宋体"/>
          <w:szCs w:val="21"/>
          <w:highlight w:val="none"/>
        </w:rPr>
      </w:pPr>
      <w:r>
        <w:rPr>
          <w:rFonts w:hint="eastAsia" w:ascii="宋体" w:hAnsi="宋体"/>
          <w:szCs w:val="21"/>
          <w:highlight w:val="none"/>
        </w:rPr>
        <w:t>34.4总价金额与按单价汇总金额不一致的，以单价金额计算结果为准。</w:t>
      </w:r>
    </w:p>
    <w:p>
      <w:pPr>
        <w:ind w:firstLine="411" w:firstLineChars="196"/>
        <w:rPr>
          <w:rFonts w:ascii="宋体" w:hAnsi="宋体"/>
          <w:szCs w:val="21"/>
          <w:highlight w:val="none"/>
        </w:rPr>
      </w:pPr>
      <w:r>
        <w:rPr>
          <w:rFonts w:hint="eastAsia" w:ascii="宋体" w:hAnsi="宋体"/>
          <w:szCs w:val="21"/>
          <w:highlight w:val="none"/>
        </w:rPr>
        <w:t>34.5同时出现两种以上不一致的，按照前款规定的顺序修正。修正后的报价按照本通用条款33条的规定，经投标人确认后产生约束力，投标人不确认的，其投标无效。</w:t>
      </w:r>
    </w:p>
    <w:p>
      <w:pPr>
        <w:rPr>
          <w:rFonts w:ascii="黑体" w:hAnsi="宋体" w:eastAsia="黑体"/>
          <w:sz w:val="24"/>
          <w:highlight w:val="none"/>
        </w:rPr>
      </w:pPr>
      <w:r>
        <w:rPr>
          <w:rFonts w:hint="eastAsia" w:ascii="黑体" w:hAnsi="宋体" w:eastAsia="黑体"/>
          <w:sz w:val="24"/>
          <w:highlight w:val="none"/>
        </w:rPr>
        <w:t>35．投标文件的比较与评价</w:t>
      </w:r>
    </w:p>
    <w:p>
      <w:pPr>
        <w:ind w:firstLine="411" w:firstLineChars="196"/>
        <w:rPr>
          <w:rFonts w:ascii="宋体" w:hAnsi="宋体"/>
          <w:szCs w:val="21"/>
          <w:highlight w:val="none"/>
        </w:rPr>
      </w:pPr>
      <w:r>
        <w:rPr>
          <w:rFonts w:hint="eastAsia" w:ascii="宋体" w:hAnsi="宋体"/>
          <w:szCs w:val="21"/>
          <w:highlight w:val="none"/>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pPr>
        <w:ind w:firstLine="411" w:firstLineChars="196"/>
        <w:rPr>
          <w:rFonts w:ascii="宋体" w:hAnsi="宋体"/>
          <w:szCs w:val="21"/>
          <w:highlight w:val="none"/>
        </w:rPr>
      </w:pPr>
      <w:r>
        <w:rPr>
          <w:rFonts w:hint="eastAsia" w:ascii="宋体" w:hAnsi="宋体"/>
          <w:szCs w:val="21"/>
          <w:highlight w:val="none"/>
        </w:rPr>
        <w:t>评审委员会成员对需要共同认定的事项存在争议的，应当按照少数服从多数的原则作出结论。持不同意见的评审委员会成员应当书面作出说明，否则视为无异议。</w:t>
      </w:r>
    </w:p>
    <w:p>
      <w:pPr>
        <w:rPr>
          <w:rFonts w:ascii="黑体" w:hAnsi="宋体" w:eastAsia="黑体"/>
          <w:sz w:val="24"/>
          <w:highlight w:val="none"/>
        </w:rPr>
      </w:pPr>
      <w:r>
        <w:rPr>
          <w:rFonts w:hint="eastAsia" w:ascii="黑体" w:hAnsi="宋体" w:eastAsia="黑体"/>
          <w:sz w:val="24"/>
          <w:highlight w:val="none"/>
        </w:rPr>
        <w:t>36. 实地考察或资料查验</w:t>
      </w:r>
    </w:p>
    <w:p>
      <w:pPr>
        <w:ind w:firstLine="411" w:firstLineChars="196"/>
        <w:rPr>
          <w:rFonts w:ascii="宋体" w:hAnsi="宋体"/>
          <w:szCs w:val="21"/>
          <w:highlight w:val="none"/>
        </w:rPr>
      </w:pPr>
      <w:r>
        <w:rPr>
          <w:rFonts w:hint="eastAsia" w:ascii="宋体" w:hAnsi="宋体"/>
          <w:szCs w:val="21"/>
          <w:highlight w:val="none"/>
        </w:rPr>
        <w:t>36.1在评审过程中，评审委员会有权决定是否对本项目投标人进行实地考察或资料查验（原件）。投标人应随时做好接受实地考察或资料查验的准备。</w:t>
      </w:r>
    </w:p>
    <w:p>
      <w:pPr>
        <w:rPr>
          <w:rFonts w:ascii="黑体" w:hAnsi="宋体" w:eastAsia="黑体"/>
          <w:sz w:val="24"/>
          <w:highlight w:val="none"/>
        </w:rPr>
      </w:pPr>
      <w:r>
        <w:rPr>
          <w:rFonts w:hint="eastAsia" w:ascii="黑体" w:hAnsi="宋体" w:eastAsia="黑体"/>
          <w:sz w:val="24"/>
          <w:highlight w:val="none"/>
        </w:rPr>
        <w:t>37．评审方法</w:t>
      </w:r>
    </w:p>
    <w:p>
      <w:pPr>
        <w:ind w:firstLine="413" w:firstLineChars="196"/>
        <w:rPr>
          <w:rFonts w:ascii="宋体" w:hAnsi="宋体"/>
          <w:b/>
          <w:bCs/>
          <w:szCs w:val="21"/>
          <w:highlight w:val="none"/>
        </w:rPr>
      </w:pPr>
      <w:bookmarkStart w:id="64" w:name="_Hlk72438142"/>
      <w:r>
        <w:rPr>
          <w:rFonts w:hint="eastAsia" w:ascii="宋体" w:hAnsi="宋体"/>
          <w:b/>
          <w:bCs/>
          <w:szCs w:val="21"/>
          <w:highlight w:val="none"/>
        </w:rPr>
        <w:t>37.1.1最低价法</w:t>
      </w:r>
    </w:p>
    <w:p>
      <w:pPr>
        <w:ind w:firstLine="411" w:firstLineChars="196"/>
        <w:rPr>
          <w:rFonts w:ascii="ˎ̥" w:hAnsi="ˎ̥"/>
          <w:highlight w:val="none"/>
        </w:rPr>
      </w:pPr>
      <w:r>
        <w:rPr>
          <w:rFonts w:ascii="ˎ̥" w:hAnsi="ˎ̥"/>
          <w:highlight w:val="none"/>
        </w:rPr>
        <w:t>最低价法，</w:t>
      </w:r>
      <w:r>
        <w:rPr>
          <w:rFonts w:hint="eastAsia" w:ascii="ˎ̥" w:hAnsi="ˎ̥"/>
          <w:highlight w:val="none"/>
        </w:rPr>
        <w:t>是指投标文件满足招标文件全部实质性要求，且投标报价最低的投标人为中标候选人的评标方法。</w:t>
      </w:r>
    </w:p>
    <w:p>
      <w:pPr>
        <w:ind w:firstLine="411" w:firstLineChars="196"/>
        <w:rPr>
          <w:rFonts w:ascii="ˎ̥" w:hAnsi="ˎ̥" w:eastAsia="宋体"/>
          <w:highlight w:val="none"/>
        </w:rPr>
      </w:pPr>
      <w:r>
        <w:rPr>
          <w:rFonts w:hint="eastAsia" w:ascii="ˎ̥" w:hAnsi="ˎ̥"/>
          <w:highlight w:val="none"/>
        </w:rPr>
        <w:t>采用最低价法的，评标结果按投标报价由低到高顺序排列。投标报价相同的并列。投标文件满足招标文件全部实质性要求且投标报价最低的投标人为排名第一的中标候选人。出现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pPr>
        <w:ind w:firstLine="413" w:firstLineChars="196"/>
        <w:rPr>
          <w:rFonts w:ascii="宋体" w:hAnsi="宋体"/>
          <w:b/>
          <w:bCs/>
          <w:szCs w:val="21"/>
          <w:highlight w:val="none"/>
        </w:rPr>
      </w:pPr>
      <w:r>
        <w:rPr>
          <w:rFonts w:hint="eastAsia" w:ascii="宋体" w:hAnsi="宋体"/>
          <w:b/>
          <w:bCs/>
          <w:szCs w:val="21"/>
          <w:highlight w:val="none"/>
        </w:rPr>
        <w:t>37.1.2综合评分法</w:t>
      </w:r>
    </w:p>
    <w:p>
      <w:pPr>
        <w:ind w:firstLine="411" w:firstLineChars="196"/>
        <w:rPr>
          <w:rFonts w:ascii="ˎ̥" w:hAnsi="ˎ̥"/>
          <w:highlight w:val="none"/>
        </w:rPr>
      </w:pPr>
      <w:r>
        <w:rPr>
          <w:rFonts w:ascii="ˎ̥" w:hAnsi="ˎ̥"/>
          <w:highlight w:val="none"/>
        </w:rPr>
        <w:t>综合评分法，是指</w:t>
      </w:r>
      <w:r>
        <w:rPr>
          <w:rFonts w:hint="eastAsia" w:ascii="ˎ̥" w:hAnsi="ˎ̥"/>
          <w:highlight w:val="none"/>
        </w:rPr>
        <w:t>在</w:t>
      </w:r>
      <w:r>
        <w:rPr>
          <w:rFonts w:ascii="ˎ̥" w:hAnsi="ˎ̥"/>
          <w:highlight w:val="none"/>
        </w:rPr>
        <w:t>满足招标文件全部实质性要求</w:t>
      </w:r>
      <w:r>
        <w:rPr>
          <w:rFonts w:hint="eastAsia" w:ascii="ˎ̥" w:hAnsi="ˎ̥"/>
          <w:highlight w:val="none"/>
        </w:rPr>
        <w:t>的前提下</w:t>
      </w:r>
      <w:r>
        <w:rPr>
          <w:rFonts w:ascii="ˎ̥" w:hAnsi="ˎ̥"/>
          <w:highlight w:val="none"/>
        </w:rPr>
        <w:t>，</w:t>
      </w:r>
      <w:r>
        <w:rPr>
          <w:rFonts w:hint="eastAsia" w:ascii="ˎ̥" w:hAnsi="ˎ̥"/>
          <w:highlight w:val="none"/>
        </w:rPr>
        <w:t>按照招标文件中规定的各项因素进行综合评审，评审总得分排名前列的投标人，作为推荐的候选中标供应商。</w:t>
      </w:r>
    </w:p>
    <w:p>
      <w:pPr>
        <w:ind w:firstLine="411" w:firstLineChars="196"/>
        <w:rPr>
          <w:rFonts w:ascii="ˎ̥" w:hAnsi="ˎ̥"/>
          <w:highlight w:val="none"/>
        </w:rPr>
      </w:pPr>
      <w:r>
        <w:rPr>
          <w:rFonts w:hint="eastAsia" w:ascii="ˎ̥" w:hAnsi="ˎ̥"/>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出现得分且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bookmarkEnd w:id="64"/>
    </w:p>
    <w:p>
      <w:pPr>
        <w:ind w:firstLine="413" w:firstLineChars="196"/>
        <w:rPr>
          <w:rFonts w:ascii="宋体" w:hAnsi="宋体"/>
          <w:b/>
          <w:bCs/>
          <w:szCs w:val="21"/>
          <w:highlight w:val="none"/>
        </w:rPr>
      </w:pPr>
      <w:r>
        <w:rPr>
          <w:rFonts w:hint="eastAsia" w:ascii="宋体" w:hAnsi="宋体"/>
          <w:b/>
          <w:bCs/>
          <w:szCs w:val="21"/>
          <w:highlight w:val="none"/>
        </w:rPr>
        <w:t>37.2 本项目采用的评审方法见本项目招标文件第一册“专用条款”的相关内容。</w:t>
      </w:r>
    </w:p>
    <w:p>
      <w:pPr>
        <w:ind w:firstLine="413" w:firstLineChars="196"/>
        <w:rPr>
          <w:rFonts w:ascii="宋体" w:hAnsi="宋体"/>
          <w:b/>
          <w:bCs/>
          <w:szCs w:val="21"/>
          <w:highlight w:val="none"/>
        </w:rPr>
      </w:pPr>
      <w:r>
        <w:rPr>
          <w:rFonts w:hint="eastAsia" w:ascii="宋体" w:hAnsi="宋体"/>
          <w:b/>
          <w:bCs/>
          <w:szCs w:val="21"/>
          <w:highlight w:val="none"/>
        </w:rPr>
        <w:t>37.3重新评审的情形</w:t>
      </w:r>
    </w:p>
    <w:p>
      <w:pPr>
        <w:ind w:firstLine="411" w:firstLineChars="196"/>
        <w:rPr>
          <w:rFonts w:ascii="宋体" w:hAnsi="宋体"/>
          <w:b/>
          <w:bCs/>
          <w:szCs w:val="21"/>
          <w:highlight w:val="none"/>
        </w:rPr>
      </w:pPr>
      <w:r>
        <w:rPr>
          <w:rFonts w:hint="eastAsia" w:ascii="宋体" w:hAnsi="宋体" w:cs="宋体"/>
          <w:kern w:val="0"/>
          <w:szCs w:val="21"/>
          <w:highlight w:val="none"/>
        </w:rPr>
        <w:t>评审结果汇总完成后，除下列情形外，任何人不得修改评审结果：</w:t>
      </w:r>
    </w:p>
    <w:p>
      <w:pPr>
        <w:ind w:firstLine="411" w:firstLineChars="196"/>
        <w:rPr>
          <w:rFonts w:ascii="宋体" w:hAnsi="宋体" w:cs="宋体"/>
          <w:kern w:val="0"/>
          <w:szCs w:val="21"/>
          <w:highlight w:val="none"/>
        </w:rPr>
      </w:pPr>
      <w:r>
        <w:rPr>
          <w:rFonts w:hint="eastAsia" w:ascii="宋体" w:hAnsi="宋体" w:cs="宋体"/>
          <w:kern w:val="0"/>
          <w:szCs w:val="21"/>
          <w:highlight w:val="none"/>
        </w:rPr>
        <w:t>37.3.1分值汇总计算错误的；</w:t>
      </w:r>
    </w:p>
    <w:p>
      <w:pPr>
        <w:ind w:firstLine="411" w:firstLineChars="196"/>
        <w:rPr>
          <w:rFonts w:ascii="宋体" w:hAnsi="宋体" w:cs="宋体"/>
          <w:kern w:val="0"/>
          <w:szCs w:val="21"/>
          <w:highlight w:val="none"/>
        </w:rPr>
      </w:pPr>
      <w:r>
        <w:rPr>
          <w:rFonts w:hint="eastAsia" w:ascii="宋体" w:hAnsi="宋体" w:cs="宋体"/>
          <w:kern w:val="0"/>
          <w:szCs w:val="21"/>
          <w:highlight w:val="none"/>
        </w:rPr>
        <w:t>37.3.2分项评分超出评分标准范围的；</w:t>
      </w:r>
    </w:p>
    <w:p>
      <w:pPr>
        <w:ind w:firstLine="411" w:firstLineChars="196"/>
        <w:rPr>
          <w:rFonts w:ascii="宋体" w:hAnsi="宋体" w:cs="宋体"/>
          <w:kern w:val="0"/>
          <w:szCs w:val="21"/>
          <w:highlight w:val="none"/>
        </w:rPr>
      </w:pPr>
      <w:r>
        <w:rPr>
          <w:rFonts w:hint="eastAsia" w:ascii="宋体" w:hAnsi="宋体" w:cs="宋体"/>
          <w:kern w:val="0"/>
          <w:szCs w:val="21"/>
          <w:highlight w:val="none"/>
        </w:rPr>
        <w:t>37.3.3评审委员会成员对客观评审因素评分不一致的；</w:t>
      </w:r>
    </w:p>
    <w:p>
      <w:pPr>
        <w:ind w:firstLine="411" w:firstLineChars="196"/>
        <w:rPr>
          <w:rFonts w:ascii="宋体" w:hAnsi="宋体" w:cs="宋体"/>
          <w:kern w:val="0"/>
          <w:szCs w:val="21"/>
          <w:highlight w:val="none"/>
        </w:rPr>
      </w:pPr>
      <w:r>
        <w:rPr>
          <w:rFonts w:hint="eastAsia" w:ascii="宋体" w:hAnsi="宋体" w:cs="宋体"/>
          <w:kern w:val="0"/>
          <w:szCs w:val="21"/>
          <w:highlight w:val="none"/>
        </w:rPr>
        <w:t>37.3.4经评审委员会认定评分畸高、畸低的。</w:t>
      </w:r>
    </w:p>
    <w:p>
      <w:pPr>
        <w:ind w:firstLine="411" w:firstLineChars="196"/>
        <w:rPr>
          <w:rFonts w:ascii="宋体" w:hAnsi="宋体" w:cs="宋体"/>
          <w:kern w:val="0"/>
          <w:szCs w:val="21"/>
          <w:highlight w:val="none"/>
        </w:rPr>
      </w:pPr>
      <w:r>
        <w:rPr>
          <w:rFonts w:hint="eastAsia" w:ascii="宋体" w:hAnsi="宋体" w:cs="宋体"/>
          <w:kern w:val="0"/>
          <w:szCs w:val="21"/>
          <w:highlight w:val="none"/>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pPr>
        <w:ind w:firstLine="411" w:firstLineChars="196"/>
        <w:rPr>
          <w:rFonts w:ascii="宋体" w:hAnsi="宋体" w:cs="宋体"/>
          <w:kern w:val="0"/>
          <w:szCs w:val="21"/>
          <w:highlight w:val="none"/>
        </w:rPr>
      </w:pPr>
      <w:r>
        <w:rPr>
          <w:rFonts w:hint="eastAsia" w:ascii="宋体" w:hAnsi="宋体" w:cs="宋体"/>
          <w:kern w:val="0"/>
          <w:szCs w:val="21"/>
          <w:highlight w:val="none"/>
        </w:rPr>
        <w:t>投标人对本条第一款情形提出质疑的，采购人或者采购代理机构可以组织原评审委员会进行重新评审，重新评审改变评审结果的，应当书面报告本级财政部门。</w:t>
      </w:r>
    </w:p>
    <w:p>
      <w:pPr>
        <w:ind w:firstLine="413" w:firstLineChars="196"/>
        <w:rPr>
          <w:rFonts w:ascii="宋体" w:hAnsi="宋体"/>
          <w:b/>
          <w:bCs/>
          <w:szCs w:val="21"/>
          <w:highlight w:val="none"/>
        </w:rPr>
      </w:pPr>
      <w:r>
        <w:rPr>
          <w:rFonts w:hint="eastAsia" w:ascii="宋体" w:hAnsi="宋体"/>
          <w:b/>
          <w:bCs/>
          <w:szCs w:val="21"/>
          <w:highlight w:val="none"/>
        </w:rPr>
        <w:t xml:space="preserve"> 37.4重新组建评审委员会的情形</w:t>
      </w:r>
    </w:p>
    <w:p>
      <w:pPr>
        <w:ind w:firstLine="411" w:firstLineChars="196"/>
        <w:rPr>
          <w:rFonts w:ascii="宋体" w:hAnsi="宋体" w:cs="宋体"/>
          <w:kern w:val="0"/>
          <w:szCs w:val="21"/>
          <w:highlight w:val="none"/>
        </w:rPr>
      </w:pPr>
      <w:r>
        <w:rPr>
          <w:rFonts w:hint="eastAsia" w:ascii="宋体" w:hAnsi="宋体" w:cs="宋体"/>
          <w:kern w:val="0"/>
          <w:szCs w:val="21"/>
          <w:highlight w:val="none"/>
        </w:rPr>
        <w:t>评审委员会或者其成员存在下列情形导致评审结果无效的，重新组建评审委员会进行评标，并书面报告本级财政部门：</w:t>
      </w:r>
    </w:p>
    <w:p>
      <w:pPr>
        <w:ind w:firstLine="411" w:firstLineChars="196"/>
        <w:rPr>
          <w:rFonts w:ascii="宋体" w:hAnsi="宋体" w:cs="宋体"/>
          <w:kern w:val="0"/>
          <w:szCs w:val="21"/>
          <w:highlight w:val="none"/>
        </w:rPr>
      </w:pPr>
      <w:r>
        <w:rPr>
          <w:rFonts w:hint="eastAsia" w:ascii="宋体" w:hAnsi="宋体" w:cs="宋体"/>
          <w:kern w:val="0"/>
          <w:szCs w:val="21"/>
          <w:highlight w:val="none"/>
        </w:rPr>
        <w:t>37.4.1评审委员会组成不符合《政府采购货物和服务招标投标管理办法》规定的；</w:t>
      </w:r>
    </w:p>
    <w:p>
      <w:pPr>
        <w:ind w:firstLine="411" w:firstLineChars="196"/>
        <w:rPr>
          <w:rFonts w:ascii="宋体" w:hAnsi="宋体" w:cs="宋体"/>
          <w:kern w:val="0"/>
          <w:szCs w:val="21"/>
          <w:highlight w:val="none"/>
        </w:rPr>
      </w:pPr>
      <w:r>
        <w:rPr>
          <w:rFonts w:hint="eastAsia" w:ascii="宋体" w:hAnsi="宋体" w:cs="宋体"/>
          <w:kern w:val="0"/>
          <w:szCs w:val="21"/>
          <w:highlight w:val="none"/>
        </w:rPr>
        <w:t>37.4.2有《政府采购货物和服务招标投标管理办法》第六十二条第一至五项情形的；</w:t>
      </w:r>
    </w:p>
    <w:p>
      <w:pPr>
        <w:ind w:firstLine="411" w:firstLineChars="196"/>
        <w:rPr>
          <w:rFonts w:ascii="宋体" w:hAnsi="宋体" w:cs="宋体"/>
          <w:kern w:val="0"/>
          <w:szCs w:val="21"/>
          <w:highlight w:val="none"/>
        </w:rPr>
      </w:pPr>
      <w:r>
        <w:rPr>
          <w:rFonts w:hint="eastAsia" w:ascii="宋体" w:hAnsi="宋体" w:cs="宋体"/>
          <w:kern w:val="0"/>
          <w:szCs w:val="21"/>
          <w:highlight w:val="none"/>
        </w:rPr>
        <w:t>37.4.3评审委员会及其成员独立评标受到非法干预的；</w:t>
      </w:r>
    </w:p>
    <w:p>
      <w:pPr>
        <w:ind w:firstLine="411" w:firstLineChars="196"/>
        <w:rPr>
          <w:rFonts w:ascii="宋体" w:hAnsi="宋体" w:cs="宋体"/>
          <w:kern w:val="0"/>
          <w:szCs w:val="21"/>
          <w:highlight w:val="none"/>
        </w:rPr>
      </w:pPr>
      <w:r>
        <w:rPr>
          <w:rFonts w:hint="eastAsia" w:ascii="宋体" w:hAnsi="宋体" w:cs="宋体"/>
          <w:kern w:val="0"/>
          <w:szCs w:val="21"/>
          <w:highlight w:val="none"/>
        </w:rPr>
        <w:t>37.4.4有政府采购法实施条例第七十五条规定的违法行为的。</w:t>
      </w:r>
    </w:p>
    <w:p>
      <w:pPr>
        <w:ind w:firstLine="411" w:firstLineChars="196"/>
        <w:rPr>
          <w:rFonts w:ascii="宋体" w:hAnsi="宋体" w:cs="宋体"/>
          <w:kern w:val="0"/>
          <w:szCs w:val="21"/>
          <w:highlight w:val="none"/>
        </w:rPr>
      </w:pPr>
      <w:r>
        <w:rPr>
          <w:rFonts w:hint="eastAsia" w:ascii="宋体" w:hAnsi="宋体" w:cs="宋体"/>
          <w:kern w:val="0"/>
          <w:szCs w:val="21"/>
          <w:highlight w:val="none"/>
        </w:rPr>
        <w:t>有违法违规行为的原评审委员会成员不得参加重新组建的评审委员会。</w:t>
      </w:r>
    </w:p>
    <w:p>
      <w:pPr>
        <w:ind w:firstLine="411" w:firstLineChars="196"/>
        <w:rPr>
          <w:rFonts w:ascii="宋体" w:hAnsi="宋体"/>
          <w:szCs w:val="21"/>
          <w:highlight w:val="none"/>
        </w:rPr>
      </w:pPr>
    </w:p>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定标及公示</w:t>
      </w:r>
    </w:p>
    <w:p>
      <w:pPr>
        <w:rPr>
          <w:rFonts w:ascii="黑体" w:hAnsi="宋体" w:eastAsia="黑体"/>
          <w:sz w:val="24"/>
          <w:highlight w:val="none"/>
        </w:rPr>
      </w:pPr>
      <w:r>
        <w:rPr>
          <w:rFonts w:hint="eastAsia" w:ascii="黑体" w:hAnsi="宋体" w:eastAsia="黑体"/>
          <w:sz w:val="24"/>
          <w:highlight w:val="none"/>
        </w:rPr>
        <w:t>38．定标方法</w:t>
      </w:r>
    </w:p>
    <w:p>
      <w:pPr>
        <w:ind w:firstLine="411" w:firstLineChars="196"/>
        <w:rPr>
          <w:rFonts w:ascii="宋体" w:hAnsi="宋体"/>
          <w:szCs w:val="21"/>
          <w:highlight w:val="none"/>
        </w:rPr>
      </w:pPr>
      <w:bookmarkStart w:id="65" w:name="_Hlk73782795"/>
      <w:r>
        <w:rPr>
          <w:rFonts w:hint="eastAsia" w:ascii="宋体" w:hAnsi="宋体"/>
          <w:szCs w:val="21"/>
          <w:highlight w:val="none"/>
        </w:rPr>
        <w:t>38.1非评定分离项目定标方法</w:t>
      </w:r>
    </w:p>
    <w:p>
      <w:pPr>
        <w:ind w:firstLine="411" w:firstLineChars="196"/>
        <w:rPr>
          <w:rFonts w:ascii="宋体" w:hAnsi="宋体"/>
          <w:szCs w:val="21"/>
          <w:highlight w:val="none"/>
        </w:rPr>
      </w:pPr>
      <w:r>
        <w:rPr>
          <w:rFonts w:hint="eastAsia" w:ascii="宋体" w:hAnsi="宋体"/>
          <w:szCs w:val="21"/>
          <w:highlight w:val="none"/>
        </w:rPr>
        <w:t>38</w:t>
      </w:r>
      <w:r>
        <w:rPr>
          <w:rFonts w:ascii="宋体" w:hAnsi="宋体"/>
          <w:szCs w:val="21"/>
          <w:highlight w:val="none"/>
        </w:rPr>
        <w:t>.</w:t>
      </w:r>
      <w:r>
        <w:rPr>
          <w:rFonts w:hint="eastAsia" w:ascii="宋体" w:hAnsi="宋体"/>
          <w:szCs w:val="21"/>
          <w:highlight w:val="none"/>
        </w:rPr>
        <w:t>1.1评审委员会依据本项目招标文件所约定的评审方法进行评审和比较，向政府集中采购机构提交书面评审报告，并根据评审方法比较评价结果从优到劣进行排序，确定候选中标供应商。</w:t>
      </w:r>
    </w:p>
    <w:p>
      <w:pPr>
        <w:ind w:firstLine="411" w:firstLineChars="196"/>
        <w:rPr>
          <w:rFonts w:ascii="ˎ̥" w:hAnsi="ˎ̥"/>
          <w:highlight w:val="none"/>
        </w:rPr>
      </w:pPr>
      <w:r>
        <w:rPr>
          <w:rFonts w:hint="eastAsia" w:ascii="ˎ̥" w:hAnsi="ˎ̥"/>
          <w:highlight w:val="none"/>
        </w:rPr>
        <w:t>38.1.2采用最低价法的，评审结果按投标报价由低到高顺序排列。投标报价相同的并列。投标文件满足招标文件全部实质性要求且投标报价最低的投标人为中标供应商（排名第二的投标人为第一替补中标候选人、排名第三的投标人为第二替补中标候选人）。出现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pPr>
        <w:ind w:firstLine="411" w:firstLineChars="196"/>
        <w:rPr>
          <w:rFonts w:ascii="ˎ̥" w:hAnsi="ˎ̥"/>
          <w:highlight w:val="none"/>
        </w:rPr>
      </w:pPr>
      <w:r>
        <w:rPr>
          <w:rFonts w:hint="eastAsia" w:ascii="ˎ̥" w:hAnsi="ˎ̥"/>
          <w:highlight w:val="none"/>
        </w:rPr>
        <w:t>38.1.3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中标供应商（排名第二的投标人为第一替补中标候选人、排名第三的投标人为第二替补中标候选人）。出现得分且投标报价相同的并列情况时，采取随机抽取的方式确定。（抽签原则：在深圳公共资源交易中心（深圳交易集团有限公司龙华分公司）的组织下，由评标委员会作为抽签小组进行随机抽签确定排序。（1）编号。抽签小组按上传投标文件的时间先后确定抽签编号，如A 公司上传投标文件的时间最早，则抽签编号为1，以此类推。（2）抽签。按抽签编号的数量在摇号机放入相应数量及对应编号的号码球，抽签小组成员随机抽取号码球，按抽出号码球的顺序，确定号码球对应的供应商排序。（3）确认结果。全体抽签小组成员签字确认抽签结果。）</w:t>
      </w:r>
    </w:p>
    <w:p>
      <w:pPr>
        <w:ind w:firstLine="411" w:firstLineChars="196"/>
        <w:rPr>
          <w:rFonts w:ascii="宋体" w:hAnsi="宋体"/>
          <w:szCs w:val="21"/>
          <w:highlight w:val="none"/>
        </w:rPr>
      </w:pPr>
      <w:r>
        <w:rPr>
          <w:rFonts w:hint="eastAsia" w:ascii="宋体" w:hAnsi="宋体"/>
          <w:szCs w:val="21"/>
          <w:highlight w:val="none"/>
        </w:rPr>
        <w:t>38.2评定分离项目定标方法</w:t>
      </w:r>
    </w:p>
    <w:p>
      <w:pPr>
        <w:ind w:firstLine="411" w:firstLineChars="196"/>
        <w:rPr>
          <w:rFonts w:ascii="宋体" w:hAnsi="宋体"/>
          <w:szCs w:val="21"/>
          <w:highlight w:val="none"/>
        </w:rPr>
      </w:pPr>
      <w:r>
        <w:rPr>
          <w:rFonts w:hint="eastAsia" w:ascii="宋体" w:hAnsi="宋体"/>
          <w:szCs w:val="21"/>
          <w:highlight w:val="none"/>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pPr>
        <w:ind w:firstLine="411" w:firstLineChars="196"/>
        <w:rPr>
          <w:highlight w:val="none"/>
        </w:rPr>
      </w:pPr>
      <w:r>
        <w:rPr>
          <w:rFonts w:ascii="宋体" w:hAnsi="宋体"/>
          <w:szCs w:val="21"/>
          <w:highlight w:val="none"/>
        </w:rPr>
        <w:t xml:space="preserve">38.2.2 </w:t>
      </w:r>
      <w:bookmarkStart w:id="66" w:name="_Hlk71469733"/>
      <w:r>
        <w:rPr>
          <w:highlight w:val="none"/>
        </w:rPr>
        <w:t>适用评定分离的政府采购项目，采用综合评分法评</w:t>
      </w:r>
      <w:r>
        <w:rPr>
          <w:rFonts w:hint="eastAsia"/>
          <w:highlight w:val="none"/>
        </w:rPr>
        <w:t>审。</w:t>
      </w:r>
      <w:r>
        <w:rPr>
          <w:rFonts w:hint="eastAsia" w:ascii="宋体" w:hAnsi="宋体"/>
          <w:szCs w:val="21"/>
          <w:highlight w:val="none"/>
        </w:rPr>
        <w:t>评审委员会按照评审结果，推荐</w:t>
      </w:r>
      <w:r>
        <w:rPr>
          <w:highlight w:val="none"/>
        </w:rPr>
        <w:t>三个合格的候选中标供应商。</w:t>
      </w:r>
    </w:p>
    <w:p>
      <w:pPr>
        <w:ind w:firstLine="411" w:firstLineChars="196"/>
        <w:rPr>
          <w:rFonts w:ascii="宋体" w:hAnsi="宋体"/>
          <w:szCs w:val="21"/>
          <w:highlight w:val="none"/>
        </w:rPr>
      </w:pPr>
      <w:r>
        <w:rPr>
          <w:rFonts w:hint="eastAsia" w:ascii="宋体" w:hAnsi="宋体"/>
          <w:szCs w:val="21"/>
          <w:highlight w:val="none"/>
        </w:rPr>
        <w:t>38.2.3</w:t>
      </w:r>
      <w:bookmarkStart w:id="67" w:name="_Hlk71469688"/>
      <w:r>
        <w:rPr>
          <w:highlight w:val="none"/>
        </w:rPr>
        <w:t>适用评定分离的政府采购项目，</w:t>
      </w:r>
      <w:r>
        <w:rPr>
          <w:rFonts w:hint="eastAsia" w:ascii="宋体" w:hAnsi="宋体"/>
          <w:szCs w:val="21"/>
          <w:highlight w:val="none"/>
        </w:rPr>
        <w:t>按照自定法确定中标供应商：自定法是指采购人组织定标委员会，由定标委员会在三家候选中标供应商中确定中标供应商。</w:t>
      </w:r>
      <w:bookmarkEnd w:id="66"/>
      <w:bookmarkEnd w:id="67"/>
    </w:p>
    <w:p>
      <w:pPr>
        <w:ind w:firstLine="411" w:firstLineChars="196"/>
        <w:rPr>
          <w:rFonts w:ascii="宋体" w:hAnsi="宋体"/>
          <w:szCs w:val="21"/>
          <w:highlight w:val="none"/>
        </w:rPr>
      </w:pPr>
      <w:r>
        <w:rPr>
          <w:rFonts w:ascii="宋体" w:hAnsi="宋体"/>
          <w:szCs w:val="21"/>
          <w:highlight w:val="none"/>
        </w:rPr>
        <w:t>38.2.4</w:t>
      </w:r>
      <w:r>
        <w:rPr>
          <w:rFonts w:hint="eastAsia" w:ascii="宋体" w:hAnsi="宋体"/>
          <w:szCs w:val="21"/>
          <w:highlight w:val="none"/>
        </w:rPr>
        <w:t>政府集中采购机构</w:t>
      </w:r>
      <w:r>
        <w:rPr>
          <w:highlight w:val="none"/>
        </w:rPr>
        <w:t>应当自评审结束之日起两个工作日内将候选中标供应商名单及其投标文件、评审报告送交采购人</w:t>
      </w:r>
      <w:r>
        <w:rPr>
          <w:rFonts w:hint="eastAsia" w:ascii="宋体" w:hAnsi="宋体"/>
          <w:szCs w:val="21"/>
          <w:highlight w:val="none"/>
        </w:rPr>
        <w:t>。</w:t>
      </w:r>
      <w:r>
        <w:rPr>
          <w:highlight w:val="none"/>
        </w:rPr>
        <w:t>采购人应当安排专人对定标过程进行书面记录，形成定标报告，作为采购文件的组成部分存档，并及时将定标结果反馈</w:t>
      </w:r>
      <w:r>
        <w:rPr>
          <w:rFonts w:hint="eastAsia"/>
          <w:highlight w:val="none"/>
        </w:rPr>
        <w:t>政府集中采购机构。具体定标程序及相关要求以按照《</w:t>
      </w:r>
      <w:r>
        <w:rPr>
          <w:highlight w:val="none"/>
        </w:rPr>
        <w:t>深圳市财政局关于印发</w:t>
      </w:r>
      <w:r>
        <w:rPr>
          <w:rFonts w:hint="eastAsia" w:ascii="宋体" w:hAnsi="宋体"/>
          <w:highlight w:val="none"/>
        </w:rPr>
        <w:t>〈</w:t>
      </w:r>
      <w:r>
        <w:rPr>
          <w:highlight w:val="none"/>
        </w:rPr>
        <w:t>深圳市政府采购评标定标分离管理办法</w:t>
      </w:r>
      <w:r>
        <w:rPr>
          <w:rFonts w:hint="eastAsia" w:ascii="宋体" w:hAnsi="宋体"/>
          <w:highlight w:val="none"/>
        </w:rPr>
        <w:t>〉</w:t>
      </w:r>
      <w:r>
        <w:rPr>
          <w:highlight w:val="none"/>
        </w:rPr>
        <w:t>的通知</w:t>
      </w:r>
      <w:r>
        <w:rPr>
          <w:rFonts w:hint="eastAsia"/>
          <w:highlight w:val="none"/>
        </w:rPr>
        <w:t>》（深财规【2</w:t>
      </w:r>
      <w:r>
        <w:rPr>
          <w:highlight w:val="none"/>
        </w:rPr>
        <w:t>020</w:t>
      </w:r>
      <w:r>
        <w:rPr>
          <w:rFonts w:hint="eastAsia"/>
          <w:highlight w:val="none"/>
        </w:rPr>
        <w:t>】1号）执行。</w:t>
      </w:r>
    </w:p>
    <w:p>
      <w:pPr>
        <w:ind w:firstLine="411" w:firstLineChars="196"/>
        <w:rPr>
          <w:rFonts w:ascii="宋体" w:hAnsi="宋体"/>
          <w:szCs w:val="21"/>
          <w:highlight w:val="none"/>
        </w:rPr>
      </w:pPr>
      <w:r>
        <w:rPr>
          <w:rFonts w:hint="eastAsia" w:ascii="宋体" w:hAnsi="宋体"/>
          <w:szCs w:val="21"/>
          <w:highlight w:val="none"/>
        </w:rPr>
        <w:t>说明：采购人及投标供应商应按照上述方法提前做好相关准备。</w:t>
      </w:r>
    </w:p>
    <w:p>
      <w:pPr>
        <w:ind w:firstLine="411" w:firstLineChars="196"/>
        <w:rPr>
          <w:rFonts w:ascii="宋体" w:hAnsi="宋体"/>
          <w:szCs w:val="21"/>
          <w:highlight w:val="none"/>
        </w:rPr>
      </w:pPr>
      <w:r>
        <w:rPr>
          <w:rFonts w:hint="eastAsia" w:ascii="宋体" w:hAnsi="宋体"/>
          <w:szCs w:val="21"/>
          <w:highlight w:val="none"/>
        </w:rPr>
        <w:t>38.3专用条款另有规定的，按专用条款相关要求定标。</w:t>
      </w:r>
      <w:bookmarkEnd w:id="65"/>
    </w:p>
    <w:p>
      <w:pPr>
        <w:rPr>
          <w:rFonts w:ascii="黑体" w:hAnsi="宋体" w:eastAsia="黑体"/>
          <w:sz w:val="24"/>
          <w:highlight w:val="none"/>
        </w:rPr>
      </w:pPr>
      <w:r>
        <w:rPr>
          <w:rFonts w:hint="eastAsia" w:ascii="黑体" w:hAnsi="宋体" w:eastAsia="黑体"/>
          <w:sz w:val="24"/>
          <w:highlight w:val="none"/>
        </w:rPr>
        <w:t>39．编写评审报告</w:t>
      </w:r>
    </w:p>
    <w:p>
      <w:pPr>
        <w:ind w:firstLine="411" w:firstLineChars="196"/>
        <w:rPr>
          <w:rFonts w:ascii="宋体" w:hAnsi="宋体"/>
          <w:szCs w:val="21"/>
          <w:highlight w:val="none"/>
        </w:rPr>
      </w:pPr>
      <w:r>
        <w:rPr>
          <w:rFonts w:hint="eastAsia" w:ascii="宋体" w:hAnsi="宋体"/>
          <w:szCs w:val="21"/>
          <w:highlight w:val="none"/>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pPr>
        <w:rPr>
          <w:rFonts w:ascii="黑体" w:hAnsi="宋体" w:eastAsia="黑体"/>
          <w:sz w:val="24"/>
          <w:highlight w:val="none"/>
        </w:rPr>
      </w:pPr>
      <w:r>
        <w:rPr>
          <w:rFonts w:hint="eastAsia" w:ascii="黑体" w:hAnsi="宋体" w:eastAsia="黑体"/>
          <w:sz w:val="24"/>
          <w:highlight w:val="none"/>
        </w:rPr>
        <w:t>40．中标公告</w:t>
      </w:r>
    </w:p>
    <w:p>
      <w:pPr>
        <w:ind w:firstLine="411" w:firstLineChars="196"/>
        <w:rPr>
          <w:rFonts w:ascii="宋体" w:hAnsi="宋体"/>
          <w:szCs w:val="21"/>
          <w:highlight w:val="none"/>
        </w:rPr>
      </w:pPr>
      <w:r>
        <w:rPr>
          <w:rFonts w:hint="eastAsia" w:ascii="宋体" w:hAnsi="宋体"/>
          <w:szCs w:val="21"/>
          <w:highlight w:val="none"/>
        </w:rPr>
        <w:t>40.1</w:t>
      </w:r>
      <w:bookmarkStart w:id="68" w:name="_Hlk72438709"/>
      <w:r>
        <w:rPr>
          <w:rFonts w:hint="eastAsia" w:ascii="宋体" w:hAnsi="宋体"/>
          <w:szCs w:val="21"/>
          <w:highlight w:val="none"/>
        </w:rPr>
        <w:t>为体现“公开、公平、公正”的原则，评审结束后经采购人确认（确定）评审结果，政府集中采购机构将在</w:t>
      </w:r>
      <w:r>
        <w:rPr>
          <w:rFonts w:hint="eastAsia" w:ascii="宋体" w:hAnsi="宋体"/>
          <w:b/>
          <w:bCs/>
          <w:highlight w:val="none"/>
        </w:rPr>
        <w:t>深圳政府采购自行采购系统</w:t>
      </w:r>
      <w:r>
        <w:rPr>
          <w:rFonts w:hint="eastAsia" w:ascii="宋体" w:hAnsi="宋体"/>
          <w:b/>
          <w:bCs/>
          <w:szCs w:val="21"/>
          <w:highlight w:val="none"/>
        </w:rPr>
        <w:t>（https://zxcg.szggzy.com/home/index.html）</w:t>
      </w:r>
      <w:r>
        <w:rPr>
          <w:rFonts w:hint="eastAsia" w:ascii="宋体" w:hAnsi="宋体"/>
          <w:szCs w:val="21"/>
          <w:highlight w:val="none"/>
        </w:rPr>
        <w:t>上发布中标结果公告。</w:t>
      </w:r>
      <w:bookmarkEnd w:id="68"/>
      <w:bookmarkStart w:id="69" w:name="_Hlk72438751"/>
      <w:r>
        <w:rPr>
          <w:rFonts w:hint="eastAsia" w:ascii="宋体" w:hAnsi="宋体"/>
          <w:szCs w:val="21"/>
          <w:highlight w:val="none"/>
        </w:rPr>
        <w:t>供应商如对评审结果有异议，</w:t>
      </w:r>
      <w:r>
        <w:rPr>
          <w:rFonts w:ascii="宋体" w:hAnsi="宋体"/>
          <w:szCs w:val="21"/>
          <w:highlight w:val="none"/>
        </w:rPr>
        <w:t>可在发布公示日期起</w:t>
      </w:r>
      <w:r>
        <w:rPr>
          <w:rFonts w:hint="eastAsia" w:ascii="宋体" w:hAnsi="宋体"/>
          <w:szCs w:val="21"/>
          <w:highlight w:val="none"/>
        </w:rPr>
        <w:t>七</w:t>
      </w:r>
      <w:r>
        <w:rPr>
          <w:rFonts w:ascii="宋体" w:hAnsi="宋体"/>
          <w:szCs w:val="21"/>
          <w:highlight w:val="none"/>
        </w:rPr>
        <w:t>个工作日内向</w:t>
      </w:r>
      <w:r>
        <w:rPr>
          <w:rFonts w:hint="eastAsia" w:ascii="宋体" w:hAnsi="宋体"/>
          <w:szCs w:val="21"/>
          <w:highlight w:val="none"/>
        </w:rPr>
        <w:t>政府集中采购机构</w:t>
      </w:r>
      <w:r>
        <w:rPr>
          <w:rFonts w:ascii="宋体" w:hAnsi="宋体"/>
          <w:szCs w:val="21"/>
          <w:highlight w:val="none"/>
        </w:rPr>
        <w:t>提出。 监督电话：0755-83948143。</w:t>
      </w:r>
      <w:r>
        <w:rPr>
          <w:rFonts w:hint="eastAsia" w:ascii="宋体" w:hAnsi="宋体"/>
          <w:szCs w:val="21"/>
          <w:highlight w:val="none"/>
        </w:rPr>
        <w:t>若在公示期内未提出质疑，则视为认同该评审结果。</w:t>
      </w:r>
    </w:p>
    <w:bookmarkEnd w:id="69"/>
    <w:p>
      <w:pPr>
        <w:ind w:firstLine="411" w:firstLineChars="196"/>
        <w:rPr>
          <w:rFonts w:ascii="宋体" w:hAnsi="宋体"/>
          <w:szCs w:val="21"/>
          <w:highlight w:val="none"/>
        </w:rPr>
      </w:pPr>
      <w:r>
        <w:rPr>
          <w:rFonts w:hint="eastAsia" w:ascii="宋体" w:hAnsi="宋体"/>
          <w:szCs w:val="21"/>
          <w:highlight w:val="none"/>
        </w:rPr>
        <w:t>40.2质疑、投诉供应商应保证质疑、投诉内容的真实性和可靠性，并承担相应的法律责任。</w:t>
      </w:r>
    </w:p>
    <w:p>
      <w:pPr>
        <w:rPr>
          <w:rFonts w:ascii="黑体" w:hAnsi="宋体" w:eastAsia="黑体"/>
          <w:sz w:val="24"/>
          <w:highlight w:val="none"/>
        </w:rPr>
      </w:pPr>
      <w:r>
        <w:rPr>
          <w:rFonts w:hint="eastAsia" w:ascii="黑体" w:hAnsi="宋体" w:eastAsia="黑体"/>
          <w:sz w:val="24"/>
          <w:highlight w:val="none"/>
        </w:rPr>
        <w:t>41．中标通知书</w:t>
      </w:r>
    </w:p>
    <w:p>
      <w:pPr>
        <w:ind w:firstLine="411" w:firstLineChars="196"/>
        <w:rPr>
          <w:rFonts w:ascii="宋体" w:hAnsi="宋体"/>
          <w:szCs w:val="21"/>
          <w:highlight w:val="none"/>
        </w:rPr>
      </w:pPr>
      <w:r>
        <w:rPr>
          <w:rFonts w:hint="eastAsia" w:ascii="宋体" w:hAnsi="宋体"/>
          <w:szCs w:val="21"/>
          <w:highlight w:val="none"/>
        </w:rPr>
        <w:t>41</w:t>
      </w:r>
      <w:r>
        <w:rPr>
          <w:rFonts w:ascii="宋体" w:hAnsi="宋体"/>
          <w:szCs w:val="21"/>
          <w:highlight w:val="none"/>
        </w:rPr>
        <w:t>.</w:t>
      </w:r>
      <w:r>
        <w:rPr>
          <w:rFonts w:hint="eastAsia" w:ascii="宋体" w:hAnsi="宋体"/>
          <w:szCs w:val="21"/>
          <w:highlight w:val="none"/>
        </w:rPr>
        <w:t>1</w:t>
      </w:r>
      <w:bookmarkStart w:id="70" w:name="_Hlk72438863"/>
      <w:r>
        <w:rPr>
          <w:rFonts w:hint="eastAsia" w:ascii="宋体" w:hAnsi="宋体"/>
          <w:szCs w:val="21"/>
          <w:highlight w:val="none"/>
        </w:rPr>
        <w:t>中标公告公布以后无异常的情况下,中标供应商和采购人可自行登录</w:t>
      </w:r>
      <w:r>
        <w:rPr>
          <w:rFonts w:hint="eastAsia" w:ascii="宋体" w:hAnsi="宋体"/>
          <w:b/>
          <w:bCs/>
          <w:szCs w:val="21"/>
          <w:highlight w:val="none"/>
        </w:rPr>
        <w:t>“</w:t>
      </w:r>
      <w:r>
        <w:rPr>
          <w:rFonts w:hint="eastAsia" w:ascii="宋体" w:hAnsi="宋体"/>
          <w:highlight w:val="none"/>
        </w:rPr>
        <w:t>深圳政府采购自行采购系统（https://trade.szggzy.com/ggzy/center/#/login）</w:t>
      </w:r>
      <w:r>
        <w:rPr>
          <w:rFonts w:hint="eastAsia" w:ascii="宋体" w:hAnsi="宋体"/>
          <w:b/>
          <w:bCs/>
          <w:szCs w:val="21"/>
          <w:highlight w:val="none"/>
        </w:rPr>
        <w:t>”</w:t>
      </w:r>
      <w:r>
        <w:rPr>
          <w:rFonts w:hint="eastAsia" w:ascii="宋体" w:hAnsi="宋体"/>
          <w:szCs w:val="21"/>
          <w:highlight w:val="none"/>
        </w:rPr>
        <w:t>上打印</w:t>
      </w:r>
      <w:r>
        <w:rPr>
          <w:rFonts w:hint="eastAsia" w:ascii="宋体" w:hAnsi="宋体"/>
          <w:b/>
          <w:szCs w:val="21"/>
          <w:highlight w:val="none"/>
        </w:rPr>
        <w:t>《数字中标通知书》</w:t>
      </w:r>
      <w:r>
        <w:rPr>
          <w:rFonts w:hint="eastAsia" w:ascii="宋体" w:hAnsi="宋体"/>
          <w:szCs w:val="21"/>
          <w:highlight w:val="none"/>
        </w:rPr>
        <w:t>。</w:t>
      </w:r>
      <w:bookmarkEnd w:id="70"/>
    </w:p>
    <w:p>
      <w:pPr>
        <w:ind w:firstLine="411" w:firstLineChars="196"/>
        <w:rPr>
          <w:rFonts w:ascii="宋体" w:hAnsi="宋体"/>
          <w:szCs w:val="21"/>
          <w:highlight w:val="none"/>
        </w:rPr>
      </w:pPr>
      <w:r>
        <w:rPr>
          <w:rFonts w:hint="eastAsia" w:ascii="宋体" w:hAnsi="宋体"/>
          <w:szCs w:val="21"/>
          <w:highlight w:val="none"/>
        </w:rPr>
        <w:t>41</w:t>
      </w:r>
      <w:r>
        <w:rPr>
          <w:rFonts w:ascii="宋体" w:hAnsi="宋体"/>
          <w:szCs w:val="21"/>
          <w:highlight w:val="none"/>
        </w:rPr>
        <w:t>.2</w:t>
      </w:r>
      <w:r>
        <w:rPr>
          <w:rFonts w:hint="eastAsia" w:ascii="宋体" w:hAnsi="宋体"/>
          <w:szCs w:val="21"/>
          <w:highlight w:val="none"/>
        </w:rPr>
        <w:t>中标通知书是合同的重要组成部分。</w:t>
      </w:r>
    </w:p>
    <w:p>
      <w:pPr>
        <w:ind w:firstLine="411" w:firstLineChars="196"/>
        <w:rPr>
          <w:rFonts w:ascii="宋体" w:hAnsi="宋体"/>
          <w:szCs w:val="21"/>
          <w:highlight w:val="none"/>
        </w:rPr>
      </w:pPr>
      <w:bookmarkStart w:id="71" w:name="_Hlk71407340"/>
      <w:r>
        <w:rPr>
          <w:rFonts w:hint="eastAsia" w:ascii="宋体" w:hAnsi="宋体"/>
          <w:szCs w:val="21"/>
          <w:highlight w:val="none"/>
        </w:rPr>
        <w:t>41.3因质疑投诉或其它原因导致项目结果变更或采购终止的，政府集中采购机构有权吊销中标通知书。</w:t>
      </w:r>
    </w:p>
    <w:bookmarkEnd w:id="71"/>
    <w:p>
      <w:pPr>
        <w:ind w:firstLine="411" w:firstLineChars="196"/>
        <w:rPr>
          <w:rFonts w:ascii="宋体" w:hAnsi="宋体"/>
          <w:szCs w:val="21"/>
          <w:highlight w:val="none"/>
        </w:rPr>
      </w:pPr>
    </w:p>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公开招标失败的后续处理</w:t>
      </w:r>
    </w:p>
    <w:p>
      <w:pPr>
        <w:rPr>
          <w:rFonts w:ascii="黑体" w:hAnsi="宋体" w:eastAsia="黑体"/>
          <w:sz w:val="24"/>
          <w:highlight w:val="none"/>
        </w:rPr>
      </w:pPr>
      <w:r>
        <w:rPr>
          <w:rFonts w:hint="eastAsia" w:ascii="黑体" w:hAnsi="宋体" w:eastAsia="黑体"/>
          <w:sz w:val="24"/>
          <w:highlight w:val="none"/>
        </w:rPr>
        <w:t>42．公开招标失败的处理</w:t>
      </w:r>
    </w:p>
    <w:p>
      <w:pPr>
        <w:ind w:firstLine="411" w:firstLineChars="196"/>
        <w:rPr>
          <w:rFonts w:ascii="宋体" w:hAnsi="宋体"/>
          <w:highlight w:val="none"/>
        </w:rPr>
      </w:pPr>
      <w:r>
        <w:rPr>
          <w:rFonts w:hint="eastAsia" w:ascii="宋体" w:hAnsi="宋体"/>
          <w:szCs w:val="21"/>
          <w:highlight w:val="none"/>
        </w:rPr>
        <w:t>42.1本项目公开招标过程中若由于投标截止后</w:t>
      </w:r>
      <w:r>
        <w:rPr>
          <w:rFonts w:hint="eastAsia" w:ascii="宋体" w:hAnsi="宋体"/>
          <w:highlight w:val="none"/>
        </w:rPr>
        <w:t>实际递交</w:t>
      </w:r>
      <w:r>
        <w:rPr>
          <w:rFonts w:ascii="宋体" w:hAnsi="宋体"/>
          <w:highlight w:val="none"/>
        </w:rPr>
        <w:t>投标</w:t>
      </w:r>
      <w:r>
        <w:rPr>
          <w:rFonts w:hint="eastAsia" w:ascii="宋体" w:hAnsi="宋体"/>
          <w:highlight w:val="none"/>
        </w:rPr>
        <w:t>文件的供应商数量不足、经</w:t>
      </w:r>
      <w:r>
        <w:rPr>
          <w:rFonts w:hint="eastAsia" w:ascii="宋体" w:hAnsi="宋体"/>
          <w:szCs w:val="21"/>
          <w:highlight w:val="none"/>
        </w:rPr>
        <w:t>评审委员会</w:t>
      </w:r>
      <w:r>
        <w:rPr>
          <w:rFonts w:hint="eastAsia" w:ascii="宋体" w:hAnsi="宋体"/>
          <w:highlight w:val="none"/>
        </w:rPr>
        <w:t>评审对招标文件作实质响应的供应商不足等原因造成公开招标失败，可由</w:t>
      </w:r>
      <w:r>
        <w:rPr>
          <w:rFonts w:hint="eastAsia" w:ascii="宋体" w:hAnsi="宋体" w:cs="宋体"/>
          <w:highlight w:val="none"/>
        </w:rPr>
        <w:t>政府集中采购机构</w:t>
      </w:r>
      <w:r>
        <w:rPr>
          <w:rFonts w:hint="eastAsia" w:ascii="宋体" w:hAnsi="宋体"/>
          <w:highlight w:val="none"/>
        </w:rPr>
        <w:t>重新组织采购。</w:t>
      </w:r>
    </w:p>
    <w:p>
      <w:pPr>
        <w:ind w:firstLine="411" w:firstLineChars="196"/>
        <w:rPr>
          <w:rFonts w:ascii="宋体" w:hAnsi="宋体"/>
          <w:szCs w:val="21"/>
          <w:highlight w:val="none"/>
        </w:rPr>
      </w:pPr>
      <w:r>
        <w:rPr>
          <w:rFonts w:hint="eastAsia" w:ascii="宋体" w:hAnsi="宋体"/>
          <w:szCs w:val="21"/>
          <w:highlight w:val="none"/>
        </w:rPr>
        <w:t>42.2对公开招标失败的项目，评审委员会在出具该项目招标失败结论的同时，可以提出重新采购组织形式的建议，以及进一步完善招标文件的资格、技术、商务要求的修改建议。</w:t>
      </w:r>
    </w:p>
    <w:p>
      <w:pPr>
        <w:ind w:firstLine="411" w:firstLineChars="196"/>
        <w:rPr>
          <w:rFonts w:ascii="宋体" w:hAnsi="宋体"/>
          <w:szCs w:val="21"/>
          <w:highlight w:val="none"/>
        </w:rPr>
      </w:pPr>
      <w:r>
        <w:rPr>
          <w:rFonts w:hint="eastAsia" w:ascii="宋体" w:hAnsi="宋体"/>
          <w:szCs w:val="21"/>
          <w:highlight w:val="none"/>
        </w:rPr>
        <w:t>42.3重新组织采购有以下两种组织形式：</w:t>
      </w:r>
    </w:p>
    <w:p>
      <w:pPr>
        <w:ind w:firstLine="411" w:firstLineChars="196"/>
        <w:rPr>
          <w:rFonts w:ascii="宋体" w:hAnsi="宋体"/>
          <w:highlight w:val="none"/>
        </w:rPr>
      </w:pPr>
      <w:r>
        <w:rPr>
          <w:rFonts w:hint="eastAsia" w:ascii="宋体" w:hAnsi="宋体"/>
          <w:highlight w:val="none"/>
        </w:rPr>
        <w:t>（1）由政府集中采购机构重新组织公开招标；</w:t>
      </w:r>
    </w:p>
    <w:p>
      <w:pPr>
        <w:ind w:firstLine="411" w:firstLineChars="196"/>
        <w:rPr>
          <w:rFonts w:ascii="宋体" w:hAnsi="宋体"/>
          <w:highlight w:val="none"/>
        </w:rPr>
      </w:pPr>
      <w:r>
        <w:rPr>
          <w:rFonts w:hint="eastAsia" w:ascii="宋体" w:hAnsi="宋体"/>
          <w:highlight w:val="none"/>
        </w:rPr>
        <w:t>（2）根据实际情况需要向同级财政部门提出非公开招标方式申请，经同级财政部门批准，公开招标失败采购项目可转为竞争性谈判或单一来源谈判方式采购。</w:t>
      </w:r>
    </w:p>
    <w:p>
      <w:pPr>
        <w:ind w:firstLine="411" w:firstLineChars="196"/>
        <w:rPr>
          <w:rFonts w:ascii="宋体" w:hAnsi="宋体"/>
          <w:highlight w:val="none"/>
        </w:rPr>
      </w:pPr>
      <w:r>
        <w:rPr>
          <w:rFonts w:hint="eastAsia" w:ascii="宋体" w:hAnsi="宋体"/>
          <w:highlight w:val="none"/>
        </w:rPr>
        <w:t>42.4公开招标失败的采购项目重新组织公开招标，由政府集中采购机构重新按公开招标流程组织采购活动。</w:t>
      </w:r>
    </w:p>
    <w:p>
      <w:pPr>
        <w:rPr>
          <w:rFonts w:ascii="宋体" w:hAnsi="宋体"/>
          <w:highlight w:val="none"/>
        </w:rPr>
      </w:pPr>
      <w:r>
        <w:rPr>
          <w:rFonts w:hint="eastAsia" w:ascii="黑体" w:hAnsi="宋体" w:eastAsia="黑体"/>
          <w:sz w:val="24"/>
          <w:highlight w:val="none"/>
        </w:rPr>
        <w:t xml:space="preserve">    </w:t>
      </w:r>
      <w:r>
        <w:rPr>
          <w:rFonts w:hint="eastAsia" w:ascii="宋体" w:hAnsi="宋体"/>
          <w:highlight w:val="none"/>
        </w:rPr>
        <w:t>42.5公开招标失败的采购项目经同级财政部门批准转为竞争性谈判或单一来源谈判方式采购的，按规定要求组织政府采购工作。</w:t>
      </w:r>
    </w:p>
    <w:p>
      <w:pPr>
        <w:rPr>
          <w:rFonts w:ascii="黑体" w:hAnsi="宋体" w:eastAsia="黑体"/>
          <w:sz w:val="24"/>
          <w:highlight w:val="none"/>
        </w:rPr>
      </w:pPr>
    </w:p>
    <w:p>
      <w:pPr>
        <w:pStyle w:val="5"/>
        <w:numPr>
          <w:ilvl w:val="0"/>
          <w:numId w:val="8"/>
        </w:numPr>
        <w:spacing w:before="156" w:beforeLines="50" w:after="156" w:afterLines="50"/>
        <w:ind w:left="562" w:hanging="562"/>
        <w:rPr>
          <w:sz w:val="28"/>
          <w:szCs w:val="28"/>
          <w:highlight w:val="none"/>
        </w:rPr>
      </w:pPr>
      <w:bookmarkStart w:id="72" w:name="_Hlk72439043"/>
      <w:r>
        <w:rPr>
          <w:rFonts w:hint="eastAsia"/>
          <w:sz w:val="28"/>
          <w:szCs w:val="28"/>
          <w:highlight w:val="none"/>
        </w:rPr>
        <w:t>合同的授予与备案</w:t>
      </w:r>
      <w:bookmarkEnd w:id="72"/>
    </w:p>
    <w:p>
      <w:pPr>
        <w:rPr>
          <w:rFonts w:ascii="黑体" w:hAnsi="宋体" w:eastAsia="黑体"/>
          <w:sz w:val="24"/>
          <w:highlight w:val="none"/>
        </w:rPr>
      </w:pPr>
      <w:bookmarkStart w:id="73" w:name="_Toc100052408"/>
      <w:bookmarkStart w:id="74" w:name="_Toc73521586"/>
      <w:bookmarkStart w:id="75" w:name="_Toc73517679"/>
      <w:bookmarkStart w:id="76" w:name="_Toc73518157"/>
      <w:bookmarkStart w:id="77" w:name="_Toc73521674"/>
      <w:bookmarkStart w:id="78" w:name="_Hlk72439088"/>
      <w:r>
        <w:rPr>
          <w:rFonts w:hint="eastAsia" w:ascii="黑体" w:hAnsi="宋体" w:eastAsia="黑体"/>
          <w:sz w:val="24"/>
          <w:highlight w:val="none"/>
        </w:rPr>
        <w:t>43．合同授予标准</w:t>
      </w:r>
      <w:bookmarkEnd w:id="73"/>
      <w:bookmarkEnd w:id="74"/>
      <w:bookmarkEnd w:id="75"/>
      <w:bookmarkEnd w:id="76"/>
      <w:bookmarkEnd w:id="77"/>
    </w:p>
    <w:p>
      <w:pPr>
        <w:ind w:firstLine="411" w:firstLineChars="196"/>
        <w:rPr>
          <w:rFonts w:ascii="宋体" w:hAnsi="宋体"/>
          <w:szCs w:val="21"/>
          <w:highlight w:val="none"/>
        </w:rPr>
      </w:pPr>
      <w:r>
        <w:rPr>
          <w:rFonts w:hint="eastAsia" w:ascii="宋体" w:hAnsi="宋体"/>
          <w:szCs w:val="21"/>
          <w:highlight w:val="none"/>
        </w:rPr>
        <w:t>本项目的合同将授予经本招标文件规定评审确定的中标供应商。</w:t>
      </w:r>
    </w:p>
    <w:p>
      <w:pPr>
        <w:rPr>
          <w:rFonts w:ascii="黑体" w:hAnsi="宋体" w:eastAsia="黑体"/>
          <w:sz w:val="24"/>
          <w:highlight w:val="none"/>
        </w:rPr>
      </w:pPr>
      <w:bookmarkStart w:id="79" w:name="_Toc73521587"/>
      <w:bookmarkStart w:id="80" w:name="_Toc73518158"/>
      <w:bookmarkStart w:id="81" w:name="_Toc100052409"/>
      <w:bookmarkStart w:id="82" w:name="_Toc73521675"/>
      <w:bookmarkStart w:id="83" w:name="_Toc73517680"/>
      <w:r>
        <w:rPr>
          <w:rFonts w:hint="eastAsia" w:ascii="黑体" w:hAnsi="宋体" w:eastAsia="黑体"/>
          <w:sz w:val="24"/>
          <w:highlight w:val="none"/>
        </w:rPr>
        <w:t>44．</w:t>
      </w:r>
      <w:bookmarkEnd w:id="79"/>
      <w:bookmarkEnd w:id="80"/>
      <w:bookmarkEnd w:id="81"/>
      <w:bookmarkEnd w:id="82"/>
      <w:bookmarkEnd w:id="83"/>
      <w:r>
        <w:rPr>
          <w:rFonts w:hint="eastAsia" w:ascii="黑体" w:hAnsi="宋体" w:eastAsia="黑体"/>
          <w:sz w:val="24"/>
          <w:highlight w:val="none"/>
        </w:rPr>
        <w:t>接受和拒绝任何或所有投标的权力</w:t>
      </w:r>
    </w:p>
    <w:p>
      <w:pPr>
        <w:ind w:firstLine="411" w:firstLineChars="196"/>
        <w:rPr>
          <w:rFonts w:ascii="宋体" w:hAnsi="宋体"/>
          <w:szCs w:val="21"/>
          <w:highlight w:val="none"/>
        </w:rPr>
      </w:pPr>
      <w:r>
        <w:rPr>
          <w:rFonts w:hint="eastAsia" w:ascii="宋体" w:hAnsi="宋体"/>
          <w:szCs w:val="21"/>
          <w:highlight w:val="none"/>
        </w:rPr>
        <w:t>政府集中采购机构和采购人保留在投标之前任何时候接受或拒绝任何投标或所有投标，以及宣布招标无效的权力，对受影响的投标人不承担任何责任，也无义务向受影响的投标人解释采取这一行动的理由。</w:t>
      </w:r>
    </w:p>
    <w:p>
      <w:pPr>
        <w:rPr>
          <w:rFonts w:ascii="黑体" w:hAnsi="宋体" w:eastAsia="黑体"/>
          <w:sz w:val="24"/>
          <w:highlight w:val="none"/>
        </w:rPr>
      </w:pPr>
      <w:bookmarkStart w:id="84" w:name="_Toc73521589"/>
      <w:bookmarkStart w:id="85" w:name="_Toc73518160"/>
      <w:bookmarkStart w:id="86" w:name="_Toc73517682"/>
      <w:bookmarkStart w:id="87" w:name="_Toc100052410"/>
      <w:bookmarkStart w:id="88" w:name="_Toc73521677"/>
      <w:r>
        <w:rPr>
          <w:rFonts w:hint="eastAsia" w:ascii="黑体" w:hAnsi="宋体" w:eastAsia="黑体"/>
          <w:sz w:val="24"/>
          <w:highlight w:val="none"/>
        </w:rPr>
        <w:t>45．合同的签订</w:t>
      </w:r>
      <w:bookmarkEnd w:id="84"/>
      <w:bookmarkEnd w:id="85"/>
      <w:bookmarkEnd w:id="86"/>
      <w:bookmarkEnd w:id="87"/>
      <w:bookmarkEnd w:id="88"/>
    </w:p>
    <w:p>
      <w:pPr>
        <w:ind w:firstLine="411" w:firstLineChars="196"/>
        <w:rPr>
          <w:rFonts w:ascii="宋体" w:hAnsi="宋体"/>
          <w:szCs w:val="21"/>
          <w:highlight w:val="none"/>
        </w:rPr>
      </w:pPr>
      <w:r>
        <w:rPr>
          <w:rFonts w:hint="eastAsia" w:ascii="宋体" w:hAnsi="宋体"/>
          <w:szCs w:val="21"/>
          <w:highlight w:val="none"/>
        </w:rPr>
        <w:t>45.1中标人将于中标通知书发出之日起十个工作日内，按照采购文件（招标文件和投标文件等）内容与采购人签订政府采购合同；合同的实质性内容应当符合招标文件的规定；</w:t>
      </w:r>
    </w:p>
    <w:p>
      <w:pPr>
        <w:ind w:firstLine="411" w:firstLineChars="196"/>
        <w:rPr>
          <w:rFonts w:ascii="宋体" w:hAnsi="宋体"/>
          <w:szCs w:val="21"/>
          <w:highlight w:val="none"/>
        </w:rPr>
      </w:pPr>
      <w:r>
        <w:rPr>
          <w:rFonts w:hint="eastAsia" w:ascii="宋体" w:hAnsi="宋体"/>
          <w:szCs w:val="21"/>
          <w:highlight w:val="none"/>
        </w:rPr>
        <w:t>45.2中标人如不按本通用条款第45</w:t>
      </w:r>
      <w:r>
        <w:rPr>
          <w:rFonts w:ascii="宋体" w:hAnsi="宋体"/>
          <w:szCs w:val="21"/>
          <w:highlight w:val="none"/>
        </w:rPr>
        <w:t>.1</w:t>
      </w:r>
      <w:r>
        <w:rPr>
          <w:rFonts w:hint="eastAsia" w:ascii="宋体" w:hAnsi="宋体"/>
          <w:szCs w:val="21"/>
          <w:highlight w:val="none"/>
        </w:rPr>
        <w:t>款的规定与采购人签订合同，</w:t>
      </w:r>
      <w:r>
        <w:rPr>
          <w:rFonts w:ascii="宋体" w:hAnsi="宋体" w:cs="宋体"/>
          <w:kern w:val="0"/>
          <w:szCs w:val="21"/>
          <w:highlight w:val="none"/>
        </w:rPr>
        <w:t>情节严重的，由</w:t>
      </w:r>
      <w:r>
        <w:rPr>
          <w:rFonts w:hint="eastAsia" w:ascii="宋体" w:hAnsi="宋体" w:cs="宋体"/>
          <w:kern w:val="0"/>
          <w:szCs w:val="21"/>
          <w:highlight w:val="none"/>
        </w:rPr>
        <w:t>同级财政</w:t>
      </w:r>
      <w:r>
        <w:rPr>
          <w:rFonts w:ascii="宋体" w:hAnsi="宋体" w:cs="宋体"/>
          <w:kern w:val="0"/>
          <w:szCs w:val="21"/>
          <w:highlight w:val="none"/>
        </w:rPr>
        <w:t>部门记入供应商诚信档案，予以通报</w:t>
      </w:r>
      <w:r>
        <w:rPr>
          <w:rFonts w:hint="eastAsia" w:ascii="宋体" w:hAnsi="宋体"/>
          <w:szCs w:val="21"/>
          <w:highlight w:val="none"/>
        </w:rPr>
        <w:t>；</w:t>
      </w:r>
    </w:p>
    <w:p>
      <w:pPr>
        <w:ind w:firstLine="411" w:firstLineChars="196"/>
        <w:rPr>
          <w:rFonts w:ascii="宋体" w:hAnsi="宋体"/>
          <w:szCs w:val="21"/>
          <w:highlight w:val="none"/>
        </w:rPr>
      </w:pPr>
      <w:r>
        <w:rPr>
          <w:rFonts w:hint="eastAsia" w:ascii="宋体" w:hAnsi="宋体"/>
          <w:szCs w:val="21"/>
          <w:highlight w:val="none"/>
        </w:rPr>
        <w:t>45.3中标人应当按照合同约定履行义务，完成中标项目，不得将中标项目转让（转包）给他人。</w:t>
      </w:r>
    </w:p>
    <w:p>
      <w:pPr>
        <w:rPr>
          <w:rFonts w:ascii="黑体" w:hAnsi="宋体" w:eastAsia="黑体"/>
          <w:sz w:val="24"/>
          <w:highlight w:val="none"/>
        </w:rPr>
      </w:pPr>
      <w:bookmarkStart w:id="89" w:name="_Toc73517683"/>
      <w:bookmarkStart w:id="90" w:name="_Toc100052411"/>
      <w:bookmarkStart w:id="91" w:name="_Toc73521590"/>
      <w:bookmarkStart w:id="92" w:name="_Toc73518161"/>
      <w:bookmarkStart w:id="93" w:name="_Toc73521678"/>
      <w:r>
        <w:rPr>
          <w:rFonts w:hint="eastAsia" w:ascii="黑体" w:hAnsi="宋体" w:eastAsia="黑体"/>
          <w:sz w:val="24"/>
          <w:highlight w:val="none"/>
        </w:rPr>
        <w:t>46．履约担保</w:t>
      </w:r>
      <w:bookmarkEnd w:id="89"/>
      <w:bookmarkEnd w:id="90"/>
      <w:bookmarkEnd w:id="91"/>
      <w:bookmarkEnd w:id="92"/>
      <w:bookmarkEnd w:id="93"/>
    </w:p>
    <w:p>
      <w:pPr>
        <w:ind w:firstLine="411" w:firstLineChars="196"/>
        <w:rPr>
          <w:rFonts w:ascii="宋体" w:hAnsi="宋体"/>
          <w:szCs w:val="21"/>
          <w:highlight w:val="none"/>
        </w:rPr>
      </w:pPr>
      <w:r>
        <w:rPr>
          <w:rFonts w:hint="eastAsia" w:ascii="宋体" w:hAnsi="宋体"/>
          <w:szCs w:val="21"/>
          <w:highlight w:val="none"/>
        </w:rPr>
        <w:t>46.1在签订项目合同的同时，中标人应按“对通用条款的补充内容”中规定的金额向采购人提交履约担保；</w:t>
      </w:r>
    </w:p>
    <w:p>
      <w:pPr>
        <w:ind w:firstLine="411" w:firstLineChars="196"/>
        <w:rPr>
          <w:rFonts w:ascii="宋体" w:hAnsi="宋体"/>
          <w:szCs w:val="21"/>
          <w:highlight w:val="none"/>
        </w:rPr>
      </w:pPr>
      <w:r>
        <w:rPr>
          <w:rFonts w:hint="eastAsia" w:ascii="宋体" w:hAnsi="宋体"/>
          <w:szCs w:val="21"/>
          <w:highlight w:val="none"/>
        </w:rPr>
        <w:t>46.2，允许供应商自主选择以支票、汇票、本票、保函等非现金方式提交履约担保；</w:t>
      </w:r>
      <w:r>
        <w:rPr>
          <w:highlight w:val="none"/>
        </w:rPr>
        <w:t>中标</w:t>
      </w:r>
      <w:r>
        <w:rPr>
          <w:rFonts w:hint="eastAsia"/>
          <w:highlight w:val="none"/>
        </w:rPr>
        <w:t>人</w:t>
      </w:r>
      <w:r>
        <w:rPr>
          <w:highlight w:val="none"/>
        </w:rPr>
        <w:t>提交履约</w:t>
      </w:r>
      <w:r>
        <w:rPr>
          <w:rFonts w:hint="eastAsia"/>
          <w:highlight w:val="none"/>
        </w:rPr>
        <w:t>担保不是</w:t>
      </w:r>
      <w:r>
        <w:rPr>
          <w:highlight w:val="none"/>
        </w:rPr>
        <w:t>合同签订的</w:t>
      </w:r>
      <w:r>
        <w:rPr>
          <w:rFonts w:hint="eastAsia"/>
          <w:highlight w:val="none"/>
        </w:rPr>
        <w:t>前提</w:t>
      </w:r>
      <w:r>
        <w:rPr>
          <w:highlight w:val="none"/>
        </w:rPr>
        <w:t>条件，不要求中标</w:t>
      </w:r>
      <w:r>
        <w:rPr>
          <w:rFonts w:hint="eastAsia"/>
          <w:highlight w:val="none"/>
        </w:rPr>
        <w:t>人</w:t>
      </w:r>
      <w:r>
        <w:rPr>
          <w:highlight w:val="none"/>
        </w:rPr>
        <w:t>提供除法律、法规明确规定外的其他担保</w:t>
      </w:r>
      <w:r>
        <w:rPr>
          <w:rFonts w:hint="eastAsia"/>
          <w:highlight w:val="none"/>
        </w:rPr>
        <w:t>。</w:t>
      </w:r>
    </w:p>
    <w:p>
      <w:pPr>
        <w:rPr>
          <w:rFonts w:ascii="黑体" w:hAnsi="宋体" w:eastAsia="黑体"/>
          <w:sz w:val="24"/>
          <w:highlight w:val="none"/>
        </w:rPr>
      </w:pPr>
      <w:r>
        <w:rPr>
          <w:rFonts w:hint="eastAsia" w:ascii="黑体" w:hAnsi="宋体" w:eastAsia="黑体"/>
          <w:sz w:val="24"/>
          <w:highlight w:val="none"/>
        </w:rPr>
        <w:t>47. 合同备案</w:t>
      </w:r>
    </w:p>
    <w:p>
      <w:pPr>
        <w:rPr>
          <w:rFonts w:ascii="黑体" w:hAnsi="宋体" w:eastAsia="黑体"/>
          <w:sz w:val="24"/>
          <w:highlight w:val="none"/>
        </w:rPr>
      </w:pPr>
      <w:r>
        <w:rPr>
          <w:rFonts w:hint="eastAsia" w:ascii="宋体" w:hAnsi="宋体" w:eastAsia="宋体" w:cs="Times New Roman"/>
          <w:szCs w:val="21"/>
          <w:highlight w:val="none"/>
          <w:lang w:eastAsia="zh-Hans"/>
        </w:rPr>
        <w:t>采购人与中标供应商自中标通知书发出之日起10个工作日内签订政府采购合同，</w:t>
      </w:r>
      <w:r>
        <w:rPr>
          <w:rFonts w:hint="eastAsia" w:ascii="宋体" w:hAnsi="宋体" w:eastAsia="宋体" w:cs="Times New Roman"/>
          <w:szCs w:val="21"/>
          <w:highlight w:val="none"/>
        </w:rPr>
        <w:t>并按财政部门规定提交备案。</w:t>
      </w:r>
      <w:r>
        <w:rPr>
          <w:rFonts w:hint="eastAsia" w:ascii="黑体" w:hAnsi="宋体" w:eastAsia="黑体"/>
          <w:sz w:val="24"/>
          <w:highlight w:val="none"/>
        </w:rPr>
        <w:t>48. 合同变更</w:t>
      </w:r>
    </w:p>
    <w:p>
      <w:pPr>
        <w:ind w:firstLine="411" w:firstLineChars="196"/>
        <w:rPr>
          <w:rFonts w:ascii="宋体" w:hAnsi="宋体"/>
          <w:szCs w:val="21"/>
          <w:highlight w:val="none"/>
        </w:rPr>
      </w:pPr>
      <w:r>
        <w:rPr>
          <w:rFonts w:hint="eastAsia" w:ascii="宋体" w:hAnsi="宋体"/>
          <w:szCs w:val="21"/>
          <w:highlight w:val="none"/>
        </w:rPr>
        <w:t>合同变更事宜按《深圳市财政局关于优化政府采购合同备案的通知》（深财发保〔2022〕2号）相关规定执行。</w:t>
      </w:r>
    </w:p>
    <w:p>
      <w:pPr>
        <w:rPr>
          <w:rFonts w:ascii="黑体" w:hAnsi="宋体" w:eastAsia="黑体"/>
          <w:sz w:val="24"/>
          <w:highlight w:val="none"/>
        </w:rPr>
      </w:pPr>
      <w:r>
        <w:rPr>
          <w:rFonts w:hint="eastAsia" w:ascii="黑体" w:hAnsi="宋体" w:eastAsia="黑体"/>
          <w:sz w:val="24"/>
          <w:highlight w:val="none"/>
        </w:rPr>
        <w:t>49. 项目验收</w:t>
      </w:r>
    </w:p>
    <w:p>
      <w:pPr>
        <w:widowControl/>
        <w:ind w:right="176" w:firstLine="420"/>
        <w:jc w:val="left"/>
        <w:rPr>
          <w:rFonts w:ascii="宋体" w:hAnsi="宋体"/>
          <w:highlight w:val="none"/>
        </w:rPr>
      </w:pPr>
      <w:r>
        <w:rPr>
          <w:rFonts w:hint="eastAsia" w:ascii="宋体" w:hAnsi="宋体"/>
          <w:highlight w:val="none"/>
        </w:rPr>
        <w:t>49.1采购人应当按照招标文件和合同规定的标准和方法，及时组织验收。</w:t>
      </w:r>
      <w:r>
        <w:rPr>
          <w:rFonts w:ascii="宋体" w:hAnsi="宋体"/>
          <w:highlight w:val="none"/>
        </w:rPr>
        <w:t xml:space="preserve"> </w:t>
      </w:r>
    </w:p>
    <w:p>
      <w:pPr>
        <w:rPr>
          <w:rFonts w:ascii="黑体" w:hAnsi="宋体" w:eastAsia="黑体"/>
          <w:sz w:val="24"/>
          <w:highlight w:val="none"/>
        </w:rPr>
      </w:pPr>
      <w:r>
        <w:rPr>
          <w:rFonts w:hint="eastAsia" w:ascii="黑体" w:hAnsi="宋体" w:eastAsia="黑体"/>
          <w:sz w:val="24"/>
          <w:highlight w:val="none"/>
        </w:rPr>
        <w:t>50. 宣传</w:t>
      </w:r>
    </w:p>
    <w:p>
      <w:pPr>
        <w:ind w:left="210" w:leftChars="100" w:firstLine="411" w:firstLineChars="196"/>
        <w:rPr>
          <w:rFonts w:ascii="宋体" w:hAnsi="宋体"/>
          <w:highlight w:val="none"/>
        </w:rPr>
      </w:pPr>
      <w:r>
        <w:rPr>
          <w:rFonts w:hint="eastAsia" w:ascii="宋体" w:hAnsi="宋体"/>
          <w:highlight w:val="none"/>
        </w:rPr>
        <w:t>凡与政府采购活动有关的宣传或广告，若当中提及政府采购，</w:t>
      </w:r>
      <w:r>
        <w:rPr>
          <w:rFonts w:ascii="宋体" w:hAnsi="宋体"/>
          <w:highlight w:val="none"/>
        </w:rPr>
        <w:t>必须事先将具体对外宣传方案报</w:t>
      </w:r>
      <w:r>
        <w:rPr>
          <w:rFonts w:hint="eastAsia" w:ascii="宋体" w:hAnsi="宋体"/>
          <w:highlight w:val="none"/>
        </w:rPr>
        <w:t>同级财政部门</w:t>
      </w:r>
      <w:r>
        <w:rPr>
          <w:rFonts w:ascii="宋体" w:hAnsi="宋体"/>
          <w:highlight w:val="none"/>
        </w:rPr>
        <w:t>和</w:t>
      </w:r>
      <w:r>
        <w:rPr>
          <w:rFonts w:hint="eastAsia" w:ascii="宋体" w:hAnsi="宋体"/>
          <w:highlight w:val="none"/>
        </w:rPr>
        <w:t>政府集中采购机构</w:t>
      </w:r>
      <w:r>
        <w:rPr>
          <w:rFonts w:ascii="宋体" w:hAnsi="宋体"/>
          <w:highlight w:val="none"/>
        </w:rPr>
        <w:t>，并征得其同意。对外市场宣传包括但不限于以下形式：</w:t>
      </w:r>
    </w:p>
    <w:p>
      <w:pPr>
        <w:ind w:left="210" w:leftChars="100" w:firstLine="411" w:firstLineChars="196"/>
        <w:rPr>
          <w:rFonts w:ascii="宋体" w:hAnsi="宋体"/>
          <w:highlight w:val="none"/>
        </w:rPr>
      </w:pPr>
      <w:r>
        <w:rPr>
          <w:rFonts w:ascii="宋体" w:hAnsi="宋体"/>
          <w:highlight w:val="none"/>
        </w:rPr>
        <w:t>a.名片、宣传册、广告标语等；</w:t>
      </w:r>
    </w:p>
    <w:p>
      <w:pPr>
        <w:ind w:left="210" w:leftChars="100" w:firstLine="411" w:firstLineChars="196"/>
        <w:rPr>
          <w:rFonts w:ascii="宋体" w:hAnsi="宋体"/>
          <w:highlight w:val="none"/>
        </w:rPr>
      </w:pPr>
      <w:r>
        <w:rPr>
          <w:rFonts w:ascii="宋体" w:hAnsi="宋体"/>
          <w:highlight w:val="none"/>
        </w:rPr>
        <w:t>b.案例介绍、推广等；</w:t>
      </w:r>
    </w:p>
    <w:p>
      <w:pPr>
        <w:ind w:left="210" w:leftChars="100" w:firstLine="411" w:firstLineChars="196"/>
        <w:rPr>
          <w:rFonts w:ascii="宋体" w:hAnsi="宋体"/>
          <w:highlight w:val="none"/>
        </w:rPr>
      </w:pPr>
      <w:r>
        <w:rPr>
          <w:rFonts w:hint="eastAsia" w:ascii="宋体" w:hAnsi="宋体"/>
          <w:highlight w:val="none"/>
        </w:rPr>
        <w:t>c.工作</w:t>
      </w:r>
      <w:r>
        <w:rPr>
          <w:rFonts w:ascii="宋体" w:hAnsi="宋体"/>
          <w:highlight w:val="none"/>
        </w:rPr>
        <w:t>人员向其他消费群体宣传。</w:t>
      </w:r>
    </w:p>
    <w:p>
      <w:pPr>
        <w:rPr>
          <w:rFonts w:ascii="黑体" w:hAnsi="宋体" w:eastAsia="黑体"/>
          <w:sz w:val="24"/>
          <w:highlight w:val="none"/>
        </w:rPr>
      </w:pPr>
      <w:r>
        <w:rPr>
          <w:rFonts w:hint="eastAsia" w:ascii="黑体" w:hAnsi="宋体" w:eastAsia="黑体"/>
          <w:sz w:val="24"/>
          <w:highlight w:val="none"/>
        </w:rPr>
        <w:t>51. 供应商违法责任</w:t>
      </w:r>
    </w:p>
    <w:p>
      <w:pPr>
        <w:ind w:firstLine="411" w:firstLineChars="196"/>
        <w:rPr>
          <w:rFonts w:ascii="宋体" w:hAnsi="宋体"/>
          <w:szCs w:val="21"/>
          <w:highlight w:val="none"/>
        </w:rPr>
      </w:pPr>
      <w:r>
        <w:rPr>
          <w:rFonts w:hint="eastAsia" w:ascii="宋体" w:hAnsi="宋体"/>
          <w:szCs w:val="21"/>
          <w:highlight w:val="none"/>
        </w:rPr>
        <w:t>5</w:t>
      </w:r>
      <w:r>
        <w:rPr>
          <w:rFonts w:ascii="宋体" w:hAnsi="宋体"/>
          <w:szCs w:val="21"/>
          <w:highlight w:val="none"/>
        </w:rPr>
        <w:t>1.1</w:t>
      </w:r>
      <w:r>
        <w:rPr>
          <w:rFonts w:hint="eastAsia" w:ascii="宋体" w:hAnsi="宋体"/>
          <w:szCs w:val="21"/>
          <w:highlight w:val="none"/>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ind w:firstLine="411" w:firstLineChars="196"/>
        <w:rPr>
          <w:rFonts w:ascii="宋体" w:hAnsi="宋体"/>
          <w:szCs w:val="21"/>
          <w:highlight w:val="none"/>
        </w:rPr>
      </w:pPr>
      <w:r>
        <w:rPr>
          <w:rFonts w:hint="eastAsia" w:ascii="宋体" w:hAnsi="宋体"/>
          <w:szCs w:val="21"/>
          <w:highlight w:val="none"/>
        </w:rPr>
        <w:t>（1）在采购活动中应当回避而未回避的；</w:t>
      </w:r>
    </w:p>
    <w:p>
      <w:pPr>
        <w:ind w:firstLine="411" w:firstLineChars="196"/>
        <w:rPr>
          <w:rFonts w:ascii="宋体" w:hAnsi="宋体"/>
          <w:szCs w:val="21"/>
          <w:highlight w:val="none"/>
        </w:rPr>
      </w:pPr>
      <w:r>
        <w:rPr>
          <w:rFonts w:hint="eastAsia" w:ascii="宋体" w:hAnsi="宋体"/>
          <w:szCs w:val="21"/>
          <w:highlight w:val="none"/>
        </w:rPr>
        <w:t>（2）未按本条例规定签订、履行采购合同，造成严重后果的；</w:t>
      </w:r>
    </w:p>
    <w:p>
      <w:pPr>
        <w:ind w:firstLine="411" w:firstLineChars="196"/>
        <w:rPr>
          <w:rFonts w:ascii="宋体" w:hAnsi="宋体"/>
          <w:szCs w:val="21"/>
          <w:highlight w:val="none"/>
        </w:rPr>
      </w:pPr>
      <w:r>
        <w:rPr>
          <w:rFonts w:hint="eastAsia" w:ascii="宋体" w:hAnsi="宋体"/>
          <w:szCs w:val="21"/>
          <w:highlight w:val="none"/>
        </w:rPr>
        <w:t>（3）隐瞒真实情况，提供虚假资料的；</w:t>
      </w:r>
    </w:p>
    <w:p>
      <w:pPr>
        <w:ind w:firstLine="411" w:firstLineChars="196"/>
        <w:rPr>
          <w:rFonts w:ascii="宋体" w:hAnsi="宋体"/>
          <w:szCs w:val="21"/>
          <w:highlight w:val="none"/>
        </w:rPr>
      </w:pPr>
      <w:r>
        <w:rPr>
          <w:rFonts w:hint="eastAsia" w:ascii="宋体" w:hAnsi="宋体"/>
          <w:szCs w:val="21"/>
          <w:highlight w:val="none"/>
        </w:rPr>
        <w:t>（4）以非法手段排斥其他供应商参与竞争的；</w:t>
      </w:r>
    </w:p>
    <w:p>
      <w:pPr>
        <w:ind w:firstLine="411" w:firstLineChars="196"/>
        <w:rPr>
          <w:rFonts w:ascii="宋体" w:hAnsi="宋体"/>
          <w:szCs w:val="21"/>
          <w:highlight w:val="none"/>
        </w:rPr>
      </w:pPr>
      <w:r>
        <w:rPr>
          <w:rFonts w:hint="eastAsia" w:ascii="宋体" w:hAnsi="宋体"/>
          <w:szCs w:val="21"/>
          <w:highlight w:val="none"/>
        </w:rPr>
        <w:t>（5）与其他采购参加人串通投标的；</w:t>
      </w:r>
    </w:p>
    <w:p>
      <w:pPr>
        <w:ind w:firstLine="411" w:firstLineChars="196"/>
        <w:rPr>
          <w:rFonts w:ascii="宋体" w:hAnsi="宋体"/>
          <w:szCs w:val="21"/>
          <w:highlight w:val="none"/>
        </w:rPr>
      </w:pPr>
      <w:r>
        <w:rPr>
          <w:rFonts w:hint="eastAsia" w:ascii="宋体" w:hAnsi="宋体"/>
          <w:szCs w:val="21"/>
          <w:highlight w:val="none"/>
        </w:rPr>
        <w:t>（6）恶意投诉的；</w:t>
      </w:r>
    </w:p>
    <w:p>
      <w:pPr>
        <w:ind w:firstLine="411" w:firstLineChars="196"/>
        <w:rPr>
          <w:rFonts w:ascii="宋体" w:hAnsi="宋体"/>
          <w:szCs w:val="21"/>
          <w:highlight w:val="none"/>
        </w:rPr>
      </w:pPr>
      <w:r>
        <w:rPr>
          <w:rFonts w:hint="eastAsia" w:ascii="宋体" w:hAnsi="宋体"/>
          <w:szCs w:val="21"/>
          <w:highlight w:val="none"/>
        </w:rPr>
        <w:t>（7）向采购项目相关人行贿或者提供其他不当利益的；</w:t>
      </w:r>
    </w:p>
    <w:p>
      <w:pPr>
        <w:ind w:firstLine="411" w:firstLineChars="196"/>
        <w:rPr>
          <w:rFonts w:ascii="宋体" w:hAnsi="宋体"/>
          <w:szCs w:val="21"/>
          <w:highlight w:val="none"/>
        </w:rPr>
      </w:pPr>
      <w:r>
        <w:rPr>
          <w:rFonts w:hint="eastAsia" w:ascii="宋体" w:hAnsi="宋体"/>
          <w:szCs w:val="21"/>
          <w:highlight w:val="none"/>
        </w:rPr>
        <w:t>（8）阻碍、抗拒主管部门监督检查的；</w:t>
      </w:r>
    </w:p>
    <w:p>
      <w:pPr>
        <w:ind w:firstLine="411" w:firstLineChars="196"/>
        <w:rPr>
          <w:rFonts w:ascii="宋体" w:hAnsi="宋体"/>
          <w:szCs w:val="21"/>
          <w:highlight w:val="none"/>
        </w:rPr>
      </w:pPr>
      <w:r>
        <w:rPr>
          <w:rFonts w:hint="eastAsia" w:ascii="宋体" w:hAnsi="宋体"/>
          <w:szCs w:val="21"/>
          <w:highlight w:val="none"/>
        </w:rPr>
        <w:t>（9）其他违反本条例规定的行为。</w:t>
      </w:r>
    </w:p>
    <w:p>
      <w:pPr>
        <w:ind w:firstLine="411" w:firstLineChars="196"/>
        <w:rPr>
          <w:rFonts w:ascii="宋体" w:hAnsi="宋体"/>
          <w:szCs w:val="21"/>
          <w:highlight w:val="none"/>
        </w:rPr>
      </w:pPr>
      <w:r>
        <w:rPr>
          <w:rFonts w:hint="eastAsia" w:ascii="宋体" w:hAnsi="宋体"/>
          <w:szCs w:val="21"/>
          <w:highlight w:val="none"/>
        </w:rPr>
        <w:t>5</w:t>
      </w:r>
      <w:r>
        <w:rPr>
          <w:rFonts w:ascii="宋体" w:hAnsi="宋体"/>
          <w:szCs w:val="21"/>
          <w:highlight w:val="none"/>
        </w:rPr>
        <w:t xml:space="preserve">1.2 </w:t>
      </w:r>
      <w:r>
        <w:rPr>
          <w:rFonts w:hint="eastAsia" w:ascii="宋体" w:hAnsi="宋体"/>
          <w:szCs w:val="21"/>
          <w:highlight w:val="none"/>
        </w:rPr>
        <w:t>根据《深圳市财政局关于调整政府采购投标（响应）保证金管理政策的通知 》（深财购〔2021〕51 号）的要求，供应商在政府采购活动中出现《深圳经济特区政府采购条例实施细则》第八十条所列情形的，</w:t>
      </w:r>
      <w:bookmarkStart w:id="94" w:name="_Hlk72440769"/>
      <w:r>
        <w:rPr>
          <w:rFonts w:hint="eastAsia" w:ascii="宋体" w:hAnsi="宋体"/>
          <w:szCs w:val="21"/>
          <w:highlight w:val="none"/>
        </w:rPr>
        <w:t>政府集中采购机构或采购人不予退还其交纳的谈判保证金，情节严重的，并由主管部门</w:t>
      </w:r>
      <w:bookmarkEnd w:id="94"/>
      <w:r>
        <w:rPr>
          <w:rFonts w:hint="eastAsia" w:ascii="宋体" w:hAnsi="宋体"/>
          <w:szCs w:val="21"/>
          <w:highlight w:val="none"/>
        </w:rPr>
        <w:t>记入供应商诚信档案，予以通报：</w:t>
      </w:r>
    </w:p>
    <w:p>
      <w:pPr>
        <w:ind w:firstLine="411" w:firstLineChars="196"/>
        <w:rPr>
          <w:rFonts w:ascii="宋体" w:hAnsi="宋体"/>
          <w:szCs w:val="21"/>
          <w:highlight w:val="none"/>
        </w:rPr>
      </w:pPr>
      <w:r>
        <w:rPr>
          <w:rFonts w:hint="eastAsia" w:ascii="宋体" w:hAnsi="宋体"/>
          <w:szCs w:val="21"/>
          <w:highlight w:val="none"/>
        </w:rPr>
        <w:t>（1</w:t>
      </w:r>
      <w:r>
        <w:rPr>
          <w:rFonts w:ascii="宋体" w:hAnsi="宋体"/>
          <w:szCs w:val="21"/>
          <w:highlight w:val="none"/>
        </w:rPr>
        <w:t>）投标截止后，撤销投标的；</w:t>
      </w:r>
    </w:p>
    <w:p>
      <w:pPr>
        <w:ind w:firstLine="411" w:firstLineChars="196"/>
        <w:rPr>
          <w:rFonts w:ascii="宋体" w:hAnsi="宋体"/>
          <w:szCs w:val="21"/>
          <w:highlight w:val="none"/>
        </w:rPr>
      </w:pPr>
      <w:r>
        <w:rPr>
          <w:rFonts w:ascii="宋体" w:hAnsi="宋体"/>
          <w:szCs w:val="21"/>
          <w:highlight w:val="none"/>
        </w:rPr>
        <w:t>（</w:t>
      </w:r>
      <w:r>
        <w:rPr>
          <w:rFonts w:hint="eastAsia" w:ascii="宋体" w:hAnsi="宋体"/>
          <w:szCs w:val="21"/>
          <w:highlight w:val="none"/>
        </w:rPr>
        <w:t>2</w:t>
      </w:r>
      <w:r>
        <w:rPr>
          <w:rFonts w:ascii="宋体" w:hAnsi="宋体"/>
          <w:szCs w:val="21"/>
          <w:highlight w:val="none"/>
        </w:rPr>
        <w:t>）中标后无正当理由未在规定期限内签订合同的；</w:t>
      </w:r>
    </w:p>
    <w:p>
      <w:pPr>
        <w:ind w:firstLine="411" w:firstLineChars="196"/>
        <w:rPr>
          <w:rFonts w:ascii="宋体" w:hAnsi="宋体"/>
          <w:szCs w:val="21"/>
          <w:highlight w:val="none"/>
        </w:rPr>
      </w:pPr>
      <w:r>
        <w:rPr>
          <w:rFonts w:ascii="宋体" w:hAnsi="宋体"/>
          <w:szCs w:val="21"/>
          <w:highlight w:val="none"/>
        </w:rPr>
        <w:t>（</w:t>
      </w:r>
      <w:r>
        <w:rPr>
          <w:rFonts w:hint="eastAsia" w:ascii="宋体" w:hAnsi="宋体"/>
          <w:szCs w:val="21"/>
          <w:highlight w:val="none"/>
        </w:rPr>
        <w:t>3</w:t>
      </w:r>
      <w:r>
        <w:rPr>
          <w:rFonts w:ascii="宋体" w:hAnsi="宋体"/>
          <w:szCs w:val="21"/>
          <w:highlight w:val="none"/>
        </w:rPr>
        <w:t>）将中标项目转让给他人、或者在投标文件中未说明且未经采购人、采购招标机构同意，将中标项目分包给他人的；</w:t>
      </w:r>
    </w:p>
    <w:p>
      <w:pPr>
        <w:ind w:firstLine="411" w:firstLineChars="196"/>
        <w:rPr>
          <w:rFonts w:ascii="宋体" w:hAnsi="宋体"/>
          <w:szCs w:val="21"/>
          <w:highlight w:val="none"/>
        </w:rPr>
      </w:pPr>
      <w:r>
        <w:rPr>
          <w:rFonts w:ascii="宋体" w:hAnsi="宋体"/>
          <w:szCs w:val="21"/>
          <w:highlight w:val="none"/>
        </w:rPr>
        <w:t>（</w:t>
      </w:r>
      <w:r>
        <w:rPr>
          <w:rFonts w:hint="eastAsia" w:ascii="宋体" w:hAnsi="宋体"/>
          <w:szCs w:val="21"/>
          <w:highlight w:val="none"/>
        </w:rPr>
        <w:t>4</w:t>
      </w:r>
      <w:r>
        <w:rPr>
          <w:rFonts w:ascii="宋体" w:hAnsi="宋体"/>
          <w:szCs w:val="21"/>
          <w:highlight w:val="none"/>
        </w:rPr>
        <w:t>）拒绝履行合同义务的</w:t>
      </w:r>
      <w:r>
        <w:rPr>
          <w:rFonts w:hint="eastAsia" w:ascii="宋体" w:hAnsi="宋体"/>
          <w:szCs w:val="21"/>
          <w:highlight w:val="none"/>
        </w:rPr>
        <w:t>。</w:t>
      </w:r>
    </w:p>
    <w:bookmarkEnd w:id="78"/>
    <w:p>
      <w:pPr>
        <w:pStyle w:val="5"/>
        <w:numPr>
          <w:ilvl w:val="0"/>
          <w:numId w:val="8"/>
        </w:numPr>
        <w:spacing w:before="156" w:beforeLines="50" w:after="156" w:afterLines="50"/>
        <w:ind w:left="562" w:hanging="562"/>
        <w:rPr>
          <w:sz w:val="28"/>
          <w:szCs w:val="28"/>
          <w:highlight w:val="none"/>
        </w:rPr>
      </w:pPr>
      <w:r>
        <w:rPr>
          <w:rFonts w:hint="eastAsia"/>
          <w:sz w:val="28"/>
          <w:szCs w:val="28"/>
          <w:highlight w:val="none"/>
        </w:rPr>
        <w:t>质疑处理</w:t>
      </w:r>
    </w:p>
    <w:p>
      <w:pPr>
        <w:rPr>
          <w:rFonts w:ascii="黑体" w:hAnsi="宋体" w:eastAsia="黑体"/>
          <w:sz w:val="24"/>
          <w:highlight w:val="none"/>
        </w:rPr>
      </w:pPr>
      <w:r>
        <w:rPr>
          <w:rFonts w:hint="eastAsia" w:ascii="黑体" w:hAnsi="宋体" w:eastAsia="黑体"/>
          <w:sz w:val="24"/>
          <w:highlight w:val="none"/>
        </w:rPr>
        <w:t>52.质疑提出与答复</w:t>
      </w:r>
    </w:p>
    <w:p>
      <w:pPr>
        <w:rPr>
          <w:rFonts w:ascii="宋体" w:hAnsi="宋体"/>
          <w:szCs w:val="21"/>
          <w:highlight w:val="none"/>
        </w:rPr>
      </w:pPr>
      <w:r>
        <w:rPr>
          <w:rFonts w:hint="eastAsia" w:ascii="宋体" w:hAnsi="宋体"/>
          <w:szCs w:val="21"/>
          <w:highlight w:val="none"/>
        </w:rPr>
        <w:t xml:space="preserve">    52.1提出质疑</w:t>
      </w:r>
    </w:p>
    <w:p>
      <w:pPr>
        <w:rPr>
          <w:rFonts w:ascii="宋体" w:hAnsi="宋体"/>
          <w:szCs w:val="21"/>
          <w:highlight w:val="none"/>
        </w:rPr>
      </w:pPr>
      <w:r>
        <w:rPr>
          <w:rFonts w:hint="eastAsia" w:ascii="宋体" w:hAnsi="宋体"/>
          <w:szCs w:val="21"/>
          <w:highlight w:val="none"/>
        </w:rPr>
        <w:t xml:space="preserve">    参与政府采购活动的供应商认为自己的权益在采购活动中受到损害的，应当自知道或者应当知道其权益受到损害之日起七个工作日内向采购人、政府集中采购机构以书面形式提出质疑。</w:t>
      </w:r>
    </w:p>
    <w:p>
      <w:pPr>
        <w:rPr>
          <w:rFonts w:ascii="宋体" w:hAnsi="宋体"/>
          <w:szCs w:val="21"/>
          <w:highlight w:val="none"/>
        </w:rPr>
      </w:pPr>
      <w:r>
        <w:rPr>
          <w:rFonts w:hint="eastAsia" w:ascii="宋体" w:hAnsi="宋体"/>
          <w:szCs w:val="21"/>
          <w:highlight w:val="none"/>
        </w:rPr>
        <w:t xml:space="preserve">    52.2</w:t>
      </w:r>
      <w:r>
        <w:rPr>
          <w:rFonts w:ascii="宋体" w:hAnsi="宋体"/>
          <w:szCs w:val="21"/>
          <w:highlight w:val="none"/>
        </w:rPr>
        <w:t>法律依据</w:t>
      </w:r>
    </w:p>
    <w:p>
      <w:pPr>
        <w:rPr>
          <w:rFonts w:ascii="宋体" w:hAnsi="宋体"/>
          <w:szCs w:val="21"/>
          <w:highlight w:val="none"/>
        </w:rPr>
      </w:pPr>
      <w:r>
        <w:rPr>
          <w:rFonts w:hint="eastAsia" w:ascii="宋体" w:hAnsi="宋体"/>
          <w:szCs w:val="21"/>
          <w:highlight w:val="none"/>
        </w:rPr>
        <w:t xml:space="preserve">    《中华人民共和国政府采购法》、《中华人民共和国政府采购法实施条例》、</w:t>
      </w:r>
      <w:r>
        <w:rPr>
          <w:rFonts w:ascii="宋体" w:hAnsi="宋体"/>
          <w:szCs w:val="21"/>
          <w:highlight w:val="none"/>
        </w:rPr>
        <w:t>《</w:t>
      </w:r>
      <w:r>
        <w:rPr>
          <w:rFonts w:hint="eastAsia" w:ascii="宋体" w:hAnsi="宋体"/>
          <w:szCs w:val="21"/>
          <w:highlight w:val="none"/>
        </w:rPr>
        <w:t>深圳经济特区政府采购</w:t>
      </w:r>
      <w:r>
        <w:rPr>
          <w:rFonts w:ascii="宋体" w:hAnsi="宋体"/>
          <w:szCs w:val="21"/>
          <w:highlight w:val="none"/>
        </w:rPr>
        <w:t>条例</w:t>
      </w:r>
      <w:r>
        <w:rPr>
          <w:rFonts w:hint="eastAsia" w:ascii="宋体" w:hAnsi="宋体"/>
          <w:szCs w:val="21"/>
          <w:highlight w:val="none"/>
        </w:rPr>
        <w:t>》、《深圳经济特区政府采购条例实施细则》、《政府采购质疑和投诉办法》（财政部令第94号）和其他有关法律法规规定。</w:t>
      </w:r>
    </w:p>
    <w:p>
      <w:pPr>
        <w:rPr>
          <w:rFonts w:ascii="宋体" w:hAnsi="宋体"/>
          <w:szCs w:val="21"/>
          <w:highlight w:val="none"/>
        </w:rPr>
      </w:pPr>
      <w:r>
        <w:rPr>
          <w:rFonts w:hint="eastAsia" w:ascii="宋体" w:hAnsi="宋体"/>
          <w:szCs w:val="21"/>
          <w:highlight w:val="none"/>
        </w:rPr>
        <w:t xml:space="preserve">  </w:t>
      </w:r>
      <w:r>
        <w:rPr>
          <w:rFonts w:hint="eastAsia" w:ascii="宋体" w:hAnsi="宋体"/>
          <w:color w:val="FF0000"/>
          <w:szCs w:val="21"/>
          <w:highlight w:val="none"/>
        </w:rPr>
        <w:t xml:space="preserve">  </w:t>
      </w:r>
      <w:r>
        <w:rPr>
          <w:rFonts w:hint="eastAsia" w:ascii="宋体" w:hAnsi="宋体"/>
          <w:szCs w:val="21"/>
          <w:highlight w:val="none"/>
        </w:rPr>
        <w:t>52.3质疑条件</w:t>
      </w:r>
    </w:p>
    <w:p>
      <w:pPr>
        <w:rPr>
          <w:rFonts w:ascii="宋体" w:hAnsi="宋体"/>
          <w:szCs w:val="21"/>
          <w:highlight w:val="none"/>
        </w:rPr>
      </w:pPr>
      <w:r>
        <w:rPr>
          <w:rFonts w:hint="eastAsia" w:ascii="宋体" w:hAnsi="宋体"/>
          <w:szCs w:val="21"/>
          <w:highlight w:val="none"/>
        </w:rPr>
        <w:t xml:space="preserve">    52.3.1提出质疑的供应商应当是参与所质疑项目采购活动的供应商；</w:t>
      </w:r>
      <w:bookmarkStart w:id="95" w:name="_Hlk75374941"/>
      <w:r>
        <w:rPr>
          <w:rFonts w:hint="eastAsia" w:ascii="宋体" w:hAnsi="宋体"/>
          <w:szCs w:val="21"/>
          <w:highlight w:val="none"/>
        </w:rPr>
        <w:t>以联合体形式参与的，质疑应当由组成联合体的所有成员共同提出</w:t>
      </w:r>
      <w:bookmarkEnd w:id="95"/>
      <w:r>
        <w:rPr>
          <w:rFonts w:hint="eastAsia" w:ascii="宋体" w:hAnsi="宋体"/>
          <w:szCs w:val="21"/>
          <w:highlight w:val="none"/>
        </w:rPr>
        <w:t>；</w:t>
      </w:r>
    </w:p>
    <w:p>
      <w:pPr>
        <w:rPr>
          <w:rFonts w:ascii="宋体" w:hAnsi="宋体"/>
          <w:szCs w:val="21"/>
          <w:highlight w:val="none"/>
        </w:rPr>
      </w:pPr>
      <w:r>
        <w:rPr>
          <w:rFonts w:hint="eastAsia" w:ascii="宋体" w:hAnsi="宋体"/>
          <w:szCs w:val="21"/>
          <w:highlight w:val="none"/>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ind w:firstLine="420"/>
        <w:rPr>
          <w:rFonts w:ascii="宋体" w:hAnsi="宋体"/>
          <w:szCs w:val="21"/>
          <w:highlight w:val="none"/>
        </w:rPr>
      </w:pPr>
      <w:r>
        <w:rPr>
          <w:rFonts w:hint="eastAsia" w:ascii="宋体" w:hAnsi="宋体"/>
          <w:szCs w:val="21"/>
          <w:highlight w:val="none"/>
        </w:rPr>
        <w:t>52.3.3应提交书面质疑函，质疑函应当包括以下内容：</w:t>
      </w:r>
      <w:r>
        <w:rPr>
          <w:rFonts w:ascii="宋体" w:hAnsi="宋体"/>
          <w:szCs w:val="21"/>
          <w:highlight w:val="none"/>
        </w:rPr>
        <w:t xml:space="preserve"> </w:t>
      </w:r>
    </w:p>
    <w:p>
      <w:pPr>
        <w:ind w:firstLine="420"/>
        <w:rPr>
          <w:rFonts w:ascii="宋体" w:hAnsi="宋体"/>
          <w:szCs w:val="21"/>
          <w:highlight w:val="none"/>
        </w:rPr>
      </w:pPr>
      <w:r>
        <w:rPr>
          <w:rFonts w:hint="eastAsia" w:ascii="宋体" w:hAnsi="宋体"/>
          <w:szCs w:val="21"/>
          <w:highlight w:val="none"/>
        </w:rPr>
        <w:t>（1）供应商的名称（或者姓名）、地址、邮编、邮箱、联系人及联系电话；</w:t>
      </w:r>
    </w:p>
    <w:p>
      <w:pPr>
        <w:ind w:firstLine="420" w:firstLineChars="200"/>
        <w:rPr>
          <w:rFonts w:ascii="宋体" w:hAnsi="宋体"/>
          <w:szCs w:val="21"/>
          <w:highlight w:val="none"/>
        </w:rPr>
      </w:pPr>
      <w:r>
        <w:rPr>
          <w:rFonts w:hint="eastAsia" w:ascii="宋体" w:hAnsi="宋体"/>
          <w:szCs w:val="21"/>
          <w:highlight w:val="none"/>
        </w:rPr>
        <w:t>（2）质疑项目的名称、编号；</w:t>
      </w:r>
    </w:p>
    <w:p>
      <w:pPr>
        <w:ind w:firstLine="420" w:firstLineChars="200"/>
        <w:rPr>
          <w:rFonts w:ascii="宋体" w:hAnsi="宋体"/>
          <w:szCs w:val="21"/>
          <w:highlight w:val="none"/>
        </w:rPr>
      </w:pPr>
      <w:r>
        <w:rPr>
          <w:rFonts w:hint="eastAsia" w:ascii="宋体" w:hAnsi="宋体"/>
          <w:szCs w:val="21"/>
          <w:highlight w:val="none"/>
        </w:rPr>
        <w:t>（3）具体、明确的质疑对象、质疑事项和质疑请求；</w:t>
      </w:r>
    </w:p>
    <w:p>
      <w:pPr>
        <w:ind w:firstLine="420" w:firstLineChars="200"/>
        <w:rPr>
          <w:rFonts w:ascii="宋体" w:hAnsi="宋体"/>
          <w:szCs w:val="21"/>
          <w:highlight w:val="none"/>
        </w:rPr>
      </w:pPr>
      <w:r>
        <w:rPr>
          <w:rFonts w:hint="eastAsia" w:ascii="宋体" w:hAnsi="宋体"/>
          <w:szCs w:val="21"/>
          <w:highlight w:val="none"/>
        </w:rPr>
        <w:t>（4）因质疑事项而受损害的权益；</w:t>
      </w:r>
    </w:p>
    <w:p>
      <w:pPr>
        <w:ind w:firstLine="420" w:firstLineChars="200"/>
        <w:rPr>
          <w:rFonts w:ascii="宋体" w:hAnsi="宋体"/>
          <w:szCs w:val="21"/>
          <w:highlight w:val="none"/>
        </w:rPr>
      </w:pPr>
      <w:r>
        <w:rPr>
          <w:rFonts w:hint="eastAsia" w:ascii="宋体" w:hAnsi="宋体"/>
          <w:szCs w:val="21"/>
          <w:highlight w:val="none"/>
        </w:rPr>
        <w:t>（5）事实依据；</w:t>
      </w:r>
    </w:p>
    <w:p>
      <w:pPr>
        <w:ind w:firstLine="420" w:firstLineChars="200"/>
        <w:rPr>
          <w:rFonts w:ascii="宋体" w:hAnsi="宋体"/>
          <w:szCs w:val="21"/>
          <w:highlight w:val="none"/>
        </w:rPr>
      </w:pPr>
      <w:r>
        <w:rPr>
          <w:rFonts w:hint="eastAsia" w:ascii="宋体" w:hAnsi="宋体"/>
          <w:szCs w:val="21"/>
          <w:highlight w:val="none"/>
        </w:rPr>
        <w:t>（6）必要的法律依据；</w:t>
      </w:r>
    </w:p>
    <w:p>
      <w:pPr>
        <w:ind w:firstLine="420" w:firstLineChars="200"/>
        <w:rPr>
          <w:rFonts w:ascii="宋体" w:hAnsi="宋体"/>
          <w:szCs w:val="21"/>
          <w:highlight w:val="none"/>
        </w:rPr>
      </w:pPr>
      <w:r>
        <w:rPr>
          <w:rFonts w:hint="eastAsia" w:ascii="宋体" w:hAnsi="宋体"/>
          <w:szCs w:val="21"/>
          <w:highlight w:val="none"/>
        </w:rPr>
        <w:t>（7）提出质疑的日期。</w:t>
      </w:r>
    </w:p>
    <w:p>
      <w:pPr>
        <w:ind w:firstLine="420" w:firstLineChars="200"/>
        <w:rPr>
          <w:rFonts w:ascii="宋体" w:hAnsi="宋体"/>
          <w:szCs w:val="21"/>
          <w:highlight w:val="none"/>
        </w:rPr>
      </w:pPr>
      <w:r>
        <w:rPr>
          <w:rFonts w:hint="eastAsia" w:ascii="宋体" w:hAnsi="宋体"/>
          <w:szCs w:val="21"/>
          <w:highlight w:val="none"/>
        </w:rPr>
        <w:t>供应商为自然人的，应当由本人签字；供应商为法人或者其他组织的，应当由法定代表人（负责人），或者其授权代理人签字或者盖章，并加盖公章。</w:t>
      </w:r>
    </w:p>
    <w:p>
      <w:pPr>
        <w:ind w:firstLine="420" w:firstLineChars="200"/>
        <w:rPr>
          <w:rFonts w:ascii="宋体" w:hAnsi="宋体"/>
          <w:szCs w:val="21"/>
          <w:highlight w:val="none"/>
        </w:rPr>
      </w:pPr>
      <w:r>
        <w:rPr>
          <w:rFonts w:hint="eastAsia" w:ascii="宋体" w:hAnsi="宋体"/>
          <w:szCs w:val="21"/>
          <w:highlight w:val="none"/>
        </w:rPr>
        <w:t>52.4提交</w:t>
      </w:r>
      <w:r>
        <w:rPr>
          <w:rFonts w:ascii="宋体" w:hAnsi="宋体"/>
          <w:szCs w:val="21"/>
          <w:highlight w:val="none"/>
        </w:rPr>
        <w:t>材料</w:t>
      </w:r>
    </w:p>
    <w:p>
      <w:pPr>
        <w:ind w:firstLine="420" w:firstLineChars="200"/>
        <w:rPr>
          <w:rFonts w:ascii="宋体" w:hAnsi="宋体"/>
          <w:szCs w:val="21"/>
          <w:highlight w:val="none"/>
        </w:rPr>
      </w:pPr>
      <w:r>
        <w:rPr>
          <w:rFonts w:hint="eastAsia" w:ascii="宋体" w:hAnsi="宋体"/>
          <w:szCs w:val="21"/>
          <w:highlight w:val="none"/>
        </w:rPr>
        <w:t>供应商质疑实行实名制。供应商为自然人的，应当提交本人身份证复印件；供应商为法人或者其他组织的，应当根据自身性质提交营业执照复印件或者其他证明文件（如事业单位法人证书等）复印件。</w:t>
      </w:r>
    </w:p>
    <w:p>
      <w:pPr>
        <w:ind w:firstLine="420" w:firstLineChars="200"/>
        <w:rPr>
          <w:rFonts w:ascii="宋体" w:hAnsi="宋体"/>
          <w:szCs w:val="21"/>
          <w:highlight w:val="none"/>
        </w:rPr>
      </w:pPr>
      <w:r>
        <w:rPr>
          <w:rFonts w:hint="eastAsia" w:ascii="宋体" w:hAnsi="宋体"/>
          <w:szCs w:val="21"/>
          <w:highlight w:val="none"/>
        </w:rPr>
        <w:t>供应商可以委托代理人进行质疑。</w:t>
      </w:r>
      <w:r>
        <w:rPr>
          <w:rFonts w:ascii="宋体" w:hAnsi="宋体"/>
          <w:szCs w:val="21"/>
          <w:highlight w:val="none"/>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ind w:firstLine="420" w:firstLineChars="200"/>
        <w:rPr>
          <w:rFonts w:ascii="宋体" w:hAnsi="宋体"/>
          <w:szCs w:val="21"/>
          <w:highlight w:val="none"/>
        </w:rPr>
      </w:pPr>
      <w:r>
        <w:rPr>
          <w:rFonts w:hint="eastAsia" w:ascii="宋体" w:hAnsi="宋体"/>
          <w:szCs w:val="21"/>
          <w:highlight w:val="none"/>
        </w:rPr>
        <w:t>52.5收文地点</w:t>
      </w:r>
    </w:p>
    <w:p>
      <w:pPr>
        <w:ind w:firstLine="422" w:firstLineChars="200"/>
        <w:rPr>
          <w:rFonts w:ascii="宋体" w:hAnsi="宋体"/>
          <w:b/>
          <w:bCs/>
          <w:szCs w:val="21"/>
          <w:highlight w:val="none"/>
        </w:rPr>
      </w:pPr>
      <w:r>
        <w:rPr>
          <w:rFonts w:hint="eastAsia" w:ascii="宋体" w:hAnsi="宋体"/>
          <w:b/>
          <w:bCs/>
          <w:szCs w:val="21"/>
          <w:highlight w:val="none"/>
        </w:rPr>
        <w:t>地址：深圳公共资源交易中心（深圳交易集团有限公司龙华分公司）（地址：深圳市龙华区观湖街道大和社区大和路288号宝观城锦鲤大厦办公楼22楼）。</w:t>
      </w:r>
    </w:p>
    <w:p>
      <w:pPr>
        <w:ind w:firstLine="420" w:firstLineChars="200"/>
        <w:rPr>
          <w:rFonts w:ascii="宋体" w:hAnsi="宋体"/>
          <w:szCs w:val="21"/>
          <w:highlight w:val="none"/>
        </w:rPr>
      </w:pPr>
      <w:r>
        <w:rPr>
          <w:rFonts w:hint="eastAsia" w:ascii="宋体" w:hAnsi="宋体"/>
          <w:szCs w:val="21"/>
          <w:highlight w:val="none"/>
        </w:rPr>
        <w:t>52.6收文办理</w:t>
      </w:r>
      <w:r>
        <w:rPr>
          <w:rFonts w:ascii="宋体" w:hAnsi="宋体"/>
          <w:szCs w:val="21"/>
          <w:highlight w:val="none"/>
        </w:rPr>
        <w:t>程序</w:t>
      </w:r>
    </w:p>
    <w:p>
      <w:pPr>
        <w:ind w:firstLine="420" w:firstLineChars="200"/>
        <w:rPr>
          <w:rFonts w:ascii="宋体" w:hAnsi="宋体"/>
          <w:szCs w:val="21"/>
          <w:highlight w:val="none"/>
        </w:rPr>
      </w:pPr>
      <w:r>
        <w:rPr>
          <w:rFonts w:hint="eastAsia" w:ascii="宋体" w:hAnsi="宋体"/>
          <w:szCs w:val="21"/>
          <w:highlight w:val="none"/>
        </w:rPr>
        <w:t>52.6.1供应商提交的质疑符合受理条件的，政府集中采购机构自收到质疑材料之日起即为受理，应当向供应商出具质疑函收文回执并可以要求其递交质疑的法定代表人（负责人）或者授权代理人签署质疑文书送达地址确认书。</w:t>
      </w:r>
    </w:p>
    <w:p>
      <w:pPr>
        <w:ind w:firstLine="420" w:firstLineChars="200"/>
        <w:rPr>
          <w:rFonts w:ascii="仿宋" w:hAnsi="仿宋" w:eastAsia="仿宋"/>
          <w:sz w:val="28"/>
          <w:szCs w:val="28"/>
          <w:highlight w:val="none"/>
        </w:rPr>
      </w:pPr>
      <w:r>
        <w:rPr>
          <w:rFonts w:hint="eastAsia" w:ascii="宋体" w:hAnsi="宋体"/>
          <w:szCs w:val="21"/>
          <w:highlight w:val="none"/>
        </w:rPr>
        <w:t>52.6.2供应商提交的质疑材料不符合质疑条件的，视情况处理：</w:t>
      </w:r>
    </w:p>
    <w:p>
      <w:pPr>
        <w:ind w:firstLine="420" w:firstLineChars="200"/>
        <w:rPr>
          <w:rFonts w:ascii="宋体" w:hAnsi="宋体"/>
          <w:szCs w:val="21"/>
          <w:highlight w:val="none"/>
        </w:rPr>
      </w:pPr>
      <w:r>
        <w:rPr>
          <w:rFonts w:hint="eastAsia" w:ascii="宋体" w:hAnsi="宋体"/>
          <w:szCs w:val="21"/>
          <w:highlight w:val="none"/>
        </w:rPr>
        <w:t>供应商提交的质疑材料不全或者未按要求签字或者盖章的，政府集中采购机构应当一次性告知供应商需补正的内容和补正期限。</w:t>
      </w:r>
    </w:p>
    <w:p>
      <w:pPr>
        <w:ind w:firstLine="420" w:firstLineChars="200"/>
        <w:rPr>
          <w:rFonts w:ascii="宋体" w:hAnsi="宋体"/>
          <w:szCs w:val="21"/>
          <w:highlight w:val="none"/>
        </w:rPr>
      </w:pPr>
      <w:r>
        <w:rPr>
          <w:rFonts w:hint="eastAsia" w:ascii="宋体" w:hAnsi="宋体"/>
          <w:szCs w:val="21"/>
          <w:highlight w:val="none"/>
        </w:rPr>
        <w:t>供应商提交的质疑存在下列情形之一的，不予受理：</w:t>
      </w:r>
    </w:p>
    <w:p>
      <w:pPr>
        <w:ind w:firstLine="420" w:firstLineChars="200"/>
        <w:rPr>
          <w:rFonts w:ascii="宋体" w:hAnsi="宋体"/>
          <w:szCs w:val="21"/>
          <w:highlight w:val="none"/>
        </w:rPr>
      </w:pPr>
      <w:r>
        <w:rPr>
          <w:rFonts w:hint="eastAsia" w:ascii="宋体" w:hAnsi="宋体"/>
          <w:szCs w:val="21"/>
          <w:highlight w:val="none"/>
        </w:rPr>
        <w:t>（1）质疑主体不满足要求的；</w:t>
      </w:r>
    </w:p>
    <w:p>
      <w:pPr>
        <w:ind w:firstLine="420" w:firstLineChars="200"/>
        <w:rPr>
          <w:rFonts w:ascii="宋体" w:hAnsi="宋体"/>
          <w:szCs w:val="21"/>
          <w:highlight w:val="none"/>
        </w:rPr>
      </w:pPr>
      <w:r>
        <w:rPr>
          <w:rFonts w:hint="eastAsia" w:ascii="宋体" w:hAnsi="宋体"/>
          <w:szCs w:val="21"/>
          <w:highlight w:val="none"/>
        </w:rPr>
        <w:t>（2）供应商自身权益未受到损害的；</w:t>
      </w:r>
    </w:p>
    <w:p>
      <w:pPr>
        <w:ind w:firstLine="420" w:firstLineChars="200"/>
        <w:rPr>
          <w:rFonts w:ascii="宋体" w:hAnsi="宋体"/>
          <w:szCs w:val="21"/>
          <w:highlight w:val="none"/>
        </w:rPr>
      </w:pPr>
      <w:r>
        <w:rPr>
          <w:rFonts w:hint="eastAsia" w:ascii="宋体" w:hAnsi="宋体"/>
          <w:szCs w:val="21"/>
          <w:highlight w:val="none"/>
        </w:rPr>
        <w:t>（3）供应商未在法定质疑期限内提出质疑的；</w:t>
      </w:r>
    </w:p>
    <w:p>
      <w:pPr>
        <w:ind w:firstLine="420" w:firstLineChars="200"/>
        <w:rPr>
          <w:rFonts w:ascii="宋体" w:hAnsi="宋体"/>
          <w:szCs w:val="21"/>
          <w:highlight w:val="none"/>
        </w:rPr>
      </w:pPr>
      <w:r>
        <w:rPr>
          <w:rFonts w:hint="eastAsia" w:ascii="宋体" w:hAnsi="宋体"/>
          <w:szCs w:val="21"/>
          <w:highlight w:val="none"/>
        </w:rPr>
        <w:t>（4）质疑材料不全或者未按要求签字或者盖章的情况下，要求补正后，逾期未补正或者补正后仍不符合规定的；</w:t>
      </w:r>
    </w:p>
    <w:p>
      <w:pPr>
        <w:ind w:firstLine="420" w:firstLineChars="200"/>
        <w:rPr>
          <w:rFonts w:ascii="宋体" w:hAnsi="宋体"/>
          <w:szCs w:val="21"/>
          <w:highlight w:val="none"/>
        </w:rPr>
      </w:pPr>
      <w:r>
        <w:rPr>
          <w:rFonts w:hint="eastAsia" w:ascii="宋体" w:hAnsi="宋体"/>
          <w:szCs w:val="21"/>
          <w:highlight w:val="none"/>
        </w:rPr>
        <w:t>（5）其他不符合受理条件情形的。</w:t>
      </w:r>
    </w:p>
    <w:p>
      <w:pPr>
        <w:ind w:firstLine="420" w:firstLineChars="200"/>
        <w:rPr>
          <w:rFonts w:ascii="宋体" w:hAnsi="宋体"/>
          <w:szCs w:val="21"/>
          <w:highlight w:val="none"/>
        </w:rPr>
      </w:pPr>
      <w:r>
        <w:rPr>
          <w:rFonts w:hint="eastAsia" w:ascii="宋体" w:hAnsi="宋体"/>
          <w:szCs w:val="21"/>
          <w:highlight w:val="none"/>
        </w:rPr>
        <w:t>质疑事项不予受理的，政府集中采购机构应当向供应商出具不符合质疑条件告知书。</w:t>
      </w:r>
    </w:p>
    <w:p>
      <w:pPr>
        <w:rPr>
          <w:rFonts w:ascii="宋体" w:hAnsi="宋体"/>
          <w:szCs w:val="21"/>
          <w:highlight w:val="none"/>
        </w:rPr>
      </w:pPr>
      <w:r>
        <w:rPr>
          <w:rFonts w:hint="eastAsia" w:ascii="宋体" w:hAnsi="宋体"/>
          <w:color w:val="FF0000"/>
          <w:szCs w:val="21"/>
          <w:highlight w:val="none"/>
        </w:rPr>
        <w:t xml:space="preserve">  </w:t>
      </w:r>
      <w:r>
        <w:rPr>
          <w:rFonts w:hint="eastAsia" w:ascii="宋体" w:hAnsi="宋体"/>
          <w:szCs w:val="21"/>
          <w:highlight w:val="none"/>
        </w:rPr>
        <w:t xml:space="preserve">  52.7质疑答复时限</w:t>
      </w:r>
    </w:p>
    <w:p>
      <w:pPr>
        <w:rPr>
          <w:rFonts w:ascii="宋体" w:hAnsi="宋体"/>
          <w:szCs w:val="21"/>
          <w:highlight w:val="none"/>
        </w:rPr>
      </w:pPr>
      <w:r>
        <w:rPr>
          <w:rFonts w:hint="eastAsia" w:ascii="宋体" w:hAnsi="宋体"/>
          <w:szCs w:val="21"/>
          <w:highlight w:val="none"/>
        </w:rPr>
        <w:t xml:space="preserve">    自收文之日起七个工作日内。</w:t>
      </w:r>
    </w:p>
    <w:p>
      <w:pPr>
        <w:rPr>
          <w:rFonts w:ascii="宋体" w:hAnsi="宋体"/>
          <w:szCs w:val="21"/>
          <w:highlight w:val="none"/>
        </w:rPr>
      </w:pPr>
      <w:r>
        <w:rPr>
          <w:rFonts w:hint="eastAsia" w:ascii="宋体" w:hAnsi="宋体"/>
          <w:szCs w:val="21"/>
          <w:highlight w:val="none"/>
        </w:rPr>
        <w:t xml:space="preserve">    52.8投诉</w:t>
      </w:r>
    </w:p>
    <w:p>
      <w:pPr>
        <w:rPr>
          <w:rFonts w:ascii="宋体" w:hAnsi="宋体"/>
          <w:szCs w:val="21"/>
          <w:highlight w:val="none"/>
        </w:rPr>
      </w:pPr>
      <w:r>
        <w:rPr>
          <w:rFonts w:hint="eastAsia" w:ascii="宋体" w:hAnsi="宋体"/>
          <w:szCs w:val="21"/>
          <w:highlight w:val="none"/>
        </w:rPr>
        <w:t xml:space="preserve">    对质疑答复不满意或者未在规定时间内答复的，提出质疑的供应商可以在答复期满后15个工作日内向本项目预算主管单位投诉。</w:t>
      </w:r>
    </w:p>
    <w:p>
      <w:pPr>
        <w:rPr>
          <w:rFonts w:ascii="黑体" w:hAnsi="宋体" w:eastAsia="黑体"/>
          <w:sz w:val="24"/>
          <w:highlight w:val="none"/>
        </w:rPr>
      </w:pPr>
      <w:r>
        <w:rPr>
          <w:rFonts w:hint="eastAsia" w:ascii="黑体" w:hAnsi="宋体" w:eastAsia="黑体"/>
          <w:sz w:val="24"/>
          <w:highlight w:val="none"/>
        </w:rPr>
        <w:t>53. 质疑后续处理</w:t>
      </w:r>
    </w:p>
    <w:p>
      <w:pPr>
        <w:rPr>
          <w:rFonts w:ascii="宋体" w:hAnsi="宋体"/>
          <w:szCs w:val="21"/>
          <w:highlight w:val="none"/>
        </w:rPr>
      </w:pPr>
      <w:r>
        <w:rPr>
          <w:rFonts w:hint="eastAsia" w:ascii="宋体" w:hAnsi="宋体"/>
          <w:szCs w:val="21"/>
          <w:highlight w:val="none"/>
        </w:rPr>
        <w:t xml:space="preserve">    53.1供应商质疑不成立，或者成立但未对中标、成交结果构成影响的，继续开展采购活动。</w:t>
      </w:r>
    </w:p>
    <w:p>
      <w:pPr>
        <w:jc w:val="center"/>
        <w:rPr>
          <w:highlight w:val="none"/>
        </w:rPr>
      </w:pPr>
      <w:r>
        <w:rPr>
          <w:rFonts w:hint="eastAsia" w:ascii="宋体" w:hAnsi="宋体"/>
          <w:szCs w:val="21"/>
          <w:highlight w:val="none"/>
        </w:rPr>
        <w:t xml:space="preserve">    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r>
        <w:rPr>
          <w:highlight w:val="none"/>
        </w:rPr>
        <w:t>---- END ----</w:t>
      </w:r>
    </w:p>
    <w:p>
      <w:pPr>
        <w:jc w:val="center"/>
        <w:rPr>
          <w:rFonts w:ascii="Times New Roman" w:hAnsi="Times New Roman" w:eastAsia="宋体" w:cs="Times New Roman"/>
          <w:szCs w:val="24"/>
          <w:highlight w:val="none"/>
        </w:rPr>
      </w:pPr>
      <w:r>
        <w:rPr>
          <w:rFonts w:ascii="Times New Roman" w:hAnsi="Times New Roman" w:eastAsia="宋体" w:cs="Times New Roman"/>
          <w:szCs w:val="24"/>
          <w:highlight w:val="none"/>
        </w:rPr>
        <w:t>---- END ----</w:t>
      </w:r>
      <w:bookmarkEnd w:id="42"/>
    </w:p>
    <w:p>
      <w:pPr>
        <w:rPr>
          <w:b/>
          <w:color w:val="FF0000"/>
          <w:sz w:val="52"/>
          <w:szCs w:val="52"/>
          <w:highlight w:val="none"/>
        </w:rPr>
      </w:pPr>
    </w:p>
    <w:p>
      <w:pPr>
        <w:rPr>
          <w:b/>
          <w:color w:val="FF0000"/>
          <w:sz w:val="52"/>
          <w:szCs w:val="52"/>
          <w:highlight w:val="none"/>
        </w:rPr>
      </w:pPr>
    </w:p>
    <w:sectPr>
      <w:headerReference r:id="rId8" w:type="first"/>
      <w:footerReference r:id="rId11" w:type="first"/>
      <w:headerReference r:id="rId6" w:type="default"/>
      <w:footerReference r:id="rId9" w:type="default"/>
      <w:headerReference r:id="rId7" w:type="even"/>
      <w:footerReference r:id="rId10" w:type="even"/>
      <w:pgSz w:w="11906" w:h="16838"/>
      <w:pgMar w:top="1440" w:right="1417" w:bottom="1440"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5F" w:usb2="00000000" w:usb3="00000000" w:csb0="2000019F" w:csb1="00000000"/>
  </w:font>
  <w:font w:name="隶书">
    <w:panose1 w:val="02010509060101010101"/>
    <w:charset w:val="86"/>
    <w:family w:val="modern"/>
    <w:pitch w:val="default"/>
    <w:sig w:usb0="00000001" w:usb1="080E0000" w:usb2="00000000" w:usb3="00000000" w:csb0="00040000" w:csb1="00000000"/>
  </w:font>
  <w:font w:name="H Yb 2gj">
    <w:altName w:val="黑体"/>
    <w:panose1 w:val="00000000000000000000"/>
    <w:charset w:val="86"/>
    <w:family w:val="auto"/>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4"/>
      </w:rPr>
    </w:pPr>
    <w:r>
      <w:t xml:space="preserve">- </w:t>
    </w:r>
    <w:r>
      <w:fldChar w:fldCharType="begin"/>
    </w:r>
    <w:r>
      <w:instrText xml:space="preserve"> PAGE </w:instrText>
    </w:r>
    <w:r>
      <w:fldChar w:fldCharType="separate"/>
    </w:r>
    <w:r>
      <w:t>29</w:t>
    </w:r>
    <w:r>
      <w:fldChar w:fldCharType="end"/>
    </w:r>
    <w:r>
      <w:t xml:space="preserve"> -</w:t>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2060"/>
    </w:sdtPr>
    <w:sdtContent>
      <w:p>
        <w:pPr>
          <w:pStyle w:val="15"/>
          <w:jc w:val="center"/>
        </w:pPr>
        <w:r>
          <w:fldChar w:fldCharType="begin"/>
        </w:r>
        <w:r>
          <w:instrText xml:space="preserve"> PAGE   \* MERGEFORMAT </w:instrText>
        </w:r>
        <w:r>
          <w:fldChar w:fldCharType="separate"/>
        </w:r>
        <w:r>
          <w:rPr>
            <w:lang w:val="zh-CN"/>
          </w:rPr>
          <w:t>19</w:t>
        </w:r>
        <w:r>
          <w:rPr>
            <w:lang w:val="zh-CN"/>
          </w:rPr>
          <w:fldChar w:fldCharType="end"/>
        </w:r>
      </w:p>
    </w:sdtContent>
  </w:sdt>
  <w:p>
    <w:pPr>
      <w:pStyle w:val="15"/>
      <w:spacing w:after="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after="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after="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55CBE"/>
    <w:multiLevelType w:val="singleLevel"/>
    <w:tmpl w:val="8AB55CBE"/>
    <w:lvl w:ilvl="0" w:tentative="0">
      <w:start w:val="1"/>
      <w:numFmt w:val="chineseCounting"/>
      <w:suff w:val="nothing"/>
      <w:lvlText w:val="（%1）"/>
      <w:lvlJc w:val="left"/>
      <w:rPr>
        <w:rFonts w:hint="eastAsia"/>
      </w:rPr>
    </w:lvl>
  </w:abstractNum>
  <w:abstractNum w:abstractNumId="1">
    <w:nsid w:val="A702A6DD"/>
    <w:multiLevelType w:val="singleLevel"/>
    <w:tmpl w:val="A702A6DD"/>
    <w:lvl w:ilvl="0" w:tentative="0">
      <w:start w:val="1"/>
      <w:numFmt w:val="decimal"/>
      <w:suff w:val="nothing"/>
      <w:lvlText w:val="%1、"/>
      <w:lvlJc w:val="left"/>
    </w:lvl>
  </w:abstractNum>
  <w:abstractNum w:abstractNumId="2">
    <w:nsid w:val="B9358C2E"/>
    <w:multiLevelType w:val="singleLevel"/>
    <w:tmpl w:val="B9358C2E"/>
    <w:lvl w:ilvl="0" w:tentative="0">
      <w:start w:val="2"/>
      <w:numFmt w:val="decimal"/>
      <w:suff w:val="nothing"/>
      <w:lvlText w:val="%1、"/>
      <w:lvlJc w:val="left"/>
    </w:lvl>
  </w:abstractNum>
  <w:abstractNum w:abstractNumId="3">
    <w:nsid w:val="BC6503C6"/>
    <w:multiLevelType w:val="singleLevel"/>
    <w:tmpl w:val="BC6503C6"/>
    <w:lvl w:ilvl="0" w:tentative="0">
      <w:start w:val="6"/>
      <w:numFmt w:val="chineseCounting"/>
      <w:suff w:val="nothing"/>
      <w:lvlText w:val="%1、"/>
      <w:lvlJc w:val="left"/>
      <w:rPr>
        <w:rFonts w:hint="eastAsia"/>
      </w:rPr>
    </w:lvl>
  </w:abstractNum>
  <w:abstractNum w:abstractNumId="4">
    <w:nsid w:val="C3C4A55E"/>
    <w:multiLevelType w:val="singleLevel"/>
    <w:tmpl w:val="C3C4A55E"/>
    <w:lvl w:ilvl="0" w:tentative="0">
      <w:start w:val="4"/>
      <w:numFmt w:val="chineseCounting"/>
      <w:suff w:val="nothing"/>
      <w:lvlText w:val="%1、"/>
      <w:lvlJc w:val="left"/>
      <w:rPr>
        <w:rFonts w:hint="eastAsia"/>
      </w:rPr>
    </w:lvl>
  </w:abstractNum>
  <w:abstractNum w:abstractNumId="5">
    <w:nsid w:val="09F81FD3"/>
    <w:multiLevelType w:val="multilevel"/>
    <w:tmpl w:val="09F81FD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4416252"/>
    <w:multiLevelType w:val="multilevel"/>
    <w:tmpl w:val="34416252"/>
    <w:lvl w:ilvl="0" w:tentative="0">
      <w:start w:val="1"/>
      <w:numFmt w:val="japaneseCounting"/>
      <w:lvlText w:val="第%1章"/>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C8ECE4"/>
    <w:multiLevelType w:val="singleLevel"/>
    <w:tmpl w:val="70C8ECE4"/>
    <w:lvl w:ilvl="0" w:tentative="0">
      <w:start w:val="1"/>
      <w:numFmt w:val="chineseCounting"/>
      <w:suff w:val="nothing"/>
      <w:lvlText w:val="（%1）"/>
      <w:lvlJc w:val="left"/>
      <w:rPr>
        <w:rFonts w:hint="eastAsia"/>
      </w:rPr>
    </w:lvl>
  </w:abstractNum>
  <w:num w:numId="1">
    <w:abstractNumId w:val="0"/>
  </w:num>
  <w:num w:numId="2">
    <w:abstractNumId w:val="7"/>
  </w:num>
  <w:num w:numId="3">
    <w:abstractNumId w:val="1"/>
  </w:num>
  <w:num w:numId="4">
    <w:abstractNumId w:val="3"/>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M4MzNjNTZhNGM0YTE3ZjgzOTRkNDEyYTU2ZDNiMWQifQ=="/>
  </w:docVars>
  <w:rsids>
    <w:rsidRoot w:val="002B296E"/>
    <w:rsid w:val="00002E60"/>
    <w:rsid w:val="000048FF"/>
    <w:rsid w:val="00004FA5"/>
    <w:rsid w:val="0000723B"/>
    <w:rsid w:val="0001117D"/>
    <w:rsid w:val="000114D0"/>
    <w:rsid w:val="00012263"/>
    <w:rsid w:val="00015C20"/>
    <w:rsid w:val="000165A0"/>
    <w:rsid w:val="00017ECC"/>
    <w:rsid w:val="00024DCF"/>
    <w:rsid w:val="00026B1C"/>
    <w:rsid w:val="0002788F"/>
    <w:rsid w:val="00027E40"/>
    <w:rsid w:val="00030854"/>
    <w:rsid w:val="00030B9F"/>
    <w:rsid w:val="000325CA"/>
    <w:rsid w:val="0003474D"/>
    <w:rsid w:val="00035243"/>
    <w:rsid w:val="000354DF"/>
    <w:rsid w:val="000413CE"/>
    <w:rsid w:val="00041760"/>
    <w:rsid w:val="00046AE3"/>
    <w:rsid w:val="00047161"/>
    <w:rsid w:val="00047CFA"/>
    <w:rsid w:val="00047F90"/>
    <w:rsid w:val="000509B8"/>
    <w:rsid w:val="000549AF"/>
    <w:rsid w:val="00055C90"/>
    <w:rsid w:val="000572C4"/>
    <w:rsid w:val="0008028B"/>
    <w:rsid w:val="00082568"/>
    <w:rsid w:val="000839B0"/>
    <w:rsid w:val="00083BC2"/>
    <w:rsid w:val="00083FD9"/>
    <w:rsid w:val="000844B8"/>
    <w:rsid w:val="0008773C"/>
    <w:rsid w:val="0009130D"/>
    <w:rsid w:val="00091343"/>
    <w:rsid w:val="00094FCC"/>
    <w:rsid w:val="000A019E"/>
    <w:rsid w:val="000A7A9D"/>
    <w:rsid w:val="000B5D94"/>
    <w:rsid w:val="000B6946"/>
    <w:rsid w:val="000C0D21"/>
    <w:rsid w:val="000C0E1A"/>
    <w:rsid w:val="000C106C"/>
    <w:rsid w:val="000C4236"/>
    <w:rsid w:val="000D406E"/>
    <w:rsid w:val="000D4A50"/>
    <w:rsid w:val="000D4B12"/>
    <w:rsid w:val="000D6122"/>
    <w:rsid w:val="000E13A3"/>
    <w:rsid w:val="000F1328"/>
    <w:rsid w:val="000F34B2"/>
    <w:rsid w:val="000F4368"/>
    <w:rsid w:val="000F50E1"/>
    <w:rsid w:val="000F6FF0"/>
    <w:rsid w:val="00100D68"/>
    <w:rsid w:val="001031B0"/>
    <w:rsid w:val="0010408D"/>
    <w:rsid w:val="001053A0"/>
    <w:rsid w:val="001063E2"/>
    <w:rsid w:val="00110CBD"/>
    <w:rsid w:val="00111349"/>
    <w:rsid w:val="00112D2A"/>
    <w:rsid w:val="00113412"/>
    <w:rsid w:val="00114DD8"/>
    <w:rsid w:val="00115E40"/>
    <w:rsid w:val="00115FE9"/>
    <w:rsid w:val="00116C4B"/>
    <w:rsid w:val="00121E98"/>
    <w:rsid w:val="00122F53"/>
    <w:rsid w:val="00123D4F"/>
    <w:rsid w:val="00126CD8"/>
    <w:rsid w:val="00130EED"/>
    <w:rsid w:val="001318CF"/>
    <w:rsid w:val="0013313E"/>
    <w:rsid w:val="00135D16"/>
    <w:rsid w:val="001405FA"/>
    <w:rsid w:val="001423E8"/>
    <w:rsid w:val="00142726"/>
    <w:rsid w:val="00143A07"/>
    <w:rsid w:val="0014406D"/>
    <w:rsid w:val="00147326"/>
    <w:rsid w:val="001477E0"/>
    <w:rsid w:val="001478A4"/>
    <w:rsid w:val="0015184C"/>
    <w:rsid w:val="00152E85"/>
    <w:rsid w:val="00154E87"/>
    <w:rsid w:val="00155971"/>
    <w:rsid w:val="001559D5"/>
    <w:rsid w:val="00156956"/>
    <w:rsid w:val="00170A76"/>
    <w:rsid w:val="00171482"/>
    <w:rsid w:val="001776D1"/>
    <w:rsid w:val="00184554"/>
    <w:rsid w:val="00184F4C"/>
    <w:rsid w:val="001872EC"/>
    <w:rsid w:val="00190D4E"/>
    <w:rsid w:val="00191DBC"/>
    <w:rsid w:val="00192AD1"/>
    <w:rsid w:val="00196ADD"/>
    <w:rsid w:val="001A4CD3"/>
    <w:rsid w:val="001A5C09"/>
    <w:rsid w:val="001A6041"/>
    <w:rsid w:val="001A6BF7"/>
    <w:rsid w:val="001B0953"/>
    <w:rsid w:val="001B1074"/>
    <w:rsid w:val="001B150F"/>
    <w:rsid w:val="001B51BE"/>
    <w:rsid w:val="001B5B31"/>
    <w:rsid w:val="001B77F3"/>
    <w:rsid w:val="001B7F44"/>
    <w:rsid w:val="001C09D9"/>
    <w:rsid w:val="001C2014"/>
    <w:rsid w:val="001C2B16"/>
    <w:rsid w:val="001C3631"/>
    <w:rsid w:val="001D0EB9"/>
    <w:rsid w:val="001D33A2"/>
    <w:rsid w:val="001E10E8"/>
    <w:rsid w:val="001E12CE"/>
    <w:rsid w:val="001E18EF"/>
    <w:rsid w:val="001E2BD6"/>
    <w:rsid w:val="001E76F0"/>
    <w:rsid w:val="001E7CA2"/>
    <w:rsid w:val="001E7E39"/>
    <w:rsid w:val="001F0086"/>
    <w:rsid w:val="001F0952"/>
    <w:rsid w:val="001F2FF4"/>
    <w:rsid w:val="001F3848"/>
    <w:rsid w:val="001F3DC3"/>
    <w:rsid w:val="001F587F"/>
    <w:rsid w:val="001F6634"/>
    <w:rsid w:val="0020017A"/>
    <w:rsid w:val="00201302"/>
    <w:rsid w:val="002051F9"/>
    <w:rsid w:val="00205AF2"/>
    <w:rsid w:val="0020663F"/>
    <w:rsid w:val="00207A91"/>
    <w:rsid w:val="00210E25"/>
    <w:rsid w:val="00212161"/>
    <w:rsid w:val="0021479B"/>
    <w:rsid w:val="002177DC"/>
    <w:rsid w:val="0022303D"/>
    <w:rsid w:val="00223EEB"/>
    <w:rsid w:val="002244C7"/>
    <w:rsid w:val="00225DED"/>
    <w:rsid w:val="002278BD"/>
    <w:rsid w:val="00227BC5"/>
    <w:rsid w:val="00231E55"/>
    <w:rsid w:val="00232987"/>
    <w:rsid w:val="0023517A"/>
    <w:rsid w:val="002378E5"/>
    <w:rsid w:val="0024137C"/>
    <w:rsid w:val="002425D6"/>
    <w:rsid w:val="00244C00"/>
    <w:rsid w:val="00246372"/>
    <w:rsid w:val="002505A6"/>
    <w:rsid w:val="0025158C"/>
    <w:rsid w:val="002543CA"/>
    <w:rsid w:val="00254904"/>
    <w:rsid w:val="00262AF1"/>
    <w:rsid w:val="00263E6E"/>
    <w:rsid w:val="0026418F"/>
    <w:rsid w:val="0026450A"/>
    <w:rsid w:val="00267A80"/>
    <w:rsid w:val="002709A8"/>
    <w:rsid w:val="00273346"/>
    <w:rsid w:val="002746A1"/>
    <w:rsid w:val="00276D6D"/>
    <w:rsid w:val="002805D4"/>
    <w:rsid w:val="00282867"/>
    <w:rsid w:val="00284C24"/>
    <w:rsid w:val="00285DE2"/>
    <w:rsid w:val="002933B7"/>
    <w:rsid w:val="00293B10"/>
    <w:rsid w:val="002942A3"/>
    <w:rsid w:val="0029795C"/>
    <w:rsid w:val="002A0ED3"/>
    <w:rsid w:val="002A29E5"/>
    <w:rsid w:val="002A758C"/>
    <w:rsid w:val="002B0948"/>
    <w:rsid w:val="002B296E"/>
    <w:rsid w:val="002B5C22"/>
    <w:rsid w:val="002B6F9C"/>
    <w:rsid w:val="002C3F0A"/>
    <w:rsid w:val="002C3FC4"/>
    <w:rsid w:val="002C500F"/>
    <w:rsid w:val="002D2996"/>
    <w:rsid w:val="002D4DB4"/>
    <w:rsid w:val="002D5EB6"/>
    <w:rsid w:val="002D67D0"/>
    <w:rsid w:val="002E1005"/>
    <w:rsid w:val="002E6F35"/>
    <w:rsid w:val="002F019C"/>
    <w:rsid w:val="002F218D"/>
    <w:rsid w:val="002F3F2C"/>
    <w:rsid w:val="002F4FC9"/>
    <w:rsid w:val="002F7BA0"/>
    <w:rsid w:val="00305131"/>
    <w:rsid w:val="003075D2"/>
    <w:rsid w:val="00307991"/>
    <w:rsid w:val="00311E94"/>
    <w:rsid w:val="00315035"/>
    <w:rsid w:val="0031695C"/>
    <w:rsid w:val="00317044"/>
    <w:rsid w:val="00321622"/>
    <w:rsid w:val="0032311B"/>
    <w:rsid w:val="00323813"/>
    <w:rsid w:val="00324CB2"/>
    <w:rsid w:val="00331FE7"/>
    <w:rsid w:val="00334D55"/>
    <w:rsid w:val="00335A76"/>
    <w:rsid w:val="00340524"/>
    <w:rsid w:val="00342876"/>
    <w:rsid w:val="0034457F"/>
    <w:rsid w:val="00345849"/>
    <w:rsid w:val="00347ADA"/>
    <w:rsid w:val="003548B5"/>
    <w:rsid w:val="003553CD"/>
    <w:rsid w:val="00356426"/>
    <w:rsid w:val="00356A28"/>
    <w:rsid w:val="00357341"/>
    <w:rsid w:val="00362CA7"/>
    <w:rsid w:val="0036622C"/>
    <w:rsid w:val="003706DD"/>
    <w:rsid w:val="0037109F"/>
    <w:rsid w:val="00372805"/>
    <w:rsid w:val="00372E27"/>
    <w:rsid w:val="00373CC6"/>
    <w:rsid w:val="00376180"/>
    <w:rsid w:val="00376EF5"/>
    <w:rsid w:val="003802A7"/>
    <w:rsid w:val="003811DD"/>
    <w:rsid w:val="00384539"/>
    <w:rsid w:val="00386271"/>
    <w:rsid w:val="003876BD"/>
    <w:rsid w:val="00387C79"/>
    <w:rsid w:val="00391E72"/>
    <w:rsid w:val="003936FB"/>
    <w:rsid w:val="003938DE"/>
    <w:rsid w:val="00395B93"/>
    <w:rsid w:val="003977F7"/>
    <w:rsid w:val="003A283F"/>
    <w:rsid w:val="003A5619"/>
    <w:rsid w:val="003A6825"/>
    <w:rsid w:val="003B1124"/>
    <w:rsid w:val="003B2CDB"/>
    <w:rsid w:val="003B2D06"/>
    <w:rsid w:val="003B3F59"/>
    <w:rsid w:val="003C7B60"/>
    <w:rsid w:val="003D016D"/>
    <w:rsid w:val="003E1A20"/>
    <w:rsid w:val="003E3A5C"/>
    <w:rsid w:val="003E3CEC"/>
    <w:rsid w:val="003F0736"/>
    <w:rsid w:val="003F0EBF"/>
    <w:rsid w:val="003F1B3F"/>
    <w:rsid w:val="003F385B"/>
    <w:rsid w:val="003F3E0E"/>
    <w:rsid w:val="003F3FB9"/>
    <w:rsid w:val="003F5EFA"/>
    <w:rsid w:val="003F5F84"/>
    <w:rsid w:val="003F6980"/>
    <w:rsid w:val="003F6F74"/>
    <w:rsid w:val="0040232B"/>
    <w:rsid w:val="00406093"/>
    <w:rsid w:val="00411AD4"/>
    <w:rsid w:val="004155CD"/>
    <w:rsid w:val="0041767A"/>
    <w:rsid w:val="004208A5"/>
    <w:rsid w:val="00420DE3"/>
    <w:rsid w:val="0042513B"/>
    <w:rsid w:val="004260ED"/>
    <w:rsid w:val="004338D4"/>
    <w:rsid w:val="004340BA"/>
    <w:rsid w:val="00434434"/>
    <w:rsid w:val="00434C62"/>
    <w:rsid w:val="004370D7"/>
    <w:rsid w:val="00440482"/>
    <w:rsid w:val="004437AE"/>
    <w:rsid w:val="00444582"/>
    <w:rsid w:val="00446748"/>
    <w:rsid w:val="0045104F"/>
    <w:rsid w:val="004515EE"/>
    <w:rsid w:val="004519A1"/>
    <w:rsid w:val="00451D23"/>
    <w:rsid w:val="00460ABA"/>
    <w:rsid w:val="00460E5B"/>
    <w:rsid w:val="00463379"/>
    <w:rsid w:val="0046375D"/>
    <w:rsid w:val="00463D37"/>
    <w:rsid w:val="00471274"/>
    <w:rsid w:val="00471E81"/>
    <w:rsid w:val="00473EA5"/>
    <w:rsid w:val="0047463B"/>
    <w:rsid w:val="004747A0"/>
    <w:rsid w:val="00480F0D"/>
    <w:rsid w:val="00482482"/>
    <w:rsid w:val="00487E35"/>
    <w:rsid w:val="00492CAF"/>
    <w:rsid w:val="00493F5B"/>
    <w:rsid w:val="004A019E"/>
    <w:rsid w:val="004A19DD"/>
    <w:rsid w:val="004A20E5"/>
    <w:rsid w:val="004B294D"/>
    <w:rsid w:val="004B30D9"/>
    <w:rsid w:val="004B3548"/>
    <w:rsid w:val="004B3730"/>
    <w:rsid w:val="004B5FA8"/>
    <w:rsid w:val="004B6143"/>
    <w:rsid w:val="004C2208"/>
    <w:rsid w:val="004C3ADD"/>
    <w:rsid w:val="004C3E0E"/>
    <w:rsid w:val="004C44EC"/>
    <w:rsid w:val="004D1052"/>
    <w:rsid w:val="004D7F2E"/>
    <w:rsid w:val="004E00DC"/>
    <w:rsid w:val="004E0362"/>
    <w:rsid w:val="004E3FBD"/>
    <w:rsid w:val="004E5F98"/>
    <w:rsid w:val="004E714A"/>
    <w:rsid w:val="004E7B5C"/>
    <w:rsid w:val="004F29F5"/>
    <w:rsid w:val="004F7062"/>
    <w:rsid w:val="00500956"/>
    <w:rsid w:val="00501787"/>
    <w:rsid w:val="00501B5F"/>
    <w:rsid w:val="005038E9"/>
    <w:rsid w:val="00504893"/>
    <w:rsid w:val="00506897"/>
    <w:rsid w:val="005129E6"/>
    <w:rsid w:val="00513456"/>
    <w:rsid w:val="0051395D"/>
    <w:rsid w:val="00516147"/>
    <w:rsid w:val="00517291"/>
    <w:rsid w:val="0052007E"/>
    <w:rsid w:val="005252BE"/>
    <w:rsid w:val="00526A79"/>
    <w:rsid w:val="00532047"/>
    <w:rsid w:val="00532FBA"/>
    <w:rsid w:val="00535134"/>
    <w:rsid w:val="00536A0C"/>
    <w:rsid w:val="00537AA3"/>
    <w:rsid w:val="00537F1E"/>
    <w:rsid w:val="00540B12"/>
    <w:rsid w:val="00542681"/>
    <w:rsid w:val="005436FB"/>
    <w:rsid w:val="00543EBF"/>
    <w:rsid w:val="00545710"/>
    <w:rsid w:val="00546A86"/>
    <w:rsid w:val="00546E60"/>
    <w:rsid w:val="00552DE9"/>
    <w:rsid w:val="00553482"/>
    <w:rsid w:val="005537A7"/>
    <w:rsid w:val="005568B0"/>
    <w:rsid w:val="00557C1B"/>
    <w:rsid w:val="00563968"/>
    <w:rsid w:val="005668BA"/>
    <w:rsid w:val="00566A6A"/>
    <w:rsid w:val="00570DD2"/>
    <w:rsid w:val="00575109"/>
    <w:rsid w:val="005755D6"/>
    <w:rsid w:val="005769A2"/>
    <w:rsid w:val="00576EAB"/>
    <w:rsid w:val="00581EE1"/>
    <w:rsid w:val="00582807"/>
    <w:rsid w:val="00582ECC"/>
    <w:rsid w:val="00582FA7"/>
    <w:rsid w:val="0058780A"/>
    <w:rsid w:val="00590EB6"/>
    <w:rsid w:val="00591BAF"/>
    <w:rsid w:val="00594D4B"/>
    <w:rsid w:val="00596152"/>
    <w:rsid w:val="005965FD"/>
    <w:rsid w:val="005A482C"/>
    <w:rsid w:val="005A6D72"/>
    <w:rsid w:val="005B1875"/>
    <w:rsid w:val="005B28C9"/>
    <w:rsid w:val="005B3AB8"/>
    <w:rsid w:val="005B749E"/>
    <w:rsid w:val="005B7B25"/>
    <w:rsid w:val="005C09EC"/>
    <w:rsid w:val="005C26DC"/>
    <w:rsid w:val="005C4B92"/>
    <w:rsid w:val="005C5083"/>
    <w:rsid w:val="005C5333"/>
    <w:rsid w:val="005C5ED0"/>
    <w:rsid w:val="005D1B8A"/>
    <w:rsid w:val="005D5EB2"/>
    <w:rsid w:val="005E24CF"/>
    <w:rsid w:val="005E27B2"/>
    <w:rsid w:val="005E513F"/>
    <w:rsid w:val="005E6307"/>
    <w:rsid w:val="005E7861"/>
    <w:rsid w:val="005F0ACD"/>
    <w:rsid w:val="005F0B55"/>
    <w:rsid w:val="005F1D5B"/>
    <w:rsid w:val="005F378B"/>
    <w:rsid w:val="005F4CF2"/>
    <w:rsid w:val="00603B6D"/>
    <w:rsid w:val="00604DC0"/>
    <w:rsid w:val="00604F53"/>
    <w:rsid w:val="00607011"/>
    <w:rsid w:val="006137B4"/>
    <w:rsid w:val="00613CE9"/>
    <w:rsid w:val="00622334"/>
    <w:rsid w:val="006279EE"/>
    <w:rsid w:val="0063107F"/>
    <w:rsid w:val="00631EC8"/>
    <w:rsid w:val="006322DC"/>
    <w:rsid w:val="006327FA"/>
    <w:rsid w:val="006331E8"/>
    <w:rsid w:val="00633C10"/>
    <w:rsid w:val="00634CA8"/>
    <w:rsid w:val="00634D11"/>
    <w:rsid w:val="006357F8"/>
    <w:rsid w:val="00636B59"/>
    <w:rsid w:val="0063769B"/>
    <w:rsid w:val="00637C05"/>
    <w:rsid w:val="006416BE"/>
    <w:rsid w:val="00645374"/>
    <w:rsid w:val="00650F5B"/>
    <w:rsid w:val="006529BC"/>
    <w:rsid w:val="00652E82"/>
    <w:rsid w:val="006530D0"/>
    <w:rsid w:val="0065516B"/>
    <w:rsid w:val="00662335"/>
    <w:rsid w:val="0066606D"/>
    <w:rsid w:val="00666B5D"/>
    <w:rsid w:val="0067242A"/>
    <w:rsid w:val="00673CED"/>
    <w:rsid w:val="00674722"/>
    <w:rsid w:val="006749FE"/>
    <w:rsid w:val="006801A9"/>
    <w:rsid w:val="00681D73"/>
    <w:rsid w:val="006821DB"/>
    <w:rsid w:val="00684C4D"/>
    <w:rsid w:val="00691817"/>
    <w:rsid w:val="0069374B"/>
    <w:rsid w:val="00696FD7"/>
    <w:rsid w:val="006A5F3A"/>
    <w:rsid w:val="006A6F0A"/>
    <w:rsid w:val="006B00E1"/>
    <w:rsid w:val="006B1578"/>
    <w:rsid w:val="006B6920"/>
    <w:rsid w:val="006B6BCB"/>
    <w:rsid w:val="006C01D1"/>
    <w:rsid w:val="006C13B8"/>
    <w:rsid w:val="006C5B1E"/>
    <w:rsid w:val="006C5C51"/>
    <w:rsid w:val="006C5CD4"/>
    <w:rsid w:val="006D4663"/>
    <w:rsid w:val="006D5BEC"/>
    <w:rsid w:val="006D6273"/>
    <w:rsid w:val="006E16E8"/>
    <w:rsid w:val="006F3A9D"/>
    <w:rsid w:val="006F6AAD"/>
    <w:rsid w:val="006F77AA"/>
    <w:rsid w:val="00701EE1"/>
    <w:rsid w:val="00702DD5"/>
    <w:rsid w:val="007037E0"/>
    <w:rsid w:val="00715EA0"/>
    <w:rsid w:val="00716DDE"/>
    <w:rsid w:val="00721211"/>
    <w:rsid w:val="0072143A"/>
    <w:rsid w:val="00722517"/>
    <w:rsid w:val="00722B3F"/>
    <w:rsid w:val="00725998"/>
    <w:rsid w:val="00725B12"/>
    <w:rsid w:val="007311C0"/>
    <w:rsid w:val="00731E2A"/>
    <w:rsid w:val="00734FD4"/>
    <w:rsid w:val="00740FDB"/>
    <w:rsid w:val="0074155C"/>
    <w:rsid w:val="00742715"/>
    <w:rsid w:val="0074419A"/>
    <w:rsid w:val="00744AC7"/>
    <w:rsid w:val="0074718B"/>
    <w:rsid w:val="00752F41"/>
    <w:rsid w:val="00755821"/>
    <w:rsid w:val="00756CF3"/>
    <w:rsid w:val="00760711"/>
    <w:rsid w:val="00764256"/>
    <w:rsid w:val="0076454F"/>
    <w:rsid w:val="00767B75"/>
    <w:rsid w:val="007700F8"/>
    <w:rsid w:val="007764F5"/>
    <w:rsid w:val="0078066F"/>
    <w:rsid w:val="0078157F"/>
    <w:rsid w:val="00781A4A"/>
    <w:rsid w:val="0079172F"/>
    <w:rsid w:val="00791C67"/>
    <w:rsid w:val="00793C07"/>
    <w:rsid w:val="007941DC"/>
    <w:rsid w:val="00794DAC"/>
    <w:rsid w:val="007958AE"/>
    <w:rsid w:val="0079703B"/>
    <w:rsid w:val="0079727B"/>
    <w:rsid w:val="007A0D34"/>
    <w:rsid w:val="007A5852"/>
    <w:rsid w:val="007A5F9B"/>
    <w:rsid w:val="007A7C7A"/>
    <w:rsid w:val="007B6A73"/>
    <w:rsid w:val="007C175B"/>
    <w:rsid w:val="007C3FAA"/>
    <w:rsid w:val="007D3AB6"/>
    <w:rsid w:val="007D4637"/>
    <w:rsid w:val="007D4C6C"/>
    <w:rsid w:val="007D569A"/>
    <w:rsid w:val="007D64F6"/>
    <w:rsid w:val="007D7F8F"/>
    <w:rsid w:val="007E4C94"/>
    <w:rsid w:val="007E5F04"/>
    <w:rsid w:val="007F2B36"/>
    <w:rsid w:val="007F2C2A"/>
    <w:rsid w:val="007F360E"/>
    <w:rsid w:val="007F4A22"/>
    <w:rsid w:val="007F5365"/>
    <w:rsid w:val="00800B76"/>
    <w:rsid w:val="00812DDE"/>
    <w:rsid w:val="008140E8"/>
    <w:rsid w:val="00815186"/>
    <w:rsid w:val="00816199"/>
    <w:rsid w:val="00816284"/>
    <w:rsid w:val="00817DB8"/>
    <w:rsid w:val="008223B6"/>
    <w:rsid w:val="008234AD"/>
    <w:rsid w:val="00824D57"/>
    <w:rsid w:val="00830E2C"/>
    <w:rsid w:val="00831A8D"/>
    <w:rsid w:val="00835FB6"/>
    <w:rsid w:val="008401DA"/>
    <w:rsid w:val="00844AC5"/>
    <w:rsid w:val="00845602"/>
    <w:rsid w:val="00846672"/>
    <w:rsid w:val="00847099"/>
    <w:rsid w:val="00853091"/>
    <w:rsid w:val="00861B0D"/>
    <w:rsid w:val="00864234"/>
    <w:rsid w:val="008642D5"/>
    <w:rsid w:val="00865A6F"/>
    <w:rsid w:val="00867AC8"/>
    <w:rsid w:val="0087133C"/>
    <w:rsid w:val="00872B38"/>
    <w:rsid w:val="008801A3"/>
    <w:rsid w:val="00880599"/>
    <w:rsid w:val="00882212"/>
    <w:rsid w:val="00883AA8"/>
    <w:rsid w:val="008853B1"/>
    <w:rsid w:val="0088696D"/>
    <w:rsid w:val="00887858"/>
    <w:rsid w:val="00887B87"/>
    <w:rsid w:val="00890BC9"/>
    <w:rsid w:val="0089165B"/>
    <w:rsid w:val="008920BC"/>
    <w:rsid w:val="00893242"/>
    <w:rsid w:val="008944F3"/>
    <w:rsid w:val="008A06BA"/>
    <w:rsid w:val="008A06DF"/>
    <w:rsid w:val="008A2AD6"/>
    <w:rsid w:val="008A2E3D"/>
    <w:rsid w:val="008A2FC0"/>
    <w:rsid w:val="008A59E6"/>
    <w:rsid w:val="008A6F34"/>
    <w:rsid w:val="008B2078"/>
    <w:rsid w:val="008B5366"/>
    <w:rsid w:val="008C3CB6"/>
    <w:rsid w:val="008C4241"/>
    <w:rsid w:val="008C444B"/>
    <w:rsid w:val="008C60E7"/>
    <w:rsid w:val="008D1150"/>
    <w:rsid w:val="008D16DC"/>
    <w:rsid w:val="008D1E2F"/>
    <w:rsid w:val="008E1FB9"/>
    <w:rsid w:val="008E3462"/>
    <w:rsid w:val="008E58D8"/>
    <w:rsid w:val="008E6A1B"/>
    <w:rsid w:val="008E6B4B"/>
    <w:rsid w:val="008F615A"/>
    <w:rsid w:val="008F6B49"/>
    <w:rsid w:val="0090150F"/>
    <w:rsid w:val="009025C1"/>
    <w:rsid w:val="009047BE"/>
    <w:rsid w:val="00904AF7"/>
    <w:rsid w:val="009059F6"/>
    <w:rsid w:val="00905EC4"/>
    <w:rsid w:val="00906E89"/>
    <w:rsid w:val="00914845"/>
    <w:rsid w:val="009159E1"/>
    <w:rsid w:val="00926143"/>
    <w:rsid w:val="0092669F"/>
    <w:rsid w:val="00932626"/>
    <w:rsid w:val="00937032"/>
    <w:rsid w:val="00937148"/>
    <w:rsid w:val="00941419"/>
    <w:rsid w:val="00942353"/>
    <w:rsid w:val="009437A8"/>
    <w:rsid w:val="00946EFC"/>
    <w:rsid w:val="00946F9D"/>
    <w:rsid w:val="00952D54"/>
    <w:rsid w:val="00953043"/>
    <w:rsid w:val="00954CB2"/>
    <w:rsid w:val="00960804"/>
    <w:rsid w:val="00960E38"/>
    <w:rsid w:val="00967D3B"/>
    <w:rsid w:val="00970EA5"/>
    <w:rsid w:val="00971A55"/>
    <w:rsid w:val="00972180"/>
    <w:rsid w:val="00973CA7"/>
    <w:rsid w:val="0097679F"/>
    <w:rsid w:val="00984C36"/>
    <w:rsid w:val="00986108"/>
    <w:rsid w:val="00987D22"/>
    <w:rsid w:val="00991008"/>
    <w:rsid w:val="009929A4"/>
    <w:rsid w:val="00996122"/>
    <w:rsid w:val="009963B1"/>
    <w:rsid w:val="009A0EA8"/>
    <w:rsid w:val="009A1BDE"/>
    <w:rsid w:val="009A4B3F"/>
    <w:rsid w:val="009A7DA8"/>
    <w:rsid w:val="009B352B"/>
    <w:rsid w:val="009B39E3"/>
    <w:rsid w:val="009B5D6F"/>
    <w:rsid w:val="009C3B31"/>
    <w:rsid w:val="009C4A73"/>
    <w:rsid w:val="009C5CF6"/>
    <w:rsid w:val="009C75DB"/>
    <w:rsid w:val="009D062B"/>
    <w:rsid w:val="009D1E75"/>
    <w:rsid w:val="009D389A"/>
    <w:rsid w:val="009D61CA"/>
    <w:rsid w:val="009E3496"/>
    <w:rsid w:val="009E444A"/>
    <w:rsid w:val="009E44D1"/>
    <w:rsid w:val="009F0561"/>
    <w:rsid w:val="009F1C8C"/>
    <w:rsid w:val="009F249A"/>
    <w:rsid w:val="009F6A79"/>
    <w:rsid w:val="00A00532"/>
    <w:rsid w:val="00A027FE"/>
    <w:rsid w:val="00A049ED"/>
    <w:rsid w:val="00A13FD3"/>
    <w:rsid w:val="00A15662"/>
    <w:rsid w:val="00A15B4D"/>
    <w:rsid w:val="00A17A05"/>
    <w:rsid w:val="00A201BA"/>
    <w:rsid w:val="00A20B5D"/>
    <w:rsid w:val="00A23F78"/>
    <w:rsid w:val="00A26C10"/>
    <w:rsid w:val="00A32364"/>
    <w:rsid w:val="00A32B12"/>
    <w:rsid w:val="00A332CD"/>
    <w:rsid w:val="00A33AC6"/>
    <w:rsid w:val="00A35840"/>
    <w:rsid w:val="00A43C61"/>
    <w:rsid w:val="00A44087"/>
    <w:rsid w:val="00A50064"/>
    <w:rsid w:val="00A50762"/>
    <w:rsid w:val="00A50EFB"/>
    <w:rsid w:val="00A51785"/>
    <w:rsid w:val="00A518CC"/>
    <w:rsid w:val="00A51DA0"/>
    <w:rsid w:val="00A52400"/>
    <w:rsid w:val="00A53AEC"/>
    <w:rsid w:val="00A5552F"/>
    <w:rsid w:val="00A557BC"/>
    <w:rsid w:val="00A57FA5"/>
    <w:rsid w:val="00A63D89"/>
    <w:rsid w:val="00A64913"/>
    <w:rsid w:val="00A66F56"/>
    <w:rsid w:val="00A70FB7"/>
    <w:rsid w:val="00A73159"/>
    <w:rsid w:val="00A90CAD"/>
    <w:rsid w:val="00A91710"/>
    <w:rsid w:val="00A921BD"/>
    <w:rsid w:val="00A925B1"/>
    <w:rsid w:val="00A92A0C"/>
    <w:rsid w:val="00A95ABA"/>
    <w:rsid w:val="00A96575"/>
    <w:rsid w:val="00AA1DA9"/>
    <w:rsid w:val="00AA3C1D"/>
    <w:rsid w:val="00AA470C"/>
    <w:rsid w:val="00AA6718"/>
    <w:rsid w:val="00AA733B"/>
    <w:rsid w:val="00AB0EAD"/>
    <w:rsid w:val="00AB2F6A"/>
    <w:rsid w:val="00AB686A"/>
    <w:rsid w:val="00AC108C"/>
    <w:rsid w:val="00AC1A00"/>
    <w:rsid w:val="00AC2AA0"/>
    <w:rsid w:val="00AC4E3E"/>
    <w:rsid w:val="00AD1041"/>
    <w:rsid w:val="00AD273D"/>
    <w:rsid w:val="00AD518D"/>
    <w:rsid w:val="00AD5200"/>
    <w:rsid w:val="00AD5F49"/>
    <w:rsid w:val="00AE19A1"/>
    <w:rsid w:val="00AE452D"/>
    <w:rsid w:val="00AE7D66"/>
    <w:rsid w:val="00AF0598"/>
    <w:rsid w:val="00AF15DE"/>
    <w:rsid w:val="00AF1826"/>
    <w:rsid w:val="00AF6FAC"/>
    <w:rsid w:val="00B00551"/>
    <w:rsid w:val="00B053A8"/>
    <w:rsid w:val="00B1021A"/>
    <w:rsid w:val="00B115D7"/>
    <w:rsid w:val="00B1504B"/>
    <w:rsid w:val="00B153BA"/>
    <w:rsid w:val="00B16372"/>
    <w:rsid w:val="00B16D72"/>
    <w:rsid w:val="00B176D7"/>
    <w:rsid w:val="00B200B5"/>
    <w:rsid w:val="00B20E1B"/>
    <w:rsid w:val="00B21432"/>
    <w:rsid w:val="00B232BF"/>
    <w:rsid w:val="00B246C8"/>
    <w:rsid w:val="00B2524F"/>
    <w:rsid w:val="00B2636C"/>
    <w:rsid w:val="00B26C75"/>
    <w:rsid w:val="00B31267"/>
    <w:rsid w:val="00B316F7"/>
    <w:rsid w:val="00B36C6F"/>
    <w:rsid w:val="00B44A67"/>
    <w:rsid w:val="00B45AD9"/>
    <w:rsid w:val="00B46B50"/>
    <w:rsid w:val="00B46F12"/>
    <w:rsid w:val="00B50FAF"/>
    <w:rsid w:val="00B56DC4"/>
    <w:rsid w:val="00B63EEA"/>
    <w:rsid w:val="00B64301"/>
    <w:rsid w:val="00B64CA6"/>
    <w:rsid w:val="00B64F0D"/>
    <w:rsid w:val="00B652C9"/>
    <w:rsid w:val="00B66291"/>
    <w:rsid w:val="00B6685C"/>
    <w:rsid w:val="00B67E44"/>
    <w:rsid w:val="00B70889"/>
    <w:rsid w:val="00B72209"/>
    <w:rsid w:val="00B723C4"/>
    <w:rsid w:val="00B73AEF"/>
    <w:rsid w:val="00B73D7A"/>
    <w:rsid w:val="00B759D9"/>
    <w:rsid w:val="00B75E35"/>
    <w:rsid w:val="00B762CF"/>
    <w:rsid w:val="00B8127D"/>
    <w:rsid w:val="00B8450A"/>
    <w:rsid w:val="00B94787"/>
    <w:rsid w:val="00B95FA8"/>
    <w:rsid w:val="00B96E1B"/>
    <w:rsid w:val="00B97368"/>
    <w:rsid w:val="00B97861"/>
    <w:rsid w:val="00B97CCE"/>
    <w:rsid w:val="00BA0C36"/>
    <w:rsid w:val="00BB22AB"/>
    <w:rsid w:val="00BB4B9A"/>
    <w:rsid w:val="00BB5734"/>
    <w:rsid w:val="00BB612C"/>
    <w:rsid w:val="00BB61A5"/>
    <w:rsid w:val="00BB74E8"/>
    <w:rsid w:val="00BC2E32"/>
    <w:rsid w:val="00BC3A0B"/>
    <w:rsid w:val="00BC4919"/>
    <w:rsid w:val="00BC7592"/>
    <w:rsid w:val="00BC79A5"/>
    <w:rsid w:val="00BD00BC"/>
    <w:rsid w:val="00BD3394"/>
    <w:rsid w:val="00BD4173"/>
    <w:rsid w:val="00BD4618"/>
    <w:rsid w:val="00BD4F05"/>
    <w:rsid w:val="00BD69D0"/>
    <w:rsid w:val="00BD72CF"/>
    <w:rsid w:val="00BD7899"/>
    <w:rsid w:val="00BE3DF4"/>
    <w:rsid w:val="00BE6581"/>
    <w:rsid w:val="00BE7E28"/>
    <w:rsid w:val="00BF0E74"/>
    <w:rsid w:val="00BF3488"/>
    <w:rsid w:val="00BF55BD"/>
    <w:rsid w:val="00C02333"/>
    <w:rsid w:val="00C05D05"/>
    <w:rsid w:val="00C06DAA"/>
    <w:rsid w:val="00C14B6A"/>
    <w:rsid w:val="00C15825"/>
    <w:rsid w:val="00C169A3"/>
    <w:rsid w:val="00C20E8D"/>
    <w:rsid w:val="00C217C3"/>
    <w:rsid w:val="00C225A6"/>
    <w:rsid w:val="00C23C13"/>
    <w:rsid w:val="00C240A7"/>
    <w:rsid w:val="00C25258"/>
    <w:rsid w:val="00C255CE"/>
    <w:rsid w:val="00C27BEA"/>
    <w:rsid w:val="00C3712E"/>
    <w:rsid w:val="00C40B64"/>
    <w:rsid w:val="00C435E6"/>
    <w:rsid w:val="00C443E4"/>
    <w:rsid w:val="00C446EE"/>
    <w:rsid w:val="00C4660F"/>
    <w:rsid w:val="00C471AC"/>
    <w:rsid w:val="00C476C8"/>
    <w:rsid w:val="00C51754"/>
    <w:rsid w:val="00C51F32"/>
    <w:rsid w:val="00C547A9"/>
    <w:rsid w:val="00C56E41"/>
    <w:rsid w:val="00C57192"/>
    <w:rsid w:val="00C609D6"/>
    <w:rsid w:val="00C64BB6"/>
    <w:rsid w:val="00C67553"/>
    <w:rsid w:val="00C67EFD"/>
    <w:rsid w:val="00C705B3"/>
    <w:rsid w:val="00C719FB"/>
    <w:rsid w:val="00C71C81"/>
    <w:rsid w:val="00C71F2E"/>
    <w:rsid w:val="00C72BA4"/>
    <w:rsid w:val="00C7311A"/>
    <w:rsid w:val="00C778D5"/>
    <w:rsid w:val="00C803D0"/>
    <w:rsid w:val="00C80A7E"/>
    <w:rsid w:val="00C85D36"/>
    <w:rsid w:val="00C867A5"/>
    <w:rsid w:val="00C86A3C"/>
    <w:rsid w:val="00C86FA4"/>
    <w:rsid w:val="00C87D50"/>
    <w:rsid w:val="00C90586"/>
    <w:rsid w:val="00C9432C"/>
    <w:rsid w:val="00C95401"/>
    <w:rsid w:val="00CA6AFC"/>
    <w:rsid w:val="00CA717E"/>
    <w:rsid w:val="00CB1580"/>
    <w:rsid w:val="00CB2684"/>
    <w:rsid w:val="00CB327E"/>
    <w:rsid w:val="00CB4CF4"/>
    <w:rsid w:val="00CB6D8B"/>
    <w:rsid w:val="00CB757F"/>
    <w:rsid w:val="00CB7714"/>
    <w:rsid w:val="00CB7888"/>
    <w:rsid w:val="00CC0D34"/>
    <w:rsid w:val="00CC1F52"/>
    <w:rsid w:val="00CC3CEC"/>
    <w:rsid w:val="00CC5650"/>
    <w:rsid w:val="00CC601E"/>
    <w:rsid w:val="00CD0810"/>
    <w:rsid w:val="00CD0871"/>
    <w:rsid w:val="00CD15AC"/>
    <w:rsid w:val="00CD16EF"/>
    <w:rsid w:val="00CD6E04"/>
    <w:rsid w:val="00CE0038"/>
    <w:rsid w:val="00CE00DF"/>
    <w:rsid w:val="00CE0EE9"/>
    <w:rsid w:val="00CE2815"/>
    <w:rsid w:val="00CE4363"/>
    <w:rsid w:val="00CE4896"/>
    <w:rsid w:val="00CE6145"/>
    <w:rsid w:val="00CE7493"/>
    <w:rsid w:val="00CF1384"/>
    <w:rsid w:val="00CF31A3"/>
    <w:rsid w:val="00CF5029"/>
    <w:rsid w:val="00D0005C"/>
    <w:rsid w:val="00D03E68"/>
    <w:rsid w:val="00D0649F"/>
    <w:rsid w:val="00D101DB"/>
    <w:rsid w:val="00D10EC7"/>
    <w:rsid w:val="00D14647"/>
    <w:rsid w:val="00D14DA8"/>
    <w:rsid w:val="00D152BD"/>
    <w:rsid w:val="00D1696C"/>
    <w:rsid w:val="00D173FA"/>
    <w:rsid w:val="00D17566"/>
    <w:rsid w:val="00D20765"/>
    <w:rsid w:val="00D20FE1"/>
    <w:rsid w:val="00D22980"/>
    <w:rsid w:val="00D251EF"/>
    <w:rsid w:val="00D25271"/>
    <w:rsid w:val="00D26AD1"/>
    <w:rsid w:val="00D27104"/>
    <w:rsid w:val="00D30143"/>
    <w:rsid w:val="00D31DD4"/>
    <w:rsid w:val="00D348B0"/>
    <w:rsid w:val="00D3713E"/>
    <w:rsid w:val="00D40793"/>
    <w:rsid w:val="00D436C6"/>
    <w:rsid w:val="00D463F3"/>
    <w:rsid w:val="00D47072"/>
    <w:rsid w:val="00D514DB"/>
    <w:rsid w:val="00D51D5A"/>
    <w:rsid w:val="00D526AB"/>
    <w:rsid w:val="00D54B44"/>
    <w:rsid w:val="00D558E1"/>
    <w:rsid w:val="00D57026"/>
    <w:rsid w:val="00D627C9"/>
    <w:rsid w:val="00D635EE"/>
    <w:rsid w:val="00D71828"/>
    <w:rsid w:val="00D800DA"/>
    <w:rsid w:val="00D8218E"/>
    <w:rsid w:val="00D8346E"/>
    <w:rsid w:val="00D86650"/>
    <w:rsid w:val="00D86D55"/>
    <w:rsid w:val="00D921FE"/>
    <w:rsid w:val="00D9496D"/>
    <w:rsid w:val="00D95BB3"/>
    <w:rsid w:val="00D97380"/>
    <w:rsid w:val="00DA044F"/>
    <w:rsid w:val="00DA105C"/>
    <w:rsid w:val="00DA2163"/>
    <w:rsid w:val="00DA28B2"/>
    <w:rsid w:val="00DA6C09"/>
    <w:rsid w:val="00DA6ECE"/>
    <w:rsid w:val="00DA7095"/>
    <w:rsid w:val="00DA72AF"/>
    <w:rsid w:val="00DB223F"/>
    <w:rsid w:val="00DB57BB"/>
    <w:rsid w:val="00DB6A83"/>
    <w:rsid w:val="00DC0B27"/>
    <w:rsid w:val="00DC3998"/>
    <w:rsid w:val="00DC4475"/>
    <w:rsid w:val="00DC5E9F"/>
    <w:rsid w:val="00DC7567"/>
    <w:rsid w:val="00DD645B"/>
    <w:rsid w:val="00DE1A22"/>
    <w:rsid w:val="00DE1CCA"/>
    <w:rsid w:val="00DE6729"/>
    <w:rsid w:val="00DE7E2D"/>
    <w:rsid w:val="00DF011B"/>
    <w:rsid w:val="00DF193F"/>
    <w:rsid w:val="00DF25E1"/>
    <w:rsid w:val="00DF3523"/>
    <w:rsid w:val="00E01458"/>
    <w:rsid w:val="00E0332B"/>
    <w:rsid w:val="00E036CD"/>
    <w:rsid w:val="00E049D9"/>
    <w:rsid w:val="00E07100"/>
    <w:rsid w:val="00E07FC2"/>
    <w:rsid w:val="00E10C3F"/>
    <w:rsid w:val="00E13124"/>
    <w:rsid w:val="00E153BB"/>
    <w:rsid w:val="00E21413"/>
    <w:rsid w:val="00E22D57"/>
    <w:rsid w:val="00E22EBC"/>
    <w:rsid w:val="00E251C7"/>
    <w:rsid w:val="00E278B7"/>
    <w:rsid w:val="00E30D44"/>
    <w:rsid w:val="00E329CC"/>
    <w:rsid w:val="00E37343"/>
    <w:rsid w:val="00E45FFA"/>
    <w:rsid w:val="00E50F9B"/>
    <w:rsid w:val="00E54396"/>
    <w:rsid w:val="00E5578E"/>
    <w:rsid w:val="00E604F1"/>
    <w:rsid w:val="00E61654"/>
    <w:rsid w:val="00E6680C"/>
    <w:rsid w:val="00E66C37"/>
    <w:rsid w:val="00E7270D"/>
    <w:rsid w:val="00E737A3"/>
    <w:rsid w:val="00E7592D"/>
    <w:rsid w:val="00E81AF6"/>
    <w:rsid w:val="00E826CD"/>
    <w:rsid w:val="00E843C6"/>
    <w:rsid w:val="00E85903"/>
    <w:rsid w:val="00E85964"/>
    <w:rsid w:val="00E85CA9"/>
    <w:rsid w:val="00E86560"/>
    <w:rsid w:val="00E86589"/>
    <w:rsid w:val="00E90411"/>
    <w:rsid w:val="00E90B57"/>
    <w:rsid w:val="00E90E77"/>
    <w:rsid w:val="00E91D47"/>
    <w:rsid w:val="00E950F7"/>
    <w:rsid w:val="00E9738B"/>
    <w:rsid w:val="00E97ED5"/>
    <w:rsid w:val="00EA2A02"/>
    <w:rsid w:val="00EA3FB7"/>
    <w:rsid w:val="00EA4881"/>
    <w:rsid w:val="00EA6339"/>
    <w:rsid w:val="00EB0F3C"/>
    <w:rsid w:val="00EB13A1"/>
    <w:rsid w:val="00EB1B29"/>
    <w:rsid w:val="00EB1F22"/>
    <w:rsid w:val="00EB4289"/>
    <w:rsid w:val="00EB5885"/>
    <w:rsid w:val="00EB6854"/>
    <w:rsid w:val="00EB75BE"/>
    <w:rsid w:val="00EC1352"/>
    <w:rsid w:val="00EC2549"/>
    <w:rsid w:val="00EC2883"/>
    <w:rsid w:val="00EC2BB5"/>
    <w:rsid w:val="00EC3810"/>
    <w:rsid w:val="00EC40A2"/>
    <w:rsid w:val="00EC4B4C"/>
    <w:rsid w:val="00EC4D83"/>
    <w:rsid w:val="00EC5F28"/>
    <w:rsid w:val="00EC69E5"/>
    <w:rsid w:val="00EE126C"/>
    <w:rsid w:val="00EE32ED"/>
    <w:rsid w:val="00EE7E2F"/>
    <w:rsid w:val="00EF31F9"/>
    <w:rsid w:val="00EF4E8F"/>
    <w:rsid w:val="00EF5AA6"/>
    <w:rsid w:val="00EF6661"/>
    <w:rsid w:val="00F02D10"/>
    <w:rsid w:val="00F0669D"/>
    <w:rsid w:val="00F07E14"/>
    <w:rsid w:val="00F10E50"/>
    <w:rsid w:val="00F1265F"/>
    <w:rsid w:val="00F211FE"/>
    <w:rsid w:val="00F224EF"/>
    <w:rsid w:val="00F234A7"/>
    <w:rsid w:val="00F238BB"/>
    <w:rsid w:val="00F2456F"/>
    <w:rsid w:val="00F261FD"/>
    <w:rsid w:val="00F27DDA"/>
    <w:rsid w:val="00F37F8A"/>
    <w:rsid w:val="00F42EDE"/>
    <w:rsid w:val="00F43EFC"/>
    <w:rsid w:val="00F446EB"/>
    <w:rsid w:val="00F46B36"/>
    <w:rsid w:val="00F47157"/>
    <w:rsid w:val="00F5336A"/>
    <w:rsid w:val="00F54C2B"/>
    <w:rsid w:val="00F567E7"/>
    <w:rsid w:val="00F571BE"/>
    <w:rsid w:val="00F5795E"/>
    <w:rsid w:val="00F57A49"/>
    <w:rsid w:val="00F61B76"/>
    <w:rsid w:val="00F643A2"/>
    <w:rsid w:val="00F643F2"/>
    <w:rsid w:val="00F65F03"/>
    <w:rsid w:val="00F6601D"/>
    <w:rsid w:val="00F673CB"/>
    <w:rsid w:val="00F67588"/>
    <w:rsid w:val="00F70F4B"/>
    <w:rsid w:val="00F72D0E"/>
    <w:rsid w:val="00F758CB"/>
    <w:rsid w:val="00F76A4D"/>
    <w:rsid w:val="00F8221A"/>
    <w:rsid w:val="00F87178"/>
    <w:rsid w:val="00F87390"/>
    <w:rsid w:val="00F90B59"/>
    <w:rsid w:val="00F91549"/>
    <w:rsid w:val="00F9208B"/>
    <w:rsid w:val="00F93EE8"/>
    <w:rsid w:val="00F943BD"/>
    <w:rsid w:val="00FA440F"/>
    <w:rsid w:val="00FA6888"/>
    <w:rsid w:val="00FB762C"/>
    <w:rsid w:val="00FC18D7"/>
    <w:rsid w:val="00FC6BE7"/>
    <w:rsid w:val="00FC7535"/>
    <w:rsid w:val="00FD0135"/>
    <w:rsid w:val="00FD028C"/>
    <w:rsid w:val="00FD2052"/>
    <w:rsid w:val="00FE0575"/>
    <w:rsid w:val="00FE26CC"/>
    <w:rsid w:val="00FE78A2"/>
    <w:rsid w:val="00FF3E28"/>
    <w:rsid w:val="00FF77D0"/>
    <w:rsid w:val="00FF7C8C"/>
    <w:rsid w:val="010740BD"/>
    <w:rsid w:val="010D7DD7"/>
    <w:rsid w:val="01415CD2"/>
    <w:rsid w:val="017C78FF"/>
    <w:rsid w:val="01D840D1"/>
    <w:rsid w:val="01DA23AF"/>
    <w:rsid w:val="025739FF"/>
    <w:rsid w:val="02581525"/>
    <w:rsid w:val="025F5973"/>
    <w:rsid w:val="02971D9B"/>
    <w:rsid w:val="02A227A1"/>
    <w:rsid w:val="02B30143"/>
    <w:rsid w:val="02CC4B77"/>
    <w:rsid w:val="02D0244B"/>
    <w:rsid w:val="030671D3"/>
    <w:rsid w:val="034C72DC"/>
    <w:rsid w:val="040F20B8"/>
    <w:rsid w:val="0414147C"/>
    <w:rsid w:val="042E69E2"/>
    <w:rsid w:val="044D478C"/>
    <w:rsid w:val="04653E27"/>
    <w:rsid w:val="04A120E1"/>
    <w:rsid w:val="04BF11F3"/>
    <w:rsid w:val="04D56B96"/>
    <w:rsid w:val="055408A9"/>
    <w:rsid w:val="05781409"/>
    <w:rsid w:val="05BC0BF8"/>
    <w:rsid w:val="05CF5FA2"/>
    <w:rsid w:val="05D03B7D"/>
    <w:rsid w:val="060C467C"/>
    <w:rsid w:val="06113EC5"/>
    <w:rsid w:val="062A31D9"/>
    <w:rsid w:val="062F259D"/>
    <w:rsid w:val="063A028F"/>
    <w:rsid w:val="06565574"/>
    <w:rsid w:val="06654211"/>
    <w:rsid w:val="068C25DB"/>
    <w:rsid w:val="0692233C"/>
    <w:rsid w:val="06AE79A3"/>
    <w:rsid w:val="06B47C7B"/>
    <w:rsid w:val="06D575E9"/>
    <w:rsid w:val="06EB2968"/>
    <w:rsid w:val="06ED4932"/>
    <w:rsid w:val="06F04C85"/>
    <w:rsid w:val="06F53DF8"/>
    <w:rsid w:val="070E01EC"/>
    <w:rsid w:val="07106873"/>
    <w:rsid w:val="071C0D73"/>
    <w:rsid w:val="072C2FAA"/>
    <w:rsid w:val="07504EC1"/>
    <w:rsid w:val="07835317"/>
    <w:rsid w:val="07856926"/>
    <w:rsid w:val="07871F8F"/>
    <w:rsid w:val="0794286D"/>
    <w:rsid w:val="07CF735F"/>
    <w:rsid w:val="07EE41F1"/>
    <w:rsid w:val="080324F7"/>
    <w:rsid w:val="082F13F4"/>
    <w:rsid w:val="08373B10"/>
    <w:rsid w:val="08381BDD"/>
    <w:rsid w:val="083D1CD8"/>
    <w:rsid w:val="085B75A0"/>
    <w:rsid w:val="085E6480"/>
    <w:rsid w:val="085F383B"/>
    <w:rsid w:val="087516B5"/>
    <w:rsid w:val="08855808"/>
    <w:rsid w:val="08E16B89"/>
    <w:rsid w:val="093478C1"/>
    <w:rsid w:val="09A10A0F"/>
    <w:rsid w:val="09DB3BBB"/>
    <w:rsid w:val="09DE6AB1"/>
    <w:rsid w:val="0A1C72DC"/>
    <w:rsid w:val="0A200A0E"/>
    <w:rsid w:val="0A947A52"/>
    <w:rsid w:val="0A995273"/>
    <w:rsid w:val="0AC37758"/>
    <w:rsid w:val="0B154457"/>
    <w:rsid w:val="0B212DFC"/>
    <w:rsid w:val="0B3E2722"/>
    <w:rsid w:val="0B91507D"/>
    <w:rsid w:val="0BBA6DAD"/>
    <w:rsid w:val="0C27455C"/>
    <w:rsid w:val="0C4A13B6"/>
    <w:rsid w:val="0C610D37"/>
    <w:rsid w:val="0C8278CB"/>
    <w:rsid w:val="0D0664E9"/>
    <w:rsid w:val="0D0F2768"/>
    <w:rsid w:val="0D335780"/>
    <w:rsid w:val="0D4977E2"/>
    <w:rsid w:val="0D8458C4"/>
    <w:rsid w:val="0DAD4E1B"/>
    <w:rsid w:val="0DFF1B83"/>
    <w:rsid w:val="0E1704E7"/>
    <w:rsid w:val="0E197BBC"/>
    <w:rsid w:val="0E3869E3"/>
    <w:rsid w:val="0EB628D0"/>
    <w:rsid w:val="0F030445"/>
    <w:rsid w:val="0F704352"/>
    <w:rsid w:val="0F751969"/>
    <w:rsid w:val="0FBA7763"/>
    <w:rsid w:val="0FDD1D3C"/>
    <w:rsid w:val="1002041D"/>
    <w:rsid w:val="102B5847"/>
    <w:rsid w:val="10964BDC"/>
    <w:rsid w:val="10995F74"/>
    <w:rsid w:val="10B169D0"/>
    <w:rsid w:val="10B72ECD"/>
    <w:rsid w:val="10B90864"/>
    <w:rsid w:val="10D475C5"/>
    <w:rsid w:val="10EC6ED1"/>
    <w:rsid w:val="10F90F82"/>
    <w:rsid w:val="111019FE"/>
    <w:rsid w:val="11513D10"/>
    <w:rsid w:val="115E7F65"/>
    <w:rsid w:val="11627CCB"/>
    <w:rsid w:val="11655896"/>
    <w:rsid w:val="116F4196"/>
    <w:rsid w:val="11F0177A"/>
    <w:rsid w:val="120D3532"/>
    <w:rsid w:val="12241424"/>
    <w:rsid w:val="1279351E"/>
    <w:rsid w:val="1283393D"/>
    <w:rsid w:val="12A13FAF"/>
    <w:rsid w:val="12BD38C9"/>
    <w:rsid w:val="130D3C66"/>
    <w:rsid w:val="133B4F81"/>
    <w:rsid w:val="134358DA"/>
    <w:rsid w:val="134C478E"/>
    <w:rsid w:val="13533D6F"/>
    <w:rsid w:val="139E58EC"/>
    <w:rsid w:val="13A9398F"/>
    <w:rsid w:val="13BF03CA"/>
    <w:rsid w:val="13C87AEE"/>
    <w:rsid w:val="143851FF"/>
    <w:rsid w:val="148B578A"/>
    <w:rsid w:val="14943E0F"/>
    <w:rsid w:val="1510485B"/>
    <w:rsid w:val="151E215B"/>
    <w:rsid w:val="1525275F"/>
    <w:rsid w:val="15853F88"/>
    <w:rsid w:val="15DA0777"/>
    <w:rsid w:val="15FD7FC2"/>
    <w:rsid w:val="16157E2D"/>
    <w:rsid w:val="16184061"/>
    <w:rsid w:val="1633712C"/>
    <w:rsid w:val="16393F65"/>
    <w:rsid w:val="16435794"/>
    <w:rsid w:val="165C7A79"/>
    <w:rsid w:val="16866209"/>
    <w:rsid w:val="168F2010"/>
    <w:rsid w:val="174727ED"/>
    <w:rsid w:val="175D29A3"/>
    <w:rsid w:val="17784968"/>
    <w:rsid w:val="179E3819"/>
    <w:rsid w:val="17A553DC"/>
    <w:rsid w:val="17D66D1D"/>
    <w:rsid w:val="17DE7734"/>
    <w:rsid w:val="181E2472"/>
    <w:rsid w:val="18294330"/>
    <w:rsid w:val="18312189"/>
    <w:rsid w:val="18517A73"/>
    <w:rsid w:val="18671C16"/>
    <w:rsid w:val="18BA4890"/>
    <w:rsid w:val="18F25DD8"/>
    <w:rsid w:val="192057C7"/>
    <w:rsid w:val="1945415A"/>
    <w:rsid w:val="196C5B8A"/>
    <w:rsid w:val="199F50F2"/>
    <w:rsid w:val="19AC5F87"/>
    <w:rsid w:val="19CF7EC7"/>
    <w:rsid w:val="19D5786F"/>
    <w:rsid w:val="1A134258"/>
    <w:rsid w:val="1A27385F"/>
    <w:rsid w:val="1A396A26"/>
    <w:rsid w:val="1A3D3083"/>
    <w:rsid w:val="1A722433"/>
    <w:rsid w:val="1A9D2818"/>
    <w:rsid w:val="1AB75623"/>
    <w:rsid w:val="1ABE298D"/>
    <w:rsid w:val="1AEC2D5F"/>
    <w:rsid w:val="1AEF6C50"/>
    <w:rsid w:val="1AF71484"/>
    <w:rsid w:val="1B171298"/>
    <w:rsid w:val="1B297ECA"/>
    <w:rsid w:val="1B754C1C"/>
    <w:rsid w:val="1B776A68"/>
    <w:rsid w:val="1B8C6F40"/>
    <w:rsid w:val="1BA91321"/>
    <w:rsid w:val="1BDB4585"/>
    <w:rsid w:val="1C140FA2"/>
    <w:rsid w:val="1C422BD3"/>
    <w:rsid w:val="1C4C57FF"/>
    <w:rsid w:val="1C56667E"/>
    <w:rsid w:val="1C607754"/>
    <w:rsid w:val="1CA266AD"/>
    <w:rsid w:val="1CAD6CD0"/>
    <w:rsid w:val="1CE27F12"/>
    <w:rsid w:val="1CE65C54"/>
    <w:rsid w:val="1CF75746"/>
    <w:rsid w:val="1CF94F18"/>
    <w:rsid w:val="1D615E46"/>
    <w:rsid w:val="1D686669"/>
    <w:rsid w:val="1DAC1F34"/>
    <w:rsid w:val="1DBC66D4"/>
    <w:rsid w:val="1DCA202E"/>
    <w:rsid w:val="1DD82FFB"/>
    <w:rsid w:val="1E1C5489"/>
    <w:rsid w:val="1E2A501E"/>
    <w:rsid w:val="1E432C51"/>
    <w:rsid w:val="1E4F15D7"/>
    <w:rsid w:val="1E571888"/>
    <w:rsid w:val="1E7E1F44"/>
    <w:rsid w:val="1E8E414D"/>
    <w:rsid w:val="1EAD1FE0"/>
    <w:rsid w:val="1EB72F2D"/>
    <w:rsid w:val="1ECC7CDD"/>
    <w:rsid w:val="1EFA59E6"/>
    <w:rsid w:val="1F15650D"/>
    <w:rsid w:val="1F584EA0"/>
    <w:rsid w:val="1F7B3932"/>
    <w:rsid w:val="1FC41538"/>
    <w:rsid w:val="1FD565CD"/>
    <w:rsid w:val="1FFB5111"/>
    <w:rsid w:val="200A7F1B"/>
    <w:rsid w:val="20592BE1"/>
    <w:rsid w:val="20C31E08"/>
    <w:rsid w:val="20DB53A4"/>
    <w:rsid w:val="20E650B5"/>
    <w:rsid w:val="21014E7D"/>
    <w:rsid w:val="210A78C1"/>
    <w:rsid w:val="211D0AE0"/>
    <w:rsid w:val="215E2E47"/>
    <w:rsid w:val="2175067B"/>
    <w:rsid w:val="2186530F"/>
    <w:rsid w:val="21AB2FC8"/>
    <w:rsid w:val="21F104B3"/>
    <w:rsid w:val="22552F34"/>
    <w:rsid w:val="227C1CAD"/>
    <w:rsid w:val="22843E91"/>
    <w:rsid w:val="22906CF9"/>
    <w:rsid w:val="23256E5B"/>
    <w:rsid w:val="238D5B79"/>
    <w:rsid w:val="239A734A"/>
    <w:rsid w:val="23A943F2"/>
    <w:rsid w:val="23BF77F9"/>
    <w:rsid w:val="23C50DBF"/>
    <w:rsid w:val="23DB76DF"/>
    <w:rsid w:val="23E3036F"/>
    <w:rsid w:val="23E97DD8"/>
    <w:rsid w:val="242F7EE0"/>
    <w:rsid w:val="243B244C"/>
    <w:rsid w:val="24592592"/>
    <w:rsid w:val="2467355F"/>
    <w:rsid w:val="24A02B8C"/>
    <w:rsid w:val="24BD4AEE"/>
    <w:rsid w:val="256040C9"/>
    <w:rsid w:val="25BF7042"/>
    <w:rsid w:val="25C26B32"/>
    <w:rsid w:val="25E8116C"/>
    <w:rsid w:val="26046FC6"/>
    <w:rsid w:val="262B0B7B"/>
    <w:rsid w:val="26372DC2"/>
    <w:rsid w:val="263E1924"/>
    <w:rsid w:val="26582864"/>
    <w:rsid w:val="26C92330"/>
    <w:rsid w:val="270D0281"/>
    <w:rsid w:val="27430095"/>
    <w:rsid w:val="274D290A"/>
    <w:rsid w:val="27677991"/>
    <w:rsid w:val="27A15DBA"/>
    <w:rsid w:val="27E62FAC"/>
    <w:rsid w:val="27E66A01"/>
    <w:rsid w:val="27EC23B7"/>
    <w:rsid w:val="280D2781"/>
    <w:rsid w:val="284C00F1"/>
    <w:rsid w:val="28680AD8"/>
    <w:rsid w:val="28715905"/>
    <w:rsid w:val="28BE14E7"/>
    <w:rsid w:val="28CD68E9"/>
    <w:rsid w:val="292D1901"/>
    <w:rsid w:val="29826EE0"/>
    <w:rsid w:val="29ED5A33"/>
    <w:rsid w:val="2A23469B"/>
    <w:rsid w:val="2A7B2E88"/>
    <w:rsid w:val="2AAC55EE"/>
    <w:rsid w:val="2B1241D5"/>
    <w:rsid w:val="2B1E480B"/>
    <w:rsid w:val="2B3D1DC1"/>
    <w:rsid w:val="2B842931"/>
    <w:rsid w:val="2B886128"/>
    <w:rsid w:val="2C023A0C"/>
    <w:rsid w:val="2C115FA8"/>
    <w:rsid w:val="2C475F3C"/>
    <w:rsid w:val="2CAF6062"/>
    <w:rsid w:val="2CC0623F"/>
    <w:rsid w:val="2CEB4BC0"/>
    <w:rsid w:val="2D0E31F8"/>
    <w:rsid w:val="2D170DFB"/>
    <w:rsid w:val="2D6B72D5"/>
    <w:rsid w:val="2D6E281D"/>
    <w:rsid w:val="2D88240F"/>
    <w:rsid w:val="2DA51213"/>
    <w:rsid w:val="2DA67392"/>
    <w:rsid w:val="2DC076E4"/>
    <w:rsid w:val="2DCF1E6F"/>
    <w:rsid w:val="2E083F0E"/>
    <w:rsid w:val="2E0F16E3"/>
    <w:rsid w:val="2E150147"/>
    <w:rsid w:val="2E20089A"/>
    <w:rsid w:val="2E4F4001"/>
    <w:rsid w:val="2EC857DA"/>
    <w:rsid w:val="2ED10EE4"/>
    <w:rsid w:val="2EEA3285"/>
    <w:rsid w:val="2EF36F14"/>
    <w:rsid w:val="2F6057DD"/>
    <w:rsid w:val="2F745341"/>
    <w:rsid w:val="2F980EA6"/>
    <w:rsid w:val="2FA17BFB"/>
    <w:rsid w:val="2FB229B2"/>
    <w:rsid w:val="2FC841E5"/>
    <w:rsid w:val="2FFA56D7"/>
    <w:rsid w:val="300852DE"/>
    <w:rsid w:val="301B3177"/>
    <w:rsid w:val="303F76FD"/>
    <w:rsid w:val="310F387F"/>
    <w:rsid w:val="31992E3D"/>
    <w:rsid w:val="319B502B"/>
    <w:rsid w:val="31BA22FF"/>
    <w:rsid w:val="31E06CBE"/>
    <w:rsid w:val="321A17A1"/>
    <w:rsid w:val="32236BAB"/>
    <w:rsid w:val="3244289A"/>
    <w:rsid w:val="328651F9"/>
    <w:rsid w:val="32B97377"/>
    <w:rsid w:val="32D17F26"/>
    <w:rsid w:val="33941B0E"/>
    <w:rsid w:val="33A5774B"/>
    <w:rsid w:val="33C7780E"/>
    <w:rsid w:val="33C91D38"/>
    <w:rsid w:val="33D96FC2"/>
    <w:rsid w:val="33F21BA4"/>
    <w:rsid w:val="34291934"/>
    <w:rsid w:val="342F2E1F"/>
    <w:rsid w:val="34396593"/>
    <w:rsid w:val="347842CB"/>
    <w:rsid w:val="347C47B1"/>
    <w:rsid w:val="348D06FD"/>
    <w:rsid w:val="34B34216"/>
    <w:rsid w:val="34C603ED"/>
    <w:rsid w:val="34CC177B"/>
    <w:rsid w:val="34CE4C2F"/>
    <w:rsid w:val="34DF325D"/>
    <w:rsid w:val="3529272A"/>
    <w:rsid w:val="35A95897"/>
    <w:rsid w:val="35BC7482"/>
    <w:rsid w:val="362E697F"/>
    <w:rsid w:val="362F1FC2"/>
    <w:rsid w:val="36514DAB"/>
    <w:rsid w:val="36CF4B1B"/>
    <w:rsid w:val="36F33C0B"/>
    <w:rsid w:val="37040D59"/>
    <w:rsid w:val="37144761"/>
    <w:rsid w:val="375A6BCB"/>
    <w:rsid w:val="37857C71"/>
    <w:rsid w:val="37AB5678"/>
    <w:rsid w:val="37AD7642"/>
    <w:rsid w:val="37BB3520"/>
    <w:rsid w:val="37C24F6B"/>
    <w:rsid w:val="37D7173E"/>
    <w:rsid w:val="37F17D73"/>
    <w:rsid w:val="37FA3F1D"/>
    <w:rsid w:val="382F48C6"/>
    <w:rsid w:val="38312021"/>
    <w:rsid w:val="38381684"/>
    <w:rsid w:val="387F53C0"/>
    <w:rsid w:val="38B14D84"/>
    <w:rsid w:val="38B817B4"/>
    <w:rsid w:val="38C05153"/>
    <w:rsid w:val="38C23DE9"/>
    <w:rsid w:val="393B4A71"/>
    <w:rsid w:val="398E34A3"/>
    <w:rsid w:val="3A0F6392"/>
    <w:rsid w:val="3A430DC5"/>
    <w:rsid w:val="3A7E52C6"/>
    <w:rsid w:val="3A8F1281"/>
    <w:rsid w:val="3A9B5E78"/>
    <w:rsid w:val="3AAC1E33"/>
    <w:rsid w:val="3AB17F7A"/>
    <w:rsid w:val="3ACA22B9"/>
    <w:rsid w:val="3B0E58C7"/>
    <w:rsid w:val="3B304812"/>
    <w:rsid w:val="3B4069E1"/>
    <w:rsid w:val="3B5210CF"/>
    <w:rsid w:val="3B6024D3"/>
    <w:rsid w:val="3B9E333D"/>
    <w:rsid w:val="3BCC06AF"/>
    <w:rsid w:val="3BCE7B87"/>
    <w:rsid w:val="3BD8175F"/>
    <w:rsid w:val="3BE90AE1"/>
    <w:rsid w:val="3C033730"/>
    <w:rsid w:val="3C2E4FEE"/>
    <w:rsid w:val="3C447E49"/>
    <w:rsid w:val="3C746980"/>
    <w:rsid w:val="3CF67395"/>
    <w:rsid w:val="3D380DA1"/>
    <w:rsid w:val="3D406863"/>
    <w:rsid w:val="3DA7674C"/>
    <w:rsid w:val="3DDF607B"/>
    <w:rsid w:val="3DE94712"/>
    <w:rsid w:val="3E260CC7"/>
    <w:rsid w:val="3EB43402"/>
    <w:rsid w:val="3EB968CD"/>
    <w:rsid w:val="3EF63D5B"/>
    <w:rsid w:val="3EF76DA0"/>
    <w:rsid w:val="3EF8229A"/>
    <w:rsid w:val="3F075EF8"/>
    <w:rsid w:val="3F255D10"/>
    <w:rsid w:val="3F3917BB"/>
    <w:rsid w:val="3F4435BF"/>
    <w:rsid w:val="3F446ADE"/>
    <w:rsid w:val="3F4563B2"/>
    <w:rsid w:val="3F5860E5"/>
    <w:rsid w:val="3FB11C9A"/>
    <w:rsid w:val="40356427"/>
    <w:rsid w:val="40526902"/>
    <w:rsid w:val="40A35A86"/>
    <w:rsid w:val="40A86BF9"/>
    <w:rsid w:val="40D21EC7"/>
    <w:rsid w:val="40D93256"/>
    <w:rsid w:val="41023096"/>
    <w:rsid w:val="415470BD"/>
    <w:rsid w:val="418961FE"/>
    <w:rsid w:val="41C2018E"/>
    <w:rsid w:val="42103A4A"/>
    <w:rsid w:val="42435353"/>
    <w:rsid w:val="426A6C05"/>
    <w:rsid w:val="42764E69"/>
    <w:rsid w:val="427D5E63"/>
    <w:rsid w:val="42805951"/>
    <w:rsid w:val="42B5384F"/>
    <w:rsid w:val="42D55C9F"/>
    <w:rsid w:val="43290586"/>
    <w:rsid w:val="432F1853"/>
    <w:rsid w:val="434370AD"/>
    <w:rsid w:val="43702137"/>
    <w:rsid w:val="43EE2E8F"/>
    <w:rsid w:val="4416031D"/>
    <w:rsid w:val="44315157"/>
    <w:rsid w:val="447C67B9"/>
    <w:rsid w:val="447E374E"/>
    <w:rsid w:val="44A55A8C"/>
    <w:rsid w:val="44B10046"/>
    <w:rsid w:val="44C04B5B"/>
    <w:rsid w:val="450811BF"/>
    <w:rsid w:val="452614AD"/>
    <w:rsid w:val="45313B95"/>
    <w:rsid w:val="45376474"/>
    <w:rsid w:val="4542602E"/>
    <w:rsid w:val="45487968"/>
    <w:rsid w:val="45785DEB"/>
    <w:rsid w:val="45823E47"/>
    <w:rsid w:val="4587600E"/>
    <w:rsid w:val="45C7169F"/>
    <w:rsid w:val="46084B6A"/>
    <w:rsid w:val="460C6D7B"/>
    <w:rsid w:val="4613530C"/>
    <w:rsid w:val="461B536E"/>
    <w:rsid w:val="468635AE"/>
    <w:rsid w:val="4698326B"/>
    <w:rsid w:val="46B17C96"/>
    <w:rsid w:val="46B300A5"/>
    <w:rsid w:val="46B8390E"/>
    <w:rsid w:val="47120827"/>
    <w:rsid w:val="471E5E67"/>
    <w:rsid w:val="472E5C1A"/>
    <w:rsid w:val="474A22AA"/>
    <w:rsid w:val="47721D0E"/>
    <w:rsid w:val="477F7377"/>
    <w:rsid w:val="479D5989"/>
    <w:rsid w:val="47C754C6"/>
    <w:rsid w:val="47D71C0C"/>
    <w:rsid w:val="486E0FF2"/>
    <w:rsid w:val="486F44A0"/>
    <w:rsid w:val="48B7695A"/>
    <w:rsid w:val="48C447EC"/>
    <w:rsid w:val="4932465D"/>
    <w:rsid w:val="49534995"/>
    <w:rsid w:val="49680B13"/>
    <w:rsid w:val="498270B3"/>
    <w:rsid w:val="49D7054F"/>
    <w:rsid w:val="4A0F7CE8"/>
    <w:rsid w:val="4A143551"/>
    <w:rsid w:val="4A757163"/>
    <w:rsid w:val="4A89763C"/>
    <w:rsid w:val="4A9C3D23"/>
    <w:rsid w:val="4AA70EF4"/>
    <w:rsid w:val="4AA76173"/>
    <w:rsid w:val="4AAF15C4"/>
    <w:rsid w:val="4AE00110"/>
    <w:rsid w:val="4B850E6E"/>
    <w:rsid w:val="4BA12BC2"/>
    <w:rsid w:val="4BB275BC"/>
    <w:rsid w:val="4BBC772F"/>
    <w:rsid w:val="4BEE652D"/>
    <w:rsid w:val="4BF06C84"/>
    <w:rsid w:val="4C0F7955"/>
    <w:rsid w:val="4C15710C"/>
    <w:rsid w:val="4C6C1422"/>
    <w:rsid w:val="4C7812B7"/>
    <w:rsid w:val="4CE2651F"/>
    <w:rsid w:val="4CEE068F"/>
    <w:rsid w:val="4D051F7F"/>
    <w:rsid w:val="4D0553D3"/>
    <w:rsid w:val="4D346757"/>
    <w:rsid w:val="4D3B1D7F"/>
    <w:rsid w:val="4DE82A5F"/>
    <w:rsid w:val="4DEE4FE0"/>
    <w:rsid w:val="4DF26BF1"/>
    <w:rsid w:val="4E045131"/>
    <w:rsid w:val="4E0557BA"/>
    <w:rsid w:val="4E402DC8"/>
    <w:rsid w:val="4E896D6E"/>
    <w:rsid w:val="4E9B7735"/>
    <w:rsid w:val="4E9C50B5"/>
    <w:rsid w:val="4EB14C0F"/>
    <w:rsid w:val="4EB41A99"/>
    <w:rsid w:val="4EBB6ED8"/>
    <w:rsid w:val="4EDD03B5"/>
    <w:rsid w:val="4F1162B1"/>
    <w:rsid w:val="4F1A6654"/>
    <w:rsid w:val="4F955F9D"/>
    <w:rsid w:val="4FA93BA7"/>
    <w:rsid w:val="4FAC52CF"/>
    <w:rsid w:val="50170AF5"/>
    <w:rsid w:val="50487D45"/>
    <w:rsid w:val="507431C3"/>
    <w:rsid w:val="50800456"/>
    <w:rsid w:val="50C30FDE"/>
    <w:rsid w:val="50C431DE"/>
    <w:rsid w:val="50F639B0"/>
    <w:rsid w:val="51121E6C"/>
    <w:rsid w:val="513A2283"/>
    <w:rsid w:val="514C35D0"/>
    <w:rsid w:val="5176064D"/>
    <w:rsid w:val="517C73FA"/>
    <w:rsid w:val="51887260"/>
    <w:rsid w:val="51A151FC"/>
    <w:rsid w:val="51DA5080"/>
    <w:rsid w:val="520774F7"/>
    <w:rsid w:val="52150ACD"/>
    <w:rsid w:val="522C5D37"/>
    <w:rsid w:val="52533F75"/>
    <w:rsid w:val="52744BA5"/>
    <w:rsid w:val="52BE482B"/>
    <w:rsid w:val="52C84ED8"/>
    <w:rsid w:val="52CA126A"/>
    <w:rsid w:val="52DA4C61"/>
    <w:rsid w:val="52DB2E5E"/>
    <w:rsid w:val="52F13DE7"/>
    <w:rsid w:val="530103EA"/>
    <w:rsid w:val="53043E9E"/>
    <w:rsid w:val="531445C2"/>
    <w:rsid w:val="53650979"/>
    <w:rsid w:val="53984988"/>
    <w:rsid w:val="53A07C03"/>
    <w:rsid w:val="54006EBD"/>
    <w:rsid w:val="540208BE"/>
    <w:rsid w:val="540D4E72"/>
    <w:rsid w:val="542425E2"/>
    <w:rsid w:val="542720D3"/>
    <w:rsid w:val="548E0B39"/>
    <w:rsid w:val="54A61611"/>
    <w:rsid w:val="54AE468E"/>
    <w:rsid w:val="54D45DB6"/>
    <w:rsid w:val="550979AB"/>
    <w:rsid w:val="550E3F9A"/>
    <w:rsid w:val="55766E6E"/>
    <w:rsid w:val="559B2D78"/>
    <w:rsid w:val="559B53B0"/>
    <w:rsid w:val="55B81234"/>
    <w:rsid w:val="55C135BF"/>
    <w:rsid w:val="55DB407F"/>
    <w:rsid w:val="55F1544B"/>
    <w:rsid w:val="55F1630D"/>
    <w:rsid w:val="55FE01DE"/>
    <w:rsid w:val="561F3061"/>
    <w:rsid w:val="56276FA3"/>
    <w:rsid w:val="565F3711"/>
    <w:rsid w:val="567F7FA4"/>
    <w:rsid w:val="568252A1"/>
    <w:rsid w:val="568277C4"/>
    <w:rsid w:val="56951575"/>
    <w:rsid w:val="56B17AF5"/>
    <w:rsid w:val="56C4796A"/>
    <w:rsid w:val="56D7393C"/>
    <w:rsid w:val="57315745"/>
    <w:rsid w:val="57656331"/>
    <w:rsid w:val="57672F12"/>
    <w:rsid w:val="57F16C7F"/>
    <w:rsid w:val="57F95B34"/>
    <w:rsid w:val="58936D6F"/>
    <w:rsid w:val="58DB0899"/>
    <w:rsid w:val="58E10F36"/>
    <w:rsid w:val="591075D9"/>
    <w:rsid w:val="592E180D"/>
    <w:rsid w:val="59361538"/>
    <w:rsid w:val="59BA5EBD"/>
    <w:rsid w:val="59CA6C37"/>
    <w:rsid w:val="59DD51A2"/>
    <w:rsid w:val="59F2429E"/>
    <w:rsid w:val="5A241C82"/>
    <w:rsid w:val="5A655703"/>
    <w:rsid w:val="5AC8016B"/>
    <w:rsid w:val="5ACD1DFE"/>
    <w:rsid w:val="5AD07020"/>
    <w:rsid w:val="5AE605F2"/>
    <w:rsid w:val="5B175BE2"/>
    <w:rsid w:val="5B204D10"/>
    <w:rsid w:val="5B2D7FCE"/>
    <w:rsid w:val="5BA835E7"/>
    <w:rsid w:val="5BD112B1"/>
    <w:rsid w:val="5C1B30EF"/>
    <w:rsid w:val="5CA93FCD"/>
    <w:rsid w:val="5CAB38A1"/>
    <w:rsid w:val="5D0631CD"/>
    <w:rsid w:val="5D0E260D"/>
    <w:rsid w:val="5D3445F3"/>
    <w:rsid w:val="5DBE13B2"/>
    <w:rsid w:val="5DD76183"/>
    <w:rsid w:val="5DD7673A"/>
    <w:rsid w:val="5E1C257C"/>
    <w:rsid w:val="5E4717A2"/>
    <w:rsid w:val="5E487850"/>
    <w:rsid w:val="5E4A70E9"/>
    <w:rsid w:val="5E6155FE"/>
    <w:rsid w:val="5E6A778C"/>
    <w:rsid w:val="5EC310D2"/>
    <w:rsid w:val="5ED821DF"/>
    <w:rsid w:val="5EDB41E5"/>
    <w:rsid w:val="5EF07C91"/>
    <w:rsid w:val="5F2B2A77"/>
    <w:rsid w:val="5F3176B9"/>
    <w:rsid w:val="5F456359"/>
    <w:rsid w:val="5F656BA2"/>
    <w:rsid w:val="5F717F14"/>
    <w:rsid w:val="5FAC4BB3"/>
    <w:rsid w:val="5FD35B6B"/>
    <w:rsid w:val="5FDE3F8D"/>
    <w:rsid w:val="6023524B"/>
    <w:rsid w:val="60675D31"/>
    <w:rsid w:val="6074484D"/>
    <w:rsid w:val="609A4358"/>
    <w:rsid w:val="60BC1B59"/>
    <w:rsid w:val="612756CF"/>
    <w:rsid w:val="61665FE8"/>
    <w:rsid w:val="61A267A1"/>
    <w:rsid w:val="61AD7FEE"/>
    <w:rsid w:val="61BC56D7"/>
    <w:rsid w:val="61CA134B"/>
    <w:rsid w:val="622E7DF0"/>
    <w:rsid w:val="62747816"/>
    <w:rsid w:val="62A3501A"/>
    <w:rsid w:val="62C21949"/>
    <w:rsid w:val="62C52A98"/>
    <w:rsid w:val="630932C0"/>
    <w:rsid w:val="631657EC"/>
    <w:rsid w:val="6329551F"/>
    <w:rsid w:val="63375355"/>
    <w:rsid w:val="63382DD7"/>
    <w:rsid w:val="634C3C9B"/>
    <w:rsid w:val="63C05E4E"/>
    <w:rsid w:val="641741FF"/>
    <w:rsid w:val="6445282D"/>
    <w:rsid w:val="645A795A"/>
    <w:rsid w:val="64630F05"/>
    <w:rsid w:val="64947810"/>
    <w:rsid w:val="64DA7491"/>
    <w:rsid w:val="64F127A8"/>
    <w:rsid w:val="652D4363"/>
    <w:rsid w:val="65AE7F5E"/>
    <w:rsid w:val="65BE5407"/>
    <w:rsid w:val="65CB6AD7"/>
    <w:rsid w:val="65DF2A5C"/>
    <w:rsid w:val="65E505B2"/>
    <w:rsid w:val="66165735"/>
    <w:rsid w:val="66444FD8"/>
    <w:rsid w:val="664A1868"/>
    <w:rsid w:val="665F7EA6"/>
    <w:rsid w:val="6673503F"/>
    <w:rsid w:val="67065B78"/>
    <w:rsid w:val="672259D0"/>
    <w:rsid w:val="67310E46"/>
    <w:rsid w:val="67397CFB"/>
    <w:rsid w:val="674F751F"/>
    <w:rsid w:val="675D6C23"/>
    <w:rsid w:val="677243C5"/>
    <w:rsid w:val="67770DF9"/>
    <w:rsid w:val="677F13D3"/>
    <w:rsid w:val="6794091E"/>
    <w:rsid w:val="67D77C40"/>
    <w:rsid w:val="67DA328C"/>
    <w:rsid w:val="6819023D"/>
    <w:rsid w:val="681D46DD"/>
    <w:rsid w:val="685B6EBA"/>
    <w:rsid w:val="6881130A"/>
    <w:rsid w:val="68C06BF6"/>
    <w:rsid w:val="68E32614"/>
    <w:rsid w:val="69271B93"/>
    <w:rsid w:val="69651231"/>
    <w:rsid w:val="696B1E57"/>
    <w:rsid w:val="698A2836"/>
    <w:rsid w:val="69913E34"/>
    <w:rsid w:val="69D05529"/>
    <w:rsid w:val="69E0280F"/>
    <w:rsid w:val="69EC374B"/>
    <w:rsid w:val="6A804048"/>
    <w:rsid w:val="6A99742E"/>
    <w:rsid w:val="6AF405C0"/>
    <w:rsid w:val="6B533A81"/>
    <w:rsid w:val="6B555802"/>
    <w:rsid w:val="6BB362CE"/>
    <w:rsid w:val="6C830727"/>
    <w:rsid w:val="6CE013DA"/>
    <w:rsid w:val="6CEF44CF"/>
    <w:rsid w:val="6CF5724A"/>
    <w:rsid w:val="6D422099"/>
    <w:rsid w:val="6E14501E"/>
    <w:rsid w:val="6E1F40D6"/>
    <w:rsid w:val="6E971ED7"/>
    <w:rsid w:val="6E9E24DB"/>
    <w:rsid w:val="6EA27F90"/>
    <w:rsid w:val="6EAE7277"/>
    <w:rsid w:val="6EB15DD3"/>
    <w:rsid w:val="6EC91D52"/>
    <w:rsid w:val="6ED07E1A"/>
    <w:rsid w:val="6EE85353"/>
    <w:rsid w:val="6EF32E85"/>
    <w:rsid w:val="6F292618"/>
    <w:rsid w:val="6F417E36"/>
    <w:rsid w:val="6F7A7850"/>
    <w:rsid w:val="702451FC"/>
    <w:rsid w:val="70375E2A"/>
    <w:rsid w:val="703D7D6C"/>
    <w:rsid w:val="70AD75A8"/>
    <w:rsid w:val="70C25205"/>
    <w:rsid w:val="70C87915"/>
    <w:rsid w:val="70CE05A3"/>
    <w:rsid w:val="71107D1F"/>
    <w:rsid w:val="711D5CF9"/>
    <w:rsid w:val="711F580A"/>
    <w:rsid w:val="71213CDA"/>
    <w:rsid w:val="7130512A"/>
    <w:rsid w:val="715E0A8A"/>
    <w:rsid w:val="71A50ADE"/>
    <w:rsid w:val="71F1567F"/>
    <w:rsid w:val="724E641F"/>
    <w:rsid w:val="725E5A58"/>
    <w:rsid w:val="729B4FAB"/>
    <w:rsid w:val="72FF04D8"/>
    <w:rsid w:val="7352584F"/>
    <w:rsid w:val="73A905BB"/>
    <w:rsid w:val="73DD5247"/>
    <w:rsid w:val="73DF4A7D"/>
    <w:rsid w:val="73EF2A80"/>
    <w:rsid w:val="741144D9"/>
    <w:rsid w:val="742064CB"/>
    <w:rsid w:val="7476258E"/>
    <w:rsid w:val="748F01F5"/>
    <w:rsid w:val="74AB46FD"/>
    <w:rsid w:val="74B7598C"/>
    <w:rsid w:val="75263A42"/>
    <w:rsid w:val="75357D54"/>
    <w:rsid w:val="755A5A0C"/>
    <w:rsid w:val="75956A44"/>
    <w:rsid w:val="75AE2269"/>
    <w:rsid w:val="75C80BC8"/>
    <w:rsid w:val="75E44CC4"/>
    <w:rsid w:val="762A72B5"/>
    <w:rsid w:val="762B1157"/>
    <w:rsid w:val="764346F2"/>
    <w:rsid w:val="764F2A31"/>
    <w:rsid w:val="76636B42"/>
    <w:rsid w:val="768F16E6"/>
    <w:rsid w:val="76AD7DBE"/>
    <w:rsid w:val="76EE4427"/>
    <w:rsid w:val="770B6281"/>
    <w:rsid w:val="77183DD1"/>
    <w:rsid w:val="774502E9"/>
    <w:rsid w:val="775B5A6C"/>
    <w:rsid w:val="77894387"/>
    <w:rsid w:val="77F71C38"/>
    <w:rsid w:val="78003D06"/>
    <w:rsid w:val="780E6699"/>
    <w:rsid w:val="78825E3B"/>
    <w:rsid w:val="78AA314A"/>
    <w:rsid w:val="78C25DA2"/>
    <w:rsid w:val="78CD0CE6"/>
    <w:rsid w:val="78FD6F1C"/>
    <w:rsid w:val="78FF080F"/>
    <w:rsid w:val="792A3948"/>
    <w:rsid w:val="79695006"/>
    <w:rsid w:val="79D07A75"/>
    <w:rsid w:val="79D7762B"/>
    <w:rsid w:val="79FB4704"/>
    <w:rsid w:val="7A1F0A71"/>
    <w:rsid w:val="7A3A5E0C"/>
    <w:rsid w:val="7A71379F"/>
    <w:rsid w:val="7A7B08FF"/>
    <w:rsid w:val="7AD141A1"/>
    <w:rsid w:val="7B644801"/>
    <w:rsid w:val="7B7246AC"/>
    <w:rsid w:val="7B813267"/>
    <w:rsid w:val="7BC566B5"/>
    <w:rsid w:val="7BCE22CB"/>
    <w:rsid w:val="7C0B46AD"/>
    <w:rsid w:val="7CA00DD9"/>
    <w:rsid w:val="7CB36F02"/>
    <w:rsid w:val="7D11262E"/>
    <w:rsid w:val="7D5F203D"/>
    <w:rsid w:val="7DCB394B"/>
    <w:rsid w:val="7DCC1471"/>
    <w:rsid w:val="7E1A0937"/>
    <w:rsid w:val="7E292D8B"/>
    <w:rsid w:val="7E32369A"/>
    <w:rsid w:val="7E437383"/>
    <w:rsid w:val="7E645B88"/>
    <w:rsid w:val="7E70572F"/>
    <w:rsid w:val="7E7A031E"/>
    <w:rsid w:val="7EA72453"/>
    <w:rsid w:val="7ED06D3F"/>
    <w:rsid w:val="7EED129A"/>
    <w:rsid w:val="7EF40783"/>
    <w:rsid w:val="7F482D79"/>
    <w:rsid w:val="7F820039"/>
    <w:rsid w:val="7FCA6DEF"/>
    <w:rsid w:val="7FDE58D4"/>
    <w:rsid w:val="7FF058EB"/>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41"/>
    <w:qFormat/>
    <w:uiPriority w:val="0"/>
    <w:pPr>
      <w:keepNext/>
      <w:keepLines/>
      <w:spacing w:before="340" w:afterLines="25" w:line="578" w:lineRule="auto"/>
      <w:outlineLvl w:val="0"/>
    </w:pPr>
    <w:rPr>
      <w:rFonts w:ascii="Arial" w:hAnsi="Arial" w:eastAsia="宋体" w:cs="Times New Roman"/>
      <w:b/>
      <w:bCs/>
      <w:kern w:val="44"/>
      <w:sz w:val="44"/>
      <w:szCs w:val="44"/>
    </w:rPr>
  </w:style>
  <w:style w:type="paragraph" w:styleId="5">
    <w:name w:val="heading 2"/>
    <w:basedOn w:val="6"/>
    <w:next w:val="7"/>
    <w:link w:val="44"/>
    <w:semiHidden/>
    <w:unhideWhenUsed/>
    <w:qFormat/>
    <w:uiPriority w:val="9"/>
    <w:pPr>
      <w:spacing w:line="416" w:lineRule="auto"/>
      <w:outlineLvl w:val="1"/>
    </w:pPr>
    <w:rPr>
      <w:rFonts w:asciiTheme="majorHAnsi" w:hAnsiTheme="majorHAnsi" w:eastAsiaTheme="majorEastAsia" w:cstheme="majorBidi"/>
      <w:sz w:val="32"/>
    </w:rPr>
  </w:style>
  <w:style w:type="paragraph" w:styleId="6">
    <w:name w:val="heading 3"/>
    <w:basedOn w:val="7"/>
    <w:next w:val="1"/>
    <w:qFormat/>
    <w:uiPriority w:val="9"/>
    <w:pPr>
      <w:spacing w:before="260" w:after="260" w:line="240" w:lineRule="auto"/>
      <w:outlineLvl w:val="2"/>
    </w:pPr>
    <w:rPr>
      <w:rFonts w:ascii="宋体" w:hAnsi="宋体" w:eastAsia="宋体"/>
      <w:szCs w:val="32"/>
    </w:rPr>
  </w:style>
  <w:style w:type="paragraph" w:styleId="7">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line="360" w:lineRule="auto"/>
    </w:pPr>
    <w:rPr>
      <w:b/>
      <w:bCs/>
      <w:sz w:val="24"/>
    </w:rPr>
  </w:style>
  <w:style w:type="paragraph" w:styleId="3">
    <w:name w:val="Body Text 2"/>
    <w:basedOn w:val="1"/>
    <w:qFormat/>
    <w:uiPriority w:val="0"/>
    <w:pPr>
      <w:spacing w:line="360" w:lineRule="auto"/>
    </w:pPr>
    <w:rPr>
      <w:sz w:val="24"/>
    </w:rPr>
  </w:style>
  <w:style w:type="paragraph" w:styleId="8">
    <w:name w:val="Normal Indent"/>
    <w:basedOn w:val="1"/>
    <w:qFormat/>
    <w:uiPriority w:val="0"/>
    <w:pPr>
      <w:ind w:firstLine="420"/>
    </w:pPr>
    <w:rPr>
      <w:szCs w:val="20"/>
    </w:rPr>
  </w:style>
  <w:style w:type="paragraph" w:styleId="9">
    <w:name w:val="Document Map"/>
    <w:basedOn w:val="1"/>
    <w:link w:val="43"/>
    <w:semiHidden/>
    <w:unhideWhenUsed/>
    <w:qFormat/>
    <w:uiPriority w:val="99"/>
    <w:rPr>
      <w:rFonts w:ascii="宋体" w:eastAsia="宋体"/>
      <w:sz w:val="18"/>
      <w:szCs w:val="18"/>
    </w:rPr>
  </w:style>
  <w:style w:type="paragraph" w:styleId="10">
    <w:name w:val="annotation text"/>
    <w:basedOn w:val="1"/>
    <w:link w:val="45"/>
    <w:semiHidden/>
    <w:unhideWhenUsed/>
    <w:qFormat/>
    <w:uiPriority w:val="99"/>
    <w:pPr>
      <w:jc w:val="left"/>
    </w:pPr>
  </w:style>
  <w:style w:type="paragraph" w:styleId="11">
    <w:name w:val="Block Text"/>
    <w:basedOn w:val="1"/>
    <w:qFormat/>
    <w:uiPriority w:val="0"/>
    <w:pPr>
      <w:tabs>
        <w:tab w:val="left" w:pos="426"/>
      </w:tabs>
      <w:spacing w:after="120"/>
      <w:ind w:left="1440" w:leftChars="700" w:right="1440" w:rightChars="700"/>
    </w:pPr>
  </w:style>
  <w:style w:type="paragraph" w:styleId="12">
    <w:name w:val="Plain Text"/>
    <w:basedOn w:val="1"/>
    <w:next w:val="13"/>
    <w:qFormat/>
    <w:uiPriority w:val="99"/>
    <w:rPr>
      <w:rFonts w:ascii="宋体" w:hAnsi="Courier New"/>
      <w:szCs w:val="20"/>
    </w:rPr>
  </w:style>
  <w:style w:type="paragraph" w:customStyle="1" w:styleId="1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styleId="14">
    <w:name w:val="Balloon Text"/>
    <w:basedOn w:val="1"/>
    <w:link w:val="39"/>
    <w:semiHidden/>
    <w:unhideWhenUsed/>
    <w:qFormat/>
    <w:uiPriority w:val="99"/>
    <w:rPr>
      <w:sz w:val="18"/>
      <w:szCs w:val="18"/>
    </w:rPr>
  </w:style>
  <w:style w:type="paragraph" w:styleId="15">
    <w:name w:val="footer"/>
    <w:basedOn w:val="1"/>
    <w:link w:val="38"/>
    <w:unhideWhenUsed/>
    <w:qFormat/>
    <w:uiPriority w:val="99"/>
    <w:pPr>
      <w:tabs>
        <w:tab w:val="center" w:pos="4153"/>
        <w:tab w:val="right" w:pos="8306"/>
      </w:tabs>
      <w:snapToGrid w:val="0"/>
      <w:jc w:val="left"/>
    </w:pPr>
    <w:rPr>
      <w:sz w:val="18"/>
      <w:szCs w:val="18"/>
    </w:rPr>
  </w:style>
  <w:style w:type="paragraph" w:styleId="16">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link w:val="40"/>
    <w:qFormat/>
    <w:uiPriority w:val="99"/>
    <w:pPr>
      <w:widowControl/>
      <w:spacing w:before="100" w:beforeAutospacing="1" w:afterAutospacing="1"/>
      <w:jc w:val="left"/>
    </w:pPr>
    <w:rPr>
      <w:rFonts w:ascii="宋体" w:hAnsi="宋体"/>
      <w:sz w:val="24"/>
      <w:szCs w:val="24"/>
    </w:rPr>
  </w:style>
  <w:style w:type="paragraph" w:styleId="18">
    <w:name w:val="Title"/>
    <w:basedOn w:val="1"/>
    <w:qFormat/>
    <w:uiPriority w:val="0"/>
    <w:pPr>
      <w:spacing w:before="240" w:after="60"/>
      <w:jc w:val="center"/>
      <w:outlineLvl w:val="0"/>
    </w:pPr>
    <w:rPr>
      <w:rFonts w:ascii="Arial" w:hAnsi="Arial" w:eastAsia="隶书" w:cs="Arial"/>
      <w:b/>
      <w:bCs/>
      <w:sz w:val="32"/>
      <w:szCs w:val="32"/>
    </w:rPr>
  </w:style>
  <w:style w:type="paragraph" w:styleId="19">
    <w:name w:val="annotation subject"/>
    <w:basedOn w:val="10"/>
    <w:next w:val="10"/>
    <w:link w:val="47"/>
    <w:semiHidden/>
    <w:unhideWhenUsed/>
    <w:qFormat/>
    <w:uiPriority w:val="99"/>
    <w:rPr>
      <w:b/>
      <w:bCs/>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basedOn w:val="22"/>
    <w:qFormat/>
    <w:uiPriority w:val="0"/>
  </w:style>
  <w:style w:type="character" w:styleId="25">
    <w:name w:val="FollowedHyperlink"/>
    <w:basedOn w:val="22"/>
    <w:semiHidden/>
    <w:unhideWhenUsed/>
    <w:qFormat/>
    <w:uiPriority w:val="99"/>
    <w:rPr>
      <w:color w:val="800080" w:themeColor="followedHyperlink"/>
      <w:u w:val="single"/>
      <w14:textFill>
        <w14:solidFill>
          <w14:schemeClr w14:val="folHlink"/>
        </w14:solidFill>
      </w14:textFill>
    </w:rPr>
  </w:style>
  <w:style w:type="character" w:styleId="26">
    <w:name w:val="Emphasis"/>
    <w:basedOn w:val="22"/>
    <w:qFormat/>
    <w:uiPriority w:val="20"/>
    <w:rPr>
      <w:b/>
      <w:bCs/>
    </w:rPr>
  </w:style>
  <w:style w:type="character" w:styleId="27">
    <w:name w:val="HTML Definition"/>
    <w:basedOn w:val="22"/>
    <w:semiHidden/>
    <w:unhideWhenUsed/>
    <w:qFormat/>
    <w:uiPriority w:val="99"/>
  </w:style>
  <w:style w:type="character" w:styleId="28">
    <w:name w:val="HTML Typewriter"/>
    <w:basedOn w:val="22"/>
    <w:semiHidden/>
    <w:unhideWhenUsed/>
    <w:qFormat/>
    <w:uiPriority w:val="99"/>
    <w:rPr>
      <w:rFonts w:hint="default" w:ascii="monospace" w:hAnsi="monospace" w:eastAsia="monospace" w:cs="monospace"/>
      <w:vanish/>
      <w:sz w:val="20"/>
    </w:rPr>
  </w:style>
  <w:style w:type="character" w:styleId="29">
    <w:name w:val="HTML Acronym"/>
    <w:basedOn w:val="22"/>
    <w:semiHidden/>
    <w:unhideWhenUsed/>
    <w:qFormat/>
    <w:uiPriority w:val="99"/>
  </w:style>
  <w:style w:type="character" w:styleId="30">
    <w:name w:val="HTML Variable"/>
    <w:basedOn w:val="22"/>
    <w:semiHidden/>
    <w:unhideWhenUsed/>
    <w:qFormat/>
    <w:uiPriority w:val="99"/>
  </w:style>
  <w:style w:type="character" w:styleId="31">
    <w:name w:val="Hyperlink"/>
    <w:basedOn w:val="22"/>
    <w:unhideWhenUsed/>
    <w:qFormat/>
    <w:uiPriority w:val="99"/>
    <w:rPr>
      <w:color w:val="0000FF" w:themeColor="hyperlink"/>
      <w:u w:val="single"/>
      <w14:textFill>
        <w14:solidFill>
          <w14:schemeClr w14:val="hlink"/>
        </w14:solidFill>
      </w14:textFill>
    </w:rPr>
  </w:style>
  <w:style w:type="character" w:styleId="32">
    <w:name w:val="HTML Code"/>
    <w:basedOn w:val="22"/>
    <w:semiHidden/>
    <w:unhideWhenUsed/>
    <w:qFormat/>
    <w:uiPriority w:val="99"/>
    <w:rPr>
      <w:rFonts w:ascii="monospace" w:hAnsi="monospace" w:eastAsia="monospace" w:cs="monospace"/>
      <w:sz w:val="20"/>
    </w:rPr>
  </w:style>
  <w:style w:type="character" w:styleId="33">
    <w:name w:val="annotation reference"/>
    <w:basedOn w:val="22"/>
    <w:semiHidden/>
    <w:unhideWhenUsed/>
    <w:qFormat/>
    <w:uiPriority w:val="99"/>
    <w:rPr>
      <w:sz w:val="21"/>
      <w:szCs w:val="21"/>
    </w:rPr>
  </w:style>
  <w:style w:type="character" w:styleId="34">
    <w:name w:val="HTML Cite"/>
    <w:basedOn w:val="22"/>
    <w:semiHidden/>
    <w:unhideWhenUsed/>
    <w:qFormat/>
    <w:uiPriority w:val="99"/>
  </w:style>
  <w:style w:type="character" w:styleId="35">
    <w:name w:val="HTML Keyboard"/>
    <w:basedOn w:val="22"/>
    <w:semiHidden/>
    <w:unhideWhenUsed/>
    <w:qFormat/>
    <w:uiPriority w:val="99"/>
    <w:rPr>
      <w:rFonts w:hint="default" w:ascii="monospace" w:hAnsi="monospace" w:eastAsia="monospace" w:cs="monospace"/>
      <w:sz w:val="20"/>
    </w:rPr>
  </w:style>
  <w:style w:type="character" w:styleId="36">
    <w:name w:val="HTML Sample"/>
    <w:basedOn w:val="22"/>
    <w:semiHidden/>
    <w:unhideWhenUsed/>
    <w:qFormat/>
    <w:uiPriority w:val="99"/>
    <w:rPr>
      <w:rFonts w:hint="default" w:ascii="monospace" w:hAnsi="monospace" w:eastAsia="monospace" w:cs="monospace"/>
    </w:rPr>
  </w:style>
  <w:style w:type="character" w:customStyle="1" w:styleId="37">
    <w:name w:val="页眉 字符"/>
    <w:basedOn w:val="22"/>
    <w:link w:val="16"/>
    <w:qFormat/>
    <w:uiPriority w:val="99"/>
    <w:rPr>
      <w:sz w:val="18"/>
      <w:szCs w:val="18"/>
    </w:rPr>
  </w:style>
  <w:style w:type="character" w:customStyle="1" w:styleId="38">
    <w:name w:val="页脚 字符"/>
    <w:basedOn w:val="22"/>
    <w:link w:val="15"/>
    <w:qFormat/>
    <w:uiPriority w:val="99"/>
    <w:rPr>
      <w:sz w:val="18"/>
      <w:szCs w:val="18"/>
    </w:rPr>
  </w:style>
  <w:style w:type="character" w:customStyle="1" w:styleId="39">
    <w:name w:val="批注框文本 字符"/>
    <w:basedOn w:val="22"/>
    <w:link w:val="14"/>
    <w:semiHidden/>
    <w:qFormat/>
    <w:uiPriority w:val="99"/>
    <w:rPr>
      <w:sz w:val="18"/>
      <w:szCs w:val="18"/>
    </w:rPr>
  </w:style>
  <w:style w:type="character" w:customStyle="1" w:styleId="40">
    <w:name w:val="普通(网站) 字符"/>
    <w:link w:val="17"/>
    <w:qFormat/>
    <w:uiPriority w:val="99"/>
    <w:rPr>
      <w:rFonts w:ascii="宋体" w:hAnsi="宋体"/>
      <w:sz w:val="24"/>
      <w:szCs w:val="24"/>
    </w:rPr>
  </w:style>
  <w:style w:type="character" w:customStyle="1" w:styleId="41">
    <w:name w:val="标题 1 字符"/>
    <w:basedOn w:val="22"/>
    <w:link w:val="4"/>
    <w:qFormat/>
    <w:uiPriority w:val="0"/>
    <w:rPr>
      <w:rFonts w:ascii="Arial" w:hAnsi="Arial" w:eastAsia="宋体" w:cs="Times New Roman"/>
      <w:b/>
      <w:bCs/>
      <w:kern w:val="44"/>
      <w:sz w:val="44"/>
      <w:szCs w:val="44"/>
    </w:rPr>
  </w:style>
  <w:style w:type="paragraph" w:styleId="42">
    <w:name w:val="List Paragraph"/>
    <w:basedOn w:val="1"/>
    <w:qFormat/>
    <w:uiPriority w:val="34"/>
    <w:pPr>
      <w:ind w:firstLine="420" w:firstLineChars="200"/>
    </w:pPr>
  </w:style>
  <w:style w:type="character" w:customStyle="1" w:styleId="43">
    <w:name w:val="文档结构图 字符"/>
    <w:basedOn w:val="22"/>
    <w:link w:val="9"/>
    <w:semiHidden/>
    <w:qFormat/>
    <w:uiPriority w:val="99"/>
    <w:rPr>
      <w:rFonts w:ascii="宋体" w:eastAsia="宋体"/>
      <w:sz w:val="18"/>
      <w:szCs w:val="18"/>
    </w:rPr>
  </w:style>
  <w:style w:type="character" w:customStyle="1" w:styleId="44">
    <w:name w:val="标题 2 字符"/>
    <w:basedOn w:val="22"/>
    <w:link w:val="5"/>
    <w:semiHidden/>
    <w:qFormat/>
    <w:uiPriority w:val="9"/>
    <w:rPr>
      <w:rFonts w:asciiTheme="majorHAnsi" w:hAnsiTheme="majorHAnsi" w:eastAsiaTheme="majorEastAsia" w:cstheme="majorBidi"/>
      <w:b/>
      <w:bCs/>
      <w:sz w:val="32"/>
      <w:szCs w:val="32"/>
    </w:rPr>
  </w:style>
  <w:style w:type="character" w:customStyle="1" w:styleId="45">
    <w:name w:val="批注文字 字符"/>
    <w:basedOn w:val="22"/>
    <w:link w:val="10"/>
    <w:semiHidden/>
    <w:qFormat/>
    <w:uiPriority w:val="99"/>
  </w:style>
  <w:style w:type="character" w:customStyle="1" w:styleId="46">
    <w:name w:val="标题 3 Char"/>
    <w:qFormat/>
    <w:uiPriority w:val="0"/>
    <w:rPr>
      <w:rFonts w:ascii="黑体" w:eastAsia="黑体"/>
      <w:bCs/>
      <w:sz w:val="30"/>
    </w:rPr>
  </w:style>
  <w:style w:type="character" w:customStyle="1" w:styleId="47">
    <w:name w:val="批注主题 字符"/>
    <w:basedOn w:val="45"/>
    <w:link w:val="19"/>
    <w:semiHidden/>
    <w:qFormat/>
    <w:uiPriority w:val="99"/>
    <w:rPr>
      <w:b/>
      <w:bCs/>
      <w:kern w:val="2"/>
      <w:sz w:val="21"/>
      <w:szCs w:val="22"/>
    </w:rPr>
  </w:style>
  <w:style w:type="table" w:customStyle="1" w:styleId="48">
    <w:name w:val="网格型1"/>
    <w:basedOn w:val="20"/>
    <w:qFormat/>
    <w:uiPriority w:val="39"/>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hover"/>
    <w:basedOn w:val="22"/>
    <w:qFormat/>
    <w:uiPriority w:val="0"/>
    <w:rPr>
      <w:color w:val="2590EB"/>
    </w:rPr>
  </w:style>
  <w:style w:type="character" w:customStyle="1" w:styleId="50">
    <w:name w:val="hover1"/>
    <w:basedOn w:val="22"/>
    <w:qFormat/>
    <w:uiPriority w:val="0"/>
    <w:rPr>
      <w:color w:val="2590EB"/>
      <w:shd w:val="clear" w:color="auto" w:fill="E9F4FD"/>
    </w:rPr>
  </w:style>
  <w:style w:type="character" w:customStyle="1" w:styleId="51">
    <w:name w:val="hover2"/>
    <w:basedOn w:val="22"/>
    <w:qFormat/>
    <w:uiPriority w:val="0"/>
    <w:rPr>
      <w:color w:val="2590EB"/>
    </w:rPr>
  </w:style>
  <w:style w:type="character" w:customStyle="1" w:styleId="52">
    <w:name w:val="hover3"/>
    <w:basedOn w:val="22"/>
    <w:qFormat/>
    <w:uiPriority w:val="0"/>
  </w:style>
  <w:style w:type="paragraph" w:customStyle="1" w:styleId="53">
    <w:name w:val="Table Text"/>
    <w:basedOn w:val="1"/>
    <w:semiHidden/>
    <w:qFormat/>
    <w:uiPriority w:val="0"/>
    <w:rPr>
      <w:rFonts w:ascii="宋体" w:hAnsi="宋体" w:eastAsia="宋体" w:cs="宋体"/>
      <w:sz w:val="20"/>
      <w:szCs w:val="20"/>
      <w:lang w:eastAsia="en-US"/>
    </w:rPr>
  </w:style>
  <w:style w:type="paragraph" w:customStyle="1" w:styleId="54">
    <w:name w:val="文档正文"/>
    <w:basedOn w:val="1"/>
    <w:qFormat/>
    <w:uiPriority w:val="0"/>
    <w:pPr>
      <w:spacing w:line="360" w:lineRule="auto"/>
    </w:pPr>
    <w:rPr>
      <w:bCs/>
    </w:rPr>
  </w:style>
  <w:style w:type="character" w:customStyle="1" w:styleId="55">
    <w:name w:val="NormalCharacter"/>
    <w:qFormat/>
    <w:uiPriority w:val="0"/>
    <w:rPr>
      <w:rFonts w:ascii="Times New Roman" w:hAnsi="Times New Roman" w:eastAsia="宋体" w:cs="Times New Roman"/>
      <w:kern w:val="2"/>
      <w:sz w:val="21"/>
      <w:lang w:val="en-US" w:eastAsia="zh-CN" w:bidi="ar-SA"/>
    </w:rPr>
  </w:style>
  <w:style w:type="table" w:customStyle="1" w:styleId="56">
    <w:name w:val="Table Normal_0"/>
    <w:unhideWhenUsed/>
    <w:qFormat/>
    <w:uiPriority w:val="0"/>
    <w:rPr>
      <w:rFonts w:ascii="Arial" w:hAnsi="Arial" w:cs="Arial"/>
    </w:rPr>
    <w:tblPr>
      <w:tblCellMar>
        <w:top w:w="0" w:type="dxa"/>
        <w:left w:w="0" w:type="dxa"/>
        <w:bottom w:w="0" w:type="dxa"/>
        <w:right w:w="0" w:type="dxa"/>
      </w:tblCellMar>
    </w:tblPr>
  </w:style>
  <w:style w:type="paragraph" w:styleId="57">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54</Pages>
  <Words>10758</Words>
  <Characters>11479</Characters>
  <Lines>354</Lines>
  <Paragraphs>99</Paragraphs>
  <TotalTime>0</TotalTime>
  <ScaleCrop>false</ScaleCrop>
  <LinksUpToDate>false</LinksUpToDate>
  <CharactersWithSpaces>11581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2025-02-26T04:29:00Z</dcterms:created>
  <dc:creator>win7-1</dc:creator>
  <cp:lastModifiedBy>Administrator</cp:lastModifiedBy>
  <cp:lastPrinted>2021-01-15T01:17:00Z</cp:lastPrinted>
  <dcterms:modified xsi:type="dcterms:W3CDTF">2025-03-03T09:19:41Z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7DD4872A739C4930BE661EC2FF21096D</vt:lpwstr>
  </property>
  <property fmtid="{D5CDD505-2E9C-101B-9397-08002B2CF9AE}" pid="4" name="KSOTemplateDocerSaveRecord">
    <vt:lpwstr>eyJoZGlkIjoiZjFmZWIzNDg2MmIzZjExOTIzMmViNTBmYTMwYTk0ZWYiLCJ1c2VySWQiOiI0NDg4OTE2MDkifQ==</vt:lpwstr>
  </property>
</Properties>
</file>