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深汕特别合作区智慧城市建设管理服务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中心2025年度深汕特别合作区信息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网络招商专班尽职调查服务项目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采购文件</w:t>
      </w:r>
    </w:p>
    <w:p>
      <w:pPr>
        <w:pStyle w:val="10"/>
        <w:rPr>
          <w:rFonts w:hint="eastAsia"/>
          <w:lang w:val="en-US" w:eastAsia="zh-CN"/>
        </w:rPr>
      </w:pP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rPr>
          <w:rFonts w:cs="黑体"/>
          <w:color w:val="auto"/>
          <w:szCs w:val="32"/>
          <w:highlight w:val="none"/>
        </w:rPr>
      </w:pPr>
      <w:bookmarkStart w:id="0" w:name="OLE_LINK4"/>
      <w:r>
        <w:rPr>
          <w:rFonts w:hint="eastAsia" w:cs="黑体"/>
          <w:color w:val="auto"/>
          <w:szCs w:val="32"/>
          <w:highlight w:val="none"/>
        </w:rPr>
        <w:t>一、项目内容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SA"/>
        </w:rPr>
      </w:pPr>
      <w:r>
        <w:rPr>
          <w:rFonts w:hint="eastAsia" w:ascii="楷体" w:hAnsi="楷体" w:eastAsia="楷体" w:cs="楷体"/>
          <w:color w:val="auto"/>
          <w:szCs w:val="32"/>
          <w:highlight w:val="none"/>
          <w:lang w:val="en-US" w:eastAsia="zh-CN"/>
        </w:rPr>
        <w:t>（一）项目编号：</w:t>
      </w:r>
      <w:r>
        <w:rPr>
          <w:rFonts w:hint="eastAsia" w:ascii="仿宋_GB2312" w:hAnsi="仿宋_GB2312" w:eastAsia="仿宋_GB2312" w:cs="仿宋_GB2312"/>
          <w:kern w:val="0"/>
          <w:sz w:val="32"/>
          <w:szCs w:val="32"/>
          <w:highlight w:val="none"/>
          <w:lang w:val="en-US" w:eastAsia="zh-CN" w:bidi="ar-SA"/>
        </w:rPr>
        <w:t>JYCG-DECL-2025-30264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eastAsia"/>
          <w:u w:val="none"/>
          <w:lang w:val="en-US" w:eastAsia="zh-CN"/>
        </w:rPr>
      </w:pPr>
      <w:r>
        <w:rPr>
          <w:rFonts w:hint="eastAsia" w:ascii="楷体" w:hAnsi="楷体" w:eastAsia="楷体" w:cs="楷体"/>
          <w:color w:val="auto"/>
          <w:szCs w:val="32"/>
          <w:highlight w:val="none"/>
          <w:lang w:val="en-US" w:eastAsia="zh-CN"/>
        </w:rPr>
        <w:t>（二）项目名称：</w:t>
      </w:r>
      <w:r>
        <w:rPr>
          <w:rFonts w:hint="eastAsia" w:ascii="仿宋_GB2312" w:hAnsi="仿宋_GB2312" w:eastAsia="仿宋_GB2312" w:cs="仿宋_GB2312"/>
          <w:kern w:val="0"/>
          <w:sz w:val="32"/>
          <w:szCs w:val="32"/>
          <w:highlight w:val="none"/>
          <w:lang w:val="en-US" w:eastAsia="zh-CN" w:bidi="ar-SA"/>
        </w:rPr>
        <w:t>2025年度深汕特别合作区信息网络招商专班尽职调查服务项目</w:t>
      </w:r>
      <w:bookmarkStart w:id="3" w:name="_GoBack"/>
      <w:bookmarkEnd w:id="3"/>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（三）项目概况</w:t>
      </w:r>
    </w:p>
    <w:p>
      <w:pPr>
        <w:pStyle w:val="32"/>
        <w:widowControl/>
        <w:shd w:val="clear" w:color="auto" w:fill="FFFFFF"/>
        <w:spacing w:beforeAutospacing="0" w:afterAutospacing="0" w:line="560" w:lineRule="exact"/>
        <w:ind w:firstLine="640" w:firstLineChars="200"/>
        <w:jc w:val="left"/>
        <w:rPr>
          <w:rFonts w:hint="eastAsia"/>
          <w:b/>
          <w:bCs/>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根据深汕特别合作区新型智慧城市建设实际情况及招商引资工作需要，在坚持“独立客观、公平公正、实事求是”原则的前提下，深圳市深汕特别合作区智慧城市建设服务中心（以下简称“深汕智建中心”）拟开展采购咨询机构对招商引资企业的尽职调查服务项目</w:t>
      </w:r>
      <w:r>
        <w:rPr>
          <w:rFonts w:hint="eastAsia" w:ascii="仿宋_GB2312" w:hAnsi="仿宋_GB2312" w:eastAsia="仿宋_GB2312"/>
          <w:color w:val="000000"/>
          <w:sz w:val="32"/>
          <w:szCs w:val="32"/>
          <w:shd w:val="clear" w:color="auto" w:fill="FFFFFF"/>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fill="FFFFFF"/>
          <w:lang w:val="en-US" w:eastAsia="zh-CN" w:bidi="ar-SA"/>
        </w:rPr>
        <w:t>（四）</w:t>
      </w:r>
      <w:r>
        <w:rPr>
          <w:rFonts w:hint="eastAsia" w:ascii="楷体" w:hAnsi="楷体" w:eastAsia="楷体" w:cs="楷体"/>
          <w:color w:val="000000"/>
          <w:kern w:val="0"/>
          <w:sz w:val="32"/>
          <w:szCs w:val="32"/>
          <w:shd w:val="clear" w:color="auto" w:fill="FFFFFF"/>
          <w:lang w:val="en-US" w:eastAsia="zh-CN" w:bidi="ar-SA"/>
        </w:rPr>
        <w:t>采购（服务）内容</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对深汕特别合作区信息网络招商专班在2025年度意向招商的1家企业进行进行尽职调查，并出具专业的盖章版尽职调查报告和处置建议。尽职调查内容主要包括但不限于主体基本情况、业务状况、财务会计情况、税务情况、重大合同、诉讼、仲裁与行政处罚等，详情如下表：</w:t>
      </w:r>
    </w:p>
    <w:p>
      <w:pPr>
        <w:pStyle w:val="6"/>
        <w:jc w:val="center"/>
        <w:rPr>
          <w:rFonts w:hint="eastAsia" w:eastAsia="宋体"/>
          <w:lang w:eastAsia="zh-CN"/>
        </w:rPr>
      </w:pPr>
      <w:r>
        <w:t xml:space="preserve">表 </w:t>
      </w:r>
      <w:r>
        <w:fldChar w:fldCharType="begin"/>
      </w:r>
      <w:r>
        <w:instrText xml:space="preserve"> SEQ 表 \* ARABIC </w:instrText>
      </w:r>
      <w:r>
        <w:fldChar w:fldCharType="separate"/>
      </w:r>
      <w:r>
        <w:t>1</w:t>
      </w:r>
      <w:r>
        <w:fldChar w:fldCharType="end"/>
      </w:r>
      <w:r>
        <w:rPr>
          <w:rFonts w:hint="eastAsia"/>
          <w:lang w:eastAsia="zh-CN"/>
        </w:rPr>
        <w:t xml:space="preserve"> 企业尽职调查服务事项明细表</w:t>
      </w:r>
    </w:p>
    <w:tbl>
      <w:tblPr>
        <w:tblStyle w:val="18"/>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7"/>
        <w:gridCol w:w="1136"/>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服务事项</w:t>
            </w: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主要内容</w:t>
            </w: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1"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sz w:val="24"/>
                <w:szCs w:val="24"/>
                <w:highlight w:val="none"/>
              </w:rPr>
              <w:t>1.主体基本情况</w:t>
            </w:r>
          </w:p>
        </w:tc>
        <w:tc>
          <w:tcPr>
            <w:tcW w:w="54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1.1主体资格</w:t>
            </w: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公司的营业执照、经营范围、经营期限、注册资金等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公司业务经营所需的其他资质证照（包括但不限于资质证书、高新技术企业认证、质量体系认证等）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公司纳税信用评级及详情（近三年），公司及法定代表人及主要人员的信用情况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股东结构及管理结构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1.2公司设立及存续</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1.2.1</w:t>
            </w:r>
          </w:p>
        </w:tc>
        <w:tc>
          <w:tcPr>
            <w:tcW w:w="3371"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公司历史沿革，包括但不限于公司的组建，公司历史上的重大事件的简要说明等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1.2.2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工商登记档案资料（包括机读工商查询单即工商外档案以及书式工商登记档案即工商内档）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1.2.3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公司设立时的批复、批准文件（如有）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1.2.4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公司设立时的出资合同或股东协议、发起人协议等以后历次出资协议、股东协议的修改和补充文件等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1.2.5</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公司设立时法定代表人签发的股东出资证明文件或记载股东出资额与出资比例的股东名册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1.2.6</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公司设立时的章程、历次变更后的章程及最新章程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1.3公司的经营机构</w:t>
            </w:r>
          </w:p>
        </w:tc>
        <w:tc>
          <w:tcPr>
            <w:tcW w:w="544" w:type="pct"/>
            <w:tcBorders>
              <w:top w:val="single" w:color="auto" w:sz="4" w:space="0"/>
              <w:left w:val="single" w:color="auto" w:sz="4" w:space="0"/>
              <w:bottom w:val="single" w:color="auto" w:sz="4" w:space="0"/>
              <w:right w:val="single" w:color="auto" w:sz="4" w:space="0"/>
            </w:tcBorders>
            <w:noWrap w:val="0"/>
            <w:vAlign w:val="top"/>
          </w:tcPr>
          <w:p>
            <w:pPr>
              <w:widowControl/>
              <w:ind w:firstLine="240" w:firstLineChars="1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1.3.1</w:t>
            </w:r>
          </w:p>
        </w:tc>
        <w:tc>
          <w:tcPr>
            <w:tcW w:w="3371"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公司的跨区域经营情况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1.3.2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公司设立的经营机构，包括分支机构、管理机构、代表机构、管理部门等设立情况；包括但不限于机构的名称、地址、资产规模、员工数量，及其他贵司认为有必要说明的情况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top"/>
          </w:tcPr>
          <w:p>
            <w:pPr>
              <w:widowControl/>
              <w:ind w:firstLine="240" w:firstLineChars="1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1.3.3</w:t>
            </w:r>
          </w:p>
        </w:tc>
        <w:tc>
          <w:tcPr>
            <w:tcW w:w="3371"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公司经营机构，包括分支机构、管理机构、代表机构、管理部门等设立的决议、决定文件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top"/>
          </w:tcPr>
          <w:p>
            <w:pPr>
              <w:widowControl/>
              <w:ind w:firstLine="240" w:firstLineChars="1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1.3.4</w:t>
            </w:r>
          </w:p>
        </w:tc>
        <w:tc>
          <w:tcPr>
            <w:tcW w:w="3371"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公司经营机构，包括分支机构、管理机构、代表机构、管理部门等设立的资质证明文件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1.4股东出资及股权转让</w:t>
            </w: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公司历次出资（包括设立及历次增资）的验资报告（如有）、出资原始凭证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股东以非货币资产出资的，股东将非货币资产产权移交公司的证明文件，以及对非货币资产进行评估的评估报告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股东以非货币资产出资的，该非货币资产上是否存在其他权利负担，如有请提供设定负担的协议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公司自设立以来发生的历次股权转让（包括未在工商部门登记的股权转让）的股东会决议、转让协议及对价款支付凭证（银行流水、受让方收款单据等）及税款支付凭证（如有）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1.4.5</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公司的最终控制人，是否存在股份代持或代持计划或其他股权架构/管理架构的特别</w:t>
            </w:r>
            <w:r>
              <w:rPr>
                <w:rFonts w:hint="eastAsia" w:ascii="宋体" w:hAnsi="宋体" w:eastAsia="宋体" w:cs="宋体"/>
                <w:b w:val="0"/>
                <w:bCs w:val="0"/>
                <w:color w:val="000000"/>
                <w:kern w:val="0"/>
                <w:sz w:val="24"/>
                <w:szCs w:val="24"/>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1.5公司制度与治理</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1.5.1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公司制度文件（如有）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1.5.2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公司经营及管理制度文件情况，包括决策制度、经营管理、风险控制、人员管理等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1.5.3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spacing w:val="1"/>
                <w:position w:val="-3"/>
                <w:sz w:val="24"/>
                <w:szCs w:val="24"/>
                <w:highlight w:val="none"/>
              </w:rPr>
            </w:pPr>
            <w:r>
              <w:rPr>
                <w:rFonts w:hint="eastAsia" w:ascii="宋体" w:hAnsi="宋体" w:eastAsia="宋体" w:cs="宋体"/>
                <w:b w:val="0"/>
                <w:bCs w:val="0"/>
                <w:spacing w:val="1"/>
                <w:position w:val="-3"/>
                <w:sz w:val="24"/>
                <w:szCs w:val="24"/>
                <w:highlight w:val="none"/>
              </w:rPr>
              <w:t>最近三年召开股东大会、董事会、监事会（三会）会议议案、决议文件及会议纪要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1.6公司的主要资产</w:t>
            </w: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资产产权登记表及其年检文件（如有）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公司享有权属或权益的不动产（包括但不限于土地使用权、房地产）、动产（船舶）及知识产权（包括但不限于重大动产、商标、专利、专有技术、软件著作权以及网络域名等）等资产清单、权属或来源说明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公司自有及承租的土地、在建工程统计表（如有）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公司自有及承租的房屋清单及信息，包括租赁地址、期限、租金等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1.6.5</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公司名下所有房产的产权信息，及房产的使用现状的说明（是自用还是出租或者其他，如非自用的，请提供租赁合同等相关使用现状的证明文件）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1.6.6</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公司营业所必需的重要机器设备清单（含车辆），经营租赁的重要在机器设备清单，包括租赁期限、租金、用途等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1.6.7</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公司名下车辆或实际使用的车辆清单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1.6.8</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公司名下资产是否具有查封、扣押等权利限制情况，如果，请说明相关情况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1.6.9</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公司是否存在除土地、房产、重要机器设备、在建工程、知识产权以外对于公司生产经营有重大影响的其他资产，如有，请具体说明相关信息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1.7主要债权债务</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1.7.1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公司重大借款、担保、融资履行情况公司对外提供的其他担保，相应的合同或文件复印件、履行情况说明，如有重大涉诉风险的，请特别说明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1.7.2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公司正在履行的涉及总金额排名前十位的重大合同清单、合同复印件、履行情况的说明、主要履行凭证，如有重大涉诉风险的，请特别说明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1.7.3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其他正在履行中的，涉及金额不低于公司当年净资产5%，或者对公司生产经营有重大影响的合同情况，如有重大涉诉风险的，请特别说明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1.8关联方</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1.8.1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公司已/拟发生交易的关联方及关联关系（如有），包括分公司和子公司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1.8.2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每一公司所有股东或保证人（定义见意向书） 直接或间接投资的 实体，及其担任董事、监事、高级管理人员、顾问、委员、会长的实体。每一公司股东包括登记在册的股东亦包括代持安排项下的隐名股东和/或每一公司的实际控制人。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center"/>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1.9劳动人事</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公司用工基本情况，包括劳务派遣、临时工、合作工等情况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公司所聘用人员花名册（含全部员工数量、特殊人员类型、年龄结构、各部门分布人员数量、文化程度等）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公司与劳动者签订的劳动合同模板（如存在对公司开展业务具有重大影响的员工，请单独提供该员工的劳动合同）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高级管理人员、董事、监事与公司签署的劳动合同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1.9.5</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公司为全体员工缴纳社会保险情况，包括社保险种、缴存基数、缴存比例等说明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1.9.6</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公司为员工投保商业保险的情况，包括险种、保险公司名称、投保员工名单、保险合同、保单及保费发票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1.9.7</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公司劳动争议案件统计表，包括仲裁、诉讼、劳动监察大队举报等（如有）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1" w:type="pct"/>
            <w:vMerge w:val="restart"/>
            <w:tcBorders>
              <w:top w:val="nil"/>
              <w:left w:val="single" w:color="auto" w:sz="4" w:space="0"/>
              <w:bottom w:val="single" w:color="auto" w:sz="4" w:space="0"/>
              <w:right w:val="single" w:color="auto" w:sz="4" w:space="0"/>
            </w:tcBorders>
            <w:noWrap w:val="0"/>
            <w:vAlign w:val="center"/>
          </w:tcPr>
          <w:p>
            <w:pPr>
              <w:pStyle w:val="16"/>
              <w:autoSpaceDE w:val="0"/>
              <w:spacing w:line="560" w:lineRule="exact"/>
              <w:rPr>
                <w:rFonts w:hint="eastAsia" w:ascii="宋体" w:hAnsi="宋体" w:eastAsia="宋体" w:cs="宋体"/>
                <w:b/>
                <w:bCs/>
                <w:color w:val="000000"/>
                <w:kern w:val="0"/>
                <w:sz w:val="24"/>
                <w:szCs w:val="24"/>
                <w:highlight w:val="none"/>
              </w:rPr>
            </w:pPr>
            <w:r>
              <w:rPr>
                <w:rFonts w:hint="eastAsia" w:ascii="宋体" w:hAnsi="宋体" w:eastAsia="宋体" w:cs="宋体"/>
                <w:b/>
                <w:bCs/>
                <w:kern w:val="44"/>
                <w:sz w:val="24"/>
                <w:szCs w:val="24"/>
                <w:highlight w:val="none"/>
              </w:rPr>
              <w:t>2.业务状况</w:t>
            </w:r>
          </w:p>
        </w:tc>
        <w:tc>
          <w:tcPr>
            <w:tcW w:w="54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2.1公司业务收入与成本</w:t>
            </w: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2.1.1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公司业务收入构成情况简要说明，包括主营业务收入和其他业务收入的收入状况、比例等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2.1.2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公司业务成本、费用构成简要说明，包括成本分析、成本预算、成本管理控制制度等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2.1.3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公司利润实现和分配情况说明（如有）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2.1.4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公司资金的增减和周转情况（如有）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top"/>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2.2表外业务</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2.2.1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公司表外业务情况说明，包括担保、承诺、长期租赁、代销、违约金负担、未决诉讼或仲裁或其他偿还责任的业务等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2.2.2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公司表外资业务产生原因、具体债权、债务金额等简要说明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1" w:type="pct"/>
            <w:vMerge w:val="restart"/>
            <w:tcBorders>
              <w:top w:val="nil"/>
              <w:left w:val="single" w:color="auto" w:sz="4" w:space="0"/>
              <w:bottom w:val="single" w:color="auto" w:sz="4" w:space="0"/>
              <w:right w:val="single" w:color="auto" w:sz="4" w:space="0"/>
            </w:tcBorders>
            <w:noWrap w:val="0"/>
            <w:vAlign w:val="top"/>
          </w:tcPr>
          <w:p>
            <w:pPr>
              <w:pStyle w:val="16"/>
              <w:autoSpaceDE w:val="0"/>
              <w:spacing w:line="560" w:lineRule="exact"/>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3.财务会计情况</w:t>
            </w:r>
          </w:p>
          <w:p>
            <w:pPr>
              <w:widowControl/>
              <w:jc w:val="center"/>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top"/>
          </w:tcPr>
          <w:p>
            <w:pPr>
              <w:autoSpaceDE w:val="0"/>
              <w:spacing w:line="560" w:lineRule="exac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3.1财务报表与分析</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3.1.1</w:t>
            </w:r>
          </w:p>
        </w:tc>
        <w:tc>
          <w:tcPr>
            <w:tcW w:w="337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pacing w:val="-1"/>
                <w:sz w:val="24"/>
                <w:szCs w:val="24"/>
                <w:highlight w:val="none"/>
              </w:rPr>
              <w:t>公司最近三年及最近一期的财务报表，包括资产负债表、利润表、现金流量表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3.1.2</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公司财务报表的批注（包含选用的会计政策、估计及方法）及所有者权益变动表（如有）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3.1.3</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近一年的银行帐户的对账单、银行余额调节表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3.1.4</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公司的审计报告、内控报告（包括内部控制自我评价报告和会计师针对内部控制的鉴证意见）、会计师出具的管理建议书等（如有）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3.1.5</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公司最近三年管理层讨论与分析、大事记及财务报表说明（如有）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3.1.6</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公司最近三年以财务报告为目的的评估报告、评估明细表、评估说明（如有，例如：商誉减值测试、资产减值测试、投资性房地产公允价值计量等）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3.1.7</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公司最近三年及最近一期应收款项、应付款项明细表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3.1.8</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公司各项费用的费用明细，包括管理费用、财务费用、销售费用明细表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3.1.9</w:t>
            </w:r>
          </w:p>
        </w:tc>
        <w:tc>
          <w:tcPr>
            <w:tcW w:w="3371"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开户证明，以及账户的签字授权程序（如有）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1" w:type="pct"/>
            <w:vMerge w:val="restart"/>
            <w:tcBorders>
              <w:top w:val="nil"/>
              <w:left w:val="single" w:color="auto" w:sz="4" w:space="0"/>
              <w:bottom w:val="single" w:color="auto" w:sz="4" w:space="0"/>
              <w:right w:val="single" w:color="auto" w:sz="4" w:space="0"/>
            </w:tcBorders>
            <w:noWrap w:val="0"/>
            <w:vAlign w:val="top"/>
          </w:tcPr>
          <w:p>
            <w:pPr>
              <w:pStyle w:val="16"/>
              <w:autoSpaceDE w:val="0"/>
              <w:spacing w:line="560" w:lineRule="exact"/>
              <w:rPr>
                <w:rFonts w:hint="eastAsia" w:ascii="宋体" w:hAnsi="宋体" w:eastAsia="宋体" w:cs="宋体"/>
                <w:b/>
                <w:bCs/>
                <w:color w:val="000000"/>
                <w:sz w:val="24"/>
                <w:szCs w:val="24"/>
                <w:highlight w:val="none"/>
              </w:rPr>
            </w:pPr>
            <w:r>
              <w:rPr>
                <w:rFonts w:hint="eastAsia" w:ascii="宋体" w:hAnsi="宋体" w:eastAsia="宋体" w:cs="宋体"/>
                <w:b/>
                <w:bCs/>
                <w:kern w:val="44"/>
                <w:sz w:val="24"/>
                <w:szCs w:val="24"/>
                <w:highlight w:val="none"/>
              </w:rPr>
              <w:t>4.税务情况</w:t>
            </w:r>
          </w:p>
        </w:tc>
        <w:tc>
          <w:tcPr>
            <w:tcW w:w="544" w:type="pct"/>
            <w:vMerge w:val="restart"/>
            <w:tcBorders>
              <w:top w:val="nil"/>
              <w:left w:val="single" w:color="auto" w:sz="4" w:space="0"/>
              <w:bottom w:val="single" w:color="auto" w:sz="4" w:space="0"/>
              <w:right w:val="single" w:color="auto" w:sz="4" w:space="0"/>
            </w:tcBorders>
            <w:noWrap w:val="0"/>
            <w:vAlign w:val="top"/>
          </w:tcPr>
          <w:p>
            <w:pPr>
              <w:autoSpaceDE w:val="0"/>
              <w:spacing w:line="560" w:lineRule="exac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4.1纳税基本情况</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4.1.1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公司的税种核定情况，包括公司执行的各项税费的标准，执行的税种、税基、税率的情况说明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4.1.2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公司最近三年所得税纳税申报表、增值税纳税申报表及其他适用的税种及其附加费的纳税申报表、税收缴款书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4.1.3</w:t>
            </w:r>
          </w:p>
        </w:tc>
        <w:tc>
          <w:tcPr>
            <w:tcW w:w="337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公司最近三年税务机关就公司税务事宜所下发的现行有效的批准文件（包括汇总纳税事宜等）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4.1.4</w:t>
            </w:r>
          </w:p>
        </w:tc>
        <w:tc>
          <w:tcPr>
            <w:tcW w:w="337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公司最近三年所得税汇算清算报告或会计师、税务师出具的鉴证报告（如有）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top"/>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4.2税收优惠政策</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4.2.1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公司最近三年适用的各项税种、税率及享受的主要税收优惠（如高新技术企业税收优惠）、财政补贴政策、批准文件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4.2.2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公司最近三年享受的其他政府财政补助情况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4.2.3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公司税收优惠政策（行业、地区）的知悉、利用情况说明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top"/>
          </w:tcPr>
          <w:p>
            <w:pPr>
              <w:spacing w:before="120" w:beforeLines="50" w:after="120" w:afterLines="5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4.3税务稽查、处罚情况</w:t>
            </w:r>
          </w:p>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4.3.1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公司最近三年受到税务机关稽查、核查、调查的情况及结果说明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4.3.2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公司最近三年受到过税务（包括关税）处罚情况，如有应提供行政处罚告知书等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1" w:type="pct"/>
            <w:vMerge w:val="restart"/>
            <w:tcBorders>
              <w:top w:val="nil"/>
              <w:left w:val="single" w:color="auto" w:sz="4" w:space="0"/>
              <w:bottom w:val="single" w:color="auto" w:sz="4" w:space="0"/>
              <w:right w:val="single" w:color="auto" w:sz="4" w:space="0"/>
            </w:tcBorders>
            <w:noWrap w:val="0"/>
            <w:vAlign w:val="top"/>
          </w:tcPr>
          <w:p>
            <w:pPr>
              <w:pStyle w:val="16"/>
              <w:autoSpaceDE w:val="0"/>
              <w:spacing w:line="560" w:lineRule="exact"/>
              <w:rPr>
                <w:rFonts w:hint="eastAsia" w:ascii="宋体" w:hAnsi="宋体" w:eastAsia="宋体" w:cs="宋体"/>
                <w:b/>
                <w:bCs/>
                <w:kern w:val="44"/>
                <w:sz w:val="24"/>
                <w:szCs w:val="24"/>
                <w:highlight w:val="none"/>
              </w:rPr>
            </w:pPr>
          </w:p>
          <w:p>
            <w:pPr>
              <w:pStyle w:val="16"/>
              <w:autoSpaceDE w:val="0"/>
              <w:spacing w:line="560" w:lineRule="exact"/>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5.重大合同</w:t>
            </w:r>
          </w:p>
          <w:p>
            <w:pPr>
              <w:pStyle w:val="16"/>
              <w:autoSpaceDE w:val="0"/>
              <w:spacing w:line="560" w:lineRule="exact"/>
              <w:rPr>
                <w:rFonts w:hint="eastAsia" w:ascii="宋体" w:hAnsi="宋体" w:eastAsia="宋体" w:cs="宋体"/>
                <w:b/>
                <w:bCs/>
                <w:color w:val="000000"/>
                <w:kern w:val="0"/>
                <w:sz w:val="24"/>
                <w:szCs w:val="24"/>
                <w:highlight w:val="none"/>
              </w:rPr>
            </w:pPr>
          </w:p>
        </w:tc>
        <w:tc>
          <w:tcPr>
            <w:tcW w:w="544" w:type="pct"/>
            <w:vMerge w:val="restar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未履行完毕合同清单（指公司与对方均未履行完毕）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重大合同清单（单笔金额超过【10】万）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重大合同复印件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5.4</w:t>
            </w:r>
          </w:p>
        </w:tc>
        <w:tc>
          <w:tcPr>
            <w:tcW w:w="337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正在履行的对公司业务有重大影响的（无论是促进公司业务发展或限制公司业务发展）的合同、框架协议、备忘录等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5.5</w:t>
            </w:r>
          </w:p>
        </w:tc>
        <w:tc>
          <w:tcPr>
            <w:tcW w:w="337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正在履行的对公司资产、治理结构、股权结构等有重大影响的合同、框架协议、备忘录等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5.6</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正在履行的全部融资贷款合同复印件（包括银行及信托贷款、民间拆借等）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5.7</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为他人提供担保、抵押、质押的全部合同复印件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5.8</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sz w:val="24"/>
                <w:szCs w:val="24"/>
                <w:highlight w:val="none"/>
              </w:rPr>
              <w:t>是否有正在进行的、未决的或可能出现的合同的违约或其他类型的纠纷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1" w:type="pct"/>
            <w:vMerge w:val="restart"/>
            <w:tcBorders>
              <w:top w:val="nil"/>
              <w:left w:val="single" w:color="auto" w:sz="4" w:space="0"/>
              <w:bottom w:val="single" w:color="auto" w:sz="4" w:space="0"/>
              <w:right w:val="single" w:color="auto" w:sz="4" w:space="0"/>
            </w:tcBorders>
            <w:noWrap w:val="0"/>
            <w:vAlign w:val="top"/>
          </w:tcPr>
          <w:p>
            <w:pPr>
              <w:pStyle w:val="16"/>
              <w:autoSpaceDE w:val="0"/>
              <w:spacing w:line="560" w:lineRule="exact"/>
              <w:rPr>
                <w:rFonts w:hint="eastAsia" w:ascii="宋体" w:hAnsi="宋体" w:eastAsia="宋体" w:cs="宋体"/>
                <w:b/>
                <w:bCs/>
                <w:color w:val="000000"/>
                <w:kern w:val="0"/>
                <w:sz w:val="24"/>
                <w:szCs w:val="24"/>
                <w:highlight w:val="none"/>
              </w:rPr>
            </w:pPr>
            <w:r>
              <w:rPr>
                <w:rFonts w:hint="eastAsia" w:ascii="宋体" w:hAnsi="宋体" w:eastAsia="宋体" w:cs="宋体"/>
                <w:b/>
                <w:bCs/>
                <w:kern w:val="44"/>
                <w:sz w:val="24"/>
                <w:szCs w:val="24"/>
                <w:highlight w:val="none"/>
              </w:rPr>
              <w:t>6.诉讼、仲裁与行政处罚</w:t>
            </w:r>
          </w:p>
        </w:tc>
        <w:tc>
          <w:tcPr>
            <w:tcW w:w="544" w:type="pct"/>
            <w:vMerge w:val="restar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b/>
                <w:bCs/>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6.1</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已发生的诉讼、仲裁及结果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6.2</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是否存在或有诉讼、仲裁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6.3</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目标公司及其主要股东的法定代表人/主要人员是否存在失信/限高等情形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6.4</w:t>
            </w:r>
          </w:p>
        </w:tc>
        <w:tc>
          <w:tcPr>
            <w:tcW w:w="337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是否受到行政处罚或处理、行业监管措施等</w:t>
            </w:r>
          </w:p>
        </w:tc>
      </w:tr>
    </w:tbl>
    <w:p>
      <w:pPr>
        <w:pStyle w:val="1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auto"/>
          <w:sz w:val="32"/>
          <w:szCs w:val="32"/>
          <w:highlight w:val="none"/>
          <w:shd w:val="clear" w:color="auto" w:fill="FFFFFF"/>
          <w:lang w:val="en-US" w:eastAsia="zh-CN"/>
        </w:rPr>
        <w:t>尽职调查企业基本情况：该企业为软件和信息技术服务业企业，主营范围包括多模态大模型应用，具身机器人等，是国家高新技术企业、国家科技型中小企业、专精特新中小企业、瞪羚企业等。总部位于西部地区，已布局西南、华北、华东、华南区市场约6家分/子公司，拥有20年科研经验、20余项世界AI技术、150名以上公司员工，200余项知识产权、100余项软件著作权等。近三年年均营收约1.5亿元/年，呈递增趋势，公司控股关系包括但不限于地方国资、外资等背景。（本基本情况信息供参考，具体尽调企业以任务书下发为准）</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（五）服务要求</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default"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1.服务单位要求</w:t>
      </w:r>
    </w:p>
    <w:p>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①在开展项目工作过程中，需要对工作进行规范化管理，要有项目组织、管理、进度和验收计划以及风险控制、质量控制等相关方案，确保项目实施质量。</w:t>
      </w:r>
    </w:p>
    <w:p>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②中标服务单位在开展尽职调查业务时，应当严格遵守国家、广东省、深圳市、深汕特别合作区评审相关法律法规及尽职调查行业规范，按照采购方委托的工作内容开展工作。应当保持客观公正、实事求是、廉洁奉公、保守秘密的职业态度，应真实反映评审过程、评审结果，客观评价服务事项。及时向采购方汇报尽职调查过程中发现的重大问题，保证每周汇报工作进展情况，提交相关工作资料。</w:t>
      </w:r>
    </w:p>
    <w:p>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③无正当理由，中标服务单位不能拒绝或推脱采购方分派的尽职调查工作。如确无法承担，应提前提交书面说明，由采购方视情况决定。</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auto"/>
          <w:sz w:val="32"/>
          <w:szCs w:val="32"/>
          <w:highlight w:val="none"/>
          <w:shd w:val="clear" w:color="auto" w:fill="FFFFFF"/>
          <w:lang w:val="en-US" w:eastAsia="zh-CN"/>
        </w:rPr>
        <w:t>④履行审计回避制度，严格按照相关规定做好审计回避工作，凡中标服务单位与委托项目存在利害关系的情形，由中标服务单位第一时间主动向采购方做出书面报告说明，并暂停审核该项目相关服务。因未及时报告导致一切后果，由中标服务单位自行负责。</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2.人员配置要求</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在项目实施期间，中标方安排不少于2名团队成员的项目组，提供相关尽职调查服务，要求如下（驻场起始时间根据项目实际情况确定，食宿交通费用由供应商承担）。</w:t>
      </w:r>
    </w:p>
    <w:p>
      <w:pPr>
        <w:pStyle w:val="6"/>
        <w:jc w:val="center"/>
        <w:rPr>
          <w:rFonts w:hint="eastAsia" w:eastAsia="宋体"/>
          <w:lang w:eastAsia="zh-CN"/>
        </w:rPr>
      </w:pPr>
      <w:r>
        <w:t xml:space="preserve">表 </w:t>
      </w:r>
      <w:r>
        <w:fldChar w:fldCharType="begin"/>
      </w:r>
      <w:r>
        <w:instrText xml:space="preserve"> SEQ 表 \* ARABIC </w:instrText>
      </w:r>
      <w:r>
        <w:fldChar w:fldCharType="separate"/>
      </w:r>
      <w:r>
        <w:t>2</w:t>
      </w:r>
      <w:r>
        <w:fldChar w:fldCharType="end"/>
      </w:r>
      <w:r>
        <w:rPr>
          <w:rFonts w:hint="eastAsia"/>
          <w:lang w:eastAsia="zh-CN"/>
        </w:rPr>
        <w:t xml:space="preserve"> 项目组人员要求表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08"/>
        <w:gridCol w:w="1927"/>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80"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413"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★人员类别</w:t>
            </w: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★人员数量</w:t>
            </w:r>
          </w:p>
        </w:tc>
        <w:tc>
          <w:tcPr>
            <w:tcW w:w="1974"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★人员必需具备的条件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13"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1人</w:t>
            </w:r>
          </w:p>
        </w:tc>
        <w:tc>
          <w:tcPr>
            <w:tcW w:w="1974" w:type="pct"/>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具备律师执业证书（需提供</w:t>
            </w:r>
            <w:r>
              <w:rPr>
                <w:rFonts w:hint="eastAsia" w:ascii="宋体" w:hAnsi="宋体" w:eastAsia="宋体" w:cs="宋体"/>
                <w:b w:val="0"/>
                <w:bCs w:val="0"/>
                <w:sz w:val="24"/>
                <w:szCs w:val="24"/>
                <w:highlight w:val="none"/>
                <w:lang w:val="en-US" w:eastAsia="zh-CN"/>
              </w:rPr>
              <w:t>本项目投标截止日前3年或以上</w:t>
            </w:r>
            <w:r>
              <w:rPr>
                <w:rFonts w:hint="eastAsia" w:ascii="宋体" w:hAnsi="宋体" w:eastAsia="宋体" w:cs="宋体"/>
                <w:b w:val="0"/>
                <w:bCs w:val="0"/>
                <w:sz w:val="24"/>
                <w:szCs w:val="24"/>
                <w:highlight w:val="none"/>
              </w:rPr>
              <w:t>律师执业证考核合格证明）。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13" w:type="pct"/>
            <w:tcBorders>
              <w:top w:val="single" w:color="auto" w:sz="4" w:space="0"/>
              <w:left w:val="single" w:color="auto" w:sz="4" w:space="0"/>
              <w:bottom w:val="single" w:color="auto" w:sz="4" w:space="0"/>
              <w:right w:val="single" w:color="auto" w:sz="4" w:space="0"/>
            </w:tcBorders>
            <w:noWrap w:val="0"/>
            <w:vAlign w:val="top"/>
          </w:tcPr>
          <w:p>
            <w:pPr>
              <w:pStyle w:val="17"/>
              <w:autoSpaceDE w:val="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项目团队成员（项目负责人除外）</w:t>
            </w: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p>
        </w:tc>
        <w:tc>
          <w:tcPr>
            <w:tcW w:w="1974" w:type="pct"/>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具备会计中级职称或以上</w:t>
            </w:r>
            <w:r>
              <w:rPr>
                <w:rFonts w:hint="eastAsia" w:ascii="宋体" w:hAnsi="宋体" w:eastAsia="宋体" w:cs="宋体"/>
                <w:sz w:val="24"/>
                <w:szCs w:val="24"/>
                <w:highlight w:val="none"/>
                <w:lang w:eastAsia="zh-CN"/>
              </w:rPr>
              <w:t>且具有尽职调查服务经验</w:t>
            </w:r>
            <w:r>
              <w:rPr>
                <w:rFonts w:hint="eastAsia" w:ascii="宋体" w:hAnsi="宋体" w:eastAsia="宋体" w:cs="宋体"/>
                <w:sz w:val="24"/>
                <w:szCs w:val="24"/>
                <w:highlight w:val="none"/>
                <w:lang w:val="en-US" w:eastAsia="zh-CN"/>
              </w:rPr>
              <w:t>2年或以上</w:t>
            </w:r>
            <w:r>
              <w:rPr>
                <w:rFonts w:hint="eastAsia" w:ascii="宋体" w:hAnsi="宋体" w:eastAsia="宋体" w:cs="宋体"/>
                <w:sz w:val="24"/>
                <w:szCs w:val="24"/>
                <w:highlight w:val="none"/>
              </w:rPr>
              <w:t>；或具备税务师职业资格证书</w:t>
            </w:r>
            <w:r>
              <w:rPr>
                <w:rFonts w:hint="eastAsia" w:ascii="宋体" w:hAnsi="宋体" w:eastAsia="宋体" w:cs="宋体"/>
                <w:sz w:val="24"/>
                <w:szCs w:val="24"/>
                <w:highlight w:val="none"/>
                <w:lang w:eastAsia="zh-CN"/>
              </w:rPr>
              <w:t>且具有尽职调查服务经验</w:t>
            </w:r>
            <w:r>
              <w:rPr>
                <w:rFonts w:hint="eastAsia" w:ascii="宋体" w:hAnsi="宋体" w:eastAsia="宋体" w:cs="宋体"/>
                <w:sz w:val="24"/>
                <w:szCs w:val="24"/>
                <w:highlight w:val="none"/>
                <w:lang w:val="en-US" w:eastAsia="zh-CN"/>
              </w:rPr>
              <w:t>2年或以上</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893" w:type="pct"/>
            <w:gridSpan w:val="2"/>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人员合计</w:t>
            </w:r>
          </w:p>
        </w:tc>
        <w:tc>
          <w:tcPr>
            <w:tcW w:w="3106" w:type="pct"/>
            <w:gridSpan w:val="2"/>
            <w:tcBorders>
              <w:top w:val="single" w:color="auto" w:sz="4" w:space="0"/>
              <w:left w:val="single" w:color="auto" w:sz="4" w:space="0"/>
              <w:bottom w:val="single" w:color="auto" w:sz="4" w:space="0"/>
              <w:right w:val="single" w:color="auto" w:sz="4" w:space="0"/>
            </w:tcBorders>
            <w:noWrap w:val="0"/>
            <w:vAlign w:val="top"/>
          </w:tcPr>
          <w:p>
            <w:pPr>
              <w:autoSpaceDE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人</w:t>
            </w:r>
          </w:p>
        </w:tc>
      </w:tr>
    </w:tbl>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3.履约能力要求</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rPr>
          <w:rFonts w:hint="eastAsia" w:ascii="仿宋_GB2312" w:hAnsi="仿宋" w:eastAsia="仿宋_GB2312" w:cs="Times New Roman"/>
          <w:kern w:val="0"/>
          <w:sz w:val="32"/>
          <w:szCs w:val="32"/>
          <w:highlight w:val="none"/>
          <w:lang w:val="en-US" w:eastAsia="zh-CN" w:bidi="ar-SA"/>
        </w:rPr>
      </w:pPr>
      <w:r>
        <w:rPr>
          <w:rFonts w:hint="eastAsia" w:hAnsi="宋体"/>
          <w:b/>
          <w:bCs/>
          <w:kern w:val="0"/>
          <w:sz w:val="32"/>
          <w:szCs w:val="32"/>
          <w:highlight w:val="none"/>
        </w:rPr>
        <w:t>★</w:t>
      </w:r>
      <w:r>
        <w:rPr>
          <w:rFonts w:hint="eastAsia" w:ascii="仿宋_GB2312" w:hAnsi="仿宋" w:eastAsia="仿宋_GB2312" w:cs="Times New Roman"/>
          <w:b w:val="0"/>
          <w:bCs w:val="0"/>
          <w:kern w:val="0"/>
          <w:sz w:val="32"/>
          <w:szCs w:val="32"/>
          <w:highlight w:val="none"/>
          <w:lang w:val="en-US" w:eastAsia="zh-CN" w:bidi="ar-SA"/>
        </w:rPr>
        <w:t>具有同类项目服务能力：</w:t>
      </w:r>
      <w:r>
        <w:rPr>
          <w:rFonts w:hint="eastAsia" w:ascii="仿宋_GB2312" w:hAnsi="仿宋_GB2312" w:eastAsia="仿宋_GB2312" w:cs="仿宋_GB2312"/>
          <w:color w:val="auto"/>
          <w:szCs w:val="32"/>
          <w:highlight w:val="none"/>
          <w:lang w:val="en-US" w:eastAsia="zh-CN"/>
        </w:rPr>
        <w:t>具有县区级或以上的政府机关企事业单位的尽职调查服务经验3个或以上</w:t>
      </w:r>
      <w:r>
        <w:rPr>
          <w:rFonts w:hint="eastAsia" w:ascii="仿宋_GB2312" w:hAnsi="仿宋" w:eastAsia="仿宋_GB2312" w:cs="Times New Roman"/>
          <w:kern w:val="0"/>
          <w:sz w:val="32"/>
          <w:szCs w:val="32"/>
          <w:highlight w:val="none"/>
          <w:lang w:val="en-US" w:eastAsia="zh-CN" w:bidi="ar-SA"/>
        </w:rPr>
        <w:t>（提供项目服务合同关键页证明材料或尽调报告材料或承诺函，格式自拟加盖公章）</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left"/>
        <w:outlineLvl w:val="1"/>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b w:val="0"/>
          <w:bCs w:val="0"/>
          <w:color w:val="000000"/>
          <w:kern w:val="0"/>
          <w:sz w:val="32"/>
          <w:szCs w:val="32"/>
          <w:shd w:val="clear" w:color="auto" w:fill="FFFFFF"/>
          <w:lang w:val="en-US" w:eastAsia="zh-CN" w:bidi="ar-SA"/>
        </w:rPr>
        <w:t>（六）服务成果</w:t>
      </w:r>
    </w:p>
    <w:p>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（1）协助我中心完成</w:t>
      </w:r>
      <w:r>
        <w:rPr>
          <w:rFonts w:hint="eastAsia" w:ascii="仿宋_GB2312" w:hAnsi="仿宋_GB2312" w:eastAsia="仿宋_GB2312" w:cs="仿宋_GB2312"/>
          <w:color w:val="auto"/>
          <w:sz w:val="32"/>
          <w:szCs w:val="32"/>
          <w:highlight w:val="none"/>
          <w:shd w:val="clear" w:color="auto" w:fill="FFFFFF"/>
          <w:lang w:val="en-US" w:eastAsia="zh-CN"/>
        </w:rPr>
        <w:t>2025年度招引</w:t>
      </w:r>
      <w:r>
        <w:rPr>
          <w:rFonts w:hint="eastAsia" w:ascii="仿宋_GB2312" w:hAnsi="仿宋_GB2312" w:eastAsia="仿宋_GB2312" w:cs="仿宋_GB2312"/>
          <w:color w:val="auto"/>
          <w:sz w:val="32"/>
          <w:szCs w:val="32"/>
          <w:highlight w:val="none"/>
          <w:shd w:val="clear" w:color="auto" w:fill="FFFFFF"/>
          <w:lang w:eastAsia="zh-CN"/>
        </w:rPr>
        <w:t>企业的尽职调查；</w:t>
      </w:r>
    </w:p>
    <w:p>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（2）出具被调查企业的尽职调查报告；</w:t>
      </w:r>
    </w:p>
    <w:p>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（3）提供相关招商引资项目的方案处置建议和意见服务。</w:t>
      </w:r>
    </w:p>
    <w:p>
      <w:pPr>
        <w:pStyle w:val="10"/>
        <w:keepNext w:val="0"/>
        <w:keepLines w:val="0"/>
        <w:pageBreakBefore w:val="0"/>
        <w:numPr>
          <w:ilvl w:val="0"/>
          <w:numId w:val="0"/>
        </w:numPr>
        <w:kinsoku/>
        <w:wordWrap/>
        <w:overflowPunct/>
        <w:topLinePunct w:val="0"/>
        <w:autoSpaceDE/>
        <w:autoSpaceDN/>
        <w:bidi w:val="0"/>
        <w:snapToGrid/>
        <w:spacing w:line="560" w:lineRule="exact"/>
        <w:ind w:firstLine="640" w:firstLineChars="200"/>
        <w:jc w:val="left"/>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（七）商务要求</w:t>
      </w:r>
    </w:p>
    <w:p>
      <w:pPr>
        <w:pStyle w:val="10"/>
        <w:keepNext w:val="0"/>
        <w:keepLines w:val="0"/>
        <w:pageBreakBefore w:val="0"/>
        <w:numPr>
          <w:ilvl w:val="0"/>
          <w:numId w:val="0"/>
        </w:numPr>
        <w:kinsoku/>
        <w:wordWrap/>
        <w:overflowPunct/>
        <w:topLinePunct w:val="0"/>
        <w:autoSpaceDE/>
        <w:autoSpaceDN/>
        <w:bidi w:val="0"/>
        <w:snapToGrid/>
        <w:spacing w:line="560" w:lineRule="exact"/>
        <w:ind w:firstLine="642" w:firstLineChars="200"/>
        <w:jc w:val="left"/>
        <w:rPr>
          <w:rFonts w:hint="default" w:ascii="仿宋_GB2312" w:hAnsi="仿宋_GB2312" w:eastAsia="仿宋_GB2312" w:cs="仿宋_GB2312"/>
          <w:b/>
          <w:bCs/>
          <w:color w:val="000000"/>
          <w:kern w:val="0"/>
          <w:sz w:val="32"/>
          <w:szCs w:val="32"/>
          <w:shd w:val="clear" w:color="auto" w:fill="FFFFFF"/>
          <w:lang w:val="en-US" w:eastAsia="zh-CN" w:bidi="ar-SA"/>
        </w:rPr>
      </w:pPr>
      <w:r>
        <w:rPr>
          <w:rFonts w:hint="eastAsia" w:hAnsi="宋体"/>
          <w:b/>
          <w:bCs/>
          <w:kern w:val="0"/>
          <w:sz w:val="32"/>
          <w:szCs w:val="32"/>
          <w:highlight w:val="none"/>
        </w:rPr>
        <w:t>★</w:t>
      </w:r>
      <w:r>
        <w:rPr>
          <w:rFonts w:hint="eastAsia" w:ascii="仿宋_GB2312" w:hAnsi="仿宋_GB2312" w:eastAsia="仿宋_GB2312" w:cs="仿宋_GB2312"/>
          <w:b/>
          <w:bCs/>
          <w:color w:val="000000"/>
          <w:kern w:val="0"/>
          <w:sz w:val="32"/>
          <w:szCs w:val="32"/>
          <w:shd w:val="clear" w:color="auto" w:fill="FFFFFF"/>
          <w:lang w:val="en-US" w:eastAsia="zh-CN" w:bidi="ar-SA"/>
        </w:rPr>
        <w:t>1.服务期限</w:t>
      </w:r>
    </w:p>
    <w:p>
      <w:pPr>
        <w:widowControl/>
        <w:shd w:val="clear" w:color="auto" w:fill="FFFFFF"/>
        <w:spacing w:line="560" w:lineRule="exact"/>
        <w:ind w:firstLine="640" w:firstLineChars="200"/>
        <w:jc w:val="left"/>
        <w:rPr>
          <w:rFonts w:hint="eastAsia"/>
        </w:rPr>
      </w:pPr>
      <w:r>
        <w:rPr>
          <w:rFonts w:hint="eastAsia" w:ascii="仿宋_GB2312" w:hAnsi="仿宋_GB2312" w:eastAsia="仿宋_GB2312"/>
          <w:color w:val="000000"/>
          <w:kern w:val="0"/>
          <w:sz w:val="32"/>
          <w:szCs w:val="32"/>
          <w:shd w:val="clear" w:color="auto" w:fill="FFFFFF"/>
          <w:lang w:val="en-US" w:eastAsia="zh-CN" w:bidi="ar-SA"/>
        </w:rPr>
        <w:t>自合同签订之日起12个月内</w:t>
      </w:r>
      <w:r>
        <w:rPr>
          <w:rFonts w:hint="eastAsia" w:ascii="仿宋_GB2312" w:hAnsi="仿宋_GB2312" w:eastAsia="仿宋_GB2312" w:cs="仿宋_GB2312"/>
          <w:color w:val="000000"/>
          <w:kern w:val="0"/>
          <w:sz w:val="32"/>
          <w:szCs w:val="32"/>
          <w:shd w:val="clear" w:color="auto" w:fill="FFFFFF"/>
          <w:lang w:val="en-US" w:eastAsia="zh-CN" w:bidi="ar-SA"/>
        </w:rPr>
        <w:t>。</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color w:val="000000"/>
          <w:sz w:val="32"/>
          <w:szCs w:val="32"/>
          <w:highlight w:val="none"/>
          <w:shd w:val="clear" w:color="auto" w:fill="FFFFFF"/>
          <w:lang w:val="en-US" w:eastAsia="zh-CN"/>
        </w:rPr>
        <w:t>原则上，</w:t>
      </w:r>
      <w:r>
        <w:rPr>
          <w:rFonts w:hint="eastAsia" w:ascii="仿宋_GB2312" w:hAnsi="仿宋_GB2312" w:eastAsia="仿宋_GB2312" w:cs="仿宋_GB2312"/>
          <w:color w:val="000000"/>
          <w:sz w:val="32"/>
          <w:szCs w:val="32"/>
          <w:shd w:val="clear" w:color="auto" w:fill="FFFFFF"/>
          <w:lang w:val="en-US" w:eastAsia="zh-CN"/>
        </w:rPr>
        <w:t>单家企业调查服务自接受甲方调查任务书起，应于30个日历日内完成初步尽职调查报告，60个日历日内出具正式盖章版尽职调查报告</w:t>
      </w:r>
      <w:r>
        <w:rPr>
          <w:rFonts w:hint="eastAsia" w:ascii="仿宋_GB2312" w:hAnsi="仿宋_GB2312" w:eastAsia="仿宋_GB2312" w:cs="仿宋_GB2312"/>
          <w:color w:val="000000"/>
          <w:sz w:val="32"/>
          <w:szCs w:val="32"/>
          <w:highlight w:val="none"/>
          <w:shd w:val="clear" w:color="auto" w:fill="FFFFFF"/>
          <w:lang w:val="en-US" w:eastAsia="zh-CN"/>
        </w:rPr>
        <w:t>。（具体完成时限以甲方下发任务书要求为准。）</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jc w:val="left"/>
        <w:rPr>
          <w:rFonts w:hint="default"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2.付款方式</w:t>
      </w:r>
    </w:p>
    <w:p>
      <w:pPr>
        <w:keepNext w:val="0"/>
        <w:keepLines w:val="0"/>
        <w:pageBreakBefore w:val="0"/>
        <w:widowControl/>
        <w:shd w:val="clear" w:color="auto" w:fill="FFFFFF"/>
        <w:spacing w:before="0" w:beforeAutospacing="0" w:after="0" w:afterAutospacing="0" w:line="560" w:lineRule="exact"/>
        <w:ind w:left="0" w:firstLine="640" w:firstLineChars="200"/>
        <w:jc w:val="left"/>
        <w:rPr>
          <w:rFonts w:hint="eastAsia" w:ascii="仿宋_GB2312" w:hAnsi="仿宋_GB2312" w:eastAsia="仿宋_GB2312"/>
          <w:color w:val="000000"/>
          <w:kern w:val="0"/>
          <w:sz w:val="32"/>
          <w:szCs w:val="32"/>
          <w:shd w:val="clear" w:color="auto" w:fill="FFFFFF"/>
          <w:lang w:val="en-US" w:eastAsia="zh-CN" w:bidi="ar-SA"/>
        </w:rPr>
      </w:pPr>
      <w:r>
        <w:rPr>
          <w:rFonts w:hint="eastAsia" w:ascii="仿宋_GB2312" w:hAnsi="仿宋_GB2312" w:eastAsia="仿宋_GB2312"/>
          <w:color w:val="000000"/>
          <w:kern w:val="0"/>
          <w:sz w:val="32"/>
          <w:szCs w:val="32"/>
          <w:shd w:val="clear" w:color="auto" w:fill="FFFFFF"/>
          <w:lang w:val="en-US" w:eastAsia="zh-CN" w:bidi="ar-SA"/>
        </w:rPr>
        <w:t>第一期款：项目合同签订生效后，乙方提交必要请款材料及合法的等额有效普通发票，经甲方确认后10个工作日内依约支付合同金额的60%。</w:t>
      </w:r>
    </w:p>
    <w:p>
      <w:pPr>
        <w:shd w:val="clear" w:color="auto" w:fill="FFFFFF"/>
        <w:spacing w:line="560" w:lineRule="exact"/>
        <w:ind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olor w:val="000000"/>
          <w:kern w:val="0"/>
          <w:sz w:val="32"/>
          <w:szCs w:val="32"/>
          <w:shd w:val="clear" w:color="auto" w:fill="FFFFFF"/>
          <w:lang w:val="en-US" w:eastAsia="zh-CN" w:bidi="ar-SA"/>
        </w:rPr>
        <w:t>第二期款：甲方下发尽职调查服务任务书，乙方依合同约定完成尽职调查服务并出具尽职调查报告，经甲方验收合格后，乙方提交必要请款材料及合法的等额有效普通发票，结合服务履约评价进行支付，甲方依约最高支付不超合同金额的40%</w:t>
      </w:r>
      <w:r>
        <w:rPr>
          <w:rFonts w:hint="eastAsia" w:ascii="仿宋_GB2312" w:hAnsi="仿宋_GB2312" w:eastAsia="仿宋_GB2312" w:cs="仿宋_GB2312"/>
          <w:color w:val="000000"/>
          <w:kern w:val="0"/>
          <w:sz w:val="32"/>
          <w:szCs w:val="32"/>
          <w:shd w:val="clear" w:color="auto" w:fill="FFFFFF"/>
          <w:lang w:val="en-US" w:eastAsia="zh-CN" w:bidi="ar-SA"/>
        </w:rPr>
        <w:t>。</w:t>
      </w:r>
    </w:p>
    <w:p>
      <w:pPr>
        <w:pStyle w:val="6"/>
        <w:jc w:val="center"/>
        <w:rPr>
          <w:rFonts w:hint="eastAsia" w:eastAsia="宋体"/>
          <w:lang w:eastAsia="zh-CN"/>
        </w:rPr>
      </w:pPr>
      <w:r>
        <w:t xml:space="preserve">表 </w:t>
      </w:r>
      <w:r>
        <w:fldChar w:fldCharType="begin"/>
      </w:r>
      <w:r>
        <w:instrText xml:space="preserve"> SEQ 表 \* ARABIC </w:instrText>
      </w:r>
      <w:r>
        <w:fldChar w:fldCharType="separate"/>
      </w:r>
      <w:r>
        <w:t>3</w:t>
      </w:r>
      <w:r>
        <w:fldChar w:fldCharType="end"/>
      </w:r>
      <w:r>
        <w:rPr>
          <w:rFonts w:hint="eastAsia"/>
          <w:lang w:eastAsia="zh-CN"/>
        </w:rPr>
        <w:t xml:space="preserve"> 服务履约评价表</w:t>
      </w:r>
    </w:p>
    <w:tbl>
      <w:tblPr>
        <w:tblStyle w:val="18"/>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63"/>
        <w:gridCol w:w="2095"/>
        <w:gridCol w:w="651"/>
        <w:gridCol w:w="2782"/>
        <w:gridCol w:w="609"/>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86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指标</w:t>
            </w:r>
          </w:p>
        </w:tc>
        <w:tc>
          <w:tcPr>
            <w:tcW w:w="5528"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评分内容及标准</w:t>
            </w:r>
          </w:p>
        </w:tc>
        <w:tc>
          <w:tcPr>
            <w:tcW w:w="60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分数</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6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安排</w:t>
            </w:r>
          </w:p>
        </w:tc>
        <w:tc>
          <w:tcPr>
            <w:tcW w:w="5528"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1.超出合同拟派人员范围，且未经甲方批准擅自更换团队负责人或团队成员，更换1人1次扣2分。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2.团队负责人或团队成员工作经历虚假的，出现1人次扣5分。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3.乙方安排团队成员承接尽职调查任务时，承接任务的团队人员名单未经区智建中心审核的，1人次扣5分。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本项分值扣完为止。</w:t>
            </w:r>
          </w:p>
        </w:tc>
        <w:tc>
          <w:tcPr>
            <w:tcW w:w="60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5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6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质量评价</w:t>
            </w:r>
          </w:p>
        </w:tc>
        <w:tc>
          <w:tcPr>
            <w:tcW w:w="5528"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1.未对待调查的公司做充分调查导致出现质量问题，扣15分。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2.未及时提供高质量的尽职调查项目过程文件，每次扣5分。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本项分值扣完为止。</w:t>
            </w:r>
          </w:p>
        </w:tc>
        <w:tc>
          <w:tcPr>
            <w:tcW w:w="60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5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6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任务安排</w:t>
            </w:r>
          </w:p>
        </w:tc>
        <w:tc>
          <w:tcPr>
            <w:tcW w:w="5528"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1.乙方不接受项目任务分派或未在2天内接收资料，扣10分。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2.团队成员不服从甲方安排的其他相关工作的扣10分。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本项分值扣完为止。</w:t>
            </w:r>
          </w:p>
        </w:tc>
        <w:tc>
          <w:tcPr>
            <w:tcW w:w="60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45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6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评审纪律及风险控制</w:t>
            </w:r>
          </w:p>
        </w:tc>
        <w:tc>
          <w:tcPr>
            <w:tcW w:w="5528"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1.存在以下情形的，出现1次扣15分，相应责任人不得继续提供尽职调查服务：出现廉政违纪情况的、有需回避情况而未回避的、与其他人员或机构串通舞弊的、泄露国家秘密或者被评审单位秘密的。</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2.调查过程中团队成员未经同意私自与被调查方核查文件材料等，一次扣15分。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3.与甲方或所调查任务的相关单位擅自联系、索要资料，1次扣5分。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4.对调查过程中发现的重要事项或问题，团队成员未及时报告甲方项目责任人，1次扣10分。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5.对调查过程中发现的重要事项或问题，团队成员未将处理过程和结果记入调查工作底稿，1次扣5分。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6.乙方内部复核时复核人员应对调查认定事项分别进行复核抽查，并注明抽查复核具体内容，未完成的1次扣5分。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7.调查过程中提供重大违法、违纪、违规线索，提出建设性意见建议，每次加3分，加分后本项总分最高分值不超过15分。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本项分值不超过15分，分值扣完为止。</w:t>
            </w:r>
          </w:p>
        </w:tc>
        <w:tc>
          <w:tcPr>
            <w:tcW w:w="60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45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6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评审后续工作配合情况</w:t>
            </w:r>
          </w:p>
        </w:tc>
        <w:tc>
          <w:tcPr>
            <w:tcW w:w="5528"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1.出具尽职调查报告3个月内未完成档案立卷归档，1次扣10分。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2.未按区智建中心要求将电子文件（包括但不限于调查依据、调查工作底稿、特殊材料和非信息价材料价格、设备价格）录入/上传至指定系统，1次扣2分。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3.未按区智建中心年度档案归档要求及时完成上一年度档案立卷归档，1次扣10分。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4.因驻场人员原因丢失评审档案或资料，扣10分。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5.出现评审档案或资料损坏现象，1次扣2分。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本项分值扣完为止。</w:t>
            </w:r>
          </w:p>
        </w:tc>
        <w:tc>
          <w:tcPr>
            <w:tcW w:w="60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317"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总分</w:t>
            </w:r>
          </w:p>
        </w:tc>
        <w:tc>
          <w:tcPr>
            <w:tcW w:w="209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p>
        </w:tc>
        <w:tc>
          <w:tcPr>
            <w:tcW w:w="4042"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评分等级：</w:t>
            </w:r>
          </w:p>
        </w:tc>
        <w:tc>
          <w:tcPr>
            <w:tcW w:w="6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    □B    □C    □D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126" w:type="dxa"/>
            <w:gridSpan w:val="7"/>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1.A:90&lt;=总分&lt;=100，支付</w:t>
            </w:r>
            <w:r>
              <w:rPr>
                <w:rFonts w:hint="eastAsia" w:ascii="宋体" w:hAnsi="宋体" w:eastAsia="宋体" w:cs="宋体"/>
                <w:color w:val="auto"/>
                <w:kern w:val="0"/>
                <w:sz w:val="24"/>
                <w:szCs w:val="24"/>
                <w:lang w:eastAsia="zh-CN"/>
              </w:rPr>
              <w:t>合同总价款</w:t>
            </w:r>
            <w:r>
              <w:rPr>
                <w:rFonts w:hint="eastAsia" w:ascii="宋体" w:hAnsi="宋体" w:eastAsia="宋体" w:cs="宋体"/>
                <w:sz w:val="24"/>
                <w:szCs w:val="24"/>
                <w:highlight w:val="none"/>
                <w:lang w:val="en-US" w:eastAsia="zh-CN"/>
              </w:rPr>
              <w:t>的100%;</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2.B:80&lt;=总分&lt;90，支付</w:t>
            </w:r>
            <w:r>
              <w:rPr>
                <w:rFonts w:hint="eastAsia" w:ascii="宋体" w:hAnsi="宋体" w:eastAsia="宋体" w:cs="宋体"/>
                <w:color w:val="auto"/>
                <w:kern w:val="0"/>
                <w:sz w:val="24"/>
                <w:szCs w:val="24"/>
                <w:lang w:eastAsia="zh-CN"/>
              </w:rPr>
              <w:t>合同总价款</w:t>
            </w:r>
            <w:r>
              <w:rPr>
                <w:rFonts w:hint="eastAsia" w:ascii="宋体" w:hAnsi="宋体" w:eastAsia="宋体" w:cs="宋体"/>
                <w:sz w:val="24"/>
                <w:szCs w:val="24"/>
                <w:highlight w:val="none"/>
                <w:lang w:val="en-US" w:eastAsia="zh-CN"/>
              </w:rPr>
              <w:t>的80%;</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3.C:70&lt;=总分&lt;80，支付</w:t>
            </w:r>
            <w:r>
              <w:rPr>
                <w:rFonts w:hint="eastAsia" w:ascii="宋体" w:hAnsi="宋体" w:eastAsia="宋体" w:cs="宋体"/>
                <w:color w:val="auto"/>
                <w:kern w:val="0"/>
                <w:sz w:val="24"/>
                <w:szCs w:val="24"/>
                <w:lang w:eastAsia="zh-CN"/>
              </w:rPr>
              <w:t>合同总价款</w:t>
            </w:r>
            <w:r>
              <w:rPr>
                <w:rFonts w:hint="eastAsia" w:ascii="宋体" w:hAnsi="宋体" w:eastAsia="宋体" w:cs="宋体"/>
                <w:sz w:val="24"/>
                <w:szCs w:val="24"/>
                <w:highlight w:val="none"/>
                <w:lang w:val="en-US" w:eastAsia="zh-CN"/>
              </w:rPr>
              <w:t>的60%（甲方约谈项目负责人）;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4.D:60&lt;=总分&lt;70，支付</w:t>
            </w:r>
            <w:r>
              <w:rPr>
                <w:rFonts w:hint="eastAsia" w:ascii="宋体" w:hAnsi="宋体" w:eastAsia="宋体" w:cs="宋体"/>
                <w:color w:val="auto"/>
                <w:kern w:val="0"/>
                <w:sz w:val="24"/>
                <w:szCs w:val="24"/>
                <w:lang w:eastAsia="zh-CN"/>
              </w:rPr>
              <w:t>合同总价款</w:t>
            </w:r>
            <w:r>
              <w:rPr>
                <w:rFonts w:hint="eastAsia" w:ascii="宋体" w:hAnsi="宋体" w:eastAsia="宋体" w:cs="宋体"/>
                <w:sz w:val="24"/>
                <w:szCs w:val="24"/>
                <w:highlight w:val="none"/>
                <w:lang w:val="en-US" w:eastAsia="zh-CN"/>
              </w:rPr>
              <w:t>的40%（甲方有权更换项目负责人）;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5.E:总分&lt;60，甲方有权不支付款项，甲方有权直接终止合同；</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sz w:val="24"/>
                <w:szCs w:val="24"/>
                <w:highlight w:val="none"/>
                <w:lang w:val="en-US" w:eastAsia="zh-CN"/>
              </w:rPr>
              <w:t>6.甲方有权根据项目履约评价指标表的考核评分扣除对应的款项，如考核结果总分&lt;60，甲方有权不支付该期款项，并有权直接终止合同。</w:t>
            </w:r>
            <w:r>
              <w:rPr>
                <w:rFonts w:hint="eastAsia" w:ascii="宋体" w:hAnsi="宋体" w:eastAsia="宋体" w:cs="宋体"/>
                <w:color w:val="auto"/>
                <w:kern w:val="0"/>
                <w:sz w:val="24"/>
                <w:szCs w:val="24"/>
              </w:rPr>
              <w:t>甲方有权根据考核评分扣除对应的款项，如考核结果总分&lt;90,甲方按照考核等级支付该期应付款，该期扣除的款项甲方有权不再支付</w:t>
            </w:r>
            <w:r>
              <w:rPr>
                <w:rFonts w:hint="eastAsia" w:ascii="宋体" w:hAnsi="宋体" w:eastAsia="宋体" w:cs="宋体"/>
                <w:color w:val="auto"/>
                <w:kern w:val="0"/>
                <w:sz w:val="24"/>
                <w:szCs w:val="24"/>
                <w:lang w:eastAsia="zh-CN"/>
              </w:rPr>
              <w:t>，如已支付款项超出按考核结果应支付款项的，乙方应在</w:t>
            </w:r>
            <w:r>
              <w:rPr>
                <w:rFonts w:hint="eastAsia" w:ascii="宋体" w:hAnsi="宋体" w:eastAsia="宋体" w:cs="宋体"/>
                <w:color w:val="auto"/>
                <w:kern w:val="0"/>
                <w:sz w:val="24"/>
                <w:szCs w:val="24"/>
                <w:lang w:val="en-US" w:eastAsia="zh-CN"/>
              </w:rPr>
              <w:t>30日内退还超出部分款项</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7.乙方对考核结果有异议的，应当在收到甲方考核结果三个工作日内提出书面意见，未在约定时间内提出意见的，视为同意考核结果；</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甲方要求及项目需要配置驻场人员，按甲方要求完成尽职调查等工作。若乙方更换项目负责人及团队成员，需提前10个工作日书面报请甲方，甲方审核同意后乙方方可更换，乙方更换的项目负责人及其团队成员需通过甲方面试。乙方更换后的人员资质不得低于原项目人员。乙方更换的人员应先和被更换人员完成工作交接，交接时间不得少于5个工作日，不得影响项目正常运行。</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jc w:val="left"/>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9、以上条款的解析权归深圳市深汕特别合作区智慧城市建设管理服务中心所有。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4063" w:type="dxa"/>
            <w:gridSpan w:val="4"/>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240" w:lineRule="auto"/>
              <w:ind w:left="0" w:leftChars="0" w:right="0"/>
              <w:jc w:val="left"/>
              <w:textAlignment w:val="bottom"/>
              <w:rPr>
                <w:rFonts w:hint="eastAsia" w:ascii="宋体" w:hAnsi="宋体" w:eastAsia="宋体" w:cs="宋体"/>
                <w:b/>
                <w:color w:val="000000"/>
                <w:kern w:val="0"/>
                <w:sz w:val="24"/>
                <w:szCs w:val="24"/>
                <w:highlight w:val="none"/>
                <w:lang w:val="en-US" w:eastAsia="zh-CN" w:bidi="ar"/>
              </w:rPr>
            </w:pPr>
            <w:r>
              <w:rPr>
                <w:rFonts w:hint="eastAsia" w:ascii="宋体" w:hAnsi="宋体" w:eastAsia="宋体" w:cs="宋体"/>
                <w:b/>
                <w:color w:val="000000"/>
                <w:kern w:val="0"/>
                <w:sz w:val="24"/>
                <w:szCs w:val="24"/>
                <w:highlight w:val="none"/>
                <w:lang w:val="en-US" w:eastAsia="zh-CN" w:bidi="ar"/>
              </w:rPr>
              <w:t>甲方（考核单位）：</w:t>
            </w:r>
          </w:p>
          <w:p>
            <w:pPr>
              <w:pStyle w:val="17"/>
              <w:keepNext w:val="0"/>
              <w:keepLines w:val="0"/>
              <w:pageBreakBefore w:val="0"/>
              <w:suppressLineNumbers w:val="0"/>
              <w:kinsoku/>
              <w:wordWrap/>
              <w:overflowPunct/>
              <w:topLinePunct w:val="0"/>
              <w:bidi w:val="0"/>
              <w:spacing w:before="0" w:beforeAutospacing="0" w:after="0" w:afterAutospacing="0" w:line="240" w:lineRule="auto"/>
              <w:ind w:left="0" w:leftChars="0" w:right="0"/>
              <w:jc w:val="left"/>
              <w:rPr>
                <w:rFonts w:hint="eastAsia" w:ascii="宋体" w:hAnsi="宋体" w:eastAsia="宋体" w:cs="宋体"/>
                <w:sz w:val="24"/>
                <w:szCs w:val="24"/>
              </w:rPr>
            </w:pPr>
          </w:p>
          <w:p>
            <w:pPr>
              <w:pStyle w:val="17"/>
              <w:keepNext w:val="0"/>
              <w:keepLines w:val="0"/>
              <w:pageBreakBefore w:val="0"/>
              <w:suppressLineNumbers w:val="0"/>
              <w:kinsoku/>
              <w:wordWrap/>
              <w:overflowPunct/>
              <w:topLinePunct w:val="0"/>
              <w:bidi w:val="0"/>
              <w:spacing w:before="0" w:beforeAutospacing="0" w:after="0" w:afterAutospacing="0" w:line="240" w:lineRule="auto"/>
              <w:ind w:left="0" w:leftChars="0" w:right="0"/>
              <w:jc w:val="left"/>
              <w:rPr>
                <w:rFonts w:hint="eastAsia" w:ascii="宋体" w:hAnsi="宋体" w:eastAsia="宋体" w:cs="宋体"/>
                <w:sz w:val="24"/>
                <w:szCs w:val="24"/>
              </w:rPr>
            </w:pPr>
          </w:p>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240" w:lineRule="auto"/>
              <w:ind w:left="0" w:leftChars="0" w:right="0"/>
              <w:jc w:val="left"/>
              <w:textAlignment w:val="bottom"/>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bidi="ar"/>
              </w:rPr>
              <w:t>负责人：</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jc w:val="left"/>
              <w:rPr>
                <w:rFonts w:hint="eastAsia" w:ascii="宋体" w:hAnsi="宋体" w:eastAsia="宋体" w:cs="宋体"/>
                <w:color w:val="000000"/>
                <w:sz w:val="24"/>
                <w:szCs w:val="24"/>
              </w:rPr>
            </w:pPr>
            <w:r>
              <w:rPr>
                <w:rFonts w:hint="eastAsia" w:ascii="宋体" w:hAnsi="宋体" w:eastAsia="宋体" w:cs="宋体"/>
                <w:bCs/>
                <w:color w:val="000000"/>
                <w:kern w:val="0"/>
                <w:sz w:val="24"/>
                <w:szCs w:val="24"/>
                <w:highlight w:val="none"/>
                <w:lang w:val="en-US" w:eastAsia="zh-CN" w:bidi="ar"/>
              </w:rPr>
              <w:t>日期：</w:t>
            </w:r>
          </w:p>
        </w:tc>
        <w:tc>
          <w:tcPr>
            <w:tcW w:w="4063" w:type="dxa"/>
            <w:gridSpan w:val="3"/>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240" w:lineRule="auto"/>
              <w:ind w:left="0" w:leftChars="0" w:right="0"/>
              <w:jc w:val="left"/>
              <w:textAlignment w:val="bottom"/>
              <w:rPr>
                <w:rFonts w:hint="eastAsia" w:ascii="宋体" w:hAnsi="宋体" w:eastAsia="宋体" w:cs="宋体"/>
                <w:b/>
                <w:color w:val="000000"/>
                <w:kern w:val="0"/>
                <w:sz w:val="24"/>
                <w:szCs w:val="24"/>
                <w:highlight w:val="none"/>
                <w:lang w:val="en-US" w:eastAsia="zh-CN" w:bidi="ar"/>
              </w:rPr>
            </w:pPr>
            <w:r>
              <w:rPr>
                <w:rFonts w:hint="eastAsia" w:ascii="宋体" w:hAnsi="宋体" w:eastAsia="宋体" w:cs="宋体"/>
                <w:b/>
                <w:color w:val="000000"/>
                <w:kern w:val="0"/>
                <w:sz w:val="24"/>
                <w:szCs w:val="24"/>
                <w:highlight w:val="none"/>
                <w:lang w:val="en-US" w:eastAsia="zh-CN" w:bidi="ar"/>
              </w:rPr>
              <w:t>乙方（被考核单位）：</w:t>
            </w:r>
          </w:p>
          <w:p>
            <w:pPr>
              <w:pStyle w:val="17"/>
              <w:keepNext w:val="0"/>
              <w:keepLines w:val="0"/>
              <w:pageBreakBefore w:val="0"/>
              <w:suppressLineNumbers w:val="0"/>
              <w:kinsoku/>
              <w:wordWrap/>
              <w:overflowPunct/>
              <w:topLinePunct w:val="0"/>
              <w:bidi w:val="0"/>
              <w:spacing w:before="0" w:beforeAutospacing="0" w:after="0" w:afterAutospacing="0" w:line="240" w:lineRule="auto"/>
              <w:ind w:left="0" w:leftChars="0" w:right="0" w:firstLine="0" w:firstLineChars="0"/>
              <w:jc w:val="left"/>
              <w:rPr>
                <w:rFonts w:hint="eastAsia" w:ascii="宋体" w:hAnsi="宋体" w:eastAsia="宋体" w:cs="宋体"/>
                <w:sz w:val="24"/>
                <w:szCs w:val="24"/>
              </w:rPr>
            </w:pPr>
          </w:p>
          <w:p>
            <w:pPr>
              <w:pStyle w:val="17"/>
              <w:keepNext w:val="0"/>
              <w:keepLines w:val="0"/>
              <w:pageBreakBefore w:val="0"/>
              <w:suppressLineNumbers w:val="0"/>
              <w:kinsoku/>
              <w:wordWrap/>
              <w:overflowPunct/>
              <w:topLinePunct w:val="0"/>
              <w:bidi w:val="0"/>
              <w:spacing w:before="0" w:beforeAutospacing="0" w:after="0" w:afterAutospacing="0" w:line="240" w:lineRule="auto"/>
              <w:ind w:left="0" w:leftChars="0" w:right="0" w:firstLine="0" w:firstLineChars="0"/>
              <w:jc w:val="left"/>
              <w:rPr>
                <w:rFonts w:hint="eastAsia" w:ascii="宋体" w:hAnsi="宋体" w:eastAsia="宋体" w:cs="宋体"/>
                <w:sz w:val="24"/>
                <w:szCs w:val="24"/>
              </w:rPr>
            </w:pPr>
          </w:p>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240" w:lineRule="auto"/>
              <w:ind w:left="0" w:leftChars="0" w:right="0"/>
              <w:jc w:val="left"/>
              <w:textAlignment w:val="bottom"/>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bidi="ar"/>
              </w:rPr>
              <w:t>负责人：</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jc w:val="left"/>
              <w:rPr>
                <w:rFonts w:hint="eastAsia" w:ascii="宋体" w:hAnsi="宋体" w:eastAsia="宋体" w:cs="宋体"/>
                <w:color w:val="000000"/>
                <w:sz w:val="24"/>
                <w:szCs w:val="24"/>
              </w:rPr>
            </w:pPr>
            <w:r>
              <w:rPr>
                <w:rFonts w:hint="eastAsia" w:ascii="宋体" w:hAnsi="宋体" w:eastAsia="宋体" w:cs="宋体"/>
                <w:bCs/>
                <w:color w:val="000000"/>
                <w:kern w:val="0"/>
                <w:sz w:val="24"/>
                <w:szCs w:val="24"/>
                <w:highlight w:val="none"/>
                <w:lang w:val="en-US" w:eastAsia="zh-CN" w:bidi="ar"/>
              </w:rPr>
              <w:t>日期：</w:t>
            </w:r>
          </w:p>
        </w:tc>
      </w:tr>
    </w:tbl>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二、报价要求</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本次</w:t>
      </w:r>
      <w:r>
        <w:rPr>
          <w:rFonts w:hint="eastAsia" w:ascii="仿宋_GB2312" w:eastAsia="仿宋_GB2312"/>
          <w:color w:val="auto"/>
          <w:szCs w:val="32"/>
          <w:highlight w:val="none"/>
          <w:u w:val="none"/>
          <w:lang w:eastAsia="zh-CN"/>
        </w:rPr>
        <w:t>项目</w:t>
      </w:r>
      <w:r>
        <w:rPr>
          <w:rFonts w:hint="eastAsia" w:ascii="仿宋_GB2312" w:hAnsi="仿宋_GB2312" w:eastAsia="仿宋_GB2312" w:cs="仿宋_GB2312"/>
          <w:color w:val="auto"/>
          <w:szCs w:val="32"/>
          <w:highlight w:val="none"/>
        </w:rPr>
        <w:t>费用</w:t>
      </w:r>
      <w:r>
        <w:rPr>
          <w:rFonts w:hint="eastAsia" w:ascii="仿宋_GB2312" w:hAnsi="仿宋_GB2312" w:eastAsia="仿宋_GB2312" w:cs="仿宋_GB2312"/>
          <w:color w:val="auto"/>
          <w:szCs w:val="32"/>
          <w:highlight w:val="none"/>
          <w:lang w:eastAsia="zh-CN"/>
        </w:rPr>
        <w:t>总价</w:t>
      </w:r>
      <w:r>
        <w:rPr>
          <w:rFonts w:hint="eastAsia" w:ascii="仿宋_GB2312" w:hAnsi="仿宋_GB2312" w:eastAsia="仿宋_GB2312" w:cs="仿宋_GB2312"/>
          <w:color w:val="auto"/>
          <w:szCs w:val="32"/>
          <w:highlight w:val="none"/>
        </w:rPr>
        <w:t>暂估价为</w:t>
      </w:r>
      <w:r>
        <w:rPr>
          <w:rFonts w:hint="eastAsia" w:ascii="仿宋_GB2312" w:hAnsi="仿宋_GB2312" w:eastAsia="仿宋_GB2312" w:cs="仿宋_GB2312"/>
          <w:color w:val="auto"/>
          <w:szCs w:val="32"/>
          <w:highlight w:val="none"/>
          <w:lang w:val="en-US" w:eastAsia="zh-CN"/>
        </w:rPr>
        <w:t>人民币</w:t>
      </w:r>
      <w:r>
        <w:rPr>
          <w:rFonts w:hint="eastAsia" w:ascii="仿宋_GB2312" w:eastAsia="仿宋_GB2312"/>
          <w:color w:val="auto"/>
          <w:szCs w:val="44"/>
          <w:highlight w:val="none"/>
          <w:u w:val="single"/>
          <w:lang w:val="en-US" w:eastAsia="zh-CN"/>
        </w:rPr>
        <w:t xml:space="preserve"> 177500 </w:t>
      </w:r>
      <w:r>
        <w:rPr>
          <w:rFonts w:hint="eastAsia" w:ascii="仿宋_GB2312" w:hAnsi="仿宋_GB2312" w:eastAsia="仿宋_GB2312"/>
          <w:sz w:val="32"/>
          <w:szCs w:val="32"/>
          <w:lang w:bidi="ar"/>
        </w:rPr>
        <w:t>元</w:t>
      </w:r>
      <w:r>
        <w:rPr>
          <w:rFonts w:hint="eastAsia" w:ascii="仿宋_GB2312" w:hAnsi="仿宋_GB2312" w:eastAsia="仿宋_GB2312" w:cs="仿宋_GB2312"/>
          <w:color w:val="auto"/>
          <w:szCs w:val="32"/>
          <w:highlight w:val="none"/>
        </w:rPr>
        <w:t>，设上限值为</w:t>
      </w:r>
      <w:r>
        <w:rPr>
          <w:rFonts w:hint="eastAsia" w:ascii="仿宋_GB2312" w:hAnsi="仿宋_GB2312" w:eastAsia="仿宋_GB2312" w:cs="仿宋_GB2312"/>
          <w:color w:val="auto"/>
          <w:szCs w:val="32"/>
          <w:highlight w:val="none"/>
          <w:lang w:val="en-US" w:eastAsia="zh-CN"/>
        </w:rPr>
        <w:t>人民币</w:t>
      </w:r>
      <w:r>
        <w:rPr>
          <w:rFonts w:hint="eastAsia" w:ascii="仿宋_GB2312" w:eastAsia="仿宋_GB2312"/>
          <w:color w:val="auto"/>
          <w:szCs w:val="44"/>
          <w:highlight w:val="none"/>
          <w:u w:val="single"/>
          <w:lang w:val="en-US" w:eastAsia="zh-CN"/>
        </w:rPr>
        <w:t xml:space="preserve"> 177500 </w:t>
      </w:r>
      <w:r>
        <w:rPr>
          <w:rFonts w:hint="eastAsia" w:ascii="仿宋_GB2312" w:hAnsi="仿宋_GB2312" w:eastAsia="仿宋_GB2312"/>
          <w:sz w:val="32"/>
          <w:szCs w:val="32"/>
          <w:lang w:bidi="ar"/>
        </w:rPr>
        <w:t>元</w:t>
      </w:r>
      <w:r>
        <w:rPr>
          <w:rFonts w:hint="eastAsia" w:ascii="仿宋_GB2312" w:hAnsi="仿宋_GB2312" w:eastAsia="仿宋_GB2312" w:cs="仿宋_GB2312"/>
          <w:color w:val="auto"/>
          <w:szCs w:val="32"/>
          <w:highlight w:val="none"/>
        </w:rPr>
        <w:t>。项目报价为含税报</w:t>
      </w:r>
      <w:r>
        <w:rPr>
          <w:rFonts w:hint="eastAsia" w:ascii="仿宋_GB2312" w:hAnsi="仿宋_GB2312" w:eastAsia="仿宋_GB2312" w:cs="仿宋_GB2312"/>
          <w:color w:val="auto"/>
          <w:szCs w:val="32"/>
          <w:highlight w:val="none"/>
          <w:shd w:val="clear"/>
        </w:rPr>
        <w:t>价</w:t>
      </w:r>
      <w:r>
        <w:rPr>
          <w:rFonts w:hint="eastAsia" w:ascii="仿宋_GB2312" w:hAnsi="仿宋_GB2312" w:eastAsia="仿宋_GB2312" w:cs="仿宋_GB2312"/>
          <w:color w:val="auto"/>
          <w:szCs w:val="32"/>
          <w:highlight w:val="none"/>
        </w:rPr>
        <w:t>。本项目询价采购完成后，以中标价签订合同。</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三、投标人资格要求</w:t>
      </w:r>
    </w:p>
    <w:p>
      <w:pPr>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auto"/>
          <w:szCs w:val="32"/>
          <w:highlight w:val="none"/>
          <w:shd w:val="clear"/>
        </w:rPr>
        <w:t>（一）</w:t>
      </w:r>
      <w:bookmarkStart w:id="1" w:name="_Hlk72162904"/>
      <w:r>
        <w:rPr>
          <w:rFonts w:hint="eastAsia" w:ascii="宋体" w:hAnsi="宋体" w:cs="宋体"/>
          <w:kern w:val="0"/>
          <w:szCs w:val="21"/>
          <w:highlight w:val="none"/>
        </w:rPr>
        <w:t>具有独立法人资格或是具有独立承担民事责任能力的其它组织，或具有独立承担民事责任能力且</w:t>
      </w:r>
      <w:r>
        <w:rPr>
          <w:rFonts w:ascii="宋体" w:hAnsi="宋体" w:cs="宋体"/>
          <w:color w:val="000000" w:themeColor="text1"/>
          <w:kern w:val="0"/>
          <w:szCs w:val="21"/>
          <w:highlight w:val="none"/>
          <w14:textFill>
            <w14:solidFill>
              <w14:schemeClr w14:val="tx1"/>
            </w14:solidFill>
          </w14:textFill>
        </w:rPr>
        <w:t>是</w:t>
      </w:r>
      <w:r>
        <w:rPr>
          <w:rFonts w:hint="eastAsia" w:ascii="宋体" w:hAnsi="宋体" w:cs="宋体"/>
          <w:color w:val="000000" w:themeColor="text1"/>
          <w:kern w:val="0"/>
          <w:szCs w:val="21"/>
          <w:highlight w:val="none"/>
          <w14:textFill>
            <w14:solidFill>
              <w14:schemeClr w14:val="tx1"/>
            </w14:solidFill>
          </w14:textFill>
        </w:rPr>
        <w:t>国家司法行政机关准予设立的律师事务所或分所。</w:t>
      </w:r>
    </w:p>
    <w:p>
      <w:pPr>
        <w:ind w:firstLine="642" w:firstLineChars="200"/>
        <w:rPr>
          <w:rFonts w:ascii="宋体" w:hAnsi="宋体" w:cs="宋体"/>
          <w:b/>
          <w:bCs/>
          <w:color w:val="FF0000"/>
          <w:kern w:val="0"/>
          <w:szCs w:val="21"/>
        </w:rPr>
      </w:pPr>
      <w:r>
        <w:rPr>
          <w:rFonts w:hint="eastAsia" w:ascii="宋体" w:hAnsi="宋体" w:cs="宋体"/>
          <w:b/>
          <w:bCs/>
          <w:color w:val="FF0000"/>
          <w:kern w:val="0"/>
          <w:szCs w:val="21"/>
          <w:highlight w:val="none"/>
        </w:rPr>
        <w:t>（1）若</w:t>
      </w:r>
      <w:r>
        <w:rPr>
          <w:rFonts w:ascii="宋体" w:hAnsi="宋体" w:cs="宋体"/>
          <w:b/>
          <w:bCs/>
          <w:color w:val="FF0000"/>
          <w:kern w:val="0"/>
          <w:szCs w:val="21"/>
          <w:highlight w:val="none"/>
        </w:rPr>
        <w:t>具有独立法人资格或是具有独立承担民事责任能力的其他组织，</w:t>
      </w:r>
      <w:r>
        <w:rPr>
          <w:rFonts w:hint="eastAsia" w:ascii="宋体" w:hAnsi="宋体" w:cs="宋体"/>
          <w:b/>
          <w:bCs/>
          <w:color w:val="FF0000"/>
          <w:kern w:val="0"/>
          <w:szCs w:val="21"/>
          <w:highlight w:val="none"/>
        </w:rPr>
        <w:t>【提供营业执照或事业单位法人证书等证明资料扫描件，原件备查】；如果参与投标的供应商为分公司则须提供分公司营业执照、其所属集团（或总公司）等具有独立法人资格的组织出具的授权函或承诺书及营业执照，但只接受直接授权，不接受逐级授权，并同时提供总公司营业执照。不接受同一集团（或总公司）授权两家或以上分公司同时参与本项目投标，也不接受集团（或总公司）与分公司同时参与本项目投标，</w:t>
      </w:r>
      <w:r>
        <w:rPr>
          <w:rFonts w:hint="eastAsia" w:ascii="宋体" w:hAnsi="宋体" w:cs="宋体"/>
          <w:b/>
          <w:bCs/>
          <w:color w:val="FF0000"/>
          <w:kern w:val="0"/>
          <w:szCs w:val="21"/>
        </w:rPr>
        <w:t>如出现上述情形，该两家或以上供应商的投标文件均按无效投标处理；</w:t>
      </w:r>
    </w:p>
    <w:p>
      <w:pPr>
        <w:ind w:firstLine="642" w:firstLineChars="200"/>
        <w:rPr>
          <w:rFonts w:hint="eastAsia" w:ascii="宋体" w:hAnsi="宋体" w:cs="宋体"/>
          <w:b/>
          <w:bCs/>
          <w:color w:val="FF0000"/>
          <w:kern w:val="0"/>
          <w:szCs w:val="21"/>
          <w:highlight w:val="none"/>
        </w:rPr>
      </w:pPr>
      <w:r>
        <w:rPr>
          <w:rFonts w:hint="eastAsia" w:ascii="宋体" w:hAnsi="宋体" w:cs="宋体"/>
          <w:b/>
          <w:bCs/>
          <w:color w:val="FF0000"/>
          <w:kern w:val="0"/>
          <w:szCs w:val="21"/>
          <w:highlight w:val="none"/>
        </w:rPr>
        <w:t>（2）若具有独立承担民事责任能力且是国家司法行政机关准予设立的律师事务所或分所为律师事务所或分所，须具有司法行政主管部门核发的经年检合格的《律师事务所执业许可证》，【①提供在有效期内的执业许可证扫描件，如证书上未体现年检记录或有效期的，需同时提供发证机构官方网站显示的年检或有效期的截图作为证明材料；②如国家另有规定，则适用其规定，投标人提供相关证明材料，如有效的资质证书及相关政府部门的规定】；律师事务所分所参与投标的，必须提供总所的《律师事务所执业许可证》和分所的《律师事务所分所执业许可证》，同时须提供由总所出具的愿为其参与本项目投标的行为及其履约等行为承担民事责任的承诺函（格式自拟，加盖总所公章），总所与其分支机构不能同时参与投标，且同一家总所若有两家或两家以上的分支机构，总所只能授权一家分支机构参与投标；</w:t>
      </w:r>
    </w:p>
    <w:bookmarkEnd w:id="1"/>
    <w:p>
      <w:pPr>
        <w:keepNext w:val="0"/>
        <w:keepLines w:val="0"/>
        <w:pageBreakBefore w:val="0"/>
        <w:shd w:val="clear"/>
        <w:kinsoku/>
        <w:wordWrap/>
        <w:overflowPunct/>
        <w:topLinePunct w:val="0"/>
        <w:autoSpaceDE/>
        <w:autoSpaceDN/>
        <w:bidi w:val="0"/>
        <w:snapToGrid/>
        <w:spacing w:line="560" w:lineRule="exact"/>
        <w:ind w:left="0" w:leftChars="0" w:right="0" w:firstLine="640" w:firstLineChars="200"/>
        <w:jc w:val="left"/>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rPr>
        <w:t>（二）</w:t>
      </w:r>
      <w:r>
        <w:rPr>
          <w:rFonts w:hint="eastAsia" w:ascii="仿宋_GB2312" w:hAnsi="仿宋_GB2312" w:eastAsia="仿宋_GB2312" w:cs="仿宋_GB2312"/>
          <w:color w:val="auto"/>
          <w:szCs w:val="32"/>
          <w:highlight w:val="none"/>
          <w:shd w:val="clear"/>
          <w:lang w:val="en-US" w:eastAsia="zh-CN"/>
        </w:rPr>
        <w:t>本项目</w:t>
      </w:r>
      <w:r>
        <w:rPr>
          <w:rFonts w:hint="eastAsia" w:ascii="仿宋_GB2312" w:hAnsi="仿宋_GB2312" w:eastAsia="仿宋_GB2312" w:cs="仿宋_GB2312"/>
          <w:b w:val="0"/>
          <w:bCs w:val="0"/>
          <w:color w:val="auto"/>
          <w:szCs w:val="32"/>
          <w:highlight w:val="none"/>
          <w:shd w:val="clear"/>
          <w:lang w:val="en-US" w:eastAsia="zh-CN"/>
        </w:rPr>
        <w:t>不接受联</w:t>
      </w:r>
      <w:r>
        <w:rPr>
          <w:rFonts w:hint="eastAsia" w:ascii="仿宋_GB2312" w:hAnsi="仿宋_GB2312" w:eastAsia="仿宋_GB2312" w:cs="仿宋_GB2312"/>
          <w:color w:val="auto"/>
          <w:szCs w:val="32"/>
          <w:highlight w:val="none"/>
          <w:shd w:val="clear"/>
          <w:lang w:val="en-US" w:eastAsia="zh-CN"/>
        </w:rPr>
        <w:t>合体投标，</w:t>
      </w:r>
      <w:r>
        <w:rPr>
          <w:rFonts w:hint="eastAsia" w:ascii="仿宋_GB2312" w:hAnsi="Times New Roman" w:eastAsia="仿宋_GB2312" w:cs="仿宋_GB2312"/>
          <w:i w:val="0"/>
          <w:iCs w:val="0"/>
          <w:caps w:val="0"/>
          <w:color w:val="000000"/>
          <w:spacing w:val="0"/>
          <w:sz w:val="32"/>
          <w:szCs w:val="32"/>
          <w:shd w:val="clear" w:color="auto" w:fill="FFFFFF"/>
          <w:vertAlign w:val="baseline"/>
        </w:rPr>
        <w:t>不允许转包</w:t>
      </w:r>
      <w:r>
        <w:rPr>
          <w:rFonts w:hint="eastAsia" w:ascii="仿宋_GB2312" w:hAnsi="Times New Roman" w:eastAsia="仿宋_GB2312" w:cs="仿宋_GB2312"/>
          <w:i w:val="0"/>
          <w:iCs w:val="0"/>
          <w:caps w:val="0"/>
          <w:color w:val="000000"/>
          <w:spacing w:val="0"/>
          <w:sz w:val="32"/>
          <w:szCs w:val="32"/>
          <w:shd w:val="clear" w:color="auto" w:fill="FFFFFF"/>
          <w:vertAlign w:val="baseline"/>
          <w:lang w:eastAsia="zh-CN"/>
        </w:rPr>
        <w:t>、分包</w:t>
      </w:r>
      <w:r>
        <w:rPr>
          <w:rFonts w:hint="eastAsia" w:ascii="仿宋_GB2312" w:hAnsi="Times New Roman" w:eastAsia="仿宋_GB2312" w:cs="仿宋_GB2312"/>
          <w:i w:val="0"/>
          <w:iCs w:val="0"/>
          <w:caps w:val="0"/>
          <w:color w:val="000000"/>
          <w:spacing w:val="0"/>
          <w:sz w:val="32"/>
          <w:szCs w:val="32"/>
          <w:shd w:val="clear" w:color="auto" w:fill="FFFFFF"/>
          <w:vertAlign w:val="baseline"/>
        </w:rPr>
        <w:t>。</w:t>
      </w:r>
    </w:p>
    <w:p>
      <w:pPr>
        <w:keepNext w:val="0"/>
        <w:keepLines w:val="0"/>
        <w:pageBreakBefore w:val="0"/>
        <w:shd w:val="clear"/>
        <w:kinsoku/>
        <w:wordWrap/>
        <w:overflowPunct/>
        <w:topLinePunct w:val="0"/>
        <w:autoSpaceDE/>
        <w:autoSpaceDN/>
        <w:bidi w:val="0"/>
        <w:snapToGrid/>
        <w:spacing w:line="560" w:lineRule="exact"/>
        <w:ind w:left="0" w:leftChars="0" w:right="0" w:firstLine="640" w:firstLineChars="200"/>
        <w:jc w:val="left"/>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三</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000000"/>
          <w:kern w:val="0"/>
          <w:sz w:val="32"/>
          <w:szCs w:val="32"/>
          <w:highlight w:val="none"/>
          <w:shd w:val="clear" w:color="auto" w:fill="FFFFFF"/>
          <w:lang w:bidi="ar"/>
        </w:rPr>
        <w:t>参与本项目政府采购活动时不存在被有关部门禁止参与政府采购活动且在有效期</w:t>
      </w:r>
      <w:r>
        <w:rPr>
          <w:rFonts w:hint="eastAsia" w:ascii="仿宋_GB2312" w:hAnsi="仿宋_GB2312" w:eastAsia="仿宋_GB2312" w:cs="仿宋_GB2312"/>
          <w:color w:val="000000"/>
          <w:kern w:val="0"/>
          <w:sz w:val="32"/>
          <w:szCs w:val="32"/>
          <w:shd w:val="clear" w:color="auto" w:fill="FFFFFF"/>
          <w:lang w:bidi="ar"/>
        </w:rPr>
        <w:t>内的情况</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60" w:lineRule="exact"/>
        <w:ind w:left="0" w:leftChars="0" w:right="0" w:firstLine="640" w:firstLineChars="200"/>
        <w:jc w:val="left"/>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lang w:val="en-US" w:eastAsia="zh-CN"/>
        </w:rPr>
        <w:t>（四）</w:t>
      </w:r>
      <w:r>
        <w:rPr>
          <w:rFonts w:hint="eastAsia" w:ascii="仿宋_GB2312" w:hAnsi="仿宋_GB2312" w:eastAsia="仿宋_GB2312" w:cs="仿宋_GB2312"/>
          <w:color w:val="000000"/>
          <w:kern w:val="0"/>
          <w:sz w:val="32"/>
          <w:szCs w:val="32"/>
          <w:shd w:val="clear" w:color="auto" w:fill="FFFFFF"/>
          <w:lang w:bidi="ar"/>
        </w:rPr>
        <w:t>具备《中华人民共和国政府采购法》第二十二条第一款的条件</w:t>
      </w:r>
      <w:r>
        <w:rPr>
          <w:rFonts w:hint="eastAsia" w:ascii="仿宋_GB2312" w:hAnsi="仿宋_GB2312" w:eastAsia="仿宋_GB2312" w:cs="仿宋_GB2312"/>
          <w:color w:val="auto"/>
          <w:szCs w:val="32"/>
          <w:highlight w:val="none"/>
          <w:shd w:val="clear"/>
          <w:lang w:val="en-US" w:eastAsia="zh-CN"/>
        </w:rPr>
        <w:t>。</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60" w:lineRule="exact"/>
        <w:ind w:left="0" w:leftChars="0" w:right="0" w:firstLine="640" w:firstLineChars="200"/>
        <w:jc w:val="left"/>
        <w:rPr>
          <w:rFonts w:hint="eastAsia" w:ascii="仿宋_GB2312" w:hAnsi="仿宋_GB2312" w:eastAsia="仿宋_GB2312" w:cs="仿宋_GB2312"/>
          <w:color w:val="auto"/>
          <w:szCs w:val="32"/>
          <w:highlight w:val="none"/>
          <w:shd w:val="clear"/>
          <w:lang w:val="en-US" w:eastAsia="zh-CN"/>
        </w:rPr>
      </w:pPr>
      <w:r>
        <w:rPr>
          <w:rFonts w:hint="eastAsia" w:ascii="仿宋_GB2312" w:hAnsi="仿宋_GB2312" w:eastAsia="仿宋_GB2312" w:cs="仿宋_GB2312"/>
          <w:color w:val="auto"/>
          <w:szCs w:val="32"/>
          <w:highlight w:val="none"/>
          <w:shd w:val="clear"/>
          <w:lang w:val="en-US" w:eastAsia="zh-CN"/>
        </w:rPr>
        <w:t>（五）未被列入失信被执行人、重大税收违法案件当事人名单、政府采购严重违法失信行为记录名单。</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keepNext w:val="0"/>
        <w:keepLines w:val="0"/>
        <w:pageBreakBefore w:val="0"/>
        <w:shd w:val="clear"/>
        <w:kinsoku/>
        <w:wordWrap/>
        <w:overflowPunct/>
        <w:topLinePunct w:val="0"/>
        <w:autoSpaceDE/>
        <w:autoSpaceDN/>
        <w:bidi w:val="0"/>
        <w:snapToGrid/>
        <w:spacing w:line="560" w:lineRule="exact"/>
        <w:ind w:left="0" w:leftChars="0" w:right="0" w:firstLine="640" w:firstLineChars="200"/>
        <w:jc w:val="left"/>
        <w:rPr>
          <w:rFonts w:hint="eastAsia" w:ascii="仿宋_GB2312" w:hAnsi="仿宋_GB2312" w:eastAsia="仿宋_GB2312" w:cs="仿宋_GB2312"/>
          <w:color w:val="auto"/>
          <w:szCs w:val="32"/>
          <w:highlight w:val="none"/>
          <w:shd w:val="clear"/>
        </w:rPr>
      </w:pPr>
      <w:r>
        <w:rPr>
          <w:rFonts w:hint="eastAsia" w:ascii="仿宋_GB2312" w:hAnsi="仿宋_GB2312" w:eastAsia="仿宋_GB2312" w:cs="仿宋_GB2312"/>
          <w:color w:val="auto"/>
          <w:szCs w:val="32"/>
          <w:highlight w:val="none"/>
          <w:shd w:val="clear"/>
          <w:lang w:val="en-US" w:eastAsia="zh-CN"/>
        </w:rPr>
        <w:t>（六）</w:t>
      </w:r>
      <w:r>
        <w:rPr>
          <w:rFonts w:hint="eastAsia" w:ascii="仿宋_GB2312" w:hAnsi="仿宋_GB2312" w:eastAsia="仿宋_GB2312" w:cs="仿宋_GB2312"/>
          <w:color w:val="000000"/>
          <w:kern w:val="0"/>
          <w:sz w:val="32"/>
          <w:szCs w:val="32"/>
          <w:lang w:bidi="ar"/>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color w:val="auto"/>
          <w:szCs w:val="32"/>
          <w:highlight w:val="none"/>
          <w:shd w:val="clear"/>
          <w:lang w:val="en-US" w:eastAsia="zh-CN"/>
        </w:rPr>
        <w:t>。</w:t>
      </w:r>
      <w:r>
        <w:rPr>
          <w:rFonts w:hint="eastAsia" w:ascii="仿宋_GB2312" w:hAnsi="仿宋_GB2312" w:eastAsia="仿宋_GB2312" w:cs="仿宋_GB2312"/>
          <w:color w:val="auto"/>
          <w:szCs w:val="32"/>
          <w:highlight w:val="none"/>
          <w:shd w:val="clear"/>
        </w:rPr>
        <w:t>（提供承诺函</w:t>
      </w:r>
      <w:r>
        <w:rPr>
          <w:rFonts w:hint="eastAsia" w:ascii="仿宋_GB2312" w:hAnsi="仿宋_GB2312" w:eastAsia="仿宋_GB2312" w:cs="仿宋_GB2312"/>
          <w:color w:val="auto"/>
          <w:szCs w:val="32"/>
          <w:highlight w:val="none"/>
          <w:shd w:val="clear"/>
          <w:lang w:eastAsia="zh-CN"/>
        </w:rPr>
        <w:t>，</w:t>
      </w:r>
      <w:r>
        <w:rPr>
          <w:rFonts w:hint="eastAsia" w:ascii="仿宋_GB2312" w:hAnsi="仿宋_GB2312" w:eastAsia="仿宋_GB2312" w:cs="仿宋_GB2312"/>
          <w:color w:val="auto"/>
          <w:szCs w:val="32"/>
          <w:highlight w:val="none"/>
          <w:shd w:val="clear"/>
          <w:lang w:val="en-US" w:eastAsia="zh-CN"/>
        </w:rPr>
        <w:t>格式自拟</w:t>
      </w:r>
      <w:r>
        <w:rPr>
          <w:rFonts w:hint="eastAsia" w:ascii="仿宋_GB2312" w:hAnsi="仿宋_GB2312" w:eastAsia="仿宋_GB2312" w:cs="仿宋_GB2312"/>
          <w:color w:val="auto"/>
          <w:szCs w:val="32"/>
          <w:highlight w:val="none"/>
          <w:shd w:val="clear"/>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598" w:firstLineChars="187"/>
        <w:jc w:val="left"/>
        <w:textAlignment w:val="auto"/>
        <w:rPr>
          <w:rFonts w:hint="default" w:ascii="仿宋_GB2312" w:hAnsi="仿宋_GB2312" w:eastAsia="仿宋_GB2312" w:cs="仿宋_GB2312"/>
          <w:color w:val="000000"/>
          <w:kern w:val="0"/>
          <w:sz w:val="32"/>
          <w:szCs w:val="32"/>
          <w:highlight w:val="yellow"/>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注：“信用中国”、“中国政府采购网”以及“深圳市政府采购监管网”为供应商信用信息的查询渠道。</w:t>
      </w:r>
    </w:p>
    <w:p>
      <w:pPr>
        <w:pStyle w:val="4"/>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四、报价文件的要求</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color w:val="auto"/>
          <w:szCs w:val="32"/>
          <w:highlight w:val="none"/>
        </w:rPr>
        <w:t>（一）报价文件的组成</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lang w:val="en-US" w:eastAsia="zh-CN"/>
        </w:rPr>
        <w:t>均需加盖单位公章</w:t>
      </w:r>
      <w:r>
        <w:rPr>
          <w:rFonts w:hint="eastAsia" w:ascii="仿宋_GB2312" w:hAnsi="仿宋_GB2312" w:eastAsia="仿宋_GB2312" w:cs="仿宋_GB2312"/>
          <w:b/>
          <w:bCs/>
          <w:color w:val="auto"/>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报价函（本函附件）；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hint="default" w:ascii="仿宋_GB2312" w:hAnsi="仿宋_GB2312" w:eastAsia="仿宋_GB2312" w:cs="仿宋_GB2312"/>
          <w:color w:val="auto"/>
          <w:szCs w:val="32"/>
          <w:highlight w:val="none"/>
          <w:lang w:val="en-US" w:eastAsia="zh-CN"/>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lang w:val="en-US" w:eastAsia="zh-CN"/>
        </w:rPr>
        <w:t>投标承诺书</w:t>
      </w:r>
      <w:r>
        <w:rPr>
          <w:rFonts w:hint="eastAsia" w:ascii="仿宋_GB2312" w:hAnsi="仿宋_GB2312" w:eastAsia="仿宋_GB2312" w:cs="仿宋_GB2312"/>
          <w:color w:val="auto"/>
          <w:szCs w:val="32"/>
          <w:highlight w:val="none"/>
        </w:rPr>
        <w:t>（本函附件）；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表（本函附件）；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w:t>
      </w:r>
      <w:r>
        <w:rPr>
          <w:rFonts w:hint="eastAsia" w:ascii="仿宋_GB2312" w:hAnsi="仿宋_GB2312" w:eastAsia="仿宋_GB2312" w:cs="仿宋_GB2312"/>
          <w:color w:val="auto"/>
          <w:szCs w:val="32"/>
          <w:highlight w:val="none"/>
        </w:rPr>
        <w:t>.法定代表人（或授权人）证明书及其身份证复印件；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5</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法人授权委托证明（如有授权人则需提供）；</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6.</w:t>
      </w:r>
      <w:r>
        <w:rPr>
          <w:rFonts w:hint="eastAsia" w:ascii="仿宋_GB2312" w:hAnsi="仿宋_GB2312" w:eastAsia="仿宋_GB2312" w:cs="仿宋_GB2312"/>
          <w:color w:val="auto"/>
          <w:szCs w:val="32"/>
          <w:highlight w:val="none"/>
        </w:rPr>
        <w:t>企业营业执照复印件；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w:t>
      </w:r>
      <w:r>
        <w:rPr>
          <w:rFonts w:hint="eastAsia" w:cs="黑体"/>
          <w:color w:val="auto"/>
          <w:szCs w:val="32"/>
          <w:highlight w:val="none"/>
        </w:rPr>
        <w:t>投标人资格要求</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三</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-（六）的</w:t>
      </w:r>
      <w:r>
        <w:rPr>
          <w:rFonts w:hint="eastAsia" w:ascii="仿宋_GB2312" w:hAnsi="仿宋_GB2312" w:eastAsia="仿宋_GB2312" w:cs="仿宋_GB2312"/>
          <w:color w:val="auto"/>
          <w:szCs w:val="32"/>
          <w:highlight w:val="none"/>
        </w:rPr>
        <w:t>承诺函；</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val="en-US" w:eastAsia="zh-CN"/>
        </w:rPr>
        <w:t>8</w:t>
      </w:r>
      <w:r>
        <w:rPr>
          <w:rFonts w:hint="eastAsia" w:ascii="仿宋_GB2312" w:hAnsi="仿宋_GB2312" w:eastAsia="仿宋_GB2312" w:cs="仿宋_GB2312"/>
          <w:color w:val="auto"/>
          <w:szCs w:val="32"/>
          <w:highlight w:val="none"/>
        </w:rPr>
        <w:t>.企业资质证书复印件</w:t>
      </w:r>
      <w:r>
        <w:rPr>
          <w:rFonts w:hint="eastAsia" w:ascii="仿宋_GB2312" w:hAnsi="仿宋_GB2312" w:eastAsia="仿宋_GB2312" w:cs="仿宋_GB2312"/>
          <w:color w:val="auto"/>
          <w:szCs w:val="32"/>
          <w:highlight w:val="none"/>
          <w:lang w:eastAsia="zh-CN"/>
        </w:rPr>
        <w:t>；</w:t>
      </w:r>
    </w:p>
    <w:p>
      <w:pPr>
        <w:pStyle w:val="23"/>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9.纳税人资质证明（如为一般纳税人，需提供资质证明）</w:t>
      </w:r>
    </w:p>
    <w:p>
      <w:pPr>
        <w:pStyle w:val="23"/>
        <w:keepNext w:val="0"/>
        <w:keepLines w:val="0"/>
        <w:pageBreakBefore w:val="0"/>
        <w:shd w:val="clear"/>
        <w:kinsoku/>
        <w:wordWrap/>
        <w:overflowPunct/>
        <w:topLinePunct w:val="0"/>
        <w:autoSpaceDE/>
        <w:autoSpaceDN/>
        <w:bidi w:val="0"/>
        <w:snapToGrid/>
        <w:spacing w:line="560" w:lineRule="exact"/>
        <w:ind w:firstLine="640" w:firstLineChars="200"/>
        <w:jc w:val="left"/>
        <w:rPr>
          <w:rFonts w:hint="default"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10.</w:t>
      </w:r>
      <w:r>
        <w:rPr>
          <w:rFonts w:hint="eastAsia" w:ascii="仿宋_GB2312" w:hAnsi="仿宋" w:eastAsia="仿宋_GB2312" w:cs="Times New Roman"/>
          <w:kern w:val="0"/>
          <w:sz w:val="32"/>
          <w:szCs w:val="32"/>
          <w:highlight w:val="none"/>
          <w:lang w:val="en-US" w:eastAsia="zh-CN" w:bidi="ar-SA"/>
        </w:rPr>
        <w:t>同类项目服务能力证明材料；</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firstLine="640" w:firstLineChars="200"/>
        <w:jc w:val="left"/>
        <w:textAlignment w:val="auto"/>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11.拟安排的项目团队成员名单及成员资质情况【包括但不限于项目组成员自有员工证明、资质证书扫描件、同类项目实施经验证明（合同关键信息页或投标单位出具承诺或或其他可替代证明）等】。</w:t>
      </w:r>
    </w:p>
    <w:p>
      <w:pPr>
        <w:pStyle w:val="23"/>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szCs w:val="32"/>
          <w:highlight w:val="none"/>
          <w:lang w:val="en-US" w:eastAsia="zh-CN"/>
        </w:rPr>
        <w:t>12.响应本项目实施方案（格式自拟。不提供或提供内容不全，按作废处理）</w:t>
      </w:r>
    </w:p>
    <w:p>
      <w:pPr>
        <w:pStyle w:val="23"/>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13.</w:t>
      </w:r>
      <w:r>
        <w:rPr>
          <w:rFonts w:hint="eastAsia" w:ascii="仿宋_GB2312" w:hAnsi="仿宋_GB2312" w:eastAsia="仿宋_GB2312" w:cs="仿宋_GB2312"/>
          <w:b w:val="0"/>
          <w:bCs w:val="0"/>
          <w:color w:val="auto"/>
          <w:kern w:val="2"/>
          <w:sz w:val="32"/>
          <w:szCs w:val="32"/>
          <w:highlight w:val="none"/>
          <w:lang w:val="en-US" w:eastAsia="zh-CN"/>
        </w:rPr>
        <w:t>供应商基本情况表（本函附件）</w:t>
      </w:r>
    </w:p>
    <w:p>
      <w:pPr>
        <w:pStyle w:val="23"/>
        <w:keepNext w:val="0"/>
        <w:keepLines w:val="0"/>
        <w:pageBreakBefore w:val="0"/>
        <w:shd w:val="clear"/>
        <w:kinsoku/>
        <w:wordWrap/>
        <w:overflowPunct/>
        <w:topLinePunct w:val="0"/>
        <w:autoSpaceDE/>
        <w:autoSpaceDN/>
        <w:bidi w:val="0"/>
        <w:snapToGrid/>
        <w:spacing w:line="560" w:lineRule="exact"/>
        <w:ind w:firstLine="640" w:firstLineChars="200"/>
        <w:jc w:val="left"/>
        <w:rPr>
          <w:rFonts w:hint="default"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14.投标供应商认为其他需要提供的材料。</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（二）报价说明</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报价币种为人民币；所报价格应包括本次项目全部费用。</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rPr>
        <w:t>投标人免费提供的项目应先填写该项目的实际价格并注明免费，此项不计入总价或合计价；</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3.</w:t>
      </w:r>
      <w:r>
        <w:rPr>
          <w:rFonts w:hint="eastAsia" w:ascii="仿宋_GB2312" w:hAnsi="仿宋_GB2312" w:eastAsia="仿宋_GB2312" w:cs="仿宋_GB2312"/>
          <w:color w:val="auto"/>
          <w:szCs w:val="32"/>
          <w:highlight w:val="none"/>
        </w:rPr>
        <w:t>投标书应详细表述做好所投项目的措施、应达到的标准、服务承诺等内容；</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4.</w:t>
      </w:r>
      <w:r>
        <w:rPr>
          <w:rFonts w:hint="eastAsia" w:ascii="仿宋_GB2312" w:hAnsi="仿宋_GB2312" w:eastAsia="仿宋_GB2312" w:cs="仿宋_GB2312"/>
          <w:color w:val="auto"/>
          <w:szCs w:val="32"/>
          <w:highlight w:val="none"/>
        </w:rPr>
        <w:t>如果报价一览表大写金额与小写金额不一致，以大写金额为准；</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5.</w:t>
      </w:r>
      <w:r>
        <w:rPr>
          <w:rFonts w:hint="eastAsia" w:ascii="仿宋_GB2312" w:hAnsi="仿宋_GB2312" w:eastAsia="仿宋_GB2312" w:cs="仿宋_GB2312"/>
          <w:color w:val="auto"/>
          <w:szCs w:val="32"/>
          <w:highlight w:val="none"/>
        </w:rPr>
        <w:t>投标人应提供分项单价和总价，如果单价汇总金额与总价不符，</w:t>
      </w:r>
      <w:r>
        <w:rPr>
          <w:rFonts w:hint="eastAsia" w:ascii="仿宋_GB2312" w:hAnsi="仿宋_GB2312" w:eastAsia="仿宋_GB2312" w:cs="仿宋_GB2312"/>
          <w:color w:val="auto"/>
          <w:szCs w:val="32"/>
          <w:highlight w:val="none"/>
          <w:lang w:eastAsia="zh-CN"/>
        </w:rPr>
        <w:t>除</w:t>
      </w:r>
      <w:r>
        <w:rPr>
          <w:rFonts w:hint="eastAsia" w:ascii="仿宋_GB2312" w:hAnsi="仿宋_GB2312" w:eastAsia="仿宋_GB2312" w:cs="仿宋_GB2312"/>
          <w:color w:val="auto"/>
          <w:szCs w:val="32"/>
          <w:highlight w:val="none"/>
        </w:rPr>
        <w:t>单价金额小数点或者百分比有明显错位的</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以</w:t>
      </w:r>
      <w:r>
        <w:rPr>
          <w:rFonts w:hint="eastAsia" w:ascii="仿宋_GB2312" w:hAnsi="仿宋_GB2312" w:eastAsia="仿宋_GB2312" w:cs="仿宋_GB2312"/>
          <w:b/>
          <w:bCs/>
          <w:color w:val="auto"/>
          <w:szCs w:val="32"/>
          <w:highlight w:val="none"/>
        </w:rPr>
        <w:t>单价汇总金额</w:t>
      </w:r>
      <w:r>
        <w:rPr>
          <w:rFonts w:hint="eastAsia" w:ascii="仿宋_GB2312" w:hAnsi="仿宋_GB2312" w:eastAsia="仿宋_GB2312" w:cs="仿宋_GB2312"/>
          <w:color w:val="auto"/>
          <w:szCs w:val="32"/>
          <w:highlight w:val="none"/>
        </w:rPr>
        <w:t>为准；</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jc w:val="left"/>
        <w:rPr>
          <w:color w:val="auto"/>
          <w:highlight w:val="none"/>
        </w:rPr>
      </w:pPr>
      <w:r>
        <w:rPr>
          <w:rFonts w:hint="eastAsia"/>
          <w:color w:val="auto"/>
          <w:highlight w:val="none"/>
        </w:rPr>
        <w:t>五、报价</w:t>
      </w:r>
      <w:r>
        <w:rPr>
          <w:rFonts w:hint="eastAsia"/>
          <w:color w:val="auto"/>
          <w:highlight w:val="none"/>
          <w:lang w:val="en-US" w:eastAsia="zh-CN"/>
        </w:rPr>
        <w:t>文件递交</w:t>
      </w:r>
      <w:r>
        <w:rPr>
          <w:rFonts w:hint="eastAsia"/>
          <w:color w:val="auto"/>
          <w:highlight w:val="none"/>
        </w:rPr>
        <w:t>要求</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default" w:ascii="仿宋_GB2312" w:hAnsi="Times New Roman" w:eastAsia="仿宋_GB2312" w:cs="Times New Roman"/>
          <w:color w:val="auto"/>
          <w:kern w:val="2"/>
          <w:sz w:val="32"/>
          <w:szCs w:val="20"/>
          <w:highlight w:val="none"/>
          <w:lang w:val="en-US" w:eastAsia="zh-CN" w:bidi="ar-SA"/>
        </w:rPr>
      </w:pPr>
      <w:r>
        <w:rPr>
          <w:rFonts w:hint="eastAsia" w:ascii="仿宋_GB2312" w:eastAsia="仿宋_GB2312"/>
          <w:color w:val="auto"/>
          <w:highlight w:val="none"/>
          <w:lang w:eastAsia="zh-CN"/>
        </w:rPr>
        <w:t>符合资格的供应商</w:t>
      </w:r>
      <w:r>
        <w:rPr>
          <w:rFonts w:hint="eastAsia" w:ascii="仿宋_GB2312" w:eastAsia="仿宋_GB2312"/>
          <w:b/>
          <w:bCs/>
          <w:color w:val="auto"/>
          <w:highlight w:val="none"/>
          <w:lang w:eastAsia="zh-CN"/>
        </w:rPr>
        <w:t>应</w:t>
      </w:r>
      <w:r>
        <w:rPr>
          <w:rFonts w:hint="eastAsia" w:ascii="仿宋_GB2312" w:eastAsia="仿宋_GB2312"/>
          <w:b/>
          <w:bCs/>
          <w:color w:val="auto"/>
          <w:highlight w:val="none"/>
        </w:rPr>
        <w:t>于截标时间前将按要求密封的报价</w:t>
      </w:r>
      <w:r>
        <w:rPr>
          <w:rFonts w:hint="eastAsia" w:ascii="仿宋_GB2312" w:eastAsia="仿宋_GB2312"/>
          <w:b/>
          <w:bCs/>
          <w:color w:val="auto"/>
          <w:highlight w:val="none"/>
          <w:lang w:val="en-US" w:eastAsia="zh-CN"/>
        </w:rPr>
        <w:t>文件</w:t>
      </w:r>
      <w:r>
        <w:rPr>
          <w:rFonts w:hint="eastAsia" w:ascii="仿宋_GB2312" w:eastAsia="仿宋_GB2312"/>
          <w:b/>
          <w:bCs/>
          <w:color w:val="auto"/>
          <w:highlight w:val="none"/>
        </w:rPr>
        <w:t>送达我</w:t>
      </w:r>
      <w:r>
        <w:rPr>
          <w:rFonts w:hint="eastAsia" w:ascii="仿宋_GB2312" w:eastAsia="仿宋_GB2312"/>
          <w:b/>
          <w:bCs/>
          <w:color w:val="auto"/>
          <w:highlight w:val="none"/>
          <w:lang w:val="en-US" w:eastAsia="zh-CN"/>
        </w:rPr>
        <w:t>中心</w:t>
      </w:r>
      <w:r>
        <w:rPr>
          <w:rFonts w:hint="eastAsia" w:ascii="仿宋_GB2312" w:eastAsia="仿宋_GB2312"/>
          <w:color w:val="auto"/>
          <w:highlight w:val="none"/>
        </w:rPr>
        <w:t>（地址：广东省汕尾市海丰县鹅埠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w:t>
      </w:r>
      <w:r>
        <w:rPr>
          <w:rFonts w:ascii="仿宋_GB2312" w:eastAsia="仿宋_GB2312"/>
          <w:color w:val="auto"/>
          <w:highlight w:val="none"/>
        </w:rPr>
        <w:t>2栋</w:t>
      </w:r>
      <w:r>
        <w:rPr>
          <w:rFonts w:hint="eastAsia" w:ascii="仿宋_GB2312" w:eastAsia="仿宋_GB2312"/>
          <w:color w:val="auto"/>
          <w:highlight w:val="none"/>
          <w:lang w:val="en-US" w:eastAsia="zh-CN"/>
        </w:rPr>
        <w:t>深圳市深汕特别合作区智慧城市建设管理服务中心</w:t>
      </w:r>
      <w:r>
        <w:rPr>
          <w:rFonts w:hint="eastAsia" w:ascii="仿宋_GB2312" w:eastAsia="仿宋_GB2312"/>
          <w:color w:val="auto"/>
          <w:highlight w:val="none"/>
        </w:rPr>
        <w:t>，接收人：</w:t>
      </w:r>
      <w:r>
        <w:rPr>
          <w:rFonts w:hint="eastAsia" w:ascii="仿宋_GB2312" w:hAnsi="Times New Roman" w:eastAsia="仿宋_GB2312" w:cs="仿宋_GB2312"/>
          <w:i w:val="0"/>
          <w:iCs w:val="0"/>
          <w:caps w:val="0"/>
          <w:color w:val="000000"/>
          <w:spacing w:val="0"/>
          <w:sz w:val="32"/>
          <w:szCs w:val="32"/>
          <w:u w:val="single"/>
          <w:shd w:val="clear" w:color="auto" w:fill="FFFFFF"/>
          <w:vertAlign w:val="baseline"/>
          <w:lang w:val="en-US" w:eastAsia="zh-CN"/>
        </w:rPr>
        <w:t>郜工</w:t>
      </w:r>
      <w:r>
        <w:rPr>
          <w:rFonts w:hint="eastAsia" w:ascii="仿宋_GB2312" w:eastAsia="仿宋_GB2312"/>
          <w:color w:val="auto"/>
          <w:highlight w:val="none"/>
        </w:rPr>
        <w:t>，联系电话：</w:t>
      </w:r>
      <w:r>
        <w:rPr>
          <w:rFonts w:hint="eastAsia" w:ascii="仿宋_GB2312" w:hAnsi="Times New Roman" w:eastAsia="仿宋_GB2312" w:cs="仿宋_GB2312"/>
          <w:i w:val="0"/>
          <w:iCs w:val="0"/>
          <w:caps w:val="0"/>
          <w:color w:val="000000"/>
          <w:spacing w:val="0"/>
          <w:sz w:val="32"/>
          <w:szCs w:val="32"/>
          <w:highlight w:val="none"/>
          <w:u w:val="single"/>
          <w:shd w:val="clear" w:color="auto" w:fill="FFFFFF"/>
          <w:vertAlign w:val="baseline"/>
          <w:lang w:val="en-US" w:eastAsia="zh-CN"/>
        </w:rPr>
        <w:t>17838391047</w:t>
      </w:r>
      <w:r>
        <w:rPr>
          <w:rFonts w:hint="eastAsia" w:ascii="仿宋_GB2312" w:eastAsia="仿宋_GB2312"/>
          <w:color w:val="auto"/>
          <w:highlight w:val="none"/>
        </w:rPr>
        <w:t>）。</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jc w:val="left"/>
        <w:rPr>
          <w:color w:val="auto"/>
          <w:highlight w:val="none"/>
        </w:rPr>
      </w:pPr>
      <w:r>
        <w:rPr>
          <w:rFonts w:hint="eastAsia"/>
          <w:color w:val="auto"/>
          <w:highlight w:val="none"/>
        </w:rPr>
        <w:t>六、密封要求</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eastAsia="仿宋_GB2312"/>
          <w:color w:val="auto"/>
          <w:highlight w:val="none"/>
        </w:rPr>
      </w:pPr>
      <w:r>
        <w:rPr>
          <w:rFonts w:hint="eastAsia" w:ascii="仿宋_GB2312" w:eastAsia="仿宋_GB2312"/>
          <w:color w:val="auto"/>
          <w:highlight w:val="none"/>
        </w:rPr>
        <w:t>1.密封封面注明项目名称及投标人名称；</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eastAsia="仿宋_GB2312"/>
          <w:color w:val="auto"/>
          <w:highlight w:val="none"/>
        </w:rPr>
      </w:pPr>
      <w:r>
        <w:rPr>
          <w:rFonts w:hint="eastAsia" w:ascii="仿宋_GB2312" w:eastAsia="仿宋_GB2312"/>
          <w:color w:val="auto"/>
          <w:highlight w:val="none"/>
        </w:rPr>
        <w:t>2.密封袋需加盖投标人公章；</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_GB2312" w:eastAsia="仿宋_GB2312"/>
          <w:color w:val="auto"/>
          <w:highlight w:val="none"/>
          <w:lang w:eastAsia="zh-CN"/>
        </w:rPr>
      </w:pPr>
      <w:r>
        <w:rPr>
          <w:rFonts w:hint="eastAsia" w:ascii="仿宋_GB2312" w:eastAsia="仿宋_GB2312"/>
          <w:color w:val="auto"/>
          <w:highlight w:val="none"/>
        </w:rPr>
        <w:t>3.封口处必须用“封条”密封且密封完好</w:t>
      </w:r>
      <w:r>
        <w:rPr>
          <w:rFonts w:hint="eastAsia" w:ascii="仿宋_GB2312" w:eastAsia="仿宋_GB2312"/>
          <w:color w:val="auto"/>
          <w:highlight w:val="none"/>
          <w:lang w:eastAsia="zh-CN"/>
        </w:rPr>
        <w:t>；</w:t>
      </w:r>
    </w:p>
    <w:p>
      <w:pPr>
        <w:pStyle w:val="10"/>
        <w:spacing w:line="560" w:lineRule="exact"/>
        <w:ind w:firstLine="640" w:firstLineChars="200"/>
        <w:jc w:val="left"/>
        <w:rPr>
          <w:rFonts w:hint="default"/>
          <w:lang w:val="en-US" w:eastAsia="zh-CN"/>
        </w:rPr>
      </w:pPr>
      <w:r>
        <w:rPr>
          <w:rFonts w:hint="eastAsia" w:ascii="仿宋_GB2312" w:hAnsi="Times New Roman" w:eastAsia="仿宋_GB2312" w:cs="Times New Roman"/>
          <w:color w:val="auto"/>
          <w:kern w:val="2"/>
          <w:sz w:val="32"/>
          <w:szCs w:val="20"/>
          <w:highlight w:val="none"/>
          <w:lang w:val="en-US" w:eastAsia="zh-CN" w:bidi="ar-SA"/>
        </w:rPr>
        <w:t>4.盖章报价文件电子扫描件需于报价截标时间当天18：00后发送至深圳市深汕特别合作区智慧城市建设管理服务中心邮箱：zjzx@szss.gov.cn（或盖章电子扫描件存于USB储存设备或光盘储存设备随原件快递寄送）</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jc w:val="left"/>
        <w:rPr>
          <w:rFonts w:hint="eastAsia" w:eastAsia="黑体"/>
          <w:color w:val="auto"/>
          <w:highlight w:val="none"/>
          <w:lang w:eastAsia="zh-CN"/>
        </w:rPr>
      </w:pPr>
      <w:r>
        <w:rPr>
          <w:rFonts w:hint="eastAsia"/>
          <w:color w:val="auto"/>
          <w:highlight w:val="none"/>
        </w:rPr>
        <w:t>七、截标、</w:t>
      </w:r>
      <w:r>
        <w:rPr>
          <w:rFonts w:hint="eastAsia"/>
          <w:color w:val="auto"/>
          <w:highlight w:val="none"/>
          <w:lang w:val="en-US" w:eastAsia="zh-CN"/>
        </w:rPr>
        <w:t>评审</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截标时间：20</w:t>
      </w:r>
      <w:r>
        <w:rPr>
          <w:rFonts w:hint="eastAsia" w:ascii="仿宋_GB2312" w:hAnsi="仿宋_GB2312" w:eastAsia="仿宋_GB2312" w:cs="仿宋_GB2312"/>
          <w:color w:val="auto"/>
          <w:szCs w:val="32"/>
          <w:highlight w:val="none"/>
          <w:lang w:val="en-US" w:eastAsia="zh-CN"/>
        </w:rPr>
        <w:t>25</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7</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29</w:t>
      </w:r>
      <w:r>
        <w:rPr>
          <w:rFonts w:hint="eastAsia" w:ascii="仿宋_GB2312" w:hAnsi="仿宋_GB2312" w:eastAsia="仿宋_GB2312" w:cs="仿宋_GB2312"/>
          <w:color w:val="auto"/>
          <w:szCs w:val="32"/>
          <w:highlight w:val="none"/>
        </w:rPr>
        <w:t>日</w:t>
      </w:r>
    </w:p>
    <w:p>
      <w:pPr>
        <w:pStyle w:val="1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color w:val="000000"/>
          <w:sz w:val="32"/>
          <w:szCs w:val="32"/>
          <w:highlight w:val="none"/>
          <w:shd w:val="clear" w:color="auto" w:fill="FFFFFF"/>
        </w:rPr>
        <w:t>（</w:t>
      </w:r>
      <w:r>
        <w:rPr>
          <w:rFonts w:hint="eastAsia" w:ascii="仿宋_GB2312" w:hAnsi="仿宋_GB2312" w:eastAsia="仿宋_GB2312" w:cs="仿宋_GB2312"/>
          <w:b/>
          <w:bCs/>
          <w:color w:val="000000"/>
          <w:sz w:val="32"/>
          <w:szCs w:val="32"/>
          <w:highlight w:val="none"/>
          <w:shd w:val="clear" w:color="auto" w:fill="FFFFFF"/>
          <w:lang w:val="en-US" w:eastAsia="zh-CN"/>
        </w:rPr>
        <w:t>3</w:t>
      </w:r>
      <w:r>
        <w:rPr>
          <w:rFonts w:hint="eastAsia" w:ascii="仿宋_GB2312" w:hAnsi="仿宋_GB2312" w:eastAsia="仿宋_GB2312" w:cs="仿宋_GB2312"/>
          <w:b/>
          <w:bCs/>
          <w:color w:val="000000"/>
          <w:sz w:val="32"/>
          <w:szCs w:val="32"/>
          <w:highlight w:val="none"/>
          <w:shd w:val="clear" w:color="auto" w:fill="FFFFFF"/>
        </w:rPr>
        <w:t>个工作日,公布当天不算）</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 w:hAnsi="仿宋"/>
          <w:color w:val="auto"/>
          <w:szCs w:val="32"/>
          <w:highlight w:val="none"/>
        </w:rPr>
      </w:pPr>
      <w:r>
        <w:rPr>
          <w:rFonts w:hint="eastAsia" w:ascii="仿宋_GB2312" w:hAnsi="仿宋_GB2312" w:eastAsia="仿宋_GB2312" w:cs="仿宋_GB2312"/>
          <w:color w:val="auto"/>
          <w:szCs w:val="32"/>
          <w:highlight w:val="none"/>
          <w:lang w:val="en-US" w:eastAsia="zh-CN"/>
        </w:rPr>
        <w:t>评审</w:t>
      </w:r>
      <w:r>
        <w:rPr>
          <w:rFonts w:hint="eastAsia" w:ascii="仿宋_GB2312" w:hAnsi="仿宋_GB2312" w:eastAsia="仿宋_GB2312" w:cs="仿宋_GB2312"/>
          <w:color w:val="auto"/>
          <w:szCs w:val="32"/>
          <w:highlight w:val="none"/>
        </w:rPr>
        <w:t>时间：20</w:t>
      </w:r>
      <w:r>
        <w:rPr>
          <w:rFonts w:hint="eastAsia" w:ascii="仿宋_GB2312" w:hAnsi="仿宋_GB2312" w:eastAsia="仿宋_GB2312" w:cs="仿宋_GB2312"/>
          <w:color w:val="auto"/>
          <w:szCs w:val="32"/>
          <w:highlight w:val="none"/>
          <w:lang w:val="en-US" w:eastAsia="zh-CN"/>
        </w:rPr>
        <w:t>25</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7</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29</w:t>
      </w:r>
      <w:r>
        <w:rPr>
          <w:rFonts w:hint="eastAsia" w:ascii="仿宋_GB2312" w:hAnsi="仿宋_GB2312" w:eastAsia="仿宋_GB2312" w:cs="仿宋_GB2312"/>
          <w:color w:val="auto"/>
          <w:szCs w:val="32"/>
          <w:highlight w:val="none"/>
        </w:rPr>
        <w:t>日</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 w:hAnsi="仿宋"/>
          <w:color w:val="auto"/>
          <w:szCs w:val="32"/>
          <w:highlight w:val="none"/>
        </w:rPr>
      </w:pPr>
      <w:r>
        <w:rPr>
          <w:rFonts w:hint="eastAsia" w:ascii="仿宋" w:hAnsi="仿宋"/>
          <w:color w:val="auto"/>
          <w:szCs w:val="32"/>
          <w:highlight w:val="none"/>
          <w:lang w:val="en-US" w:eastAsia="zh-CN"/>
        </w:rPr>
        <w:t>评审</w:t>
      </w:r>
      <w:r>
        <w:rPr>
          <w:rFonts w:hint="eastAsia" w:ascii="仿宋" w:hAnsi="仿宋"/>
          <w:color w:val="auto"/>
          <w:szCs w:val="32"/>
          <w:highlight w:val="none"/>
        </w:rPr>
        <w:t>地点：</w:t>
      </w:r>
      <w:r>
        <w:rPr>
          <w:rFonts w:hint="eastAsia" w:ascii="仿宋_GB2312" w:eastAsia="仿宋_GB2312"/>
          <w:color w:val="auto"/>
          <w:highlight w:val="none"/>
        </w:rPr>
        <w:t>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w:t>
      </w:r>
      <w:r>
        <w:rPr>
          <w:rFonts w:ascii="仿宋_GB2312" w:eastAsia="仿宋_GB2312"/>
          <w:color w:val="auto"/>
          <w:highlight w:val="none"/>
        </w:rPr>
        <w:t>2栋</w:t>
      </w:r>
      <w:r>
        <w:rPr>
          <w:rFonts w:hint="eastAsia" w:ascii="仿宋_GB2312" w:eastAsia="仿宋_GB2312"/>
          <w:color w:val="auto"/>
          <w:highlight w:val="none"/>
          <w:lang w:val="en-US" w:eastAsia="zh-CN"/>
        </w:rPr>
        <w:t>深圳市深汕特别合作区智慧城市建设管理服务中心</w:t>
      </w:r>
      <w:r>
        <w:rPr>
          <w:rFonts w:hint="eastAsia" w:ascii="仿宋" w:hAnsi="仿宋"/>
          <w:color w:val="auto"/>
          <w:szCs w:val="32"/>
          <w:highlight w:val="none"/>
        </w:rPr>
        <w:t>多</w:t>
      </w:r>
      <w:r>
        <w:rPr>
          <w:rFonts w:hint="eastAsia" w:ascii="仿宋" w:hAnsi="仿宋"/>
          <w:color w:val="auto"/>
          <w:szCs w:val="32"/>
          <w:highlight w:val="none"/>
          <w:lang w:eastAsia="zh-CN"/>
        </w:rPr>
        <w:t>功能</w:t>
      </w:r>
      <w:r>
        <w:rPr>
          <w:rFonts w:hint="eastAsia" w:ascii="仿宋" w:hAnsi="仿宋"/>
          <w:color w:val="auto"/>
          <w:szCs w:val="32"/>
          <w:highlight w:val="none"/>
        </w:rPr>
        <w:t>会议室</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ascii="仿宋" w:hAnsi="仿宋" w:eastAsia="仿宋"/>
          <w:color w:val="auto"/>
          <w:szCs w:val="32"/>
          <w:highlight w:val="none"/>
          <w:lang w:eastAsia="zh-CN"/>
        </w:rPr>
      </w:pPr>
      <w:r>
        <w:rPr>
          <w:rFonts w:hint="eastAsia" w:ascii="仿宋_GB2312" w:hAnsi="Times New Roman" w:eastAsia="仿宋_GB2312" w:cs="Times New Roman"/>
          <w:color w:val="auto"/>
          <w:highlight w:val="none"/>
        </w:rPr>
        <w:t>定标方法：最低</w:t>
      </w:r>
      <w:r>
        <w:rPr>
          <w:rFonts w:hint="eastAsia" w:ascii="仿宋_GB2312" w:eastAsia="仿宋_GB2312" w:cs="Times New Roman"/>
          <w:color w:val="auto"/>
          <w:highlight w:val="none"/>
          <w:lang w:eastAsia="zh-CN"/>
        </w:rPr>
        <w:t>价</w:t>
      </w:r>
      <w:r>
        <w:rPr>
          <w:rFonts w:hint="eastAsia" w:ascii="仿宋_GB2312" w:hAnsi="Times New Roman" w:eastAsia="仿宋_GB2312" w:cs="Times New Roman"/>
          <w:color w:val="auto"/>
          <w:highlight w:val="none"/>
          <w:lang w:val="en-US" w:eastAsia="zh-CN"/>
        </w:rPr>
        <w:t>评标法。（</w:t>
      </w:r>
      <w:r>
        <w:rPr>
          <w:rFonts w:hint="eastAsia" w:ascii="仿宋_GB2312" w:hAnsi="Times New Roman" w:eastAsia="仿宋_GB2312" w:cs="Times New Roman"/>
          <w:color w:val="auto"/>
          <w:highlight w:val="none"/>
        </w:rPr>
        <w:t>通过对报价</w:t>
      </w:r>
      <w:r>
        <w:rPr>
          <w:rFonts w:hint="eastAsia" w:ascii="仿宋_GB2312" w:hAnsi="Times New Roman" w:eastAsia="仿宋_GB2312" w:cs="Times New Roman"/>
          <w:color w:val="auto"/>
          <w:highlight w:val="none"/>
          <w:lang w:val="en-US" w:eastAsia="zh-CN"/>
        </w:rPr>
        <w:t>文件</w:t>
      </w:r>
      <w:r>
        <w:rPr>
          <w:rFonts w:hint="eastAsia" w:ascii="仿宋_GB2312" w:hAnsi="Times New Roman" w:eastAsia="仿宋_GB2312" w:cs="Times New Roman"/>
          <w:color w:val="auto"/>
          <w:highlight w:val="none"/>
        </w:rPr>
        <w:t>对比</w:t>
      </w:r>
      <w:r>
        <w:rPr>
          <w:rFonts w:hint="eastAsia" w:ascii="仿宋_GB2312" w:hAnsi="Times New Roman" w:eastAsia="仿宋_GB2312" w:cs="Times New Roman"/>
          <w:color w:val="auto"/>
          <w:highlight w:val="none"/>
          <w:lang w:eastAsia="zh-CN"/>
        </w:rPr>
        <w:t>，</w:t>
      </w:r>
      <w:r>
        <w:rPr>
          <w:rFonts w:hint="eastAsia" w:ascii="仿宋_GB2312" w:hAnsi="Times New Roman" w:eastAsia="仿宋_GB2312" w:cs="Times New Roman"/>
          <w:color w:val="auto"/>
          <w:highlight w:val="none"/>
          <w:lang w:val="en-US" w:eastAsia="zh-CN"/>
        </w:rPr>
        <w:t>以</w:t>
      </w:r>
      <w:r>
        <w:rPr>
          <w:rFonts w:hint="eastAsia" w:ascii="仿宋_GB2312" w:hAnsi="Times New Roman" w:eastAsia="仿宋_GB2312" w:cs="Times New Roman"/>
          <w:b/>
          <w:bCs/>
          <w:color w:val="auto"/>
          <w:highlight w:val="none"/>
          <w:lang w:val="en-US" w:eastAsia="zh-CN"/>
        </w:rPr>
        <w:t>符合</w:t>
      </w:r>
      <w:r>
        <w:rPr>
          <w:rFonts w:hint="eastAsia" w:ascii="仿宋_GB2312" w:eastAsia="仿宋_GB2312" w:cs="Times New Roman"/>
          <w:b/>
          <w:bCs/>
          <w:color w:val="auto"/>
          <w:highlight w:val="none"/>
          <w:lang w:val="en-US" w:eastAsia="zh-CN"/>
        </w:rPr>
        <w:t>采购</w:t>
      </w:r>
      <w:r>
        <w:rPr>
          <w:rFonts w:hint="eastAsia" w:ascii="仿宋_GB2312" w:hAnsi="Times New Roman" w:eastAsia="仿宋_GB2312" w:cs="Times New Roman"/>
          <w:b/>
          <w:bCs/>
          <w:color w:val="auto"/>
          <w:highlight w:val="none"/>
          <w:lang w:val="en-US" w:eastAsia="zh-CN"/>
        </w:rPr>
        <w:t>文件要求且单价汇总金额最低价格</w:t>
      </w:r>
      <w:r>
        <w:rPr>
          <w:rFonts w:hint="eastAsia" w:ascii="仿宋_GB2312" w:hAnsi="Times New Roman" w:eastAsia="仿宋_GB2312" w:cs="Times New Roman"/>
          <w:color w:val="auto"/>
          <w:highlight w:val="none"/>
          <w:lang w:val="en-US" w:eastAsia="zh-CN"/>
        </w:rPr>
        <w:t>确定中标候选单位</w:t>
      </w:r>
      <w:r>
        <w:rPr>
          <w:rFonts w:hint="eastAsia" w:ascii="仿宋_GB2312" w:hAnsi="Times New Roman" w:eastAsia="仿宋_GB2312" w:cs="Times New Roman"/>
          <w:color w:val="auto"/>
          <w:highlight w:val="none"/>
        </w:rPr>
        <w:t>。</w:t>
      </w:r>
      <w:r>
        <w:rPr>
          <w:rFonts w:hint="eastAsia" w:ascii="仿宋_GB2312" w:hAnsi="Times New Roman" w:eastAsia="仿宋_GB2312" w:cs="Times New Roman"/>
          <w:color w:val="auto"/>
          <w:highlight w:val="none"/>
          <w:lang w:eastAsia="zh-CN"/>
        </w:rPr>
        <w:t>）</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jc w:val="left"/>
        <w:rPr>
          <w:color w:val="auto"/>
          <w:highlight w:val="none"/>
        </w:rPr>
      </w:pPr>
      <w:r>
        <w:rPr>
          <w:rFonts w:hint="eastAsia"/>
          <w:color w:val="auto"/>
          <w:highlight w:val="none"/>
        </w:rPr>
        <w:t>八、废标</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color w:val="auto"/>
          <w:highlight w:val="none"/>
        </w:rPr>
      </w:pPr>
      <w:r>
        <w:rPr>
          <w:color w:val="auto"/>
          <w:highlight w:val="none"/>
        </w:rPr>
        <w:t>1.</w:t>
      </w:r>
      <w:r>
        <w:rPr>
          <w:rFonts w:hint="eastAsia"/>
          <w:color w:val="auto"/>
          <w:highlight w:val="none"/>
        </w:rPr>
        <w:t>未按要求密封；</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color w:val="auto"/>
          <w:highlight w:val="none"/>
        </w:rPr>
      </w:pPr>
      <w:r>
        <w:rPr>
          <w:color w:val="auto"/>
          <w:highlight w:val="none"/>
        </w:rPr>
        <w:t>2.</w:t>
      </w:r>
      <w:r>
        <w:rPr>
          <w:rFonts w:hint="eastAsia"/>
          <w:color w:val="auto"/>
          <w:highlight w:val="none"/>
        </w:rPr>
        <w:t>未在截标时间前送达指定地点；</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color w:val="auto"/>
          <w:highlight w:val="none"/>
        </w:rPr>
      </w:pPr>
      <w:r>
        <w:rPr>
          <w:color w:val="auto"/>
          <w:highlight w:val="none"/>
        </w:rPr>
        <w:t>3.</w:t>
      </w:r>
      <w:r>
        <w:rPr>
          <w:rFonts w:hint="eastAsia"/>
          <w:color w:val="auto"/>
          <w:highlight w:val="none"/>
        </w:rPr>
        <w:t>投标报价不符合我</w:t>
      </w:r>
      <w:r>
        <w:rPr>
          <w:rFonts w:hint="eastAsia"/>
          <w:color w:val="auto"/>
          <w:highlight w:val="none"/>
          <w:lang w:val="en-US" w:eastAsia="zh-CN"/>
        </w:rPr>
        <w:t>单位</w:t>
      </w:r>
      <w:r>
        <w:rPr>
          <w:rFonts w:hint="eastAsia"/>
          <w:color w:val="auto"/>
          <w:highlight w:val="none"/>
        </w:rPr>
        <w:t>报价要求；</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hint="eastAsia" w:eastAsia="仿宋"/>
          <w:color w:val="auto"/>
          <w:szCs w:val="22"/>
          <w:highlight w:val="none"/>
          <w:lang w:eastAsia="zh-CN"/>
        </w:rPr>
      </w:pPr>
      <w:r>
        <w:rPr>
          <w:rFonts w:hint="eastAsia"/>
          <w:color w:val="auto"/>
          <w:szCs w:val="22"/>
          <w:highlight w:val="none"/>
        </w:rPr>
        <w:t>4.</w:t>
      </w:r>
      <w:r>
        <w:rPr>
          <w:rFonts w:hint="eastAsia"/>
          <w:color w:val="auto"/>
          <w:szCs w:val="22"/>
          <w:highlight w:val="none"/>
          <w:lang w:val="en-US" w:eastAsia="zh-CN"/>
        </w:rPr>
        <w:t>不符合本采购文件</w:t>
      </w:r>
      <w:r>
        <w:rPr>
          <w:rFonts w:hint="eastAsia" w:cs="黑体"/>
          <w:color w:val="auto"/>
          <w:szCs w:val="32"/>
          <w:highlight w:val="none"/>
        </w:rPr>
        <w:t>投标人资格要求</w:t>
      </w:r>
      <w:r>
        <w:rPr>
          <w:rFonts w:hint="eastAsia" w:cs="黑体"/>
          <w:color w:val="auto"/>
          <w:szCs w:val="32"/>
          <w:highlight w:val="none"/>
          <w:lang w:eastAsia="zh-CN"/>
        </w:rPr>
        <w:t>；</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color w:val="auto"/>
          <w:szCs w:val="22"/>
          <w:highlight w:val="none"/>
        </w:rPr>
      </w:pPr>
      <w:r>
        <w:rPr>
          <w:rFonts w:hint="eastAsia"/>
          <w:color w:val="auto"/>
          <w:szCs w:val="22"/>
          <w:highlight w:val="none"/>
          <w:lang w:val="en-US" w:eastAsia="zh-CN"/>
        </w:rPr>
        <w:t>5.</w:t>
      </w:r>
      <w:r>
        <w:rPr>
          <w:rFonts w:hint="eastAsia"/>
          <w:color w:val="auto"/>
          <w:szCs w:val="22"/>
          <w:highlight w:val="none"/>
        </w:rPr>
        <w:t>不按照</w:t>
      </w:r>
      <w:r>
        <w:rPr>
          <w:rFonts w:hint="eastAsia"/>
          <w:color w:val="auto"/>
          <w:highlight w:val="none"/>
        </w:rPr>
        <w:t>报价文件的组成要求编制报价文件的。</w:t>
      </w:r>
    </w:p>
    <w:p>
      <w:pPr>
        <w:pStyle w:val="4"/>
        <w:keepNext w:val="0"/>
        <w:keepLines w:val="0"/>
        <w:pageBreakBefore w:val="0"/>
        <w:shd w:val="clear"/>
        <w:kinsoku/>
        <w:wordWrap/>
        <w:overflowPunct/>
        <w:topLinePunct w:val="0"/>
        <w:autoSpaceDE/>
        <w:autoSpaceDN/>
        <w:bidi w:val="0"/>
        <w:snapToGrid/>
        <w:spacing w:line="560" w:lineRule="exact"/>
        <w:ind w:left="0" w:leftChars="0" w:firstLine="640" w:firstLineChars="200"/>
        <w:jc w:val="left"/>
        <w:rPr>
          <w:color w:val="auto"/>
          <w:highlight w:val="none"/>
        </w:rPr>
      </w:pPr>
      <w:r>
        <w:rPr>
          <w:rFonts w:hint="eastAsia"/>
          <w:color w:val="auto"/>
          <w:highlight w:val="none"/>
        </w:rPr>
        <w:t>九、其他事项</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eastAsia="仿宋_GB2312"/>
          <w:color w:val="auto"/>
          <w:szCs w:val="44"/>
          <w:highlight w:val="none"/>
        </w:rPr>
      </w:pPr>
      <w:r>
        <w:rPr>
          <w:rFonts w:hint="eastAsia" w:ascii="仿宋_GB2312" w:hAnsi="宋体" w:eastAsia="仿宋_GB2312"/>
          <w:color w:val="auto"/>
          <w:szCs w:val="32"/>
          <w:highlight w:val="none"/>
        </w:rPr>
        <w:t>其他条款按照双方签订的</w:t>
      </w:r>
      <w:r>
        <w:rPr>
          <w:rFonts w:hint="eastAsia" w:ascii="仿宋_GB2312" w:eastAsia="仿宋_GB2312"/>
          <w:color w:val="auto"/>
          <w:szCs w:val="44"/>
          <w:highlight w:val="none"/>
        </w:rPr>
        <w:t>合同执行。</w:t>
      </w: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p>
    <w:p>
      <w:pPr>
        <w:keepNext w:val="0"/>
        <w:keepLines w:val="0"/>
        <w:pageBreakBefore w:val="0"/>
        <w:shd w:val="clear"/>
        <w:kinsoku/>
        <w:wordWrap/>
        <w:overflowPunct/>
        <w:topLinePunct w:val="0"/>
        <w:autoSpaceDE/>
        <w:autoSpaceDN/>
        <w:bidi w:val="0"/>
        <w:snapToGrid/>
        <w:spacing w:line="560" w:lineRule="exact"/>
        <w:ind w:firstLine="640" w:firstLineChars="200"/>
        <w:jc w:val="lef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附件：1</w:t>
      </w:r>
      <w:r>
        <w:rPr>
          <w:rFonts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rPr>
        <w:t>报价函</w:t>
      </w:r>
    </w:p>
    <w:p>
      <w:pPr>
        <w:keepNext w:val="0"/>
        <w:keepLines w:val="0"/>
        <w:pageBreakBefore w:val="0"/>
        <w:shd w:val="clear"/>
        <w:kinsoku/>
        <w:wordWrap/>
        <w:overflowPunct/>
        <w:topLinePunct w:val="0"/>
        <w:autoSpaceDE/>
        <w:autoSpaceDN/>
        <w:bidi w:val="0"/>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投标承诺书</w:t>
      </w:r>
    </w:p>
    <w:p>
      <w:pPr>
        <w:keepNext w:val="0"/>
        <w:keepLines w:val="0"/>
        <w:pageBreakBefore w:val="0"/>
        <w:shd w:val="clear"/>
        <w:kinsoku/>
        <w:wordWrap/>
        <w:overflowPunct/>
        <w:topLinePunct w:val="0"/>
        <w:autoSpaceDE/>
        <w:autoSpaceDN/>
        <w:bidi w:val="0"/>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w:t>
      </w:r>
    </w:p>
    <w:p>
      <w:pPr>
        <w:keepNext w:val="0"/>
        <w:keepLines w:val="0"/>
        <w:pageBreakBefore w:val="0"/>
        <w:shd w:val="clear"/>
        <w:kinsoku/>
        <w:wordWrap/>
        <w:overflowPunct/>
        <w:topLinePunct w:val="0"/>
        <w:autoSpaceDE/>
        <w:autoSpaceDN/>
        <w:bidi w:val="0"/>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4.供应商基本情况表</w:t>
      </w:r>
    </w:p>
    <w:p>
      <w:pPr>
        <w:pStyle w:val="2"/>
        <w:spacing w:line="560" w:lineRule="exact"/>
        <w:jc w:val="left"/>
      </w:pPr>
    </w:p>
    <w:p>
      <w:pPr>
        <w:pStyle w:val="23"/>
        <w:keepNext w:val="0"/>
        <w:keepLines w:val="0"/>
        <w:pageBreakBefore w:val="0"/>
        <w:shd w:val="clear"/>
        <w:kinsoku/>
        <w:wordWrap/>
        <w:overflowPunct/>
        <w:topLinePunct w:val="0"/>
        <w:autoSpaceDE/>
        <w:autoSpaceDN/>
        <w:bidi w:val="0"/>
        <w:snapToGrid/>
        <w:spacing w:line="560" w:lineRule="exact"/>
        <w:jc w:val="left"/>
        <w:rPr>
          <w:color w:val="auto"/>
          <w:highlight w:val="none"/>
        </w:rPr>
      </w:pPr>
    </w:p>
    <w:p>
      <w:pPr>
        <w:keepNext w:val="0"/>
        <w:keepLines w:val="0"/>
        <w:pageBreakBefore w:val="0"/>
        <w:shd w:val="clear"/>
        <w:kinsoku/>
        <w:wordWrap/>
        <w:overflowPunct/>
        <w:topLinePunct w:val="0"/>
        <w:autoSpaceDE/>
        <w:autoSpaceDN/>
        <w:bidi w:val="0"/>
        <w:snapToGrid/>
        <w:spacing w:line="560" w:lineRule="exact"/>
        <w:ind w:right="640" w:firstLine="0" w:firstLineChars="0"/>
        <w:jc w:val="righ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深圳市深汕特别合作区智慧城市</w:t>
      </w:r>
      <w:r>
        <w:rPr>
          <w:rFonts w:hint="eastAsia" w:ascii="仿宋_GB2312" w:hAnsi="仿宋_GB2312" w:eastAsia="仿宋_GB2312" w:cs="仿宋_GB2312"/>
          <w:color w:val="auto"/>
          <w:szCs w:val="32"/>
          <w:highlight w:val="none"/>
          <w:lang w:val="en-US" w:eastAsia="zh-CN"/>
        </w:rPr>
        <w:t>建设管理服务中心</w:t>
      </w:r>
    </w:p>
    <w:p>
      <w:pPr>
        <w:keepNext w:val="0"/>
        <w:keepLines w:val="0"/>
        <w:pageBreakBefore w:val="0"/>
        <w:shd w:val="clear"/>
        <w:kinsoku/>
        <w:wordWrap/>
        <w:overflowPunct/>
        <w:topLinePunct w:val="0"/>
        <w:autoSpaceDE/>
        <w:autoSpaceDN/>
        <w:bidi w:val="0"/>
        <w:snapToGrid/>
        <w:spacing w:line="560" w:lineRule="exact"/>
        <w:ind w:right="1906" w:firstLine="3200" w:firstLineChars="1000"/>
        <w:jc w:val="righ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2025</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lang w:val="en-US" w:eastAsia="zh-CN"/>
        </w:rPr>
        <w:t>24</w:t>
      </w:r>
      <w:r>
        <w:rPr>
          <w:rFonts w:hint="eastAsia" w:ascii="仿宋_GB2312" w:hAnsi="仿宋_GB2312" w:eastAsia="仿宋_GB2312" w:cs="仿宋_GB2312"/>
          <w:color w:val="auto"/>
          <w:szCs w:val="32"/>
          <w:highlight w:val="none"/>
        </w:rPr>
        <w:t>日</w:t>
      </w:r>
    </w:p>
    <w:bookmarkEnd w:id="0"/>
    <w:p>
      <w:pPr>
        <w:shd w:val="clear"/>
        <w:spacing w:line="240" w:lineRule="auto"/>
        <w:ind w:right="0" w:firstLine="0" w:firstLineChars="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br w:type="page"/>
      </w:r>
    </w:p>
    <w:p>
      <w:pPr>
        <w:keepNext w:val="0"/>
        <w:keepLines w:val="0"/>
        <w:pageBreakBefore w:val="0"/>
        <w:widowControl w:val="0"/>
        <w:shd w:val="clear"/>
        <w:kinsoku/>
        <w:overflowPunct/>
        <w:topLinePunct w:val="0"/>
        <w:autoSpaceDE/>
        <w:autoSpaceDN/>
        <w:bidi w:val="0"/>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44"/>
          <w:szCs w:val="44"/>
          <w:highlight w:val="none"/>
          <w:u w:val="single"/>
          <w:lang w:val="en-US" w:eastAsia="zh-CN"/>
        </w:rPr>
      </w:pPr>
      <w:r>
        <w:rPr>
          <w:rFonts w:hint="eastAsia" w:ascii="黑体" w:hAnsi="黑体" w:eastAsia="黑体"/>
          <w:color w:val="auto"/>
          <w:sz w:val="44"/>
          <w:szCs w:val="44"/>
          <w:highlight w:val="none"/>
        </w:rPr>
        <w:t>深圳市深汕特别合作区智慧城市</w:t>
      </w:r>
      <w:r>
        <w:rPr>
          <w:rFonts w:hint="eastAsia" w:ascii="黑体" w:hAnsi="黑体" w:eastAsia="黑体"/>
          <w:color w:val="auto"/>
          <w:sz w:val="44"/>
          <w:szCs w:val="44"/>
          <w:highlight w:val="none"/>
          <w:lang w:val="en-US" w:eastAsia="zh-CN"/>
        </w:rPr>
        <w:t>建设管理服务中心</w:t>
      </w:r>
      <w:r>
        <w:rPr>
          <w:rFonts w:hint="eastAsia" w:ascii="黑体" w:hAnsi="黑体" w:eastAsia="黑体"/>
          <w:color w:val="auto"/>
          <w:sz w:val="44"/>
          <w:szCs w:val="44"/>
          <w:highlight w:val="none"/>
        </w:rPr>
        <w:t>关于</w:t>
      </w:r>
      <w:r>
        <w:rPr>
          <w:rFonts w:hint="eastAsia" w:ascii="黑体" w:hAnsi="黑体" w:eastAsia="黑体"/>
          <w:color w:val="auto"/>
          <w:sz w:val="44"/>
          <w:szCs w:val="44"/>
          <w:highlight w:val="none"/>
          <w:u w:val="single"/>
          <w:lang w:val="en-US" w:eastAsia="zh-CN"/>
        </w:rPr>
        <w:t>2025年度深汕特别合作区</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u w:val="single"/>
          <w:lang w:val="en-US" w:eastAsia="zh-CN"/>
        </w:rPr>
        <w:t>信息网络招商专班尽职调查服务</w:t>
      </w:r>
      <w:r>
        <w:rPr>
          <w:rFonts w:hint="eastAsia" w:ascii="黑体" w:hAnsi="黑体" w:eastAsia="黑体"/>
          <w:color w:val="auto"/>
          <w:sz w:val="44"/>
          <w:szCs w:val="44"/>
          <w:highlight w:val="none"/>
          <w:lang w:val="en-US" w:eastAsia="zh-CN"/>
        </w:rPr>
        <w:t>项目</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ascii="黑体" w:hAnsi="黑体" w:eastAsia="黑体"/>
          <w:color w:val="auto"/>
          <w:sz w:val="44"/>
          <w:szCs w:val="44"/>
          <w:highlight w:val="none"/>
        </w:rPr>
      </w:pPr>
      <w:r>
        <w:rPr>
          <w:rFonts w:hint="eastAsia" w:ascii="黑体" w:hAnsi="黑体" w:eastAsia="黑体"/>
          <w:color w:val="auto"/>
          <w:sz w:val="44"/>
          <w:szCs w:val="44"/>
          <w:highlight w:val="none"/>
        </w:rPr>
        <w:t>投标单位报价函</w:t>
      </w:r>
    </w:p>
    <w:p>
      <w:pPr>
        <w:keepNext w:val="0"/>
        <w:keepLines w:val="0"/>
        <w:pageBreakBefore w:val="0"/>
        <w:widowControl w:val="0"/>
        <w:shd w:val="clear"/>
        <w:kinsoku/>
        <w:overflowPunct/>
        <w:topLinePunct w:val="0"/>
        <w:autoSpaceDE/>
        <w:autoSpaceDN/>
        <w:bidi w:val="0"/>
        <w:spacing w:line="560" w:lineRule="exact"/>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致</w:t>
      </w:r>
      <w:r>
        <w:rPr>
          <w:rFonts w:hint="eastAsia" w:ascii="仿宋_GB2312" w:hAnsi="仿宋_GB2312" w:eastAsia="仿宋_GB2312" w:cs="仿宋_GB2312"/>
          <w:b/>
          <w:bCs/>
          <w:color w:val="auto"/>
          <w:szCs w:val="32"/>
          <w:highlight w:val="none"/>
          <w:u w:val="single"/>
        </w:rPr>
        <w:t>深圳市深汕特别合作区智慧城市</w:t>
      </w:r>
      <w:r>
        <w:rPr>
          <w:rFonts w:hint="eastAsia" w:ascii="仿宋_GB2312" w:hAnsi="仿宋_GB2312" w:eastAsia="仿宋_GB2312" w:cs="仿宋_GB2312"/>
          <w:b/>
          <w:bCs/>
          <w:color w:val="auto"/>
          <w:szCs w:val="32"/>
          <w:highlight w:val="none"/>
          <w:u w:val="single"/>
          <w:lang w:val="en-US" w:eastAsia="zh-CN"/>
        </w:rPr>
        <w:t>建设管理服务中心</w:t>
      </w:r>
      <w:r>
        <w:rPr>
          <w:rFonts w:hint="eastAsia" w:ascii="仿宋_GB2312" w:hAnsi="仿宋_GB2312" w:eastAsia="仿宋_GB2312" w:cs="仿宋_GB2312"/>
          <w:color w:val="auto"/>
          <w:szCs w:val="32"/>
          <w:highlight w:val="none"/>
        </w:rPr>
        <w:t>：</w:t>
      </w:r>
    </w:p>
    <w:p>
      <w:pPr>
        <w:keepNext w:val="0"/>
        <w:keepLines w:val="0"/>
        <w:pageBreakBefore w:val="0"/>
        <w:widowControl w:val="0"/>
        <w:shd w:val="clear"/>
        <w:kinsoku/>
        <w:overflowPunct/>
        <w:topLinePunct w:val="0"/>
        <w:autoSpaceDE/>
        <w:autoSpaceDN/>
        <w:bidi w:val="0"/>
        <w:spacing w:line="560" w:lineRule="exact"/>
        <w:ind w:left="-746" w:leftChars="-295" w:hanging="198" w:hangingChars="62"/>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auto"/>
          <w:szCs w:val="32"/>
          <w:highlight w:val="none"/>
          <w:u w:val="single"/>
        </w:rPr>
      </w:pPr>
      <w:r>
        <w:rPr>
          <w:rFonts w:hint="eastAsia" w:ascii="仿宋_GB2312" w:eastAsia="仿宋_GB2312"/>
          <w:color w:val="auto"/>
          <w:szCs w:val="32"/>
          <w:highlight w:val="none"/>
          <w:u w:val="single"/>
          <w:lang w:val="en-US" w:eastAsia="zh-CN"/>
        </w:rPr>
        <w:t>2025年度深汕特别合作区信息网络招商专班尽职调查服务</w:t>
      </w:r>
      <w:r>
        <w:rPr>
          <w:rFonts w:hint="eastAsia" w:ascii="仿宋_GB2312" w:eastAsia="仿宋_GB2312"/>
          <w:color w:val="auto"/>
          <w:szCs w:val="32"/>
          <w:highlight w:val="none"/>
          <w:lang w:eastAsia="zh-CN"/>
        </w:rPr>
        <w:t>项目</w:t>
      </w:r>
      <w:r>
        <w:rPr>
          <w:rFonts w:hint="eastAsia" w:ascii="仿宋_GB2312" w:eastAsia="仿宋_GB2312"/>
          <w:color w:val="auto"/>
          <w:szCs w:val="44"/>
          <w:highlight w:val="none"/>
        </w:rPr>
        <w:t>，我单</w:t>
      </w:r>
      <w:r>
        <w:rPr>
          <w:rFonts w:hint="eastAsia" w:ascii="仿宋_GB2312" w:hAnsi="仿宋_GB2312" w:eastAsia="仿宋_GB2312" w:cs="仿宋_GB2312"/>
          <w:color w:val="auto"/>
          <w:szCs w:val="32"/>
          <w:highlight w:val="none"/>
        </w:rPr>
        <w:t>位愿意按照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中的要求，以</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u w:val="single"/>
          <w:lang w:val="en-US" w:eastAsia="zh-CN"/>
        </w:rPr>
        <w:t xml:space="preserve">          </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的价格承包该项目</w:t>
      </w:r>
      <w:r>
        <w:rPr>
          <w:rFonts w:hint="eastAsia" w:ascii="仿宋_GB2312" w:eastAsia="仿宋_GB2312"/>
          <w:color w:val="auto"/>
          <w:szCs w:val="32"/>
          <w:highlight w:val="none"/>
        </w:rPr>
        <w:t>。</w:t>
      </w:r>
      <w:r>
        <w:rPr>
          <w:rFonts w:hint="eastAsia" w:ascii="仿宋_GB2312" w:eastAsia="仿宋_GB2312"/>
          <w:color w:val="auto"/>
          <w:szCs w:val="44"/>
          <w:highlight w:val="none"/>
        </w:rPr>
        <w:t>最终结算价不得超过暂估价（本次</w:t>
      </w:r>
      <w:r>
        <w:rPr>
          <w:rFonts w:hint="eastAsia" w:ascii="仿宋_GB2312" w:eastAsia="仿宋_GB2312"/>
          <w:color w:val="auto"/>
          <w:szCs w:val="32"/>
          <w:highlight w:val="none"/>
          <w:u w:val="single"/>
          <w:lang w:val="en-US" w:eastAsia="zh-CN"/>
        </w:rPr>
        <w:t xml:space="preserve">         </w:t>
      </w:r>
      <w:r>
        <w:rPr>
          <w:rFonts w:hint="eastAsia" w:ascii="仿宋_GB2312" w:eastAsia="仿宋_GB2312"/>
          <w:color w:val="auto"/>
          <w:szCs w:val="32"/>
          <w:highlight w:val="none"/>
          <w:lang w:eastAsia="zh-CN"/>
        </w:rPr>
        <w:t>项目</w:t>
      </w:r>
      <w:r>
        <w:rPr>
          <w:rFonts w:hint="eastAsia" w:ascii="仿宋_GB2312" w:eastAsia="仿宋_GB2312"/>
          <w:color w:val="auto"/>
          <w:szCs w:val="44"/>
          <w:highlight w:val="none"/>
        </w:rPr>
        <w:t>费用暂估价为</w:t>
      </w:r>
      <w:r>
        <w:rPr>
          <w:rFonts w:hint="eastAsia" w:ascii="仿宋_GB2312" w:eastAsia="仿宋_GB2312"/>
          <w:color w:val="auto"/>
          <w:szCs w:val="44"/>
          <w:highlight w:val="none"/>
          <w:lang w:val="en-US" w:eastAsia="zh-CN"/>
        </w:rPr>
        <w:t>￥</w:t>
      </w:r>
      <w:r>
        <w:rPr>
          <w:rFonts w:hint="eastAsia" w:ascii="仿宋_GB2312" w:eastAsia="仿宋_GB2312"/>
          <w:color w:val="auto"/>
          <w:szCs w:val="44"/>
          <w:highlight w:val="none"/>
          <w:u w:val="single"/>
          <w:lang w:val="en-US" w:eastAsia="zh-CN"/>
        </w:rPr>
        <w:t xml:space="preserve">            </w:t>
      </w:r>
      <w:r>
        <w:rPr>
          <w:rFonts w:hint="eastAsia" w:ascii="仿宋_GB2312" w:hAnsi="仿宋_GB2312" w:eastAsia="仿宋_GB2312"/>
          <w:sz w:val="32"/>
          <w:szCs w:val="32"/>
          <w:lang w:bidi="ar"/>
        </w:rPr>
        <w:t>元</w:t>
      </w:r>
      <w:r>
        <w:rPr>
          <w:rFonts w:hint="eastAsia" w:ascii="仿宋_GB2312" w:eastAsia="仿宋_GB2312"/>
          <w:color w:val="auto"/>
          <w:szCs w:val="44"/>
          <w:highlight w:val="none"/>
        </w:rPr>
        <w:t>），增值税</w:t>
      </w:r>
      <w:r>
        <w:rPr>
          <w:rFonts w:hint="eastAsia" w:ascii="仿宋_GB2312" w:eastAsia="仿宋_GB2312"/>
          <w:color w:val="auto"/>
          <w:szCs w:val="44"/>
          <w:highlight w:val="none"/>
          <w:lang w:val="en-US" w:eastAsia="zh-CN"/>
        </w:rPr>
        <w:t>普</w:t>
      </w:r>
      <w:r>
        <w:rPr>
          <w:rFonts w:hint="eastAsia" w:ascii="仿宋_GB2312" w:eastAsia="仿宋_GB2312"/>
          <w:color w:val="auto"/>
          <w:szCs w:val="44"/>
          <w:highlight w:val="none"/>
        </w:rPr>
        <w:t>票的税金由我单位承担。</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投标单位：</w:t>
      </w:r>
      <w:r>
        <w:rPr>
          <w:rFonts w:hint="eastAsia" w:ascii="仿宋_GB2312" w:hAnsi="仿宋_GB2312" w:eastAsia="仿宋_GB2312" w:cs="仿宋_GB2312"/>
          <w:color w:val="auto"/>
          <w:szCs w:val="32"/>
          <w:highlight w:val="none"/>
          <w:u w:val="single"/>
        </w:rPr>
        <w:t xml:space="preserve">                       （盖章）</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pPr>
        <w:shd w:val="clear"/>
        <w:rPr>
          <w:rFonts w:ascii="黑体" w:eastAsia="黑体"/>
          <w:b/>
          <w:snapToGrid w:val="0"/>
          <w:color w:val="auto"/>
          <w:kern w:val="0"/>
          <w:sz w:val="44"/>
          <w:szCs w:val="44"/>
          <w:highlight w:val="none"/>
        </w:rPr>
      </w:pPr>
      <w:r>
        <w:rPr>
          <w:rFonts w:hint="eastAsia" w:ascii="黑体" w:eastAsia="黑体"/>
          <w:b/>
          <w:snapToGrid w:val="0"/>
          <w:color w:val="auto"/>
          <w:kern w:val="0"/>
          <w:sz w:val="44"/>
          <w:szCs w:val="44"/>
          <w:highlight w:val="none"/>
        </w:rPr>
        <w:br w:type="page"/>
      </w:r>
    </w:p>
    <w:p>
      <w:pPr>
        <w:keepNext w:val="0"/>
        <w:keepLines w:val="0"/>
        <w:pageBreakBefore w:val="0"/>
        <w:widowControl w:val="0"/>
        <w:shd w:val="clear"/>
        <w:kinsoku/>
        <w:overflowPunct/>
        <w:topLinePunct w:val="0"/>
        <w:autoSpaceDE/>
        <w:autoSpaceDN/>
        <w:bidi w:val="0"/>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ascii="黑体" w:eastAsia="黑体"/>
          <w:b/>
          <w:snapToGrid w:val="0"/>
          <w:color w:val="auto"/>
          <w:kern w:val="0"/>
          <w:sz w:val="44"/>
          <w:szCs w:val="44"/>
          <w:highlight w:val="none"/>
        </w:rPr>
      </w:pPr>
      <w:r>
        <w:rPr>
          <w:rFonts w:hint="eastAsia" w:ascii="黑体" w:eastAsia="黑体"/>
          <w:b w:val="0"/>
          <w:bCs/>
          <w:snapToGrid w:val="0"/>
          <w:color w:val="auto"/>
          <w:kern w:val="0"/>
          <w:sz w:val="44"/>
          <w:szCs w:val="44"/>
          <w:highlight w:val="none"/>
        </w:rPr>
        <w:t>投 标 承 诺 书</w:t>
      </w:r>
    </w:p>
    <w:p>
      <w:pPr>
        <w:keepNext w:val="0"/>
        <w:keepLines w:val="0"/>
        <w:pageBreakBefore w:val="0"/>
        <w:widowControl w:val="0"/>
        <w:shd w:val="clear"/>
        <w:kinsoku/>
        <w:overflowPunct/>
        <w:topLinePunct w:val="0"/>
        <w:autoSpaceDE/>
        <w:autoSpaceDN/>
        <w:bidi w:val="0"/>
        <w:spacing w:line="560" w:lineRule="exact"/>
        <w:jc w:val="left"/>
        <w:textAlignment w:val="auto"/>
        <w:rPr>
          <w:rFonts w:ascii="仿宋" w:hAnsi="仿宋" w:cs="仿宋"/>
          <w:color w:val="auto"/>
          <w:szCs w:val="32"/>
          <w:highlight w:val="none"/>
        </w:rPr>
      </w:pPr>
      <w:r>
        <w:rPr>
          <w:rFonts w:hint="eastAsia" w:ascii="仿宋" w:hAnsi="仿宋" w:cs="仿宋"/>
          <w:color w:val="auto"/>
          <w:szCs w:val="32"/>
          <w:highlight w:val="none"/>
        </w:rPr>
        <w:t>致：</w:t>
      </w:r>
      <w:r>
        <w:rPr>
          <w:rFonts w:hint="eastAsia" w:ascii="仿宋" w:hAnsi="仿宋" w:cs="仿宋"/>
          <w:color w:val="auto"/>
          <w:szCs w:val="32"/>
          <w:highlight w:val="none"/>
          <w:u w:val="single"/>
        </w:rPr>
        <w:t>深圳市深汕特别合作区智慧城市</w:t>
      </w:r>
      <w:r>
        <w:rPr>
          <w:rFonts w:hint="eastAsia" w:ascii="仿宋" w:hAnsi="仿宋" w:cs="仿宋"/>
          <w:color w:val="auto"/>
          <w:szCs w:val="32"/>
          <w:highlight w:val="none"/>
          <w:u w:val="single"/>
          <w:lang w:val="en-US" w:eastAsia="zh-CN"/>
        </w:rPr>
        <w:t>建设管理服务中心</w:t>
      </w:r>
      <w:r>
        <w:rPr>
          <w:rFonts w:hint="eastAsia" w:ascii="仿宋" w:hAnsi="仿宋" w:cs="仿宋"/>
          <w:color w:val="auto"/>
          <w:szCs w:val="32"/>
          <w:highlight w:val="none"/>
          <w:u w:val="single"/>
        </w:rPr>
        <w:t xml:space="preserve"> </w:t>
      </w:r>
    </w:p>
    <w:p>
      <w:pPr>
        <w:keepNext w:val="0"/>
        <w:keepLines w:val="0"/>
        <w:pageBreakBefore w:val="0"/>
        <w:widowControl w:val="0"/>
        <w:shd w:val="clear"/>
        <w:kinsoku/>
        <w:overflowPunct/>
        <w:topLinePunct w:val="0"/>
        <w:autoSpaceDE/>
        <w:autoSpaceDN/>
        <w:bidi w:val="0"/>
        <w:spacing w:line="560" w:lineRule="exact"/>
        <w:ind w:firstLine="640" w:firstLineChars="200"/>
        <w:jc w:val="left"/>
        <w:textAlignment w:val="auto"/>
        <w:rPr>
          <w:rFonts w:ascii="仿宋" w:hAnsi="仿宋" w:cs="仿宋"/>
          <w:color w:val="auto"/>
          <w:szCs w:val="32"/>
          <w:highlight w:val="none"/>
        </w:rPr>
      </w:pPr>
      <w:r>
        <w:rPr>
          <w:rFonts w:hint="eastAsia" w:ascii="仿宋" w:hAnsi="仿宋" w:cs="仿宋"/>
          <w:color w:val="auto"/>
          <w:szCs w:val="32"/>
          <w:highlight w:val="none"/>
        </w:rPr>
        <w:t>我方已仔细研究</w:t>
      </w:r>
      <w:r>
        <w:rPr>
          <w:rFonts w:hint="eastAsia" w:ascii="仿宋" w:hAnsi="仿宋" w:cs="仿宋"/>
          <w:bCs/>
          <w:color w:val="auto"/>
          <w:szCs w:val="32"/>
          <w:highlight w:val="none"/>
        </w:rPr>
        <w:t>关于</w:t>
      </w:r>
      <w:r>
        <w:rPr>
          <w:rFonts w:hint="eastAsia" w:ascii="仿宋_GB2312"/>
          <w:color w:val="auto"/>
          <w:szCs w:val="32"/>
          <w:highlight w:val="none"/>
          <w:u w:val="single"/>
          <w:lang w:val="en-US" w:eastAsia="zh-CN"/>
        </w:rPr>
        <w:t>2025年度深汕特别合作区信息网络招商专班尽职调查服务</w:t>
      </w:r>
      <w:r>
        <w:rPr>
          <w:rFonts w:hint="eastAsia" w:ascii="仿宋_GB2312"/>
          <w:color w:val="auto"/>
          <w:szCs w:val="32"/>
          <w:highlight w:val="none"/>
          <w:u w:val="none"/>
          <w:lang w:eastAsia="zh-CN"/>
        </w:rPr>
        <w:t>项目</w:t>
      </w:r>
      <w:r>
        <w:rPr>
          <w:rFonts w:hint="eastAsia" w:ascii="仿宋_GB2312"/>
          <w:color w:val="auto"/>
          <w:szCs w:val="32"/>
          <w:highlight w:val="none"/>
          <w:u w:val="none"/>
          <w:lang w:val="en-US" w:eastAsia="zh-CN"/>
        </w:rPr>
        <w:t>的采购文件</w:t>
      </w:r>
      <w:r>
        <w:rPr>
          <w:rFonts w:hint="eastAsia" w:ascii="仿宋" w:hAnsi="仿宋" w:cs="仿宋"/>
          <w:bCs/>
          <w:color w:val="auto"/>
          <w:szCs w:val="32"/>
          <w:highlight w:val="none"/>
        </w:rPr>
        <w:t>的</w:t>
      </w:r>
      <w:r>
        <w:rPr>
          <w:rFonts w:hint="eastAsia" w:ascii="仿宋" w:hAnsi="仿宋" w:cs="仿宋"/>
          <w:color w:val="auto"/>
          <w:szCs w:val="32"/>
          <w:highlight w:val="none"/>
        </w:rPr>
        <w:t>全部内容，包括澄清或者修改文件以及有关附件，我方将严格按照招标文件要求递交符合要求的全部投标文件。</w:t>
      </w:r>
    </w:p>
    <w:p>
      <w:pPr>
        <w:keepNext w:val="0"/>
        <w:keepLines w:val="0"/>
        <w:pageBreakBefore w:val="0"/>
        <w:widowControl w:val="0"/>
        <w:shd w:val="clear"/>
        <w:kinsoku/>
        <w:overflowPunct/>
        <w:topLinePunct w:val="0"/>
        <w:autoSpaceDE/>
        <w:autoSpaceDN/>
        <w:bidi w:val="0"/>
        <w:spacing w:line="560" w:lineRule="exact"/>
        <w:ind w:firstLine="640" w:firstLineChars="200"/>
        <w:jc w:val="left"/>
        <w:textAlignment w:val="auto"/>
        <w:rPr>
          <w:rFonts w:ascii="仿宋" w:hAnsi="仿宋" w:cs="仿宋"/>
          <w:color w:val="auto"/>
          <w:szCs w:val="32"/>
          <w:highlight w:val="none"/>
        </w:rPr>
      </w:pPr>
      <w:r>
        <w:rPr>
          <w:rFonts w:hint="eastAsia" w:ascii="仿宋" w:hAnsi="仿宋" w:cs="仿宋"/>
          <w:color w:val="auto"/>
          <w:szCs w:val="32"/>
          <w:highlight w:val="none"/>
        </w:rPr>
        <w:t>我方作出如下承诺：</w:t>
      </w:r>
    </w:p>
    <w:p>
      <w:pPr>
        <w:keepNext w:val="0"/>
        <w:keepLines w:val="0"/>
        <w:pageBreakBefore w:val="0"/>
        <w:widowControl w:val="0"/>
        <w:shd w:val="clear"/>
        <w:kinsoku/>
        <w:overflowPunct/>
        <w:topLinePunct w:val="0"/>
        <w:autoSpaceDE/>
        <w:autoSpaceDN/>
        <w:bidi w:val="0"/>
        <w:spacing w:line="560" w:lineRule="exact"/>
        <w:ind w:firstLine="640" w:firstLineChars="200"/>
        <w:jc w:val="left"/>
        <w:textAlignment w:val="auto"/>
        <w:rPr>
          <w:rFonts w:ascii="宋体" w:hAnsi="宋体" w:cs="方正小标宋简体"/>
          <w:b/>
          <w:color w:val="auto"/>
          <w:sz w:val="44"/>
          <w:szCs w:val="44"/>
          <w:highlight w:val="none"/>
        </w:rPr>
      </w:pPr>
      <w:r>
        <w:rPr>
          <w:rFonts w:hint="eastAsia" w:ascii="仿宋" w:hAnsi="仿宋" w:cs="仿宋"/>
          <w:color w:val="auto"/>
          <w:szCs w:val="32"/>
          <w:highlight w:val="none"/>
        </w:rPr>
        <w:t>1、我方根据企业自身情况，承诺理性报价，不以低于成本的报价竞标，并愿以</w:t>
      </w:r>
      <w:r>
        <w:rPr>
          <w:rFonts w:hint="eastAsia" w:ascii="仿宋" w:hAnsi="仿宋" w:cs="仿宋"/>
          <w:color w:val="auto"/>
          <w:szCs w:val="32"/>
          <w:highlight w:val="none"/>
          <w:u w:val="single"/>
        </w:rPr>
        <w:t xml:space="preserve">    </w:t>
      </w:r>
      <w:r>
        <w:rPr>
          <w:rFonts w:ascii="仿宋" w:hAnsi="仿宋" w:cs="仿宋"/>
          <w:color w:val="auto"/>
          <w:szCs w:val="32"/>
          <w:highlight w:val="none"/>
          <w:u w:val="single"/>
        </w:rPr>
        <w:t xml:space="preserve">  </w:t>
      </w:r>
      <w:r>
        <w:rPr>
          <w:rFonts w:hint="eastAsia" w:ascii="仿宋" w:hAnsi="仿宋" w:cs="仿宋"/>
          <w:color w:val="auto"/>
          <w:szCs w:val="32"/>
          <w:highlight w:val="none"/>
        </w:rPr>
        <w:t>元人民币（含税），按照</w:t>
      </w:r>
      <w:r>
        <w:rPr>
          <w:rFonts w:hint="eastAsia" w:ascii="仿宋" w:hAnsi="仿宋" w:cs="仿宋"/>
          <w:color w:val="auto"/>
          <w:szCs w:val="32"/>
          <w:highlight w:val="none"/>
          <w:lang w:eastAsia="zh-CN"/>
        </w:rPr>
        <w:t>采购文件</w:t>
      </w:r>
      <w:r>
        <w:rPr>
          <w:rFonts w:hint="eastAsia" w:ascii="仿宋" w:hAnsi="仿宋" w:cs="仿宋"/>
          <w:color w:val="auto"/>
          <w:szCs w:val="32"/>
          <w:highlight w:val="none"/>
        </w:rPr>
        <w:t>的要求承包本项目，发包人保留调整发包范围的权利，我方无异议。否则，我方愿意承担</w:t>
      </w:r>
      <w:r>
        <w:rPr>
          <w:rFonts w:hint="eastAsia" w:ascii="仿宋" w:hAnsi="仿宋" w:cs="仿宋"/>
          <w:bCs/>
          <w:color w:val="auto"/>
          <w:szCs w:val="32"/>
          <w:highlight w:val="none"/>
        </w:rPr>
        <w:t>任何风险。</w:t>
      </w:r>
    </w:p>
    <w:p>
      <w:pPr>
        <w:pStyle w:val="10"/>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2、我方保证</w:t>
      </w:r>
      <w:r>
        <w:rPr>
          <w:rFonts w:hint="eastAsia" w:ascii="仿宋" w:hAnsi="仿宋" w:eastAsia="仿宋" w:cs="仿宋"/>
          <w:bCs/>
          <w:color w:val="auto"/>
          <w:sz w:val="32"/>
          <w:szCs w:val="32"/>
          <w:highlight w:val="none"/>
          <w:lang w:val="en-US" w:eastAsia="zh-CN"/>
        </w:rPr>
        <w:t>按</w:t>
      </w:r>
      <w:r>
        <w:rPr>
          <w:rFonts w:hint="eastAsia" w:ascii="仿宋" w:hAnsi="仿宋" w:eastAsia="仿宋" w:cs="仿宋"/>
          <w:bCs/>
          <w:color w:val="auto"/>
          <w:sz w:val="32"/>
          <w:szCs w:val="32"/>
          <w:highlight w:val="none"/>
          <w:u w:val="none"/>
          <w:lang w:val="en-US" w:eastAsia="zh-CN"/>
        </w:rPr>
        <w:t>照</w:t>
      </w:r>
      <w:r>
        <w:rPr>
          <w:rFonts w:hint="eastAsia" w:ascii="仿宋" w:hAnsi="仿宋" w:eastAsia="仿宋" w:cs="仿宋"/>
          <w:bCs/>
          <w:color w:val="auto"/>
          <w:sz w:val="32"/>
          <w:szCs w:val="32"/>
          <w:highlight w:val="none"/>
          <w:lang w:val="en-US" w:eastAsia="zh-CN"/>
        </w:rPr>
        <w:t>合同约定期限</w:t>
      </w:r>
      <w:r>
        <w:rPr>
          <w:rFonts w:hint="eastAsia" w:ascii="仿宋" w:hAnsi="仿宋" w:eastAsia="仿宋" w:cs="仿宋"/>
          <w:bCs/>
          <w:color w:val="auto"/>
          <w:sz w:val="32"/>
          <w:szCs w:val="32"/>
          <w:highlight w:val="none"/>
        </w:rPr>
        <w:t>完成项目内容（</w:t>
      </w:r>
      <w:r>
        <w:rPr>
          <w:rFonts w:hint="eastAsia" w:ascii="仿宋" w:hAnsi="仿宋" w:eastAsia="仿宋" w:cs="仿宋"/>
          <w:bCs/>
          <w:color w:val="auto"/>
          <w:sz w:val="32"/>
          <w:szCs w:val="32"/>
          <w:highlight w:val="none"/>
          <w:lang w:val="en-US" w:eastAsia="zh-CN"/>
        </w:rPr>
        <w:t>具体时间要求以双方合同约定为准</w:t>
      </w:r>
      <w:r>
        <w:rPr>
          <w:rFonts w:hint="eastAsia" w:ascii="仿宋" w:hAnsi="仿宋" w:eastAsia="仿宋" w:cs="仿宋"/>
          <w:bCs/>
          <w:color w:val="auto"/>
          <w:sz w:val="32"/>
          <w:szCs w:val="32"/>
          <w:highlight w:val="none"/>
        </w:rPr>
        <w:t>），因我方原因未能按期完成项目内容的，我方无条件接受贵方按招标文件约定的处罚方式进行处罚</w:t>
      </w:r>
      <w:r>
        <w:rPr>
          <w:rFonts w:hint="eastAsia" w:ascii="仿宋" w:hAnsi="仿宋" w:eastAsia="仿宋" w:cs="仿宋"/>
          <w:color w:val="auto"/>
          <w:sz w:val="32"/>
          <w:szCs w:val="32"/>
          <w:highlight w:val="none"/>
        </w:rPr>
        <w:t>。</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color w:val="auto"/>
          <w:szCs w:val="32"/>
          <w:highlight w:val="none"/>
        </w:rPr>
      </w:pPr>
      <w:r>
        <w:rPr>
          <w:rFonts w:hint="eastAsia" w:ascii="仿宋" w:hAnsi="仿宋" w:cs="仿宋"/>
          <w:bCs/>
          <w:color w:val="auto"/>
          <w:szCs w:val="32"/>
          <w:highlight w:val="none"/>
        </w:rPr>
        <w:t>3、一旦我</w:t>
      </w:r>
      <w:r>
        <w:rPr>
          <w:rFonts w:hint="eastAsia" w:ascii="仿宋" w:hAnsi="仿宋" w:cs="仿宋"/>
          <w:color w:val="auto"/>
          <w:szCs w:val="32"/>
          <w:highlight w:val="none"/>
        </w:rPr>
        <w:t>方中标，将保证在收到中标</w:t>
      </w:r>
      <w:r>
        <w:rPr>
          <w:rFonts w:hint="eastAsia" w:ascii="仿宋" w:hAnsi="仿宋" w:cs="仿宋"/>
          <w:color w:val="auto"/>
          <w:szCs w:val="32"/>
          <w:highlight w:val="none"/>
          <w:lang w:val="en-US" w:eastAsia="zh-CN"/>
        </w:rPr>
        <w:t>结果</w:t>
      </w:r>
      <w:r>
        <w:rPr>
          <w:rFonts w:hint="eastAsia" w:ascii="仿宋" w:hAnsi="仿宋" w:cs="仿宋"/>
          <w:color w:val="auto"/>
          <w:szCs w:val="32"/>
          <w:highlight w:val="none"/>
        </w:rPr>
        <w:t>后</w:t>
      </w:r>
      <w:r>
        <w:rPr>
          <w:rFonts w:hint="eastAsia" w:ascii="仿宋" w:hAnsi="仿宋" w:cs="仿宋"/>
          <w:color w:val="auto"/>
          <w:szCs w:val="32"/>
          <w:highlight w:val="none"/>
          <w:lang w:val="en-US" w:eastAsia="zh-CN"/>
        </w:rPr>
        <w:t>10个工作日</w:t>
      </w:r>
      <w:r>
        <w:rPr>
          <w:rFonts w:hint="eastAsia" w:ascii="仿宋" w:hAnsi="仿宋" w:cs="仿宋"/>
          <w:color w:val="auto"/>
          <w:szCs w:val="32"/>
          <w:highlight w:val="none"/>
        </w:rPr>
        <w:t>内，与贵方按照</w:t>
      </w:r>
      <w:r>
        <w:rPr>
          <w:rFonts w:hint="eastAsia" w:ascii="仿宋" w:hAnsi="仿宋" w:cs="仿宋"/>
          <w:color w:val="auto"/>
          <w:szCs w:val="32"/>
          <w:highlight w:val="none"/>
          <w:lang w:eastAsia="zh-CN"/>
        </w:rPr>
        <w:t>采购文件</w:t>
      </w:r>
      <w:r>
        <w:rPr>
          <w:rFonts w:hint="eastAsia" w:ascii="仿宋" w:hAnsi="仿宋" w:cs="仿宋"/>
          <w:color w:val="auto"/>
          <w:szCs w:val="32"/>
          <w:highlight w:val="none"/>
        </w:rPr>
        <w:t>、</w:t>
      </w:r>
      <w:r>
        <w:rPr>
          <w:rFonts w:hint="eastAsia" w:ascii="仿宋" w:hAnsi="仿宋" w:cs="仿宋"/>
          <w:color w:val="auto"/>
          <w:szCs w:val="32"/>
          <w:highlight w:val="none"/>
          <w:lang w:val="en-US" w:eastAsia="zh-CN"/>
        </w:rPr>
        <w:t>投标报价</w:t>
      </w:r>
      <w:r>
        <w:rPr>
          <w:rFonts w:hint="eastAsia" w:ascii="仿宋" w:hAnsi="仿宋" w:cs="仿宋"/>
          <w:color w:val="auto"/>
          <w:szCs w:val="32"/>
          <w:highlight w:val="none"/>
        </w:rPr>
        <w:t>内容签订合同，否则，视为我方自愿放弃中标资格。</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bCs/>
          <w:color w:val="auto"/>
          <w:szCs w:val="32"/>
          <w:highlight w:val="none"/>
        </w:rPr>
      </w:pPr>
      <w:r>
        <w:rPr>
          <w:rFonts w:hint="eastAsia" w:ascii="仿宋" w:hAnsi="仿宋" w:cs="仿宋"/>
          <w:color w:val="auto"/>
          <w:szCs w:val="32"/>
          <w:highlight w:val="none"/>
        </w:rPr>
        <w:t>4、除非另外达成协议并生效，贵方的中标</w:t>
      </w:r>
      <w:r>
        <w:rPr>
          <w:rFonts w:hint="eastAsia" w:ascii="仿宋" w:hAnsi="仿宋" w:cs="仿宋"/>
          <w:color w:val="auto"/>
          <w:szCs w:val="32"/>
          <w:highlight w:val="none"/>
          <w:lang w:val="en-US" w:eastAsia="zh-CN"/>
        </w:rPr>
        <w:t>结果</w:t>
      </w:r>
      <w:r>
        <w:rPr>
          <w:rFonts w:hint="eastAsia" w:ascii="仿宋" w:hAnsi="仿宋" w:cs="仿宋"/>
          <w:color w:val="auto"/>
          <w:szCs w:val="32"/>
          <w:highlight w:val="none"/>
        </w:rPr>
        <w:t>和本投标文件将成为约束双方的合同文件的组成部分。</w:t>
      </w:r>
    </w:p>
    <w:p>
      <w:pPr>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bCs/>
          <w:color w:val="auto"/>
          <w:szCs w:val="32"/>
          <w:highlight w:val="none"/>
        </w:rPr>
      </w:pPr>
      <w:r>
        <w:rPr>
          <w:rFonts w:hint="eastAsia" w:ascii="仿宋" w:hAnsi="仿宋" w:cs="仿宋"/>
          <w:bCs/>
          <w:color w:val="auto"/>
          <w:szCs w:val="32"/>
          <w:highlight w:val="none"/>
        </w:rPr>
        <w:t>5、我方承诺不向第三方透露与招标相关的所有信息。</w:t>
      </w:r>
    </w:p>
    <w:p>
      <w:pPr>
        <w:keepNext w:val="0"/>
        <w:keepLines w:val="0"/>
        <w:pageBreakBefore w:val="0"/>
        <w:widowControl w:val="0"/>
        <w:shd w:val="clear"/>
        <w:tabs>
          <w:tab w:val="left" w:pos="900"/>
        </w:tabs>
        <w:kinsoku/>
        <w:overflowPunct/>
        <w:topLinePunct w:val="0"/>
        <w:autoSpaceDE/>
        <w:autoSpaceDN/>
        <w:bidi w:val="0"/>
        <w:adjustRightInd w:val="0"/>
        <w:snapToGrid w:val="0"/>
        <w:spacing w:line="560" w:lineRule="exact"/>
        <w:ind w:firstLine="640" w:firstLineChars="200"/>
        <w:jc w:val="left"/>
        <w:textAlignment w:val="auto"/>
        <w:rPr>
          <w:rFonts w:ascii="仿宋" w:hAnsi="仿宋" w:cs="仿宋"/>
          <w:bCs/>
          <w:color w:val="auto"/>
          <w:szCs w:val="32"/>
          <w:highlight w:val="none"/>
        </w:rPr>
      </w:pPr>
      <w:r>
        <w:rPr>
          <w:rFonts w:ascii="仿宋" w:hAnsi="仿宋" w:cs="仿宋"/>
          <w:bCs/>
          <w:color w:val="auto"/>
          <w:szCs w:val="32"/>
          <w:highlight w:val="none"/>
        </w:rPr>
        <w:t>6</w:t>
      </w:r>
      <w:r>
        <w:rPr>
          <w:rFonts w:hint="eastAsia" w:ascii="仿宋" w:hAnsi="仿宋" w:cs="仿宋"/>
          <w:bCs/>
          <w:color w:val="auto"/>
          <w:szCs w:val="32"/>
          <w:highlight w:val="none"/>
        </w:rPr>
        <w:t>、如果违反本承诺书中任何条款，我方愿意接受：</w:t>
      </w:r>
    </w:p>
    <w:p>
      <w:pPr>
        <w:pStyle w:val="10"/>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（1）视作我方单方面违约，并按照合同规定向贵方支付违约金或解除合同；</w:t>
      </w:r>
    </w:p>
    <w:p>
      <w:pPr>
        <w:pStyle w:val="10"/>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（2）履约评价评定为合格及以下；</w:t>
      </w:r>
    </w:p>
    <w:p>
      <w:pPr>
        <w:pStyle w:val="10"/>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（3）本项目招标人今后可拒绝我方参与投标；</w:t>
      </w:r>
    </w:p>
    <w:p>
      <w:pPr>
        <w:pStyle w:val="10"/>
        <w:keepNext w:val="0"/>
        <w:keepLines w:val="0"/>
        <w:pageBreakBefore w:val="0"/>
        <w:widowControl w:val="0"/>
        <w:shd w:val="clear"/>
        <w:kinsoku/>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（4）建设单位行政主管部门或相关主管部门的不良行为记录、行政处罚。</w:t>
      </w:r>
    </w:p>
    <w:p>
      <w:pPr>
        <w:pStyle w:val="10"/>
        <w:keepNext w:val="0"/>
        <w:keepLines w:val="0"/>
        <w:pageBreakBefore w:val="0"/>
        <w:widowControl w:val="0"/>
        <w:shd w:val="clear"/>
        <w:kinsoku/>
        <w:overflowPunct/>
        <w:topLinePunct w:val="0"/>
        <w:autoSpaceDE/>
        <w:autoSpaceDN/>
        <w:bidi w:val="0"/>
        <w:adjustRightInd w:val="0"/>
        <w:snapToGrid w:val="0"/>
        <w:spacing w:line="560" w:lineRule="exact"/>
        <w:ind w:firstLine="480" w:firstLineChars="200"/>
        <w:jc w:val="left"/>
        <w:textAlignment w:val="auto"/>
        <w:rPr>
          <w:rFonts w:hAnsi="宋体"/>
          <w:bCs/>
          <w:color w:val="auto"/>
          <w:sz w:val="24"/>
          <w:szCs w:val="24"/>
          <w:highlight w:val="none"/>
        </w:rPr>
      </w:pPr>
    </w:p>
    <w:p>
      <w:pPr>
        <w:keepNext w:val="0"/>
        <w:keepLines w:val="0"/>
        <w:pageBreakBefore w:val="0"/>
        <w:widowControl w:val="0"/>
        <w:shd w:val="clear"/>
        <w:kinsoku/>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rPr>
      </w:pPr>
    </w:p>
    <w:p>
      <w:pPr>
        <w:keepNext w:val="0"/>
        <w:keepLines w:val="0"/>
        <w:pageBreakBefore w:val="0"/>
        <w:widowControl w:val="0"/>
        <w:shd w:val="clear"/>
        <w:kinsoku/>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pPr>
        <w:keepNext w:val="0"/>
        <w:keepLines w:val="0"/>
        <w:pageBreakBefore w:val="0"/>
        <w:widowControl w:val="0"/>
        <w:shd w:val="clear"/>
        <w:kinsoku/>
        <w:wordWrap w:val="0"/>
        <w:overflowPunct/>
        <w:topLinePunct w:val="0"/>
        <w:autoSpaceDE/>
        <w:autoSpaceDN/>
        <w:bidi w:val="0"/>
        <w:spacing w:line="560" w:lineRule="exact"/>
        <w:ind w:firstLine="560"/>
        <w:jc w:val="right"/>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pPr>
        <w:shd w:val="clear"/>
        <w:rPr>
          <w:rFonts w:ascii="宋体" w:hAnsi="宋体"/>
          <w:b/>
          <w:color w:val="auto"/>
          <w:sz w:val="44"/>
          <w:szCs w:val="44"/>
          <w:highlight w:val="none"/>
        </w:rPr>
      </w:pPr>
    </w:p>
    <w:p>
      <w:pPr>
        <w:bidi w:val="0"/>
        <w:rPr>
          <w:rFonts w:ascii="Times New Roman" w:hAnsi="Times New Roman" w:eastAsia="仿宋" w:cs="Times New Roman"/>
          <w:kern w:val="2"/>
          <w:sz w:val="3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10"/>
        <w:rPr>
          <w:lang w:val="en-US" w:eastAsia="zh-CN"/>
        </w:rPr>
      </w:pPr>
    </w:p>
    <w:p>
      <w:pPr>
        <w:keepNext w:val="0"/>
        <w:keepLines w:val="0"/>
        <w:pageBreakBefore w:val="0"/>
        <w:widowControl w:val="0"/>
        <w:shd w:val="clear"/>
        <w:kinsoku/>
        <w:overflowPunct/>
        <w:topLinePunct w:val="0"/>
        <w:autoSpaceDE/>
        <w:autoSpaceDN/>
        <w:bidi w:val="0"/>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sz w:val="44"/>
          <w:szCs w:val="44"/>
          <w:shd w:val="clear" w:color="auto" w:fill="FFFFFF"/>
          <w:lang w:val="en-US" w:eastAsia="zh-CN"/>
        </w:rPr>
      </w:pPr>
      <w:r>
        <w:rPr>
          <w:rFonts w:hint="eastAsia" w:ascii="黑体" w:hAnsi="黑体" w:eastAsia="黑体" w:cs="黑体"/>
          <w:b w:val="0"/>
          <w:bCs/>
          <w:color w:val="000000"/>
          <w:sz w:val="44"/>
          <w:szCs w:val="44"/>
          <w:highlight w:val="none"/>
          <w:u w:val="single"/>
          <w:shd w:val="clear" w:color="auto" w:fill="FFFFFF"/>
          <w:lang w:val="en-US" w:eastAsia="zh-CN"/>
        </w:rPr>
        <w:t>2025年度深汕特别合作区信息网络招商专班尽职调查服务</w:t>
      </w:r>
      <w:r>
        <w:rPr>
          <w:rFonts w:hint="eastAsia" w:ascii="黑体" w:hAnsi="黑体" w:eastAsia="黑体" w:cs="黑体"/>
          <w:b w:val="0"/>
          <w:bCs/>
          <w:color w:val="000000"/>
          <w:sz w:val="44"/>
          <w:szCs w:val="44"/>
          <w:highlight w:val="none"/>
          <w:shd w:val="clear" w:color="auto" w:fill="FFFFFF"/>
          <w:lang w:eastAsia="zh-CN"/>
        </w:rPr>
        <w:t>项目</w:t>
      </w:r>
      <w:r>
        <w:rPr>
          <w:rFonts w:hint="eastAsia" w:ascii="黑体" w:hAnsi="黑体" w:eastAsia="黑体" w:cs="黑体"/>
          <w:b w:val="0"/>
          <w:bCs/>
          <w:color w:val="000000"/>
          <w:sz w:val="44"/>
          <w:szCs w:val="44"/>
          <w:highlight w:val="none"/>
          <w:shd w:val="clear" w:color="auto" w:fill="FFFFFF"/>
          <w:lang w:val="en-US" w:eastAsia="zh-CN"/>
        </w:rPr>
        <w:t>报价</w:t>
      </w:r>
      <w:r>
        <w:rPr>
          <w:rFonts w:hint="eastAsia" w:ascii="黑体" w:hAnsi="黑体" w:cs="黑体"/>
          <w:b w:val="0"/>
          <w:bCs/>
          <w:color w:val="000000"/>
          <w:sz w:val="44"/>
          <w:szCs w:val="44"/>
          <w:highlight w:val="none"/>
          <w:shd w:val="clear" w:color="auto" w:fill="FFFFFF"/>
          <w:lang w:val="en-US" w:eastAsia="zh-CN"/>
        </w:rPr>
        <w:t>明细表</w:t>
      </w:r>
    </w:p>
    <w:p>
      <w:pPr>
        <w:widowControl/>
        <w:shd w:val="clear" w:color="auto" w:fill="FFFFFF"/>
        <w:spacing w:line="560" w:lineRule="exact"/>
        <w:ind w:firstLine="640" w:firstLineChars="200"/>
        <w:rPr>
          <w:rFonts w:hint="eastAsia" w:ascii="仿宋_GB2312"/>
          <w:color w:val="000000"/>
          <w:kern w:val="0"/>
          <w:szCs w:val="32"/>
          <w:shd w:val="clear" w:color="auto" w:fill="FFFFFF"/>
        </w:rPr>
      </w:pPr>
    </w:p>
    <w:p>
      <w:pPr>
        <w:widowControl/>
        <w:shd w:val="clear" w:color="auto" w:fill="FFFFFF"/>
        <w:spacing w:line="560" w:lineRule="exact"/>
        <w:ind w:firstLine="642" w:firstLineChars="200"/>
        <w:rPr>
          <w:rFonts w:hint="eastAsia" w:ascii="仿宋_GB2312" w:hAnsi="黑体" w:cs="黑体"/>
          <w:b/>
          <w:color w:val="000000"/>
          <w:kern w:val="0"/>
          <w:szCs w:val="32"/>
          <w:shd w:val="clear" w:color="auto" w:fill="FFFFFF"/>
        </w:rPr>
      </w:pPr>
      <w:r>
        <w:rPr>
          <w:rFonts w:hint="eastAsia" w:ascii="仿宋_GB2312" w:hAnsi="黑体" w:cs="黑体"/>
          <w:b/>
          <w:color w:val="000000"/>
          <w:kern w:val="0"/>
          <w:szCs w:val="32"/>
          <w:shd w:val="clear" w:color="auto" w:fill="FFFFFF"/>
        </w:rPr>
        <w:t>一、报价内容</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lang w:val="en-US" w:eastAsia="zh-CN"/>
        </w:rPr>
      </w:pPr>
      <w:r>
        <w:rPr>
          <w:rFonts w:hint="eastAsia" w:ascii="仿宋_GB2312" w:hAnsi="仿宋_GB2312" w:cs="仿宋_GB2312"/>
          <w:color w:val="000000"/>
          <w:kern w:val="0"/>
          <w:szCs w:val="32"/>
          <w:shd w:val="clear" w:color="auto" w:fill="FFFFFF"/>
        </w:rPr>
        <w:t>项目名称：</w:t>
      </w:r>
      <w:r>
        <w:rPr>
          <w:rFonts w:hint="eastAsia" w:ascii="仿宋_GB2312" w:hAnsi="仿宋_GB2312" w:cs="仿宋_GB2312"/>
          <w:b w:val="0"/>
          <w:bCs w:val="0"/>
          <w:color w:val="000000"/>
          <w:sz w:val="32"/>
          <w:szCs w:val="32"/>
          <w:u w:val="single"/>
          <w:shd w:val="clear" w:color="auto" w:fill="FFFFFF"/>
          <w:lang w:val="en-US" w:eastAsia="zh-CN"/>
        </w:rPr>
        <w:t>2025年度深汕特别合作区信息网络招商专班尽职调查服务</w:t>
      </w:r>
      <w:r>
        <w:rPr>
          <w:rFonts w:hint="eastAsia" w:ascii="仿宋_GB2312" w:hAnsi="仿宋_GB2312" w:cs="仿宋_GB2312"/>
          <w:b w:val="0"/>
          <w:bCs w:val="0"/>
          <w:color w:val="000000"/>
          <w:sz w:val="32"/>
          <w:szCs w:val="32"/>
          <w:shd w:val="clear" w:color="auto" w:fill="FFFFFF"/>
          <w:lang w:val="en-US" w:eastAsia="zh-CN"/>
        </w:rPr>
        <w:t>项目</w:t>
      </w:r>
    </w:p>
    <w:p>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cs="仿宋_GB2312"/>
          <w:color w:val="000000"/>
          <w:kern w:val="0"/>
          <w:szCs w:val="32"/>
          <w:shd w:val="clear" w:color="auto" w:fill="FFFFFF"/>
        </w:rPr>
        <w:t>采购单位：深圳市深汕特别合作区智慧城市</w:t>
      </w:r>
      <w:r>
        <w:rPr>
          <w:rFonts w:hint="eastAsia" w:ascii="仿宋_GB2312" w:hAnsi="仿宋_GB2312" w:cs="仿宋_GB2312"/>
          <w:color w:val="000000"/>
          <w:kern w:val="0"/>
          <w:szCs w:val="32"/>
          <w:shd w:val="clear" w:color="auto" w:fill="FFFFFF"/>
          <w:lang w:eastAsia="zh-CN"/>
        </w:rPr>
        <w:t>建设</w:t>
      </w:r>
      <w:r>
        <w:rPr>
          <w:rFonts w:hint="eastAsia" w:ascii="仿宋_GB2312" w:hAnsi="仿宋_GB2312" w:cs="仿宋_GB2312"/>
          <w:color w:val="000000"/>
          <w:kern w:val="0"/>
          <w:szCs w:val="32"/>
          <w:shd w:val="clear" w:color="auto" w:fill="FFFFFF"/>
        </w:rPr>
        <w:t>管理服务中</w:t>
      </w:r>
      <w:r>
        <w:rPr>
          <w:rFonts w:hint="eastAsia" w:ascii="仿宋_GB2312" w:hAnsi="仿宋_GB2312" w:cs="仿宋_GB2312"/>
          <w:color w:val="000000"/>
          <w:kern w:val="0"/>
          <w:szCs w:val="32"/>
          <w:shd w:val="clear" w:color="auto" w:fill="FFFFFF"/>
          <w:lang w:val="en-US" w:eastAsia="zh-CN"/>
        </w:rPr>
        <w:t>心</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报价单位：</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报价（总价）：</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联系人：</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电话：</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邮编：</w:t>
      </w:r>
    </w:p>
    <w:p>
      <w:pPr>
        <w:widowControl/>
        <w:shd w:val="clear" w:color="auto" w:fill="FFFFFF"/>
        <w:spacing w:line="560" w:lineRule="exact"/>
        <w:ind w:firstLine="640" w:firstLineChars="200"/>
        <w:rPr>
          <w:rFonts w:hint="eastAsia"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地址：</w:t>
      </w:r>
    </w:p>
    <w:p>
      <w:pPr>
        <w:widowControl/>
        <w:shd w:val="clear" w:color="auto" w:fill="FFFFFF"/>
        <w:spacing w:line="560" w:lineRule="exact"/>
        <w:jc w:val="left"/>
        <w:rPr>
          <w:rFonts w:ascii="仿宋_GB2312" w:hAnsi="黑体" w:eastAsia="仿宋_GB2312"/>
          <w:b/>
          <w:bCs/>
          <w:color w:val="000000"/>
          <w:kern w:val="0"/>
          <w:sz w:val="32"/>
          <w:shd w:val="clear" w:color="auto" w:fill="FFFFFF"/>
        </w:rPr>
      </w:pPr>
      <w:r>
        <w:rPr>
          <w:rFonts w:hint="eastAsia" w:ascii="仿宋_GB2312" w:hAnsi="黑体" w:eastAsia="仿宋_GB2312"/>
          <w:b/>
          <w:bCs/>
          <w:color w:val="000000"/>
          <w:kern w:val="0"/>
          <w:sz w:val="32"/>
          <w:shd w:val="clear" w:color="auto" w:fill="FFFFFF"/>
        </w:rPr>
        <w:t>二、报价明细</w:t>
      </w:r>
    </w:p>
    <w:p>
      <w:pPr>
        <w:adjustRightInd w:val="0"/>
        <w:spacing w:line="480" w:lineRule="atLeast"/>
        <w:ind w:firstLine="640" w:firstLineChars="200"/>
        <w:jc w:val="left"/>
        <w:textAlignment w:val="baseline"/>
        <w:rPr>
          <w:rFonts w:ascii="仿宋_GB2312" w:hAnsi="Times New Roman" w:eastAsia="仿宋_GB2312"/>
          <w:kern w:val="0"/>
          <w:sz w:val="32"/>
          <w:szCs w:val="21"/>
        </w:rPr>
      </w:pPr>
      <w:r>
        <w:rPr>
          <w:rFonts w:hint="eastAsia" w:ascii="仿宋_GB2312" w:hAnsi="Times New Roman" w:eastAsia="仿宋_GB2312"/>
          <w:kern w:val="0"/>
          <w:sz w:val="32"/>
          <w:szCs w:val="21"/>
        </w:rPr>
        <w:t>（一）报价明细</w:t>
      </w:r>
    </w:p>
    <w:p>
      <w:pPr>
        <w:pStyle w:val="6"/>
        <w:jc w:val="center"/>
        <w:rPr>
          <w:rFonts w:hint="eastAsia" w:eastAsia="宋体"/>
          <w:lang w:eastAsia="zh-CN"/>
        </w:rPr>
      </w:pPr>
      <w:bookmarkStart w:id="2" w:name="_Hlk59894005"/>
      <w:r>
        <w:t xml:space="preserve">表 </w:t>
      </w:r>
      <w:r>
        <w:fldChar w:fldCharType="begin"/>
      </w:r>
      <w:r>
        <w:instrText xml:space="preserve"> SEQ 表 \* ARABIC </w:instrText>
      </w:r>
      <w:r>
        <w:fldChar w:fldCharType="separate"/>
      </w:r>
      <w:r>
        <w:t>4</w:t>
      </w:r>
      <w:r>
        <w:fldChar w:fldCharType="end"/>
      </w:r>
      <w:r>
        <w:rPr>
          <w:rFonts w:hint="eastAsia"/>
          <w:lang w:eastAsia="zh-CN"/>
        </w:rPr>
        <w:t xml:space="preserve"> </w:t>
      </w:r>
      <w:r>
        <w:rPr>
          <w:rFonts w:hint="eastAsia"/>
          <w:lang w:val="en-US" w:eastAsia="zh-CN"/>
        </w:rPr>
        <w:t>项目报价</w:t>
      </w:r>
      <w:r>
        <w:rPr>
          <w:rFonts w:hint="eastAsia"/>
          <w:lang w:eastAsia="zh-CN"/>
        </w:rPr>
        <w:t>明细表</w:t>
      </w:r>
    </w:p>
    <w:bookmarkEnd w:id="2"/>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117"/>
        <w:gridCol w:w="348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bidi="ar"/>
              </w:rPr>
              <w:t>序号</w:t>
            </w:r>
          </w:p>
        </w:tc>
        <w:tc>
          <w:tcPr>
            <w:tcW w:w="1242" w:type="pct"/>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cs="仿宋_GB2312"/>
                <w:b/>
                <w:bCs/>
                <w:color w:val="000000"/>
                <w:sz w:val="32"/>
                <w:szCs w:val="32"/>
                <w:lang w:val="en-US" w:eastAsia="zh-CN"/>
              </w:rPr>
              <w:t>服务项目</w:t>
            </w:r>
          </w:p>
        </w:tc>
        <w:tc>
          <w:tcPr>
            <w:tcW w:w="2044" w:type="pct"/>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cs="仿宋_GB2312"/>
                <w:b/>
                <w:bCs/>
                <w:color w:val="000000"/>
                <w:sz w:val="32"/>
                <w:szCs w:val="32"/>
                <w:lang w:val="en-US" w:eastAsia="zh-CN" w:bidi="ar"/>
              </w:rPr>
              <w:t>服务内容</w:t>
            </w:r>
          </w:p>
        </w:tc>
        <w:tc>
          <w:tcPr>
            <w:tcW w:w="1095" w:type="pct"/>
            <w:tcBorders>
              <w:top w:val="single" w:color="auto" w:sz="4" w:space="0"/>
              <w:left w:val="nil"/>
              <w:bottom w:val="single" w:color="auto" w:sz="4" w:space="0"/>
              <w:right w:val="single" w:color="auto" w:sz="4" w:space="0"/>
            </w:tcBorders>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cs="仿宋_GB2312"/>
                <w:b/>
                <w:bCs/>
                <w:color w:val="000000"/>
                <w:sz w:val="32"/>
                <w:szCs w:val="32"/>
                <w:lang w:val="en-US" w:eastAsia="zh-CN"/>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szCs w:val="22"/>
              </w:rPr>
            </w:pPr>
            <w:r>
              <w:rPr>
                <w:rFonts w:hint="eastAsia" w:ascii="宋体" w:hAnsi="宋体"/>
                <w:b/>
                <w:bCs/>
                <w:color w:val="000000"/>
                <w:kern w:val="0"/>
                <w:sz w:val="22"/>
                <w:szCs w:val="22"/>
              </w:rPr>
              <w:t>1</w:t>
            </w:r>
          </w:p>
        </w:tc>
        <w:tc>
          <w:tcPr>
            <w:tcW w:w="1242" w:type="pct"/>
            <w:vMerge w:val="restart"/>
            <w:tcBorders>
              <w:top w:val="single" w:color="000000" w:sz="8"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仿宋_GB2312" w:cs="Times New Roman"/>
                <w:kern w:val="2"/>
                <w:sz w:val="28"/>
                <w:szCs w:val="28"/>
                <w:lang w:val="en-US" w:eastAsia="zh-CN" w:bidi="ar-SA"/>
              </w:rPr>
            </w:pPr>
            <w:r>
              <w:rPr>
                <w:rFonts w:hint="eastAsia" w:ascii="宋体" w:hAnsi="宋体" w:cs="Times New Roman"/>
                <w:kern w:val="2"/>
                <w:sz w:val="28"/>
                <w:szCs w:val="28"/>
                <w:lang w:val="en-US" w:eastAsia="zh-CN" w:bidi="ar-SA"/>
              </w:rPr>
              <w:t>尽职调查服务项目</w:t>
            </w:r>
          </w:p>
        </w:tc>
        <w:tc>
          <w:tcPr>
            <w:tcW w:w="2044" w:type="pct"/>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r>
              <w:rPr>
                <w:rFonts w:hint="eastAsia" w:ascii="宋体" w:hAnsi="宋体"/>
                <w:sz w:val="28"/>
                <w:szCs w:val="28"/>
              </w:rPr>
              <w:t>主体基本情况</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_GB2312"/>
                <w:b/>
                <w:bCs/>
                <w:color w:val="000000"/>
                <w:kern w:val="0"/>
                <w:sz w:val="22"/>
                <w:szCs w:val="22"/>
                <w:lang w:val="en-US" w:eastAsia="zh-CN"/>
              </w:rPr>
            </w:pPr>
            <w:r>
              <w:rPr>
                <w:rFonts w:hint="eastAsia" w:ascii="宋体" w:hAnsi="宋体"/>
                <w:b/>
                <w:bCs/>
                <w:color w:val="000000"/>
                <w:kern w:val="0"/>
                <w:sz w:val="22"/>
                <w:szCs w:val="22"/>
                <w:lang w:val="en-US" w:eastAsia="zh-CN"/>
              </w:rPr>
              <w:t>2</w:t>
            </w:r>
          </w:p>
        </w:tc>
        <w:tc>
          <w:tcPr>
            <w:tcW w:w="1242" w:type="pct"/>
            <w:vMerge w:val="continue"/>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p>
        </w:tc>
        <w:tc>
          <w:tcPr>
            <w:tcW w:w="2044" w:type="pct"/>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r>
              <w:rPr>
                <w:rFonts w:hint="eastAsia" w:ascii="宋体" w:hAnsi="宋体"/>
                <w:sz w:val="28"/>
                <w:szCs w:val="28"/>
              </w:rPr>
              <w:t>业务状况</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仿宋_GB2312"/>
                <w:b/>
                <w:bCs/>
                <w:color w:val="000000"/>
                <w:kern w:val="0"/>
                <w:sz w:val="22"/>
                <w:szCs w:val="22"/>
                <w:lang w:val="en-US" w:eastAsia="zh-CN"/>
              </w:rPr>
            </w:pPr>
            <w:r>
              <w:rPr>
                <w:rFonts w:hint="eastAsia" w:ascii="宋体" w:hAnsi="宋体"/>
                <w:b/>
                <w:bCs/>
                <w:color w:val="000000"/>
                <w:kern w:val="0"/>
                <w:sz w:val="22"/>
                <w:szCs w:val="22"/>
                <w:lang w:val="en-US" w:eastAsia="zh-CN"/>
              </w:rPr>
              <w:t>3</w:t>
            </w:r>
          </w:p>
        </w:tc>
        <w:tc>
          <w:tcPr>
            <w:tcW w:w="1242" w:type="pct"/>
            <w:vMerge w:val="continue"/>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p>
        </w:tc>
        <w:tc>
          <w:tcPr>
            <w:tcW w:w="2044" w:type="pct"/>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r>
              <w:rPr>
                <w:rFonts w:hint="eastAsia" w:ascii="宋体" w:hAnsi="宋体"/>
                <w:sz w:val="28"/>
                <w:szCs w:val="28"/>
              </w:rPr>
              <w:t>财务会计情况</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b/>
                <w:bCs/>
                <w:color w:val="000000"/>
                <w:kern w:val="0"/>
                <w:sz w:val="22"/>
                <w:szCs w:val="22"/>
                <w:lang w:val="en-US" w:eastAsia="zh-CN"/>
              </w:rPr>
            </w:pPr>
            <w:r>
              <w:rPr>
                <w:rFonts w:hint="eastAsia" w:ascii="宋体" w:hAnsi="宋体"/>
                <w:b/>
                <w:bCs/>
                <w:color w:val="000000"/>
                <w:kern w:val="0"/>
                <w:sz w:val="22"/>
                <w:szCs w:val="22"/>
                <w:lang w:val="en-US" w:eastAsia="zh-CN"/>
              </w:rPr>
              <w:t>4</w:t>
            </w:r>
          </w:p>
        </w:tc>
        <w:tc>
          <w:tcPr>
            <w:tcW w:w="1242" w:type="pct"/>
            <w:vMerge w:val="continue"/>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p>
        </w:tc>
        <w:tc>
          <w:tcPr>
            <w:tcW w:w="2044" w:type="pct"/>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r>
              <w:rPr>
                <w:rFonts w:hint="eastAsia" w:ascii="宋体" w:hAnsi="宋体"/>
                <w:sz w:val="28"/>
                <w:szCs w:val="28"/>
              </w:rPr>
              <w:t>税务情况</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b/>
                <w:bCs/>
                <w:color w:val="000000"/>
                <w:kern w:val="0"/>
                <w:sz w:val="22"/>
                <w:szCs w:val="22"/>
                <w:lang w:val="en-US" w:eastAsia="zh-CN"/>
              </w:rPr>
            </w:pPr>
            <w:r>
              <w:rPr>
                <w:rFonts w:hint="eastAsia" w:ascii="宋体" w:hAnsi="宋体"/>
                <w:b/>
                <w:bCs/>
                <w:color w:val="000000"/>
                <w:kern w:val="0"/>
                <w:sz w:val="22"/>
                <w:szCs w:val="22"/>
                <w:lang w:val="en-US" w:eastAsia="zh-CN"/>
              </w:rPr>
              <w:t>5</w:t>
            </w:r>
          </w:p>
        </w:tc>
        <w:tc>
          <w:tcPr>
            <w:tcW w:w="1242" w:type="pct"/>
            <w:vMerge w:val="continue"/>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p>
        </w:tc>
        <w:tc>
          <w:tcPr>
            <w:tcW w:w="2044" w:type="pct"/>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r>
              <w:rPr>
                <w:rFonts w:hint="eastAsia" w:ascii="宋体" w:hAnsi="宋体"/>
                <w:sz w:val="28"/>
                <w:szCs w:val="28"/>
              </w:rPr>
              <w:t>重大合同</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b/>
                <w:bCs/>
                <w:color w:val="000000"/>
                <w:kern w:val="0"/>
                <w:sz w:val="22"/>
                <w:szCs w:val="22"/>
                <w:lang w:val="en-US" w:eastAsia="zh-CN"/>
              </w:rPr>
            </w:pPr>
            <w:r>
              <w:rPr>
                <w:rFonts w:hint="eastAsia" w:ascii="宋体" w:hAnsi="宋体"/>
                <w:b/>
                <w:bCs/>
                <w:color w:val="000000"/>
                <w:kern w:val="0"/>
                <w:sz w:val="22"/>
                <w:szCs w:val="22"/>
                <w:lang w:val="en-US" w:eastAsia="zh-CN"/>
              </w:rPr>
              <w:t>6</w:t>
            </w:r>
          </w:p>
        </w:tc>
        <w:tc>
          <w:tcPr>
            <w:tcW w:w="1242" w:type="pct"/>
            <w:vMerge w:val="continue"/>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p>
        </w:tc>
        <w:tc>
          <w:tcPr>
            <w:tcW w:w="2044" w:type="pct"/>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kern w:val="2"/>
                <w:sz w:val="28"/>
                <w:szCs w:val="28"/>
                <w:lang w:val="en-US" w:eastAsia="zh-CN" w:bidi="ar-SA"/>
              </w:rPr>
            </w:pPr>
            <w:r>
              <w:rPr>
                <w:rFonts w:hint="eastAsia" w:ascii="宋体" w:hAnsi="宋体"/>
                <w:sz w:val="28"/>
                <w:szCs w:val="28"/>
              </w:rPr>
              <w:t>诉讼、仲裁与行政处罚</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0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ascii="宋体" w:hAnsi="宋体"/>
                <w:b/>
                <w:bCs/>
                <w:color w:val="000000"/>
                <w:kern w:val="0"/>
                <w:sz w:val="24"/>
              </w:rPr>
            </w:pPr>
            <w:r>
              <w:rPr>
                <w:rFonts w:hint="eastAsia" w:ascii="宋体" w:hAnsi="宋体"/>
                <w:b/>
                <w:bCs/>
                <w:color w:val="000000"/>
                <w:kern w:val="0"/>
                <w:sz w:val="24"/>
              </w:rPr>
              <w:t>合计（含税）：</w:t>
            </w:r>
          </w:p>
        </w:tc>
        <w:tc>
          <w:tcPr>
            <w:tcW w:w="109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4"/>
              </w:rPr>
            </w:pPr>
            <w:r>
              <w:rPr>
                <w:rFonts w:hint="eastAsia" w:ascii="仿宋_GB2312" w:hAnsi="仿宋_GB2312" w:eastAsia="仿宋_GB2312" w:cs="仿宋_GB2312"/>
                <w:color w:val="000000"/>
                <w:kern w:val="0"/>
                <w:szCs w:val="21"/>
                <w:lang w:bidi="ar"/>
              </w:rPr>
              <w:t>XX（大写：XXX）</w:t>
            </w:r>
          </w:p>
        </w:tc>
      </w:tr>
    </w:tbl>
    <w:p>
      <w:pPr>
        <w:jc w:val="left"/>
        <w:rPr>
          <w:rFonts w:hint="eastAsia" w:ascii="仿宋_GB2312" w:hAnsi="Times New Roman" w:eastAsia="仿宋_GB2312"/>
          <w:sz w:val="32"/>
        </w:rPr>
      </w:pPr>
      <w:r>
        <w:rPr>
          <w:rFonts w:hint="eastAsia" w:ascii="仿宋_GB2312" w:hAnsi="Times New Roman" w:eastAsia="仿宋_GB2312"/>
          <w:sz w:val="32"/>
        </w:rPr>
        <w:t>备注：</w:t>
      </w:r>
    </w:p>
    <w:p>
      <w:pPr>
        <w:pStyle w:val="17"/>
        <w:ind w:left="0" w:leftChars="0" w:firstLine="0" w:firstLineChars="0"/>
        <w:rPr>
          <w:rFonts w:hint="default" w:eastAsia="仿宋_GB2312"/>
          <w:lang w:val="en-US" w:eastAsia="zh-CN"/>
        </w:rPr>
      </w:pPr>
      <w:r>
        <w:rPr>
          <w:rFonts w:hint="eastAsia" w:ascii="仿宋_GB2312" w:hAnsi="Times New Roman" w:eastAsia="仿宋_GB2312"/>
          <w:sz w:val="32"/>
          <w:lang w:val="en-US" w:eastAsia="zh-CN"/>
        </w:rPr>
        <w:t>1.费用合计包含所有服务费用；</w:t>
      </w:r>
    </w:p>
    <w:p>
      <w:pPr>
        <w:pStyle w:val="17"/>
        <w:ind w:left="0" w:leftChars="0" w:firstLine="0" w:firstLineChars="0"/>
        <w:rPr>
          <w:rFonts w:hint="eastAsia" w:ascii="仿宋_GB2312" w:hAnsi="Times New Roman" w:eastAsia="仿宋_GB2312"/>
          <w:sz w:val="32"/>
          <w:lang w:val="en-US" w:eastAsia="zh-CN"/>
        </w:rPr>
      </w:pPr>
      <w:r>
        <w:rPr>
          <w:rFonts w:hint="eastAsia" w:ascii="仿宋_GB2312" w:hAnsi="Times New Roman" w:eastAsia="仿宋_GB2312"/>
          <w:sz w:val="32"/>
          <w:lang w:val="en-US" w:eastAsia="zh-CN"/>
        </w:rPr>
        <w:t>2.以上报价均为含税价格。</w:t>
      </w:r>
    </w:p>
    <w:p>
      <w:pPr>
        <w:keepNext w:val="0"/>
        <w:keepLines w:val="0"/>
        <w:pageBreakBefore w:val="0"/>
        <w:widowControl/>
        <w:shd w:val="clear" w:color="auto" w:fill="FFFFFF"/>
        <w:kinsoku/>
        <w:wordWrap/>
        <w:overflowPunct/>
        <w:topLinePunct w:val="0"/>
        <w:autoSpaceDE/>
        <w:autoSpaceDN/>
        <w:bidi w:val="0"/>
        <w:snapToGrid/>
        <w:spacing w:line="440" w:lineRule="exact"/>
        <w:jc w:val="left"/>
        <w:rPr>
          <w:rFonts w:ascii="仿宋_GB2312" w:hAnsi="仿宋_GB2312" w:eastAsia="仿宋_GB2312" w:cs="仿宋_GB2312"/>
          <w:b/>
          <w:bCs/>
          <w:color w:val="000000"/>
          <w:kern w:val="0"/>
          <w:sz w:val="32"/>
          <w:szCs w:val="32"/>
          <w:shd w:val="clear" w:color="auto" w:fill="FFFFFF"/>
          <w:lang w:bidi="ar"/>
        </w:rPr>
      </w:pPr>
      <w:r>
        <w:rPr>
          <w:rFonts w:hint="eastAsia" w:ascii="黑体" w:hAnsi="黑体" w:eastAsia="黑体" w:cs="黑体"/>
          <w:b w:val="0"/>
          <w:bCs w:val="0"/>
          <w:color w:val="000000"/>
          <w:kern w:val="0"/>
          <w:sz w:val="32"/>
          <w:szCs w:val="24"/>
          <w:shd w:val="clear" w:color="auto" w:fill="FFFFFF"/>
          <w:lang w:bidi="ar"/>
        </w:rPr>
        <w:t>三、具体需求响应情况</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995"/>
        <w:gridCol w:w="291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lang w:val="en-US" w:eastAsia="zh-CN"/>
              </w:rPr>
              <w:t>序号</w:t>
            </w:r>
          </w:p>
        </w:tc>
        <w:tc>
          <w:tcPr>
            <w:tcW w:w="1171"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lang w:val="en-US" w:eastAsia="zh-CN"/>
              </w:rPr>
              <w:t>需求内容</w:t>
            </w:r>
          </w:p>
        </w:tc>
        <w:tc>
          <w:tcPr>
            <w:tcW w:w="171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响应情况</w:t>
            </w:r>
          </w:p>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lang w:val="en-US" w:eastAsia="zh-CN"/>
              </w:rPr>
              <w:t>（完全响应/部分响应/不响应）</w:t>
            </w:r>
          </w:p>
        </w:tc>
        <w:tc>
          <w:tcPr>
            <w:tcW w:w="165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bCs/>
                <w:color w:val="000000"/>
                <w:kern w:val="0"/>
                <w:sz w:val="28"/>
                <w:szCs w:val="28"/>
                <w:vertAlign w:val="baseline"/>
                <w:lang w:val="en-US" w:eastAsia="zh-CN"/>
              </w:rPr>
            </w:pPr>
            <w:r>
              <w:rPr>
                <w:rFonts w:hint="eastAsia" w:ascii="宋体" w:hAnsi="宋体" w:eastAsia="宋体" w:cs="宋体"/>
                <w:b/>
                <w:bCs/>
                <w:color w:val="000000"/>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bCs w:val="0"/>
                <w:color w:val="000000"/>
                <w:kern w:val="0"/>
                <w:sz w:val="28"/>
                <w:szCs w:val="28"/>
                <w:vertAlign w:val="baseline"/>
                <w:lang w:val="en-US" w:eastAsia="zh-CN"/>
              </w:rPr>
            </w:pPr>
            <w:r>
              <w:rPr>
                <w:rFonts w:hint="eastAsia" w:ascii="宋体" w:hAnsi="宋体" w:eastAsia="宋体" w:cs="宋体"/>
                <w:b w:val="0"/>
                <w:bCs w:val="0"/>
                <w:color w:val="000000"/>
                <w:kern w:val="0"/>
                <w:sz w:val="28"/>
                <w:szCs w:val="28"/>
                <w:vertAlign w:val="baseline"/>
                <w:lang w:val="en-US" w:eastAsia="zh-CN"/>
              </w:rPr>
              <w:t>1</w:t>
            </w:r>
          </w:p>
        </w:tc>
        <w:tc>
          <w:tcPr>
            <w:tcW w:w="1171" w:type="pct"/>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outlineLvl w:val="1"/>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采购文件所有服务内容及服务要求</w:t>
            </w:r>
          </w:p>
        </w:tc>
        <w:tc>
          <w:tcPr>
            <w:tcW w:w="171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p>
        </w:tc>
        <w:tc>
          <w:tcPr>
            <w:tcW w:w="165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000000"/>
                <w:kern w:val="0"/>
                <w:sz w:val="28"/>
                <w:szCs w:val="28"/>
                <w:vertAlign w:val="baseline"/>
                <w:lang w:val="en-US" w:eastAsia="zh-CN"/>
              </w:rPr>
            </w:pPr>
            <w:r>
              <w:rPr>
                <w:rFonts w:hint="eastAsia" w:ascii="宋体" w:hAnsi="宋体" w:eastAsia="宋体" w:cs="宋体"/>
                <w:b w:val="0"/>
                <w:bCs w:val="0"/>
                <w:color w:val="000000"/>
                <w:kern w:val="0"/>
                <w:sz w:val="28"/>
                <w:szCs w:val="28"/>
                <w:vertAlign w:val="baseline"/>
                <w:lang w:val="en-US" w:eastAsia="zh-CN"/>
              </w:rPr>
              <w:t>2</w:t>
            </w:r>
          </w:p>
        </w:tc>
        <w:tc>
          <w:tcPr>
            <w:tcW w:w="1171" w:type="pct"/>
            <w:noWrap w:val="0"/>
            <w:vAlign w:val="top"/>
          </w:tcPr>
          <w:p>
            <w:pPr>
              <w:pStyle w:val="10"/>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8"/>
                <w:szCs w:val="28"/>
                <w:highlight w:val="none"/>
                <w:shd w:val="clear" w:color="auto" w:fill="FFFFFF"/>
                <w:lang w:val="en-US" w:eastAsia="zh-CN" w:bidi="ar-SA"/>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w:t>
            </w:r>
            <w:r>
              <w:rPr>
                <w:rFonts w:hint="eastAsia" w:ascii="宋体" w:hAnsi="宋体" w:eastAsia="宋体" w:cs="宋体"/>
                <w:color w:val="000000"/>
                <w:kern w:val="0"/>
                <w:sz w:val="28"/>
                <w:szCs w:val="28"/>
                <w:highlight w:val="none"/>
                <w:shd w:val="clear" w:color="auto" w:fill="FFFFFF"/>
                <w:lang w:val="en-US" w:eastAsia="zh-CN" w:bidi="ar-SA"/>
              </w:rPr>
              <w:t>.服务期限</w:t>
            </w:r>
          </w:p>
          <w:p>
            <w:pPr>
              <w:pStyle w:val="10"/>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hAnsi="宋体" w:cs="宋体"/>
                <w:b w:val="0"/>
                <w:bCs w:val="0"/>
                <w:color w:val="000000"/>
                <w:kern w:val="0"/>
                <w:sz w:val="28"/>
                <w:szCs w:val="28"/>
                <w:highlight w:val="none"/>
                <w:shd w:val="clear" w:color="auto" w:fill="FFFFFF"/>
                <w:lang w:val="en-US" w:eastAsia="zh-CN" w:bidi="ar-SA"/>
              </w:rPr>
            </w:pPr>
            <w:r>
              <w:rPr>
                <w:rFonts w:hint="eastAsia" w:ascii="宋体" w:hAnsi="宋体" w:eastAsia="宋体" w:cs="宋体"/>
                <w:kern w:val="0"/>
                <w:sz w:val="28"/>
                <w:szCs w:val="28"/>
                <w:highlight w:val="none"/>
              </w:rPr>
              <w:t>★</w:t>
            </w:r>
            <w:r>
              <w:rPr>
                <w:rFonts w:hint="eastAsia" w:ascii="宋体" w:hAnsi="宋体" w:eastAsia="宋体" w:cs="宋体"/>
                <w:color w:val="000000"/>
                <w:kern w:val="0"/>
                <w:sz w:val="28"/>
                <w:szCs w:val="28"/>
                <w:highlight w:val="none"/>
                <w:shd w:val="clear" w:color="auto" w:fill="FFFFFF"/>
                <w:lang w:val="en-US" w:eastAsia="zh-CN" w:bidi="ar-SA"/>
              </w:rPr>
              <w:t>2.供应商</w:t>
            </w:r>
            <w:r>
              <w:rPr>
                <w:rFonts w:hint="eastAsia" w:hAnsi="宋体" w:cs="宋体"/>
                <w:b w:val="0"/>
                <w:bCs w:val="0"/>
                <w:color w:val="000000"/>
                <w:kern w:val="0"/>
                <w:sz w:val="28"/>
                <w:szCs w:val="28"/>
                <w:highlight w:val="none"/>
                <w:shd w:val="clear" w:color="auto" w:fill="FFFFFF"/>
                <w:lang w:val="en-US" w:eastAsia="zh-CN" w:bidi="ar-SA"/>
              </w:rPr>
              <w:t>资质要求</w:t>
            </w:r>
          </w:p>
          <w:p>
            <w:pPr>
              <w:pStyle w:val="10"/>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8"/>
                <w:szCs w:val="28"/>
                <w:highlight w:val="none"/>
                <w:shd w:val="clear" w:color="auto" w:fill="FFFFFF"/>
                <w:lang w:val="en-US" w:eastAsia="zh-CN" w:bidi="ar-SA"/>
              </w:rPr>
            </w:pPr>
            <w:r>
              <w:rPr>
                <w:rFonts w:hint="eastAsia" w:ascii="宋体" w:hAnsi="宋体" w:eastAsia="宋体" w:cs="宋体"/>
                <w:color w:val="000000"/>
                <w:kern w:val="0"/>
                <w:sz w:val="28"/>
                <w:szCs w:val="28"/>
                <w:highlight w:val="none"/>
                <w:shd w:val="clear" w:color="auto" w:fill="FFFFFF"/>
                <w:lang w:val="en-US" w:eastAsia="zh-CN" w:bidi="ar-SA"/>
              </w:rPr>
              <w:t>★3</w:t>
            </w:r>
            <w:r>
              <w:rPr>
                <w:rFonts w:hint="eastAsia" w:ascii="宋体" w:hAnsi="宋体" w:eastAsia="宋体" w:cs="宋体"/>
                <w:color w:val="000000"/>
                <w:kern w:val="0"/>
                <w:sz w:val="28"/>
                <w:szCs w:val="28"/>
                <w:highlight w:val="none"/>
                <w:shd w:val="clear" w:color="auto" w:fill="FFFFFF"/>
                <w:lang w:val="en-US" w:eastAsia="zh-CN" w:bidi="ar-SA"/>
              </w:rPr>
              <w:t>.同类项目服务能力</w:t>
            </w:r>
          </w:p>
          <w:p>
            <w:pPr>
              <w:pStyle w:val="10"/>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hAnsi="宋体" w:cs="宋体"/>
                <w:b w:val="0"/>
                <w:bCs w:val="0"/>
                <w:color w:val="000000"/>
                <w:kern w:val="0"/>
                <w:sz w:val="28"/>
                <w:szCs w:val="28"/>
                <w:highlight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000000"/>
                <w:kern w:val="0"/>
                <w:sz w:val="28"/>
                <w:szCs w:val="28"/>
                <w:vertAlign w:val="baseline"/>
                <w:lang w:val="en-US" w:eastAsia="zh-CN"/>
              </w:rPr>
            </w:pPr>
          </w:p>
        </w:tc>
        <w:tc>
          <w:tcPr>
            <w:tcW w:w="171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p>
        </w:tc>
        <w:tc>
          <w:tcPr>
            <w:tcW w:w="1653" w:type="pct"/>
            <w:noWrap w:val="0"/>
            <w:vAlign w:val="top"/>
          </w:tcPr>
          <w:p>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000000"/>
                <w:kern w:val="0"/>
                <w:sz w:val="28"/>
                <w:szCs w:val="28"/>
                <w:vertAlign w:val="baseline"/>
                <w:lang w:val="en-US" w:eastAsia="zh-CN"/>
              </w:rPr>
            </w:pPr>
            <w:r>
              <w:rPr>
                <w:rFonts w:hint="eastAsia" w:ascii="宋体" w:hAnsi="宋体" w:eastAsia="宋体" w:cs="宋体"/>
                <w:b w:val="0"/>
                <w:bCs w:val="0"/>
                <w:color w:val="000000"/>
                <w:kern w:val="0"/>
                <w:sz w:val="28"/>
                <w:szCs w:val="28"/>
                <w:vertAlign w:val="baseline"/>
                <w:lang w:val="en-US" w:eastAsia="zh-CN"/>
              </w:rPr>
              <w:t>提供承诺函，格式自拟。（不提供或提供内容不全，按作废处理。）</w:t>
            </w:r>
          </w:p>
        </w:tc>
      </w:tr>
    </w:tbl>
    <w:p>
      <w:pPr>
        <w:keepNext w:val="0"/>
        <w:keepLines w:val="0"/>
        <w:pageBreakBefore w:val="0"/>
        <w:widowControl/>
        <w:shd w:val="clear" w:color="auto" w:fill="FFFFFF"/>
        <w:kinsoku/>
        <w:wordWrap/>
        <w:overflowPunct/>
        <w:topLinePunct w:val="0"/>
        <w:autoSpaceDE/>
        <w:autoSpaceDN/>
        <w:bidi w:val="0"/>
        <w:snapToGrid/>
        <w:spacing w:line="440" w:lineRule="exact"/>
        <w:jc w:val="left"/>
        <w:rPr>
          <w:rFonts w:hint="eastAsia" w:ascii="黑体" w:hAnsi="黑体" w:eastAsia="黑体" w:cs="黑体"/>
          <w:b w:val="0"/>
          <w:bCs w:val="0"/>
          <w:color w:val="000000"/>
          <w:kern w:val="0"/>
          <w:sz w:val="32"/>
          <w:szCs w:val="24"/>
          <w:shd w:val="clear" w:color="auto" w:fill="FFFFFF"/>
          <w:lang w:bidi="ar"/>
        </w:rPr>
      </w:pPr>
      <w:r>
        <w:rPr>
          <w:rFonts w:hint="eastAsia" w:ascii="黑体" w:hAnsi="黑体" w:eastAsia="黑体" w:cs="黑体"/>
          <w:b w:val="0"/>
          <w:bCs w:val="0"/>
          <w:color w:val="000000"/>
          <w:kern w:val="0"/>
          <w:sz w:val="32"/>
          <w:szCs w:val="24"/>
          <w:shd w:val="clear" w:color="auto" w:fill="FFFFFF"/>
          <w:lang w:bidi="ar"/>
        </w:rPr>
        <w:t>四、供应商资格条件</w:t>
      </w:r>
    </w:p>
    <w:p>
      <w:pPr>
        <w:keepNext w:val="0"/>
        <w:keepLines w:val="0"/>
        <w:pageBreakBefore w:val="0"/>
        <w:widowControl/>
        <w:shd w:val="clear" w:color="auto" w:fill="FFFFFF"/>
        <w:kinsoku/>
        <w:wordWrap/>
        <w:overflowPunct/>
        <w:topLinePunct w:val="0"/>
        <w:autoSpaceDE/>
        <w:autoSpaceDN/>
        <w:bidi w:val="0"/>
        <w:snapToGrid/>
        <w:spacing w:line="440" w:lineRule="exact"/>
        <w:ind w:firstLine="64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是否</w:t>
      </w:r>
      <w:r>
        <w:rPr>
          <w:rFonts w:hint="eastAsia" w:ascii="仿宋_GB2312" w:hAnsi="仿宋_GB2312" w:eastAsia="仿宋_GB2312" w:cs="仿宋_GB2312"/>
          <w:color w:val="000000"/>
          <w:kern w:val="0"/>
          <w:sz w:val="32"/>
          <w:szCs w:val="32"/>
          <w:shd w:val="clear" w:color="auto" w:fill="FFFFFF"/>
          <w:lang w:bidi="ar"/>
        </w:rPr>
        <w:t>满足本项目资格要求</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完全响应/部分响应/不响应）</w:t>
      </w:r>
      <w:r>
        <w:rPr>
          <w:rFonts w:hint="eastAsia" w:ascii="仿宋_GB2312" w:hAnsi="仿宋_GB2312" w:eastAsia="仿宋_GB2312" w:cs="仿宋_GB2312"/>
          <w:color w:val="000000"/>
          <w:kern w:val="0"/>
          <w:sz w:val="32"/>
          <w:szCs w:val="32"/>
          <w:shd w:val="clear" w:color="auto" w:fill="FFFFFF"/>
          <w:lang w:bidi="ar"/>
        </w:rPr>
        <w:t>。</w:t>
      </w:r>
    </w:p>
    <w:p>
      <w:pPr>
        <w:pStyle w:val="17"/>
        <w:keepNext w:val="0"/>
        <w:keepLines w:val="0"/>
        <w:pageBreakBefore w:val="0"/>
        <w:kinsoku/>
        <w:wordWrap/>
        <w:overflowPunct/>
        <w:topLinePunct w:val="0"/>
        <w:autoSpaceDE/>
        <w:autoSpaceDN/>
        <w:bidi w:val="0"/>
        <w:snapToGrid/>
        <w:spacing w:line="440" w:lineRule="exact"/>
        <w:ind w:left="0" w:leftChars="0" w:firstLine="0" w:firstLineChars="0"/>
        <w:rPr>
          <w:rFonts w:hint="eastAsia" w:ascii="仿宋_GB2312" w:hAnsi="仿宋_GB2312" w:eastAsia="仿宋_GB2312" w:cs="仿宋_GB2312"/>
          <w:color w:val="000000"/>
          <w:kern w:val="0"/>
          <w:sz w:val="32"/>
          <w:szCs w:val="32"/>
          <w:shd w:val="clear" w:color="auto" w:fill="FFFFFF"/>
          <w:lang w:bidi="ar"/>
        </w:rPr>
      </w:pPr>
    </w:p>
    <w:p>
      <w:pPr>
        <w:pStyle w:val="17"/>
        <w:keepNext w:val="0"/>
        <w:keepLines w:val="0"/>
        <w:pageBreakBefore w:val="0"/>
        <w:kinsoku/>
        <w:wordWrap/>
        <w:overflowPunct/>
        <w:topLinePunct w:val="0"/>
        <w:autoSpaceDE/>
        <w:autoSpaceDN/>
        <w:bidi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pPr>
        <w:keepNext w:val="0"/>
        <w:keepLines w:val="0"/>
        <w:pageBreakBefore w:val="0"/>
        <w:shd w:val="clear"/>
        <w:kinsoku/>
        <w:wordWrap/>
        <w:overflowPunct/>
        <w:topLinePunct w:val="0"/>
        <w:autoSpaceDE/>
        <w:autoSpaceDN/>
        <w:bidi w:val="0"/>
        <w:snapToGrid/>
        <w:spacing w:line="44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pPr>
        <w:pStyle w:val="17"/>
        <w:keepNext w:val="0"/>
        <w:keepLines w:val="0"/>
        <w:pageBreakBefore w:val="0"/>
        <w:kinsoku/>
        <w:wordWrap/>
        <w:overflowPunct/>
        <w:topLinePunct w:val="0"/>
        <w:autoSpaceDE/>
        <w:autoSpaceDN/>
        <w:bidi w:val="0"/>
        <w:snapToGrid/>
        <w:spacing w:line="440" w:lineRule="exact"/>
        <w:ind w:firstLine="4480" w:firstLineChars="1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default" w:ascii="黑体" w:hAnsi="黑体" w:eastAsia="黑体" w:cs="黑体"/>
          <w:color w:val="000000"/>
          <w:sz w:val="32"/>
          <w:szCs w:val="32"/>
          <w:highlight w:val="none"/>
          <w:lang w:val="en-US" w:eastAsia="zh-CN" w:bidi="ar"/>
        </w:rPr>
      </w:pPr>
      <w:r>
        <w:rPr>
          <w:rFonts w:hint="eastAsia" w:ascii="黑体" w:hAnsi="黑体" w:eastAsia="黑体" w:cs="黑体"/>
          <w:color w:val="000000"/>
          <w:sz w:val="32"/>
          <w:szCs w:val="32"/>
          <w:highlight w:val="none"/>
          <w:lang w:val="en-US" w:eastAsia="zh-CN" w:bidi="ar"/>
        </w:rPr>
        <w:t>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00" w:lineRule="exact"/>
        <w:ind w:left="0" w:right="0" w:firstLine="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3"/>
        <w:snapToGrid w:val="0"/>
        <w:spacing w:before="0" w:after="0" w:line="500" w:lineRule="exact"/>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spacing w:line="40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1991"/>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pPr>
              <w:spacing w:line="400" w:lineRule="exact"/>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tcBorders>
              <w:bottom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snapToGrid w:val="0"/>
              <w:spacing w:line="400" w:lineRule="exact"/>
              <w:ind w:left="0" w:leftChars="0" w:firstLine="0"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1" w:type="dxa"/>
            <w:gridSpan w:val="7"/>
            <w:noWrap w:val="0"/>
            <w:vAlign w:val="center"/>
          </w:tcPr>
          <w:p>
            <w:pPr>
              <w:spacing w:line="400" w:lineRule="exact"/>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lang w:eastAsia="zh-CN" w:bidi="ar"/>
              </w:rPr>
            </w:pPr>
            <w:r>
              <w:rPr>
                <w:rFonts w:hint="eastAsia" w:ascii="方正仿宋_GBK" w:hAnsi="方正仿宋_GBK" w:eastAsia="方正仿宋_GBK" w:cs="方正仿宋_GBK"/>
                <w:sz w:val="24"/>
                <w:szCs w:val="24"/>
                <w:lang w:eastAsia="zh-CN" w:bidi="ar"/>
              </w:rPr>
              <w:t>序号</w:t>
            </w:r>
          </w:p>
        </w:tc>
        <w:tc>
          <w:tcPr>
            <w:tcW w:w="2282" w:type="dxa"/>
            <w:gridSpan w:val="2"/>
            <w:noWrap w:val="0"/>
            <w:vAlign w:val="center"/>
          </w:tcPr>
          <w:p>
            <w:pPr>
              <w:pStyle w:val="5"/>
              <w:snapToGrid w:val="0"/>
              <w:spacing w:line="400" w:lineRule="exact"/>
              <w:ind w:left="0" w:leftChars="0" w:firstLine="0" w:firstLineChars="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关联关系类型</w:t>
            </w: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关联主体名称</w:t>
            </w:r>
          </w:p>
        </w:tc>
        <w:tc>
          <w:tcPr>
            <w:tcW w:w="4976" w:type="dxa"/>
            <w:gridSpan w:val="3"/>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lang w:val="en-US" w:eastAsia="zh-CN" w:bidi="ar"/>
              </w:rPr>
            </w:pPr>
            <w:r>
              <w:rPr>
                <w:rFonts w:hint="eastAsia" w:ascii="方正仿宋_GBK" w:hAnsi="方正仿宋_GBK" w:eastAsia="方正仿宋_GBK" w:cs="方正仿宋_GBK"/>
                <w:sz w:val="24"/>
                <w:szCs w:val="24"/>
                <w:lang w:val="en-US" w:eastAsia="zh-CN" w:bidi="ar"/>
              </w:rPr>
              <w:t>1</w:t>
            </w:r>
          </w:p>
        </w:tc>
        <w:tc>
          <w:tcPr>
            <w:tcW w:w="2282" w:type="dxa"/>
            <w:gridSpan w:val="2"/>
            <w:noWrap w:val="0"/>
            <w:vAlign w:val="center"/>
          </w:tcPr>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exact"/>
              <w:ind w:left="0" w:right="0"/>
              <w:jc w:val="left"/>
            </w:pPr>
            <w:r>
              <w:rPr>
                <w:rFonts w:ascii="方正仿宋_GBK" w:hAnsi="方正仿宋_GBK" w:eastAsia="方正仿宋_GBK" w:cs="方正仿宋_GBK"/>
                <w:color w:val="000000"/>
                <w:sz w:val="24"/>
                <w:szCs w:val="24"/>
              </w:rPr>
              <w:t>控股股东</w:t>
            </w:r>
          </w:p>
          <w:p>
            <w:pPr>
              <w:pStyle w:val="5"/>
              <w:snapToGrid w:val="0"/>
              <w:spacing w:line="400" w:lineRule="exact"/>
              <w:ind w:left="0" w:leftChars="0" w:firstLine="0" w:firstLineChars="0"/>
              <w:jc w:val="left"/>
              <w:rPr>
                <w:rFonts w:hint="eastAsia" w:ascii="方正仿宋_GBK" w:hAnsi="方正仿宋_GBK" w:eastAsia="方正仿宋_GBK" w:cs="方正仿宋_GBK"/>
                <w:color w:val="auto"/>
                <w:sz w:val="24"/>
                <w:szCs w:val="24"/>
              </w:rPr>
            </w:pP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4976" w:type="dxa"/>
            <w:gridSpan w:val="3"/>
            <w:noWrap w:val="0"/>
            <w:vAlign w:val="center"/>
          </w:tcPr>
          <w:p>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ascii="方正仿宋_GBK" w:hAnsi="方正仿宋_GBK" w:eastAsia="方正仿宋_GBK" w:cs="方正仿宋_GBK"/>
                <w:color w:val="000000"/>
                <w:kern w:val="0"/>
                <w:sz w:val="24"/>
                <w:szCs w:val="24"/>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400" w:lineRule="exact"/>
              <w:jc w:val="left"/>
              <w:rPr>
                <w:rFonts w:hint="eastAsia" w:ascii="方正仿宋_GBK" w:hAnsi="方正仿宋_GBK" w:eastAsia="方正仿宋_GBK" w:cs="方正仿宋_GBK"/>
                <w:sz w:val="24"/>
                <w:szCs w:val="24"/>
                <w:lang w:val="en-US" w:eastAsia="zh-CN" w:bidi="ar"/>
              </w:rPr>
            </w:pPr>
            <w:r>
              <w:rPr>
                <w:rFonts w:hint="eastAsia" w:ascii="方正仿宋_GBK" w:hAnsi="方正仿宋_GBK" w:eastAsia="方正仿宋_GBK" w:cs="方正仿宋_GBK"/>
                <w:sz w:val="24"/>
                <w:szCs w:val="24"/>
                <w:lang w:val="en-US" w:eastAsia="zh-CN" w:bidi="ar"/>
              </w:rPr>
              <w:t>2</w:t>
            </w:r>
          </w:p>
        </w:tc>
        <w:tc>
          <w:tcPr>
            <w:tcW w:w="2282" w:type="dxa"/>
            <w:gridSpan w:val="2"/>
            <w:noWrap w:val="0"/>
            <w:vAlign w:val="center"/>
          </w:tcPr>
          <w:p>
            <w:pPr>
              <w:keepNext w:val="0"/>
              <w:keepLines w:val="0"/>
              <w:widowControl/>
              <w:suppressLineNumbers w:val="0"/>
              <w:spacing w:line="400" w:lineRule="exact"/>
              <w:jc w:val="left"/>
            </w:pPr>
            <w:r>
              <w:rPr>
                <w:rFonts w:ascii="方正仿宋_GBK" w:hAnsi="方正仿宋_GBK" w:eastAsia="方正仿宋_GBK" w:cs="方正仿宋_GBK"/>
                <w:color w:val="000000"/>
                <w:kern w:val="0"/>
                <w:sz w:val="24"/>
                <w:szCs w:val="24"/>
                <w:lang w:val="en-US" w:eastAsia="zh-CN" w:bidi="ar"/>
              </w:rPr>
              <w:t>管理关系</w:t>
            </w:r>
          </w:p>
          <w:p>
            <w:pPr>
              <w:pStyle w:val="5"/>
              <w:snapToGrid w:val="0"/>
              <w:spacing w:line="400" w:lineRule="exact"/>
              <w:ind w:left="0" w:leftChars="0" w:firstLine="0" w:firstLineChars="0"/>
              <w:jc w:val="left"/>
              <w:rPr>
                <w:rFonts w:hint="eastAsia" w:ascii="方正仿宋_GBK" w:hAnsi="方正仿宋_GBK" w:eastAsia="方正仿宋_GBK" w:cs="方正仿宋_GBK"/>
                <w:color w:val="auto"/>
                <w:sz w:val="24"/>
                <w:szCs w:val="24"/>
              </w:rPr>
            </w:pPr>
          </w:p>
        </w:tc>
        <w:tc>
          <w:tcPr>
            <w:tcW w:w="947" w:type="dxa"/>
            <w:noWrap w:val="0"/>
            <w:vAlign w:val="center"/>
          </w:tcPr>
          <w:p>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4976" w:type="dxa"/>
            <w:gridSpan w:val="3"/>
            <w:noWrap w:val="0"/>
            <w:vAlign w:val="center"/>
          </w:tcPr>
          <w:p>
            <w:pPr>
              <w:keepNext w:val="0"/>
              <w:keepLines w:val="0"/>
              <w:widowControl/>
              <w:suppressLineNumbers w:val="0"/>
              <w:spacing w:line="400" w:lineRule="exact"/>
              <w:jc w:val="left"/>
            </w:pPr>
            <w:r>
              <w:rPr>
                <w:rFonts w:ascii="方正仿宋_GBK" w:hAnsi="方正仿宋_GBK" w:eastAsia="方正仿宋_GBK" w:cs="方正仿宋_GBK"/>
                <w:color w:val="000000"/>
                <w:kern w:val="0"/>
                <w:sz w:val="24"/>
                <w:szCs w:val="24"/>
                <w:lang w:val="en-US" w:eastAsia="zh-CN" w:bidi="ar"/>
              </w:rPr>
              <w:t>指对投标（响应）供应商不具有出资持股关系，但对其存在管理关系的主体。</w:t>
            </w:r>
          </w:p>
          <w:p>
            <w:pPr>
              <w:widowControl/>
              <w:spacing w:line="400" w:lineRule="exact"/>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u w:val="none"/>
                <w:vertAlign w:val="baseline"/>
                <w:lang w:val="en-US" w:eastAsia="zh-CN"/>
              </w:rPr>
              <w:t>说明：</w:t>
            </w:r>
            <w:r>
              <w:rPr>
                <w:rFonts w:ascii="方正仿宋_GBK" w:hAnsi="方正仿宋_GBK" w:eastAsia="方正仿宋_GBK" w:cs="方正仿宋_GBK"/>
                <w:b/>
                <w:bCs/>
                <w:color w:val="000000"/>
                <w:kern w:val="0"/>
                <w:sz w:val="24"/>
                <w:szCs w:val="24"/>
                <w:u w:val="none"/>
                <w:lang w:val="en-US" w:eastAsia="zh-CN" w:bidi="ar"/>
              </w:rPr>
              <w:t>同一关联关系类型有多个主体的，应分行填写。</w:t>
            </w:r>
          </w:p>
        </w:tc>
      </w:tr>
    </w:tbl>
    <w:p>
      <w:pPr>
        <w:pStyle w:val="2"/>
        <w:rPr>
          <w:rFonts w:hint="default"/>
          <w:lang w:val="en-US" w:eastAsia="zh-CN"/>
        </w:rPr>
      </w:pPr>
    </w:p>
    <w:p>
      <w:pPr>
        <w:pStyle w:val="10"/>
        <w:jc w:val="cente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iconfon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
    <w:altName w:val="C059"/>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VhODEwYzYxZTE1YWY2OGEzNDMzNjI4NjMyZDkifQ=="/>
  </w:docVars>
  <w:rsids>
    <w:rsidRoot w:val="0020052A"/>
    <w:rsid w:val="00012008"/>
    <w:rsid w:val="00032226"/>
    <w:rsid w:val="000474BE"/>
    <w:rsid w:val="00050576"/>
    <w:rsid w:val="00060ABA"/>
    <w:rsid w:val="00072AB0"/>
    <w:rsid w:val="0007478E"/>
    <w:rsid w:val="00094471"/>
    <w:rsid w:val="000C1DE3"/>
    <w:rsid w:val="000D4408"/>
    <w:rsid w:val="000E1280"/>
    <w:rsid w:val="000F2B96"/>
    <w:rsid w:val="000F67A8"/>
    <w:rsid w:val="0010548D"/>
    <w:rsid w:val="00106C23"/>
    <w:rsid w:val="0012507C"/>
    <w:rsid w:val="00130A13"/>
    <w:rsid w:val="00140676"/>
    <w:rsid w:val="00162F1A"/>
    <w:rsid w:val="001A593B"/>
    <w:rsid w:val="001F0EF2"/>
    <w:rsid w:val="001F3E21"/>
    <w:rsid w:val="0020052A"/>
    <w:rsid w:val="00220003"/>
    <w:rsid w:val="00222DB3"/>
    <w:rsid w:val="0025699A"/>
    <w:rsid w:val="00265AF1"/>
    <w:rsid w:val="0026776B"/>
    <w:rsid w:val="0027708C"/>
    <w:rsid w:val="0029004F"/>
    <w:rsid w:val="002A3D3B"/>
    <w:rsid w:val="00304878"/>
    <w:rsid w:val="00307FBE"/>
    <w:rsid w:val="003144CC"/>
    <w:rsid w:val="00317000"/>
    <w:rsid w:val="00330D94"/>
    <w:rsid w:val="00357BC3"/>
    <w:rsid w:val="003957D0"/>
    <w:rsid w:val="003A27EF"/>
    <w:rsid w:val="003A33F5"/>
    <w:rsid w:val="003A68E8"/>
    <w:rsid w:val="003A76D6"/>
    <w:rsid w:val="003C3937"/>
    <w:rsid w:val="003D042E"/>
    <w:rsid w:val="003E53F6"/>
    <w:rsid w:val="003F6C17"/>
    <w:rsid w:val="003F7916"/>
    <w:rsid w:val="00423935"/>
    <w:rsid w:val="00423B47"/>
    <w:rsid w:val="004503E7"/>
    <w:rsid w:val="00456BAB"/>
    <w:rsid w:val="00460003"/>
    <w:rsid w:val="0047145B"/>
    <w:rsid w:val="004972FF"/>
    <w:rsid w:val="004B5A4C"/>
    <w:rsid w:val="004C16D7"/>
    <w:rsid w:val="004E7099"/>
    <w:rsid w:val="00504F9C"/>
    <w:rsid w:val="00515104"/>
    <w:rsid w:val="00516C75"/>
    <w:rsid w:val="00533EEA"/>
    <w:rsid w:val="005366D5"/>
    <w:rsid w:val="005415AA"/>
    <w:rsid w:val="005522C5"/>
    <w:rsid w:val="005755F2"/>
    <w:rsid w:val="005833A9"/>
    <w:rsid w:val="00591277"/>
    <w:rsid w:val="005A4D1B"/>
    <w:rsid w:val="005B2C57"/>
    <w:rsid w:val="005B3746"/>
    <w:rsid w:val="005C05BC"/>
    <w:rsid w:val="005C0D9D"/>
    <w:rsid w:val="005F6691"/>
    <w:rsid w:val="00602809"/>
    <w:rsid w:val="0061311D"/>
    <w:rsid w:val="00635840"/>
    <w:rsid w:val="006446C1"/>
    <w:rsid w:val="00650562"/>
    <w:rsid w:val="00660261"/>
    <w:rsid w:val="006779C5"/>
    <w:rsid w:val="006929EF"/>
    <w:rsid w:val="0069610B"/>
    <w:rsid w:val="006A5334"/>
    <w:rsid w:val="006E0DDB"/>
    <w:rsid w:val="007100BA"/>
    <w:rsid w:val="0071237B"/>
    <w:rsid w:val="00734B66"/>
    <w:rsid w:val="007629C3"/>
    <w:rsid w:val="007A1DD2"/>
    <w:rsid w:val="007B198F"/>
    <w:rsid w:val="007C5564"/>
    <w:rsid w:val="007C7FC2"/>
    <w:rsid w:val="007D6F1F"/>
    <w:rsid w:val="007E752F"/>
    <w:rsid w:val="007F0631"/>
    <w:rsid w:val="007F1111"/>
    <w:rsid w:val="00820A3E"/>
    <w:rsid w:val="00831F74"/>
    <w:rsid w:val="00860DDF"/>
    <w:rsid w:val="00861475"/>
    <w:rsid w:val="00882C8E"/>
    <w:rsid w:val="008919BB"/>
    <w:rsid w:val="008B17FE"/>
    <w:rsid w:val="008B5E2D"/>
    <w:rsid w:val="008C2C66"/>
    <w:rsid w:val="008C661A"/>
    <w:rsid w:val="008D6030"/>
    <w:rsid w:val="008E1870"/>
    <w:rsid w:val="008E2807"/>
    <w:rsid w:val="008F1101"/>
    <w:rsid w:val="008F29C0"/>
    <w:rsid w:val="008F58D4"/>
    <w:rsid w:val="009064B6"/>
    <w:rsid w:val="0091025E"/>
    <w:rsid w:val="00911FB8"/>
    <w:rsid w:val="0091441A"/>
    <w:rsid w:val="00920FDD"/>
    <w:rsid w:val="009234EF"/>
    <w:rsid w:val="00964B34"/>
    <w:rsid w:val="009758A6"/>
    <w:rsid w:val="00980319"/>
    <w:rsid w:val="009952C2"/>
    <w:rsid w:val="009B0D0B"/>
    <w:rsid w:val="009C6782"/>
    <w:rsid w:val="009D3CA1"/>
    <w:rsid w:val="009D71F6"/>
    <w:rsid w:val="009D7B37"/>
    <w:rsid w:val="009F5646"/>
    <w:rsid w:val="00A143F2"/>
    <w:rsid w:val="00A24E3F"/>
    <w:rsid w:val="00A4204A"/>
    <w:rsid w:val="00A72140"/>
    <w:rsid w:val="00A9755E"/>
    <w:rsid w:val="00AA2BB4"/>
    <w:rsid w:val="00AA4FB8"/>
    <w:rsid w:val="00AB368B"/>
    <w:rsid w:val="00AD4D18"/>
    <w:rsid w:val="00AE0080"/>
    <w:rsid w:val="00AE5E63"/>
    <w:rsid w:val="00AF749D"/>
    <w:rsid w:val="00B33601"/>
    <w:rsid w:val="00B47347"/>
    <w:rsid w:val="00B47E7F"/>
    <w:rsid w:val="00B53737"/>
    <w:rsid w:val="00B65DF4"/>
    <w:rsid w:val="00B72DB3"/>
    <w:rsid w:val="00B75776"/>
    <w:rsid w:val="00B80B9B"/>
    <w:rsid w:val="00B83CAE"/>
    <w:rsid w:val="00B849F2"/>
    <w:rsid w:val="00B9522E"/>
    <w:rsid w:val="00B96402"/>
    <w:rsid w:val="00BC46FB"/>
    <w:rsid w:val="00BD0506"/>
    <w:rsid w:val="00BD6D12"/>
    <w:rsid w:val="00C05534"/>
    <w:rsid w:val="00C07CE7"/>
    <w:rsid w:val="00C42903"/>
    <w:rsid w:val="00C55CED"/>
    <w:rsid w:val="00C72B6F"/>
    <w:rsid w:val="00C742D2"/>
    <w:rsid w:val="00C845E4"/>
    <w:rsid w:val="00CA5650"/>
    <w:rsid w:val="00CD7D9D"/>
    <w:rsid w:val="00D12386"/>
    <w:rsid w:val="00D14875"/>
    <w:rsid w:val="00D22AD7"/>
    <w:rsid w:val="00D3337D"/>
    <w:rsid w:val="00D36998"/>
    <w:rsid w:val="00D413A8"/>
    <w:rsid w:val="00D52249"/>
    <w:rsid w:val="00D554F6"/>
    <w:rsid w:val="00D61885"/>
    <w:rsid w:val="00D65A75"/>
    <w:rsid w:val="00D81127"/>
    <w:rsid w:val="00D844F1"/>
    <w:rsid w:val="00D865DB"/>
    <w:rsid w:val="00DE7346"/>
    <w:rsid w:val="00DF6996"/>
    <w:rsid w:val="00E0102B"/>
    <w:rsid w:val="00E438B7"/>
    <w:rsid w:val="00E64ED2"/>
    <w:rsid w:val="00EE100B"/>
    <w:rsid w:val="00EF0800"/>
    <w:rsid w:val="00EF74F8"/>
    <w:rsid w:val="00F11CDC"/>
    <w:rsid w:val="00F16911"/>
    <w:rsid w:val="00F20E5D"/>
    <w:rsid w:val="00F3614C"/>
    <w:rsid w:val="00F407BD"/>
    <w:rsid w:val="00F47C2F"/>
    <w:rsid w:val="00F648CB"/>
    <w:rsid w:val="00FC033D"/>
    <w:rsid w:val="00FC0C31"/>
    <w:rsid w:val="00FD025E"/>
    <w:rsid w:val="01804005"/>
    <w:rsid w:val="02066F66"/>
    <w:rsid w:val="02EE34A3"/>
    <w:rsid w:val="059E1E67"/>
    <w:rsid w:val="05AE28DF"/>
    <w:rsid w:val="0768621F"/>
    <w:rsid w:val="08A064FA"/>
    <w:rsid w:val="0BF90D8D"/>
    <w:rsid w:val="0C1A464F"/>
    <w:rsid w:val="0CAC2377"/>
    <w:rsid w:val="0D204F05"/>
    <w:rsid w:val="0D2F7345"/>
    <w:rsid w:val="0E77E6D6"/>
    <w:rsid w:val="0FFFEB98"/>
    <w:rsid w:val="10282D36"/>
    <w:rsid w:val="10841C49"/>
    <w:rsid w:val="110B5B32"/>
    <w:rsid w:val="115F3809"/>
    <w:rsid w:val="11B46DAE"/>
    <w:rsid w:val="12D564FF"/>
    <w:rsid w:val="171B1044"/>
    <w:rsid w:val="17FF18AF"/>
    <w:rsid w:val="19D43730"/>
    <w:rsid w:val="1AB30CC9"/>
    <w:rsid w:val="1B1C1435"/>
    <w:rsid w:val="1B7770EC"/>
    <w:rsid w:val="1C326464"/>
    <w:rsid w:val="1D9B3D12"/>
    <w:rsid w:val="1FFDF543"/>
    <w:rsid w:val="21C36564"/>
    <w:rsid w:val="221C65F5"/>
    <w:rsid w:val="222C235B"/>
    <w:rsid w:val="24461D83"/>
    <w:rsid w:val="25C13E51"/>
    <w:rsid w:val="266F1943"/>
    <w:rsid w:val="27692970"/>
    <w:rsid w:val="281611E9"/>
    <w:rsid w:val="28817FED"/>
    <w:rsid w:val="29B95195"/>
    <w:rsid w:val="2D7828F8"/>
    <w:rsid w:val="2EC262F6"/>
    <w:rsid w:val="2F726E92"/>
    <w:rsid w:val="2F743364"/>
    <w:rsid w:val="2F846E39"/>
    <w:rsid w:val="2FED18E6"/>
    <w:rsid w:val="306A110D"/>
    <w:rsid w:val="30735531"/>
    <w:rsid w:val="307E2518"/>
    <w:rsid w:val="308434C5"/>
    <w:rsid w:val="30BF6869"/>
    <w:rsid w:val="30FD1E38"/>
    <w:rsid w:val="32D67012"/>
    <w:rsid w:val="33093C23"/>
    <w:rsid w:val="340D7072"/>
    <w:rsid w:val="343F6D32"/>
    <w:rsid w:val="34F90AFF"/>
    <w:rsid w:val="35975AD3"/>
    <w:rsid w:val="37230545"/>
    <w:rsid w:val="37BA115E"/>
    <w:rsid w:val="37DF5D96"/>
    <w:rsid w:val="37E05AE9"/>
    <w:rsid w:val="385A7F31"/>
    <w:rsid w:val="388F65F4"/>
    <w:rsid w:val="38AF2C7A"/>
    <w:rsid w:val="398321F0"/>
    <w:rsid w:val="39E84962"/>
    <w:rsid w:val="39EE067B"/>
    <w:rsid w:val="3AF2453E"/>
    <w:rsid w:val="3CEC4A9D"/>
    <w:rsid w:val="3D5FBB6B"/>
    <w:rsid w:val="3E8F70DD"/>
    <w:rsid w:val="3E921340"/>
    <w:rsid w:val="3F012D31"/>
    <w:rsid w:val="3F8F3B11"/>
    <w:rsid w:val="3F978FCB"/>
    <w:rsid w:val="3FB73A4E"/>
    <w:rsid w:val="3FBB4BA5"/>
    <w:rsid w:val="3FD5D9ED"/>
    <w:rsid w:val="40984F29"/>
    <w:rsid w:val="40CF1A37"/>
    <w:rsid w:val="40F52AA4"/>
    <w:rsid w:val="41A85AA0"/>
    <w:rsid w:val="41D659E7"/>
    <w:rsid w:val="42F5170A"/>
    <w:rsid w:val="434941B4"/>
    <w:rsid w:val="435218EE"/>
    <w:rsid w:val="44AE0556"/>
    <w:rsid w:val="44CF0BBB"/>
    <w:rsid w:val="45943066"/>
    <w:rsid w:val="4617713A"/>
    <w:rsid w:val="477912EF"/>
    <w:rsid w:val="47A91763"/>
    <w:rsid w:val="49E47396"/>
    <w:rsid w:val="49EF7D0B"/>
    <w:rsid w:val="4A365C85"/>
    <w:rsid w:val="4B7E5E19"/>
    <w:rsid w:val="4CB46925"/>
    <w:rsid w:val="4D915EA4"/>
    <w:rsid w:val="4E8B4091"/>
    <w:rsid w:val="4FBDAAFB"/>
    <w:rsid w:val="4FF0882D"/>
    <w:rsid w:val="504D7354"/>
    <w:rsid w:val="52C61E40"/>
    <w:rsid w:val="531155C4"/>
    <w:rsid w:val="53CB1124"/>
    <w:rsid w:val="541C6CCE"/>
    <w:rsid w:val="54DC4B59"/>
    <w:rsid w:val="565642E8"/>
    <w:rsid w:val="588C2C54"/>
    <w:rsid w:val="5A031023"/>
    <w:rsid w:val="5BA14A8B"/>
    <w:rsid w:val="5BD0238E"/>
    <w:rsid w:val="5BF872ED"/>
    <w:rsid w:val="5C4439E6"/>
    <w:rsid w:val="5C5D3A0F"/>
    <w:rsid w:val="5D1F6209"/>
    <w:rsid w:val="5D3A65AC"/>
    <w:rsid w:val="5DBF0ACC"/>
    <w:rsid w:val="609868B9"/>
    <w:rsid w:val="61234A83"/>
    <w:rsid w:val="61DB4D46"/>
    <w:rsid w:val="62D04B33"/>
    <w:rsid w:val="63A8673D"/>
    <w:rsid w:val="641F0EF8"/>
    <w:rsid w:val="648B10D5"/>
    <w:rsid w:val="6595301A"/>
    <w:rsid w:val="664D6A2D"/>
    <w:rsid w:val="69450D92"/>
    <w:rsid w:val="6A123DBD"/>
    <w:rsid w:val="6B1B0C60"/>
    <w:rsid w:val="6BFBA4FF"/>
    <w:rsid w:val="6BFF6818"/>
    <w:rsid w:val="6D405001"/>
    <w:rsid w:val="6E5801DD"/>
    <w:rsid w:val="6ECE0BEF"/>
    <w:rsid w:val="6EE47D5B"/>
    <w:rsid w:val="6F2258CC"/>
    <w:rsid w:val="6F9F3CDB"/>
    <w:rsid w:val="706B6748"/>
    <w:rsid w:val="70BD5FFF"/>
    <w:rsid w:val="71804557"/>
    <w:rsid w:val="71836406"/>
    <w:rsid w:val="73137F58"/>
    <w:rsid w:val="735C2561"/>
    <w:rsid w:val="74E27C24"/>
    <w:rsid w:val="74FFFF27"/>
    <w:rsid w:val="763E78C5"/>
    <w:rsid w:val="76BF34B2"/>
    <w:rsid w:val="77BF3B84"/>
    <w:rsid w:val="77EF234F"/>
    <w:rsid w:val="793A7D1C"/>
    <w:rsid w:val="79F1EE60"/>
    <w:rsid w:val="79F5C3FC"/>
    <w:rsid w:val="79FB31C3"/>
    <w:rsid w:val="7B1E74DC"/>
    <w:rsid w:val="7BFFCE18"/>
    <w:rsid w:val="7C6333F8"/>
    <w:rsid w:val="7CFFF7AC"/>
    <w:rsid w:val="7DB26B54"/>
    <w:rsid w:val="7DBFC821"/>
    <w:rsid w:val="7EA96CB0"/>
    <w:rsid w:val="7EB38CA1"/>
    <w:rsid w:val="7ED8794E"/>
    <w:rsid w:val="7EED93E1"/>
    <w:rsid w:val="7F617EE8"/>
    <w:rsid w:val="7F73CB95"/>
    <w:rsid w:val="7F81140E"/>
    <w:rsid w:val="7FBFEF83"/>
    <w:rsid w:val="7FCC1E1B"/>
    <w:rsid w:val="867F7116"/>
    <w:rsid w:val="8FDF2725"/>
    <w:rsid w:val="96A54E1E"/>
    <w:rsid w:val="9F7B111B"/>
    <w:rsid w:val="BBCF7C46"/>
    <w:rsid w:val="BDE25538"/>
    <w:rsid w:val="BDFEE9DF"/>
    <w:rsid w:val="BEFD8E14"/>
    <w:rsid w:val="BFFEA777"/>
    <w:rsid w:val="CC12BBF0"/>
    <w:rsid w:val="D37D556E"/>
    <w:rsid w:val="D9952837"/>
    <w:rsid w:val="DCD95CCC"/>
    <w:rsid w:val="DDC76F27"/>
    <w:rsid w:val="DDFF5ADD"/>
    <w:rsid w:val="DEB7CCA3"/>
    <w:rsid w:val="DFC9BFCC"/>
    <w:rsid w:val="DFEB88A2"/>
    <w:rsid w:val="E73E8BCA"/>
    <w:rsid w:val="E7FFBB2C"/>
    <w:rsid w:val="ECFF3DF7"/>
    <w:rsid w:val="EDFF67B3"/>
    <w:rsid w:val="EF763C03"/>
    <w:rsid w:val="F0BCDB6A"/>
    <w:rsid w:val="F2FFB051"/>
    <w:rsid w:val="F46F608F"/>
    <w:rsid w:val="F5F7C0EE"/>
    <w:rsid w:val="F5F961D2"/>
    <w:rsid w:val="F7BB2DD7"/>
    <w:rsid w:val="F7FF83DA"/>
    <w:rsid w:val="F8DEC8B0"/>
    <w:rsid w:val="FA9F7B0F"/>
    <w:rsid w:val="FBDC4506"/>
    <w:rsid w:val="FBEDE509"/>
    <w:rsid w:val="FBF7970B"/>
    <w:rsid w:val="FD9774FA"/>
    <w:rsid w:val="FF77A0C0"/>
    <w:rsid w:val="FFCFEEA8"/>
    <w:rsid w:val="FFFDB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4">
    <w:name w:val="heading 1"/>
    <w:basedOn w:val="1"/>
    <w:next w:val="1"/>
    <w:link w:val="27"/>
    <w:qFormat/>
    <w:uiPriority w:val="9"/>
    <w:pPr>
      <w:spacing w:line="578" w:lineRule="auto"/>
      <w:ind w:left="200" w:leftChars="200"/>
      <w:outlineLvl w:val="0"/>
    </w:pPr>
    <w:rPr>
      <w:rFonts w:eastAsia="黑体"/>
      <w:bCs/>
      <w:kern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5">
    <w:name w:val="Normal Indent"/>
    <w:basedOn w:val="1"/>
    <w:qFormat/>
    <w:uiPriority w:val="0"/>
    <w:pPr>
      <w:ind w:firstLine="420"/>
    </w:pPr>
    <w:rPr>
      <w:szCs w:val="20"/>
    </w:r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spacing w:line="360" w:lineRule="auto"/>
      <w:ind w:firstLine="420" w:firstLineChars="200"/>
    </w:pPr>
  </w:style>
  <w:style w:type="paragraph" w:styleId="9">
    <w:name w:val="envelope return"/>
    <w:basedOn w:val="1"/>
    <w:qFormat/>
    <w:uiPriority w:val="99"/>
    <w:rPr>
      <w:rFonts w:ascii="Arial" w:hAnsi="Arial"/>
    </w:rPr>
  </w:style>
  <w:style w:type="paragraph" w:styleId="10">
    <w:name w:val="Plain Text"/>
    <w:basedOn w:val="1"/>
    <w:link w:val="30"/>
    <w:qFormat/>
    <w:uiPriority w:val="0"/>
    <w:rPr>
      <w:rFonts w:ascii="宋体" w:hAnsi="Courier New" w:eastAsia="宋体" w:cs="Courier New"/>
      <w:sz w:val="21"/>
      <w:szCs w:val="21"/>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28"/>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2"/>
    <w:basedOn w:val="8"/>
    <w:qFormat/>
    <w:uiPriority w:val="0"/>
    <w:pPr>
      <w:widowControl w:val="0"/>
      <w:spacing w:line="440" w:lineRule="exact"/>
      <w:ind w:firstLine="420" w:firstLineChars="200"/>
      <w:jc w:val="both"/>
    </w:pPr>
    <w:rPr>
      <w:rFonts w:ascii="Calibri" w:hAnsi="Calibri" w:eastAsia="宋体" w:cs="Times New Roman"/>
      <w:kern w:val="2"/>
      <w:sz w:val="24"/>
      <w:szCs w:val="20"/>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hint="default" w:ascii="iconfont" w:hAnsi="iconfont" w:eastAsia="iconfont" w:cs="iconfont"/>
      <w:b/>
      <w:sz w:val="19"/>
      <w:szCs w:val="19"/>
      <w:u w:val="none"/>
    </w:rPr>
  </w:style>
  <w:style w:type="character" w:styleId="22">
    <w:name w:val="Hyperlink"/>
    <w:basedOn w:val="20"/>
    <w:semiHidden/>
    <w:unhideWhenUsed/>
    <w:qFormat/>
    <w:uiPriority w:val="99"/>
    <w:rPr>
      <w:color w:val="0000FF"/>
      <w:u w:val="single"/>
    </w:rPr>
  </w:style>
  <w:style w:type="paragraph" w:customStyle="1" w:styleId="23">
    <w:name w:val="文档正文"/>
    <w:basedOn w:val="1"/>
    <w:qFormat/>
    <w:uiPriority w:val="99"/>
    <w:pPr>
      <w:adjustRightInd w:val="0"/>
      <w:spacing w:line="480" w:lineRule="atLeast"/>
      <w:ind w:firstLine="567"/>
      <w:textAlignment w:val="baseline"/>
    </w:pPr>
    <w:rPr>
      <w:rFonts w:ascii="????"/>
      <w:kern w:val="0"/>
      <w:szCs w:val="21"/>
    </w:rPr>
  </w:style>
  <w:style w:type="paragraph" w:styleId="24">
    <w:name w:val="List Paragraph"/>
    <w:basedOn w:val="1"/>
    <w:qFormat/>
    <w:uiPriority w:val="34"/>
    <w:pPr>
      <w:ind w:firstLine="420" w:firstLineChars="200"/>
    </w:pPr>
  </w:style>
  <w:style w:type="character" w:customStyle="1" w:styleId="25">
    <w:name w:val="页眉 字符"/>
    <w:basedOn w:val="20"/>
    <w:link w:val="14"/>
    <w:qFormat/>
    <w:uiPriority w:val="99"/>
    <w:rPr>
      <w:rFonts w:ascii="Times New Roman" w:hAnsi="Times New Roman" w:eastAsia="宋体" w:cs="Times New Roman"/>
      <w:sz w:val="18"/>
      <w:szCs w:val="18"/>
    </w:rPr>
  </w:style>
  <w:style w:type="character" w:customStyle="1" w:styleId="26">
    <w:name w:val="页脚 字符"/>
    <w:basedOn w:val="20"/>
    <w:link w:val="13"/>
    <w:qFormat/>
    <w:uiPriority w:val="99"/>
    <w:rPr>
      <w:rFonts w:ascii="Times New Roman" w:hAnsi="Times New Roman" w:eastAsia="宋体" w:cs="Times New Roman"/>
      <w:sz w:val="18"/>
      <w:szCs w:val="18"/>
    </w:rPr>
  </w:style>
  <w:style w:type="character" w:customStyle="1" w:styleId="27">
    <w:name w:val="标题 1 字符"/>
    <w:basedOn w:val="20"/>
    <w:link w:val="4"/>
    <w:qFormat/>
    <w:uiPriority w:val="9"/>
    <w:rPr>
      <w:rFonts w:eastAsia="黑体"/>
      <w:bCs/>
      <w:kern w:val="44"/>
      <w:sz w:val="32"/>
      <w:szCs w:val="44"/>
    </w:rPr>
  </w:style>
  <w:style w:type="character" w:customStyle="1" w:styleId="28">
    <w:name w:val="批注框文本 字符"/>
    <w:basedOn w:val="20"/>
    <w:link w:val="12"/>
    <w:semiHidden/>
    <w:qFormat/>
    <w:uiPriority w:val="99"/>
    <w:rPr>
      <w:rFonts w:eastAsia="仿宋"/>
      <w:kern w:val="2"/>
      <w:sz w:val="18"/>
      <w:szCs w:val="18"/>
    </w:rPr>
  </w:style>
  <w:style w:type="character" w:customStyle="1" w:styleId="29">
    <w:name w:val="日期 字符"/>
    <w:basedOn w:val="20"/>
    <w:link w:val="11"/>
    <w:semiHidden/>
    <w:qFormat/>
    <w:uiPriority w:val="99"/>
    <w:rPr>
      <w:rFonts w:eastAsia="仿宋"/>
      <w:kern w:val="2"/>
      <w:sz w:val="32"/>
    </w:rPr>
  </w:style>
  <w:style w:type="character" w:customStyle="1" w:styleId="30">
    <w:name w:val="纯文本 字符"/>
    <w:basedOn w:val="20"/>
    <w:link w:val="10"/>
    <w:qFormat/>
    <w:uiPriority w:val="0"/>
    <w:rPr>
      <w:rFonts w:ascii="宋体" w:hAnsi="Courier New" w:cs="Courier New"/>
      <w:kern w:val="2"/>
      <w:sz w:val="21"/>
      <w:szCs w:val="21"/>
    </w:rPr>
  </w:style>
  <w:style w:type="paragraph" w:customStyle="1" w:styleId="31">
    <w:name w:val="引用1"/>
    <w:next w:val="1"/>
    <w:qFormat/>
    <w:uiPriority w:val="0"/>
    <w:pPr>
      <w:widowControl w:val="0"/>
      <w:jc w:val="both"/>
    </w:pPr>
    <w:rPr>
      <w:rFonts w:ascii="Calibri" w:hAnsi="Calibri" w:eastAsia="宋体" w:cs="Calibri"/>
      <w:i/>
      <w:iCs/>
      <w:color w:val="000000"/>
      <w:kern w:val="2"/>
      <w:sz w:val="22"/>
      <w:szCs w:val="22"/>
      <w:lang w:val="en-US" w:eastAsia="zh-CN" w:bidi="ar-SA"/>
    </w:rPr>
  </w:style>
  <w:style w:type="paragraph" w:customStyle="1" w:styleId="32">
    <w:name w:val="普通(网站)1"/>
    <w:basedOn w:val="1"/>
    <w:qFormat/>
    <w:uiPriority w:val="0"/>
    <w:pPr>
      <w:spacing w:beforeAutospacing="1" w:afterAutospacing="1"/>
      <w:jc w:val="left"/>
    </w:pPr>
    <w:rPr>
      <w:kern w:val="0"/>
      <w:sz w:val="24"/>
    </w:rPr>
  </w:style>
  <w:style w:type="paragraph" w:customStyle="1" w:styleId="33">
    <w:name w:val="正文文本1"/>
    <w:basedOn w:val="1"/>
    <w:next w:val="34"/>
    <w:qFormat/>
    <w:uiPriority w:val="0"/>
    <w:pPr>
      <w:spacing w:line="360" w:lineRule="auto"/>
    </w:pPr>
    <w:rPr>
      <w:b/>
      <w:bCs/>
      <w:sz w:val="24"/>
    </w:rPr>
  </w:style>
  <w:style w:type="paragraph" w:customStyle="1" w:styleId="34">
    <w:name w:val="标题1"/>
    <w:basedOn w:val="1"/>
    <w:next w:val="1"/>
    <w:qFormat/>
    <w:uiPriority w:val="0"/>
    <w:pPr>
      <w:spacing w:before="240" w:after="60"/>
      <w:jc w:val="center"/>
      <w:outlineLvl w:val="0"/>
    </w:pPr>
    <w:rPr>
      <w:rFonts w:ascii="Arial" w:hAnsi="Arial" w:eastAsia="隶书"/>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2341</Words>
  <Characters>2434</Characters>
  <Lines>25</Lines>
  <Paragraphs>7</Paragraphs>
  <TotalTime>5</TotalTime>
  <ScaleCrop>false</ScaleCrop>
  <LinksUpToDate>false</LinksUpToDate>
  <CharactersWithSpaces>2487</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2018-01-25T16:50:00Z</dcterms:created>
  <dc:creator>技术支持</dc:creator>
  <cp:lastModifiedBy>zjzx</cp:lastModifiedBy>
  <cp:lastPrinted>2021-08-25T11:39:00Z</cp:lastPrinted>
  <dcterms:modified xsi:type="dcterms:W3CDTF">2025-07-24T16:36:08Z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015E25398844C5AF5B830468E9488E8E</vt:lpwstr>
  </property>
  <property fmtid="{D5CDD505-2E9C-101B-9397-08002B2CF9AE}" pid="4" name="KSOTemplateDocerSaveRecord">
    <vt:lpwstr>eyJoZGlkIjoiYzA2ZWI5ZWJmODc0YzRiNjgzNGJjZThmYmZmZjFkNDciLCJ1c2VySWQiOiI0NDc1MzI1MjQifQ==</vt:lpwstr>
  </property>
</Properties>
</file>