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5DDC9E">
      <w:pPr>
        <w:spacing w:beforeLines="0" w:afterLines="0" w:line="560" w:lineRule="exact"/>
        <w:jc w:val="center"/>
        <w:rPr>
          <w:rFonts w:hint="eastAsia" w:ascii="宋体" w:hAnsi="宋体" w:cs="宋体"/>
          <w:b w:val="0"/>
          <w:bCs/>
          <w:color w:val="000000"/>
          <w:sz w:val="24"/>
        </w:rPr>
      </w:pPr>
      <w:bookmarkStart w:id="0" w:name="_GoBack"/>
      <w:bookmarkEnd w:id="0"/>
      <w:r>
        <w:rPr>
          <w:rFonts w:hint="eastAsia" w:ascii="方正小标宋简体" w:hAnsi="方正小标宋简体" w:eastAsia="方正小标宋简体" w:cs="方正小标宋简体"/>
          <w:sz w:val="44"/>
          <w:szCs w:val="44"/>
        </w:rPr>
        <w:t>体检服务协议</w:t>
      </w:r>
    </w:p>
    <w:p w14:paraId="3B31135C">
      <w:pPr>
        <w:spacing w:beforeLines="0" w:afterLines="0" w:line="560" w:lineRule="exact"/>
        <w:rPr>
          <w:rFonts w:hint="eastAsia" w:ascii="宋体" w:hAnsi="宋体" w:cs="宋体"/>
          <w:b w:val="0"/>
          <w:bCs/>
          <w:color w:val="000000"/>
          <w:sz w:val="24"/>
        </w:rPr>
      </w:pPr>
    </w:p>
    <w:p w14:paraId="73BF8715">
      <w:pPr>
        <w:widowControl/>
        <w:spacing w:beforeLines="0" w:afterLines="0" w:line="560" w:lineRule="exact"/>
        <w:jc w:val="left"/>
        <w:rPr>
          <w:rFonts w:hint="eastAsia" w:ascii="宋体" w:hAnsi="宋体" w:eastAsia="宋体" w:cs="宋体"/>
          <w:bCs/>
          <w:kern w:val="0"/>
          <w:sz w:val="24"/>
          <w:szCs w:val="24"/>
          <w:lang w:eastAsia="zh-CN"/>
        </w:rPr>
      </w:pPr>
      <w:r>
        <w:rPr>
          <w:rFonts w:hint="eastAsia" w:ascii="宋体" w:hAnsi="宋体" w:eastAsia="宋体" w:cs="宋体"/>
          <w:bCs/>
          <w:kern w:val="0"/>
          <w:sz w:val="24"/>
          <w:szCs w:val="24"/>
        </w:rPr>
        <w:t>甲方：</w:t>
      </w:r>
      <w:r>
        <w:rPr>
          <w:rFonts w:hint="eastAsia" w:ascii="宋体" w:hAnsi="宋体" w:eastAsia="宋体" w:cs="宋体"/>
          <w:bCs/>
          <w:kern w:val="0"/>
          <w:sz w:val="24"/>
          <w:szCs w:val="24"/>
          <w:lang w:val="en-US" w:eastAsia="zh-CN"/>
        </w:rPr>
        <w:t>深圳市深粮置地开发有限公司</w:t>
      </w:r>
    </w:p>
    <w:p w14:paraId="35E0DF8D">
      <w:pPr>
        <w:widowControl/>
        <w:spacing w:beforeLines="0" w:afterLines="0" w:line="560" w:lineRule="exact"/>
        <w:jc w:val="left"/>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法定代表人：</w:t>
      </w:r>
      <w:r>
        <w:rPr>
          <w:rFonts w:hint="eastAsia" w:ascii="宋体" w:hAnsi="宋体" w:cs="宋体"/>
          <w:bCs/>
          <w:kern w:val="0"/>
          <w:sz w:val="24"/>
          <w:szCs w:val="24"/>
          <w:lang w:val="en-US" w:eastAsia="zh-CN"/>
        </w:rPr>
        <w:t>方生</w:t>
      </w:r>
    </w:p>
    <w:p w14:paraId="50537A16">
      <w:pPr>
        <w:widowControl/>
        <w:spacing w:beforeLines="0" w:afterLines="0" w:line="560" w:lineRule="exact"/>
        <w:jc w:val="left"/>
        <w:rPr>
          <w:rFonts w:hint="eastAsia" w:ascii="宋体" w:hAnsi="宋体" w:eastAsia="宋体" w:cs="宋体"/>
          <w:bCs/>
          <w:kern w:val="0"/>
          <w:sz w:val="24"/>
          <w:szCs w:val="24"/>
        </w:rPr>
      </w:pPr>
      <w:r>
        <w:rPr>
          <w:rFonts w:hint="eastAsia" w:ascii="宋体" w:hAnsi="宋体" w:eastAsia="宋体" w:cs="宋体"/>
          <w:bCs/>
          <w:kern w:val="0"/>
          <w:sz w:val="24"/>
          <w:szCs w:val="24"/>
        </w:rPr>
        <w:t>注册地址：深圳市福田区福田街道福南社区世贸广场C座2204</w:t>
      </w:r>
    </w:p>
    <w:p w14:paraId="70AF892B">
      <w:pPr>
        <w:widowControl/>
        <w:spacing w:beforeLines="0" w:afterLines="0" w:line="560" w:lineRule="exact"/>
        <w:jc w:val="left"/>
        <w:rPr>
          <w:rFonts w:hint="eastAsia" w:ascii="宋体" w:hAnsi="宋体" w:eastAsia="宋体" w:cs="宋体"/>
          <w:bCs/>
          <w:kern w:val="0"/>
          <w:sz w:val="24"/>
          <w:szCs w:val="24"/>
        </w:rPr>
      </w:pPr>
      <w:r>
        <w:rPr>
          <w:rFonts w:hint="eastAsia" w:ascii="宋体" w:hAnsi="宋体" w:eastAsia="宋体" w:cs="宋体"/>
          <w:bCs/>
          <w:kern w:val="0"/>
          <w:sz w:val="24"/>
          <w:szCs w:val="24"/>
        </w:rPr>
        <w:t>统一社会信用代码：91440300708484805H</w:t>
      </w:r>
    </w:p>
    <w:p w14:paraId="54A955B6">
      <w:pPr>
        <w:widowControl/>
        <w:spacing w:beforeLines="0" w:afterLines="0" w:line="560" w:lineRule="exact"/>
        <w:jc w:val="left"/>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联系人：</w:t>
      </w:r>
      <w:r>
        <w:rPr>
          <w:rFonts w:hint="eastAsia" w:ascii="宋体" w:hAnsi="宋体" w:cs="宋体"/>
          <w:bCs/>
          <w:kern w:val="0"/>
          <w:sz w:val="24"/>
          <w:szCs w:val="24"/>
          <w:lang w:val="en-US" w:eastAsia="zh-CN"/>
        </w:rPr>
        <w:t>林浩杰</w:t>
      </w:r>
    </w:p>
    <w:p w14:paraId="2ADA3BC0">
      <w:pPr>
        <w:widowControl/>
        <w:spacing w:beforeLines="0" w:afterLines="0" w:line="560" w:lineRule="exact"/>
        <w:jc w:val="left"/>
        <w:rPr>
          <w:rFonts w:hint="default" w:ascii="宋体" w:hAnsi="宋体" w:eastAsia="宋体" w:cs="宋体"/>
          <w:bCs/>
          <w:kern w:val="0"/>
          <w:sz w:val="24"/>
          <w:szCs w:val="24"/>
          <w:lang w:val="en-US" w:eastAsia="zh-CN"/>
        </w:rPr>
      </w:pPr>
      <w:r>
        <w:rPr>
          <w:rFonts w:hint="eastAsia" w:ascii="宋体" w:hAnsi="宋体" w:eastAsia="宋体" w:cs="宋体"/>
          <w:bCs/>
          <w:kern w:val="0"/>
          <w:sz w:val="24"/>
          <w:szCs w:val="24"/>
        </w:rPr>
        <w:t>联系电话：</w:t>
      </w:r>
      <w:r>
        <w:rPr>
          <w:rFonts w:hint="eastAsia" w:ascii="宋体" w:hAnsi="宋体" w:eastAsia="宋体" w:cs="宋体"/>
          <w:bCs/>
          <w:kern w:val="0"/>
          <w:sz w:val="24"/>
          <w:szCs w:val="24"/>
          <w:lang w:val="en-US" w:eastAsia="zh-CN"/>
        </w:rPr>
        <w:t>13</w:t>
      </w:r>
      <w:r>
        <w:rPr>
          <w:rFonts w:hint="eastAsia" w:ascii="宋体" w:hAnsi="宋体" w:cs="宋体"/>
          <w:bCs/>
          <w:kern w:val="0"/>
          <w:sz w:val="24"/>
          <w:szCs w:val="24"/>
          <w:lang w:val="en-US" w:eastAsia="zh-CN"/>
        </w:rPr>
        <w:t>510986665</w:t>
      </w:r>
    </w:p>
    <w:p w14:paraId="1207CF6D">
      <w:pPr>
        <w:spacing w:beforeLines="0" w:afterLines="0" w:line="560" w:lineRule="exact"/>
        <w:rPr>
          <w:rFonts w:hint="eastAsia" w:ascii="宋体" w:hAnsi="宋体"/>
          <w:b/>
          <w:color w:val="000000"/>
          <w:sz w:val="24"/>
        </w:rPr>
      </w:pPr>
    </w:p>
    <w:p w14:paraId="3118DB58">
      <w:pPr>
        <w:spacing w:beforeLines="0" w:afterLines="0" w:line="560" w:lineRule="exact"/>
        <w:rPr>
          <w:rFonts w:ascii="宋体" w:hAnsi="宋体"/>
          <w:b w:val="0"/>
          <w:bCs/>
          <w:color w:val="000000"/>
          <w:sz w:val="24"/>
        </w:rPr>
      </w:pPr>
      <w:r>
        <w:rPr>
          <w:rFonts w:hint="eastAsia" w:ascii="宋体" w:hAnsi="宋体"/>
          <w:b w:val="0"/>
          <w:bCs/>
          <w:color w:val="000000"/>
          <w:sz w:val="24"/>
        </w:rPr>
        <w:t>乙方：中山大学附属第八医院（深圳福田)</w:t>
      </w:r>
    </w:p>
    <w:p w14:paraId="127B8408">
      <w:pPr>
        <w:spacing w:beforeLines="0" w:afterLines="0" w:line="560" w:lineRule="exact"/>
        <w:rPr>
          <w:rFonts w:hint="eastAsia" w:ascii="宋体" w:hAnsi="宋体"/>
          <w:b w:val="0"/>
          <w:bCs/>
          <w:color w:val="000000"/>
          <w:sz w:val="24"/>
          <w:lang w:val="en-US" w:eastAsia="zh-CN"/>
        </w:rPr>
      </w:pPr>
      <w:r>
        <w:rPr>
          <w:rFonts w:hint="eastAsia" w:ascii="宋体" w:hAnsi="宋体"/>
          <w:b w:val="0"/>
          <w:bCs/>
          <w:color w:val="000000"/>
          <w:sz w:val="24"/>
        </w:rPr>
        <w:t>法定代表人：</w:t>
      </w:r>
      <w:r>
        <w:rPr>
          <w:rFonts w:hint="eastAsia" w:ascii="宋体" w:hAnsi="宋体"/>
          <w:b w:val="0"/>
          <w:bCs/>
          <w:color w:val="000000"/>
          <w:sz w:val="24"/>
          <w:lang w:val="en-US" w:eastAsia="zh-CN"/>
        </w:rPr>
        <w:t>陈燕铭</w:t>
      </w:r>
      <w:r>
        <w:rPr>
          <w:rFonts w:ascii="宋体" w:hAnsi="宋体"/>
          <w:b w:val="0"/>
          <w:bCs/>
          <w:color w:val="000000"/>
          <w:sz w:val="24"/>
        </w:rPr>
        <w:t xml:space="preserve"> </w:t>
      </w:r>
    </w:p>
    <w:p w14:paraId="1754F862">
      <w:pPr>
        <w:widowControl/>
        <w:spacing w:beforeLines="0" w:afterLines="0" w:line="560" w:lineRule="exact"/>
        <w:jc w:val="left"/>
        <w:rPr>
          <w:rFonts w:hint="eastAsia" w:ascii="宋体" w:hAnsi="宋体" w:eastAsia="宋体" w:cs="宋体"/>
          <w:bCs/>
          <w:kern w:val="0"/>
          <w:sz w:val="24"/>
          <w:szCs w:val="24"/>
        </w:rPr>
      </w:pPr>
      <w:r>
        <w:rPr>
          <w:rFonts w:hint="eastAsia" w:ascii="宋体" w:hAnsi="宋体" w:eastAsia="宋体" w:cs="宋体"/>
          <w:bCs/>
          <w:kern w:val="0"/>
          <w:sz w:val="24"/>
          <w:szCs w:val="24"/>
        </w:rPr>
        <w:t>注册地址：深圳市福田区福田街道深南中路3025号</w:t>
      </w:r>
    </w:p>
    <w:p w14:paraId="15F1BA70">
      <w:pPr>
        <w:widowControl/>
        <w:spacing w:beforeLines="0" w:afterLines="0" w:line="560" w:lineRule="exact"/>
        <w:jc w:val="left"/>
        <w:rPr>
          <w:rFonts w:hint="eastAsia" w:ascii="宋体" w:hAnsi="宋体" w:eastAsia="宋体" w:cs="宋体"/>
          <w:bCs/>
          <w:kern w:val="0"/>
          <w:sz w:val="24"/>
          <w:szCs w:val="24"/>
        </w:rPr>
      </w:pPr>
      <w:r>
        <w:rPr>
          <w:rFonts w:hint="eastAsia" w:ascii="宋体" w:hAnsi="宋体" w:eastAsia="宋体" w:cs="宋体"/>
          <w:bCs/>
          <w:kern w:val="0"/>
          <w:sz w:val="24"/>
          <w:szCs w:val="24"/>
        </w:rPr>
        <w:t>统一社会信用代码：124403044557440305</w:t>
      </w:r>
    </w:p>
    <w:p w14:paraId="491657B7">
      <w:pPr>
        <w:widowControl/>
        <w:spacing w:beforeLines="0" w:afterLines="0" w:line="560" w:lineRule="exact"/>
        <w:jc w:val="left"/>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联系人：</w:t>
      </w:r>
      <w:r>
        <w:rPr>
          <w:rFonts w:hint="eastAsia" w:ascii="宋体" w:hAnsi="宋体"/>
          <w:b w:val="0"/>
          <w:bCs/>
          <w:color w:val="000000"/>
          <w:sz w:val="24"/>
          <w:lang w:val="en-US" w:eastAsia="zh-CN"/>
        </w:rPr>
        <w:t>赵洁</w:t>
      </w:r>
    </w:p>
    <w:p w14:paraId="65904482">
      <w:pPr>
        <w:widowControl/>
        <w:spacing w:beforeLines="0" w:afterLines="0" w:line="560" w:lineRule="exact"/>
        <w:jc w:val="left"/>
        <w:rPr>
          <w:rFonts w:hint="eastAsia" w:ascii="宋体" w:hAnsi="宋体" w:eastAsia="宋体" w:cs="宋体"/>
          <w:sz w:val="24"/>
          <w:szCs w:val="24"/>
          <w:lang w:val="en-US" w:eastAsia="zh-CN"/>
        </w:rPr>
      </w:pPr>
      <w:r>
        <w:rPr>
          <w:rFonts w:hint="eastAsia" w:ascii="宋体" w:hAnsi="宋体" w:eastAsia="宋体" w:cs="宋体"/>
          <w:bCs/>
          <w:kern w:val="0"/>
          <w:sz w:val="24"/>
          <w:szCs w:val="24"/>
        </w:rPr>
        <w:t>联系电话：</w:t>
      </w:r>
      <w:r>
        <w:rPr>
          <w:rFonts w:hint="eastAsia" w:ascii="宋体" w:hAnsi="宋体"/>
          <w:b w:val="0"/>
          <w:bCs/>
          <w:color w:val="000000"/>
          <w:sz w:val="24"/>
          <w:lang w:val="en-US" w:eastAsia="zh-CN"/>
        </w:rPr>
        <w:t>13688806803</w:t>
      </w:r>
    </w:p>
    <w:p w14:paraId="5D8D7B53">
      <w:pPr>
        <w:pStyle w:val="6"/>
        <w:spacing w:beforeLines="0" w:after="0" w:afterLines="0" w:line="560" w:lineRule="exact"/>
        <w:rPr>
          <w:rFonts w:hint="eastAsia"/>
          <w:lang w:val="en-US" w:eastAsia="zh-CN"/>
        </w:rPr>
      </w:pPr>
    </w:p>
    <w:p w14:paraId="1DA9C66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ascii="宋体" w:hAnsi="宋体"/>
          <w:color w:val="000000"/>
          <w:sz w:val="24"/>
          <w:szCs w:val="24"/>
        </w:rPr>
      </w:pPr>
      <w:r>
        <w:rPr>
          <w:rFonts w:hint="eastAsia" w:ascii="宋体" w:hAnsi="宋体"/>
          <w:color w:val="000000"/>
          <w:sz w:val="24"/>
          <w:szCs w:val="24"/>
          <w:lang w:val="en-US" w:eastAsia="zh-CN"/>
        </w:rPr>
        <w:t>根据《中华人民共和国民法典》等相关法律法规，</w:t>
      </w:r>
      <w:r>
        <w:rPr>
          <w:rFonts w:hint="eastAsia" w:ascii="宋体" w:hAnsi="宋体"/>
          <w:color w:val="000000"/>
          <w:sz w:val="24"/>
          <w:szCs w:val="24"/>
        </w:rPr>
        <w:t>甲、乙双方经友好协商，约定乙方为甲方提供健康体检服务。甲、乙双方在平等、自愿、互利的基础上，就健康体检事宜达成如下协议：</w:t>
      </w:r>
    </w:p>
    <w:p w14:paraId="42051C8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eastAsia="宋体"/>
          <w:color w:val="000000"/>
          <w:sz w:val="24"/>
          <w:szCs w:val="24"/>
          <w:highlight w:val="yellow"/>
          <w:lang w:eastAsia="zh-CN"/>
        </w:rPr>
      </w:pPr>
      <w:r>
        <w:rPr>
          <w:rFonts w:hint="eastAsia" w:ascii="宋体" w:hAnsi="宋体"/>
          <w:b/>
          <w:color w:val="000000"/>
          <w:sz w:val="24"/>
          <w:szCs w:val="24"/>
        </w:rPr>
        <w:t>第一条</w:t>
      </w:r>
      <w:r>
        <w:rPr>
          <w:rFonts w:hint="eastAsia" w:ascii="宋体" w:hAnsi="宋体"/>
          <w:color w:val="000000"/>
          <w:sz w:val="24"/>
          <w:szCs w:val="24"/>
        </w:rPr>
        <w:t xml:space="preserve">  体检日期：</w:t>
      </w:r>
      <w:r>
        <w:rPr>
          <w:rFonts w:hint="eastAsia" w:ascii="宋体" w:hAnsi="宋体"/>
          <w:color w:val="000000"/>
          <w:sz w:val="24"/>
          <w:szCs w:val="24"/>
          <w:highlight w:val="none"/>
          <w:lang w:val="en-US" w:eastAsia="zh-CN"/>
        </w:rPr>
        <w:t>自合同签订日期起一年内集中体检。</w:t>
      </w:r>
    </w:p>
    <w:p w14:paraId="592CE052">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eastAsia="宋体"/>
          <w:b w:val="0"/>
          <w:bCs/>
          <w:color w:val="000000"/>
          <w:sz w:val="24"/>
          <w:szCs w:val="24"/>
          <w:lang w:val="en-US" w:eastAsia="zh-CN"/>
        </w:rPr>
      </w:pPr>
      <w:r>
        <w:rPr>
          <w:rFonts w:hint="eastAsia" w:ascii="宋体" w:hAnsi="宋体"/>
          <w:b/>
          <w:color w:val="000000"/>
          <w:sz w:val="24"/>
          <w:szCs w:val="24"/>
        </w:rPr>
        <w:t>第二条</w:t>
      </w:r>
      <w:r>
        <w:rPr>
          <w:rFonts w:hint="eastAsia" w:ascii="宋体" w:hAnsi="宋体"/>
          <w:color w:val="000000"/>
          <w:sz w:val="24"/>
          <w:szCs w:val="24"/>
        </w:rPr>
        <w:t xml:space="preserve">  体检地点：</w:t>
      </w:r>
      <w:r>
        <w:rPr>
          <w:rFonts w:hint="eastAsia" w:ascii="宋体" w:hAnsi="宋体"/>
          <w:b w:val="0"/>
          <w:bCs/>
          <w:color w:val="000000"/>
          <w:sz w:val="24"/>
          <w:szCs w:val="24"/>
        </w:rPr>
        <w:t>中山大学附属第八医院（深圳福田)</w:t>
      </w:r>
      <w:r>
        <w:rPr>
          <w:rFonts w:hint="eastAsia" w:ascii="宋体" w:hAnsi="宋体"/>
          <w:b w:val="0"/>
          <w:bCs/>
          <w:color w:val="000000"/>
          <w:sz w:val="24"/>
          <w:szCs w:val="24"/>
          <w:lang w:val="en-US" w:eastAsia="zh-CN"/>
        </w:rPr>
        <w:t>健康管理中心。</w:t>
      </w:r>
    </w:p>
    <w:p w14:paraId="30757B9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rPr>
        <w:t>第三条</w:t>
      </w:r>
      <w:r>
        <w:rPr>
          <w:rFonts w:hint="eastAsia" w:ascii="宋体" w:hAnsi="宋体"/>
          <w:color w:val="000000"/>
          <w:sz w:val="24"/>
          <w:szCs w:val="24"/>
        </w:rPr>
        <w:t xml:space="preserve">  </w:t>
      </w:r>
      <w:r>
        <w:rPr>
          <w:rFonts w:hint="eastAsia" w:ascii="宋体" w:hAnsi="宋体"/>
          <w:sz w:val="24"/>
          <w:szCs w:val="24"/>
        </w:rPr>
        <w:t>甲方负责与乙方确认参检人数及其信息、体检项目/套餐</w:t>
      </w:r>
      <w:r>
        <w:rPr>
          <w:rFonts w:hint="eastAsia" w:ascii="宋体" w:hAnsi="宋体"/>
          <w:color w:val="000000"/>
          <w:sz w:val="24"/>
          <w:szCs w:val="24"/>
        </w:rPr>
        <w:t>（体检项目/套餐价格请见附件）。</w:t>
      </w:r>
    </w:p>
    <w:p w14:paraId="015737E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highlight w:val="none"/>
        </w:rPr>
      </w:pPr>
      <w:r>
        <w:rPr>
          <w:rFonts w:hint="eastAsia" w:ascii="宋体" w:hAnsi="宋体"/>
          <w:b/>
          <w:color w:val="000000"/>
          <w:sz w:val="24"/>
          <w:szCs w:val="24"/>
          <w:highlight w:val="none"/>
        </w:rPr>
        <w:t>第四条</w:t>
      </w:r>
      <w:r>
        <w:rPr>
          <w:rFonts w:hint="eastAsia" w:ascii="宋体" w:hAnsi="宋体"/>
          <w:color w:val="000000"/>
          <w:sz w:val="24"/>
          <w:szCs w:val="24"/>
          <w:highlight w:val="none"/>
        </w:rPr>
        <w:t xml:space="preserve">  体检特殊情况的处理  </w:t>
      </w:r>
    </w:p>
    <w:p w14:paraId="578DA3C9">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ascii="宋体" w:hAnsi="宋体"/>
          <w:color w:val="000000"/>
          <w:sz w:val="24"/>
          <w:szCs w:val="24"/>
          <w:highlight w:val="none"/>
        </w:rPr>
      </w:pPr>
      <w:r>
        <w:rPr>
          <w:rFonts w:hint="eastAsia" w:ascii="宋体" w:hAnsi="宋体"/>
          <w:color w:val="000000"/>
          <w:sz w:val="24"/>
          <w:szCs w:val="24"/>
          <w:highlight w:val="none"/>
        </w:rPr>
        <w:t>（一）经甲方与乙方确认的参检人员未按</w:t>
      </w:r>
      <w:r>
        <w:rPr>
          <w:rFonts w:hint="eastAsia" w:ascii="宋体" w:hAnsi="宋体"/>
          <w:color w:val="000000"/>
          <w:sz w:val="24"/>
          <w:szCs w:val="24"/>
          <w:highlight w:val="none"/>
          <w:lang w:val="en-US" w:eastAsia="zh-CN"/>
        </w:rPr>
        <w:t>本</w:t>
      </w:r>
      <w:r>
        <w:rPr>
          <w:rFonts w:hint="eastAsia" w:ascii="宋体" w:hAnsi="宋体"/>
          <w:color w:val="000000"/>
          <w:sz w:val="24"/>
          <w:szCs w:val="24"/>
          <w:highlight w:val="none"/>
        </w:rPr>
        <w:t>协议附件约定而缺检或漏检的体检项目，</w:t>
      </w:r>
      <w:r>
        <w:rPr>
          <w:rFonts w:hint="eastAsia" w:ascii="宋体" w:hAnsi="宋体"/>
          <w:color w:val="000000"/>
          <w:sz w:val="24"/>
          <w:szCs w:val="24"/>
          <w:highlight w:val="none"/>
          <w:lang w:val="en-US" w:eastAsia="zh-CN"/>
        </w:rPr>
        <w:t>若参检人员体检后两周内未补检则</w:t>
      </w:r>
      <w:r>
        <w:rPr>
          <w:rFonts w:hint="eastAsia" w:ascii="宋体" w:hAnsi="宋体"/>
          <w:color w:val="000000"/>
          <w:sz w:val="24"/>
          <w:szCs w:val="24"/>
          <w:highlight w:val="none"/>
        </w:rPr>
        <w:t>视为甲方自行放弃该体检项目，甲方缺、漏检项目人员的体检费用仍按第三条及附件中的套餐价结算。</w:t>
      </w:r>
    </w:p>
    <w:p w14:paraId="67ABFAF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ascii="宋体" w:hAnsi="宋体"/>
          <w:color w:val="000000"/>
          <w:sz w:val="24"/>
          <w:szCs w:val="24"/>
        </w:rPr>
      </w:pPr>
      <w:r>
        <w:rPr>
          <w:rFonts w:hint="eastAsia" w:ascii="宋体" w:hAnsi="宋体"/>
          <w:color w:val="000000"/>
          <w:sz w:val="24"/>
          <w:szCs w:val="24"/>
          <w:highlight w:val="none"/>
        </w:rPr>
        <w:t>（二）经甲方与乙方确认的参检人员未能在本</w:t>
      </w:r>
      <w:r>
        <w:rPr>
          <w:rFonts w:hint="eastAsia" w:ascii="宋体" w:hAnsi="宋体"/>
          <w:color w:val="000000"/>
          <w:sz w:val="24"/>
          <w:szCs w:val="24"/>
          <w:highlight w:val="none"/>
          <w:lang w:val="en-US" w:eastAsia="zh-CN"/>
        </w:rPr>
        <w:t>协议</w:t>
      </w:r>
      <w:r>
        <w:rPr>
          <w:rFonts w:hint="eastAsia" w:ascii="宋体" w:hAnsi="宋体"/>
          <w:color w:val="000000"/>
          <w:sz w:val="24"/>
          <w:szCs w:val="24"/>
          <w:highlight w:val="none"/>
        </w:rPr>
        <w:t>第一条约定的最晚期限内</w:t>
      </w:r>
      <w:r>
        <w:rPr>
          <w:rFonts w:hint="eastAsia" w:ascii="宋体" w:hAnsi="宋体"/>
          <w:color w:val="000000"/>
          <w:sz w:val="24"/>
          <w:szCs w:val="24"/>
        </w:rPr>
        <w:t>参加体检的，视为乙方已完成</w:t>
      </w:r>
      <w:r>
        <w:rPr>
          <w:rFonts w:hint="eastAsia" w:ascii="宋体" w:hAnsi="宋体"/>
          <w:color w:val="000000"/>
          <w:sz w:val="24"/>
          <w:szCs w:val="24"/>
          <w:lang w:val="en-US" w:eastAsia="zh-CN"/>
        </w:rPr>
        <w:t>本协议健康</w:t>
      </w:r>
      <w:r>
        <w:rPr>
          <w:rFonts w:hint="eastAsia" w:ascii="宋体" w:hAnsi="宋体"/>
          <w:color w:val="000000"/>
          <w:sz w:val="24"/>
          <w:szCs w:val="24"/>
        </w:rPr>
        <w:t>体检</w:t>
      </w:r>
      <w:r>
        <w:rPr>
          <w:rFonts w:hint="eastAsia" w:ascii="宋体" w:hAnsi="宋体"/>
          <w:color w:val="000000"/>
          <w:sz w:val="24"/>
          <w:szCs w:val="24"/>
          <w:lang w:val="en-US" w:eastAsia="zh-CN"/>
        </w:rPr>
        <w:t>服务</w:t>
      </w:r>
      <w:r>
        <w:rPr>
          <w:rFonts w:hint="eastAsia" w:ascii="宋体" w:hAnsi="宋体"/>
          <w:color w:val="000000"/>
          <w:sz w:val="24"/>
          <w:szCs w:val="24"/>
        </w:rPr>
        <w:t>，甲乙双方另行协商的除外。</w:t>
      </w:r>
    </w:p>
    <w:p w14:paraId="0D3C5E9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rPr>
        <w:t>第五条</w:t>
      </w:r>
      <w:r>
        <w:rPr>
          <w:rFonts w:hint="eastAsia" w:ascii="宋体" w:hAnsi="宋体"/>
          <w:color w:val="000000"/>
          <w:sz w:val="24"/>
          <w:szCs w:val="24"/>
        </w:rPr>
        <w:t xml:space="preserve">  体检费用与付款方式 </w:t>
      </w:r>
    </w:p>
    <w:p w14:paraId="147E14B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rPr>
        <w:t>（一）体检费用结算  甲方来检人员全部检完（</w:t>
      </w:r>
      <w:r>
        <w:rPr>
          <w:rFonts w:hint="eastAsia" w:ascii="宋体" w:hAnsi="宋体"/>
          <w:color w:val="000000"/>
          <w:sz w:val="24"/>
          <w:szCs w:val="24"/>
          <w:highlight w:val="none"/>
        </w:rPr>
        <w:t>不含</w:t>
      </w:r>
      <w:r>
        <w:rPr>
          <w:rFonts w:hint="eastAsia" w:ascii="宋体" w:hAnsi="宋体"/>
          <w:color w:val="000000"/>
          <w:sz w:val="24"/>
          <w:szCs w:val="24"/>
          <w:highlight w:val="none"/>
          <w:lang w:val="en-US" w:eastAsia="zh-CN"/>
        </w:rPr>
        <w:t>未能按</w:t>
      </w:r>
      <w:r>
        <w:rPr>
          <w:rFonts w:hint="eastAsia" w:ascii="宋体" w:hAnsi="宋体"/>
          <w:color w:val="000000"/>
          <w:sz w:val="24"/>
          <w:szCs w:val="24"/>
          <w:highlight w:val="none"/>
        </w:rPr>
        <w:t>本</w:t>
      </w:r>
      <w:r>
        <w:rPr>
          <w:rFonts w:hint="eastAsia" w:ascii="宋体" w:hAnsi="宋体"/>
          <w:color w:val="000000"/>
          <w:sz w:val="24"/>
          <w:szCs w:val="24"/>
          <w:highlight w:val="none"/>
          <w:lang w:val="en-US" w:eastAsia="zh-CN"/>
        </w:rPr>
        <w:t>协议</w:t>
      </w:r>
      <w:r>
        <w:rPr>
          <w:rFonts w:hint="eastAsia" w:ascii="宋体" w:hAnsi="宋体"/>
          <w:color w:val="000000"/>
          <w:sz w:val="24"/>
          <w:szCs w:val="24"/>
          <w:highlight w:val="none"/>
        </w:rPr>
        <w:t>第一条约定的最晚期限内参加体检的</w:t>
      </w:r>
      <w:r>
        <w:rPr>
          <w:rFonts w:hint="eastAsia" w:ascii="宋体" w:hAnsi="宋体"/>
          <w:color w:val="000000"/>
          <w:sz w:val="24"/>
          <w:szCs w:val="24"/>
          <w:highlight w:val="none"/>
          <w:lang w:val="en-US" w:eastAsia="zh-CN"/>
        </w:rPr>
        <w:t>人员</w:t>
      </w:r>
      <w:r>
        <w:rPr>
          <w:rFonts w:hint="eastAsia" w:ascii="宋体" w:hAnsi="宋体"/>
          <w:color w:val="000000"/>
          <w:sz w:val="24"/>
          <w:szCs w:val="24"/>
          <w:highlight w:val="none"/>
        </w:rPr>
        <w:t>）后，</w:t>
      </w:r>
      <w:r>
        <w:rPr>
          <w:rFonts w:hint="eastAsia" w:ascii="宋体" w:hAnsi="宋体"/>
          <w:color w:val="000000"/>
          <w:sz w:val="24"/>
          <w:szCs w:val="24"/>
          <w:highlight w:val="none"/>
          <w:lang w:val="en-US" w:eastAsia="zh-CN"/>
        </w:rPr>
        <w:t>通知乙方结算，乙方以甲方实际体检人数及套餐为准，据实结算。乙方收到结算通知后  10 个工作日内完成结算，并通知甲方，自通知甲方之日起三个工作日内双方确认总结算金额。</w:t>
      </w:r>
    </w:p>
    <w:p w14:paraId="59AFBF9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（二）付款方式与时间  甲方自收到乙方开具的广东省医疗收费票据之日起十个工作日内，按双方确认的总结算金额以对公转账至乙方如下账户：</w:t>
      </w:r>
    </w:p>
    <w:p w14:paraId="49611F6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 xml:space="preserve">乙方开户银行及账号：   </w:t>
      </w:r>
    </w:p>
    <w:p w14:paraId="0C2B8D32">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名称：中山大学附属第八医院（深圳福田）</w:t>
      </w:r>
    </w:p>
    <w:p w14:paraId="43D1EB2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对公账号：812781616810001</w:t>
      </w:r>
    </w:p>
    <w:p w14:paraId="07A5A7C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开户行：招商银行深圳中心区支行</w:t>
      </w:r>
    </w:p>
    <w:p w14:paraId="0F18C94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hint="eastAsia"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因乙方提交发票迟延导致甲方付款迟延，不视为甲方违约，甲方不承担任何违约责任。</w:t>
      </w:r>
    </w:p>
    <w:p w14:paraId="74BEAD4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rPr>
        <w:t>第六条</w:t>
      </w:r>
      <w:r>
        <w:rPr>
          <w:rFonts w:hint="eastAsia" w:ascii="宋体" w:hAnsi="宋体"/>
          <w:color w:val="000000"/>
          <w:sz w:val="24"/>
          <w:szCs w:val="24"/>
        </w:rPr>
        <w:t xml:space="preserve">  甲方权利与义务</w:t>
      </w:r>
    </w:p>
    <w:p w14:paraId="3CCE1AC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ascii="宋体" w:hAnsi="宋体"/>
          <w:color w:val="000000"/>
          <w:sz w:val="24"/>
          <w:szCs w:val="24"/>
        </w:rPr>
      </w:pPr>
      <w:r>
        <w:rPr>
          <w:rFonts w:hint="eastAsia" w:ascii="宋体" w:hAnsi="宋体"/>
          <w:color w:val="000000"/>
          <w:sz w:val="24"/>
          <w:szCs w:val="24"/>
        </w:rPr>
        <w:t>（一） 甲方有权享受本协议约定的由乙方提供优质的体检服务。</w:t>
      </w:r>
    </w:p>
    <w:p w14:paraId="3C0A582C">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480" w:firstLineChars="200"/>
        <w:textAlignment w:val="auto"/>
        <w:rPr>
          <w:rFonts w:ascii="宋体" w:hAnsi="宋体"/>
          <w:color w:val="auto"/>
          <w:sz w:val="24"/>
          <w:szCs w:val="24"/>
        </w:rPr>
      </w:pPr>
      <w:r>
        <w:rPr>
          <w:rFonts w:hint="eastAsia" w:ascii="宋体" w:hAnsi="宋体"/>
          <w:color w:val="000000"/>
          <w:sz w:val="24"/>
          <w:szCs w:val="24"/>
        </w:rPr>
        <w:t xml:space="preserve">（二） </w:t>
      </w:r>
      <w:r>
        <w:rPr>
          <w:rFonts w:hint="eastAsia" w:ascii="宋体" w:hAnsi="宋体"/>
          <w:color w:val="auto"/>
          <w:sz w:val="24"/>
          <w:szCs w:val="24"/>
        </w:rPr>
        <w:t>甲方有权保护身体健康状况方面的个人隐私，并要求乙方予以保密。</w:t>
      </w:r>
      <w:r>
        <w:rPr>
          <w:rFonts w:hint="eastAsia"/>
          <w:snapToGrid w:val="0"/>
          <w:color w:val="auto"/>
          <w:sz w:val="24"/>
          <w:szCs w:val="24"/>
        </w:rPr>
        <w:t>乙方保证在签订和履行</w:t>
      </w:r>
      <w:r>
        <w:rPr>
          <w:rFonts w:hint="eastAsia"/>
          <w:snapToGrid w:val="0"/>
          <w:color w:val="auto"/>
          <w:sz w:val="24"/>
          <w:szCs w:val="24"/>
          <w:lang w:val="en-US" w:eastAsia="zh-CN"/>
        </w:rPr>
        <w:t>本协议</w:t>
      </w:r>
      <w:r>
        <w:rPr>
          <w:rFonts w:hint="eastAsia"/>
          <w:snapToGrid w:val="0"/>
          <w:color w:val="auto"/>
          <w:sz w:val="24"/>
          <w:szCs w:val="24"/>
        </w:rPr>
        <w:t>过程中获知的甲方人员的各项资料、信息、结果等，无论在</w:t>
      </w:r>
      <w:r>
        <w:rPr>
          <w:rFonts w:hint="eastAsia"/>
          <w:snapToGrid w:val="0"/>
          <w:color w:val="auto"/>
          <w:sz w:val="24"/>
          <w:szCs w:val="24"/>
          <w:lang w:val="en-US" w:eastAsia="zh-CN"/>
        </w:rPr>
        <w:t>协议履行期间</w:t>
      </w:r>
      <w:r>
        <w:rPr>
          <w:rFonts w:hint="eastAsia"/>
          <w:snapToGrid w:val="0"/>
          <w:color w:val="auto"/>
          <w:sz w:val="24"/>
          <w:szCs w:val="24"/>
        </w:rPr>
        <w:t>或</w:t>
      </w:r>
      <w:r>
        <w:rPr>
          <w:rFonts w:hint="eastAsia"/>
          <w:snapToGrid w:val="0"/>
          <w:color w:val="auto"/>
          <w:sz w:val="24"/>
          <w:szCs w:val="24"/>
          <w:lang w:val="en-US" w:eastAsia="zh-CN"/>
        </w:rPr>
        <w:t>协议</w:t>
      </w:r>
      <w:r>
        <w:rPr>
          <w:rFonts w:hint="eastAsia"/>
          <w:snapToGrid w:val="0"/>
          <w:color w:val="auto"/>
          <w:sz w:val="24"/>
          <w:szCs w:val="24"/>
        </w:rPr>
        <w:t>终止后，均应予以保密，未经甲方事先书面授权，乙方不得以任何方式向其他组织部门或个人泄密、转让、许可使用及交换。若因此给甲方造成损失的，由乙方承担全部赔偿责任。国家司法机关、执行机关依法要求披露的除外。</w:t>
      </w:r>
    </w:p>
    <w:p w14:paraId="217AD2E1">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ascii="宋体" w:hAnsi="宋体"/>
          <w:color w:val="000000"/>
          <w:sz w:val="24"/>
          <w:szCs w:val="24"/>
        </w:rPr>
      </w:pPr>
      <w:r>
        <w:rPr>
          <w:rFonts w:hint="eastAsia" w:ascii="宋体" w:hAnsi="宋体"/>
          <w:color w:val="000000"/>
          <w:sz w:val="24"/>
          <w:szCs w:val="24"/>
        </w:rPr>
        <w:t>（三） 甲方对其确认的参检人数及其信息负责。甲方应在乙方提供体检服务</w:t>
      </w:r>
      <w:r>
        <w:rPr>
          <w:rFonts w:hint="eastAsia" w:ascii="宋体" w:hAnsi="宋体"/>
          <w:color w:val="000000"/>
          <w:sz w:val="24"/>
          <w:szCs w:val="24"/>
          <w:u w:val="single"/>
        </w:rPr>
        <w:t>10</w:t>
      </w:r>
      <w:r>
        <w:rPr>
          <w:rFonts w:hint="eastAsia" w:ascii="宋体" w:hAnsi="宋体"/>
          <w:color w:val="000000"/>
          <w:sz w:val="24"/>
          <w:szCs w:val="24"/>
        </w:rPr>
        <w:t>个工作日前，向乙方提供（Excel电子版）参检人员的个人资料（包括姓名、性别、年龄、参检项目），并确保实际参检人员与所提供的参检人员资料一致。甲方参检人员应当向乙方体检医师提供个人既往病史、婚否、过敏史。如因身份不符或甲方人员故意/过失隐瞒既往病史、过敏史导致结果错误</w:t>
      </w:r>
      <w:r>
        <w:rPr>
          <w:rFonts w:hint="eastAsia" w:ascii="宋体" w:hAnsi="宋体"/>
          <w:color w:val="000000"/>
          <w:sz w:val="24"/>
          <w:szCs w:val="24"/>
          <w:lang w:val="en-US" w:eastAsia="zh-CN"/>
        </w:rPr>
        <w:t>或</w:t>
      </w:r>
      <w:r>
        <w:rPr>
          <w:rFonts w:hint="eastAsia" w:ascii="宋体" w:hAnsi="宋体"/>
          <w:color w:val="000000"/>
          <w:sz w:val="24"/>
          <w:szCs w:val="24"/>
        </w:rPr>
        <w:t>其他不良后果</w:t>
      </w:r>
      <w:r>
        <w:rPr>
          <w:rFonts w:hint="eastAsia" w:ascii="宋体" w:hAnsi="宋体"/>
          <w:color w:val="000000"/>
          <w:sz w:val="24"/>
          <w:szCs w:val="24"/>
          <w:lang w:val="en-US" w:eastAsia="zh-CN"/>
        </w:rPr>
        <w:t>的</w:t>
      </w:r>
      <w:r>
        <w:rPr>
          <w:rFonts w:hint="eastAsia" w:ascii="宋体" w:hAnsi="宋体"/>
          <w:color w:val="000000"/>
          <w:sz w:val="24"/>
          <w:szCs w:val="24"/>
        </w:rPr>
        <w:t>，</w:t>
      </w:r>
      <w:r>
        <w:rPr>
          <w:rFonts w:hint="eastAsia" w:ascii="宋体" w:hAnsi="宋体"/>
          <w:color w:val="000000"/>
          <w:sz w:val="24"/>
          <w:szCs w:val="24"/>
          <w:lang w:eastAsia="zh-CN"/>
        </w:rPr>
        <w:t>乙方不</w:t>
      </w:r>
      <w:r>
        <w:rPr>
          <w:rFonts w:hint="eastAsia" w:ascii="宋体" w:hAnsi="宋体"/>
          <w:color w:val="000000"/>
          <w:sz w:val="24"/>
          <w:szCs w:val="24"/>
        </w:rPr>
        <w:t>承担</w:t>
      </w:r>
      <w:r>
        <w:rPr>
          <w:rFonts w:hint="eastAsia" w:ascii="宋体" w:hAnsi="宋体"/>
          <w:color w:val="000000"/>
          <w:sz w:val="24"/>
          <w:szCs w:val="24"/>
          <w:lang w:val="en-US" w:eastAsia="zh-CN"/>
        </w:rPr>
        <w:t>任何</w:t>
      </w:r>
      <w:r>
        <w:rPr>
          <w:rFonts w:hint="eastAsia" w:ascii="宋体" w:hAnsi="宋体"/>
          <w:color w:val="000000"/>
          <w:sz w:val="24"/>
          <w:szCs w:val="24"/>
        </w:rPr>
        <w:t>责任。</w:t>
      </w:r>
    </w:p>
    <w:p w14:paraId="5784AFD2">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ascii="宋体" w:hAnsi="宋体"/>
          <w:color w:val="000000"/>
          <w:sz w:val="24"/>
          <w:szCs w:val="24"/>
        </w:rPr>
      </w:pPr>
      <w:r>
        <w:rPr>
          <w:rFonts w:hint="eastAsia" w:ascii="宋体" w:hAnsi="宋体"/>
          <w:color w:val="000000"/>
          <w:sz w:val="24"/>
          <w:szCs w:val="24"/>
        </w:rPr>
        <w:t>（四） 甲方应督促其参检人员配合乙方按时参加体检。若因甲方原因导致50%以上（含本数）参检人员无法按时体检，需双方协商是否重新安排体检时间。</w:t>
      </w:r>
    </w:p>
    <w:p w14:paraId="240448A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rPr>
        <w:t>第七条</w:t>
      </w:r>
      <w:r>
        <w:rPr>
          <w:rFonts w:hint="eastAsia" w:ascii="宋体" w:hAnsi="宋体"/>
          <w:color w:val="000000"/>
          <w:sz w:val="24"/>
          <w:szCs w:val="24"/>
        </w:rPr>
        <w:t xml:space="preserve">  乙方权利与义务</w:t>
      </w:r>
    </w:p>
    <w:p w14:paraId="2DEC2F9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ascii="宋体" w:hAnsi="宋体"/>
          <w:color w:val="000000"/>
          <w:sz w:val="24"/>
          <w:szCs w:val="24"/>
        </w:rPr>
      </w:pPr>
      <w:r>
        <w:rPr>
          <w:rFonts w:hint="eastAsia" w:ascii="宋体" w:hAnsi="宋体"/>
          <w:color w:val="000000"/>
          <w:sz w:val="24"/>
          <w:szCs w:val="24"/>
        </w:rPr>
        <w:t>（一） 乙方体检医师在体检中应了解甲方参检人员的个人既往病史、过敏史。</w:t>
      </w:r>
    </w:p>
    <w:p w14:paraId="4A32DD98">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hint="eastAsia" w:ascii="宋体" w:hAnsi="宋体"/>
          <w:color w:val="000000"/>
          <w:sz w:val="24"/>
          <w:szCs w:val="24"/>
        </w:rPr>
      </w:pPr>
      <w:r>
        <w:rPr>
          <w:rFonts w:hint="eastAsia" w:ascii="宋体" w:hAnsi="宋体"/>
          <w:color w:val="000000"/>
          <w:sz w:val="24"/>
          <w:szCs w:val="24"/>
        </w:rPr>
        <w:t>（二） 乙方应按本协议约定及时向甲方提供书面体检报告：在甲方体检人员结束集中体检后</w:t>
      </w:r>
      <w:r>
        <w:rPr>
          <w:rFonts w:hint="eastAsia" w:ascii="宋体" w:hAnsi="宋体"/>
          <w:color w:val="000000"/>
          <w:sz w:val="24"/>
          <w:szCs w:val="24"/>
          <w:u w:val="single"/>
        </w:rPr>
        <w:t xml:space="preserve">  15 </w:t>
      </w:r>
      <w:r>
        <w:rPr>
          <w:rFonts w:hint="eastAsia" w:ascii="宋体" w:hAnsi="宋体"/>
          <w:color w:val="000000"/>
          <w:sz w:val="24"/>
          <w:szCs w:val="24"/>
        </w:rPr>
        <w:t>个工作日内提供体检报告</w:t>
      </w:r>
      <w:r>
        <w:rPr>
          <w:rFonts w:hint="eastAsia" w:ascii="宋体" w:hAnsi="宋体"/>
          <w:color w:val="000000"/>
          <w:sz w:val="24"/>
          <w:szCs w:val="24"/>
          <w:lang w:eastAsia="zh-CN"/>
        </w:rPr>
        <w:t>。</w:t>
      </w:r>
    </w:p>
    <w:p w14:paraId="1C65E577">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560" w:lineRule="exact"/>
        <w:ind w:firstLine="360" w:firstLineChars="150"/>
        <w:textAlignment w:val="auto"/>
        <w:rPr>
          <w:rFonts w:hint="eastAsia" w:ascii="宋体" w:hAnsi="宋体"/>
          <w:color w:val="000000"/>
          <w:sz w:val="24"/>
          <w:szCs w:val="24"/>
        </w:rPr>
      </w:pPr>
      <w:r>
        <w:rPr>
          <w:rFonts w:hint="eastAsia" w:ascii="宋体" w:hAnsi="宋体"/>
          <w:color w:val="000000"/>
          <w:sz w:val="24"/>
          <w:szCs w:val="24"/>
        </w:rPr>
        <w:t>乙方应按本协议书约定，为甲方提供高质量的体检服务</w:t>
      </w:r>
      <w:r>
        <w:rPr>
          <w:rFonts w:hint="eastAsia" w:ascii="宋体" w:hAnsi="宋体"/>
          <w:color w:val="000000"/>
          <w:sz w:val="24"/>
          <w:szCs w:val="24"/>
          <w:lang w:eastAsia="zh-CN"/>
        </w:rPr>
        <w:t>。</w:t>
      </w:r>
    </w:p>
    <w:p w14:paraId="6327DC05">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firstLine="360" w:firstLineChars="150"/>
        <w:textAlignment w:val="auto"/>
        <w:rPr>
          <w:rFonts w:hint="eastAsia" w:ascii="宋体" w:hAnsi="宋体"/>
          <w:color w:val="000000"/>
          <w:sz w:val="24"/>
          <w:szCs w:val="24"/>
          <w:lang w:eastAsia="zh-CN"/>
        </w:rPr>
      </w:pPr>
      <w:r>
        <w:rPr>
          <w:rFonts w:hint="eastAsia" w:ascii="宋体" w:hAnsi="宋体"/>
          <w:color w:val="000000"/>
          <w:sz w:val="24"/>
          <w:szCs w:val="24"/>
        </w:rPr>
        <w:t>乙方应尊重、保护甲方参检人员的个人隐私，维护甲方的正当消费权益。乙方</w:t>
      </w:r>
      <w:r>
        <w:rPr>
          <w:rFonts w:hint="eastAsia" w:ascii="宋体" w:hAnsi="宋体"/>
          <w:color w:val="000000"/>
          <w:sz w:val="24"/>
          <w:szCs w:val="24"/>
          <w:lang w:val="en-US" w:eastAsia="zh-CN"/>
        </w:rPr>
        <w:t>承诺未经法定程序，</w:t>
      </w:r>
      <w:r>
        <w:rPr>
          <w:rFonts w:hint="eastAsia" w:ascii="宋体" w:hAnsi="宋体"/>
          <w:color w:val="000000"/>
          <w:sz w:val="24"/>
          <w:szCs w:val="24"/>
        </w:rPr>
        <w:t>不得向</w:t>
      </w:r>
      <w:r>
        <w:rPr>
          <w:rFonts w:hint="eastAsia" w:ascii="宋体" w:hAnsi="宋体"/>
          <w:color w:val="000000"/>
          <w:sz w:val="24"/>
          <w:szCs w:val="24"/>
          <w:lang w:val="en-US" w:eastAsia="zh-CN"/>
        </w:rPr>
        <w:t>任何</w:t>
      </w:r>
      <w:r>
        <w:rPr>
          <w:rFonts w:hint="eastAsia" w:ascii="宋体" w:hAnsi="宋体"/>
          <w:color w:val="000000"/>
          <w:sz w:val="24"/>
          <w:szCs w:val="24"/>
        </w:rPr>
        <w:t>组织部门或个人提供或泄露涉及甲方参检人员的任何信息资料或体检报告内容</w:t>
      </w:r>
      <w:r>
        <w:rPr>
          <w:rFonts w:hint="eastAsia" w:ascii="宋体" w:hAnsi="宋体"/>
          <w:color w:val="000000"/>
          <w:sz w:val="24"/>
          <w:szCs w:val="24"/>
          <w:lang w:eastAsia="zh-CN"/>
        </w:rPr>
        <w:t>。</w:t>
      </w:r>
    </w:p>
    <w:p w14:paraId="705B6A76">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rPr>
        <w:t>第八条</w:t>
      </w:r>
      <w:r>
        <w:rPr>
          <w:rFonts w:hint="eastAsia" w:ascii="宋体" w:hAnsi="宋体"/>
          <w:color w:val="000000"/>
          <w:sz w:val="24"/>
          <w:szCs w:val="24"/>
        </w:rPr>
        <w:t xml:space="preserve">  其他事项</w:t>
      </w:r>
    </w:p>
    <w:p w14:paraId="67A8C3C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ascii="宋体" w:hAnsi="宋体"/>
          <w:color w:val="000000"/>
          <w:sz w:val="24"/>
          <w:szCs w:val="24"/>
        </w:rPr>
      </w:pPr>
      <w:r>
        <w:rPr>
          <w:rFonts w:hint="eastAsia" w:ascii="宋体" w:hAnsi="宋体"/>
          <w:color w:val="000000"/>
          <w:sz w:val="24"/>
          <w:szCs w:val="24"/>
        </w:rPr>
        <w:t>（一） 因一方延迟履行协议，或者不适当履行协议，致使协议无法继续履行的，延迟履行或者不适当履行的一方，应当承担</w:t>
      </w:r>
      <w:r>
        <w:rPr>
          <w:rFonts w:hint="eastAsia" w:ascii="宋体" w:hAnsi="宋体"/>
          <w:color w:val="000000"/>
          <w:sz w:val="24"/>
          <w:szCs w:val="24"/>
          <w:lang w:val="en-US" w:eastAsia="zh-CN"/>
        </w:rPr>
        <w:t>因上述行为给对方造成</w:t>
      </w:r>
      <w:r>
        <w:rPr>
          <w:rFonts w:hint="eastAsia" w:ascii="宋体" w:hAnsi="宋体"/>
          <w:color w:val="000000"/>
          <w:sz w:val="24"/>
          <w:szCs w:val="24"/>
        </w:rPr>
        <w:t>的直接</w:t>
      </w:r>
      <w:r>
        <w:rPr>
          <w:rFonts w:hint="eastAsia" w:ascii="宋体" w:hAnsi="宋体"/>
          <w:color w:val="000000"/>
          <w:sz w:val="24"/>
          <w:szCs w:val="24"/>
          <w:lang w:val="en-US" w:eastAsia="zh-CN"/>
        </w:rPr>
        <w:t>损失</w:t>
      </w:r>
      <w:r>
        <w:rPr>
          <w:rFonts w:hint="eastAsia" w:ascii="宋体" w:hAnsi="宋体"/>
          <w:color w:val="000000"/>
          <w:sz w:val="24"/>
          <w:szCs w:val="24"/>
        </w:rPr>
        <w:t>。</w:t>
      </w:r>
    </w:p>
    <w:p w14:paraId="174C01A4">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ascii="宋体" w:hAnsi="宋体"/>
          <w:color w:val="000000"/>
          <w:sz w:val="24"/>
          <w:szCs w:val="24"/>
        </w:rPr>
      </w:pPr>
      <w:r>
        <w:rPr>
          <w:rFonts w:hint="eastAsia" w:ascii="宋体" w:hAnsi="宋体"/>
          <w:color w:val="000000"/>
          <w:sz w:val="24"/>
          <w:szCs w:val="24"/>
        </w:rPr>
        <w:t>（二） 如因甲方原因导致未按本协议第五条第（二）款的约定按时足额付款，</w:t>
      </w:r>
      <w:r>
        <w:rPr>
          <w:rFonts w:hint="eastAsia" w:ascii="宋体" w:hAnsi="宋体"/>
          <w:color w:val="000000"/>
          <w:sz w:val="24"/>
          <w:szCs w:val="24"/>
          <w:lang w:val="en-US" w:eastAsia="zh-CN"/>
        </w:rPr>
        <w:t>每逾期一天，</w:t>
      </w:r>
      <w:r>
        <w:rPr>
          <w:rFonts w:hint="eastAsia" w:ascii="宋体" w:hAnsi="宋体"/>
          <w:color w:val="000000"/>
          <w:sz w:val="24"/>
          <w:szCs w:val="24"/>
          <w:highlight w:val="none"/>
          <w:lang w:val="en-US" w:eastAsia="zh-CN"/>
        </w:rPr>
        <w:t>甲方应向乙方支付</w:t>
      </w:r>
      <w:r>
        <w:rPr>
          <w:rFonts w:hint="eastAsia" w:ascii="宋体" w:hAnsi="宋体"/>
          <w:color w:val="000000"/>
          <w:sz w:val="24"/>
          <w:szCs w:val="24"/>
          <w:highlight w:val="none"/>
        </w:rPr>
        <w:t>逾期未付款</w:t>
      </w:r>
      <w:r>
        <w:rPr>
          <w:rFonts w:hint="eastAsia" w:ascii="宋体" w:hAnsi="宋体"/>
          <w:color w:val="000000"/>
          <w:sz w:val="24"/>
          <w:szCs w:val="24"/>
          <w:highlight w:val="none"/>
          <w:lang w:val="en-US" w:eastAsia="zh-CN"/>
        </w:rPr>
        <w:t>金额的万分之一作为违约</w:t>
      </w:r>
      <w:r>
        <w:rPr>
          <w:rFonts w:hint="eastAsia" w:ascii="宋体" w:hAnsi="宋体"/>
          <w:color w:val="000000"/>
          <w:sz w:val="24"/>
          <w:szCs w:val="24"/>
          <w:highlight w:val="none"/>
        </w:rPr>
        <w:t>金</w:t>
      </w:r>
      <w:r>
        <w:rPr>
          <w:rFonts w:hint="eastAsia" w:ascii="宋体" w:hAnsi="宋体"/>
          <w:color w:val="000000"/>
          <w:sz w:val="24"/>
          <w:szCs w:val="24"/>
          <w:highlight w:val="none"/>
          <w:lang w:val="en-US" w:eastAsia="zh-CN"/>
        </w:rPr>
        <w:t>金</w:t>
      </w:r>
      <w:r>
        <w:rPr>
          <w:rFonts w:hint="eastAsia" w:ascii="宋体" w:hAnsi="宋体"/>
          <w:color w:val="000000"/>
          <w:sz w:val="24"/>
          <w:szCs w:val="24"/>
          <w:highlight w:val="none"/>
        </w:rPr>
        <w:t>额。</w:t>
      </w:r>
    </w:p>
    <w:p w14:paraId="6DFFBFF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hint="eastAsia" w:ascii="宋体" w:hAnsi="宋体"/>
          <w:color w:val="000000"/>
          <w:sz w:val="24"/>
          <w:szCs w:val="24"/>
        </w:rPr>
      </w:pPr>
      <w:r>
        <w:rPr>
          <w:rFonts w:hint="eastAsia" w:ascii="宋体" w:hAnsi="宋体"/>
          <w:color w:val="000000"/>
          <w:sz w:val="24"/>
          <w:szCs w:val="24"/>
        </w:rPr>
        <w:t>（三） 乙方只对本协议约定体检项目的检查结果负责，有效期三个月。如因乙方工作缺陷造成体检质量问题的，乙方应予以相应解释并无条件给予适当补救措施。因甲方参检人员的原因漏检、缺检的体检项目除外。</w:t>
      </w:r>
    </w:p>
    <w:p w14:paraId="6340A3D1">
      <w:pPr>
        <w:spacing w:beforeLines="0" w:afterLines="0" w:line="560" w:lineRule="exact"/>
        <w:ind w:firstLine="420" w:firstLineChars="200"/>
        <w:jc w:val="left"/>
        <w:rPr>
          <w:highlight w:val="none"/>
        </w:rPr>
      </w:pPr>
      <w:r>
        <w:rPr>
          <w:rFonts w:hint="eastAsia" w:cs="楷体" w:asciiTheme="minorEastAsia" w:hAnsiTheme="minorEastAsia" w:eastAsiaTheme="minorEastAsia"/>
          <w:highlight w:val="none"/>
        </w:rPr>
        <w:t>(</w:t>
      </w:r>
      <w:r>
        <w:rPr>
          <w:rFonts w:hint="eastAsia" w:cs="楷体" w:asciiTheme="minorEastAsia" w:hAnsiTheme="minorEastAsia" w:eastAsiaTheme="minorEastAsia"/>
          <w:sz w:val="24"/>
          <w:highlight w:val="none"/>
        </w:rPr>
        <w:t>四</w:t>
      </w:r>
      <w:r>
        <w:rPr>
          <w:rFonts w:hint="eastAsia" w:cs="楷体" w:asciiTheme="minorEastAsia" w:hAnsiTheme="minorEastAsia" w:eastAsiaTheme="minorEastAsia"/>
          <w:highlight w:val="none"/>
        </w:rPr>
        <w:t>）</w:t>
      </w:r>
      <w:r>
        <w:rPr>
          <w:rFonts w:hint="eastAsia" w:cs="楷体" w:asciiTheme="minorEastAsia" w:hAnsiTheme="minorEastAsia" w:eastAsiaTheme="minorEastAsia"/>
          <w:highlight w:val="none"/>
          <w:lang w:val="en-US" w:eastAsia="zh-CN"/>
        </w:rPr>
        <w:t xml:space="preserve"> </w:t>
      </w:r>
      <w:r>
        <w:rPr>
          <w:rFonts w:hint="eastAsia" w:cs="楷体" w:asciiTheme="minorEastAsia" w:hAnsiTheme="minorEastAsia" w:eastAsiaTheme="minorEastAsia"/>
          <w:sz w:val="24"/>
          <w:highlight w:val="none"/>
        </w:rPr>
        <w:t>本次体检结果仅供临床参考，不作为诊断依据和其他商业、法律用途。体检报告只供体检者本人查询和取得。</w:t>
      </w:r>
    </w:p>
    <w:p w14:paraId="3CC06D7C">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360" w:firstLineChars="150"/>
        <w:textAlignment w:val="auto"/>
        <w:rPr>
          <w:rFonts w:hint="eastAsia" w:ascii="宋体" w:hAnsi="宋体"/>
          <w:color w:val="000000"/>
          <w:sz w:val="24"/>
          <w:szCs w:val="24"/>
          <w:highlight w:val="none"/>
        </w:rPr>
      </w:pPr>
      <w:r>
        <w:rPr>
          <w:rFonts w:hint="eastAsia" w:ascii="宋体" w:hAnsi="宋体"/>
          <w:color w:val="000000"/>
          <w:sz w:val="24"/>
          <w:szCs w:val="24"/>
          <w:highlight w:val="none"/>
        </w:rPr>
        <w:t>（</w:t>
      </w:r>
      <w:r>
        <w:rPr>
          <w:rFonts w:hint="eastAsia" w:ascii="宋体" w:hAnsi="宋体"/>
          <w:color w:val="000000"/>
          <w:sz w:val="24"/>
          <w:szCs w:val="24"/>
          <w:highlight w:val="none"/>
          <w:lang w:val="en-US" w:eastAsia="zh-CN"/>
        </w:rPr>
        <w:t>五</w:t>
      </w:r>
      <w:r>
        <w:rPr>
          <w:rFonts w:hint="eastAsia" w:ascii="宋体" w:hAnsi="宋体"/>
          <w:color w:val="000000"/>
          <w:sz w:val="24"/>
          <w:szCs w:val="24"/>
          <w:highlight w:val="none"/>
        </w:rPr>
        <w:t>） 因履行本协议而发生的争议，由双方协商解决，协商不成的，</w:t>
      </w:r>
      <w:r>
        <w:rPr>
          <w:rFonts w:hint="eastAsia" w:ascii="宋体" w:hAnsi="宋体"/>
          <w:color w:val="000000"/>
          <w:sz w:val="24"/>
          <w:szCs w:val="24"/>
          <w:highlight w:val="none"/>
          <w:lang w:val="en-US" w:eastAsia="zh-CN"/>
        </w:rPr>
        <w:t>向甲方所在地有管辖权的</w:t>
      </w:r>
      <w:r>
        <w:rPr>
          <w:rFonts w:hint="eastAsia" w:ascii="宋体" w:hAnsi="宋体"/>
          <w:color w:val="000000"/>
          <w:sz w:val="24"/>
          <w:szCs w:val="24"/>
          <w:highlight w:val="none"/>
        </w:rPr>
        <w:t>人民法院</w:t>
      </w:r>
      <w:r>
        <w:rPr>
          <w:rFonts w:hint="eastAsia" w:ascii="宋体" w:hAnsi="宋体"/>
          <w:color w:val="000000"/>
          <w:sz w:val="24"/>
          <w:szCs w:val="24"/>
          <w:highlight w:val="none"/>
          <w:lang w:val="en-US" w:eastAsia="zh-CN"/>
        </w:rPr>
        <w:t>提起诉讼</w:t>
      </w:r>
      <w:r>
        <w:rPr>
          <w:rFonts w:hint="eastAsia" w:ascii="宋体" w:hAnsi="宋体"/>
          <w:color w:val="000000"/>
          <w:sz w:val="24"/>
          <w:szCs w:val="24"/>
          <w:highlight w:val="none"/>
        </w:rPr>
        <w:t>。</w:t>
      </w:r>
    </w:p>
    <w:p w14:paraId="428BDB22">
      <w:pPr>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textAlignment w:val="auto"/>
        <w:rPr>
          <w:rFonts w:hint="default" w:ascii="宋体" w:hAnsi="宋体" w:eastAsia="宋体"/>
          <w:color w:val="000000"/>
          <w:sz w:val="24"/>
          <w:szCs w:val="24"/>
          <w:highlight w:val="none"/>
          <w:lang w:val="en-US" w:eastAsia="zh-CN"/>
        </w:rPr>
      </w:pPr>
      <w:r>
        <w:rPr>
          <w:rFonts w:hint="eastAsia" w:ascii="宋体" w:hAnsi="宋体" w:eastAsia="宋体"/>
          <w:b/>
          <w:bCs/>
          <w:color w:val="000000"/>
          <w:sz w:val="24"/>
          <w:szCs w:val="24"/>
          <w:highlight w:val="none"/>
          <w:lang w:val="en-US" w:eastAsia="zh-CN"/>
        </w:rPr>
        <w:t>第九条</w:t>
      </w:r>
      <w:r>
        <w:rPr>
          <w:rFonts w:hint="eastAsia" w:ascii="宋体" w:hAnsi="宋体" w:eastAsia="宋体"/>
          <w:color w:val="000000"/>
          <w:sz w:val="24"/>
          <w:szCs w:val="24"/>
          <w:highlight w:val="none"/>
          <w:lang w:val="en-US" w:eastAsia="zh-CN"/>
        </w:rPr>
        <w:t xml:space="preserve">  本协议执行完成后，甲方将</w:t>
      </w:r>
      <w:r>
        <w:rPr>
          <w:rFonts w:hint="eastAsia" w:ascii="宋体" w:hAnsi="宋体"/>
          <w:color w:val="000000"/>
          <w:sz w:val="24"/>
          <w:szCs w:val="24"/>
          <w:highlight w:val="none"/>
          <w:lang w:val="en-US" w:eastAsia="zh-CN"/>
        </w:rPr>
        <w:t>按内部</w:t>
      </w:r>
      <w:r>
        <w:rPr>
          <w:rFonts w:hint="default" w:ascii="宋体" w:hAnsi="宋体" w:eastAsia="宋体"/>
          <w:color w:val="000000"/>
          <w:sz w:val="24"/>
          <w:szCs w:val="24"/>
          <w:highlight w:val="none"/>
          <w:lang w:val="en-US" w:eastAsia="zh-CN"/>
        </w:rPr>
        <w:t>标准对</w:t>
      </w:r>
      <w:r>
        <w:rPr>
          <w:rFonts w:hint="eastAsia" w:ascii="宋体" w:hAnsi="宋体" w:eastAsia="宋体"/>
          <w:color w:val="000000"/>
          <w:sz w:val="24"/>
          <w:szCs w:val="24"/>
          <w:highlight w:val="none"/>
          <w:lang w:val="en-US" w:eastAsia="zh-CN"/>
        </w:rPr>
        <w:t>乙方</w:t>
      </w:r>
      <w:r>
        <w:rPr>
          <w:rFonts w:hint="default" w:ascii="宋体" w:hAnsi="宋体" w:eastAsia="宋体"/>
          <w:color w:val="000000"/>
          <w:sz w:val="24"/>
          <w:szCs w:val="24"/>
          <w:highlight w:val="none"/>
          <w:lang w:val="en-US" w:eastAsia="zh-CN"/>
        </w:rPr>
        <w:t>开展履约评价</w:t>
      </w:r>
      <w:r>
        <w:rPr>
          <w:rFonts w:hint="eastAsia" w:ascii="宋体" w:hAnsi="宋体"/>
          <w:color w:val="000000"/>
          <w:sz w:val="24"/>
          <w:szCs w:val="24"/>
          <w:highlight w:val="none"/>
          <w:lang w:val="en-US" w:eastAsia="zh-CN"/>
        </w:rPr>
        <w:t>，若乙方被评价为优秀的，甲方可按相关程序续签合同。</w:t>
      </w:r>
    </w:p>
    <w:p w14:paraId="3F811DD5">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ascii="宋体" w:hAnsi="宋体"/>
          <w:color w:val="000000"/>
          <w:sz w:val="24"/>
          <w:szCs w:val="24"/>
        </w:rPr>
      </w:pPr>
      <w:r>
        <w:rPr>
          <w:rFonts w:hint="eastAsia" w:ascii="宋体" w:hAnsi="宋体"/>
          <w:b/>
          <w:color w:val="000000"/>
          <w:sz w:val="24"/>
          <w:szCs w:val="24"/>
          <w:highlight w:val="none"/>
        </w:rPr>
        <w:t>第</w:t>
      </w:r>
      <w:r>
        <w:rPr>
          <w:rFonts w:hint="eastAsia" w:ascii="宋体" w:hAnsi="宋体"/>
          <w:b/>
          <w:color w:val="000000"/>
          <w:sz w:val="24"/>
          <w:szCs w:val="24"/>
          <w:highlight w:val="none"/>
          <w:lang w:val="en-US" w:eastAsia="zh-CN"/>
        </w:rPr>
        <w:t>十</w:t>
      </w:r>
      <w:r>
        <w:rPr>
          <w:rFonts w:hint="eastAsia" w:ascii="宋体" w:hAnsi="宋体"/>
          <w:b/>
          <w:color w:val="000000"/>
          <w:sz w:val="24"/>
          <w:szCs w:val="24"/>
          <w:highlight w:val="none"/>
        </w:rPr>
        <w:t>条</w:t>
      </w:r>
      <w:r>
        <w:rPr>
          <w:rFonts w:hint="eastAsia" w:ascii="宋体" w:hAnsi="宋体"/>
          <w:color w:val="000000"/>
          <w:sz w:val="24"/>
          <w:szCs w:val="24"/>
          <w:highlight w:val="none"/>
        </w:rPr>
        <w:t xml:space="preserve">  本协议壹式</w:t>
      </w:r>
      <w:r>
        <w:rPr>
          <w:rFonts w:hint="eastAsia" w:ascii="宋体" w:hAnsi="宋体"/>
          <w:color w:val="000000"/>
          <w:sz w:val="24"/>
          <w:szCs w:val="24"/>
          <w:highlight w:val="none"/>
          <w:u w:val="single"/>
          <w:lang w:eastAsia="zh-CN"/>
        </w:rPr>
        <w:t>伍</w:t>
      </w:r>
      <w:r>
        <w:rPr>
          <w:rFonts w:hint="eastAsia" w:ascii="宋体" w:hAnsi="宋体"/>
          <w:color w:val="000000"/>
          <w:sz w:val="24"/>
          <w:szCs w:val="24"/>
          <w:highlight w:val="none"/>
        </w:rPr>
        <w:t>份</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自</w:t>
      </w:r>
      <w:r>
        <w:rPr>
          <w:rFonts w:hint="eastAsia" w:ascii="宋体" w:hAnsi="宋体"/>
          <w:color w:val="000000"/>
          <w:sz w:val="24"/>
          <w:szCs w:val="24"/>
          <w:highlight w:val="none"/>
          <w:lang w:val="en-US" w:eastAsia="zh-CN"/>
        </w:rPr>
        <w:t>甲、乙</w:t>
      </w:r>
      <w:r>
        <w:rPr>
          <w:rFonts w:hint="eastAsia" w:ascii="宋体" w:hAnsi="宋体"/>
          <w:color w:val="000000"/>
          <w:sz w:val="24"/>
          <w:szCs w:val="24"/>
          <w:highlight w:val="none"/>
        </w:rPr>
        <w:t>双方签字并盖章</w:t>
      </w:r>
      <w:r>
        <w:rPr>
          <w:rFonts w:hint="eastAsia" w:ascii="宋体" w:hAnsi="宋体"/>
          <w:color w:val="000000"/>
          <w:sz w:val="24"/>
          <w:szCs w:val="24"/>
        </w:rPr>
        <w:t>之日起生效，甲方执</w:t>
      </w:r>
      <w:r>
        <w:rPr>
          <w:rFonts w:hint="eastAsia" w:ascii="宋体" w:hAnsi="宋体"/>
          <w:color w:val="000000"/>
          <w:sz w:val="24"/>
          <w:szCs w:val="24"/>
          <w:u w:val="single"/>
          <w:lang w:eastAsia="zh-CN"/>
        </w:rPr>
        <w:t>贰</w:t>
      </w:r>
      <w:r>
        <w:rPr>
          <w:rFonts w:hint="eastAsia" w:ascii="宋体" w:hAnsi="宋体"/>
          <w:color w:val="000000"/>
          <w:sz w:val="24"/>
          <w:szCs w:val="24"/>
        </w:rPr>
        <w:t>份，乙方执</w:t>
      </w:r>
      <w:r>
        <w:rPr>
          <w:rFonts w:hint="eastAsia" w:ascii="宋体" w:hAnsi="宋体"/>
          <w:color w:val="000000"/>
          <w:sz w:val="24"/>
          <w:szCs w:val="24"/>
          <w:u w:val="single"/>
          <w:lang w:eastAsia="zh-CN"/>
        </w:rPr>
        <w:t>叁</w:t>
      </w:r>
      <w:r>
        <w:rPr>
          <w:rFonts w:hint="eastAsia" w:ascii="宋体" w:hAnsi="宋体"/>
          <w:color w:val="000000"/>
          <w:sz w:val="24"/>
          <w:szCs w:val="24"/>
        </w:rPr>
        <w:t>份，</w:t>
      </w:r>
      <w:r>
        <w:rPr>
          <w:rFonts w:hint="eastAsia" w:ascii="宋体" w:hAnsi="宋体"/>
          <w:color w:val="000000"/>
          <w:sz w:val="24"/>
          <w:szCs w:val="24"/>
          <w:lang w:val="en-US" w:eastAsia="zh-CN"/>
        </w:rPr>
        <w:t>均</w:t>
      </w:r>
      <w:r>
        <w:rPr>
          <w:rFonts w:hint="eastAsia" w:ascii="宋体" w:hAnsi="宋体"/>
          <w:color w:val="000000"/>
          <w:sz w:val="24"/>
          <w:szCs w:val="24"/>
        </w:rPr>
        <w:t>具有同等法律效力。</w:t>
      </w:r>
    </w:p>
    <w:p w14:paraId="658E9FBF">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r>
        <w:rPr>
          <w:rFonts w:hint="eastAsia" w:ascii="宋体" w:hAnsi="宋体"/>
          <w:b/>
          <w:bCs/>
          <w:color w:val="000000"/>
          <w:sz w:val="24"/>
          <w:szCs w:val="24"/>
        </w:rPr>
        <w:t>第十</w:t>
      </w:r>
      <w:r>
        <w:rPr>
          <w:rFonts w:hint="eastAsia" w:ascii="宋体" w:hAnsi="宋体"/>
          <w:b/>
          <w:bCs/>
          <w:color w:val="000000"/>
          <w:sz w:val="24"/>
          <w:szCs w:val="24"/>
          <w:lang w:val="en-US" w:eastAsia="zh-CN"/>
        </w:rPr>
        <w:t>一</w:t>
      </w:r>
      <w:r>
        <w:rPr>
          <w:rFonts w:hint="eastAsia" w:ascii="宋体" w:hAnsi="宋体"/>
          <w:b/>
          <w:bCs/>
          <w:color w:val="000000"/>
          <w:sz w:val="24"/>
          <w:szCs w:val="24"/>
        </w:rPr>
        <w:t>条</w:t>
      </w:r>
      <w:r>
        <w:rPr>
          <w:rFonts w:hint="eastAsia" w:ascii="宋体" w:hAnsi="宋体"/>
          <w:color w:val="000000"/>
          <w:sz w:val="24"/>
          <w:szCs w:val="24"/>
        </w:rPr>
        <w:t xml:space="preserve"> </w:t>
      </w:r>
      <w:r>
        <w:rPr>
          <w:rFonts w:hint="eastAsia" w:ascii="宋体" w:hAnsi="宋体"/>
          <w:color w:val="000000"/>
          <w:sz w:val="24"/>
          <w:szCs w:val="24"/>
          <w:lang w:eastAsia="zh-CN"/>
        </w:rPr>
        <w:t>如有附件，</w:t>
      </w:r>
      <w:r>
        <w:rPr>
          <w:rFonts w:hint="eastAsia" w:ascii="宋体" w:hAnsi="宋体"/>
          <w:color w:val="000000"/>
          <w:sz w:val="24"/>
          <w:szCs w:val="24"/>
        </w:rPr>
        <w:t>本协议附件系本协议不可分割之组成部分。</w:t>
      </w:r>
    </w:p>
    <w:p w14:paraId="1E8BF11B">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p>
    <w:p w14:paraId="01E7ED7B">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r>
        <w:rPr>
          <w:rFonts w:hint="eastAsia" w:ascii="宋体" w:hAnsi="宋体"/>
          <w:color w:val="000000"/>
          <w:sz w:val="24"/>
          <w:szCs w:val="24"/>
        </w:rPr>
        <w:t>甲方 (盖章)：                          乙方 (盖章)：</w:t>
      </w:r>
    </w:p>
    <w:p w14:paraId="798ADB0B">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r>
        <w:rPr>
          <w:rFonts w:hint="eastAsia" w:ascii="宋体" w:hAnsi="宋体"/>
          <w:color w:val="000000"/>
          <w:sz w:val="24"/>
          <w:szCs w:val="24"/>
          <w:lang w:val="en-US" w:eastAsia="zh-CN"/>
        </w:rPr>
        <w:t>法定</w:t>
      </w:r>
      <w:r>
        <w:rPr>
          <w:rFonts w:hint="eastAsia" w:ascii="宋体" w:hAnsi="宋体"/>
          <w:color w:val="000000"/>
          <w:sz w:val="24"/>
          <w:szCs w:val="24"/>
        </w:rPr>
        <w:t xml:space="preserve">代表人（签字）：               </w:t>
      </w:r>
      <w:r>
        <w:rPr>
          <w:rFonts w:hint="eastAsia" w:ascii="宋体" w:hAnsi="宋体"/>
          <w:color w:val="000000"/>
          <w:sz w:val="24"/>
          <w:szCs w:val="24"/>
          <w:lang w:val="en-US" w:eastAsia="zh-CN"/>
        </w:rPr>
        <w:t xml:space="preserve">   法定</w:t>
      </w:r>
      <w:r>
        <w:rPr>
          <w:rFonts w:hint="eastAsia" w:ascii="宋体" w:hAnsi="宋体"/>
          <w:color w:val="000000"/>
          <w:sz w:val="24"/>
          <w:szCs w:val="24"/>
        </w:rPr>
        <w:t xml:space="preserve">代表人（签字）： </w:t>
      </w:r>
    </w:p>
    <w:p w14:paraId="6174AE2D">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r>
        <w:rPr>
          <w:rFonts w:hint="eastAsia" w:ascii="宋体" w:hAnsi="宋体"/>
          <w:color w:val="000000"/>
          <w:sz w:val="24"/>
          <w:szCs w:val="24"/>
          <w:lang w:val="en-US" w:eastAsia="zh-CN"/>
        </w:rPr>
        <w:t xml:space="preserve">授权代表（签字）：                    授权代表（签字）：  </w:t>
      </w:r>
      <w:r>
        <w:rPr>
          <w:rFonts w:hint="eastAsia" w:ascii="宋体" w:hAnsi="宋体"/>
          <w:color w:val="000000"/>
          <w:sz w:val="24"/>
          <w:szCs w:val="24"/>
        </w:rPr>
        <w:t xml:space="preserve">          </w:t>
      </w:r>
    </w:p>
    <w:p w14:paraId="7FD332BE">
      <w:pPr>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textAlignment w:val="auto"/>
        <w:rPr>
          <w:rFonts w:hint="eastAsia" w:ascii="宋体" w:hAnsi="宋体"/>
          <w:color w:val="000000"/>
          <w:sz w:val="24"/>
          <w:szCs w:val="24"/>
        </w:rPr>
      </w:pPr>
      <w:r>
        <w:rPr>
          <w:rFonts w:hint="eastAsia" w:ascii="宋体" w:hAnsi="宋体"/>
          <w:color w:val="000000"/>
          <w:sz w:val="24"/>
          <w:szCs w:val="24"/>
          <w:lang w:val="en-US" w:eastAsia="zh-CN"/>
        </w:rPr>
        <w:t>签订</w:t>
      </w:r>
      <w:r>
        <w:rPr>
          <w:rFonts w:hint="eastAsia" w:ascii="宋体" w:hAnsi="宋体"/>
          <w:color w:val="000000"/>
          <w:sz w:val="24"/>
          <w:szCs w:val="24"/>
        </w:rPr>
        <w:t xml:space="preserve">日期： 年  月  日  </w:t>
      </w:r>
      <w:r>
        <w:rPr>
          <w:rFonts w:hint="eastAsia" w:ascii="宋体" w:hAnsi="宋体"/>
          <w:color w:val="000000"/>
          <w:sz w:val="24"/>
          <w:szCs w:val="24"/>
        </w:rPr>
        <w:tab/>
      </w:r>
      <w:r>
        <w:rPr>
          <w:rFonts w:hint="eastAsia" w:ascii="宋体" w:hAnsi="宋体"/>
          <w:color w:val="000000"/>
          <w:sz w:val="24"/>
          <w:szCs w:val="24"/>
        </w:rPr>
        <w:t xml:space="preserve">              </w:t>
      </w:r>
      <w:r>
        <w:rPr>
          <w:rFonts w:hint="eastAsia" w:ascii="宋体" w:hAnsi="宋体"/>
          <w:color w:val="000000"/>
          <w:sz w:val="24"/>
          <w:szCs w:val="24"/>
          <w:lang w:val="en-US" w:eastAsia="zh-CN"/>
        </w:rPr>
        <w:t>签订</w:t>
      </w:r>
      <w:r>
        <w:rPr>
          <w:rFonts w:hint="eastAsia" w:ascii="宋体" w:hAnsi="宋体"/>
          <w:color w:val="000000"/>
          <w:sz w:val="24"/>
          <w:szCs w:val="24"/>
        </w:rPr>
        <w:t>日期： 年  月  日</w:t>
      </w:r>
    </w:p>
    <w:p w14:paraId="4F2B6FD1">
      <w:pPr>
        <w:pStyle w:val="6"/>
        <w:rPr>
          <w:rFonts w:hint="eastAsia"/>
          <w:color w:val="000000"/>
          <w:sz w:val="24"/>
          <w:lang w:eastAsia="zh-CN"/>
        </w:rPr>
      </w:pPr>
    </w:p>
    <w:p w14:paraId="4CCBDCD8">
      <w:pPr>
        <w:pStyle w:val="6"/>
        <w:rPr>
          <w:rFonts w:hint="eastAsia"/>
          <w:color w:val="000000"/>
          <w:sz w:val="24"/>
          <w:lang w:eastAsia="zh-CN"/>
        </w:rPr>
      </w:pPr>
    </w:p>
    <w:p w14:paraId="0EDA371F">
      <w:pPr>
        <w:pStyle w:val="6"/>
        <w:rPr>
          <w:rFonts w:hint="eastAsia"/>
          <w:color w:val="000000"/>
          <w:sz w:val="24"/>
          <w:lang w:eastAsia="zh-CN"/>
        </w:rPr>
      </w:pPr>
    </w:p>
    <w:p w14:paraId="22EF4C70">
      <w:pPr>
        <w:pStyle w:val="6"/>
        <w:rPr>
          <w:rFonts w:hint="eastAsia"/>
          <w:color w:val="000000"/>
          <w:sz w:val="24"/>
          <w:lang w:eastAsia="zh-CN"/>
        </w:rPr>
      </w:pPr>
    </w:p>
    <w:p w14:paraId="47542CF4">
      <w:pPr>
        <w:pStyle w:val="6"/>
        <w:rPr>
          <w:rFonts w:hint="eastAsia"/>
          <w:color w:val="000000"/>
          <w:sz w:val="24"/>
          <w:lang w:eastAsia="zh-CN"/>
        </w:rPr>
      </w:pPr>
    </w:p>
    <w:p w14:paraId="07278B3D">
      <w:pPr>
        <w:pStyle w:val="6"/>
        <w:rPr>
          <w:rFonts w:hint="eastAsia"/>
          <w:color w:val="000000"/>
          <w:sz w:val="24"/>
          <w:lang w:eastAsia="zh-CN"/>
        </w:rPr>
      </w:pPr>
    </w:p>
    <w:p w14:paraId="61A7732E">
      <w:pPr>
        <w:pStyle w:val="6"/>
        <w:rPr>
          <w:rFonts w:hint="eastAsia"/>
          <w:color w:val="000000"/>
          <w:sz w:val="24"/>
          <w:lang w:eastAsia="zh-CN"/>
        </w:rPr>
      </w:pPr>
    </w:p>
    <w:p w14:paraId="79C7AF9C">
      <w:pPr>
        <w:pStyle w:val="6"/>
        <w:rPr>
          <w:rFonts w:hint="eastAsia"/>
          <w:color w:val="000000"/>
          <w:sz w:val="24"/>
          <w:lang w:eastAsia="zh-CN"/>
        </w:rPr>
      </w:pPr>
    </w:p>
    <w:p w14:paraId="7C58ED7E">
      <w:pPr>
        <w:pStyle w:val="6"/>
        <w:rPr>
          <w:rFonts w:hint="eastAsia"/>
          <w:color w:val="000000"/>
          <w:sz w:val="24"/>
          <w:lang w:eastAsia="zh-CN"/>
        </w:rPr>
      </w:pPr>
    </w:p>
    <w:p w14:paraId="1520E2D5">
      <w:pPr>
        <w:pStyle w:val="6"/>
        <w:rPr>
          <w:rFonts w:hint="eastAsia"/>
          <w:lang w:eastAsia="zh-CN"/>
        </w:rPr>
      </w:pPr>
      <w:r>
        <w:rPr>
          <w:rFonts w:hint="eastAsia"/>
          <w:color w:val="000000"/>
          <w:sz w:val="24"/>
          <w:lang w:eastAsia="zh-CN"/>
        </w:rPr>
        <w:t>附件：</w:t>
      </w:r>
      <w:r>
        <w:rPr>
          <w:rFonts w:hint="eastAsia" w:ascii="宋体" w:hAnsi="宋体"/>
          <w:color w:val="000000"/>
          <w:sz w:val="24"/>
        </w:rPr>
        <w:t>体检项目/套餐价格</w:t>
      </w:r>
    </w:p>
    <w:tbl>
      <w:tblPr>
        <w:tblStyle w:val="7"/>
        <w:tblW w:w="109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7"/>
        <w:gridCol w:w="2223"/>
        <w:gridCol w:w="2851"/>
        <w:gridCol w:w="910"/>
        <w:gridCol w:w="1000"/>
        <w:gridCol w:w="917"/>
        <w:gridCol w:w="1000"/>
        <w:gridCol w:w="983"/>
      </w:tblGrid>
      <w:tr w14:paraId="133D0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69A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检查方法</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A02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2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FE4C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检查意义</w:t>
            </w:r>
          </w:p>
        </w:tc>
        <w:tc>
          <w:tcPr>
            <w:tcW w:w="9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DA69F">
            <w:pPr>
              <w:keepNext w:val="0"/>
              <w:keepLines w:val="0"/>
              <w:widowControl/>
              <w:suppressLineNumbers w:val="0"/>
              <w:jc w:val="center"/>
              <w:textAlignment w:val="center"/>
              <w:rPr>
                <w:rFonts w:hint="eastAsia" w:ascii="宋体" w:hAnsi="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男</w:t>
            </w:r>
            <w:r>
              <w:rPr>
                <w:rFonts w:hint="eastAsia" w:ascii="宋体" w:hAnsi="宋体" w:cs="宋体"/>
                <w:b/>
                <w:bCs/>
                <w:i w:val="0"/>
                <w:iCs w:val="0"/>
                <w:color w:val="000000"/>
                <w:kern w:val="0"/>
                <w:sz w:val="18"/>
                <w:szCs w:val="18"/>
                <w:u w:val="none"/>
                <w:lang w:val="en-US" w:eastAsia="zh-CN" w:bidi="ar"/>
              </w:rPr>
              <w:t>性</w:t>
            </w:r>
          </w:p>
          <w:p w14:paraId="0D6E8F1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（40岁以上）</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D5B20">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男性</w:t>
            </w:r>
          </w:p>
          <w:p w14:paraId="31738C5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（40岁以下）</w:t>
            </w:r>
          </w:p>
        </w:tc>
        <w:tc>
          <w:tcPr>
            <w:tcW w:w="9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96EA6">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女性</w:t>
            </w:r>
          </w:p>
          <w:p w14:paraId="0D8A461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（40岁以上）</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8CFA4">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女性</w:t>
            </w:r>
          </w:p>
          <w:p w14:paraId="687BCD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（40岁以下）</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383B4">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14:paraId="77A00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C6C7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科室检查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17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内科、外科、耳鼻咽喉科、口腔、眼科、妇科（已婚女性）</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31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采集身体基本数据，含身高、体重、血压、视力、内科、外科、耳鼻咽喉科、口腔科</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2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3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A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2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585D">
            <w:pPr>
              <w:jc w:val="center"/>
              <w:rPr>
                <w:rFonts w:hint="eastAsia" w:ascii="宋体" w:hAnsi="宋体" w:eastAsia="宋体" w:cs="宋体"/>
                <w:i w:val="0"/>
                <w:iCs w:val="0"/>
                <w:color w:val="000000"/>
                <w:sz w:val="18"/>
                <w:szCs w:val="18"/>
                <w:u w:val="none"/>
              </w:rPr>
            </w:pPr>
          </w:p>
        </w:tc>
      </w:tr>
      <w:tr w14:paraId="465EB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78C3AE">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BC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眼压、眼底</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80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用检眼镜直接观察双眼眼底情况，可发现视盘、黄斑、视网膜、动静脉等有无病变情况。眼压排除青光眼</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4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D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EC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3429">
            <w:pPr>
              <w:jc w:val="center"/>
              <w:rPr>
                <w:rFonts w:hint="eastAsia" w:ascii="宋体" w:hAnsi="宋体" w:eastAsia="宋体" w:cs="宋体"/>
                <w:i w:val="0"/>
                <w:iCs w:val="0"/>
                <w:color w:val="000000"/>
                <w:sz w:val="18"/>
                <w:szCs w:val="18"/>
                <w:u w:val="none"/>
              </w:rPr>
            </w:pPr>
          </w:p>
        </w:tc>
      </w:tr>
      <w:tr w14:paraId="06CF6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96586E">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16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裂隙灯</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C0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可以对角膜、虹膜、晶状体全面观察，了解有无病变情况</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0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2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2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4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9049">
            <w:pPr>
              <w:jc w:val="center"/>
              <w:rPr>
                <w:rFonts w:hint="eastAsia" w:ascii="宋体" w:hAnsi="宋体" w:eastAsia="宋体" w:cs="宋体"/>
                <w:i w:val="0"/>
                <w:iCs w:val="0"/>
                <w:color w:val="000000"/>
                <w:sz w:val="18"/>
                <w:szCs w:val="18"/>
                <w:u w:val="none"/>
              </w:rPr>
            </w:pPr>
          </w:p>
        </w:tc>
      </w:tr>
      <w:tr w14:paraId="35BA2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11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胃病筛查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8A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13碳呼气试验</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45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检测近期胃是否感染幽门螺旋杆菌，感染该菌是引起消化性溃疡、慢性胃窦炎的重要致病原因（轻微放射性）</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D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3C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2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4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1D31">
            <w:pPr>
              <w:jc w:val="center"/>
              <w:rPr>
                <w:rFonts w:hint="eastAsia" w:ascii="宋体" w:hAnsi="宋体" w:eastAsia="宋体" w:cs="宋体"/>
                <w:i w:val="0"/>
                <w:iCs w:val="0"/>
                <w:color w:val="000000"/>
                <w:sz w:val="18"/>
                <w:szCs w:val="18"/>
                <w:u w:val="none"/>
              </w:rPr>
            </w:pPr>
          </w:p>
        </w:tc>
      </w:tr>
      <w:tr w14:paraId="75850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933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实验室检查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8E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血常规</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40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血液细胞学检查，贫血、白血病、白细胞减少、感染性疾病、血小板减少性紫癜、血流系统疾病等</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3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5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C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2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6FBF">
            <w:pPr>
              <w:jc w:val="center"/>
              <w:rPr>
                <w:rFonts w:hint="eastAsia" w:ascii="宋体" w:hAnsi="宋体" w:eastAsia="宋体" w:cs="宋体"/>
                <w:i w:val="0"/>
                <w:iCs w:val="0"/>
                <w:color w:val="000000"/>
                <w:sz w:val="18"/>
                <w:szCs w:val="18"/>
                <w:u w:val="none"/>
              </w:rPr>
            </w:pPr>
          </w:p>
        </w:tc>
      </w:tr>
      <w:tr w14:paraId="2B4BA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CD1119">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D7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空腹血糖</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32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排查糖尿病，或跟踪药物治疗效果。</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7C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2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D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C9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0FDB">
            <w:pPr>
              <w:jc w:val="center"/>
              <w:rPr>
                <w:rFonts w:hint="eastAsia" w:ascii="宋体" w:hAnsi="宋体" w:eastAsia="宋体" w:cs="宋体"/>
                <w:i w:val="0"/>
                <w:iCs w:val="0"/>
                <w:color w:val="000000"/>
                <w:sz w:val="18"/>
                <w:szCs w:val="18"/>
                <w:u w:val="none"/>
              </w:rPr>
            </w:pPr>
          </w:p>
        </w:tc>
      </w:tr>
      <w:tr w14:paraId="25F3C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38DA18">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F8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糖化血红蛋白</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B1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出检测前90天内的平均血糖水平，且受抽血时间，是否空腹，是否使用胰岛素等因素干扰不大。因此，国际糖尿病联盟推出了新版的亚太糖尿病防治指南，明确规定糖化血红蛋白是国际公认的糖尿病监控“金标准”。</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D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5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2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1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5D08">
            <w:pPr>
              <w:jc w:val="center"/>
              <w:rPr>
                <w:rFonts w:hint="eastAsia" w:ascii="宋体" w:hAnsi="宋体" w:eastAsia="宋体" w:cs="宋体"/>
                <w:i w:val="0"/>
                <w:iCs w:val="0"/>
                <w:color w:val="000000"/>
                <w:sz w:val="18"/>
                <w:szCs w:val="18"/>
                <w:u w:val="none"/>
              </w:rPr>
            </w:pPr>
          </w:p>
        </w:tc>
      </w:tr>
      <w:tr w14:paraId="7493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5E1E45">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94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小便常规</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F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急慢性肾炎、尿路感染、肾病综合征、糖尿病、性疾病等初检</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E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1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8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73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B76F">
            <w:pPr>
              <w:jc w:val="center"/>
              <w:rPr>
                <w:rFonts w:hint="eastAsia" w:ascii="宋体" w:hAnsi="宋体" w:eastAsia="宋体" w:cs="宋体"/>
                <w:i w:val="0"/>
                <w:iCs w:val="0"/>
                <w:color w:val="000000"/>
                <w:sz w:val="18"/>
                <w:szCs w:val="18"/>
                <w:u w:val="none"/>
              </w:rPr>
            </w:pPr>
          </w:p>
        </w:tc>
      </w:tr>
      <w:tr w14:paraId="5E78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A41FEE">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85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同型半胱氨酸</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F2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冠心病、高血压、缺血性脑疾病等相关疾病病因的检测，是心血管疾病，尤其是冠状动脉粥样硬化和心肌梗死的危险指标。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7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5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8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F642">
            <w:pPr>
              <w:jc w:val="center"/>
              <w:rPr>
                <w:rFonts w:hint="eastAsia" w:ascii="宋体" w:hAnsi="宋体" w:eastAsia="宋体" w:cs="宋体"/>
                <w:i w:val="0"/>
                <w:iCs w:val="0"/>
                <w:color w:val="000000"/>
                <w:sz w:val="18"/>
                <w:szCs w:val="18"/>
                <w:u w:val="none"/>
              </w:rPr>
            </w:pPr>
          </w:p>
        </w:tc>
      </w:tr>
      <w:tr w14:paraId="34175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F0663E">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B1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脂蛋白相关磷脂酶A2检测</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C6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是具有血管特异性的炎症标志物，其升高对于冠心病和缺血性脑卒中发生预测具有重要价值。</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E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9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D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D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256B">
            <w:pPr>
              <w:jc w:val="center"/>
              <w:rPr>
                <w:rFonts w:hint="eastAsia" w:ascii="宋体" w:hAnsi="宋体" w:eastAsia="宋体" w:cs="宋体"/>
                <w:i w:val="0"/>
                <w:iCs w:val="0"/>
                <w:color w:val="000000"/>
                <w:sz w:val="18"/>
                <w:szCs w:val="18"/>
                <w:u w:val="none"/>
              </w:rPr>
            </w:pPr>
          </w:p>
        </w:tc>
      </w:tr>
      <w:tr w14:paraId="767DA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989CB5">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E1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甲功三项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D1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判断甲状腺功能是否存在异常。三项包括：游离T3、T4、促甲状腺激素。</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54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0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5A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F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83B2">
            <w:pPr>
              <w:jc w:val="center"/>
              <w:rPr>
                <w:rFonts w:hint="eastAsia" w:ascii="宋体" w:hAnsi="宋体" w:eastAsia="宋体" w:cs="宋体"/>
                <w:i w:val="0"/>
                <w:iCs w:val="0"/>
                <w:color w:val="000000"/>
                <w:sz w:val="18"/>
                <w:szCs w:val="18"/>
                <w:u w:val="none"/>
              </w:rPr>
            </w:pPr>
          </w:p>
        </w:tc>
      </w:tr>
      <w:tr w14:paraId="722A6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12A402">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91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肝功能</w:t>
            </w:r>
            <w:r>
              <w:rPr>
                <w:rStyle w:val="13"/>
                <w:sz w:val="18"/>
                <w:szCs w:val="18"/>
                <w:lang w:val="en-US" w:eastAsia="zh-CN" w:bidi="ar"/>
              </w:rPr>
              <w:t>11</w:t>
            </w:r>
            <w:r>
              <w:rPr>
                <w:rStyle w:val="14"/>
                <w:sz w:val="18"/>
                <w:szCs w:val="18"/>
                <w:lang w:val="en-US" w:eastAsia="zh-CN" w:bidi="ar"/>
              </w:rPr>
              <w:t>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5E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检查肝胆等疾病的基本数据。11</w:t>
            </w:r>
            <w:r>
              <w:rPr>
                <w:rStyle w:val="15"/>
                <w:sz w:val="18"/>
                <w:szCs w:val="18"/>
                <w:lang w:val="en-US" w:eastAsia="zh-CN" w:bidi="ar"/>
              </w:rPr>
              <w:t>项包括：总胆红素(TBIL),间接胆红素(IBIL),直接胆红素(DBIL),谷丙转氨酶(ALT),总蛋白(TP),白蛋白(ALB),谷草转氨酶(AST),谷氨酰转肽酶(GGT),球蛋白，谷草/谷丙转氨酶比值，白球比值</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C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5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4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9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F54E">
            <w:pPr>
              <w:jc w:val="center"/>
              <w:rPr>
                <w:rFonts w:hint="eastAsia" w:ascii="宋体" w:hAnsi="宋体" w:eastAsia="宋体" w:cs="宋体"/>
                <w:i w:val="0"/>
                <w:iCs w:val="0"/>
                <w:color w:val="000000"/>
                <w:sz w:val="18"/>
                <w:szCs w:val="18"/>
                <w:u w:val="none"/>
              </w:rPr>
            </w:pPr>
          </w:p>
        </w:tc>
      </w:tr>
      <w:tr w14:paraId="6E3F3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4244B1">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75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肾功能三项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A8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反映肾脏功能状况，排查痛风、尿毒症和急慢性肾功能不全等。三项包括：血尿酸、肌酐、尿素氮。</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9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B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F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7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5E84">
            <w:pPr>
              <w:jc w:val="center"/>
              <w:rPr>
                <w:rFonts w:hint="eastAsia" w:ascii="宋体" w:hAnsi="宋体" w:eastAsia="宋体" w:cs="宋体"/>
                <w:i w:val="0"/>
                <w:iCs w:val="0"/>
                <w:color w:val="000000"/>
                <w:sz w:val="18"/>
                <w:szCs w:val="18"/>
                <w:u w:val="none"/>
              </w:rPr>
            </w:pPr>
          </w:p>
        </w:tc>
      </w:tr>
      <w:tr w14:paraId="42F0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4097F">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0C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血脂四项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7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血浆中性脂肪、类脂、脂蛋白的总称。高血压、动脉硬化、心脑血管病的主因之一。</w:t>
            </w:r>
            <w:r>
              <w:rPr>
                <w:rStyle w:val="15"/>
                <w:sz w:val="18"/>
                <w:szCs w:val="18"/>
                <w:lang w:val="en-US" w:eastAsia="zh-CN" w:bidi="ar"/>
              </w:rPr>
              <w:t>四项包括：总胆固醇、甘油三酯、高密度脂蛋白胆固醇、低密度脂蛋白胆固醇。</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B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6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7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4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CE5F">
            <w:pPr>
              <w:jc w:val="center"/>
              <w:rPr>
                <w:rFonts w:hint="eastAsia" w:ascii="宋体" w:hAnsi="宋体" w:eastAsia="宋体" w:cs="宋体"/>
                <w:i w:val="0"/>
                <w:iCs w:val="0"/>
                <w:color w:val="000000"/>
                <w:sz w:val="18"/>
                <w:szCs w:val="18"/>
                <w:u w:val="none"/>
              </w:rPr>
            </w:pPr>
          </w:p>
        </w:tc>
      </w:tr>
      <w:tr w14:paraId="08118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9D26DF">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3F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免疫五项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57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反映免疫系统的功能状态</w:t>
            </w:r>
            <w:r>
              <w:rPr>
                <w:rFonts w:hint="eastAsia" w:ascii="宋体" w:hAnsi="宋体" w:cs="宋体"/>
                <w:i w:val="0"/>
                <w:iCs w:val="0"/>
                <w:color w:val="000000"/>
                <w:kern w:val="0"/>
                <w:sz w:val="18"/>
                <w:szCs w:val="18"/>
                <w:u w:val="none"/>
                <w:lang w:val="en-US" w:eastAsia="zh-CN" w:bidi="ar"/>
              </w:rPr>
              <w:t>。五项包括：免疫球蛋白A,G,M,补体C3,C4</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A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6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6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9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D74D">
            <w:pPr>
              <w:jc w:val="center"/>
              <w:rPr>
                <w:rFonts w:hint="eastAsia" w:ascii="宋体" w:hAnsi="宋体" w:eastAsia="宋体" w:cs="宋体"/>
                <w:i w:val="0"/>
                <w:iCs w:val="0"/>
                <w:color w:val="000000"/>
                <w:sz w:val="18"/>
                <w:szCs w:val="18"/>
                <w:u w:val="none"/>
              </w:rPr>
            </w:pPr>
          </w:p>
        </w:tc>
      </w:tr>
      <w:tr w14:paraId="6E6C0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DF9ED6">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75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胃功能三项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9F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综合分析胃粘膜疾病及胃功能情况，作为胃癌早期筛查的最佳方法。三项包括：胃蛋白酶ⅠⅡ，Ⅰ/Ⅱ，胃泌素-17。</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4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EC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1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F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160.55</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64BA">
            <w:pPr>
              <w:jc w:val="center"/>
              <w:rPr>
                <w:rFonts w:hint="eastAsia" w:ascii="宋体" w:hAnsi="宋体" w:eastAsia="宋体" w:cs="宋体"/>
                <w:i w:val="0"/>
                <w:iCs w:val="0"/>
                <w:color w:val="000000"/>
                <w:sz w:val="18"/>
                <w:szCs w:val="18"/>
                <w:u w:val="none"/>
              </w:rPr>
            </w:pPr>
          </w:p>
        </w:tc>
      </w:tr>
      <w:tr w14:paraId="2B57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B34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肿瘤筛查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24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EB病毒抗体两项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43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鼻咽癌的筛选检查特异性较高</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9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4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5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8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0FD7">
            <w:pPr>
              <w:jc w:val="center"/>
              <w:rPr>
                <w:rFonts w:hint="eastAsia" w:ascii="宋体" w:hAnsi="宋体" w:eastAsia="宋体" w:cs="宋体"/>
                <w:i w:val="0"/>
                <w:iCs w:val="0"/>
                <w:color w:val="000000"/>
                <w:sz w:val="18"/>
                <w:szCs w:val="18"/>
                <w:u w:val="none"/>
              </w:rPr>
            </w:pPr>
          </w:p>
        </w:tc>
      </w:tr>
      <w:tr w14:paraId="501D5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627869">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31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男性肿瘤标志物十项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CA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甲胎蛋白测定、癌胚抗原测定、游离人绒毛膜促性腺激素测定、神经元特异性烯醇化酶测定、CA125、CA724、细胞角蛋白19片段测定、游离前列腺特异性抗原测定、总前列腺特异性抗原测定、CA199</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2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810.35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A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810.35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4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25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6DB2">
            <w:pPr>
              <w:jc w:val="center"/>
              <w:rPr>
                <w:rFonts w:hint="eastAsia" w:ascii="宋体" w:hAnsi="宋体" w:eastAsia="宋体" w:cs="宋体"/>
                <w:i w:val="0"/>
                <w:iCs w:val="0"/>
                <w:color w:val="000000"/>
                <w:sz w:val="18"/>
                <w:szCs w:val="18"/>
                <w:u w:val="none"/>
              </w:rPr>
            </w:pPr>
          </w:p>
        </w:tc>
      </w:tr>
      <w:tr w14:paraId="0D02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BE4FD3">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FF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女性肿瘤标志物十项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18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癌胚抗原测定、甲胎蛋白测定、游离人绒毛膜促性腺激素测定、神经元特异性烯醇化酶测定，CA125、CA724、细胞角蛋白19片段测定、CA153，鳞状细胞癌相关抗原测定、CA199</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D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30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1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870.2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7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870.2</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4303">
            <w:pPr>
              <w:jc w:val="center"/>
              <w:rPr>
                <w:rFonts w:hint="eastAsia" w:ascii="宋体" w:hAnsi="宋体" w:eastAsia="宋体" w:cs="宋体"/>
                <w:i w:val="0"/>
                <w:iCs w:val="0"/>
                <w:color w:val="000000"/>
                <w:sz w:val="18"/>
                <w:szCs w:val="18"/>
                <w:u w:val="none"/>
              </w:rPr>
            </w:pPr>
          </w:p>
        </w:tc>
      </w:tr>
      <w:tr w14:paraId="061A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F7A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超声检查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63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彩超（肝胆脾胰）</w:t>
            </w:r>
          </w:p>
        </w:tc>
        <w:tc>
          <w:tcPr>
            <w:tcW w:w="2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E7F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最普遍的无创性腹部检查。对脂肪肝、各种肿瘤、囊肿、息肉、结石等疾病的诊断均可提供有价值的帮助。要达到最佳的检查效果，应根据所检查部位的要求做好检查前的准备工作。比普通B超更清晰更全面。</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1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9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6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A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E96E">
            <w:pPr>
              <w:jc w:val="center"/>
              <w:rPr>
                <w:rFonts w:hint="eastAsia" w:ascii="宋体" w:hAnsi="宋体" w:eastAsia="宋体" w:cs="宋体"/>
                <w:i w:val="0"/>
                <w:iCs w:val="0"/>
                <w:color w:val="000000"/>
                <w:sz w:val="18"/>
                <w:szCs w:val="18"/>
                <w:u w:val="none"/>
              </w:rPr>
            </w:pPr>
          </w:p>
        </w:tc>
      </w:tr>
      <w:tr w14:paraId="7BD9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FB4C15">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4B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彩超（肾输尿管膀胱，男包含前列腺）</w:t>
            </w:r>
          </w:p>
        </w:tc>
        <w:tc>
          <w:tcPr>
            <w:tcW w:w="2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C960C">
            <w:pPr>
              <w:jc w:val="left"/>
              <w:rPr>
                <w:rFonts w:hint="eastAsia" w:ascii="宋体" w:hAnsi="宋体" w:eastAsia="宋体" w:cs="宋体"/>
                <w:i w:val="0"/>
                <w:iCs w:val="0"/>
                <w:color w:val="000000"/>
                <w:sz w:val="18"/>
                <w:szCs w:val="18"/>
                <w:u w:val="none"/>
              </w:rPr>
            </w:pP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3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B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2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5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FAB6D">
            <w:pPr>
              <w:jc w:val="center"/>
              <w:rPr>
                <w:rFonts w:hint="eastAsia" w:ascii="宋体" w:hAnsi="宋体" w:eastAsia="宋体" w:cs="宋体"/>
                <w:i w:val="0"/>
                <w:iCs w:val="0"/>
                <w:color w:val="000000"/>
                <w:sz w:val="18"/>
                <w:szCs w:val="18"/>
                <w:u w:val="none"/>
              </w:rPr>
            </w:pPr>
          </w:p>
        </w:tc>
      </w:tr>
      <w:tr w14:paraId="09BE9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6A8CCB">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11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甲状腺彩超</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F8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了解甲状腺是否有结节或其它改变，辨别是否炎症、良性结节或癌等。</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7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7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D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3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17C4">
            <w:pPr>
              <w:jc w:val="center"/>
              <w:rPr>
                <w:rFonts w:hint="eastAsia" w:ascii="宋体" w:hAnsi="宋体" w:eastAsia="宋体" w:cs="宋体"/>
                <w:i w:val="0"/>
                <w:iCs w:val="0"/>
                <w:color w:val="000000"/>
                <w:sz w:val="18"/>
                <w:szCs w:val="18"/>
                <w:u w:val="none"/>
              </w:rPr>
            </w:pPr>
          </w:p>
        </w:tc>
      </w:tr>
      <w:tr w14:paraId="6EA7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F49EEA">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AE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颈部动脉彩超</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F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了解颈部动脉血管是否狭窄及狭窄程度、有无闭塞等；血管弹性；血流情况；血管内膜厚度；血管是否存在斑块及斑块性质、大小、是否易脱落等，即一定意义上的“中风预报”。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1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0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B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99B0">
            <w:pPr>
              <w:jc w:val="center"/>
              <w:rPr>
                <w:rFonts w:hint="eastAsia" w:ascii="宋体" w:hAnsi="宋体" w:eastAsia="宋体" w:cs="宋体"/>
                <w:i w:val="0"/>
                <w:iCs w:val="0"/>
                <w:color w:val="000000"/>
                <w:sz w:val="18"/>
                <w:szCs w:val="18"/>
                <w:u w:val="none"/>
              </w:rPr>
            </w:pPr>
          </w:p>
        </w:tc>
      </w:tr>
      <w:tr w14:paraId="7D40C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A4617B">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F2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彩超（子宫输卵管卵巢照环）</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49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了解盆腔情况，如炎症、肿瘤、结核、照环等</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F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6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3E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2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6A97">
            <w:pPr>
              <w:jc w:val="center"/>
              <w:rPr>
                <w:rFonts w:hint="eastAsia" w:ascii="宋体" w:hAnsi="宋体" w:eastAsia="宋体" w:cs="宋体"/>
                <w:i w:val="0"/>
                <w:iCs w:val="0"/>
                <w:color w:val="000000"/>
                <w:sz w:val="18"/>
                <w:szCs w:val="18"/>
                <w:u w:val="none"/>
              </w:rPr>
            </w:pPr>
          </w:p>
        </w:tc>
      </w:tr>
      <w:tr w14:paraId="4C77D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33913">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B7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乳腺彩超</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04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了解乳腺情况，如炎症、结节、囊肿、肿瘤等</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6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8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D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C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B495">
            <w:pPr>
              <w:jc w:val="center"/>
              <w:rPr>
                <w:rFonts w:hint="eastAsia" w:ascii="宋体" w:hAnsi="宋体" w:eastAsia="宋体" w:cs="宋体"/>
                <w:i w:val="0"/>
                <w:iCs w:val="0"/>
                <w:color w:val="000000"/>
                <w:sz w:val="18"/>
                <w:szCs w:val="18"/>
                <w:u w:val="none"/>
              </w:rPr>
            </w:pPr>
          </w:p>
        </w:tc>
      </w:tr>
      <w:tr w14:paraId="1B04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0C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功能影像检查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AD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87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对心律失常、心肌缺血等提供有价值的资料，冠心病、心肌梗塞、传导阻滞、各种心律失常、早搏、心室肥厚等辅助诊断。</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2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2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0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43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0440">
            <w:pPr>
              <w:jc w:val="center"/>
              <w:rPr>
                <w:rFonts w:hint="eastAsia" w:ascii="宋体" w:hAnsi="宋体" w:eastAsia="宋体" w:cs="宋体"/>
                <w:i w:val="0"/>
                <w:iCs w:val="0"/>
                <w:color w:val="000000"/>
                <w:sz w:val="18"/>
                <w:szCs w:val="18"/>
                <w:u w:val="none"/>
              </w:rPr>
            </w:pPr>
          </w:p>
        </w:tc>
      </w:tr>
      <w:tr w14:paraId="7599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2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CT检查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31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肺部CT</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1E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检查出是否患有肺炎或者是肺癌等疾病，而且也能够检查出肺结节以及肺结核</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F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4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AA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9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3593">
            <w:pPr>
              <w:jc w:val="center"/>
              <w:rPr>
                <w:rFonts w:hint="eastAsia" w:ascii="宋体" w:hAnsi="宋体" w:eastAsia="宋体" w:cs="宋体"/>
                <w:i w:val="0"/>
                <w:iCs w:val="0"/>
                <w:color w:val="000000"/>
                <w:sz w:val="18"/>
                <w:szCs w:val="18"/>
                <w:u w:val="none"/>
              </w:rPr>
            </w:pPr>
          </w:p>
        </w:tc>
      </w:tr>
      <w:tr w14:paraId="632F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E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DB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骨密度检测</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54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了解骨结构及是否缺钙</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1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8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E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9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A225">
            <w:pPr>
              <w:jc w:val="center"/>
              <w:rPr>
                <w:rFonts w:hint="eastAsia" w:ascii="宋体" w:hAnsi="宋体" w:eastAsia="宋体" w:cs="宋体"/>
                <w:i w:val="0"/>
                <w:iCs w:val="0"/>
                <w:color w:val="000000"/>
                <w:sz w:val="18"/>
                <w:szCs w:val="18"/>
                <w:u w:val="none"/>
              </w:rPr>
            </w:pPr>
          </w:p>
        </w:tc>
      </w:tr>
      <w:tr w14:paraId="00D1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AC5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妇科检查</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BE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HPV</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BC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了解是否感染与宫颈癌相关的HPV类型</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A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F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6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156.75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D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156.75</w:t>
            </w:r>
          </w:p>
        </w:tc>
        <w:tc>
          <w:tcPr>
            <w:tcW w:w="983" w:type="dxa"/>
            <w:vMerge w:val="restart"/>
            <w:tcBorders>
              <w:top w:val="single" w:color="000000" w:sz="4" w:space="0"/>
              <w:left w:val="single" w:color="000000" w:sz="4" w:space="0"/>
              <w:right w:val="single" w:color="000000" w:sz="4" w:space="0"/>
            </w:tcBorders>
            <w:shd w:val="clear" w:color="auto" w:fill="auto"/>
            <w:vAlign w:val="center"/>
          </w:tcPr>
          <w:p w14:paraId="625CE867">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主要针对已婚女性</w:t>
            </w:r>
          </w:p>
        </w:tc>
      </w:tr>
      <w:tr w14:paraId="7E914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22376">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A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阴道联合检测5项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4A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查阴道致病菌感染</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02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3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8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E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42.75</w:t>
            </w:r>
          </w:p>
        </w:tc>
        <w:tc>
          <w:tcPr>
            <w:tcW w:w="983" w:type="dxa"/>
            <w:vMerge w:val="continue"/>
            <w:tcBorders>
              <w:left w:val="single" w:color="000000" w:sz="4" w:space="0"/>
              <w:right w:val="single" w:color="000000" w:sz="4" w:space="0"/>
            </w:tcBorders>
            <w:shd w:val="clear" w:color="auto" w:fill="auto"/>
            <w:vAlign w:val="center"/>
          </w:tcPr>
          <w:p w14:paraId="315272C1">
            <w:pPr>
              <w:jc w:val="center"/>
              <w:rPr>
                <w:rFonts w:hint="eastAsia" w:ascii="宋体" w:hAnsi="宋体" w:eastAsia="宋体" w:cs="宋体"/>
                <w:i w:val="0"/>
                <w:iCs w:val="0"/>
                <w:color w:val="000000"/>
                <w:sz w:val="18"/>
                <w:szCs w:val="18"/>
                <w:u w:val="none"/>
              </w:rPr>
            </w:pPr>
          </w:p>
        </w:tc>
      </w:tr>
      <w:tr w14:paraId="4E13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0A527">
            <w:pPr>
              <w:jc w:val="center"/>
              <w:rPr>
                <w:rFonts w:hint="eastAsia" w:ascii="宋体" w:hAnsi="宋体" w:eastAsia="宋体" w:cs="宋体"/>
                <w:i w:val="0"/>
                <w:iCs w:val="0"/>
                <w:color w:val="000000"/>
                <w:sz w:val="18"/>
                <w:szCs w:val="18"/>
                <w:u w:val="none"/>
              </w:rPr>
            </w:pP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0C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DNA定量分析联合常规液基细胞学</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16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能更早发现宫颈癌及癌前病变</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0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6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5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1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349.6</w:t>
            </w:r>
          </w:p>
        </w:tc>
        <w:tc>
          <w:tcPr>
            <w:tcW w:w="983" w:type="dxa"/>
            <w:vMerge w:val="continue"/>
            <w:tcBorders>
              <w:left w:val="single" w:color="000000" w:sz="4" w:space="0"/>
              <w:bottom w:val="single" w:color="000000" w:sz="4" w:space="0"/>
              <w:right w:val="single" w:color="000000" w:sz="4" w:space="0"/>
            </w:tcBorders>
            <w:shd w:val="clear" w:color="auto" w:fill="auto"/>
            <w:vAlign w:val="center"/>
          </w:tcPr>
          <w:p w14:paraId="5E42D0A1">
            <w:pPr>
              <w:jc w:val="center"/>
              <w:rPr>
                <w:rFonts w:hint="eastAsia" w:ascii="宋体" w:hAnsi="宋体" w:eastAsia="宋体" w:cs="宋体"/>
                <w:i w:val="0"/>
                <w:iCs w:val="0"/>
                <w:color w:val="000000"/>
                <w:sz w:val="18"/>
                <w:szCs w:val="18"/>
                <w:u w:val="none"/>
              </w:rPr>
            </w:pPr>
          </w:p>
        </w:tc>
      </w:tr>
      <w:tr w14:paraId="3BCE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67" w:type="dxa"/>
            <w:tcBorders>
              <w:top w:val="single" w:color="000000" w:sz="4" w:space="0"/>
              <w:left w:val="single" w:color="000000" w:sz="4" w:space="0"/>
              <w:bottom w:val="single" w:color="000000" w:sz="4" w:space="0"/>
              <w:right w:val="nil"/>
            </w:tcBorders>
            <w:shd w:val="clear" w:color="auto" w:fill="FFFFFF"/>
            <w:vAlign w:val="center"/>
          </w:tcPr>
          <w:p w14:paraId="5F3D2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材料费</w:t>
            </w:r>
          </w:p>
        </w:tc>
        <w:tc>
          <w:tcPr>
            <w:tcW w:w="2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94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抽血材料费</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A2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全部采用一次性材料</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A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9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73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1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98DD">
            <w:pPr>
              <w:jc w:val="center"/>
              <w:rPr>
                <w:rFonts w:hint="eastAsia" w:ascii="宋体" w:hAnsi="宋体" w:eastAsia="宋体" w:cs="宋体"/>
                <w:i w:val="0"/>
                <w:iCs w:val="0"/>
                <w:color w:val="000000"/>
                <w:sz w:val="18"/>
                <w:szCs w:val="18"/>
                <w:u w:val="none"/>
              </w:rPr>
            </w:pPr>
          </w:p>
        </w:tc>
      </w:tr>
      <w:tr w14:paraId="5545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61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730CD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每类合计（元/人）</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41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3092.45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1A3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2796.05</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D6C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3929.4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6B5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3633</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DDEF">
            <w:pPr>
              <w:rPr>
                <w:rFonts w:hint="eastAsia" w:ascii="宋体" w:hAnsi="宋体" w:eastAsia="宋体" w:cs="宋体"/>
                <w:i w:val="0"/>
                <w:iCs w:val="0"/>
                <w:color w:val="000000"/>
                <w:sz w:val="18"/>
                <w:szCs w:val="18"/>
                <w:u w:val="none"/>
              </w:rPr>
            </w:pPr>
          </w:p>
        </w:tc>
      </w:tr>
    </w:tbl>
    <w:p w14:paraId="062B25FB">
      <w:pPr>
        <w:spacing w:after="312" w:afterLines="100" w:line="440" w:lineRule="exact"/>
        <w:jc w:val="left"/>
        <w:outlineLvl w:val="0"/>
        <w:rPr>
          <w:rFonts w:hint="eastAsia" w:ascii="宋体" w:hAnsi="宋体"/>
          <w:color w:val="000000"/>
          <w:sz w:val="24"/>
        </w:rPr>
      </w:pPr>
    </w:p>
    <w:p w14:paraId="5BE0F529">
      <w:pPr>
        <w:pStyle w:val="6"/>
        <w:rPr>
          <w:rFonts w:hint="eastAsia"/>
          <w:lang w:eastAsia="zh-CN"/>
        </w:rPr>
      </w:pPr>
    </w:p>
    <w:sectPr>
      <w:headerReference r:id="rId3" w:type="default"/>
      <w:footerReference r:id="rId4" w:type="default"/>
      <w:footerReference r:id="rId5" w:type="even"/>
      <w:pgSz w:w="11906" w:h="16838"/>
      <w:pgMar w:top="312" w:right="1797" w:bottom="17" w:left="179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30A82C02-8F6A-403F-8F9A-42FCEE01DDAE}"/>
  </w:font>
  <w:font w:name="楷体">
    <w:panose1 w:val="02010609060101010101"/>
    <w:charset w:val="86"/>
    <w:family w:val="modern"/>
    <w:pitch w:val="default"/>
    <w:sig w:usb0="800002BF" w:usb1="38CF7CFA" w:usb2="00000016" w:usb3="00000000" w:csb0="00040001" w:csb1="00000000"/>
    <w:embedRegular r:id="rId2" w:fontKey="{C824585F-8942-4EB7-9B43-8BFC9D3D07D0}"/>
  </w:font>
  <w:font w:name="WPSEMBED1">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10A99">
    <w:pPr>
      <w:pStyle w:val="4"/>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BBCD1">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8BBCD1">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p w14:paraId="68FF7CEB">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A731A">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4</w:t>
    </w:r>
    <w:r>
      <w:fldChar w:fldCharType="end"/>
    </w:r>
  </w:p>
  <w:p w14:paraId="26E01B1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B4C93">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9476A"/>
    <w:multiLevelType w:val="singleLevel"/>
    <w:tmpl w:val="B4F9476A"/>
    <w:lvl w:ilvl="0" w:tentative="0">
      <w:start w:val="3"/>
      <w:numFmt w:val="chineseCounting"/>
      <w:suff w:val="space"/>
      <w:lvlText w:val="（%1）"/>
      <w:lvlJc w:val="left"/>
      <w:rPr>
        <w:rFonts w:hint="eastAsia"/>
      </w:rPr>
    </w:lvl>
  </w:abstractNum>
  <w:abstractNum w:abstractNumId="1">
    <w:nsid w:val="DD061DFA"/>
    <w:multiLevelType w:val="singleLevel"/>
    <w:tmpl w:val="DD061DFA"/>
    <w:lvl w:ilvl="0" w:tentative="0">
      <w:start w:val="4"/>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1MmZlNDZkYTcwMjJkMjQ2ODk3ZjBmODMwYWE1NzIifQ=="/>
  </w:docVars>
  <w:rsids>
    <w:rsidRoot w:val="00172A27"/>
    <w:rsid w:val="000076E4"/>
    <w:rsid w:val="00015735"/>
    <w:rsid w:val="00027E61"/>
    <w:rsid w:val="00044C37"/>
    <w:rsid w:val="00047464"/>
    <w:rsid w:val="00066DDE"/>
    <w:rsid w:val="00072E69"/>
    <w:rsid w:val="0007432D"/>
    <w:rsid w:val="000B6ACD"/>
    <w:rsid w:val="000C3A58"/>
    <w:rsid w:val="000C4C18"/>
    <w:rsid w:val="001277C4"/>
    <w:rsid w:val="0013599E"/>
    <w:rsid w:val="00137463"/>
    <w:rsid w:val="0014322B"/>
    <w:rsid w:val="00157DAE"/>
    <w:rsid w:val="00172A27"/>
    <w:rsid w:val="0018434C"/>
    <w:rsid w:val="00192D3F"/>
    <w:rsid w:val="001E10D3"/>
    <w:rsid w:val="001F42C6"/>
    <w:rsid w:val="0021293C"/>
    <w:rsid w:val="0021638A"/>
    <w:rsid w:val="00250086"/>
    <w:rsid w:val="002549DF"/>
    <w:rsid w:val="00274C31"/>
    <w:rsid w:val="002A7CFC"/>
    <w:rsid w:val="002C2456"/>
    <w:rsid w:val="002D10C5"/>
    <w:rsid w:val="003013EA"/>
    <w:rsid w:val="00306481"/>
    <w:rsid w:val="00330842"/>
    <w:rsid w:val="00350077"/>
    <w:rsid w:val="00356CCD"/>
    <w:rsid w:val="00357B69"/>
    <w:rsid w:val="003942CC"/>
    <w:rsid w:val="003B7675"/>
    <w:rsid w:val="003C0E43"/>
    <w:rsid w:val="003C26EF"/>
    <w:rsid w:val="003F2083"/>
    <w:rsid w:val="003F3251"/>
    <w:rsid w:val="00416C51"/>
    <w:rsid w:val="0041716F"/>
    <w:rsid w:val="00423FFA"/>
    <w:rsid w:val="004268DA"/>
    <w:rsid w:val="004510B0"/>
    <w:rsid w:val="00460406"/>
    <w:rsid w:val="004672B9"/>
    <w:rsid w:val="004702A3"/>
    <w:rsid w:val="00472C45"/>
    <w:rsid w:val="004912C2"/>
    <w:rsid w:val="004A27EF"/>
    <w:rsid w:val="004C06F1"/>
    <w:rsid w:val="004C4CD4"/>
    <w:rsid w:val="004D77C6"/>
    <w:rsid w:val="004F0E2F"/>
    <w:rsid w:val="004F682B"/>
    <w:rsid w:val="00546F82"/>
    <w:rsid w:val="00571BBE"/>
    <w:rsid w:val="005723F5"/>
    <w:rsid w:val="00574B11"/>
    <w:rsid w:val="005B4F85"/>
    <w:rsid w:val="005D2D68"/>
    <w:rsid w:val="005D68CC"/>
    <w:rsid w:val="00606A47"/>
    <w:rsid w:val="00632829"/>
    <w:rsid w:val="00641577"/>
    <w:rsid w:val="00646BF9"/>
    <w:rsid w:val="0067231E"/>
    <w:rsid w:val="00683572"/>
    <w:rsid w:val="00692B39"/>
    <w:rsid w:val="006E59CF"/>
    <w:rsid w:val="00706564"/>
    <w:rsid w:val="00740486"/>
    <w:rsid w:val="007427BC"/>
    <w:rsid w:val="00747D76"/>
    <w:rsid w:val="00767220"/>
    <w:rsid w:val="00794EE4"/>
    <w:rsid w:val="007B37CA"/>
    <w:rsid w:val="007D19F9"/>
    <w:rsid w:val="007D1FC7"/>
    <w:rsid w:val="00807E7B"/>
    <w:rsid w:val="0083075A"/>
    <w:rsid w:val="00831B50"/>
    <w:rsid w:val="00836925"/>
    <w:rsid w:val="00837154"/>
    <w:rsid w:val="0085665D"/>
    <w:rsid w:val="008722B8"/>
    <w:rsid w:val="008A340D"/>
    <w:rsid w:val="008A6D4D"/>
    <w:rsid w:val="008C3F1E"/>
    <w:rsid w:val="008C4847"/>
    <w:rsid w:val="008D55E7"/>
    <w:rsid w:val="00921925"/>
    <w:rsid w:val="009228B4"/>
    <w:rsid w:val="00923879"/>
    <w:rsid w:val="00957A1B"/>
    <w:rsid w:val="00965A4B"/>
    <w:rsid w:val="009A20FF"/>
    <w:rsid w:val="009A7DE3"/>
    <w:rsid w:val="009E11C2"/>
    <w:rsid w:val="009F7A3E"/>
    <w:rsid w:val="00A0328A"/>
    <w:rsid w:val="00A04F19"/>
    <w:rsid w:val="00A10993"/>
    <w:rsid w:val="00A24208"/>
    <w:rsid w:val="00A27CA6"/>
    <w:rsid w:val="00A32E32"/>
    <w:rsid w:val="00A46EFA"/>
    <w:rsid w:val="00A47769"/>
    <w:rsid w:val="00A6747F"/>
    <w:rsid w:val="00A7222C"/>
    <w:rsid w:val="00A82D7B"/>
    <w:rsid w:val="00A82E65"/>
    <w:rsid w:val="00A84B65"/>
    <w:rsid w:val="00AF51BF"/>
    <w:rsid w:val="00B0507A"/>
    <w:rsid w:val="00B076EF"/>
    <w:rsid w:val="00B40270"/>
    <w:rsid w:val="00B45F97"/>
    <w:rsid w:val="00B57B36"/>
    <w:rsid w:val="00B853BC"/>
    <w:rsid w:val="00B961B0"/>
    <w:rsid w:val="00B97341"/>
    <w:rsid w:val="00BC1D50"/>
    <w:rsid w:val="00BD0065"/>
    <w:rsid w:val="00BE4980"/>
    <w:rsid w:val="00C01120"/>
    <w:rsid w:val="00C1616D"/>
    <w:rsid w:val="00C3568A"/>
    <w:rsid w:val="00C36F39"/>
    <w:rsid w:val="00C63687"/>
    <w:rsid w:val="00CE7D14"/>
    <w:rsid w:val="00CF0CA2"/>
    <w:rsid w:val="00D149D7"/>
    <w:rsid w:val="00D52403"/>
    <w:rsid w:val="00D71D33"/>
    <w:rsid w:val="00D76200"/>
    <w:rsid w:val="00D81EDE"/>
    <w:rsid w:val="00DA4133"/>
    <w:rsid w:val="00DD4657"/>
    <w:rsid w:val="00DE52DE"/>
    <w:rsid w:val="00DE6873"/>
    <w:rsid w:val="00DE7233"/>
    <w:rsid w:val="00DF1647"/>
    <w:rsid w:val="00DF7B56"/>
    <w:rsid w:val="00E00133"/>
    <w:rsid w:val="00E46BC3"/>
    <w:rsid w:val="00E73E80"/>
    <w:rsid w:val="00EA3E65"/>
    <w:rsid w:val="00ED0A0C"/>
    <w:rsid w:val="00ED269F"/>
    <w:rsid w:val="00F11972"/>
    <w:rsid w:val="00F319F3"/>
    <w:rsid w:val="00F363C8"/>
    <w:rsid w:val="00F43B87"/>
    <w:rsid w:val="00F5234E"/>
    <w:rsid w:val="00F53646"/>
    <w:rsid w:val="00F6065C"/>
    <w:rsid w:val="00F71F1B"/>
    <w:rsid w:val="00F96527"/>
    <w:rsid w:val="00FB6B0E"/>
    <w:rsid w:val="00FD7C1A"/>
    <w:rsid w:val="00FF0A1E"/>
    <w:rsid w:val="010F2F79"/>
    <w:rsid w:val="0213766F"/>
    <w:rsid w:val="02301FCF"/>
    <w:rsid w:val="02823B86"/>
    <w:rsid w:val="02CF7C74"/>
    <w:rsid w:val="040A6378"/>
    <w:rsid w:val="0504453B"/>
    <w:rsid w:val="05396CF4"/>
    <w:rsid w:val="05433D77"/>
    <w:rsid w:val="06946B4A"/>
    <w:rsid w:val="092955D8"/>
    <w:rsid w:val="098B0432"/>
    <w:rsid w:val="09B33107"/>
    <w:rsid w:val="0A6D5502"/>
    <w:rsid w:val="0ADE2959"/>
    <w:rsid w:val="0B884C29"/>
    <w:rsid w:val="0BF4406D"/>
    <w:rsid w:val="0CB9166F"/>
    <w:rsid w:val="0DC67C8B"/>
    <w:rsid w:val="0FBE6EE5"/>
    <w:rsid w:val="11C85D24"/>
    <w:rsid w:val="12CD1ABC"/>
    <w:rsid w:val="132176E1"/>
    <w:rsid w:val="13EA0733"/>
    <w:rsid w:val="14072BCE"/>
    <w:rsid w:val="17C0574B"/>
    <w:rsid w:val="187C5C4D"/>
    <w:rsid w:val="1A497E65"/>
    <w:rsid w:val="1B801571"/>
    <w:rsid w:val="1CCF5571"/>
    <w:rsid w:val="1CE65885"/>
    <w:rsid w:val="1EDC453B"/>
    <w:rsid w:val="1EF36406"/>
    <w:rsid w:val="1F0B5FCA"/>
    <w:rsid w:val="204A5825"/>
    <w:rsid w:val="20EE0814"/>
    <w:rsid w:val="20FB0965"/>
    <w:rsid w:val="212071BE"/>
    <w:rsid w:val="224160CF"/>
    <w:rsid w:val="224C47AB"/>
    <w:rsid w:val="22A63C70"/>
    <w:rsid w:val="238F11A8"/>
    <w:rsid w:val="2432352D"/>
    <w:rsid w:val="246C2EF5"/>
    <w:rsid w:val="247B59EC"/>
    <w:rsid w:val="24871E27"/>
    <w:rsid w:val="24A65B2E"/>
    <w:rsid w:val="24A73F1B"/>
    <w:rsid w:val="25056E93"/>
    <w:rsid w:val="25AF17F9"/>
    <w:rsid w:val="27186003"/>
    <w:rsid w:val="27EE5692"/>
    <w:rsid w:val="289156E8"/>
    <w:rsid w:val="28C56C3F"/>
    <w:rsid w:val="2AE9632C"/>
    <w:rsid w:val="2CB05A33"/>
    <w:rsid w:val="2D4015B8"/>
    <w:rsid w:val="2D75211E"/>
    <w:rsid w:val="2EBF00B3"/>
    <w:rsid w:val="2EFB6A22"/>
    <w:rsid w:val="2F647B9D"/>
    <w:rsid w:val="30CA6F0D"/>
    <w:rsid w:val="3138414C"/>
    <w:rsid w:val="330E1609"/>
    <w:rsid w:val="355D6104"/>
    <w:rsid w:val="359C16B4"/>
    <w:rsid w:val="36406FA0"/>
    <w:rsid w:val="37E33064"/>
    <w:rsid w:val="38675A43"/>
    <w:rsid w:val="38B024BE"/>
    <w:rsid w:val="392A7835"/>
    <w:rsid w:val="39504057"/>
    <w:rsid w:val="3A7F6BC3"/>
    <w:rsid w:val="3B095E62"/>
    <w:rsid w:val="3CF47418"/>
    <w:rsid w:val="3DDA7496"/>
    <w:rsid w:val="3E0643B5"/>
    <w:rsid w:val="3E721CF2"/>
    <w:rsid w:val="3F1955BD"/>
    <w:rsid w:val="3F9D61EE"/>
    <w:rsid w:val="40537E1C"/>
    <w:rsid w:val="41D63C39"/>
    <w:rsid w:val="42002A64"/>
    <w:rsid w:val="42424E2B"/>
    <w:rsid w:val="42472441"/>
    <w:rsid w:val="42B859DF"/>
    <w:rsid w:val="430A58A1"/>
    <w:rsid w:val="44426881"/>
    <w:rsid w:val="44E51823"/>
    <w:rsid w:val="459C0CF6"/>
    <w:rsid w:val="45AA51C1"/>
    <w:rsid w:val="46831EBD"/>
    <w:rsid w:val="46A612A1"/>
    <w:rsid w:val="471C20EE"/>
    <w:rsid w:val="476D46F8"/>
    <w:rsid w:val="48DD3740"/>
    <w:rsid w:val="49664070"/>
    <w:rsid w:val="49A864ED"/>
    <w:rsid w:val="49BB0CA7"/>
    <w:rsid w:val="49E8411D"/>
    <w:rsid w:val="4A5120AF"/>
    <w:rsid w:val="4A67518C"/>
    <w:rsid w:val="4A8F0E29"/>
    <w:rsid w:val="4AAD6C06"/>
    <w:rsid w:val="4C706764"/>
    <w:rsid w:val="4CDE0C95"/>
    <w:rsid w:val="4EB66F1F"/>
    <w:rsid w:val="4F624D5E"/>
    <w:rsid w:val="4F8B6063"/>
    <w:rsid w:val="50BC59C1"/>
    <w:rsid w:val="517C0156"/>
    <w:rsid w:val="51825244"/>
    <w:rsid w:val="53F65A75"/>
    <w:rsid w:val="541E55D4"/>
    <w:rsid w:val="543C08BB"/>
    <w:rsid w:val="545F0E9A"/>
    <w:rsid w:val="55626927"/>
    <w:rsid w:val="564E0E6C"/>
    <w:rsid w:val="5667258C"/>
    <w:rsid w:val="566C71AA"/>
    <w:rsid w:val="568B4B9B"/>
    <w:rsid w:val="580E15DF"/>
    <w:rsid w:val="591C7D2C"/>
    <w:rsid w:val="5A5D60E0"/>
    <w:rsid w:val="5A760CF7"/>
    <w:rsid w:val="5BA926AC"/>
    <w:rsid w:val="5CA03471"/>
    <w:rsid w:val="5D447851"/>
    <w:rsid w:val="5D577585"/>
    <w:rsid w:val="5D915BA8"/>
    <w:rsid w:val="5E2C0A11"/>
    <w:rsid w:val="5E5E7657"/>
    <w:rsid w:val="5E7024C3"/>
    <w:rsid w:val="5EB9124F"/>
    <w:rsid w:val="60310561"/>
    <w:rsid w:val="604162CA"/>
    <w:rsid w:val="60924693"/>
    <w:rsid w:val="60A871CD"/>
    <w:rsid w:val="60CF5BF0"/>
    <w:rsid w:val="63200180"/>
    <w:rsid w:val="639655C3"/>
    <w:rsid w:val="63AC1AE0"/>
    <w:rsid w:val="63C6028C"/>
    <w:rsid w:val="64850E7B"/>
    <w:rsid w:val="64964342"/>
    <w:rsid w:val="65404DA2"/>
    <w:rsid w:val="65BA6903"/>
    <w:rsid w:val="65C15EE3"/>
    <w:rsid w:val="66D439F4"/>
    <w:rsid w:val="66DF6686"/>
    <w:rsid w:val="675F5CF6"/>
    <w:rsid w:val="67C021CA"/>
    <w:rsid w:val="68464DC5"/>
    <w:rsid w:val="68F461F3"/>
    <w:rsid w:val="69054339"/>
    <w:rsid w:val="69A43B52"/>
    <w:rsid w:val="6B1679D3"/>
    <w:rsid w:val="6B3E347E"/>
    <w:rsid w:val="6C4C052F"/>
    <w:rsid w:val="6CD504C6"/>
    <w:rsid w:val="6D7101EF"/>
    <w:rsid w:val="6DC8333E"/>
    <w:rsid w:val="6E70045E"/>
    <w:rsid w:val="6EA34F47"/>
    <w:rsid w:val="704C1430"/>
    <w:rsid w:val="70520198"/>
    <w:rsid w:val="70643363"/>
    <w:rsid w:val="70743B73"/>
    <w:rsid w:val="70840239"/>
    <w:rsid w:val="70C44AD9"/>
    <w:rsid w:val="714B4516"/>
    <w:rsid w:val="72AA72D5"/>
    <w:rsid w:val="73403702"/>
    <w:rsid w:val="746A1E3C"/>
    <w:rsid w:val="74E33CE9"/>
    <w:rsid w:val="758D3939"/>
    <w:rsid w:val="764A6A3A"/>
    <w:rsid w:val="76893FD2"/>
    <w:rsid w:val="76EC2FDC"/>
    <w:rsid w:val="78085BF3"/>
    <w:rsid w:val="7853145C"/>
    <w:rsid w:val="78FF656E"/>
    <w:rsid w:val="7AA701F0"/>
    <w:rsid w:val="7AFE1C42"/>
    <w:rsid w:val="7B486307"/>
    <w:rsid w:val="7B510F1C"/>
    <w:rsid w:val="7C127041"/>
    <w:rsid w:val="7C7A6994"/>
    <w:rsid w:val="7CA81753"/>
    <w:rsid w:val="7DCC321F"/>
    <w:rsid w:val="7E4665DB"/>
    <w:rsid w:val="7F2257ED"/>
    <w:rsid w:val="7F562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semiHidden/>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2"/>
    <w:basedOn w:val="1"/>
    <w:qFormat/>
    <w:uiPriority w:val="0"/>
    <w:pPr>
      <w:spacing w:after="120" w:line="480" w:lineRule="auto"/>
    </w:pPr>
  </w:style>
  <w:style w:type="character" w:styleId="9">
    <w:name w:val="page number"/>
    <w:basedOn w:val="8"/>
    <w:qFormat/>
    <w:uiPriority w:val="0"/>
  </w:style>
  <w:style w:type="paragraph" w:customStyle="1" w:styleId="10">
    <w:name w:val="默认段落字体 Para Char"/>
    <w:basedOn w:val="1"/>
    <w:qFormat/>
    <w:uiPriority w:val="0"/>
    <w:pPr>
      <w:widowControl/>
    </w:pPr>
  </w:style>
  <w:style w:type="character" w:customStyle="1" w:styleId="11">
    <w:name w:val="批注框文本 Char"/>
    <w:link w:val="3"/>
    <w:semiHidden/>
    <w:qFormat/>
    <w:uiPriority w:val="99"/>
    <w:rPr>
      <w:kern w:val="2"/>
      <w:sz w:val="18"/>
      <w:szCs w:val="18"/>
    </w:rPr>
  </w:style>
  <w:style w:type="character" w:customStyle="1" w:styleId="12">
    <w:name w:val="font41"/>
    <w:basedOn w:val="8"/>
    <w:qFormat/>
    <w:uiPriority w:val="0"/>
    <w:rPr>
      <w:rFonts w:hint="eastAsia" w:ascii="宋体" w:hAnsi="宋体" w:eastAsia="宋体" w:cs="宋体"/>
      <w:b/>
      <w:color w:val="000000"/>
      <w:sz w:val="22"/>
      <w:szCs w:val="22"/>
      <w:u w:val="none"/>
    </w:rPr>
  </w:style>
  <w:style w:type="character" w:customStyle="1" w:styleId="13">
    <w:name w:val="font21"/>
    <w:basedOn w:val="8"/>
    <w:qFormat/>
    <w:uiPriority w:val="0"/>
    <w:rPr>
      <w:rFonts w:hint="eastAsia" w:ascii="宋体" w:hAnsi="宋体" w:eastAsia="宋体" w:cs="宋体"/>
      <w:color w:val="000000"/>
      <w:sz w:val="20"/>
      <w:szCs w:val="20"/>
      <w:u w:val="none"/>
    </w:rPr>
  </w:style>
  <w:style w:type="character" w:customStyle="1" w:styleId="14">
    <w:name w:val="font51"/>
    <w:basedOn w:val="8"/>
    <w:qFormat/>
    <w:uiPriority w:val="0"/>
    <w:rPr>
      <w:rFonts w:hint="eastAsia" w:ascii="宋体" w:hAnsi="宋体" w:eastAsia="宋体" w:cs="宋体"/>
      <w:color w:val="000000"/>
      <w:sz w:val="20"/>
      <w:szCs w:val="20"/>
      <w:u w:val="none"/>
    </w:rPr>
  </w:style>
  <w:style w:type="character" w:customStyle="1" w:styleId="15">
    <w:name w:val="font12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xag</Company>
  <Pages>7</Pages>
  <Words>3775</Words>
  <Characters>4264</Characters>
  <Lines>14</Lines>
  <Paragraphs>3</Paragraphs>
  <TotalTime>11</TotalTime>
  <ScaleCrop>false</ScaleCrop>
  <LinksUpToDate>false</LinksUpToDate>
  <CharactersWithSpaces>4419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2019-08-22T07:10:00Z</dcterms:created>
  <dc:creator>aaaa</dc:creator>
  <cp:lastModifiedBy>简单</cp:lastModifiedBy>
  <cp:lastPrinted>2024-12-02T04:11:00Z</cp:lastPrinted>
  <dcterms:modified xsi:type="dcterms:W3CDTF">2025-12-17T01:29:42Z</dcterms:modified>
  <dc:title>体检服务协议书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E564E3E7CBC64F54910AB4FC22D90EDF_13</vt:lpwstr>
  </property>
  <property fmtid="{D5CDD505-2E9C-101B-9397-08002B2CF9AE}" pid="4" name="KSOTemplateDocerSaveRecord">
    <vt:lpwstr>eyJoZGlkIjoiYzZlNDM1NjllZmI2NWM3MTQ1OTM2NzdlYjA1ZDM0YjciLCJ1c2VySWQiOiIzNjYzMDAyMjgifQ==</vt:lpwstr>
  </property>
</Properties>
</file>