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A84CC">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深圳人大代表大讲堂宣传推广合同</w:t>
      </w:r>
    </w:p>
    <w:p w14:paraId="478F356C">
      <w:pPr>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lang w:val="en-US" w:eastAsia="zh-CN"/>
        </w:rPr>
        <w:t>2025年-2026年</w:t>
      </w:r>
      <w:r>
        <w:rPr>
          <w:rFonts w:hint="eastAsia" w:ascii="方正小标宋简体" w:hAnsi="方正小标宋简体" w:eastAsia="方正小标宋简体" w:cs="方正小标宋简体"/>
          <w:bCs/>
          <w:sz w:val="44"/>
          <w:szCs w:val="44"/>
          <w:lang w:eastAsia="zh-CN"/>
        </w:rPr>
        <w:t>）</w:t>
      </w:r>
    </w:p>
    <w:p w14:paraId="5C015D07">
      <w:pPr>
        <w:spacing w:line="360" w:lineRule="auto"/>
        <w:rPr>
          <w:rFonts w:asciiTheme="minorEastAsia" w:hAnsiTheme="minorEastAsia" w:eastAsiaTheme="minorEastAsia"/>
          <w:sz w:val="24"/>
          <w:szCs w:val="24"/>
        </w:rPr>
      </w:pPr>
    </w:p>
    <w:p w14:paraId="3B5ACBDB">
      <w:pPr>
        <w:spacing w:line="360" w:lineRule="auto"/>
        <w:rPr>
          <w:rFonts w:ascii="仿宋_GB2312" w:eastAsia="仿宋_GB2312" w:hAnsiTheme="minorEastAsia"/>
          <w:b/>
          <w:sz w:val="28"/>
          <w:szCs w:val="28"/>
        </w:rPr>
      </w:pPr>
      <w:r>
        <w:rPr>
          <w:rFonts w:hint="eastAsia" w:ascii="仿宋_GB2312" w:eastAsia="仿宋_GB2312" w:hAnsiTheme="minorEastAsia"/>
          <w:b/>
          <w:sz w:val="28"/>
          <w:szCs w:val="28"/>
        </w:rPr>
        <w:t>甲方：</w:t>
      </w:r>
      <w:bookmarkStart w:id="0" w:name="_Hlk132794708"/>
      <w:r>
        <w:rPr>
          <w:rFonts w:hint="eastAsia" w:ascii="仿宋_GB2312" w:eastAsia="仿宋_GB2312" w:hAnsiTheme="minorEastAsia"/>
          <w:b/>
          <w:sz w:val="28"/>
          <w:szCs w:val="28"/>
        </w:rPr>
        <w:t>深圳人大干部培训中心有限公司</w:t>
      </w:r>
      <w:bookmarkEnd w:id="0"/>
    </w:p>
    <w:p w14:paraId="254B6322">
      <w:pPr>
        <w:spacing w:line="360" w:lineRule="auto"/>
        <w:rPr>
          <w:rFonts w:ascii="仿宋_GB2312" w:eastAsia="仿宋_GB2312" w:hAnsiTheme="minorEastAsia"/>
          <w:b/>
          <w:sz w:val="28"/>
          <w:szCs w:val="28"/>
        </w:rPr>
      </w:pPr>
      <w:r>
        <w:rPr>
          <w:rFonts w:hint="eastAsia" w:ascii="仿宋_GB2312" w:eastAsia="仿宋_GB2312" w:hAnsiTheme="minorEastAsia"/>
          <w:b/>
          <w:sz w:val="28"/>
          <w:szCs w:val="28"/>
        </w:rPr>
        <w:t>乙方：深圳新闻网传媒股份有限公司</w:t>
      </w:r>
    </w:p>
    <w:p w14:paraId="5826C945">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根据《中华人民共和国民法典》《中华人民共和国广告法》《互联网新闻信息服务管理规定》及其细则等法律法规和规范性文件的规定，甲乙双方在平等互利的基础上，经过友好协商，达成本协议。</w:t>
      </w:r>
    </w:p>
    <w:p w14:paraId="63044590">
      <w:pPr>
        <w:numPr>
          <w:ilvl w:val="0"/>
          <w:numId w:val="1"/>
        </w:num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合作内容</w:t>
      </w:r>
    </w:p>
    <w:p w14:paraId="35ED9BED">
      <w:pPr>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双方开展有关深圳人大代表大讲堂宣传推广</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lang w:val="en-US" w:eastAsia="zh-CN"/>
        </w:rPr>
        <w:t>2025年-2026年）</w:t>
      </w:r>
      <w:r>
        <w:rPr>
          <w:rFonts w:hint="eastAsia" w:ascii="仿宋_GB2312" w:eastAsia="仿宋_GB2312" w:hAnsiTheme="minorEastAsia"/>
          <w:sz w:val="28"/>
          <w:szCs w:val="28"/>
        </w:rPr>
        <w:t>合作事宜，宣传推广具体内容详见附件一《202</w:t>
      </w:r>
      <w:r>
        <w:rPr>
          <w:rFonts w:ascii="仿宋_GB2312" w:eastAsia="仿宋_GB2312" w:hAnsiTheme="minorEastAsia"/>
          <w:sz w:val="28"/>
          <w:szCs w:val="28"/>
        </w:rPr>
        <w:t>5</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至2026年</w:t>
      </w:r>
      <w:r>
        <w:rPr>
          <w:rFonts w:hint="eastAsia" w:ascii="仿宋_GB2312" w:eastAsia="仿宋_GB2312" w:hAnsiTheme="minorEastAsia"/>
          <w:sz w:val="28"/>
          <w:szCs w:val="28"/>
        </w:rPr>
        <w:t>深圳人大代表大讲堂宣传方案》，</w:t>
      </w:r>
      <w:r>
        <w:rPr>
          <w:rFonts w:hint="eastAsia" w:ascii="仿宋_GB2312" w:eastAsia="仿宋_GB2312" w:hAnsiTheme="minorEastAsia"/>
          <w:sz w:val="28"/>
          <w:szCs w:val="28"/>
          <w:lang w:eastAsia="zh-CN"/>
        </w:rPr>
        <w:t>具</w:t>
      </w:r>
      <w:r>
        <w:rPr>
          <w:rFonts w:hint="eastAsia" w:ascii="仿宋_GB2312" w:eastAsia="仿宋_GB2312" w:hAnsiTheme="minorEastAsia"/>
          <w:sz w:val="28"/>
          <w:szCs w:val="28"/>
          <w:lang w:val="en-US" w:eastAsia="zh-CN"/>
        </w:rPr>
        <w:t>有</w:t>
      </w:r>
      <w:r>
        <w:rPr>
          <w:rFonts w:hint="eastAsia" w:ascii="仿宋_GB2312" w:eastAsia="仿宋_GB2312" w:hAnsiTheme="minorEastAsia"/>
          <w:sz w:val="28"/>
          <w:szCs w:val="28"/>
        </w:rPr>
        <w:t>同等法律效力。</w:t>
      </w:r>
    </w:p>
    <w:p w14:paraId="77839B2D">
      <w:pPr>
        <w:numPr>
          <w:ilvl w:val="0"/>
          <w:numId w:val="1"/>
        </w:num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合作期限</w:t>
      </w:r>
    </w:p>
    <w:p w14:paraId="0EE50383">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2.1自</w:t>
      </w:r>
      <w:r>
        <w:rPr>
          <w:rFonts w:hint="eastAsia" w:ascii="仿宋_GB2312" w:eastAsia="仿宋_GB2312" w:hAnsiTheme="minorEastAsia"/>
          <w:sz w:val="28"/>
          <w:szCs w:val="28"/>
          <w:u w:val="single"/>
        </w:rPr>
        <w:t>202</w:t>
      </w:r>
      <w:r>
        <w:rPr>
          <w:rFonts w:ascii="仿宋_GB2312" w:eastAsia="仿宋_GB2312" w:hAnsiTheme="minorEastAsia"/>
          <w:sz w:val="28"/>
          <w:szCs w:val="28"/>
          <w:u w:val="single"/>
        </w:rPr>
        <w:t>5</w:t>
      </w:r>
      <w:r>
        <w:rPr>
          <w:rFonts w:hint="eastAsia" w:ascii="仿宋_GB2312" w:eastAsia="仿宋_GB2312" w:hAnsiTheme="minorEastAsia"/>
          <w:sz w:val="28"/>
          <w:szCs w:val="28"/>
          <w:u w:val="single"/>
        </w:rPr>
        <w:t xml:space="preserve"> </w:t>
      </w:r>
      <w:r>
        <w:rPr>
          <w:rFonts w:hint="eastAsia" w:ascii="仿宋_GB2312" w:eastAsia="仿宋_GB2312" w:hAnsiTheme="minorEastAsia"/>
          <w:sz w:val="28"/>
          <w:szCs w:val="28"/>
        </w:rPr>
        <w:t>年</w:t>
      </w:r>
      <w:r>
        <w:rPr>
          <w:rFonts w:hint="eastAsia" w:ascii="仿宋_GB2312" w:eastAsia="仿宋_GB2312" w:hAnsiTheme="minorEastAsia"/>
          <w:sz w:val="28"/>
          <w:szCs w:val="28"/>
          <w:u w:val="single"/>
        </w:rPr>
        <w:t xml:space="preserve"> </w:t>
      </w:r>
      <w:r>
        <w:rPr>
          <w:rFonts w:ascii="仿宋_GB2312" w:eastAsia="仿宋_GB2312" w:hAnsiTheme="minorEastAsia"/>
          <w:sz w:val="28"/>
          <w:szCs w:val="28"/>
          <w:u w:val="single"/>
        </w:rPr>
        <w:t>11</w:t>
      </w:r>
      <w:r>
        <w:rPr>
          <w:rFonts w:hint="eastAsia" w:ascii="仿宋_GB2312" w:eastAsia="仿宋_GB2312" w:hAnsiTheme="minorEastAsia"/>
          <w:sz w:val="28"/>
          <w:szCs w:val="28"/>
          <w:u w:val="single"/>
        </w:rPr>
        <w:t xml:space="preserve"> </w:t>
      </w:r>
      <w:r>
        <w:rPr>
          <w:rFonts w:hint="eastAsia" w:ascii="仿宋_GB2312" w:eastAsia="仿宋_GB2312" w:hAnsiTheme="minorEastAsia"/>
          <w:sz w:val="28"/>
          <w:szCs w:val="28"/>
        </w:rPr>
        <w:t>月起至</w:t>
      </w:r>
      <w:r>
        <w:rPr>
          <w:rFonts w:hint="eastAsia" w:ascii="仿宋_GB2312" w:eastAsia="仿宋_GB2312" w:hAnsiTheme="minorEastAsia"/>
          <w:sz w:val="28"/>
          <w:szCs w:val="28"/>
          <w:u w:val="single"/>
        </w:rPr>
        <w:t xml:space="preserve"> 202</w:t>
      </w:r>
      <w:r>
        <w:rPr>
          <w:rFonts w:ascii="仿宋_GB2312" w:eastAsia="仿宋_GB2312" w:hAnsiTheme="minorEastAsia"/>
          <w:sz w:val="28"/>
          <w:szCs w:val="28"/>
          <w:u w:val="single"/>
        </w:rPr>
        <w:t>6</w:t>
      </w:r>
      <w:r>
        <w:rPr>
          <w:rFonts w:hint="eastAsia" w:ascii="仿宋_GB2312" w:eastAsia="仿宋_GB2312" w:hAnsiTheme="minorEastAsia"/>
          <w:sz w:val="28"/>
          <w:szCs w:val="28"/>
        </w:rPr>
        <w:t>年</w:t>
      </w:r>
      <w:r>
        <w:rPr>
          <w:rFonts w:hint="eastAsia" w:ascii="仿宋_GB2312" w:eastAsia="仿宋_GB2312" w:hAnsiTheme="minorEastAsia"/>
          <w:sz w:val="28"/>
          <w:szCs w:val="28"/>
          <w:u w:val="single"/>
        </w:rPr>
        <w:t xml:space="preserve"> </w:t>
      </w:r>
      <w:r>
        <w:rPr>
          <w:rFonts w:ascii="仿宋_GB2312" w:eastAsia="仿宋_GB2312" w:hAnsiTheme="minorEastAsia"/>
          <w:sz w:val="28"/>
          <w:szCs w:val="28"/>
          <w:u w:val="single"/>
        </w:rPr>
        <w:t>11</w:t>
      </w:r>
      <w:r>
        <w:rPr>
          <w:rFonts w:hint="eastAsia" w:ascii="仿宋_GB2312" w:eastAsia="仿宋_GB2312" w:hAnsiTheme="minorEastAsia"/>
          <w:sz w:val="28"/>
          <w:szCs w:val="28"/>
          <w:u w:val="single"/>
        </w:rPr>
        <w:t xml:space="preserve"> </w:t>
      </w:r>
      <w:r>
        <w:rPr>
          <w:rFonts w:hint="eastAsia" w:ascii="仿宋_GB2312" w:eastAsia="仿宋_GB2312" w:hAnsiTheme="minorEastAsia"/>
          <w:sz w:val="28"/>
          <w:szCs w:val="28"/>
        </w:rPr>
        <w:t>月止。</w:t>
      </w:r>
    </w:p>
    <w:p w14:paraId="02C47D4E">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2.2合同服务期满，经双方协商一致继续合作的，应另行签订书面合同。</w:t>
      </w:r>
    </w:p>
    <w:p w14:paraId="4707BC1A">
      <w:pPr>
        <w:numPr>
          <w:ilvl w:val="0"/>
          <w:numId w:val="1"/>
        </w:num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合作地点</w:t>
      </w:r>
    </w:p>
    <w:p w14:paraId="0EC81614">
      <w:pPr>
        <w:spacing w:line="360" w:lineRule="auto"/>
        <w:ind w:firstLine="560" w:firstLineChars="200"/>
        <w:rPr>
          <w:rFonts w:ascii="仿宋_GB2312" w:eastAsia="仿宋_GB2312" w:hAnsiTheme="minorEastAsia"/>
          <w:sz w:val="28"/>
          <w:szCs w:val="28"/>
          <w:u w:val="single"/>
        </w:rPr>
      </w:pPr>
      <w:r>
        <w:rPr>
          <w:rFonts w:hint="eastAsia" w:ascii="仿宋_GB2312" w:eastAsia="仿宋_GB2312" w:hAnsiTheme="minorEastAsia"/>
          <w:sz w:val="28"/>
          <w:szCs w:val="28"/>
          <w:u w:val="single"/>
        </w:rPr>
        <w:t xml:space="preserve">       深圳市      </w:t>
      </w:r>
    </w:p>
    <w:p w14:paraId="2D03C593">
      <w:pPr>
        <w:numPr>
          <w:ilvl w:val="0"/>
          <w:numId w:val="1"/>
        </w:num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费用及支付</w:t>
      </w:r>
    </w:p>
    <w:p w14:paraId="04BF56BF">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4.1本项目计划举行13期，每期含视频新闻、素材存档、海报制作等，总计人民币【</w:t>
      </w:r>
      <w:r>
        <w:rPr>
          <w:rFonts w:hint="eastAsia" w:ascii="仿宋_GB2312" w:eastAsia="仿宋_GB2312" w:hAnsiTheme="minorEastAsia"/>
          <w:sz w:val="28"/>
          <w:szCs w:val="28"/>
          <w:lang w:eastAsia="zh-CN"/>
        </w:rPr>
        <w:t>壹</w:t>
      </w:r>
      <w:bookmarkStart w:id="1" w:name="_GoBack"/>
      <w:bookmarkEnd w:id="1"/>
      <w:r>
        <w:rPr>
          <w:rFonts w:hint="eastAsia" w:ascii="仿宋_GB2312" w:eastAsia="仿宋_GB2312" w:hAnsiTheme="minorEastAsia"/>
          <w:sz w:val="28"/>
          <w:szCs w:val="28"/>
        </w:rPr>
        <w:t>拾叁万元】（小写：￥130000元），最终以实际举行期数为准，超出相关期数费用另计。该费用包含本合同项下全部服务费用及乙方因履行本合同所产生的一切费用，包括但不限于税费、设备租赁使用费、交通费用、其他费用。除经协商一致变更本合同外，甲方无需再向乙方支付任何款项。</w:t>
      </w:r>
    </w:p>
    <w:p w14:paraId="3B6F95A9">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4.2付款：每期按照固定费用予以结算，费用由甲方分两次支付乙方。具体支付方式和时间如下：在合同签约之后，甲方收到乙方开具的等额增值税普通发票后60个工作日内支付首期款人民币【捌万元整】（小写：￥80000元），尾款在项目结项后60个工作日内予以支付，即人民币【伍万元整】（小写￥50000元）。</w:t>
      </w:r>
    </w:p>
    <w:p w14:paraId="42CD37AE">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4.3甲方应当向乙方指定的收款银行账户支付本合同约定的服务款项。</w:t>
      </w:r>
    </w:p>
    <w:p w14:paraId="55DDEC65">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 xml:space="preserve">(开户名：深圳新闻网传媒股份有限公司 </w:t>
      </w:r>
    </w:p>
    <w:p w14:paraId="3DC2C4E5">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开户行：中国民生银行深圳福田支行  账号： 691892592  ）</w:t>
      </w:r>
    </w:p>
    <w:p w14:paraId="740855BD">
      <w:pPr>
        <w:numPr>
          <w:ilvl w:val="0"/>
          <w:numId w:val="1"/>
        </w:num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履约保证金</w:t>
      </w:r>
    </w:p>
    <w:p w14:paraId="7ECE179C">
      <w:pPr>
        <w:spacing w:line="360" w:lineRule="auto"/>
        <w:ind w:firstLine="560" w:firstLineChars="200"/>
        <w:jc w:val="left"/>
        <w:rPr>
          <w:rFonts w:ascii="仿宋_GB2312" w:eastAsia="仿宋_GB2312" w:hAnsiTheme="minorEastAsia"/>
          <w:bCs/>
          <w:sz w:val="28"/>
          <w:szCs w:val="28"/>
        </w:rPr>
      </w:pPr>
      <w:r>
        <w:rPr>
          <w:rFonts w:hint="eastAsia" w:ascii="仿宋_GB2312" w:eastAsia="仿宋_GB2312" w:hAnsiTheme="minorEastAsia"/>
          <w:bCs/>
          <w:sz w:val="28"/>
          <w:szCs w:val="28"/>
        </w:rPr>
        <w:t>本合同：</w:t>
      </w:r>
    </w:p>
    <w:p w14:paraId="436CC7DD">
      <w:pPr>
        <w:spacing w:line="360" w:lineRule="auto"/>
        <w:ind w:firstLine="560" w:firstLineChars="200"/>
        <w:jc w:val="left"/>
        <w:rPr>
          <w:rFonts w:ascii="仿宋_GB2312" w:eastAsia="仿宋_GB2312" w:hAnsiTheme="minorEastAsia"/>
          <w:bCs/>
          <w:sz w:val="28"/>
          <w:szCs w:val="28"/>
        </w:rPr>
      </w:pPr>
      <w:r>
        <w:rPr>
          <w:rFonts w:hint="eastAsia" w:ascii="仿宋_GB2312" w:eastAsia="仿宋_GB2312" w:hAnsiTheme="minorEastAsia"/>
          <w:bCs/>
          <w:sz w:val="28"/>
          <w:szCs w:val="28"/>
        </w:rPr>
        <w:sym w:font="Wingdings 2" w:char="F052"/>
      </w:r>
      <w:r>
        <w:rPr>
          <w:rFonts w:hint="eastAsia" w:ascii="仿宋_GB2312" w:eastAsia="仿宋_GB2312" w:hAnsiTheme="minorEastAsia"/>
          <w:bCs/>
          <w:sz w:val="28"/>
          <w:szCs w:val="28"/>
        </w:rPr>
        <w:t>无履约保证金。</w:t>
      </w:r>
    </w:p>
    <w:p w14:paraId="3F3C3D6E">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bCs/>
          <w:sz w:val="28"/>
          <w:szCs w:val="28"/>
        </w:rPr>
        <w:t>□有履约保证金。乙方应于</w:t>
      </w:r>
      <w:r>
        <w:rPr>
          <w:rFonts w:hint="eastAsia" w:ascii="仿宋_GB2312" w:eastAsia="仿宋_GB2312" w:hAnsiTheme="minorEastAsia"/>
          <w:bCs/>
          <w:sz w:val="28"/>
          <w:szCs w:val="28"/>
          <w:u w:val="single"/>
        </w:rPr>
        <w:t xml:space="preserve">          </w:t>
      </w:r>
      <w:r>
        <w:rPr>
          <w:rFonts w:hint="eastAsia" w:ascii="仿宋_GB2312" w:eastAsia="仿宋_GB2312" w:hAnsiTheme="minorEastAsia"/>
          <w:bCs/>
          <w:sz w:val="28"/>
          <w:szCs w:val="28"/>
        </w:rPr>
        <w:t>向甲方一次性支付人民币</w:t>
      </w:r>
      <w:r>
        <w:rPr>
          <w:rFonts w:hint="eastAsia" w:ascii="仿宋_GB2312" w:eastAsia="仿宋_GB2312" w:hAnsiTheme="minorEastAsia"/>
          <w:sz w:val="28"/>
          <w:szCs w:val="28"/>
          <w:u w:val="single"/>
        </w:rPr>
        <w:t xml:space="preserve">            </w:t>
      </w:r>
      <w:r>
        <w:rPr>
          <w:rFonts w:hint="eastAsia" w:ascii="仿宋_GB2312" w:eastAsia="仿宋_GB2312" w:hAnsiTheme="minorEastAsia"/>
          <w:sz w:val="28"/>
          <w:szCs w:val="28"/>
        </w:rPr>
        <w:t>（小写：</w:t>
      </w:r>
      <w:r>
        <w:rPr>
          <w:rFonts w:hint="eastAsia" w:ascii="仿宋_GB2312" w:eastAsia="仿宋_GB2312" w:hAnsiTheme="minorEastAsia"/>
          <w:sz w:val="28"/>
          <w:szCs w:val="28"/>
          <w:u w:val="single"/>
        </w:rPr>
        <w:t xml:space="preserve">  ￥         元</w:t>
      </w:r>
      <w:r>
        <w:rPr>
          <w:rFonts w:hint="eastAsia" w:ascii="仿宋_GB2312" w:eastAsia="仿宋_GB2312" w:hAnsiTheme="minorEastAsia"/>
          <w:sz w:val="28"/>
          <w:szCs w:val="28"/>
        </w:rPr>
        <w:t>）作为履约保证金，项目验收合格后甲方一次性无息返还给乙方。因乙方违约应承担赔偿责任的，甲方有权从履约保证金中直接扣除。</w:t>
      </w:r>
    </w:p>
    <w:p w14:paraId="050D7E21">
      <w:pPr>
        <w:numPr>
          <w:ilvl w:val="0"/>
          <w:numId w:val="1"/>
        </w:num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甲乙双方的权利和义务</w:t>
      </w:r>
    </w:p>
    <w:p w14:paraId="71AC714E">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6.1甲乙双方共同确定活动月报道主题和方式，由乙方执行甲方认可的宣传方案。</w:t>
      </w:r>
    </w:p>
    <w:p w14:paraId="7F83BBD0">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6.2甲乙双方加强交流，积极引导舆论，确保推出的内容具有准确性、时效性和传播力度。甲方提供宣传内容、素材或要求发布内容的，应保证拥有其合法权利或经合法授权，否则引起的纠纷由甲方负责处理并承担责任。</w:t>
      </w:r>
    </w:p>
    <w:p w14:paraId="7BC90BC7">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6.3乙方在发布海报和相关新闻报道时，需维护甲方在社会公众及新闻媒体的良好形象，不对甲方发表有负面评价的报道文章。</w:t>
      </w:r>
    </w:p>
    <w:p w14:paraId="6AD5BCD0">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6.4 乙方应成立专业团队履行合同，并在项目结束后出具项目小结给甲方。</w:t>
      </w:r>
    </w:p>
    <w:p w14:paraId="24B96A94">
      <w:pPr>
        <w:spacing w:line="360" w:lineRule="auto"/>
        <w:rPr>
          <w:rFonts w:ascii="仿宋_GB2312" w:eastAsia="仿宋_GB2312" w:hAnsiTheme="minorEastAsia"/>
          <w:sz w:val="28"/>
          <w:szCs w:val="28"/>
        </w:rPr>
      </w:pPr>
      <w:r>
        <w:rPr>
          <w:rFonts w:hint="eastAsia" w:ascii="仿宋_GB2312" w:eastAsia="仿宋_GB2312" w:hAnsiTheme="minorEastAsia"/>
          <w:b/>
          <w:sz w:val="28"/>
          <w:szCs w:val="28"/>
        </w:rPr>
        <w:t>第七条</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ajorEastAsia"/>
          <w:b/>
          <w:bCs/>
          <w:sz w:val="28"/>
          <w:szCs w:val="28"/>
        </w:rPr>
        <w:t>保密义务</w:t>
      </w:r>
    </w:p>
    <w:p w14:paraId="783A82B5">
      <w:pPr>
        <w:spacing w:line="360" w:lineRule="auto"/>
        <w:ind w:firstLine="560" w:firstLineChars="200"/>
        <w:jc w:val="left"/>
        <w:rPr>
          <w:rFonts w:ascii="仿宋_GB2312" w:eastAsia="仿宋_GB2312" w:hAnsiTheme="minorEastAsia"/>
          <w:bCs/>
          <w:sz w:val="28"/>
          <w:szCs w:val="28"/>
        </w:rPr>
      </w:pPr>
      <w:r>
        <w:rPr>
          <w:rFonts w:hint="eastAsia" w:ascii="仿宋_GB2312" w:eastAsia="仿宋_GB2312" w:hAnsiTheme="minorEastAsia"/>
          <w:bCs/>
          <w:sz w:val="28"/>
          <w:szCs w:val="28"/>
        </w:rPr>
        <w:t>7.1甲乙双方应遵守国家的有关保密规定，妥善保管对方提供的资料和信息，保守对方的各项秘密，并保护对方的知识产权。</w:t>
      </w:r>
    </w:p>
    <w:p w14:paraId="77B55CE0">
      <w:pPr>
        <w:spacing w:line="360" w:lineRule="auto"/>
        <w:ind w:firstLine="560" w:firstLineChars="200"/>
        <w:jc w:val="left"/>
        <w:rPr>
          <w:rFonts w:ascii="仿宋_GB2312" w:eastAsia="仿宋_GB2312" w:hAnsiTheme="minorEastAsia"/>
          <w:bCs/>
          <w:sz w:val="28"/>
          <w:szCs w:val="28"/>
        </w:rPr>
      </w:pPr>
      <w:r>
        <w:rPr>
          <w:rFonts w:hint="eastAsia" w:ascii="仿宋_GB2312" w:eastAsia="仿宋_GB2312" w:hAnsiTheme="minorEastAsia"/>
          <w:bCs/>
          <w:sz w:val="28"/>
          <w:szCs w:val="28"/>
        </w:rPr>
        <w:t>7.2未经对方许可，任何一方均不得将对方的资料和信息泄露给任何第三方。合同履行完毕或者终止不视为解除保密义务，双方仍应承担保密义务。</w:t>
      </w:r>
    </w:p>
    <w:p w14:paraId="03B8F8C9">
      <w:pPr>
        <w:spacing w:line="360" w:lineRule="auto"/>
        <w:rPr>
          <w:rFonts w:ascii="仿宋_GB2312" w:eastAsia="仿宋_GB2312" w:hAnsiTheme="majorEastAsia"/>
          <w:b/>
          <w:bCs/>
          <w:sz w:val="28"/>
          <w:szCs w:val="28"/>
        </w:rPr>
      </w:pPr>
      <w:r>
        <w:rPr>
          <w:rFonts w:hint="eastAsia" w:ascii="仿宋_GB2312" w:eastAsia="仿宋_GB2312" w:hAnsiTheme="majorEastAsia"/>
          <w:b/>
          <w:bCs/>
          <w:sz w:val="28"/>
          <w:szCs w:val="28"/>
        </w:rPr>
        <w:t xml:space="preserve">第八条 </w:t>
      </w:r>
      <w:r>
        <w:rPr>
          <w:rFonts w:hint="eastAsia" w:ascii="仿宋_GB2312" w:eastAsia="仿宋_GB2312" w:hAnsiTheme="majorEastAsia"/>
          <w:b/>
          <w:bCs/>
          <w:sz w:val="28"/>
          <w:szCs w:val="28"/>
          <w:lang w:val="en-US" w:eastAsia="zh-CN"/>
        </w:rPr>
        <w:t xml:space="preserve"> </w:t>
      </w:r>
      <w:r>
        <w:rPr>
          <w:rFonts w:hint="eastAsia" w:ascii="仿宋_GB2312" w:eastAsia="仿宋_GB2312" w:hAnsiTheme="majorEastAsia"/>
          <w:b/>
          <w:bCs/>
          <w:sz w:val="28"/>
          <w:szCs w:val="28"/>
        </w:rPr>
        <w:t>争议解决</w:t>
      </w:r>
    </w:p>
    <w:p w14:paraId="6A2CF0C9">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双方因履行本合同发生争议的，可友好协商解决，经协商达成的补充协议，与本协议具有同等法律效力。如双方无法协商解决的，任何一方均可向深圳市福田区人民法院提起诉讼。</w:t>
      </w:r>
    </w:p>
    <w:p w14:paraId="591E50F2">
      <w:pPr>
        <w:spacing w:line="360" w:lineRule="auto"/>
        <w:jc w:val="left"/>
        <w:rPr>
          <w:rFonts w:ascii="仿宋_GB2312" w:eastAsia="仿宋_GB2312" w:hAnsiTheme="minorEastAsia"/>
          <w:b/>
          <w:bCs/>
          <w:sz w:val="28"/>
          <w:szCs w:val="28"/>
        </w:rPr>
      </w:pPr>
      <w:r>
        <w:rPr>
          <w:rFonts w:hint="eastAsia" w:ascii="仿宋_GB2312" w:eastAsia="仿宋_GB2312" w:hAnsiTheme="minorEastAsia"/>
          <w:b/>
          <w:bCs/>
          <w:sz w:val="28"/>
          <w:szCs w:val="28"/>
        </w:rPr>
        <w:t xml:space="preserve">第九条 </w:t>
      </w:r>
      <w:r>
        <w:rPr>
          <w:rFonts w:hint="eastAsia" w:ascii="仿宋_GB2312" w:eastAsia="仿宋_GB2312" w:hAnsiTheme="minorEastAsia"/>
          <w:b/>
          <w:bCs/>
          <w:sz w:val="28"/>
          <w:szCs w:val="28"/>
          <w:lang w:val="en-US" w:eastAsia="zh-CN"/>
        </w:rPr>
        <w:t xml:space="preserve"> </w:t>
      </w:r>
      <w:r>
        <w:rPr>
          <w:rFonts w:hint="eastAsia" w:ascii="仿宋_GB2312" w:eastAsia="仿宋_GB2312" w:hAnsiTheme="minorEastAsia"/>
          <w:b/>
          <w:bCs/>
          <w:sz w:val="28"/>
          <w:szCs w:val="28"/>
        </w:rPr>
        <w:t>其他</w:t>
      </w:r>
    </w:p>
    <w:p w14:paraId="7B142C67">
      <w:pPr>
        <w:numPr>
          <w:ilvl w:val="255"/>
          <w:numId w:val="0"/>
        </w:num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9.1双方当事人不得无故单方面解除本协议或终止履行本协议项下的义务。如一方违约，要赔偿由此给对方造成的损失。</w:t>
      </w:r>
    </w:p>
    <w:p w14:paraId="4FF8591D">
      <w:pPr>
        <w:numPr>
          <w:ilvl w:val="255"/>
          <w:numId w:val="0"/>
        </w:num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9.2本协议及《附件一》一式</w:t>
      </w:r>
      <w:r>
        <w:rPr>
          <w:rFonts w:hint="eastAsia" w:ascii="仿宋_GB2312" w:eastAsia="仿宋_GB2312" w:hAnsiTheme="minorEastAsia"/>
          <w:sz w:val="28"/>
          <w:szCs w:val="28"/>
          <w:lang w:val="en-US" w:eastAsia="zh-CN"/>
        </w:rPr>
        <w:t>肆</w:t>
      </w:r>
      <w:r>
        <w:rPr>
          <w:rFonts w:hint="eastAsia" w:ascii="仿宋_GB2312" w:eastAsia="仿宋_GB2312" w:hAnsiTheme="minorEastAsia"/>
          <w:sz w:val="28"/>
          <w:szCs w:val="28"/>
        </w:rPr>
        <w:t>份，自双方法定代表人或负责人签字之日起生效，甲乙</w:t>
      </w:r>
      <w:r>
        <w:rPr>
          <w:rFonts w:hint="eastAsia" w:ascii="仿宋_GB2312" w:eastAsia="仿宋_GB2312" w:hAnsiTheme="minorEastAsia"/>
          <w:sz w:val="28"/>
          <w:szCs w:val="28"/>
          <w:lang w:val="en-US" w:eastAsia="zh-CN"/>
        </w:rPr>
        <w:t>双</w:t>
      </w:r>
      <w:r>
        <w:rPr>
          <w:rFonts w:hint="eastAsia" w:ascii="仿宋_GB2312" w:eastAsia="仿宋_GB2312" w:hAnsiTheme="minorEastAsia"/>
          <w:sz w:val="28"/>
          <w:szCs w:val="28"/>
        </w:rPr>
        <w:t>方持</w:t>
      </w:r>
      <w:r>
        <w:rPr>
          <w:rFonts w:hint="eastAsia" w:ascii="仿宋_GB2312" w:eastAsia="仿宋_GB2312" w:hAnsiTheme="minorEastAsia"/>
          <w:sz w:val="28"/>
          <w:szCs w:val="28"/>
          <w:lang w:val="en-US" w:eastAsia="zh-CN"/>
        </w:rPr>
        <w:t>贰</w:t>
      </w:r>
      <w:r>
        <w:rPr>
          <w:rFonts w:hint="eastAsia" w:ascii="仿宋_GB2312" w:eastAsia="仿宋_GB2312" w:hAnsiTheme="minorEastAsia"/>
          <w:sz w:val="28"/>
          <w:szCs w:val="28"/>
        </w:rPr>
        <w:t>份，均具同等法律效力。</w:t>
      </w:r>
    </w:p>
    <w:p w14:paraId="057F8462">
      <w:pPr>
        <w:numPr>
          <w:ilvl w:val="255"/>
          <w:numId w:val="0"/>
        </w:numPr>
        <w:spacing w:line="360" w:lineRule="auto"/>
        <w:ind w:firstLine="280" w:firstLineChars="100"/>
        <w:jc w:val="center"/>
        <w:rPr>
          <w:rFonts w:ascii="仿宋_GB2312" w:eastAsia="仿宋_GB2312" w:hAnsiTheme="minorEastAsia"/>
          <w:sz w:val="28"/>
          <w:szCs w:val="28"/>
        </w:rPr>
      </w:pPr>
      <w:r>
        <w:rPr>
          <w:rFonts w:hint="eastAsia" w:ascii="仿宋_GB2312" w:eastAsia="仿宋_GB2312" w:hAnsiTheme="minorEastAsia"/>
          <w:sz w:val="28"/>
          <w:szCs w:val="28"/>
        </w:rPr>
        <w:t>（本行以下无正文）</w:t>
      </w:r>
    </w:p>
    <w:p w14:paraId="080644B9">
      <w:pPr>
        <w:numPr>
          <w:ilvl w:val="255"/>
          <w:numId w:val="0"/>
        </w:numPr>
        <w:spacing w:line="360" w:lineRule="auto"/>
        <w:ind w:firstLine="280" w:firstLineChars="100"/>
        <w:jc w:val="center"/>
        <w:rPr>
          <w:rFonts w:ascii="仿宋_GB2312" w:eastAsia="仿宋_GB2312" w:hAnsiTheme="minorEastAsia"/>
          <w:sz w:val="28"/>
          <w:szCs w:val="28"/>
        </w:rPr>
      </w:pPr>
    </w:p>
    <w:p w14:paraId="73872B9F">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甲方（盖章）：深圳人大干部培训中心有限公司</w:t>
      </w:r>
    </w:p>
    <w:p w14:paraId="23A1585E">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法定代表人或授权代表签字：</w:t>
      </w:r>
    </w:p>
    <w:p w14:paraId="7FC7CD4F">
      <w:pPr>
        <w:spacing w:line="360" w:lineRule="auto"/>
        <w:ind w:firstLine="1400" w:firstLineChars="500"/>
        <w:jc w:val="left"/>
        <w:rPr>
          <w:rFonts w:ascii="仿宋_GB2312" w:eastAsia="仿宋_GB2312" w:hAnsiTheme="minorEastAsia"/>
          <w:sz w:val="28"/>
          <w:szCs w:val="28"/>
        </w:rPr>
      </w:pPr>
      <w:r>
        <w:rPr>
          <w:rFonts w:hint="eastAsia" w:ascii="仿宋_GB2312" w:eastAsia="仿宋_GB2312" w:hAnsiTheme="minorEastAsia"/>
          <w:sz w:val="28"/>
          <w:szCs w:val="28"/>
        </w:rPr>
        <w:t>年   月   日</w:t>
      </w:r>
    </w:p>
    <w:p w14:paraId="2F1C54A0">
      <w:pPr>
        <w:spacing w:line="360" w:lineRule="auto"/>
        <w:jc w:val="left"/>
        <w:rPr>
          <w:rFonts w:ascii="仿宋_GB2312" w:eastAsia="仿宋_GB2312" w:hAnsiTheme="minorEastAsia"/>
          <w:sz w:val="28"/>
          <w:szCs w:val="28"/>
        </w:rPr>
      </w:pPr>
    </w:p>
    <w:p w14:paraId="6CE73A97">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乙方（盖章）：深圳新闻网传媒股份有限公司</w:t>
      </w:r>
    </w:p>
    <w:p w14:paraId="7DBFA318">
      <w:pPr>
        <w:spacing w:line="360" w:lineRule="auto"/>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法定代表人或授权代表签字：</w:t>
      </w:r>
    </w:p>
    <w:p w14:paraId="3BE0D3D1">
      <w:pPr>
        <w:spacing w:line="360" w:lineRule="auto"/>
        <w:ind w:firstLine="1400" w:firstLineChars="500"/>
        <w:jc w:val="left"/>
        <w:rPr>
          <w:rFonts w:ascii="仿宋_GB2312" w:eastAsia="仿宋_GB2312" w:hAnsiTheme="minorEastAsia"/>
          <w:sz w:val="28"/>
          <w:szCs w:val="28"/>
        </w:rPr>
      </w:pPr>
      <w:r>
        <w:rPr>
          <w:rFonts w:hint="eastAsia" w:ascii="仿宋_GB2312" w:eastAsia="仿宋_GB2312" w:hAnsiTheme="minorEastAsia"/>
          <w:sz w:val="28"/>
          <w:szCs w:val="28"/>
        </w:rPr>
        <w:t>年   月    日</w:t>
      </w:r>
    </w:p>
    <w:p w14:paraId="3B2ADBC2">
      <w:pPr>
        <w:widowControl/>
        <w:spacing w:line="240" w:lineRule="auto"/>
        <w:jc w:val="left"/>
        <w:rPr>
          <w:rFonts w:ascii="仿宋_GB2312" w:hAnsi="等线" w:eastAsia="仿宋_GB2312" w:cstheme="majorBidi"/>
          <w:b/>
          <w:bCs/>
          <w:sz w:val="24"/>
          <w:szCs w:val="24"/>
        </w:rPr>
      </w:pPr>
      <w:r>
        <w:rPr>
          <w:rFonts w:hint="eastAsia" w:ascii="仿宋_GB2312" w:eastAsia="仿宋_GB2312" w:hAnsiTheme="minorEastAsia"/>
          <w:sz w:val="28"/>
          <w:szCs w:val="28"/>
        </w:rPr>
        <w:br w:type="page"/>
      </w:r>
    </w:p>
    <w:p w14:paraId="763D6B5A">
      <w:pPr>
        <w:pStyle w:val="3"/>
        <w:pageBreakBefore w:val="0"/>
        <w:kinsoku/>
        <w:wordWrap/>
        <w:overflowPunct/>
        <w:topLinePunct w:val="0"/>
        <w:autoSpaceDE/>
        <w:autoSpaceDN/>
        <w:bidi w:val="0"/>
        <w:adjustRightInd/>
        <w:snapToGrid/>
        <w:spacing w:line="540" w:lineRule="exact"/>
        <w:rPr>
          <w:rFonts w:hint="eastAsia" w:ascii="仿宋_GB2312" w:hAnsi="等线" w:eastAsia="仿宋_GB2312"/>
          <w:sz w:val="28"/>
          <w:szCs w:val="28"/>
          <w:lang w:eastAsia="zh-CN"/>
        </w:rPr>
      </w:pPr>
      <w:r>
        <w:rPr>
          <w:rFonts w:hint="eastAsia" w:ascii="仿宋_GB2312" w:hAnsi="等线" w:eastAsia="仿宋_GB2312"/>
          <w:sz w:val="28"/>
          <w:szCs w:val="28"/>
        </w:rPr>
        <w:t>附件</w:t>
      </w:r>
      <w:r>
        <w:rPr>
          <w:rFonts w:hint="eastAsia" w:ascii="仿宋_GB2312" w:hAnsi="等线" w:eastAsia="仿宋_GB2312"/>
          <w:sz w:val="28"/>
          <w:szCs w:val="28"/>
          <w:lang w:val="en-US" w:eastAsia="zh-CN"/>
        </w:rPr>
        <w:t>1</w:t>
      </w:r>
    </w:p>
    <w:p w14:paraId="6651146E">
      <w:pPr>
        <w:pageBreakBefore w:val="0"/>
        <w:kinsoku/>
        <w:wordWrap/>
        <w:overflowPunct/>
        <w:topLinePunct w:val="0"/>
        <w:autoSpaceDE/>
        <w:autoSpaceDN/>
        <w:bidi w:val="0"/>
        <w:adjustRightInd/>
        <w:snapToGrid/>
        <w:spacing w:line="5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2025年</w:t>
      </w:r>
      <w:r>
        <w:rPr>
          <w:rFonts w:hint="eastAsia" w:ascii="方正小标宋简体" w:hAnsi="方正小标宋简体" w:eastAsia="方正小标宋简体" w:cs="方正小标宋简体"/>
          <w:sz w:val="32"/>
          <w:szCs w:val="32"/>
          <w:lang w:eastAsia="zh-CN"/>
        </w:rPr>
        <w:t>至</w:t>
      </w:r>
      <w:r>
        <w:rPr>
          <w:rFonts w:hint="eastAsia" w:ascii="方正小标宋简体" w:hAnsi="方正小标宋简体" w:eastAsia="方正小标宋简体" w:cs="方正小标宋简体"/>
          <w:sz w:val="32"/>
          <w:szCs w:val="32"/>
          <w:lang w:val="en-US" w:eastAsia="zh-CN"/>
        </w:rPr>
        <w:t>2026年</w:t>
      </w:r>
      <w:r>
        <w:rPr>
          <w:rFonts w:hint="eastAsia" w:ascii="方正小标宋简体" w:hAnsi="方正小标宋简体" w:eastAsia="方正小标宋简体" w:cs="方正小标宋简体"/>
          <w:sz w:val="32"/>
          <w:szCs w:val="32"/>
        </w:rPr>
        <w:t>深圳人大代表大讲堂</w:t>
      </w:r>
    </w:p>
    <w:p w14:paraId="2D4C5FA5">
      <w:pPr>
        <w:pageBreakBefore w:val="0"/>
        <w:kinsoku/>
        <w:wordWrap/>
        <w:overflowPunct/>
        <w:topLinePunct w:val="0"/>
        <w:autoSpaceDE/>
        <w:autoSpaceDN/>
        <w:bidi w:val="0"/>
        <w:adjustRightInd/>
        <w:snapToGrid/>
        <w:spacing w:line="5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宣传方案</w:t>
      </w:r>
    </w:p>
    <w:p w14:paraId="65FE11D5">
      <w:pPr>
        <w:pageBreakBefore w:val="0"/>
        <w:kinsoku/>
        <w:wordWrap/>
        <w:overflowPunct/>
        <w:topLinePunct w:val="0"/>
        <w:autoSpaceDE/>
        <w:autoSpaceDN/>
        <w:bidi w:val="0"/>
        <w:adjustRightInd/>
        <w:snapToGrid/>
        <w:spacing w:line="540" w:lineRule="exact"/>
        <w:jc w:val="center"/>
        <w:rPr>
          <w:rFonts w:ascii="仿宋_GB2312" w:hAnsi="Times" w:eastAsia="仿宋_GB2312"/>
          <w:sz w:val="28"/>
          <w:szCs w:val="28"/>
        </w:rPr>
      </w:pPr>
      <w:r>
        <w:rPr>
          <w:rFonts w:hint="eastAsia" w:ascii="仿宋_GB2312" w:hAnsi="Times" w:eastAsia="仿宋_GB2312"/>
          <w:sz w:val="28"/>
          <w:szCs w:val="28"/>
        </w:rPr>
        <w:t>（深圳新闻网）</w:t>
      </w:r>
    </w:p>
    <w:p w14:paraId="7A36CB1E">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深圳</w:t>
      </w:r>
      <w:r>
        <w:rPr>
          <w:rFonts w:hint="eastAsia" w:ascii="仿宋_GB2312" w:hAnsi="Times" w:eastAsia="仿宋_GB2312"/>
          <w:sz w:val="28"/>
          <w:szCs w:val="28"/>
          <w:lang w:eastAsia="zh-CN"/>
        </w:rPr>
        <w:t>人</w:t>
      </w:r>
      <w:r>
        <w:rPr>
          <w:rFonts w:hint="eastAsia" w:ascii="仿宋_GB2312" w:hAnsi="Times" w:eastAsia="仿宋_GB2312"/>
          <w:sz w:val="28"/>
          <w:szCs w:val="28"/>
        </w:rPr>
        <w:t>大代表大讲堂自2019年创办以来，经过多年的实践，已经成为人大代表普及专业知识，提升履职能力，分享交流经验，拓宽履职视野的品牌活动。2023年开始，深圳人大代表大讲堂</w:t>
      </w:r>
      <w:r>
        <w:rPr>
          <w:rFonts w:hint="eastAsia" w:ascii="仿宋_GB2312" w:hAnsi="Times" w:eastAsia="仿宋_GB2312"/>
          <w:sz w:val="28"/>
          <w:szCs w:val="28"/>
          <w:lang w:eastAsia="zh-CN"/>
        </w:rPr>
        <w:t>走进</w:t>
      </w:r>
      <w:r>
        <w:rPr>
          <w:rFonts w:hint="eastAsia" w:ascii="仿宋_GB2312" w:hAnsi="Times" w:eastAsia="仿宋_GB2312"/>
          <w:sz w:val="28"/>
          <w:szCs w:val="28"/>
        </w:rPr>
        <w:t>机关、基层和人大代表联络站等开展系列培训，进一步营造“勤学习、善思考”的良好氛围。</w:t>
      </w:r>
    </w:p>
    <w:p w14:paraId="231B4020">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为确保人大代表持续接受高质量的专业培训，使培训根据社会发展情况更加贴近实际工作的需要，不断提升代表自身能力，与时俱进，更好服务于人民，202</w:t>
      </w:r>
      <w:r>
        <w:rPr>
          <w:rFonts w:ascii="仿宋_GB2312" w:hAnsi="Times" w:eastAsia="仿宋_GB2312"/>
          <w:sz w:val="28"/>
          <w:szCs w:val="28"/>
        </w:rPr>
        <w:t>5</w:t>
      </w:r>
      <w:r>
        <w:rPr>
          <w:rFonts w:hint="eastAsia" w:ascii="仿宋_GB2312" w:hAnsi="Times" w:eastAsia="仿宋_GB2312"/>
          <w:sz w:val="28"/>
          <w:szCs w:val="28"/>
        </w:rPr>
        <w:t>年</w:t>
      </w:r>
      <w:r>
        <w:rPr>
          <w:rFonts w:hint="eastAsia" w:ascii="仿宋_GB2312" w:hAnsi="Times" w:eastAsia="仿宋_GB2312"/>
          <w:sz w:val="28"/>
          <w:szCs w:val="28"/>
          <w:lang w:eastAsia="zh-CN"/>
        </w:rPr>
        <w:t>至</w:t>
      </w:r>
      <w:r>
        <w:rPr>
          <w:rFonts w:hint="eastAsia" w:ascii="仿宋_GB2312" w:hAnsi="Times" w:eastAsia="仿宋_GB2312"/>
          <w:sz w:val="28"/>
          <w:szCs w:val="28"/>
          <w:lang w:val="en-US" w:eastAsia="zh-CN"/>
        </w:rPr>
        <w:t>2026年</w:t>
      </w:r>
      <w:r>
        <w:rPr>
          <w:rFonts w:hint="eastAsia" w:ascii="仿宋_GB2312" w:hAnsi="Times" w:eastAsia="仿宋_GB2312"/>
          <w:sz w:val="28"/>
          <w:szCs w:val="28"/>
        </w:rPr>
        <w:t>深圳人大代表大讲堂将进一步加强宣传报道工作，深圳新闻网组建精兵强将，继续发挥新媒体矩阵和互联网传播优势，为202</w:t>
      </w:r>
      <w:r>
        <w:rPr>
          <w:rFonts w:ascii="仿宋_GB2312" w:hAnsi="Times" w:eastAsia="仿宋_GB2312"/>
          <w:sz w:val="28"/>
          <w:szCs w:val="28"/>
        </w:rPr>
        <w:t>5</w:t>
      </w:r>
      <w:r>
        <w:rPr>
          <w:rFonts w:hint="eastAsia" w:ascii="仿宋_GB2312" w:hAnsi="Times" w:eastAsia="仿宋_GB2312"/>
          <w:sz w:val="28"/>
          <w:szCs w:val="28"/>
        </w:rPr>
        <w:t>年</w:t>
      </w:r>
      <w:r>
        <w:rPr>
          <w:rFonts w:hint="eastAsia" w:ascii="仿宋_GB2312" w:hAnsi="Times" w:eastAsia="仿宋_GB2312"/>
          <w:sz w:val="28"/>
          <w:szCs w:val="28"/>
          <w:lang w:eastAsia="zh-CN"/>
        </w:rPr>
        <w:t>至</w:t>
      </w:r>
      <w:r>
        <w:rPr>
          <w:rFonts w:hint="eastAsia" w:ascii="仿宋_GB2312" w:hAnsi="Times" w:eastAsia="仿宋_GB2312"/>
          <w:sz w:val="28"/>
          <w:szCs w:val="28"/>
          <w:lang w:val="en-US" w:eastAsia="zh-CN"/>
        </w:rPr>
        <w:t>2026年</w:t>
      </w:r>
      <w:r>
        <w:rPr>
          <w:rFonts w:hint="eastAsia" w:ascii="仿宋_GB2312" w:hAnsi="Times" w:eastAsia="仿宋_GB2312"/>
          <w:sz w:val="28"/>
          <w:szCs w:val="28"/>
        </w:rPr>
        <w:t>“深圳人大代表大讲堂”度身定做以下宣传方案。</w:t>
      </w:r>
    </w:p>
    <w:p w14:paraId="6777D9C6">
      <w:pPr>
        <w:pageBreakBefore w:val="0"/>
        <w:kinsoku/>
        <w:wordWrap/>
        <w:overflowPunct/>
        <w:topLinePunct w:val="0"/>
        <w:autoSpaceDE/>
        <w:autoSpaceDN/>
        <w:bidi w:val="0"/>
        <w:adjustRightInd/>
        <w:snapToGrid/>
        <w:spacing w:line="540" w:lineRule="exact"/>
        <w:rPr>
          <w:rFonts w:ascii="仿宋_GB2312" w:hAnsi="Times" w:eastAsia="仿宋_GB2312"/>
          <w:sz w:val="28"/>
          <w:szCs w:val="28"/>
        </w:rPr>
      </w:pPr>
      <w:r>
        <w:rPr>
          <w:rFonts w:hint="eastAsia" w:ascii="仿宋_GB2312" w:hAnsi="Times" w:eastAsia="仿宋_GB2312"/>
          <w:sz w:val="28"/>
          <w:szCs w:val="28"/>
        </w:rPr>
        <w:t>【宣传策划】</w:t>
      </w:r>
    </w:p>
    <w:p w14:paraId="7BEA6C13">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1、主题暂定为：发展新质生产力 人大代表在行动（最终由</w:t>
      </w:r>
      <w:r>
        <w:rPr>
          <w:rFonts w:hint="eastAsia" w:ascii="仿宋_GB2312" w:hAnsi="Times" w:eastAsia="仿宋_GB2312"/>
          <w:sz w:val="28"/>
          <w:szCs w:val="28"/>
          <w:lang w:eastAsia="zh-CN"/>
        </w:rPr>
        <w:t>举办单位</w:t>
      </w:r>
      <w:r>
        <w:rPr>
          <w:rFonts w:hint="eastAsia" w:ascii="仿宋_GB2312" w:hAnsi="Times" w:eastAsia="仿宋_GB2312"/>
          <w:sz w:val="28"/>
          <w:szCs w:val="28"/>
        </w:rPr>
        <w:t>确定）</w:t>
      </w:r>
    </w:p>
    <w:p w14:paraId="6B410B5D">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2、主打短视频新闻方式，每场活动报道主推3分钟以内视频，采访主讲人、承办单位负责人、现场听众等；</w:t>
      </w:r>
    </w:p>
    <w:p w14:paraId="395DCF5E">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3、图文报道：1篇/场；</w:t>
      </w:r>
    </w:p>
    <w:p w14:paraId="5EE9283B">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4、活动现场视频素材精华内容内部留档，可供培训中心内网播放；</w:t>
      </w:r>
    </w:p>
    <w:p w14:paraId="31B94C88">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5、海报1张/场，配合本场主题和主讲嘉宾设计制作 。</w:t>
      </w:r>
    </w:p>
    <w:p w14:paraId="4FD88E14">
      <w:pPr>
        <w:pageBreakBefore w:val="0"/>
        <w:kinsoku/>
        <w:wordWrap/>
        <w:overflowPunct/>
        <w:topLinePunct w:val="0"/>
        <w:autoSpaceDE/>
        <w:autoSpaceDN/>
        <w:bidi w:val="0"/>
        <w:adjustRightInd/>
        <w:snapToGrid/>
        <w:spacing w:line="540" w:lineRule="exact"/>
        <w:rPr>
          <w:rFonts w:ascii="仿宋_GB2312" w:hAnsi="Times" w:eastAsia="仿宋_GB2312"/>
          <w:sz w:val="28"/>
          <w:szCs w:val="28"/>
        </w:rPr>
      </w:pPr>
      <w:r>
        <w:rPr>
          <w:rFonts w:hint="eastAsia" w:ascii="仿宋_GB2312" w:hAnsi="Times" w:eastAsia="仿宋_GB2312"/>
          <w:sz w:val="28"/>
          <w:szCs w:val="28"/>
        </w:rPr>
        <w:t>【播出方式】</w:t>
      </w:r>
    </w:p>
    <w:p w14:paraId="41CF70C1">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1、活动当天或下一个工作日在深圳新闻网首页、深圳TODAY视频号同步推送。（具体根据审核情况发布）</w:t>
      </w:r>
    </w:p>
    <w:p w14:paraId="4E256DA2">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2、推荐给学习强国平台以及央媒</w:t>
      </w:r>
    </w:p>
    <w:p w14:paraId="0CEBD1AC">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3、同步供稿给深圳人大微信公众号</w:t>
      </w:r>
    </w:p>
    <w:p w14:paraId="4DD76396">
      <w:pPr>
        <w:pageBreakBefore w:val="0"/>
        <w:kinsoku/>
        <w:wordWrap/>
        <w:overflowPunct/>
        <w:topLinePunct w:val="0"/>
        <w:autoSpaceDE/>
        <w:autoSpaceDN/>
        <w:bidi w:val="0"/>
        <w:adjustRightInd/>
        <w:snapToGrid/>
        <w:spacing w:line="540" w:lineRule="exact"/>
        <w:rPr>
          <w:rFonts w:ascii="仿宋_GB2312" w:hAnsi="Times" w:eastAsia="仿宋_GB2312"/>
          <w:sz w:val="28"/>
          <w:szCs w:val="28"/>
        </w:rPr>
      </w:pPr>
      <w:r>
        <w:rPr>
          <w:rFonts w:hint="eastAsia" w:ascii="仿宋_GB2312" w:hAnsi="Times" w:eastAsia="仿宋_GB2312"/>
          <w:sz w:val="28"/>
          <w:szCs w:val="28"/>
        </w:rPr>
        <w:t>【人员配置】</w:t>
      </w:r>
    </w:p>
    <w:p w14:paraId="5B1462DB">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1、主编1人，由部门副总监或法治新闻栏目主编担任，负责统筹选题、协调人手、渠道分发等；</w:t>
      </w:r>
    </w:p>
    <w:p w14:paraId="382164F1">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2、视频剪辑专业人员2人，根据选题完成拍摄剪辑；</w:t>
      </w:r>
    </w:p>
    <w:p w14:paraId="742A5547">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3、记者2人，根据选题和热点跟进采写和执行；</w:t>
      </w:r>
    </w:p>
    <w:p w14:paraId="17167BEF">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4、美编1人，完成海报设计和系列报道形象设计等。</w:t>
      </w:r>
    </w:p>
    <w:p w14:paraId="549D2C1B">
      <w:pPr>
        <w:pageBreakBefore w:val="0"/>
        <w:kinsoku/>
        <w:wordWrap/>
        <w:overflowPunct/>
        <w:topLinePunct w:val="0"/>
        <w:autoSpaceDE/>
        <w:autoSpaceDN/>
        <w:bidi w:val="0"/>
        <w:adjustRightInd/>
        <w:snapToGrid/>
        <w:spacing w:line="540" w:lineRule="exact"/>
        <w:rPr>
          <w:rFonts w:ascii="仿宋_GB2312" w:hAnsi="Times" w:eastAsia="仿宋_GB2312"/>
          <w:sz w:val="28"/>
          <w:szCs w:val="28"/>
        </w:rPr>
      </w:pPr>
      <w:r>
        <w:rPr>
          <w:rFonts w:hint="eastAsia" w:ascii="仿宋_GB2312" w:hAnsi="Times" w:eastAsia="仿宋_GB2312"/>
          <w:sz w:val="28"/>
          <w:szCs w:val="28"/>
        </w:rPr>
        <w:t>【宣传报价】</w:t>
      </w:r>
    </w:p>
    <w:p w14:paraId="2CB1EF10">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单价1万元1场（包含视频新闻、素材存档、海报制作、新闻分发等），本年度预计策划13场，共计13万元。</w:t>
      </w:r>
    </w:p>
    <w:p w14:paraId="412CF7D4">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明细如下：</w:t>
      </w:r>
    </w:p>
    <w:tbl>
      <w:tblPr>
        <w:tblStyle w:val="10"/>
        <w:tblW w:w="7939" w:type="dxa"/>
        <w:jc w:val="center"/>
        <w:tblLayout w:type="fixed"/>
        <w:tblCellMar>
          <w:top w:w="0" w:type="dxa"/>
          <w:left w:w="15" w:type="dxa"/>
          <w:bottom w:w="0" w:type="dxa"/>
          <w:right w:w="15" w:type="dxa"/>
        </w:tblCellMar>
      </w:tblPr>
      <w:tblGrid>
        <w:gridCol w:w="2313"/>
        <w:gridCol w:w="2067"/>
        <w:gridCol w:w="1701"/>
        <w:gridCol w:w="1858"/>
      </w:tblGrid>
      <w:tr w14:paraId="516C2376">
        <w:tblPrEx>
          <w:tblCellMar>
            <w:top w:w="0" w:type="dxa"/>
            <w:left w:w="15" w:type="dxa"/>
            <w:bottom w:w="0" w:type="dxa"/>
            <w:right w:w="15" w:type="dxa"/>
          </w:tblCellMar>
        </w:tblPrEx>
        <w:trPr>
          <w:trHeight w:val="820" w:hRule="atLeast"/>
          <w:jc w:val="center"/>
        </w:trPr>
        <w:tc>
          <w:tcPr>
            <w:tcW w:w="2313" w:type="dxa"/>
            <w:tcBorders>
              <w:top w:val="single" w:color="FFFFFF" w:sz="12" w:space="0"/>
              <w:left w:val="single" w:color="FFFFFF" w:sz="12" w:space="0"/>
              <w:bottom w:val="single" w:color="FFFFFF" w:sz="12" w:space="0"/>
              <w:right w:val="single" w:color="FFFFFF" w:sz="12" w:space="0"/>
            </w:tcBorders>
            <w:shd w:val="clear" w:color="auto" w:fill="9879AB"/>
            <w:vAlign w:val="center"/>
          </w:tcPr>
          <w:p w14:paraId="752C50A3">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b/>
                <w:color w:val="FFFFFF"/>
                <w:sz w:val="28"/>
                <w:szCs w:val="28"/>
              </w:rPr>
            </w:pPr>
            <w:r>
              <w:rPr>
                <w:rFonts w:hint="eastAsia" w:ascii="仿宋_GB2312" w:hAnsi="Times" w:eastAsia="仿宋_GB2312" w:cs="华文细黑"/>
                <w:b/>
                <w:color w:val="FFFFFF"/>
                <w:sz w:val="28"/>
                <w:szCs w:val="28"/>
              </w:rPr>
              <w:t>项目</w:t>
            </w:r>
          </w:p>
        </w:tc>
        <w:tc>
          <w:tcPr>
            <w:tcW w:w="2067"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401E6823">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单价</w:t>
            </w:r>
          </w:p>
        </w:tc>
        <w:tc>
          <w:tcPr>
            <w:tcW w:w="1701"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698DE858">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数量</w:t>
            </w:r>
          </w:p>
        </w:tc>
        <w:tc>
          <w:tcPr>
            <w:tcW w:w="1858"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04176BD0">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合计</w:t>
            </w:r>
          </w:p>
        </w:tc>
      </w:tr>
      <w:tr w14:paraId="359E5B75">
        <w:tblPrEx>
          <w:tblCellMar>
            <w:top w:w="0" w:type="dxa"/>
            <w:left w:w="15" w:type="dxa"/>
            <w:bottom w:w="0" w:type="dxa"/>
            <w:right w:w="15" w:type="dxa"/>
          </w:tblCellMar>
        </w:tblPrEx>
        <w:trPr>
          <w:trHeight w:val="820" w:hRule="atLeast"/>
          <w:jc w:val="center"/>
        </w:trPr>
        <w:tc>
          <w:tcPr>
            <w:tcW w:w="2313" w:type="dxa"/>
            <w:tcBorders>
              <w:top w:val="single" w:color="FFFFFF" w:sz="12" w:space="0"/>
              <w:left w:val="single" w:color="FFFFFF" w:sz="12" w:space="0"/>
              <w:bottom w:val="single" w:color="FFFFFF" w:sz="12" w:space="0"/>
              <w:right w:val="single" w:color="FFFFFF" w:sz="12" w:space="0"/>
            </w:tcBorders>
            <w:shd w:val="clear" w:color="auto" w:fill="9879AB"/>
            <w:vAlign w:val="center"/>
          </w:tcPr>
          <w:p w14:paraId="3C994301">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b/>
                <w:color w:val="FFFFFF"/>
                <w:sz w:val="28"/>
                <w:szCs w:val="28"/>
              </w:rPr>
            </w:pPr>
            <w:r>
              <w:rPr>
                <w:rFonts w:hint="eastAsia" w:ascii="仿宋_GB2312" w:hAnsi="Times" w:eastAsia="仿宋_GB2312" w:cs="华文细黑"/>
                <w:b/>
                <w:color w:val="FFFFFF"/>
                <w:sz w:val="28"/>
                <w:szCs w:val="28"/>
              </w:rPr>
              <w:t>视频图文新闻</w:t>
            </w:r>
          </w:p>
        </w:tc>
        <w:tc>
          <w:tcPr>
            <w:tcW w:w="2067"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5EAC4EBC">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ascii="仿宋_GB2312" w:hAnsi="Times" w:eastAsia="仿宋_GB2312" w:cs="华文细黑"/>
                <w:color w:val="000000"/>
                <w:sz w:val="28"/>
                <w:szCs w:val="28"/>
              </w:rPr>
              <w:t>6</w:t>
            </w:r>
            <w:r>
              <w:rPr>
                <w:rFonts w:hint="eastAsia" w:ascii="仿宋_GB2312" w:hAnsi="Times" w:eastAsia="仿宋_GB2312" w:cs="华文细黑"/>
                <w:color w:val="000000"/>
                <w:sz w:val="28"/>
                <w:szCs w:val="28"/>
              </w:rPr>
              <w:t>000元</w:t>
            </w:r>
          </w:p>
        </w:tc>
        <w:tc>
          <w:tcPr>
            <w:tcW w:w="1701"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1355662E">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1</w:t>
            </w:r>
            <w:r>
              <w:rPr>
                <w:rFonts w:ascii="仿宋_GB2312" w:hAnsi="Times" w:eastAsia="仿宋_GB2312" w:cs="华文细黑"/>
                <w:color w:val="000000"/>
                <w:sz w:val="28"/>
                <w:szCs w:val="28"/>
              </w:rPr>
              <w:t>3</w:t>
            </w:r>
            <w:r>
              <w:rPr>
                <w:rFonts w:hint="eastAsia" w:ascii="仿宋_GB2312" w:hAnsi="Times" w:eastAsia="仿宋_GB2312" w:cs="华文细黑"/>
                <w:color w:val="000000"/>
                <w:sz w:val="28"/>
                <w:szCs w:val="28"/>
              </w:rPr>
              <w:t>条</w:t>
            </w:r>
          </w:p>
        </w:tc>
        <w:tc>
          <w:tcPr>
            <w:tcW w:w="1858"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4E3DAB0E">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ascii="仿宋_GB2312" w:hAnsi="Times" w:eastAsia="仿宋_GB2312" w:cs="华文细黑"/>
                <w:color w:val="000000"/>
                <w:sz w:val="28"/>
                <w:szCs w:val="28"/>
              </w:rPr>
              <w:t>7</w:t>
            </w:r>
            <w:r>
              <w:rPr>
                <w:rFonts w:hint="eastAsia" w:ascii="仿宋_GB2312" w:hAnsi="Times" w:eastAsia="仿宋_GB2312" w:cs="华文细黑"/>
                <w:color w:val="000000"/>
                <w:sz w:val="28"/>
                <w:szCs w:val="28"/>
              </w:rPr>
              <w:t>8000元</w:t>
            </w:r>
          </w:p>
        </w:tc>
      </w:tr>
      <w:tr w14:paraId="6D4F2178">
        <w:tblPrEx>
          <w:tblCellMar>
            <w:top w:w="0" w:type="dxa"/>
            <w:left w:w="15" w:type="dxa"/>
            <w:bottom w:w="0" w:type="dxa"/>
            <w:right w:w="15" w:type="dxa"/>
          </w:tblCellMar>
        </w:tblPrEx>
        <w:trPr>
          <w:trHeight w:val="820" w:hRule="atLeast"/>
          <w:jc w:val="center"/>
        </w:trPr>
        <w:tc>
          <w:tcPr>
            <w:tcW w:w="2313" w:type="dxa"/>
            <w:tcBorders>
              <w:top w:val="single" w:color="FFFFFF" w:sz="12" w:space="0"/>
              <w:left w:val="single" w:color="FFFFFF" w:sz="12" w:space="0"/>
              <w:bottom w:val="single" w:color="FFFFFF" w:sz="12" w:space="0"/>
              <w:right w:val="single" w:color="FFFFFF" w:sz="12" w:space="0"/>
            </w:tcBorders>
            <w:shd w:val="clear" w:color="auto" w:fill="9879AB"/>
            <w:vAlign w:val="center"/>
          </w:tcPr>
          <w:p w14:paraId="172757B8">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b/>
                <w:color w:val="FFFFFF"/>
                <w:sz w:val="28"/>
                <w:szCs w:val="28"/>
              </w:rPr>
            </w:pPr>
            <w:r>
              <w:rPr>
                <w:rFonts w:hint="eastAsia" w:ascii="仿宋_GB2312" w:hAnsi="Times" w:eastAsia="仿宋_GB2312" w:cs="华文细黑"/>
                <w:b/>
                <w:color w:val="FFFFFF"/>
                <w:sz w:val="28"/>
                <w:szCs w:val="28"/>
              </w:rPr>
              <w:t>海报设计</w:t>
            </w:r>
          </w:p>
        </w:tc>
        <w:tc>
          <w:tcPr>
            <w:tcW w:w="2067"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5B5CFADE">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2000元</w:t>
            </w:r>
          </w:p>
        </w:tc>
        <w:tc>
          <w:tcPr>
            <w:tcW w:w="1701"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19110C5D">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1</w:t>
            </w:r>
            <w:r>
              <w:rPr>
                <w:rFonts w:ascii="仿宋_GB2312" w:hAnsi="Times" w:eastAsia="仿宋_GB2312" w:cs="华文细黑"/>
                <w:color w:val="000000"/>
                <w:sz w:val="28"/>
                <w:szCs w:val="28"/>
              </w:rPr>
              <w:t>3</w:t>
            </w:r>
            <w:r>
              <w:rPr>
                <w:rFonts w:hint="eastAsia" w:ascii="仿宋_GB2312" w:hAnsi="Times" w:eastAsia="仿宋_GB2312" w:cs="华文细黑"/>
                <w:color w:val="000000"/>
                <w:sz w:val="28"/>
                <w:szCs w:val="28"/>
              </w:rPr>
              <w:t>张</w:t>
            </w:r>
          </w:p>
        </w:tc>
        <w:tc>
          <w:tcPr>
            <w:tcW w:w="1858"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3E140CF9">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ascii="仿宋_GB2312" w:hAnsi="Times" w:eastAsia="仿宋_GB2312" w:cs="华文细黑"/>
                <w:color w:val="000000"/>
                <w:sz w:val="28"/>
                <w:szCs w:val="28"/>
              </w:rPr>
              <w:t>26</w:t>
            </w:r>
            <w:r>
              <w:rPr>
                <w:rFonts w:hint="eastAsia" w:ascii="仿宋_GB2312" w:hAnsi="Times" w:eastAsia="仿宋_GB2312" w:cs="华文细黑"/>
                <w:color w:val="000000"/>
                <w:sz w:val="28"/>
                <w:szCs w:val="28"/>
              </w:rPr>
              <w:t>000元</w:t>
            </w:r>
          </w:p>
        </w:tc>
      </w:tr>
      <w:tr w14:paraId="2452F1EF">
        <w:tblPrEx>
          <w:tblCellMar>
            <w:top w:w="0" w:type="dxa"/>
            <w:left w:w="15" w:type="dxa"/>
            <w:bottom w:w="0" w:type="dxa"/>
            <w:right w:w="15" w:type="dxa"/>
          </w:tblCellMar>
        </w:tblPrEx>
        <w:trPr>
          <w:trHeight w:val="820" w:hRule="atLeast"/>
          <w:jc w:val="center"/>
        </w:trPr>
        <w:tc>
          <w:tcPr>
            <w:tcW w:w="2313" w:type="dxa"/>
            <w:tcBorders>
              <w:top w:val="single" w:color="FFFFFF" w:sz="12" w:space="0"/>
              <w:left w:val="single" w:color="FFFFFF" w:sz="12" w:space="0"/>
              <w:bottom w:val="single" w:color="FFFFFF" w:sz="12" w:space="0"/>
              <w:right w:val="single" w:color="FFFFFF" w:sz="12" w:space="0"/>
            </w:tcBorders>
            <w:shd w:val="clear" w:color="auto" w:fill="9879AB"/>
            <w:vAlign w:val="center"/>
          </w:tcPr>
          <w:p w14:paraId="0FC3E505">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b/>
                <w:color w:val="FFFFFF"/>
                <w:sz w:val="28"/>
                <w:szCs w:val="28"/>
              </w:rPr>
            </w:pPr>
            <w:r>
              <w:rPr>
                <w:rFonts w:hint="eastAsia" w:ascii="仿宋_GB2312" w:hAnsi="Times" w:eastAsia="仿宋_GB2312" w:cs="华文细黑"/>
                <w:b/>
                <w:color w:val="FFFFFF"/>
                <w:sz w:val="28"/>
                <w:szCs w:val="28"/>
              </w:rPr>
              <w:t>素材存档</w:t>
            </w:r>
          </w:p>
        </w:tc>
        <w:tc>
          <w:tcPr>
            <w:tcW w:w="2067"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69359DFF">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1000元</w:t>
            </w:r>
          </w:p>
        </w:tc>
        <w:tc>
          <w:tcPr>
            <w:tcW w:w="1701"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48FB2DC8">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1</w:t>
            </w:r>
            <w:r>
              <w:rPr>
                <w:rFonts w:ascii="仿宋_GB2312" w:hAnsi="Times" w:eastAsia="仿宋_GB2312" w:cs="华文细黑"/>
                <w:color w:val="000000"/>
                <w:sz w:val="28"/>
                <w:szCs w:val="28"/>
              </w:rPr>
              <w:t>3</w:t>
            </w:r>
            <w:r>
              <w:rPr>
                <w:rFonts w:hint="eastAsia" w:ascii="仿宋_GB2312" w:hAnsi="Times" w:eastAsia="仿宋_GB2312" w:cs="华文细黑"/>
                <w:color w:val="000000"/>
                <w:sz w:val="28"/>
                <w:szCs w:val="28"/>
              </w:rPr>
              <w:t>场</w:t>
            </w:r>
          </w:p>
        </w:tc>
        <w:tc>
          <w:tcPr>
            <w:tcW w:w="1858"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67182BF1">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1</w:t>
            </w:r>
            <w:r>
              <w:rPr>
                <w:rFonts w:ascii="仿宋_GB2312" w:hAnsi="Times" w:eastAsia="仿宋_GB2312" w:cs="华文细黑"/>
                <w:color w:val="000000"/>
                <w:sz w:val="28"/>
                <w:szCs w:val="28"/>
              </w:rPr>
              <w:t>3</w:t>
            </w:r>
            <w:r>
              <w:rPr>
                <w:rFonts w:hint="eastAsia" w:ascii="仿宋_GB2312" w:hAnsi="Times" w:eastAsia="仿宋_GB2312" w:cs="华文细黑"/>
                <w:color w:val="000000"/>
                <w:sz w:val="28"/>
                <w:szCs w:val="28"/>
              </w:rPr>
              <w:t>000元</w:t>
            </w:r>
          </w:p>
        </w:tc>
      </w:tr>
      <w:tr w14:paraId="3B45AA15">
        <w:tblPrEx>
          <w:tblCellMar>
            <w:top w:w="0" w:type="dxa"/>
            <w:left w:w="15" w:type="dxa"/>
            <w:bottom w:w="0" w:type="dxa"/>
            <w:right w:w="15" w:type="dxa"/>
          </w:tblCellMar>
        </w:tblPrEx>
        <w:trPr>
          <w:trHeight w:val="820" w:hRule="atLeast"/>
          <w:jc w:val="center"/>
        </w:trPr>
        <w:tc>
          <w:tcPr>
            <w:tcW w:w="2313" w:type="dxa"/>
            <w:tcBorders>
              <w:top w:val="single" w:color="FFFFFF" w:sz="12" w:space="0"/>
              <w:left w:val="single" w:color="FFFFFF" w:sz="12" w:space="0"/>
              <w:bottom w:val="single" w:color="FFFFFF" w:sz="12" w:space="0"/>
              <w:right w:val="single" w:color="FFFFFF" w:sz="12" w:space="0"/>
            </w:tcBorders>
            <w:shd w:val="clear" w:color="auto" w:fill="9879AB"/>
            <w:vAlign w:val="center"/>
          </w:tcPr>
          <w:p w14:paraId="1D182E4D">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b/>
                <w:color w:val="FFFFFF"/>
                <w:sz w:val="28"/>
                <w:szCs w:val="28"/>
              </w:rPr>
            </w:pPr>
            <w:r>
              <w:rPr>
                <w:rFonts w:hint="eastAsia" w:ascii="仿宋_GB2312" w:hAnsi="Times" w:eastAsia="仿宋_GB2312" w:cs="华文细黑"/>
                <w:b/>
                <w:color w:val="FFFFFF"/>
                <w:sz w:val="28"/>
                <w:szCs w:val="28"/>
              </w:rPr>
              <w:t>新闻分发</w:t>
            </w:r>
          </w:p>
        </w:tc>
        <w:tc>
          <w:tcPr>
            <w:tcW w:w="2067"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43B4F698">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ascii="仿宋_GB2312" w:hAnsi="Times" w:eastAsia="仿宋_GB2312" w:cs="华文细黑"/>
                <w:color w:val="000000"/>
                <w:sz w:val="28"/>
                <w:szCs w:val="28"/>
              </w:rPr>
              <w:t>1</w:t>
            </w:r>
            <w:r>
              <w:rPr>
                <w:rFonts w:hint="eastAsia" w:ascii="仿宋_GB2312" w:hAnsi="Times" w:eastAsia="仿宋_GB2312" w:cs="华文细黑"/>
                <w:color w:val="000000"/>
                <w:sz w:val="28"/>
                <w:szCs w:val="28"/>
              </w:rPr>
              <w:t>000元</w:t>
            </w:r>
          </w:p>
        </w:tc>
        <w:tc>
          <w:tcPr>
            <w:tcW w:w="1701"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10650F05">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color w:val="000000"/>
                <w:sz w:val="28"/>
                <w:szCs w:val="28"/>
              </w:rPr>
              <w:t>1</w:t>
            </w:r>
            <w:r>
              <w:rPr>
                <w:rFonts w:ascii="仿宋_GB2312" w:hAnsi="Times" w:eastAsia="仿宋_GB2312" w:cs="华文细黑"/>
                <w:color w:val="000000"/>
                <w:sz w:val="28"/>
                <w:szCs w:val="28"/>
              </w:rPr>
              <w:t>3</w:t>
            </w:r>
            <w:r>
              <w:rPr>
                <w:rFonts w:hint="eastAsia" w:ascii="仿宋_GB2312" w:hAnsi="Times" w:eastAsia="仿宋_GB2312" w:cs="华文细黑"/>
                <w:color w:val="000000"/>
                <w:sz w:val="28"/>
                <w:szCs w:val="28"/>
              </w:rPr>
              <w:t>条</w:t>
            </w:r>
          </w:p>
        </w:tc>
        <w:tc>
          <w:tcPr>
            <w:tcW w:w="1858"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0FFDF894">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ascii="仿宋_GB2312" w:hAnsi="Times" w:eastAsia="仿宋_GB2312" w:cs="华文细黑"/>
                <w:color w:val="000000"/>
                <w:sz w:val="28"/>
                <w:szCs w:val="28"/>
              </w:rPr>
              <w:t>13</w:t>
            </w:r>
            <w:r>
              <w:rPr>
                <w:rFonts w:hint="eastAsia" w:ascii="仿宋_GB2312" w:hAnsi="Times" w:eastAsia="仿宋_GB2312" w:cs="华文细黑"/>
                <w:color w:val="000000"/>
                <w:sz w:val="28"/>
                <w:szCs w:val="28"/>
              </w:rPr>
              <w:t>000元</w:t>
            </w:r>
          </w:p>
        </w:tc>
      </w:tr>
      <w:tr w14:paraId="4F2BAE11">
        <w:tblPrEx>
          <w:tblCellMar>
            <w:top w:w="0" w:type="dxa"/>
            <w:left w:w="15" w:type="dxa"/>
            <w:bottom w:w="0" w:type="dxa"/>
            <w:right w:w="15" w:type="dxa"/>
          </w:tblCellMar>
        </w:tblPrEx>
        <w:trPr>
          <w:trHeight w:val="858" w:hRule="atLeast"/>
          <w:jc w:val="center"/>
        </w:trPr>
        <w:tc>
          <w:tcPr>
            <w:tcW w:w="2313" w:type="dxa"/>
            <w:tcBorders>
              <w:top w:val="single" w:color="FFFFFF" w:sz="12" w:space="0"/>
              <w:left w:val="single" w:color="FFFFFF" w:sz="12" w:space="0"/>
              <w:bottom w:val="single" w:color="FFFFFF" w:sz="12" w:space="0"/>
              <w:right w:val="single" w:color="FFFFFF" w:sz="12" w:space="0"/>
            </w:tcBorders>
            <w:shd w:val="clear" w:color="auto" w:fill="9879AB"/>
            <w:vAlign w:val="center"/>
          </w:tcPr>
          <w:p w14:paraId="426D0AAB">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b/>
                <w:color w:val="FFFFFF"/>
                <w:sz w:val="28"/>
                <w:szCs w:val="28"/>
              </w:rPr>
            </w:pPr>
            <w:r>
              <w:rPr>
                <w:rFonts w:hint="eastAsia" w:ascii="仿宋_GB2312" w:hAnsi="Times" w:eastAsia="仿宋_GB2312" w:cs="华文细黑"/>
                <w:b/>
                <w:color w:val="FFFFFF"/>
                <w:sz w:val="28"/>
                <w:szCs w:val="28"/>
              </w:rPr>
              <w:t>总计</w:t>
            </w:r>
          </w:p>
        </w:tc>
        <w:tc>
          <w:tcPr>
            <w:tcW w:w="2067"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6C3F0900">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p>
        </w:tc>
        <w:tc>
          <w:tcPr>
            <w:tcW w:w="1701"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49493EC2">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p>
        </w:tc>
        <w:tc>
          <w:tcPr>
            <w:tcW w:w="1858" w:type="dxa"/>
            <w:tcBorders>
              <w:top w:val="single" w:color="FFFFFF" w:sz="12" w:space="0"/>
              <w:left w:val="single" w:color="FFFFFF" w:sz="12" w:space="0"/>
              <w:bottom w:val="single" w:color="FFFFFF" w:sz="12" w:space="0"/>
              <w:right w:val="single" w:color="FFFFFF" w:sz="12" w:space="0"/>
            </w:tcBorders>
            <w:shd w:val="clear" w:color="auto" w:fill="EFEFEF"/>
            <w:vAlign w:val="center"/>
          </w:tcPr>
          <w:p w14:paraId="19F978C3">
            <w:pPr>
              <w:pageBreakBefore w:val="0"/>
              <w:widowControl/>
              <w:kinsoku/>
              <w:wordWrap/>
              <w:overflowPunct/>
              <w:topLinePunct w:val="0"/>
              <w:autoSpaceDE/>
              <w:autoSpaceDN/>
              <w:bidi w:val="0"/>
              <w:adjustRightInd/>
              <w:snapToGrid/>
              <w:spacing w:line="540" w:lineRule="exact"/>
              <w:jc w:val="center"/>
              <w:textAlignment w:val="center"/>
              <w:rPr>
                <w:rFonts w:ascii="仿宋_GB2312" w:hAnsi="Times" w:eastAsia="仿宋_GB2312" w:cs="华文细黑"/>
                <w:color w:val="000000"/>
                <w:sz w:val="28"/>
                <w:szCs w:val="28"/>
              </w:rPr>
            </w:pPr>
            <w:r>
              <w:rPr>
                <w:rFonts w:hint="eastAsia" w:ascii="仿宋_GB2312" w:hAnsi="Times" w:eastAsia="仿宋_GB2312" w:cs="华文细黑"/>
                <w:b/>
                <w:bCs/>
                <w:color w:val="000000"/>
                <w:sz w:val="28"/>
                <w:szCs w:val="28"/>
              </w:rPr>
              <w:t>130000元</w:t>
            </w:r>
          </w:p>
        </w:tc>
      </w:tr>
    </w:tbl>
    <w:p w14:paraId="59C1B09E">
      <w:pPr>
        <w:pageBreakBefore w:val="0"/>
        <w:kinsoku/>
        <w:wordWrap/>
        <w:overflowPunct/>
        <w:topLinePunct w:val="0"/>
        <w:autoSpaceDE/>
        <w:autoSpaceDN/>
        <w:bidi w:val="0"/>
        <w:adjustRightInd/>
        <w:snapToGrid/>
        <w:spacing w:line="540" w:lineRule="exact"/>
        <w:rPr>
          <w:rFonts w:ascii="仿宋_GB2312" w:hAnsi="Times" w:eastAsia="仿宋_GB2312"/>
          <w:sz w:val="28"/>
          <w:szCs w:val="28"/>
        </w:rPr>
      </w:pPr>
      <w:r>
        <w:rPr>
          <w:rFonts w:hint="eastAsia" w:ascii="仿宋_GB2312" w:hAnsi="Times" w:eastAsia="仿宋_GB2312"/>
          <w:sz w:val="28"/>
          <w:szCs w:val="28"/>
        </w:rPr>
        <w:t>【联系人】</w:t>
      </w:r>
    </w:p>
    <w:p w14:paraId="76A1938F">
      <w:pPr>
        <w:pageBreakBefore w:val="0"/>
        <w:kinsoku/>
        <w:wordWrap/>
        <w:overflowPunct/>
        <w:topLinePunct w:val="0"/>
        <w:autoSpaceDE/>
        <w:autoSpaceDN/>
        <w:bidi w:val="0"/>
        <w:adjustRightInd/>
        <w:snapToGrid/>
        <w:spacing w:line="540" w:lineRule="exact"/>
        <w:ind w:firstLine="560" w:firstLineChars="200"/>
        <w:rPr>
          <w:rFonts w:ascii="仿宋_GB2312" w:hAnsi="Times" w:eastAsia="仿宋_GB2312"/>
          <w:sz w:val="28"/>
          <w:szCs w:val="28"/>
        </w:rPr>
      </w:pPr>
      <w:r>
        <w:rPr>
          <w:rFonts w:hint="eastAsia" w:ascii="仿宋_GB2312" w:hAnsi="Times" w:eastAsia="仿宋_GB2312"/>
          <w:sz w:val="28"/>
          <w:szCs w:val="28"/>
        </w:rPr>
        <w:t>深圳新闻网政务民生事业部 张玲 13827419830。</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124016"/>
    </w:sdtPr>
    <w:sdtContent>
      <w:p w14:paraId="0EACB12B">
        <w:pPr>
          <w:pStyle w:val="7"/>
          <w:jc w:val="center"/>
        </w:pPr>
        <w:r>
          <w:fldChar w:fldCharType="begin"/>
        </w:r>
        <w:r>
          <w:instrText xml:space="preserve"> PAGE   \* MERGEFORMAT </w:instrText>
        </w:r>
        <w:r>
          <w:fldChar w:fldCharType="separate"/>
        </w:r>
        <w:r>
          <w:rPr>
            <w:lang w:val="zh-CN"/>
          </w:rPr>
          <w:t>3</w:t>
        </w:r>
        <w:r>
          <w:rPr>
            <w:lang w:val="zh-CN"/>
          </w:rPr>
          <w:fldChar w:fldCharType="end"/>
        </w:r>
      </w:p>
    </w:sdtContent>
  </w:sdt>
  <w:p w14:paraId="1215862E">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C7E72"/>
    <w:multiLevelType w:val="multilevel"/>
    <w:tmpl w:val="2C0C7E72"/>
    <w:lvl w:ilvl="0" w:tentative="0">
      <w:start w:val="1"/>
      <w:numFmt w:val="japaneseCounting"/>
      <w:lvlText w:val="第%1条"/>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2NmE2YWExNWU0MmJkODM3NGVhYzRlMzAyNzYwMGIifQ=="/>
  </w:docVars>
  <w:rsids>
    <w:rsidRoot w:val="002204E2"/>
    <w:rsid w:val="000033FD"/>
    <w:rsid w:val="00031FC1"/>
    <w:rsid w:val="00040A5B"/>
    <w:rsid w:val="00063A19"/>
    <w:rsid w:val="00065104"/>
    <w:rsid w:val="0007120B"/>
    <w:rsid w:val="000806DE"/>
    <w:rsid w:val="000902FE"/>
    <w:rsid w:val="000922AD"/>
    <w:rsid w:val="00092985"/>
    <w:rsid w:val="000A32FF"/>
    <w:rsid w:val="000C0A96"/>
    <w:rsid w:val="000C544A"/>
    <w:rsid w:val="000D517F"/>
    <w:rsid w:val="001225F1"/>
    <w:rsid w:val="001235A8"/>
    <w:rsid w:val="00132EAD"/>
    <w:rsid w:val="00142057"/>
    <w:rsid w:val="00152FA7"/>
    <w:rsid w:val="00157033"/>
    <w:rsid w:val="00163790"/>
    <w:rsid w:val="00165AC9"/>
    <w:rsid w:val="0018641B"/>
    <w:rsid w:val="001944FA"/>
    <w:rsid w:val="001A1CF7"/>
    <w:rsid w:val="001A50D3"/>
    <w:rsid w:val="001B3AD2"/>
    <w:rsid w:val="001C6641"/>
    <w:rsid w:val="001D109D"/>
    <w:rsid w:val="001F0E2A"/>
    <w:rsid w:val="00206A9B"/>
    <w:rsid w:val="00216E4E"/>
    <w:rsid w:val="002204E2"/>
    <w:rsid w:val="00240C63"/>
    <w:rsid w:val="0027499D"/>
    <w:rsid w:val="002756E6"/>
    <w:rsid w:val="0029423D"/>
    <w:rsid w:val="002A06AD"/>
    <w:rsid w:val="002B2274"/>
    <w:rsid w:val="002C125A"/>
    <w:rsid w:val="002C2A82"/>
    <w:rsid w:val="002C3615"/>
    <w:rsid w:val="002D1CC9"/>
    <w:rsid w:val="002F21B4"/>
    <w:rsid w:val="00327EDD"/>
    <w:rsid w:val="003321C9"/>
    <w:rsid w:val="003600AF"/>
    <w:rsid w:val="00361E4F"/>
    <w:rsid w:val="00373D52"/>
    <w:rsid w:val="00385837"/>
    <w:rsid w:val="003B4662"/>
    <w:rsid w:val="003C771D"/>
    <w:rsid w:val="003D2399"/>
    <w:rsid w:val="003D4526"/>
    <w:rsid w:val="003F04C4"/>
    <w:rsid w:val="0041322A"/>
    <w:rsid w:val="00445894"/>
    <w:rsid w:val="00450903"/>
    <w:rsid w:val="004924BC"/>
    <w:rsid w:val="004B2DB9"/>
    <w:rsid w:val="004C1643"/>
    <w:rsid w:val="004D0C8B"/>
    <w:rsid w:val="004F0D91"/>
    <w:rsid w:val="004F5999"/>
    <w:rsid w:val="00501F21"/>
    <w:rsid w:val="00515085"/>
    <w:rsid w:val="00521440"/>
    <w:rsid w:val="005554F6"/>
    <w:rsid w:val="00556F8C"/>
    <w:rsid w:val="00563EDF"/>
    <w:rsid w:val="00564042"/>
    <w:rsid w:val="005955DD"/>
    <w:rsid w:val="005B11D7"/>
    <w:rsid w:val="005B1AE3"/>
    <w:rsid w:val="005C3DEE"/>
    <w:rsid w:val="005D5536"/>
    <w:rsid w:val="005D7063"/>
    <w:rsid w:val="00612513"/>
    <w:rsid w:val="00613F20"/>
    <w:rsid w:val="0061767E"/>
    <w:rsid w:val="00630CD7"/>
    <w:rsid w:val="00634D34"/>
    <w:rsid w:val="0064134E"/>
    <w:rsid w:val="00643B20"/>
    <w:rsid w:val="006453EF"/>
    <w:rsid w:val="00653888"/>
    <w:rsid w:val="00654C85"/>
    <w:rsid w:val="0065747B"/>
    <w:rsid w:val="006646A6"/>
    <w:rsid w:val="0067282E"/>
    <w:rsid w:val="006954CD"/>
    <w:rsid w:val="006A0395"/>
    <w:rsid w:val="006A0B0F"/>
    <w:rsid w:val="006B5576"/>
    <w:rsid w:val="006C6CE0"/>
    <w:rsid w:val="006D57A1"/>
    <w:rsid w:val="006E0682"/>
    <w:rsid w:val="006F6F84"/>
    <w:rsid w:val="0070528E"/>
    <w:rsid w:val="00736FE8"/>
    <w:rsid w:val="00755A18"/>
    <w:rsid w:val="00757643"/>
    <w:rsid w:val="0076086F"/>
    <w:rsid w:val="00782536"/>
    <w:rsid w:val="007B3D70"/>
    <w:rsid w:val="007C5A3C"/>
    <w:rsid w:val="007E6D3E"/>
    <w:rsid w:val="008049AD"/>
    <w:rsid w:val="00805789"/>
    <w:rsid w:val="00861854"/>
    <w:rsid w:val="00866715"/>
    <w:rsid w:val="008745E1"/>
    <w:rsid w:val="00884771"/>
    <w:rsid w:val="008A62F0"/>
    <w:rsid w:val="008B18A5"/>
    <w:rsid w:val="008B78A3"/>
    <w:rsid w:val="008D223E"/>
    <w:rsid w:val="008D4E78"/>
    <w:rsid w:val="008D5215"/>
    <w:rsid w:val="00920B5F"/>
    <w:rsid w:val="00922F18"/>
    <w:rsid w:val="0093043F"/>
    <w:rsid w:val="0094355C"/>
    <w:rsid w:val="00946F47"/>
    <w:rsid w:val="00961EA1"/>
    <w:rsid w:val="00965154"/>
    <w:rsid w:val="00976A5C"/>
    <w:rsid w:val="009948CB"/>
    <w:rsid w:val="00995075"/>
    <w:rsid w:val="00A06767"/>
    <w:rsid w:val="00A26536"/>
    <w:rsid w:val="00A41A2D"/>
    <w:rsid w:val="00A43859"/>
    <w:rsid w:val="00A52A0A"/>
    <w:rsid w:val="00A5741E"/>
    <w:rsid w:val="00A63179"/>
    <w:rsid w:val="00A70CD5"/>
    <w:rsid w:val="00A76A22"/>
    <w:rsid w:val="00A95CDE"/>
    <w:rsid w:val="00AA1B44"/>
    <w:rsid w:val="00AC2CC2"/>
    <w:rsid w:val="00AF5E05"/>
    <w:rsid w:val="00B20DDA"/>
    <w:rsid w:val="00B322BB"/>
    <w:rsid w:val="00B3344A"/>
    <w:rsid w:val="00B3378F"/>
    <w:rsid w:val="00B36E5C"/>
    <w:rsid w:val="00B46D29"/>
    <w:rsid w:val="00B52EE6"/>
    <w:rsid w:val="00B54EF6"/>
    <w:rsid w:val="00B56185"/>
    <w:rsid w:val="00BD1DE8"/>
    <w:rsid w:val="00BD6550"/>
    <w:rsid w:val="00BF1AD0"/>
    <w:rsid w:val="00C01DFC"/>
    <w:rsid w:val="00C0716C"/>
    <w:rsid w:val="00C26634"/>
    <w:rsid w:val="00C70CDD"/>
    <w:rsid w:val="00C713D5"/>
    <w:rsid w:val="00C74F43"/>
    <w:rsid w:val="00C771B3"/>
    <w:rsid w:val="00CB4B56"/>
    <w:rsid w:val="00CE1586"/>
    <w:rsid w:val="00D2377D"/>
    <w:rsid w:val="00D264DB"/>
    <w:rsid w:val="00D41455"/>
    <w:rsid w:val="00D5216A"/>
    <w:rsid w:val="00D55A4B"/>
    <w:rsid w:val="00D57513"/>
    <w:rsid w:val="00D93FA1"/>
    <w:rsid w:val="00DA7543"/>
    <w:rsid w:val="00DB31A8"/>
    <w:rsid w:val="00DB3B56"/>
    <w:rsid w:val="00DB3CCE"/>
    <w:rsid w:val="00DD4E94"/>
    <w:rsid w:val="00DE1663"/>
    <w:rsid w:val="00E363F3"/>
    <w:rsid w:val="00E41794"/>
    <w:rsid w:val="00E4644C"/>
    <w:rsid w:val="00E511CA"/>
    <w:rsid w:val="00E57A60"/>
    <w:rsid w:val="00E732C3"/>
    <w:rsid w:val="00E74C54"/>
    <w:rsid w:val="00EA2A4D"/>
    <w:rsid w:val="00EB57E3"/>
    <w:rsid w:val="00EC4797"/>
    <w:rsid w:val="00ED0CE2"/>
    <w:rsid w:val="00EF23CC"/>
    <w:rsid w:val="00F013CF"/>
    <w:rsid w:val="00F05CFD"/>
    <w:rsid w:val="00F16797"/>
    <w:rsid w:val="00F31DD3"/>
    <w:rsid w:val="00F331B4"/>
    <w:rsid w:val="00F46E11"/>
    <w:rsid w:val="00F571D3"/>
    <w:rsid w:val="00F653E0"/>
    <w:rsid w:val="00F7719F"/>
    <w:rsid w:val="00FB71AE"/>
    <w:rsid w:val="00FE6CC2"/>
    <w:rsid w:val="0CA75583"/>
    <w:rsid w:val="0EA41412"/>
    <w:rsid w:val="119522F6"/>
    <w:rsid w:val="1AF430CD"/>
    <w:rsid w:val="20915ED7"/>
    <w:rsid w:val="235851DF"/>
    <w:rsid w:val="241B45B0"/>
    <w:rsid w:val="2A720B27"/>
    <w:rsid w:val="2F7509F2"/>
    <w:rsid w:val="30121738"/>
    <w:rsid w:val="34A6342C"/>
    <w:rsid w:val="34AC0990"/>
    <w:rsid w:val="35FA5E74"/>
    <w:rsid w:val="3673563F"/>
    <w:rsid w:val="37352A18"/>
    <w:rsid w:val="39BE07C6"/>
    <w:rsid w:val="3A3334B0"/>
    <w:rsid w:val="3EBE19EC"/>
    <w:rsid w:val="4AD73B18"/>
    <w:rsid w:val="639A1B0E"/>
    <w:rsid w:val="63BF7C32"/>
    <w:rsid w:val="655A51A6"/>
    <w:rsid w:val="6AE82164"/>
    <w:rsid w:val="70115CB9"/>
    <w:rsid w:val="71444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13"/>
    <w:qFormat/>
    <w:uiPriority w:val="9"/>
    <w:pPr>
      <w:keepNext/>
      <w:keepLines/>
      <w:spacing w:line="600" w:lineRule="exact"/>
      <w:outlineLvl w:val="0"/>
    </w:pPr>
    <w:rPr>
      <w:rFonts w:eastAsia="华文中宋"/>
      <w:b/>
      <w:bCs/>
      <w:kern w:val="44"/>
      <w:sz w:val="44"/>
      <w:szCs w:val="44"/>
    </w:rPr>
  </w:style>
  <w:style w:type="paragraph" w:styleId="3">
    <w:name w:val="heading 2"/>
    <w:basedOn w:val="1"/>
    <w:next w:val="1"/>
    <w:link w:val="22"/>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semiHidden/>
    <w:unhideWhenUsed/>
    <w:qFormat/>
    <w:uiPriority w:val="99"/>
    <w:pPr>
      <w:jc w:val="left"/>
    </w:pPr>
  </w:style>
  <w:style w:type="paragraph" w:styleId="5">
    <w:name w:val="Body Text Indent"/>
    <w:basedOn w:val="1"/>
    <w:link w:val="16"/>
    <w:qFormat/>
    <w:uiPriority w:val="0"/>
    <w:pPr>
      <w:spacing w:after="120" w:line="240" w:lineRule="auto"/>
      <w:ind w:left="420" w:leftChars="200"/>
    </w:pPr>
    <w:rPr>
      <w:rFonts w:ascii="Times New Roman" w:hAnsi="Times New Roman" w:eastAsia="宋体" w:cs="Times New Roman"/>
      <w:sz w:val="21"/>
      <w:szCs w:val="24"/>
    </w:rPr>
  </w:style>
  <w:style w:type="paragraph" w:styleId="6">
    <w:name w:val="Balloon Text"/>
    <w:basedOn w:val="1"/>
    <w:link w:val="17"/>
    <w:semiHidden/>
    <w:unhideWhenUsed/>
    <w:qFormat/>
    <w:uiPriority w:val="99"/>
    <w:pPr>
      <w:spacing w:line="240" w:lineRule="auto"/>
    </w:pPr>
    <w:rPr>
      <w:sz w:val="18"/>
      <w:szCs w:val="18"/>
    </w:rPr>
  </w:style>
  <w:style w:type="paragraph" w:styleId="7">
    <w:name w:val="footer"/>
    <w:basedOn w:val="1"/>
    <w:link w:val="15"/>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annotation subject"/>
    <w:basedOn w:val="4"/>
    <w:next w:val="4"/>
    <w:link w:val="19"/>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标题 1 字符"/>
    <w:basedOn w:val="11"/>
    <w:link w:val="2"/>
    <w:qFormat/>
    <w:uiPriority w:val="9"/>
    <w:rPr>
      <w:rFonts w:eastAsia="华文中宋"/>
      <w:b/>
      <w:bCs/>
      <w:kern w:val="44"/>
      <w:sz w:val="44"/>
      <w:szCs w:val="44"/>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character" w:customStyle="1" w:styleId="16">
    <w:name w:val="正文文本缩进 字符"/>
    <w:basedOn w:val="11"/>
    <w:link w:val="5"/>
    <w:qFormat/>
    <w:uiPriority w:val="0"/>
    <w:rPr>
      <w:rFonts w:ascii="Times New Roman" w:hAnsi="Times New Roman" w:eastAsia="宋体" w:cs="Times New Roman"/>
      <w:sz w:val="21"/>
      <w:szCs w:val="24"/>
    </w:rPr>
  </w:style>
  <w:style w:type="character" w:customStyle="1" w:styleId="17">
    <w:name w:val="批注框文本 字符"/>
    <w:basedOn w:val="11"/>
    <w:link w:val="6"/>
    <w:semiHidden/>
    <w:qFormat/>
    <w:uiPriority w:val="99"/>
    <w:rPr>
      <w:rFonts w:eastAsia="仿宋" w:asciiTheme="minorHAnsi" w:hAnsiTheme="minorHAnsi" w:cstheme="minorBidi"/>
      <w:kern w:val="2"/>
      <w:sz w:val="18"/>
      <w:szCs w:val="18"/>
    </w:rPr>
  </w:style>
  <w:style w:type="character" w:customStyle="1" w:styleId="18">
    <w:name w:val="批注文字 字符"/>
    <w:basedOn w:val="11"/>
    <w:link w:val="4"/>
    <w:semiHidden/>
    <w:qFormat/>
    <w:uiPriority w:val="99"/>
    <w:rPr>
      <w:rFonts w:eastAsia="仿宋" w:asciiTheme="minorHAnsi" w:hAnsiTheme="minorHAnsi" w:cstheme="minorBidi"/>
      <w:kern w:val="2"/>
      <w:sz w:val="32"/>
      <w:szCs w:val="22"/>
    </w:rPr>
  </w:style>
  <w:style w:type="character" w:customStyle="1" w:styleId="19">
    <w:name w:val="批注主题 字符"/>
    <w:basedOn w:val="18"/>
    <w:link w:val="9"/>
    <w:semiHidden/>
    <w:qFormat/>
    <w:uiPriority w:val="99"/>
    <w:rPr>
      <w:rFonts w:eastAsia="仿宋" w:asciiTheme="minorHAnsi" w:hAnsiTheme="minorHAnsi" w:cstheme="minorBidi"/>
      <w:b/>
      <w:bCs/>
      <w:kern w:val="2"/>
      <w:sz w:val="32"/>
      <w:szCs w:val="22"/>
    </w:rPr>
  </w:style>
  <w:style w:type="paragraph" w:customStyle="1" w:styleId="20">
    <w:name w:val="修订1"/>
    <w:hidden/>
    <w:semiHidden/>
    <w:qFormat/>
    <w:uiPriority w:val="99"/>
    <w:rPr>
      <w:rFonts w:eastAsia="仿宋" w:asciiTheme="minorHAnsi" w:hAnsiTheme="minorHAnsi" w:cstheme="minorBidi"/>
      <w:kern w:val="2"/>
      <w:sz w:val="32"/>
      <w:szCs w:val="22"/>
      <w:lang w:val="en-US" w:eastAsia="zh-CN" w:bidi="ar-SA"/>
    </w:rPr>
  </w:style>
  <w:style w:type="paragraph" w:styleId="21">
    <w:name w:val="List Paragraph"/>
    <w:basedOn w:val="1"/>
    <w:qFormat/>
    <w:uiPriority w:val="99"/>
    <w:pPr>
      <w:ind w:firstLine="420" w:firstLineChars="200"/>
    </w:pPr>
  </w:style>
  <w:style w:type="character" w:customStyle="1" w:styleId="22">
    <w:name w:val="标题 2 字符"/>
    <w:basedOn w:val="11"/>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9B19C-9222-4A24-A37C-440EF38FFF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2172</Words>
  <Characters>2327</Characters>
  <Lines>17</Lines>
  <Paragraphs>4</Paragraphs>
  <TotalTime>21</TotalTime>
  <ScaleCrop>false</ScaleCrop>
  <LinksUpToDate>false</LinksUpToDate>
  <CharactersWithSpaces>2409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2025-09-10T06:34:00Z</dcterms:created>
  <dc:creator>xcb-wy</dc:creator>
  <cp:lastModifiedBy>赵芝</cp:lastModifiedBy>
  <cp:lastPrinted>2023-04-28T02:53:00Z</cp:lastPrinted>
  <dcterms:modified xsi:type="dcterms:W3CDTF">2025-11-20T09:21:05Z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C5D507A6AA064D22B77903919F36D3DB</vt:lpwstr>
  </property>
  <property fmtid="{D5CDD505-2E9C-101B-9397-08002B2CF9AE}" pid="4" name="KSOTemplateDocerSaveRecord">
    <vt:lpwstr>eyJoZGlkIjoiYTAzMjViYWJiYTQxYmZiY2M2ZTdiMmUwM2M0NzMwZTciLCJ1c2VySWQiOiIzMDU3NDQ5MzYifQ==</vt:lpwstr>
  </property>
</Properties>
</file>