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BF3980E">
      <w:pPr>
        <w:ind w:firstLine="241" w:firstLineChars="100"/>
        <w:rPr>
          <w:rFonts w:hint="eastAsia" w:ascii="宋体" w:hAnsi="宋体"/>
          <w:b/>
          <w:sz w:val="24"/>
          <w:szCs w:val="24"/>
        </w:rPr>
      </w:pPr>
      <w:r>
        <w:rPr>
          <w:rFonts w:hint="eastAsia" w:ascii="宋体" w:hAnsi="宋体"/>
          <w:b/>
          <w:sz w:val="24"/>
          <w:szCs w:val="24"/>
        </w:rPr>
        <w:t>合同编号：</w:t>
      </w:r>
    </w:p>
    <w:p w14:paraId="45B74259">
      <w:pPr>
        <w:ind w:firstLine="241" w:firstLineChars="100"/>
        <w:rPr>
          <w:rFonts w:hint="eastAsia" w:ascii="宋体" w:hAnsi="宋体"/>
          <w:b/>
          <w:sz w:val="24"/>
          <w:szCs w:val="24"/>
        </w:rPr>
      </w:pPr>
    </w:p>
    <w:p w14:paraId="1FF944BC">
      <w:pPr>
        <w:jc w:val="center"/>
        <w:rPr>
          <w:rFonts w:hint="eastAsia" w:ascii="宋体" w:hAnsi="宋体"/>
          <w:b/>
          <w:sz w:val="44"/>
          <w:szCs w:val="44"/>
        </w:rPr>
      </w:pPr>
      <w:r>
        <w:rPr>
          <w:rFonts w:hint="eastAsia" w:ascii="宋体" w:hAnsi="宋体"/>
          <w:b/>
          <w:sz w:val="44"/>
          <w:szCs w:val="44"/>
          <w:lang w:val="en-US" w:eastAsia="zh-CN"/>
        </w:rPr>
        <w:t>2026年度</w:t>
      </w:r>
      <w:r>
        <w:rPr>
          <w:rFonts w:hint="eastAsia" w:ascii="宋体" w:hAnsi="宋体"/>
          <w:b/>
          <w:sz w:val="44"/>
          <w:szCs w:val="44"/>
        </w:rPr>
        <w:t>安全防护终端软件集中采购项目</w:t>
      </w:r>
    </w:p>
    <w:p w14:paraId="1B4D601F">
      <w:pPr>
        <w:jc w:val="center"/>
        <w:rPr>
          <w:rFonts w:hint="eastAsia" w:ascii="宋体" w:hAnsi="宋体"/>
          <w:b/>
          <w:sz w:val="44"/>
          <w:szCs w:val="44"/>
        </w:rPr>
      </w:pPr>
      <w:r>
        <w:rPr>
          <w:rFonts w:hint="eastAsia" w:ascii="宋体" w:hAnsi="宋体"/>
          <w:b/>
          <w:sz w:val="44"/>
          <w:szCs w:val="44"/>
        </w:rPr>
        <w:t>购置合同</w:t>
      </w:r>
    </w:p>
    <w:p w14:paraId="641DED15">
      <w:pPr>
        <w:ind w:firstLine="105" w:firstLineChars="50"/>
        <w:jc w:val="center"/>
        <w:rPr>
          <w:rFonts w:hint="eastAsia" w:ascii="宋体" w:hAnsi="宋体"/>
        </w:rPr>
      </w:pPr>
    </w:p>
    <w:p w14:paraId="67395948"/>
    <w:p w14:paraId="638F3A94"/>
    <w:p w14:paraId="48ACF8E3"/>
    <w:p w14:paraId="1F465E29"/>
    <w:p w14:paraId="5042AAF5">
      <w:r>
        <w:rPr>
          <w:rFonts w:hint="eastAsia"/>
        </w:rPr>
        <w:t>甲方：</w:t>
      </w:r>
      <w:r>
        <w:rPr>
          <w:rFonts w:ascii="宋体" w:hAnsi="宋体"/>
          <w:szCs w:val="21"/>
        </w:rPr>
        <w:t>深圳</w:t>
      </w:r>
      <w:r>
        <w:rPr>
          <w:rFonts w:hint="eastAsia" w:ascii="宋体" w:hAnsi="宋体"/>
          <w:szCs w:val="21"/>
        </w:rPr>
        <w:t>市大白菜科技</w:t>
      </w:r>
      <w:r>
        <w:rPr>
          <w:rFonts w:ascii="宋体" w:hAnsi="宋体"/>
          <w:szCs w:val="21"/>
        </w:rPr>
        <w:t>有限公司</w:t>
      </w:r>
      <w:r>
        <w:rPr>
          <w:rFonts w:hint="eastAsia"/>
        </w:rPr>
        <w:t xml:space="preserve"> </w:t>
      </w:r>
    </w:p>
    <w:p w14:paraId="6033BBF7">
      <w:r>
        <w:rPr>
          <w:rFonts w:hint="eastAsia"/>
        </w:rPr>
        <w:t>法定代表人：刘鸣剑</w:t>
      </w:r>
    </w:p>
    <w:p w14:paraId="1C6087BC">
      <w:r>
        <w:rPr>
          <w:rFonts w:hint="eastAsia"/>
        </w:rPr>
        <w:t>地址：深圳市南山区粤海街道高新区深圳湾科技生态园2栋C座12楼</w:t>
      </w:r>
    </w:p>
    <w:p w14:paraId="5501A64E"/>
    <w:p w14:paraId="2D464AA1">
      <w:r>
        <w:rPr>
          <w:rFonts w:hint="eastAsia"/>
        </w:rPr>
        <w:t>乙方：深圳市阖一科技有限公司</w:t>
      </w:r>
    </w:p>
    <w:p w14:paraId="021D2450">
      <w:pPr>
        <w:rPr>
          <w:rFonts w:hint="eastAsia" w:eastAsia="宋体"/>
          <w:lang w:val="en-US" w:eastAsia="zh-CN"/>
        </w:rPr>
      </w:pPr>
      <w:r>
        <w:rPr>
          <w:rFonts w:hint="eastAsia"/>
        </w:rPr>
        <w:t>法定代表人：</w:t>
      </w:r>
      <w:r>
        <w:rPr>
          <w:rFonts w:hint="eastAsia"/>
          <w:lang w:val="en-US" w:eastAsia="zh-CN"/>
        </w:rPr>
        <w:t>倪逸涵</w:t>
      </w:r>
    </w:p>
    <w:p w14:paraId="57E68FC9">
      <w:r>
        <w:rPr>
          <w:rFonts w:hint="eastAsia"/>
        </w:rPr>
        <w:t>地址：深圳市罗湖区南湖街道城市天地广场D座1306</w:t>
      </w:r>
    </w:p>
    <w:p w14:paraId="6F822F10"/>
    <w:p w14:paraId="2272C8C6">
      <w:pPr>
        <w:tabs>
          <w:tab w:val="left" w:pos="840"/>
        </w:tabs>
        <w:spacing w:line="360" w:lineRule="auto"/>
        <w:rPr>
          <w:rFonts w:hint="eastAsia" w:ascii="宋体" w:hAnsi="宋体"/>
          <w:szCs w:val="21"/>
        </w:rPr>
      </w:pPr>
    </w:p>
    <w:p w14:paraId="011F0ABD">
      <w:pPr>
        <w:tabs>
          <w:tab w:val="left" w:pos="840"/>
        </w:tabs>
        <w:spacing w:line="360" w:lineRule="auto"/>
        <w:ind w:firstLine="420" w:firstLineChars="200"/>
        <w:rPr>
          <w:rFonts w:hint="eastAsia" w:ascii="宋体" w:hAnsi="宋体"/>
          <w:szCs w:val="21"/>
        </w:rPr>
      </w:pPr>
    </w:p>
    <w:p w14:paraId="443B2A74">
      <w:pPr>
        <w:tabs>
          <w:tab w:val="left" w:pos="840"/>
        </w:tabs>
        <w:spacing w:line="360" w:lineRule="auto"/>
        <w:ind w:firstLine="420" w:firstLineChars="200"/>
        <w:rPr>
          <w:rFonts w:hint="eastAsia" w:ascii="宋体" w:hAnsi="宋体"/>
          <w:szCs w:val="21"/>
        </w:rPr>
      </w:pPr>
      <w:r>
        <w:rPr>
          <w:rFonts w:hint="eastAsia" w:ascii="宋体" w:hAnsi="宋体"/>
          <w:szCs w:val="21"/>
        </w:rPr>
        <w:t>根据《中华人民共和国民法典》及相关法律法规的规定，就甲方为获得授权主体向乙方购买</w:t>
      </w:r>
      <w:r>
        <w:rPr>
          <w:rFonts w:hint="eastAsia"/>
        </w:rPr>
        <w:t>深信服端点安全软件（PC</w:t>
      </w:r>
      <w:r>
        <w:rPr>
          <w:rFonts w:hint="eastAsia"/>
          <w:lang w:val="en-US" w:eastAsia="zh-CN"/>
        </w:rPr>
        <w:t>高级</w:t>
      </w:r>
      <w:r>
        <w:rPr>
          <w:rFonts w:hint="eastAsia"/>
        </w:rPr>
        <w:t>版）</w:t>
      </w:r>
      <w:r>
        <w:rPr>
          <w:rFonts w:hint="eastAsia" w:ascii="宋体" w:hAnsi="宋体"/>
          <w:szCs w:val="21"/>
        </w:rPr>
        <w:t>软件使用许可权事宜，经双方充分协商</w:t>
      </w:r>
      <w:r>
        <w:rPr>
          <w:rFonts w:ascii="宋体" w:hAnsi="宋体"/>
          <w:szCs w:val="21"/>
        </w:rPr>
        <w:t>签订</w:t>
      </w:r>
      <w:r>
        <w:rPr>
          <w:rFonts w:hint="eastAsia" w:ascii="宋体" w:hAnsi="宋体"/>
          <w:szCs w:val="21"/>
        </w:rPr>
        <w:t>合同如下</w:t>
      </w:r>
      <w:r>
        <w:rPr>
          <w:rFonts w:ascii="宋体" w:hAnsi="宋体"/>
          <w:szCs w:val="21"/>
        </w:rPr>
        <w:t>：</w:t>
      </w:r>
    </w:p>
    <w:p w14:paraId="11419E41">
      <w:pPr>
        <w:numPr>
          <w:ilvl w:val="0"/>
          <w:numId w:val="1"/>
        </w:numPr>
        <w:spacing w:line="360" w:lineRule="auto"/>
        <w:ind w:left="-275" w:leftChars="-131" w:firstLine="422" w:firstLineChars="200"/>
        <w:outlineLvl w:val="0"/>
        <w:rPr>
          <w:rFonts w:hint="eastAsia" w:ascii="宋体" w:hAnsi="宋体"/>
          <w:b/>
          <w:bCs/>
          <w:szCs w:val="21"/>
        </w:rPr>
      </w:pPr>
      <w:r>
        <w:rPr>
          <w:rFonts w:hint="eastAsia" w:ascii="宋体" w:hAnsi="宋体"/>
          <w:b/>
          <w:bCs/>
          <w:szCs w:val="21"/>
        </w:rPr>
        <w:t>定义</w:t>
      </w:r>
    </w:p>
    <w:p w14:paraId="69BACFE6">
      <w:pPr>
        <w:numPr>
          <w:ilvl w:val="0"/>
          <w:numId w:val="2"/>
        </w:numPr>
        <w:spacing w:line="360" w:lineRule="auto"/>
        <w:ind w:firstLine="420" w:firstLineChars="200"/>
        <w:outlineLvl w:val="0"/>
        <w:rPr>
          <w:rFonts w:hint="eastAsia" w:ascii="宋体" w:hAnsi="宋体"/>
          <w:sz w:val="24"/>
        </w:rPr>
      </w:pPr>
      <w:r>
        <w:rPr>
          <w:rFonts w:hint="eastAsia"/>
        </w:rPr>
        <w:t>获得授权主体：本合同项下获得授权的主体仅限</w:t>
      </w:r>
      <w:r>
        <w:rPr>
          <w:rFonts w:ascii="宋体" w:hAnsi="宋体" w:cs="宋体"/>
          <w:szCs w:val="21"/>
        </w:rPr>
        <w:t>深圳</w:t>
      </w:r>
      <w:r>
        <w:rPr>
          <w:rFonts w:hint="eastAsia" w:ascii="宋体" w:hAnsi="宋体" w:cs="宋体"/>
          <w:szCs w:val="21"/>
        </w:rPr>
        <w:t>农业与食品投资控股集团有限公司及其</w:t>
      </w:r>
      <w:r>
        <w:rPr>
          <w:rFonts w:ascii="宋体" w:hAnsi="宋体" w:cs="宋体"/>
          <w:szCs w:val="21"/>
        </w:rPr>
        <w:t>全资或控</w:t>
      </w:r>
      <w:r>
        <w:rPr>
          <w:rFonts w:hint="eastAsia" w:ascii="宋体" w:hAnsi="宋体" w:cs="宋体"/>
          <w:szCs w:val="21"/>
        </w:rPr>
        <w:t>股</w:t>
      </w:r>
      <w:r>
        <w:rPr>
          <w:rFonts w:ascii="宋体" w:hAnsi="宋体" w:cs="宋体"/>
          <w:szCs w:val="21"/>
        </w:rPr>
        <w:t>（</w:t>
      </w:r>
      <w:r>
        <w:rPr>
          <w:rFonts w:hint="eastAsia" w:ascii="宋体" w:hAnsi="宋体" w:cs="宋体"/>
          <w:szCs w:val="21"/>
        </w:rPr>
        <w:t>含相对控股</w:t>
      </w:r>
      <w:r>
        <w:rPr>
          <w:rFonts w:ascii="宋体" w:hAnsi="宋体" w:cs="宋体"/>
          <w:szCs w:val="21"/>
        </w:rPr>
        <w:t>）的</w:t>
      </w:r>
      <w:r>
        <w:rPr>
          <w:rFonts w:hint="eastAsia" w:ascii="宋体" w:hAnsi="宋体" w:cs="宋体"/>
          <w:szCs w:val="21"/>
        </w:rPr>
        <w:t>分、子公司。</w:t>
      </w:r>
    </w:p>
    <w:p w14:paraId="55D15FF4">
      <w:pPr>
        <w:spacing w:line="360" w:lineRule="auto"/>
        <w:ind w:firstLine="420" w:firstLineChars="200"/>
        <w:outlineLvl w:val="0"/>
        <w:rPr>
          <w:rFonts w:hint="eastAsia" w:ascii="宋体" w:hAnsi="宋体"/>
          <w:szCs w:val="21"/>
        </w:rPr>
      </w:pPr>
      <w:r>
        <w:t>2</w:t>
      </w:r>
      <w:r>
        <w:rPr>
          <w:rFonts w:hint="eastAsia"/>
          <w:lang w:eastAsia="zh-Hans"/>
        </w:rPr>
        <w:t>、</w:t>
      </w:r>
      <w:r>
        <w:rPr>
          <w:rFonts w:hint="eastAsia"/>
        </w:rPr>
        <w:t>授权软件：仅指本合同项下甲方为获得授权主体向乙方购买的深信服端点安全软件（PC</w:t>
      </w:r>
      <w:r>
        <w:rPr>
          <w:rFonts w:hint="eastAsia"/>
          <w:lang w:val="en-US" w:eastAsia="zh-CN"/>
        </w:rPr>
        <w:t>高级</w:t>
      </w:r>
      <w:r>
        <w:rPr>
          <w:rFonts w:hint="eastAsia"/>
        </w:rPr>
        <w:t>版）产品。</w:t>
      </w:r>
    </w:p>
    <w:p w14:paraId="3D7ECE46">
      <w:pPr>
        <w:spacing w:line="360" w:lineRule="auto"/>
        <w:ind w:firstLine="420" w:firstLineChars="200"/>
        <w:outlineLvl w:val="0"/>
        <w:rPr>
          <w:rFonts w:hint="eastAsia" w:ascii="宋体" w:hAnsi="宋体"/>
          <w:szCs w:val="21"/>
          <w:lang w:eastAsia="zh-Hans"/>
        </w:rPr>
      </w:pPr>
      <w:r>
        <w:rPr>
          <w:rFonts w:ascii="宋体" w:hAnsi="宋体"/>
          <w:szCs w:val="21"/>
        </w:rPr>
        <w:t>3</w:t>
      </w:r>
      <w:r>
        <w:rPr>
          <w:rFonts w:hint="eastAsia" w:ascii="宋体" w:hAnsi="宋体"/>
          <w:szCs w:val="21"/>
        </w:rPr>
        <w:t>、在职员工：指依据《中华人民共和国劳动合同法》已与获得授权主体签订合法劳动合同且签订的该劳动合同尚在有效期内的自然人，一旦该自然人与获得授权主体签订的劳动合同因任何原因被解除或终止，该自然人即不再属于获得授权主体的在职员工</w:t>
      </w:r>
      <w:r>
        <w:rPr>
          <w:rFonts w:hint="eastAsia" w:ascii="宋体" w:hAnsi="宋体"/>
          <w:szCs w:val="21"/>
          <w:lang w:eastAsia="zh-Hans"/>
        </w:rPr>
        <w:t>。</w:t>
      </w:r>
    </w:p>
    <w:p w14:paraId="43E52ACA">
      <w:pPr>
        <w:spacing w:line="360" w:lineRule="auto"/>
        <w:ind w:firstLine="420" w:firstLineChars="200"/>
        <w:outlineLvl w:val="0"/>
        <w:rPr>
          <w:rFonts w:hint="eastAsia" w:ascii="宋体" w:hAnsi="宋体"/>
          <w:szCs w:val="21"/>
        </w:rPr>
      </w:pPr>
      <w:r>
        <w:rPr>
          <w:rFonts w:ascii="宋体" w:hAnsi="宋体"/>
          <w:szCs w:val="21"/>
        </w:rPr>
        <w:t>4</w:t>
      </w:r>
      <w:r>
        <w:rPr>
          <w:rFonts w:hint="eastAsia" w:ascii="宋体" w:hAnsi="宋体"/>
          <w:szCs w:val="21"/>
        </w:rPr>
        <w:t>、用户：仅指经获得授权主体分配有权使用授权软件的在职员工及在获得授权主体办公场所内的其他第三方外派人员。</w:t>
      </w:r>
    </w:p>
    <w:p w14:paraId="3D8E3163">
      <w:pPr>
        <w:numPr>
          <w:ilvl w:val="0"/>
          <w:numId w:val="1"/>
        </w:numPr>
        <w:spacing w:line="360" w:lineRule="auto"/>
        <w:ind w:left="-275" w:leftChars="-131" w:firstLine="422" w:firstLineChars="200"/>
        <w:outlineLvl w:val="0"/>
        <w:rPr>
          <w:rFonts w:hint="eastAsia" w:ascii="宋体" w:hAnsi="宋体"/>
          <w:szCs w:val="21"/>
        </w:rPr>
      </w:pPr>
      <w:r>
        <w:rPr>
          <w:rFonts w:hint="eastAsia" w:ascii="宋体" w:hAnsi="宋体"/>
          <w:b/>
          <w:bCs/>
          <w:szCs w:val="21"/>
        </w:rPr>
        <w:t>合同标的、价格及授权政策</w:t>
      </w:r>
    </w:p>
    <w:p w14:paraId="4B86CD69">
      <w:pPr>
        <w:spacing w:line="360" w:lineRule="auto"/>
        <w:ind w:left="145" w:leftChars="69"/>
        <w:outlineLvl w:val="0"/>
        <w:rPr>
          <w:rFonts w:hint="eastAsia" w:ascii="宋体" w:hAnsi="宋体"/>
          <w:szCs w:val="21"/>
        </w:rPr>
      </w:pPr>
      <w:r>
        <w:rPr>
          <w:rFonts w:hint="eastAsia" w:ascii="宋体" w:hAnsi="宋体"/>
          <w:szCs w:val="21"/>
        </w:rPr>
        <w:t xml:space="preserve">    详见附件1双方一致认可，若本协议附件1约定与主合同或其他附件约定存在冲突的，均以附件1约定内容为准。</w:t>
      </w:r>
    </w:p>
    <w:p w14:paraId="2FF367B9">
      <w:pPr>
        <w:numPr>
          <w:ilvl w:val="0"/>
          <w:numId w:val="1"/>
        </w:numPr>
        <w:spacing w:line="360" w:lineRule="auto"/>
        <w:ind w:left="-275" w:leftChars="-131" w:firstLine="422" w:firstLineChars="200"/>
        <w:outlineLvl w:val="0"/>
        <w:rPr>
          <w:rFonts w:hint="eastAsia" w:ascii="宋体" w:hAnsi="宋体"/>
          <w:b/>
          <w:bCs/>
          <w:szCs w:val="21"/>
        </w:rPr>
      </w:pPr>
      <w:r>
        <w:rPr>
          <w:rFonts w:hint="eastAsia" w:ascii="宋体" w:hAnsi="宋体"/>
          <w:b/>
          <w:bCs/>
          <w:szCs w:val="21"/>
        </w:rPr>
        <w:t>付款及交货</w:t>
      </w:r>
    </w:p>
    <w:p w14:paraId="64410AAA">
      <w:pPr>
        <w:numPr>
          <w:ilvl w:val="0"/>
          <w:numId w:val="3"/>
        </w:numPr>
        <w:tabs>
          <w:tab w:val="left" w:pos="846"/>
        </w:tabs>
        <w:spacing w:line="360" w:lineRule="auto"/>
        <w:ind w:firstLine="420" w:firstLineChars="200"/>
        <w:rPr>
          <w:rFonts w:hint="eastAsia" w:ascii="宋体" w:hAnsi="宋体"/>
          <w:szCs w:val="21"/>
        </w:rPr>
      </w:pPr>
      <w:r>
        <w:rPr>
          <w:rFonts w:hint="eastAsia" w:ascii="宋体" w:hAnsi="宋体"/>
          <w:szCs w:val="21"/>
        </w:rPr>
        <w:t>本合同采购标的总价（含税）为：</w:t>
      </w:r>
      <w:r>
        <w:rPr>
          <w:rFonts w:ascii="宋体" w:hAnsi="宋体"/>
          <w:szCs w:val="21"/>
          <w:u w:val="single"/>
        </w:rPr>
        <w:t>¥3</w:t>
      </w:r>
      <w:r>
        <w:rPr>
          <w:rFonts w:hint="eastAsia" w:ascii="宋体" w:hAnsi="宋体"/>
          <w:szCs w:val="21"/>
          <w:u w:val="single"/>
          <w:lang w:val="en-US" w:eastAsia="zh-CN"/>
        </w:rPr>
        <w:t>00</w:t>
      </w:r>
      <w:r>
        <w:rPr>
          <w:rFonts w:hint="eastAsia" w:ascii="宋体" w:hAnsi="宋体"/>
          <w:szCs w:val="21"/>
          <w:u w:val="single"/>
        </w:rPr>
        <w:t>,000</w:t>
      </w:r>
      <w:r>
        <w:rPr>
          <w:rFonts w:hint="eastAsia" w:ascii="宋体" w:hAnsi="宋体"/>
          <w:szCs w:val="21"/>
          <w:u w:val="single"/>
          <w:lang w:eastAsia="zh-Hans"/>
        </w:rPr>
        <w:t>.</w:t>
      </w:r>
      <w:r>
        <w:rPr>
          <w:rFonts w:ascii="宋体" w:hAnsi="宋体"/>
          <w:szCs w:val="21"/>
          <w:u w:val="single"/>
          <w:lang w:eastAsia="zh-Hans"/>
        </w:rPr>
        <w:t>00</w:t>
      </w:r>
      <w:r>
        <w:rPr>
          <w:rFonts w:hint="eastAsia" w:ascii="宋体" w:hAnsi="宋体"/>
          <w:szCs w:val="21"/>
          <w:u w:val="single"/>
        </w:rPr>
        <w:t xml:space="preserve"> </w:t>
      </w:r>
      <w:r>
        <w:rPr>
          <w:rFonts w:hint="eastAsia" w:ascii="宋体" w:hAnsi="宋体"/>
          <w:szCs w:val="21"/>
        </w:rPr>
        <w:t>（大写人民币</w:t>
      </w:r>
      <w:r>
        <w:rPr>
          <w:rFonts w:hint="eastAsia" w:ascii="宋体" w:hAnsi="宋体"/>
          <w:szCs w:val="21"/>
          <w:u w:val="single"/>
        </w:rPr>
        <w:t xml:space="preserve"> 叁拾万</w:t>
      </w:r>
      <w:r>
        <w:rPr>
          <w:rFonts w:ascii="宋体" w:hAnsi="宋体"/>
          <w:szCs w:val="21"/>
          <w:u w:val="single"/>
        </w:rPr>
        <w:t>元整</w:t>
      </w:r>
      <w:r>
        <w:rPr>
          <w:rFonts w:hint="eastAsia" w:ascii="宋体" w:hAnsi="宋体"/>
          <w:szCs w:val="21"/>
        </w:rPr>
        <w:t>）。</w:t>
      </w:r>
    </w:p>
    <w:p w14:paraId="7E64AA0C">
      <w:pPr>
        <w:numPr>
          <w:ilvl w:val="0"/>
          <w:numId w:val="3"/>
        </w:numPr>
        <w:tabs>
          <w:tab w:val="left" w:pos="846"/>
        </w:tabs>
        <w:spacing w:line="360" w:lineRule="auto"/>
        <w:ind w:firstLine="420" w:firstLineChars="0"/>
        <w:rPr>
          <w:rFonts w:hint="eastAsia" w:ascii="宋体" w:hAnsi="宋体"/>
          <w:szCs w:val="21"/>
          <w:highlight w:val="none"/>
        </w:rPr>
      </w:pPr>
      <w:r>
        <w:rPr>
          <w:rFonts w:hint="eastAsia" w:ascii="宋体" w:hAnsi="宋体"/>
          <w:szCs w:val="21"/>
          <w:highlight w:val="none"/>
          <w:lang w:val="en-US" w:eastAsia="zh-CN"/>
        </w:rPr>
        <w:t>甲乙双方合同签订并收到</w:t>
      </w:r>
      <w:r>
        <w:rPr>
          <w:rFonts w:hint="eastAsia" w:ascii="宋体" w:hAnsi="宋体"/>
          <w:szCs w:val="21"/>
          <w:highlight w:val="none"/>
        </w:rPr>
        <w:t>乙方</w:t>
      </w:r>
      <w:r>
        <w:rPr>
          <w:rFonts w:hint="eastAsia" w:ascii="宋体" w:hAnsi="宋体" w:cs="Times New Roman"/>
          <w:b w:val="0"/>
          <w:bCs/>
          <w:sz w:val="21"/>
          <w:szCs w:val="21"/>
          <w:lang w:val="en-US" w:eastAsia="zh-CN"/>
        </w:rPr>
        <w:t>开具的增值税专用发票后</w:t>
      </w:r>
      <w:r>
        <w:rPr>
          <w:rFonts w:hint="eastAsia" w:ascii="宋体" w:hAnsi="宋体"/>
          <w:szCs w:val="21"/>
          <w:highlight w:val="none"/>
        </w:rPr>
        <w:t>（</w:t>
      </w:r>
      <w:r>
        <w:rPr>
          <w:rFonts w:ascii="宋体" w:hAnsi="宋体"/>
          <w:szCs w:val="21"/>
          <w:highlight w:val="none"/>
        </w:rPr>
        <w:t>20</w:t>
      </w:r>
      <w:r>
        <w:rPr>
          <w:rFonts w:hint="eastAsia" w:ascii="宋体" w:hAnsi="宋体"/>
          <w:szCs w:val="21"/>
          <w:highlight w:val="none"/>
        </w:rPr>
        <w:t>）个工作日内，向乙方的指定帐户支付全额授权费用。</w:t>
      </w:r>
    </w:p>
    <w:p w14:paraId="7166C282">
      <w:pPr>
        <w:numPr>
          <w:ilvl w:val="0"/>
          <w:numId w:val="1"/>
        </w:numPr>
        <w:spacing w:line="360" w:lineRule="auto"/>
        <w:ind w:left="-275" w:leftChars="-131" w:firstLine="422" w:firstLineChars="200"/>
        <w:outlineLvl w:val="0"/>
        <w:rPr>
          <w:rFonts w:hint="eastAsia" w:ascii="宋体" w:hAnsi="宋体"/>
          <w:b/>
          <w:bCs/>
          <w:szCs w:val="21"/>
        </w:rPr>
      </w:pPr>
      <w:r>
        <w:rPr>
          <w:rFonts w:hint="eastAsia" w:ascii="宋体" w:hAnsi="宋体"/>
          <w:b/>
          <w:bCs/>
          <w:szCs w:val="21"/>
        </w:rPr>
        <w:t>甲方及获得授权主体的权利和义务</w:t>
      </w:r>
    </w:p>
    <w:p w14:paraId="76609446">
      <w:pPr>
        <w:numPr>
          <w:ilvl w:val="0"/>
          <w:numId w:val="4"/>
        </w:numPr>
        <w:spacing w:line="360" w:lineRule="auto"/>
        <w:ind w:firstLine="420" w:firstLineChars="200"/>
        <w:rPr>
          <w:rFonts w:hint="eastAsia" w:ascii="宋体" w:hAnsi="宋体"/>
          <w:szCs w:val="21"/>
        </w:rPr>
      </w:pPr>
      <w:r>
        <w:rPr>
          <w:rFonts w:hint="eastAsia" w:ascii="宋体" w:hAnsi="宋体"/>
          <w:szCs w:val="21"/>
        </w:rPr>
        <w:t>甲方及获得授权主体均有权对乙方提供的产品质量、售后服务进行监督。</w:t>
      </w:r>
    </w:p>
    <w:p w14:paraId="572DBDDA">
      <w:pPr>
        <w:numPr>
          <w:ilvl w:val="0"/>
          <w:numId w:val="4"/>
        </w:numPr>
        <w:spacing w:line="360" w:lineRule="auto"/>
        <w:ind w:firstLine="420" w:firstLineChars="200"/>
        <w:rPr>
          <w:rFonts w:hint="eastAsia" w:ascii="宋体" w:hAnsi="宋体"/>
          <w:szCs w:val="21"/>
        </w:rPr>
      </w:pPr>
      <w:r>
        <w:rPr>
          <w:rFonts w:hint="eastAsia" w:ascii="宋体" w:hAnsi="宋体"/>
          <w:szCs w:val="21"/>
        </w:rPr>
        <w:t>甲方承诺获得授权主体严格按照合同所规定的授权品种、授权范围、服务内容执行本合同。</w:t>
      </w:r>
    </w:p>
    <w:p w14:paraId="009D31BF">
      <w:pPr>
        <w:numPr>
          <w:ilvl w:val="0"/>
          <w:numId w:val="4"/>
        </w:numPr>
        <w:spacing w:line="360" w:lineRule="auto"/>
        <w:ind w:firstLine="420" w:firstLineChars="200"/>
        <w:rPr>
          <w:rFonts w:hint="eastAsia" w:ascii="宋体" w:hAnsi="宋体"/>
          <w:szCs w:val="21"/>
        </w:rPr>
      </w:pPr>
      <w:r>
        <w:rPr>
          <w:rFonts w:hint="eastAsia" w:ascii="宋体" w:hAnsi="宋体"/>
          <w:szCs w:val="21"/>
        </w:rPr>
        <w:t>甲方保证甲方及获得授权主体均不得将本合同项下授权软件、售后服务及乙方交付给甲方的介质、授权书、兑换码等予以转让或以任何方式授权甲方</w:t>
      </w:r>
      <w:r>
        <w:rPr>
          <w:rFonts w:ascii="宋体" w:hAnsi="宋体"/>
          <w:szCs w:val="21"/>
        </w:rPr>
        <w:t>及获</w:t>
      </w:r>
      <w:r>
        <w:rPr>
          <w:rFonts w:hint="eastAsia" w:ascii="宋体" w:hAnsi="宋体"/>
          <w:szCs w:val="21"/>
        </w:rPr>
        <w:t>得</w:t>
      </w:r>
      <w:r>
        <w:rPr>
          <w:rFonts w:ascii="宋体" w:hAnsi="宋体"/>
          <w:szCs w:val="21"/>
        </w:rPr>
        <w:t>授权主体之</w:t>
      </w:r>
      <w:r>
        <w:rPr>
          <w:rFonts w:hint="eastAsia" w:ascii="宋体" w:hAnsi="宋体"/>
          <w:szCs w:val="21"/>
        </w:rPr>
        <w:t>外</w:t>
      </w:r>
      <w:r>
        <w:rPr>
          <w:rFonts w:ascii="宋体" w:hAnsi="宋体"/>
          <w:szCs w:val="21"/>
        </w:rPr>
        <w:t>的第三方使用</w:t>
      </w:r>
      <w:r>
        <w:rPr>
          <w:rFonts w:hint="eastAsia" w:ascii="宋体" w:hAnsi="宋体"/>
          <w:szCs w:val="21"/>
        </w:rPr>
        <w:t>。</w:t>
      </w:r>
    </w:p>
    <w:p w14:paraId="408C53AC">
      <w:pPr>
        <w:numPr>
          <w:ilvl w:val="0"/>
          <w:numId w:val="4"/>
        </w:numPr>
        <w:spacing w:line="360" w:lineRule="auto"/>
        <w:ind w:firstLine="420" w:firstLineChars="200"/>
        <w:rPr>
          <w:rFonts w:hint="eastAsia" w:ascii="宋体" w:hAnsi="宋体"/>
          <w:szCs w:val="21"/>
        </w:rPr>
      </w:pPr>
      <w:r>
        <w:rPr>
          <w:rFonts w:hint="eastAsia" w:ascii="宋体" w:hAnsi="宋体"/>
          <w:szCs w:val="21"/>
        </w:rPr>
        <w:t>甲方保证甲方及获得授权主体均不得非法复制、生产、拷贝乙方软件产品，不得将乙方软件产品制成CD、磁盘或其他形式的介质。</w:t>
      </w:r>
    </w:p>
    <w:p w14:paraId="5C5E30B8">
      <w:pPr>
        <w:numPr>
          <w:ilvl w:val="0"/>
          <w:numId w:val="4"/>
        </w:numPr>
        <w:spacing w:line="360" w:lineRule="auto"/>
        <w:ind w:firstLine="420" w:firstLineChars="200"/>
        <w:rPr>
          <w:rFonts w:hint="eastAsia" w:ascii="宋体" w:hAnsi="宋体"/>
          <w:szCs w:val="21"/>
        </w:rPr>
      </w:pPr>
      <w:r>
        <w:rPr>
          <w:rFonts w:hint="eastAsia" w:ascii="宋体" w:hAnsi="宋体"/>
          <w:szCs w:val="21"/>
        </w:rPr>
        <w:t>甲方保证甲方及获得授权主体均不得非法复制、印刷、生产乙方产品的用户手册、使用说明、使用指南及各种有关乙方产品的文字标识。</w:t>
      </w:r>
    </w:p>
    <w:p w14:paraId="6C04F158">
      <w:pPr>
        <w:numPr>
          <w:ilvl w:val="0"/>
          <w:numId w:val="4"/>
        </w:numPr>
        <w:spacing w:line="360" w:lineRule="auto"/>
        <w:ind w:firstLine="420" w:firstLineChars="200"/>
        <w:rPr>
          <w:rFonts w:hint="eastAsia" w:ascii="宋体" w:hAnsi="宋体"/>
          <w:szCs w:val="21"/>
        </w:rPr>
      </w:pPr>
      <w:r>
        <w:rPr>
          <w:rFonts w:hint="eastAsia" w:ascii="宋体" w:hAnsi="宋体"/>
          <w:szCs w:val="21"/>
        </w:rPr>
        <w:t>甲方保证按本合同约定向乙方支付合同全款。</w:t>
      </w:r>
    </w:p>
    <w:p w14:paraId="14E25146">
      <w:pPr>
        <w:numPr>
          <w:ilvl w:val="0"/>
          <w:numId w:val="4"/>
        </w:numPr>
        <w:spacing w:line="360" w:lineRule="auto"/>
        <w:ind w:firstLine="420" w:firstLineChars="200"/>
        <w:rPr>
          <w:rFonts w:hint="eastAsia" w:ascii="宋体" w:hAnsi="宋体"/>
          <w:szCs w:val="21"/>
        </w:rPr>
      </w:pPr>
      <w:r>
        <w:rPr>
          <w:rFonts w:hint="eastAsia" w:ascii="宋体" w:hAnsi="宋体"/>
          <w:szCs w:val="21"/>
        </w:rPr>
        <w:t>本合同约定与软件介质所附最终用户许可协议不一致的，以本合同约定内容为准。</w:t>
      </w:r>
    </w:p>
    <w:p w14:paraId="641591FE">
      <w:pPr>
        <w:numPr>
          <w:ilvl w:val="0"/>
          <w:numId w:val="1"/>
        </w:numPr>
        <w:spacing w:line="360" w:lineRule="auto"/>
        <w:ind w:left="-275" w:leftChars="-131" w:firstLine="422" w:firstLineChars="200"/>
        <w:outlineLvl w:val="0"/>
        <w:rPr>
          <w:rFonts w:hint="eastAsia" w:ascii="宋体" w:hAnsi="宋体"/>
          <w:b/>
          <w:bCs/>
          <w:szCs w:val="21"/>
        </w:rPr>
      </w:pPr>
      <w:r>
        <w:rPr>
          <w:rFonts w:hint="eastAsia" w:ascii="宋体" w:hAnsi="宋体"/>
          <w:b/>
          <w:bCs/>
          <w:szCs w:val="21"/>
        </w:rPr>
        <w:t>乙方权利和义务</w:t>
      </w:r>
    </w:p>
    <w:p w14:paraId="19A6DD77">
      <w:pPr>
        <w:spacing w:line="360" w:lineRule="auto"/>
        <w:ind w:firstLine="420" w:firstLineChars="200"/>
        <w:rPr>
          <w:rFonts w:hint="eastAsia" w:ascii="宋体" w:hAnsi="宋体"/>
          <w:szCs w:val="21"/>
        </w:rPr>
      </w:pPr>
      <w:r>
        <w:rPr>
          <w:rFonts w:ascii="宋体" w:hAnsi="宋体"/>
          <w:szCs w:val="21"/>
        </w:rPr>
        <w:t>1</w:t>
      </w:r>
      <w:r>
        <w:rPr>
          <w:rFonts w:hint="eastAsia" w:ascii="宋体" w:hAnsi="宋体"/>
          <w:szCs w:val="21"/>
        </w:rPr>
        <w:t>、乙方保证对本合同项下授权给获得授权主体的上述授权产品在</w:t>
      </w:r>
      <w:r>
        <w:rPr>
          <w:rFonts w:hint="eastAsia" w:ascii="宋体" w:hAnsi="宋体"/>
          <w:szCs w:val="16"/>
        </w:rPr>
        <w:t>中国大陆</w:t>
      </w:r>
      <w:r>
        <w:rPr>
          <w:rFonts w:ascii="宋体" w:hAnsi="宋体"/>
          <w:szCs w:val="16"/>
        </w:rPr>
        <w:t>地区</w:t>
      </w:r>
      <w:r>
        <w:rPr>
          <w:rFonts w:hint="eastAsia" w:ascii="宋体" w:hAnsi="宋体"/>
          <w:szCs w:val="21"/>
        </w:rPr>
        <w:t>范围内具有合法知识产权或合法授权。</w:t>
      </w:r>
    </w:p>
    <w:p w14:paraId="1A101907">
      <w:pPr>
        <w:spacing w:line="360" w:lineRule="auto"/>
        <w:ind w:firstLine="420" w:firstLineChars="200"/>
        <w:rPr>
          <w:rFonts w:hint="eastAsia" w:ascii="宋体" w:hAnsi="宋体"/>
          <w:szCs w:val="21"/>
        </w:rPr>
      </w:pPr>
      <w:r>
        <w:rPr>
          <w:rFonts w:hint="eastAsia" w:ascii="宋体" w:hAnsi="宋体"/>
          <w:szCs w:val="21"/>
        </w:rPr>
        <w:t>2、在本合同</w:t>
      </w:r>
      <w:r>
        <w:rPr>
          <w:rFonts w:hint="eastAsia" w:ascii="宋体" w:hAnsi="宋体"/>
          <w:szCs w:val="21"/>
          <w:lang w:eastAsia="zh-Hans"/>
        </w:rPr>
        <w:t>第七</w:t>
      </w:r>
      <w:r>
        <w:rPr>
          <w:rFonts w:hint="eastAsia" w:ascii="宋体" w:hAnsi="宋体"/>
          <w:szCs w:val="21"/>
        </w:rPr>
        <w:t>条第1款规定的免费售后服务期限内，乙方有义务对本合同项下授权给获得授权主体的软件产品提供本合同</w:t>
      </w:r>
      <w:r>
        <w:rPr>
          <w:rFonts w:hint="eastAsia" w:ascii="宋体" w:hAnsi="宋体"/>
          <w:szCs w:val="21"/>
          <w:lang w:eastAsia="zh-Hans"/>
        </w:rPr>
        <w:t>第七</w:t>
      </w:r>
      <w:r>
        <w:rPr>
          <w:rFonts w:hint="eastAsia" w:ascii="宋体" w:hAnsi="宋体"/>
          <w:szCs w:val="21"/>
        </w:rPr>
        <w:t>条第2款所述的免费售后服务。</w:t>
      </w:r>
    </w:p>
    <w:p w14:paraId="5F05D075">
      <w:pPr>
        <w:spacing w:line="360" w:lineRule="auto"/>
        <w:ind w:firstLine="420" w:firstLineChars="200"/>
        <w:rPr>
          <w:rFonts w:hint="eastAsia" w:ascii="宋体" w:hAnsi="宋体"/>
          <w:szCs w:val="21"/>
        </w:rPr>
      </w:pPr>
      <w:r>
        <w:rPr>
          <w:rFonts w:ascii="宋体" w:hAnsi="宋体"/>
          <w:szCs w:val="21"/>
        </w:rPr>
        <w:t>3</w:t>
      </w:r>
      <w:r>
        <w:rPr>
          <w:rFonts w:hint="eastAsia" w:ascii="宋体" w:hAnsi="宋体"/>
          <w:szCs w:val="21"/>
        </w:rPr>
        <w:t>、乙方保证本合同项下授权给获得授权主体的软件产品无病毒</w:t>
      </w:r>
      <w:r>
        <w:rPr>
          <w:rFonts w:hint="eastAsia" w:ascii="宋体" w:hAnsi="宋体"/>
          <w:sz w:val="24"/>
        </w:rPr>
        <w:t>、</w:t>
      </w:r>
      <w:r>
        <w:rPr>
          <w:rFonts w:hint="eastAsia" w:ascii="宋体" w:hAnsi="宋体"/>
          <w:szCs w:val="16"/>
        </w:rPr>
        <w:t>广告推送、后门程序</w:t>
      </w:r>
      <w:r>
        <w:rPr>
          <w:rFonts w:hint="eastAsia" w:ascii="宋体" w:hAnsi="宋体"/>
          <w:szCs w:val="21"/>
        </w:rPr>
        <w:t>及明显错误。</w:t>
      </w:r>
    </w:p>
    <w:p w14:paraId="1D33DCF7">
      <w:pPr>
        <w:spacing w:line="360" w:lineRule="auto"/>
        <w:ind w:firstLine="420" w:firstLineChars="200"/>
        <w:rPr>
          <w:rFonts w:hint="eastAsia" w:ascii="宋体" w:hAnsi="宋体"/>
          <w:szCs w:val="21"/>
          <w:lang w:eastAsia="zh-Hans"/>
        </w:rPr>
      </w:pPr>
      <w:r>
        <w:rPr>
          <w:rFonts w:ascii="宋体" w:hAnsi="宋体"/>
          <w:szCs w:val="21"/>
        </w:rPr>
        <w:t>4</w:t>
      </w:r>
      <w:r>
        <w:rPr>
          <w:rFonts w:hint="eastAsia" w:ascii="宋体" w:hAnsi="宋体"/>
          <w:szCs w:val="21"/>
          <w:lang w:eastAsia="zh-Hans"/>
        </w:rPr>
        <w:t>、在免费售后服务期内，若授权软件出现已公开或未公开的安全漏洞，乙方保证应在第一时间为获得授权主体提供减少安全风险的解决方案。</w:t>
      </w:r>
    </w:p>
    <w:p w14:paraId="0DB88508">
      <w:pPr>
        <w:spacing w:line="360" w:lineRule="auto"/>
        <w:ind w:firstLine="420" w:firstLineChars="200"/>
        <w:rPr>
          <w:rFonts w:hint="eastAsia" w:ascii="宋体" w:hAnsi="宋体"/>
          <w:szCs w:val="21"/>
          <w:lang w:eastAsia="zh-Hans"/>
        </w:rPr>
      </w:pPr>
      <w:r>
        <w:rPr>
          <w:rFonts w:ascii="宋体" w:hAnsi="宋体"/>
          <w:szCs w:val="21"/>
          <w:lang w:eastAsia="zh-Hans"/>
        </w:rPr>
        <w:t>5</w:t>
      </w:r>
      <w:r>
        <w:rPr>
          <w:rFonts w:hint="eastAsia" w:ascii="宋体" w:hAnsi="宋体"/>
          <w:szCs w:val="21"/>
          <w:lang w:eastAsia="zh-Hans"/>
        </w:rPr>
        <w:t>、乙方保证本合同项下授权给获得授权主体的软件产品在获得授权主体未使用网络的情况下仍能正常使用软件产品的各项功能。</w:t>
      </w:r>
    </w:p>
    <w:p w14:paraId="24578218">
      <w:pPr>
        <w:spacing w:line="360" w:lineRule="auto"/>
        <w:ind w:firstLine="420" w:firstLineChars="200"/>
        <w:rPr>
          <w:rFonts w:hint="eastAsia" w:ascii="宋体" w:hAnsi="宋体"/>
          <w:szCs w:val="21"/>
          <w:lang w:eastAsia="zh-Hans"/>
        </w:rPr>
      </w:pPr>
      <w:r>
        <w:rPr>
          <w:rFonts w:ascii="宋体" w:hAnsi="宋体"/>
          <w:szCs w:val="21"/>
          <w:lang w:eastAsia="zh-Hans"/>
        </w:rPr>
        <w:t>6</w:t>
      </w:r>
      <w:r>
        <w:rPr>
          <w:rFonts w:hint="eastAsia" w:ascii="宋体" w:hAnsi="宋体"/>
          <w:szCs w:val="21"/>
          <w:lang w:eastAsia="zh-Hans"/>
        </w:rPr>
        <w:t>、无论本软件授权期限是否已满，乙方都不能在本软件技术功能方面有任何限制，甲方应能持续正常使用本软件的各项功能。</w:t>
      </w:r>
    </w:p>
    <w:p w14:paraId="0B2821E7">
      <w:pPr>
        <w:numPr>
          <w:ilvl w:val="0"/>
          <w:numId w:val="1"/>
        </w:numPr>
        <w:spacing w:line="360" w:lineRule="auto"/>
        <w:ind w:left="-275" w:leftChars="-131" w:firstLine="422" w:firstLineChars="200"/>
        <w:outlineLvl w:val="0"/>
        <w:rPr>
          <w:rFonts w:hint="eastAsia" w:ascii="宋体" w:hAnsi="宋体"/>
          <w:b/>
          <w:bCs/>
          <w:szCs w:val="21"/>
        </w:rPr>
      </w:pPr>
      <w:r>
        <w:rPr>
          <w:rFonts w:hint="eastAsia" w:ascii="宋体" w:hAnsi="宋体"/>
          <w:b/>
          <w:bCs/>
          <w:szCs w:val="21"/>
          <w:lang w:eastAsia="zh-Hans"/>
        </w:rPr>
        <w:t>授权软件使用许可政策</w:t>
      </w:r>
    </w:p>
    <w:p w14:paraId="425D2746">
      <w:pPr>
        <w:numPr>
          <w:ilvl w:val="0"/>
          <w:numId w:val="5"/>
        </w:numPr>
        <w:spacing w:line="360" w:lineRule="auto"/>
        <w:ind w:firstLine="367" w:firstLineChars="175"/>
        <w:rPr>
          <w:rFonts w:hint="eastAsia" w:ascii="宋体" w:hAnsi="宋体"/>
          <w:szCs w:val="21"/>
          <w:lang w:bidi="zh-CN"/>
        </w:rPr>
      </w:pPr>
      <w:r>
        <w:rPr>
          <w:rFonts w:hint="eastAsia" w:ascii="宋体" w:hAnsi="宋体"/>
          <w:szCs w:val="21"/>
          <w:lang w:bidi="zh-CN"/>
        </w:rPr>
        <w:t>本合同项下甲方购买的完整版本软件使用许可授权为有期限授权，授权期限为</w:t>
      </w:r>
      <w:r>
        <w:rPr>
          <w:rFonts w:hint="eastAsia" w:ascii="宋体" w:hAnsi="宋体"/>
          <w:szCs w:val="21"/>
          <w:lang w:val="en-US" w:bidi="zh-CN"/>
        </w:rPr>
        <w:t>自合同签订之日起至2026年12月31日</w:t>
      </w:r>
      <w:r>
        <w:rPr>
          <w:rFonts w:hint="eastAsia" w:ascii="宋体" w:hAnsi="宋体"/>
          <w:szCs w:val="21"/>
          <w:lang w:bidi="zh-CN"/>
        </w:rPr>
        <w:t>（以下简称“授权期限”）。</w:t>
      </w:r>
    </w:p>
    <w:p w14:paraId="1A193228">
      <w:pPr>
        <w:numPr>
          <w:ilvl w:val="0"/>
          <w:numId w:val="5"/>
        </w:numPr>
        <w:spacing w:line="360" w:lineRule="auto"/>
        <w:ind w:firstLine="367" w:firstLineChars="175"/>
        <w:rPr>
          <w:rFonts w:hint="eastAsia" w:ascii="宋体" w:hAnsi="宋体"/>
          <w:szCs w:val="21"/>
          <w:lang w:eastAsia="zh-Hans"/>
        </w:rPr>
      </w:pPr>
      <w:r>
        <w:rPr>
          <w:rFonts w:ascii="宋体" w:hAnsi="宋体"/>
          <w:szCs w:val="21"/>
          <w:lang w:eastAsia="zh-Hans"/>
        </w:rPr>
        <w:t>授权期满后，续购价格、续购授权期限、续购数量等均由甲乙双方另行协商确定。续购价格需与</w:t>
      </w:r>
      <w:r>
        <w:rPr>
          <w:rFonts w:hint="eastAsia" w:ascii="宋体" w:hAnsi="宋体"/>
          <w:szCs w:val="21"/>
          <w:lang w:val="en-US" w:eastAsia="zh-CN"/>
        </w:rPr>
        <w:t>本合同</w:t>
      </w:r>
      <w:r>
        <w:rPr>
          <w:rFonts w:ascii="宋体" w:hAnsi="宋体"/>
          <w:szCs w:val="21"/>
          <w:lang w:eastAsia="zh-Hans"/>
        </w:rPr>
        <w:t>软件总价格计算依据基本保持一致，如软件版本在授权期间进行了版本更新，可根据实际市场零售价格实际执行情况酌情调整续购价格。</w:t>
      </w:r>
    </w:p>
    <w:p w14:paraId="5E6A962D">
      <w:pPr>
        <w:numPr>
          <w:ilvl w:val="0"/>
          <w:numId w:val="1"/>
        </w:numPr>
        <w:spacing w:line="360" w:lineRule="auto"/>
        <w:ind w:left="-275" w:leftChars="-131" w:firstLine="422" w:firstLineChars="200"/>
        <w:outlineLvl w:val="0"/>
        <w:rPr>
          <w:rFonts w:hint="eastAsia" w:ascii="宋体" w:hAnsi="宋体"/>
          <w:b/>
          <w:bCs/>
          <w:szCs w:val="21"/>
        </w:rPr>
      </w:pPr>
      <w:r>
        <w:rPr>
          <w:rFonts w:hint="eastAsia" w:ascii="宋体" w:hAnsi="宋体"/>
          <w:b/>
          <w:bCs/>
          <w:szCs w:val="21"/>
          <w:lang w:eastAsia="zh-Hans"/>
        </w:rPr>
        <w:t>免费售后服务</w:t>
      </w:r>
    </w:p>
    <w:p w14:paraId="076D22D7">
      <w:pPr>
        <w:spacing w:line="360" w:lineRule="auto"/>
        <w:ind w:firstLine="367" w:firstLineChars="175"/>
        <w:jc w:val="left"/>
        <w:rPr>
          <w:rFonts w:hint="eastAsia" w:ascii="宋体" w:hAnsi="宋体"/>
          <w:szCs w:val="21"/>
        </w:rPr>
      </w:pPr>
      <w:r>
        <w:rPr>
          <w:rFonts w:hint="eastAsia" w:ascii="宋体" w:hAnsi="宋体"/>
          <w:szCs w:val="21"/>
        </w:rPr>
        <w:t>1、免费售后服务期限：</w:t>
      </w:r>
      <w:r>
        <w:rPr>
          <w:rFonts w:hint="eastAsia" w:ascii="宋体" w:hAnsi="宋体"/>
          <w:szCs w:val="21"/>
          <w:lang w:val="en-US" w:bidi="zh-CN"/>
        </w:rPr>
        <w:t>自合同签订之日起至2026年12月31日</w:t>
      </w:r>
      <w:r>
        <w:rPr>
          <w:rFonts w:hint="eastAsia" w:ascii="宋体" w:hAnsi="宋体"/>
          <w:szCs w:val="21"/>
        </w:rPr>
        <w:t>（以下简称“免费售后服务期”）；</w:t>
      </w:r>
    </w:p>
    <w:p w14:paraId="32F657C9">
      <w:pPr>
        <w:spacing w:line="360" w:lineRule="auto"/>
        <w:ind w:firstLine="367" w:firstLineChars="175"/>
        <w:jc w:val="left"/>
        <w:rPr>
          <w:rFonts w:hint="eastAsia" w:ascii="宋体" w:hAnsi="宋体"/>
          <w:szCs w:val="21"/>
        </w:rPr>
      </w:pPr>
      <w:r>
        <w:rPr>
          <w:rFonts w:hint="eastAsia" w:ascii="宋体" w:hAnsi="宋体"/>
          <w:szCs w:val="21"/>
        </w:rPr>
        <w:t>2、仅限在免费售后服务期限内，乙方有义务对本合同项下授权给获得授权主体的授权软件中的深信服端点安全软件（PC</w:t>
      </w:r>
      <w:r>
        <w:rPr>
          <w:rFonts w:hint="eastAsia" w:ascii="宋体" w:hAnsi="宋体"/>
          <w:szCs w:val="21"/>
          <w:lang w:val="en-US" w:eastAsia="zh-CN"/>
        </w:rPr>
        <w:t>高级</w:t>
      </w:r>
      <w:r>
        <w:rPr>
          <w:rFonts w:hint="eastAsia" w:ascii="宋体" w:hAnsi="宋体"/>
          <w:szCs w:val="21"/>
        </w:rPr>
        <w:t>版）（以下简称“客户端软件产品”）向获得授权主体提供免费售后服务，乙方在免费售后服务期限内针对授权软件中的客户端软件产品应提供的免费售后服务。</w:t>
      </w:r>
    </w:p>
    <w:p w14:paraId="7AC7A362">
      <w:pPr>
        <w:numPr>
          <w:ilvl w:val="0"/>
          <w:numId w:val="1"/>
        </w:numPr>
        <w:spacing w:line="360" w:lineRule="auto"/>
        <w:ind w:left="-275" w:leftChars="-131" w:firstLine="422" w:firstLineChars="200"/>
        <w:outlineLvl w:val="0"/>
        <w:rPr>
          <w:rFonts w:hint="eastAsia" w:ascii="宋体" w:hAnsi="宋体"/>
          <w:b/>
          <w:bCs/>
          <w:szCs w:val="21"/>
        </w:rPr>
      </w:pPr>
      <w:r>
        <w:rPr>
          <w:rFonts w:hint="eastAsia" w:ascii="宋体" w:hAnsi="宋体"/>
          <w:b/>
          <w:bCs/>
          <w:szCs w:val="21"/>
          <w:lang w:eastAsia="zh-Hans"/>
        </w:rPr>
        <w:t>违约责任</w:t>
      </w:r>
    </w:p>
    <w:p w14:paraId="633AC325">
      <w:pPr>
        <w:spacing w:line="360" w:lineRule="auto"/>
        <w:rPr>
          <w:rFonts w:hint="eastAsia" w:ascii="宋体" w:hAnsi="宋体"/>
          <w:szCs w:val="21"/>
        </w:rPr>
      </w:pPr>
      <w:r>
        <w:rPr>
          <w:rFonts w:ascii="宋体" w:hAnsi="宋体"/>
          <w:szCs w:val="21"/>
        </w:rPr>
        <w:t xml:space="preserve">    1</w:t>
      </w:r>
      <w:r>
        <w:rPr>
          <w:rFonts w:hint="eastAsia" w:ascii="宋体" w:hAnsi="宋体"/>
          <w:szCs w:val="21"/>
        </w:rPr>
        <w:t>、如任何一方违约，应就其行为给对方造成的全部损失包括直接损失和间接损失进行赔偿。如双方互有过错，则应根据情况，由双方各自承担违约责任。</w:t>
      </w:r>
    </w:p>
    <w:p w14:paraId="6E571282">
      <w:pPr>
        <w:spacing w:line="360" w:lineRule="auto"/>
        <w:rPr>
          <w:rFonts w:hint="eastAsia" w:ascii="宋体" w:hAnsi="宋体"/>
          <w:szCs w:val="21"/>
        </w:rPr>
      </w:pPr>
      <w:r>
        <w:rPr>
          <w:rFonts w:ascii="宋体" w:hAnsi="宋体"/>
          <w:szCs w:val="21"/>
        </w:rPr>
        <w:t xml:space="preserve">    2</w:t>
      </w:r>
      <w:r>
        <w:rPr>
          <w:rFonts w:hint="eastAsia" w:ascii="宋体" w:hAnsi="宋体"/>
          <w:szCs w:val="21"/>
        </w:rPr>
        <w:t>、如甲方逾期付款，则对于逾期付款金额，每逾期一日，应按每日万分之五向乙方支付违约金。逾期付款超过（10）日，则乙方有权解除合同，甲方除应按照前述逾期天数支付违约金外，甲方还应一次性支付乙方（</w:t>
      </w:r>
      <w:r>
        <w:rPr>
          <w:rFonts w:hint="eastAsia" w:ascii="宋体" w:hAnsi="宋体"/>
          <w:szCs w:val="21"/>
          <w:lang w:eastAsia="zh-Hans"/>
        </w:rPr>
        <w:t>壹</w:t>
      </w:r>
      <w:r>
        <w:rPr>
          <w:rFonts w:hint="eastAsia" w:ascii="宋体" w:hAnsi="宋体"/>
          <w:szCs w:val="21"/>
        </w:rPr>
        <w:t>）万元违约金，如乙方的损失额高于违约金额数，乙方仍有权要求甲方就不足部分进行赔偿。</w:t>
      </w:r>
    </w:p>
    <w:p w14:paraId="0393C8FC">
      <w:pPr>
        <w:numPr>
          <w:ilvl w:val="0"/>
          <w:numId w:val="6"/>
        </w:numPr>
        <w:spacing w:line="360" w:lineRule="auto"/>
        <w:ind w:firstLine="420" w:firstLineChars="200"/>
        <w:rPr>
          <w:rFonts w:hint="eastAsia" w:ascii="宋体" w:hAnsi="宋体"/>
          <w:szCs w:val="21"/>
        </w:rPr>
      </w:pPr>
      <w:r>
        <w:rPr>
          <w:rFonts w:hint="eastAsia" w:ascii="宋体" w:hAnsi="宋体"/>
          <w:szCs w:val="21"/>
        </w:rPr>
        <w:t>如乙方逾期交付产品或逾期许可获得授权主体使用相关知识产权或逾期提供本合同项下服务，则对于逾期交付的产品、逾期许可使用的知识产权折合本合同规定的价格，每逾期一日，应按每日万分之五向甲方支付违约金。逾期超过（</w:t>
      </w:r>
      <w:r>
        <w:rPr>
          <w:rFonts w:ascii="宋体" w:hAnsi="宋体"/>
          <w:szCs w:val="21"/>
        </w:rPr>
        <w:t>10</w:t>
      </w:r>
      <w:r>
        <w:rPr>
          <w:rFonts w:hint="eastAsia" w:ascii="宋体" w:hAnsi="宋体"/>
          <w:szCs w:val="21"/>
        </w:rPr>
        <w:t>）日，则甲方有权解除合同，乙方除应按照前述逾期天数支付违约金外，乙方还应一次性支付甲方（</w:t>
      </w:r>
      <w:r>
        <w:rPr>
          <w:rFonts w:hint="eastAsia" w:ascii="宋体" w:hAnsi="宋体"/>
          <w:szCs w:val="21"/>
          <w:lang w:eastAsia="zh-Hans"/>
        </w:rPr>
        <w:t>壹</w:t>
      </w:r>
      <w:r>
        <w:rPr>
          <w:rFonts w:hint="eastAsia" w:ascii="宋体" w:hAnsi="宋体"/>
          <w:szCs w:val="21"/>
        </w:rPr>
        <w:t>）万元违约金，如甲方的损失额度高于违约金数额，甲方仍有权要求乙方就不足部分进行赔偿。</w:t>
      </w:r>
    </w:p>
    <w:p w14:paraId="75F94B2C">
      <w:pPr>
        <w:numPr>
          <w:ilvl w:val="0"/>
          <w:numId w:val="6"/>
        </w:numPr>
        <w:spacing w:line="360" w:lineRule="auto"/>
        <w:ind w:firstLine="420" w:firstLineChars="200"/>
        <w:rPr>
          <w:rFonts w:hint="eastAsia" w:ascii="宋体" w:hAnsi="宋体"/>
          <w:szCs w:val="21"/>
        </w:rPr>
      </w:pPr>
      <w:r>
        <w:rPr>
          <w:rFonts w:hint="eastAsia" w:ascii="宋体" w:hAnsi="宋体"/>
          <w:szCs w:val="21"/>
        </w:rPr>
        <w:t>双方一致认可，若获得授权主体违反本合同项下义务，将视为甲方的违约行为，由甲方代其向乙方承担全部赔偿责任。</w:t>
      </w:r>
    </w:p>
    <w:p w14:paraId="1C51D746">
      <w:pPr>
        <w:numPr>
          <w:ilvl w:val="0"/>
          <w:numId w:val="1"/>
        </w:numPr>
        <w:spacing w:line="360" w:lineRule="auto"/>
        <w:ind w:left="-275" w:leftChars="-131" w:firstLine="422" w:firstLineChars="200"/>
        <w:outlineLvl w:val="0"/>
        <w:rPr>
          <w:rFonts w:hint="eastAsia" w:ascii="宋体" w:hAnsi="宋体"/>
          <w:b/>
          <w:bCs/>
          <w:szCs w:val="21"/>
        </w:rPr>
      </w:pPr>
      <w:r>
        <w:rPr>
          <w:rFonts w:hint="eastAsia" w:ascii="宋体" w:hAnsi="宋体"/>
          <w:b/>
          <w:bCs/>
          <w:szCs w:val="21"/>
          <w:lang w:eastAsia="zh-Hans"/>
        </w:rPr>
        <w:t>知识产权与保密</w:t>
      </w:r>
    </w:p>
    <w:p w14:paraId="7BBDB195">
      <w:pPr>
        <w:spacing w:line="360" w:lineRule="auto"/>
        <w:ind w:firstLine="412" w:firstLineChars="200"/>
        <w:rPr>
          <w:rFonts w:hint="eastAsia" w:ascii="宋体" w:hAnsi="宋体"/>
          <w:spacing w:val="-2"/>
          <w:szCs w:val="21"/>
        </w:rPr>
      </w:pPr>
      <w:r>
        <w:rPr>
          <w:rFonts w:ascii="宋体" w:hAnsi="宋体"/>
          <w:spacing w:val="-2"/>
          <w:szCs w:val="21"/>
        </w:rPr>
        <w:t>1</w:t>
      </w:r>
      <w:r>
        <w:rPr>
          <w:rFonts w:hint="eastAsia" w:ascii="宋体" w:hAnsi="宋体"/>
          <w:spacing w:val="-2"/>
          <w:szCs w:val="21"/>
        </w:rPr>
        <w:t>、甲方保证甲方及全部获得授权主体均尊重乙方软件产品的</w:t>
      </w:r>
      <w:r>
        <w:rPr>
          <w:rFonts w:hint="eastAsia" w:ascii="宋体" w:hAnsi="宋体"/>
          <w:szCs w:val="21"/>
        </w:rPr>
        <w:t>著作权</w:t>
      </w:r>
      <w:r>
        <w:rPr>
          <w:rFonts w:ascii="宋体" w:hAnsi="宋体"/>
          <w:spacing w:val="-2"/>
          <w:szCs w:val="21"/>
        </w:rPr>
        <w:t>,</w:t>
      </w:r>
      <w:r>
        <w:rPr>
          <w:rFonts w:hint="eastAsia" w:ascii="宋体" w:hAnsi="宋体"/>
          <w:spacing w:val="-2"/>
          <w:szCs w:val="21"/>
        </w:rPr>
        <w:t>不向甲方及全部获得授权主体以外的第三方做非法复制和扩散。</w:t>
      </w:r>
    </w:p>
    <w:p w14:paraId="00609C82">
      <w:pPr>
        <w:spacing w:line="360" w:lineRule="auto"/>
        <w:ind w:firstLine="412" w:firstLineChars="200"/>
        <w:outlineLvl w:val="0"/>
        <w:rPr>
          <w:rFonts w:hint="eastAsia" w:ascii="宋体" w:hAnsi="宋体"/>
          <w:spacing w:val="-2"/>
          <w:szCs w:val="16"/>
        </w:rPr>
      </w:pPr>
      <w:r>
        <w:rPr>
          <w:rFonts w:ascii="宋体" w:hAnsi="宋体"/>
          <w:spacing w:val="-2"/>
          <w:szCs w:val="21"/>
        </w:rPr>
        <w:t>2</w:t>
      </w:r>
      <w:r>
        <w:rPr>
          <w:rFonts w:hint="eastAsia" w:ascii="宋体" w:hAnsi="宋体"/>
          <w:spacing w:val="-2"/>
          <w:szCs w:val="21"/>
        </w:rPr>
        <w:t>、</w:t>
      </w:r>
      <w:r>
        <w:rPr>
          <w:rFonts w:hint="eastAsia" w:ascii="宋体" w:hAnsi="宋体"/>
          <w:spacing w:val="-2"/>
          <w:szCs w:val="16"/>
        </w:rPr>
        <w:t>乙方保证甲方及获得授权主体在本合同授权范围内使用软件不侵犯任何第三方知识产权。如有侵犯，则乙方应当负责为甲方提出抗辩并及时处理，赔偿因此给甲方造成的所有损失，包括但不限于赔偿金、诉讼费、律师费以及其他甲方所支出的合理费用。</w:t>
      </w:r>
    </w:p>
    <w:p w14:paraId="55D26D5A">
      <w:pPr>
        <w:spacing w:line="360" w:lineRule="auto"/>
        <w:ind w:firstLine="412" w:firstLineChars="200"/>
        <w:outlineLvl w:val="0"/>
        <w:rPr>
          <w:rFonts w:hint="eastAsia" w:ascii="宋体" w:hAnsi="宋体"/>
          <w:spacing w:val="-2"/>
          <w:szCs w:val="21"/>
        </w:rPr>
      </w:pPr>
      <w:r>
        <w:rPr>
          <w:rFonts w:hint="eastAsia" w:ascii="宋体" w:hAnsi="宋体"/>
          <w:spacing w:val="-2"/>
          <w:szCs w:val="16"/>
        </w:rPr>
        <w:t>3</w:t>
      </w:r>
      <w:r>
        <w:rPr>
          <w:rFonts w:hint="eastAsia" w:ascii="宋体" w:hAnsi="宋体"/>
          <w:spacing w:val="-2"/>
          <w:sz w:val="24"/>
        </w:rPr>
        <w:t>、</w:t>
      </w:r>
      <w:r>
        <w:rPr>
          <w:rFonts w:hint="eastAsia" w:ascii="宋体" w:hAnsi="宋体"/>
          <w:spacing w:val="-2"/>
          <w:szCs w:val="21"/>
        </w:rPr>
        <w:t>双方就在缔结和履行合同过程中获知的对方及获得授权主体的相关信息资料（</w:t>
      </w:r>
      <w:r>
        <w:rPr>
          <w:rFonts w:hint="eastAsia" w:ascii="宋体" w:hAnsi="宋体"/>
          <w:spacing w:val="-2"/>
          <w:szCs w:val="21"/>
          <w:lang w:val="zh-CN"/>
        </w:rPr>
        <w:t>本协议项下的相关信息资料是指无论以口头、书面、电子或其它何种媒介方式出现，无论是一方自行提供或另一方主动收集的，与一方及其附属公司商务有关的一切信息资料，包括（但不限于）营销计划、商业或财务资料、贸易秘密、产品演示、产品样盘、产品原型、模型、样品、方法、规格、专有数据（包括但不限于设备ID、IP地址等）、运营数据、手册、报告、设计、软件程序、软件原文件和公式等，以及其它一切与一方及其附属公司有关的信息资料）</w:t>
      </w:r>
      <w:r>
        <w:rPr>
          <w:rFonts w:hint="eastAsia" w:ascii="宋体" w:hAnsi="宋体"/>
          <w:spacing w:val="-2"/>
          <w:szCs w:val="21"/>
        </w:rPr>
        <w:t>负有保密义务，不得以任何方式向第三人披露和不正当使用，否则应当赔偿因泄露相关信息资料给对方造成的损失。虽有上述约定，但双方一致认可且甲方保证获得授权主体认可，任何一方向</w:t>
      </w:r>
      <w:r>
        <w:rPr>
          <w:rFonts w:hint="eastAsia" w:ascii="宋体" w:hAnsi="宋体"/>
          <w:spacing w:val="-2"/>
          <w:szCs w:val="21"/>
          <w:lang w:val="zh-CN"/>
        </w:rPr>
        <w:t>政府部门、证券交易所或其他监管机构和法律、会计、商业及其他顾问披露相关信息资料以及因市场宣传目的将</w:t>
      </w:r>
      <w:r>
        <w:rPr>
          <w:rFonts w:hint="eastAsia" w:ascii="宋体" w:hAnsi="宋体"/>
          <w:szCs w:val="21"/>
        </w:rPr>
        <w:t>本合同项下甲方为获得授权主体采购乙方产品的事宜向公众披露均不视为对上述保密义务的违反。</w:t>
      </w:r>
    </w:p>
    <w:p w14:paraId="49A98BB7">
      <w:pPr>
        <w:numPr>
          <w:ilvl w:val="0"/>
          <w:numId w:val="1"/>
        </w:numPr>
        <w:spacing w:line="360" w:lineRule="auto"/>
        <w:ind w:left="-275" w:leftChars="-131" w:firstLine="422" w:firstLineChars="200"/>
        <w:outlineLvl w:val="0"/>
        <w:rPr>
          <w:rFonts w:hint="eastAsia" w:ascii="宋体" w:hAnsi="宋体"/>
          <w:b/>
          <w:bCs/>
          <w:szCs w:val="21"/>
          <w:lang w:eastAsia="zh-Hans"/>
        </w:rPr>
      </w:pPr>
      <w:r>
        <w:rPr>
          <w:rFonts w:hint="eastAsia" w:ascii="宋体" w:hAnsi="宋体"/>
          <w:b/>
          <w:bCs/>
          <w:szCs w:val="21"/>
          <w:lang w:eastAsia="zh-Hans"/>
        </w:rPr>
        <w:t>适用法律及争议解决</w:t>
      </w:r>
    </w:p>
    <w:p w14:paraId="74F793DE">
      <w:pPr>
        <w:spacing w:line="360" w:lineRule="auto"/>
        <w:ind w:firstLine="412" w:firstLineChars="200"/>
        <w:rPr>
          <w:rFonts w:hint="eastAsia" w:ascii="宋体" w:hAnsi="宋体"/>
          <w:spacing w:val="-2"/>
          <w:szCs w:val="21"/>
        </w:rPr>
      </w:pPr>
      <w:r>
        <w:rPr>
          <w:rFonts w:hint="eastAsia" w:ascii="宋体" w:hAnsi="宋体"/>
          <w:spacing w:val="-2"/>
          <w:szCs w:val="21"/>
        </w:rPr>
        <w:t>1、本合同的订立、效力、解释、履行及其争议的解决，均受中华人民共和国法律调整。</w:t>
      </w:r>
    </w:p>
    <w:p w14:paraId="440D35B8">
      <w:pPr>
        <w:spacing w:line="360" w:lineRule="auto"/>
        <w:ind w:firstLine="412" w:firstLineChars="200"/>
        <w:rPr>
          <w:rFonts w:hint="eastAsia" w:ascii="宋体" w:hAnsi="宋体"/>
          <w:spacing w:val="-2"/>
          <w:szCs w:val="21"/>
        </w:rPr>
      </w:pPr>
      <w:r>
        <w:rPr>
          <w:rFonts w:hint="eastAsia" w:ascii="宋体" w:hAnsi="宋体"/>
          <w:spacing w:val="-2"/>
          <w:szCs w:val="21"/>
        </w:rPr>
        <w:t>2、因本合同引起与本合同有关的一切争端应首先通过双方友好协商解决。如果协商不能解决，任何一方均可将争议提交</w:t>
      </w:r>
      <w:r>
        <w:rPr>
          <w:rFonts w:hint="eastAsia" w:ascii="宋体" w:hAnsi="宋体"/>
          <w:spacing w:val="-2"/>
          <w:szCs w:val="16"/>
        </w:rPr>
        <w:t>甲方</w:t>
      </w:r>
      <w:r>
        <w:rPr>
          <w:rFonts w:ascii="宋体" w:hAnsi="宋体"/>
          <w:spacing w:val="-2"/>
          <w:szCs w:val="16"/>
        </w:rPr>
        <w:t>所在地人民法院进行诉讼</w:t>
      </w:r>
      <w:r>
        <w:rPr>
          <w:rFonts w:hint="eastAsia" w:ascii="宋体" w:hAnsi="宋体"/>
          <w:spacing w:val="-2"/>
          <w:szCs w:val="21"/>
        </w:rPr>
        <w:t>。</w:t>
      </w:r>
    </w:p>
    <w:p w14:paraId="5BD70E16">
      <w:pPr>
        <w:numPr>
          <w:ilvl w:val="0"/>
          <w:numId w:val="1"/>
        </w:numPr>
        <w:spacing w:line="360" w:lineRule="auto"/>
        <w:ind w:left="-275" w:leftChars="-131" w:firstLine="422" w:firstLineChars="200"/>
        <w:outlineLvl w:val="0"/>
        <w:rPr>
          <w:rFonts w:hint="eastAsia" w:ascii="宋体" w:hAnsi="宋体"/>
          <w:b/>
          <w:bCs/>
          <w:szCs w:val="21"/>
          <w:lang w:eastAsia="zh-Hans"/>
        </w:rPr>
      </w:pPr>
      <w:r>
        <w:rPr>
          <w:rFonts w:hint="eastAsia" w:ascii="宋体" w:hAnsi="宋体"/>
          <w:b/>
          <w:bCs/>
          <w:szCs w:val="21"/>
          <w:lang w:eastAsia="zh-Hans"/>
        </w:rPr>
        <w:t>其他</w:t>
      </w:r>
    </w:p>
    <w:p w14:paraId="29270026">
      <w:pPr>
        <w:spacing w:line="360" w:lineRule="auto"/>
        <w:rPr>
          <w:rFonts w:hint="eastAsia" w:ascii="宋体" w:hAnsi="宋体"/>
          <w:szCs w:val="21"/>
        </w:rPr>
      </w:pPr>
      <w:r>
        <w:rPr>
          <w:rFonts w:ascii="宋体" w:hAnsi="宋体"/>
          <w:szCs w:val="21"/>
        </w:rPr>
        <w:t xml:space="preserve">    1</w:t>
      </w:r>
      <w:r>
        <w:rPr>
          <w:rFonts w:hint="eastAsia" w:ascii="宋体" w:hAnsi="宋体"/>
          <w:szCs w:val="21"/>
        </w:rPr>
        <w:t>、本合同涉及的所有价格、违约金、赔偿金等均以人民币计算和支付。</w:t>
      </w:r>
    </w:p>
    <w:p w14:paraId="5267E726">
      <w:pPr>
        <w:spacing w:line="360" w:lineRule="auto"/>
        <w:rPr>
          <w:rFonts w:hint="eastAsia" w:ascii="宋体" w:hAnsi="宋体"/>
          <w:szCs w:val="21"/>
        </w:rPr>
      </w:pPr>
      <w:r>
        <w:rPr>
          <w:rFonts w:ascii="宋体" w:hAnsi="宋体"/>
          <w:szCs w:val="21"/>
        </w:rPr>
        <w:t xml:space="preserve">    2</w:t>
      </w:r>
      <w:r>
        <w:rPr>
          <w:rFonts w:hint="eastAsia" w:ascii="宋体" w:hAnsi="宋体"/>
          <w:szCs w:val="21"/>
        </w:rPr>
        <w:t>、本合同经双方盖章之日起生效至本合同约定事项履行完毕时终止，合同一式四份，甲方二份，乙方二份，均为正副本各一份。具有同等法律效力。</w:t>
      </w:r>
    </w:p>
    <w:p w14:paraId="471D88D3">
      <w:pPr>
        <w:spacing w:line="360" w:lineRule="auto"/>
        <w:rPr>
          <w:rFonts w:hint="eastAsia" w:ascii="宋体" w:hAnsi="宋体"/>
          <w:b/>
          <w:szCs w:val="21"/>
        </w:rPr>
      </w:pPr>
      <w:r>
        <w:rPr>
          <w:rFonts w:hint="eastAsia" w:ascii="宋体" w:hAnsi="宋体"/>
          <w:b/>
          <w:szCs w:val="21"/>
        </w:rPr>
        <w:t>（以下无主合同正文）</w:t>
      </w:r>
    </w:p>
    <w:p w14:paraId="1D2F553D">
      <w:pPr>
        <w:spacing w:line="360" w:lineRule="auto"/>
        <w:rPr>
          <w:rFonts w:hint="eastAsia" w:ascii="宋体" w:hAnsi="宋体"/>
          <w:b/>
          <w:szCs w:val="21"/>
        </w:rPr>
      </w:pPr>
    </w:p>
    <w:tbl>
      <w:tblPr>
        <w:tblStyle w:val="14"/>
        <w:tblW w:w="8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5"/>
        <w:gridCol w:w="4025"/>
      </w:tblGrid>
      <w:tr w14:paraId="02ED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4635" w:type="dxa"/>
          </w:tcPr>
          <w:p w14:paraId="15B1D899">
            <w:pPr>
              <w:widowControl/>
              <w:spacing w:line="360" w:lineRule="auto"/>
              <w:rPr>
                <w:rFonts w:hint="eastAsia" w:ascii="宋体" w:hAnsi="宋体"/>
                <w:szCs w:val="21"/>
              </w:rPr>
            </w:pPr>
            <w:r>
              <w:rPr>
                <w:rFonts w:hint="eastAsia" w:ascii="宋体" w:hAnsi="宋体"/>
                <w:szCs w:val="21"/>
              </w:rPr>
              <w:t xml:space="preserve">甲方（签章）： </w:t>
            </w:r>
          </w:p>
          <w:p w14:paraId="0F1E008C">
            <w:pPr>
              <w:widowControl/>
              <w:spacing w:line="360" w:lineRule="auto"/>
              <w:rPr>
                <w:rFonts w:hint="eastAsia" w:ascii="宋体" w:hAnsi="宋体"/>
                <w:szCs w:val="21"/>
              </w:rPr>
            </w:pPr>
            <w:r>
              <w:rPr>
                <w:rFonts w:ascii="宋体" w:hAnsi="宋体"/>
                <w:szCs w:val="21"/>
              </w:rPr>
              <w:t>深圳</w:t>
            </w:r>
            <w:r>
              <w:rPr>
                <w:rFonts w:hint="eastAsia" w:ascii="宋体" w:hAnsi="宋体"/>
                <w:szCs w:val="21"/>
              </w:rPr>
              <w:t>市大白菜科技</w:t>
            </w:r>
            <w:r>
              <w:rPr>
                <w:rFonts w:ascii="宋体" w:hAnsi="宋体"/>
                <w:szCs w:val="21"/>
              </w:rPr>
              <w:t>有限公司</w:t>
            </w:r>
          </w:p>
        </w:tc>
        <w:tc>
          <w:tcPr>
            <w:tcW w:w="4025" w:type="dxa"/>
          </w:tcPr>
          <w:p w14:paraId="23B23804">
            <w:pPr>
              <w:widowControl/>
              <w:spacing w:line="360" w:lineRule="auto"/>
              <w:rPr>
                <w:rFonts w:hint="eastAsia" w:ascii="宋体" w:hAnsi="宋体"/>
                <w:szCs w:val="21"/>
              </w:rPr>
            </w:pPr>
            <w:r>
              <w:rPr>
                <w:rFonts w:hint="eastAsia" w:ascii="宋体" w:hAnsi="宋体"/>
                <w:szCs w:val="21"/>
              </w:rPr>
              <w:t>乙方（签章）：</w:t>
            </w:r>
          </w:p>
          <w:p w14:paraId="2D7A19C5">
            <w:pPr>
              <w:widowControl/>
              <w:spacing w:line="360" w:lineRule="auto"/>
              <w:rPr>
                <w:rFonts w:hint="eastAsia" w:ascii="宋体" w:hAnsi="宋体"/>
                <w:szCs w:val="21"/>
              </w:rPr>
            </w:pPr>
            <w:r>
              <w:rPr>
                <w:rFonts w:hint="eastAsia"/>
              </w:rPr>
              <w:t>深圳市阖一科技有限公司</w:t>
            </w:r>
          </w:p>
        </w:tc>
      </w:tr>
      <w:tr w14:paraId="7831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635" w:type="dxa"/>
          </w:tcPr>
          <w:p w14:paraId="38EB07FA">
            <w:pPr>
              <w:widowControl/>
              <w:spacing w:line="360" w:lineRule="auto"/>
              <w:rPr>
                <w:rFonts w:hint="eastAsia" w:ascii="宋体" w:hAnsi="宋体"/>
                <w:szCs w:val="21"/>
              </w:rPr>
            </w:pPr>
            <w:r>
              <w:rPr>
                <w:rFonts w:hint="eastAsia" w:ascii="宋体" w:hAnsi="宋体"/>
                <w:szCs w:val="21"/>
                <w:lang w:val="en-US" w:eastAsia="zh-CN"/>
              </w:rPr>
              <w:t>法人或</w:t>
            </w:r>
            <w:r>
              <w:rPr>
                <w:rFonts w:hint="eastAsia" w:ascii="宋体" w:hAnsi="宋体"/>
                <w:szCs w:val="21"/>
              </w:rPr>
              <w:t>授权代表（签字）：</w:t>
            </w:r>
          </w:p>
        </w:tc>
        <w:tc>
          <w:tcPr>
            <w:tcW w:w="4025" w:type="dxa"/>
          </w:tcPr>
          <w:p w14:paraId="2A478AEE">
            <w:pPr>
              <w:widowControl/>
              <w:spacing w:line="360" w:lineRule="auto"/>
              <w:rPr>
                <w:rFonts w:hint="eastAsia" w:ascii="宋体" w:hAnsi="宋体"/>
                <w:szCs w:val="21"/>
              </w:rPr>
            </w:pPr>
            <w:r>
              <w:rPr>
                <w:rFonts w:hint="eastAsia" w:ascii="宋体" w:hAnsi="宋体"/>
                <w:szCs w:val="21"/>
                <w:lang w:val="en-US" w:eastAsia="zh-CN"/>
              </w:rPr>
              <w:t>法人或</w:t>
            </w:r>
            <w:r>
              <w:rPr>
                <w:rFonts w:hint="eastAsia" w:ascii="宋体" w:hAnsi="宋体"/>
                <w:szCs w:val="21"/>
              </w:rPr>
              <w:t>授权代表（签字）：</w:t>
            </w:r>
          </w:p>
        </w:tc>
      </w:tr>
      <w:tr w14:paraId="2AEAE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635" w:type="dxa"/>
          </w:tcPr>
          <w:p w14:paraId="2FC107B3">
            <w:pPr>
              <w:widowControl/>
              <w:spacing w:line="360" w:lineRule="auto"/>
              <w:rPr>
                <w:rFonts w:hint="eastAsia" w:ascii="宋体" w:hAnsi="宋体"/>
                <w:szCs w:val="21"/>
              </w:rPr>
            </w:pPr>
            <w:r>
              <w:rPr>
                <w:rFonts w:hint="eastAsia" w:ascii="宋体" w:hAnsi="宋体"/>
                <w:szCs w:val="21"/>
              </w:rPr>
              <w:t>签署（盖章）日期：</w:t>
            </w:r>
          </w:p>
        </w:tc>
        <w:tc>
          <w:tcPr>
            <w:tcW w:w="4025" w:type="dxa"/>
          </w:tcPr>
          <w:p w14:paraId="26E63700">
            <w:pPr>
              <w:widowControl/>
              <w:spacing w:line="360" w:lineRule="auto"/>
              <w:rPr>
                <w:rFonts w:hint="eastAsia" w:ascii="宋体" w:hAnsi="宋体"/>
                <w:szCs w:val="21"/>
              </w:rPr>
            </w:pPr>
            <w:r>
              <w:rPr>
                <w:rFonts w:hint="eastAsia" w:ascii="宋体" w:hAnsi="宋体"/>
                <w:szCs w:val="21"/>
              </w:rPr>
              <w:t>签署（盖章）日期：</w:t>
            </w:r>
          </w:p>
        </w:tc>
      </w:tr>
      <w:tr w14:paraId="55BF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4635" w:type="dxa"/>
          </w:tcPr>
          <w:p w14:paraId="43EE9756">
            <w:pPr>
              <w:widowControl/>
              <w:spacing w:line="360" w:lineRule="auto"/>
              <w:rPr>
                <w:rFonts w:hint="eastAsia" w:ascii="宋体" w:hAnsi="宋体"/>
                <w:szCs w:val="21"/>
              </w:rPr>
            </w:pPr>
            <w:r>
              <w:rPr>
                <w:rFonts w:hint="eastAsia" w:ascii="宋体" w:hAnsi="宋体"/>
                <w:szCs w:val="21"/>
              </w:rPr>
              <w:t>联系地址：</w:t>
            </w:r>
            <w:r>
              <w:rPr>
                <w:rFonts w:hint="eastAsia"/>
              </w:rPr>
              <w:t>深圳市南山区粤海街道高新区深圳湾科技生态园2栋C座12楼</w:t>
            </w:r>
          </w:p>
        </w:tc>
        <w:tc>
          <w:tcPr>
            <w:tcW w:w="4025" w:type="dxa"/>
          </w:tcPr>
          <w:p w14:paraId="5E67EE46">
            <w:pPr>
              <w:pStyle w:val="11"/>
              <w:spacing w:line="380" w:lineRule="atLeast"/>
              <w:jc w:val="left"/>
              <w:rPr>
                <w:rFonts w:hint="eastAsia" w:ascii="宋体" w:hAnsi="宋体" w:eastAsiaTheme="minorEastAsia"/>
                <w:szCs w:val="21"/>
              </w:rPr>
            </w:pPr>
            <w:r>
              <w:rPr>
                <w:rFonts w:hint="eastAsia" w:ascii="宋体" w:hAnsi="宋体"/>
                <w:sz w:val="21"/>
                <w:szCs w:val="21"/>
              </w:rPr>
              <w:t>联系地址：深圳市罗湖区南湖街道城市天地广场D座1306</w:t>
            </w:r>
          </w:p>
        </w:tc>
      </w:tr>
      <w:tr w14:paraId="3A75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4635" w:type="dxa"/>
          </w:tcPr>
          <w:p w14:paraId="04070364">
            <w:pPr>
              <w:widowControl/>
              <w:spacing w:line="360" w:lineRule="auto"/>
              <w:rPr>
                <w:rFonts w:hint="eastAsia" w:ascii="宋体" w:hAnsi="宋体"/>
                <w:szCs w:val="21"/>
                <w:lang w:eastAsia="zh-Hans"/>
              </w:rPr>
            </w:pPr>
            <w:r>
              <w:rPr>
                <w:rFonts w:hint="eastAsia" w:ascii="宋体" w:hAnsi="宋体"/>
                <w:szCs w:val="21"/>
              </w:rPr>
              <w:t xml:space="preserve">联系人： </w:t>
            </w:r>
            <w:r>
              <w:rPr>
                <w:rFonts w:hint="eastAsia" w:ascii="宋体" w:hAnsi="宋体"/>
                <w:szCs w:val="21"/>
                <w:lang w:eastAsia="zh-Hans"/>
              </w:rPr>
              <w:t>陈超</w:t>
            </w:r>
          </w:p>
        </w:tc>
        <w:tc>
          <w:tcPr>
            <w:tcW w:w="4025" w:type="dxa"/>
          </w:tcPr>
          <w:p w14:paraId="745C47DB">
            <w:pPr>
              <w:widowControl/>
              <w:spacing w:line="360" w:lineRule="auto"/>
              <w:rPr>
                <w:rFonts w:hint="eastAsia" w:ascii="宋体" w:hAnsi="宋体"/>
                <w:szCs w:val="21"/>
              </w:rPr>
            </w:pPr>
            <w:r>
              <w:rPr>
                <w:rFonts w:hint="eastAsia" w:ascii="宋体" w:hAnsi="宋体"/>
                <w:szCs w:val="21"/>
              </w:rPr>
              <w:t>联系人：</w:t>
            </w:r>
            <w:r>
              <w:rPr>
                <w:rFonts w:hint="eastAsia" w:ascii="宋体" w:hAnsi="宋体"/>
                <w:szCs w:val="21"/>
                <w:lang w:val="en-US" w:eastAsia="zh-CN"/>
              </w:rPr>
              <w:t>倪逸涵</w:t>
            </w:r>
          </w:p>
        </w:tc>
      </w:tr>
      <w:tr w14:paraId="17F3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4635" w:type="dxa"/>
          </w:tcPr>
          <w:p w14:paraId="74F120AC">
            <w:pPr>
              <w:widowControl/>
              <w:spacing w:line="360" w:lineRule="auto"/>
              <w:rPr>
                <w:rFonts w:hint="eastAsia" w:ascii="宋体" w:hAnsi="宋体"/>
                <w:szCs w:val="21"/>
              </w:rPr>
            </w:pPr>
            <w:r>
              <w:rPr>
                <w:rFonts w:hint="eastAsia" w:ascii="宋体" w:hAnsi="宋体"/>
                <w:szCs w:val="21"/>
              </w:rPr>
              <w:t>联系人邮箱：</w:t>
            </w:r>
            <w:r>
              <w:rPr>
                <w:rFonts w:hint="eastAsia"/>
              </w:rPr>
              <w:t>huanghb@szap.com</w:t>
            </w:r>
          </w:p>
        </w:tc>
        <w:tc>
          <w:tcPr>
            <w:tcW w:w="4025" w:type="dxa"/>
          </w:tcPr>
          <w:p w14:paraId="5683D6E3">
            <w:pPr>
              <w:widowControl/>
              <w:spacing w:line="360" w:lineRule="auto"/>
              <w:rPr>
                <w:rFonts w:hint="eastAsia" w:ascii="宋体" w:hAnsi="宋体"/>
                <w:szCs w:val="21"/>
              </w:rPr>
            </w:pPr>
            <w:r>
              <w:rPr>
                <w:rFonts w:hint="eastAsia" w:ascii="宋体" w:hAnsi="宋体"/>
                <w:szCs w:val="21"/>
              </w:rPr>
              <w:t xml:space="preserve">联系人邮箱：851717917@qq.com </w:t>
            </w:r>
          </w:p>
        </w:tc>
      </w:tr>
      <w:tr w14:paraId="105A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4635" w:type="dxa"/>
          </w:tcPr>
          <w:p w14:paraId="5B6FEA84">
            <w:pPr>
              <w:widowControl/>
              <w:spacing w:line="360" w:lineRule="auto"/>
              <w:rPr>
                <w:rFonts w:hint="eastAsia" w:ascii="宋体" w:hAnsi="宋体"/>
                <w:szCs w:val="21"/>
              </w:rPr>
            </w:pPr>
            <w:r>
              <w:rPr>
                <w:rFonts w:hint="eastAsia" w:ascii="宋体" w:hAnsi="宋体"/>
                <w:szCs w:val="21"/>
              </w:rPr>
              <w:t xml:space="preserve">联系人移动电话： </w:t>
            </w:r>
            <w:r>
              <w:rPr>
                <w:rFonts w:ascii="宋体" w:hAnsi="宋体"/>
                <w:szCs w:val="21"/>
              </w:rPr>
              <w:t>15710787830</w:t>
            </w:r>
          </w:p>
        </w:tc>
        <w:tc>
          <w:tcPr>
            <w:tcW w:w="4025" w:type="dxa"/>
          </w:tcPr>
          <w:p w14:paraId="52488443">
            <w:pPr>
              <w:widowControl/>
              <w:spacing w:line="360" w:lineRule="auto"/>
              <w:rPr>
                <w:rFonts w:hint="eastAsia" w:ascii="宋体" w:hAnsi="宋体"/>
                <w:szCs w:val="21"/>
              </w:rPr>
            </w:pPr>
            <w:r>
              <w:rPr>
                <w:rFonts w:hint="eastAsia" w:ascii="宋体" w:hAnsi="宋体"/>
                <w:szCs w:val="21"/>
              </w:rPr>
              <w:t>联系人移动电话：</w:t>
            </w:r>
            <w:r>
              <w:rPr>
                <w:rFonts w:ascii="宋体" w:hAnsi="宋体"/>
                <w:szCs w:val="21"/>
              </w:rPr>
              <w:t>1</w:t>
            </w:r>
            <w:r>
              <w:rPr>
                <w:rFonts w:hint="eastAsia" w:ascii="宋体" w:hAnsi="宋体"/>
                <w:szCs w:val="21"/>
              </w:rPr>
              <w:t>5711999953</w:t>
            </w:r>
          </w:p>
        </w:tc>
      </w:tr>
      <w:tr w14:paraId="79293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4" w:hRule="atLeast"/>
          <w:jc w:val="center"/>
        </w:trPr>
        <w:tc>
          <w:tcPr>
            <w:tcW w:w="4635" w:type="dxa"/>
          </w:tcPr>
          <w:p w14:paraId="5C48FB83">
            <w:pPr>
              <w:spacing w:line="360" w:lineRule="auto"/>
              <w:jc w:val="left"/>
              <w:rPr>
                <w:rFonts w:hint="eastAsia" w:ascii="宋体" w:hAnsi="宋体"/>
                <w:kern w:val="0"/>
                <w:szCs w:val="21"/>
              </w:rPr>
            </w:pPr>
            <w:r>
              <w:rPr>
                <w:rFonts w:hint="eastAsia" w:ascii="宋体" w:hAnsi="宋体"/>
                <w:kern w:val="0"/>
                <w:szCs w:val="21"/>
              </w:rPr>
              <w:t xml:space="preserve">□ 开具增值税普通发票  </w:t>
            </w:r>
          </w:p>
          <w:p w14:paraId="70E7FFB7">
            <w:pPr>
              <w:spacing w:line="360" w:lineRule="auto"/>
              <w:jc w:val="left"/>
              <w:rPr>
                <w:rFonts w:hint="eastAsia" w:ascii="宋体" w:hAnsi="宋体"/>
                <w:kern w:val="0"/>
                <w:szCs w:val="21"/>
              </w:rPr>
            </w:pPr>
            <w:r>
              <w:rPr>
                <w:rFonts w:ascii="Arial" w:hAnsi="Arial" w:cs="Arial"/>
                <w:kern w:val="0"/>
                <w:szCs w:val="21"/>
              </w:rPr>
              <w:t>√</w:t>
            </w:r>
            <w:r>
              <w:rPr>
                <w:rFonts w:hint="eastAsia" w:ascii="Arial" w:hAnsi="Arial" w:cs="Arial"/>
                <w:kern w:val="0"/>
                <w:szCs w:val="21"/>
              </w:rPr>
              <w:t xml:space="preserve">  </w:t>
            </w:r>
            <w:r>
              <w:rPr>
                <w:rFonts w:hint="eastAsia" w:ascii="宋体" w:hAnsi="宋体"/>
                <w:kern w:val="0"/>
                <w:szCs w:val="21"/>
              </w:rPr>
              <w:t>开具增值税专用发票</w:t>
            </w:r>
          </w:p>
          <w:p w14:paraId="14BDA3C1">
            <w:pPr>
              <w:spacing w:line="360" w:lineRule="auto"/>
              <w:jc w:val="left"/>
              <w:rPr>
                <w:rFonts w:hint="eastAsia" w:ascii="宋体" w:hAnsi="宋体"/>
                <w:szCs w:val="21"/>
              </w:rPr>
            </w:pPr>
            <w:r>
              <w:rPr>
                <w:rFonts w:ascii="宋体" w:hAnsi="宋体"/>
                <w:szCs w:val="21"/>
              </w:rPr>
              <w:t>税务登记账号</w:t>
            </w:r>
            <w:r>
              <w:rPr>
                <w:rFonts w:hint="eastAsia" w:ascii="宋体" w:hAnsi="宋体"/>
                <w:szCs w:val="21"/>
              </w:rPr>
              <w:t>：9144030008853097XQ</w:t>
            </w:r>
          </w:p>
          <w:p w14:paraId="6F7335B8">
            <w:pPr>
              <w:spacing w:line="360" w:lineRule="auto"/>
              <w:jc w:val="left"/>
              <w:rPr>
                <w:rFonts w:hint="eastAsia" w:ascii="宋体" w:hAnsi="宋体"/>
                <w:szCs w:val="21"/>
              </w:rPr>
            </w:pPr>
            <w:r>
              <w:rPr>
                <w:rFonts w:ascii="宋体" w:hAnsi="宋体"/>
                <w:szCs w:val="21"/>
              </w:rPr>
              <w:t>地址</w:t>
            </w:r>
            <w:r>
              <w:rPr>
                <w:rFonts w:hint="eastAsia" w:ascii="宋体" w:hAnsi="宋体"/>
                <w:szCs w:val="21"/>
              </w:rPr>
              <w:t>：</w:t>
            </w:r>
            <w:r>
              <w:rPr>
                <w:rFonts w:hint="eastAsia" w:ascii="宋体" w:hAnsi="宋体"/>
                <w:szCs w:val="21"/>
                <w:highlight w:val="none"/>
              </w:rPr>
              <w:t>深圳市光明区马田街道根竹园社区公明南环大道1688号海吉星农产品光明物流园2栋7层</w:t>
            </w:r>
          </w:p>
          <w:p w14:paraId="059355F1">
            <w:pPr>
              <w:spacing w:line="360" w:lineRule="auto"/>
              <w:jc w:val="left"/>
              <w:rPr>
                <w:rFonts w:hint="eastAsia" w:ascii="宋体" w:hAnsi="宋体"/>
                <w:szCs w:val="21"/>
              </w:rPr>
            </w:pPr>
            <w:r>
              <w:rPr>
                <w:rFonts w:ascii="宋体" w:hAnsi="宋体"/>
                <w:szCs w:val="21"/>
              </w:rPr>
              <w:t>电话</w:t>
            </w:r>
            <w:r>
              <w:rPr>
                <w:rFonts w:hint="eastAsia" w:ascii="宋体" w:hAnsi="宋体"/>
                <w:szCs w:val="21"/>
              </w:rPr>
              <w:t>：0755-84259899</w:t>
            </w:r>
          </w:p>
          <w:p w14:paraId="4CE3E83C">
            <w:pPr>
              <w:spacing w:line="360" w:lineRule="auto"/>
              <w:jc w:val="left"/>
              <w:rPr>
                <w:rFonts w:hint="eastAsia" w:ascii="宋体" w:hAnsi="宋体"/>
                <w:szCs w:val="21"/>
              </w:rPr>
            </w:pPr>
            <w:r>
              <w:rPr>
                <w:rFonts w:ascii="宋体" w:hAnsi="宋体"/>
                <w:szCs w:val="21"/>
              </w:rPr>
              <w:t>开户</w:t>
            </w:r>
            <w:r>
              <w:rPr>
                <w:rFonts w:hint="eastAsia" w:ascii="宋体" w:hAnsi="宋体"/>
                <w:szCs w:val="21"/>
              </w:rPr>
              <w:t>银</w:t>
            </w:r>
            <w:r>
              <w:rPr>
                <w:rFonts w:ascii="宋体" w:hAnsi="宋体"/>
                <w:szCs w:val="21"/>
              </w:rPr>
              <w:t>行</w:t>
            </w:r>
            <w:r>
              <w:rPr>
                <w:rFonts w:hint="eastAsia" w:ascii="宋体" w:hAnsi="宋体"/>
                <w:szCs w:val="21"/>
              </w:rPr>
              <w:t>：中国农业银行有限公司深圳平湖海吉星支行</w:t>
            </w:r>
          </w:p>
          <w:p w14:paraId="0DC7F183">
            <w:pPr>
              <w:spacing w:line="360" w:lineRule="auto"/>
              <w:jc w:val="left"/>
              <w:rPr>
                <w:rFonts w:hint="eastAsia" w:ascii="宋体" w:hAnsi="宋体"/>
                <w:szCs w:val="21"/>
              </w:rPr>
            </w:pPr>
            <w:r>
              <w:rPr>
                <w:rFonts w:ascii="宋体" w:hAnsi="宋体"/>
                <w:szCs w:val="21"/>
              </w:rPr>
              <w:t>账号</w:t>
            </w:r>
            <w:r>
              <w:rPr>
                <w:rFonts w:hint="eastAsia" w:ascii="宋体" w:hAnsi="宋体"/>
                <w:szCs w:val="21"/>
              </w:rPr>
              <w:t>：41032200040004317</w:t>
            </w:r>
          </w:p>
        </w:tc>
        <w:tc>
          <w:tcPr>
            <w:tcW w:w="4025" w:type="dxa"/>
          </w:tcPr>
          <w:p w14:paraId="6D9366AC">
            <w:pPr>
              <w:widowControl/>
              <w:spacing w:line="360" w:lineRule="auto"/>
              <w:rPr>
                <w:rFonts w:hint="eastAsia" w:ascii="宋体" w:hAnsi="宋体"/>
                <w:szCs w:val="21"/>
              </w:rPr>
            </w:pPr>
            <w:r>
              <w:rPr>
                <w:rFonts w:hint="eastAsia" w:ascii="宋体" w:hAnsi="宋体"/>
                <w:szCs w:val="21"/>
              </w:rPr>
              <w:t>乙方指定银行账户信息：</w:t>
            </w:r>
          </w:p>
          <w:p w14:paraId="57D68386">
            <w:pPr>
              <w:spacing w:line="360" w:lineRule="auto"/>
              <w:jc w:val="left"/>
              <w:rPr>
                <w:rFonts w:hint="eastAsia" w:ascii="宋体" w:hAnsi="宋体"/>
                <w:szCs w:val="21"/>
              </w:rPr>
            </w:pPr>
            <w:r>
              <w:rPr>
                <w:rFonts w:hint="eastAsia" w:ascii="宋体" w:hAnsi="宋体"/>
                <w:szCs w:val="21"/>
              </w:rPr>
              <w:t>单位名称:深圳市阖一科技有限公司</w:t>
            </w:r>
          </w:p>
          <w:p w14:paraId="24C00287">
            <w:pPr>
              <w:spacing w:line="360" w:lineRule="auto"/>
              <w:jc w:val="left"/>
              <w:rPr>
                <w:rFonts w:hint="eastAsia" w:ascii="宋体" w:hAnsi="宋体"/>
                <w:szCs w:val="21"/>
              </w:rPr>
            </w:pPr>
            <w:r>
              <w:rPr>
                <w:rFonts w:hint="eastAsia" w:ascii="宋体" w:hAnsi="宋体"/>
                <w:szCs w:val="21"/>
              </w:rPr>
              <w:t>纳税人识别号:91440300MA5HRB0A0P</w:t>
            </w:r>
          </w:p>
          <w:p w14:paraId="1249F8C1">
            <w:pPr>
              <w:spacing w:line="360" w:lineRule="auto"/>
              <w:jc w:val="left"/>
              <w:rPr>
                <w:rFonts w:hint="eastAsia" w:ascii="宋体" w:hAnsi="宋体"/>
                <w:szCs w:val="21"/>
              </w:rPr>
            </w:pPr>
            <w:r>
              <w:rPr>
                <w:rFonts w:hint="eastAsia" w:ascii="宋体" w:hAnsi="宋体"/>
                <w:szCs w:val="21"/>
              </w:rPr>
              <w:t>地址:深圳市罗湖区翠竹街道翠达社区翠竹路2038号洪湖阁 2005</w:t>
            </w:r>
          </w:p>
          <w:p w14:paraId="09156593">
            <w:pPr>
              <w:spacing w:line="360" w:lineRule="auto"/>
              <w:jc w:val="left"/>
              <w:rPr>
                <w:rFonts w:hint="eastAsia" w:ascii="宋体" w:hAnsi="宋体"/>
                <w:szCs w:val="21"/>
              </w:rPr>
            </w:pPr>
            <w:r>
              <w:rPr>
                <w:rFonts w:hint="eastAsia" w:ascii="宋体" w:hAnsi="宋体"/>
                <w:szCs w:val="21"/>
              </w:rPr>
              <w:t>联系电话:15711999953</w:t>
            </w:r>
          </w:p>
          <w:p w14:paraId="40680AAB">
            <w:pPr>
              <w:spacing w:line="360" w:lineRule="auto"/>
              <w:jc w:val="left"/>
              <w:rPr>
                <w:rFonts w:hint="eastAsia" w:ascii="宋体" w:hAnsi="宋体"/>
                <w:szCs w:val="21"/>
              </w:rPr>
            </w:pPr>
            <w:r>
              <w:rPr>
                <w:rFonts w:hint="eastAsia" w:ascii="宋体" w:hAnsi="宋体"/>
                <w:szCs w:val="21"/>
              </w:rPr>
              <w:t>开户银行:中国民生银行股份有限公司深圳水贝支行</w:t>
            </w:r>
          </w:p>
          <w:p w14:paraId="624477FF">
            <w:pPr>
              <w:spacing w:line="360" w:lineRule="auto"/>
              <w:jc w:val="left"/>
              <w:rPr>
                <w:rFonts w:hint="eastAsia" w:ascii="宋体" w:hAnsi="宋体"/>
                <w:szCs w:val="21"/>
              </w:rPr>
            </w:pPr>
            <w:r>
              <w:rPr>
                <w:rFonts w:hint="eastAsia" w:ascii="宋体" w:hAnsi="宋体"/>
                <w:szCs w:val="21"/>
              </w:rPr>
              <w:t>开户银行账号:639095174</w:t>
            </w:r>
          </w:p>
          <w:p w14:paraId="440CB30C">
            <w:pPr>
              <w:pStyle w:val="26"/>
              <w:spacing w:line="360" w:lineRule="auto"/>
              <w:rPr>
                <w:rFonts w:hint="eastAsia" w:ascii="宋体" w:hAnsi="宋体"/>
                <w:kern w:val="2"/>
              </w:rPr>
            </w:pPr>
          </w:p>
        </w:tc>
      </w:tr>
    </w:tbl>
    <w:p w14:paraId="6E91BF3C">
      <w:pPr>
        <w:spacing w:line="360" w:lineRule="auto"/>
        <w:rPr>
          <w:rFonts w:hint="eastAsia" w:ascii="宋体" w:hAnsi="宋体"/>
          <w:b/>
          <w:szCs w:val="21"/>
        </w:rPr>
      </w:pPr>
    </w:p>
    <w:p w14:paraId="65F8B06B">
      <w:pPr>
        <w:pStyle w:val="25"/>
        <w:autoSpaceDN w:val="0"/>
        <w:spacing w:line="480" w:lineRule="auto"/>
        <w:textAlignment w:val="baseline"/>
        <w:rPr>
          <w:rFonts w:hint="eastAsia" w:ascii="宋体" w:hAnsi="宋体"/>
          <w:b/>
          <w:szCs w:val="21"/>
        </w:rPr>
      </w:pPr>
      <w:bookmarkStart w:id="0" w:name="OLE_LINK3"/>
      <w:bookmarkStart w:id="1" w:name="OLE_LINK2"/>
      <w:r>
        <w:rPr>
          <w:rFonts w:hint="eastAsia" w:ascii="宋体" w:hAnsi="宋体"/>
          <w:b/>
          <w:szCs w:val="21"/>
        </w:rPr>
        <w:br w:type="page"/>
      </w:r>
      <w:r>
        <w:rPr>
          <w:rFonts w:hint="eastAsia" w:ascii="宋体" w:hAnsi="宋体"/>
          <w:b/>
          <w:szCs w:val="21"/>
        </w:rPr>
        <w:t>附件１</w:t>
      </w:r>
    </w:p>
    <w:p w14:paraId="74397B59">
      <w:pPr>
        <w:pStyle w:val="25"/>
        <w:numPr>
          <w:ilvl w:val="0"/>
          <w:numId w:val="7"/>
        </w:numPr>
        <w:autoSpaceDN w:val="0"/>
        <w:spacing w:line="480" w:lineRule="auto"/>
        <w:textAlignment w:val="baseline"/>
        <w:rPr>
          <w:rFonts w:hint="eastAsia" w:ascii="宋体" w:hAnsi="宋体"/>
          <w:bCs/>
          <w:szCs w:val="21"/>
        </w:rPr>
      </w:pPr>
      <w:r>
        <w:rPr>
          <w:rFonts w:hint="eastAsia" w:ascii="宋体" w:hAnsi="宋体"/>
          <w:bCs/>
          <w:szCs w:val="21"/>
        </w:rPr>
        <w:t>合同标的及价格</w:t>
      </w:r>
    </w:p>
    <w:tbl>
      <w:tblPr>
        <w:tblStyle w:val="14"/>
        <w:tblW w:w="9995" w:type="dxa"/>
        <w:tblInd w:w="0" w:type="dxa"/>
        <w:tblLayout w:type="fixed"/>
        <w:tblCellMar>
          <w:top w:w="0" w:type="dxa"/>
          <w:left w:w="108" w:type="dxa"/>
          <w:bottom w:w="0" w:type="dxa"/>
          <w:right w:w="108" w:type="dxa"/>
        </w:tblCellMar>
      </w:tblPr>
      <w:tblGrid>
        <w:gridCol w:w="390"/>
        <w:gridCol w:w="811"/>
        <w:gridCol w:w="576"/>
        <w:gridCol w:w="391"/>
        <w:gridCol w:w="3738"/>
        <w:gridCol w:w="664"/>
        <w:gridCol w:w="352"/>
        <w:gridCol w:w="673"/>
        <w:gridCol w:w="1463"/>
        <w:gridCol w:w="937"/>
      </w:tblGrid>
      <w:tr w14:paraId="69D6EB91">
        <w:tblPrEx>
          <w:tblCellMar>
            <w:top w:w="0" w:type="dxa"/>
            <w:left w:w="108" w:type="dxa"/>
            <w:bottom w:w="0" w:type="dxa"/>
            <w:right w:w="108" w:type="dxa"/>
          </w:tblCellMar>
        </w:tblPrEx>
        <w:trPr>
          <w:trHeight w:val="90" w:hRule="atLeast"/>
        </w:trPr>
        <w:tc>
          <w:tcPr>
            <w:tcW w:w="390" w:type="dxa"/>
            <w:tcBorders>
              <w:top w:val="single" w:color="auto" w:sz="4" w:space="0"/>
              <w:left w:val="single" w:color="auto" w:sz="4" w:space="0"/>
              <w:bottom w:val="single" w:color="auto" w:sz="4" w:space="0"/>
              <w:right w:val="single" w:color="auto" w:sz="4" w:space="0"/>
            </w:tcBorders>
            <w:shd w:val="clear" w:color="000000" w:fill="5B9BD5"/>
            <w:vAlign w:val="center"/>
          </w:tcPr>
          <w:p w14:paraId="3D0DA6E7">
            <w:pPr>
              <w:widowControl/>
              <w:jc w:val="center"/>
              <w:rPr>
                <w:rFonts w:hint="eastAsia" w:ascii="宋体" w:hAnsi="宋体" w:cs="宋体"/>
                <w:b/>
                <w:bCs/>
                <w:color w:val="FFFFFF"/>
                <w:kern w:val="0"/>
                <w:sz w:val="20"/>
              </w:rPr>
            </w:pPr>
            <w:r>
              <w:rPr>
                <w:rFonts w:hint="eastAsia" w:ascii="宋体" w:hAnsi="宋体" w:cs="宋体"/>
                <w:b/>
                <w:bCs/>
                <w:color w:val="FFFFFF"/>
                <w:kern w:val="0"/>
                <w:sz w:val="20"/>
              </w:rPr>
              <w:t>序号</w:t>
            </w:r>
          </w:p>
        </w:tc>
        <w:tc>
          <w:tcPr>
            <w:tcW w:w="811" w:type="dxa"/>
            <w:tcBorders>
              <w:top w:val="single" w:color="auto" w:sz="4" w:space="0"/>
              <w:left w:val="nil"/>
              <w:bottom w:val="single" w:color="auto" w:sz="4" w:space="0"/>
              <w:right w:val="single" w:color="auto" w:sz="4" w:space="0"/>
            </w:tcBorders>
            <w:shd w:val="clear" w:color="000000" w:fill="5B9BD5"/>
            <w:vAlign w:val="center"/>
          </w:tcPr>
          <w:p w14:paraId="3C5FBE12">
            <w:pPr>
              <w:widowControl/>
              <w:jc w:val="center"/>
              <w:rPr>
                <w:rFonts w:hint="eastAsia" w:ascii="宋体" w:hAnsi="宋体" w:cs="宋体"/>
                <w:b/>
                <w:bCs/>
                <w:color w:val="FFFFFF"/>
                <w:kern w:val="0"/>
                <w:sz w:val="20"/>
              </w:rPr>
            </w:pPr>
            <w:r>
              <w:rPr>
                <w:rFonts w:hint="eastAsia" w:ascii="宋体" w:hAnsi="宋体" w:cs="宋体"/>
                <w:b/>
                <w:bCs/>
                <w:color w:val="FFFFFF"/>
                <w:kern w:val="0"/>
                <w:sz w:val="20"/>
              </w:rPr>
              <w:t>产品名称</w:t>
            </w:r>
          </w:p>
        </w:tc>
        <w:tc>
          <w:tcPr>
            <w:tcW w:w="576" w:type="dxa"/>
            <w:tcBorders>
              <w:top w:val="single" w:color="auto" w:sz="4" w:space="0"/>
              <w:left w:val="nil"/>
              <w:bottom w:val="single" w:color="auto" w:sz="4" w:space="0"/>
              <w:right w:val="single" w:color="auto" w:sz="4" w:space="0"/>
            </w:tcBorders>
            <w:shd w:val="clear" w:color="000000" w:fill="5B9BD5"/>
            <w:vAlign w:val="center"/>
          </w:tcPr>
          <w:p w14:paraId="178187CA">
            <w:pPr>
              <w:widowControl/>
              <w:jc w:val="center"/>
              <w:rPr>
                <w:rFonts w:hint="eastAsia" w:ascii="宋体" w:hAnsi="宋体" w:cs="宋体"/>
                <w:b/>
                <w:bCs/>
                <w:color w:val="FFFFFF"/>
                <w:kern w:val="0"/>
                <w:sz w:val="20"/>
              </w:rPr>
            </w:pPr>
            <w:r>
              <w:rPr>
                <w:rFonts w:hint="eastAsia" w:ascii="宋体" w:hAnsi="宋体" w:cs="宋体"/>
                <w:b/>
                <w:bCs/>
                <w:color w:val="FFFFFF"/>
                <w:kern w:val="0"/>
                <w:sz w:val="20"/>
              </w:rPr>
              <w:t>开票名称</w:t>
            </w:r>
          </w:p>
        </w:tc>
        <w:tc>
          <w:tcPr>
            <w:tcW w:w="391" w:type="dxa"/>
            <w:tcBorders>
              <w:top w:val="single" w:color="auto" w:sz="4" w:space="0"/>
              <w:left w:val="nil"/>
              <w:bottom w:val="single" w:color="auto" w:sz="4" w:space="0"/>
              <w:right w:val="single" w:color="auto" w:sz="4" w:space="0"/>
            </w:tcBorders>
            <w:shd w:val="clear" w:color="000000" w:fill="5B9BD5"/>
            <w:vAlign w:val="center"/>
          </w:tcPr>
          <w:p w14:paraId="7F78E291">
            <w:pPr>
              <w:widowControl/>
              <w:jc w:val="center"/>
              <w:rPr>
                <w:rFonts w:hint="eastAsia" w:ascii="宋体" w:hAnsi="宋体" w:cs="宋体"/>
                <w:b/>
                <w:bCs/>
                <w:color w:val="FFFFFF"/>
                <w:kern w:val="0"/>
                <w:sz w:val="20"/>
              </w:rPr>
            </w:pPr>
            <w:r>
              <w:rPr>
                <w:rFonts w:hint="eastAsia" w:ascii="宋体" w:hAnsi="宋体" w:cs="宋体"/>
                <w:b/>
                <w:bCs/>
                <w:color w:val="FFFFFF"/>
                <w:kern w:val="0"/>
                <w:sz w:val="20"/>
              </w:rPr>
              <w:t>规格型号</w:t>
            </w:r>
          </w:p>
        </w:tc>
        <w:tc>
          <w:tcPr>
            <w:tcW w:w="3738" w:type="dxa"/>
            <w:tcBorders>
              <w:top w:val="single" w:color="auto" w:sz="4" w:space="0"/>
              <w:left w:val="nil"/>
              <w:bottom w:val="single" w:color="auto" w:sz="4" w:space="0"/>
              <w:right w:val="single" w:color="auto" w:sz="4" w:space="0"/>
            </w:tcBorders>
            <w:shd w:val="clear" w:color="000000" w:fill="5B9BD5"/>
            <w:vAlign w:val="center"/>
          </w:tcPr>
          <w:p w14:paraId="38294503">
            <w:pPr>
              <w:widowControl/>
              <w:jc w:val="center"/>
              <w:rPr>
                <w:rFonts w:hint="eastAsia" w:ascii="宋体" w:hAnsi="宋体" w:cs="宋体"/>
                <w:b/>
                <w:bCs/>
                <w:color w:val="FFFFFF"/>
                <w:kern w:val="0"/>
                <w:sz w:val="20"/>
              </w:rPr>
            </w:pPr>
            <w:r>
              <w:rPr>
                <w:rFonts w:hint="eastAsia" w:ascii="宋体" w:hAnsi="宋体" w:cs="宋体"/>
                <w:b/>
                <w:bCs/>
                <w:color w:val="FFFFFF"/>
                <w:kern w:val="0"/>
                <w:sz w:val="20"/>
              </w:rPr>
              <w:t>物料说明</w:t>
            </w:r>
          </w:p>
        </w:tc>
        <w:tc>
          <w:tcPr>
            <w:tcW w:w="664" w:type="dxa"/>
            <w:tcBorders>
              <w:top w:val="single" w:color="auto" w:sz="4" w:space="0"/>
              <w:left w:val="nil"/>
              <w:bottom w:val="single" w:color="auto" w:sz="4" w:space="0"/>
              <w:right w:val="single" w:color="auto" w:sz="4" w:space="0"/>
            </w:tcBorders>
            <w:shd w:val="clear" w:color="000000" w:fill="5B9BD5"/>
            <w:vAlign w:val="center"/>
          </w:tcPr>
          <w:p w14:paraId="714F4382">
            <w:pPr>
              <w:widowControl/>
              <w:jc w:val="center"/>
              <w:rPr>
                <w:rFonts w:hint="eastAsia" w:ascii="宋体" w:hAnsi="宋体" w:cs="宋体"/>
                <w:b/>
                <w:bCs/>
                <w:color w:val="FFFFFF"/>
                <w:kern w:val="0"/>
                <w:sz w:val="20"/>
              </w:rPr>
            </w:pPr>
            <w:r>
              <w:rPr>
                <w:rFonts w:hint="eastAsia" w:ascii="宋体" w:hAnsi="宋体" w:cs="宋体"/>
                <w:b/>
                <w:bCs/>
                <w:color w:val="FFFFFF"/>
                <w:kern w:val="0"/>
                <w:sz w:val="20"/>
              </w:rPr>
              <w:t>购买数量</w:t>
            </w:r>
          </w:p>
        </w:tc>
        <w:tc>
          <w:tcPr>
            <w:tcW w:w="352" w:type="dxa"/>
            <w:tcBorders>
              <w:top w:val="single" w:color="auto" w:sz="4" w:space="0"/>
              <w:left w:val="nil"/>
              <w:bottom w:val="single" w:color="auto" w:sz="4" w:space="0"/>
              <w:right w:val="single" w:color="auto" w:sz="4" w:space="0"/>
            </w:tcBorders>
            <w:shd w:val="clear" w:color="000000" w:fill="5B9BD5"/>
            <w:vAlign w:val="center"/>
          </w:tcPr>
          <w:p w14:paraId="41597D18">
            <w:pPr>
              <w:widowControl/>
              <w:jc w:val="center"/>
              <w:rPr>
                <w:rFonts w:hint="eastAsia" w:ascii="宋体" w:hAnsi="宋体" w:cs="宋体"/>
                <w:b/>
                <w:bCs/>
                <w:color w:val="FFFFFF"/>
                <w:kern w:val="0"/>
                <w:sz w:val="20"/>
              </w:rPr>
            </w:pPr>
            <w:r>
              <w:rPr>
                <w:rFonts w:hint="eastAsia" w:ascii="宋体" w:hAnsi="宋体" w:cs="宋体"/>
                <w:b/>
                <w:bCs/>
                <w:color w:val="FFFFFF"/>
                <w:kern w:val="0"/>
                <w:sz w:val="20"/>
              </w:rPr>
              <w:t>单位</w:t>
            </w:r>
          </w:p>
        </w:tc>
        <w:tc>
          <w:tcPr>
            <w:tcW w:w="673" w:type="dxa"/>
            <w:tcBorders>
              <w:top w:val="single" w:color="auto" w:sz="4" w:space="0"/>
              <w:left w:val="nil"/>
              <w:bottom w:val="single" w:color="auto" w:sz="4" w:space="0"/>
              <w:right w:val="single" w:color="auto" w:sz="4" w:space="0"/>
            </w:tcBorders>
            <w:shd w:val="clear" w:color="000000" w:fill="5B9BD5"/>
            <w:vAlign w:val="center"/>
          </w:tcPr>
          <w:p w14:paraId="30026126">
            <w:pPr>
              <w:widowControl/>
              <w:jc w:val="center"/>
              <w:rPr>
                <w:rFonts w:hint="eastAsia" w:ascii="宋体" w:hAnsi="宋体" w:cs="宋体"/>
                <w:b/>
                <w:bCs/>
                <w:color w:val="FFFFFF"/>
                <w:kern w:val="0"/>
                <w:sz w:val="20"/>
              </w:rPr>
            </w:pPr>
            <w:r>
              <w:rPr>
                <w:rFonts w:hint="eastAsia" w:ascii="宋体" w:hAnsi="宋体" w:cs="宋体"/>
                <w:b/>
                <w:bCs/>
                <w:color w:val="FFFFFF"/>
                <w:kern w:val="0"/>
                <w:sz w:val="20"/>
              </w:rPr>
              <w:t>含税单价(元)</w:t>
            </w:r>
          </w:p>
        </w:tc>
        <w:tc>
          <w:tcPr>
            <w:tcW w:w="1463" w:type="dxa"/>
            <w:tcBorders>
              <w:top w:val="single" w:color="auto" w:sz="4" w:space="0"/>
              <w:left w:val="nil"/>
              <w:bottom w:val="single" w:color="auto" w:sz="4" w:space="0"/>
              <w:right w:val="single" w:color="auto" w:sz="4" w:space="0"/>
            </w:tcBorders>
            <w:shd w:val="clear" w:color="000000" w:fill="5B9BD5"/>
            <w:vAlign w:val="center"/>
          </w:tcPr>
          <w:p w14:paraId="2CD72270">
            <w:pPr>
              <w:widowControl/>
              <w:jc w:val="center"/>
              <w:rPr>
                <w:rFonts w:hint="eastAsia" w:ascii="宋体" w:hAnsi="宋体" w:cs="宋体"/>
                <w:b/>
                <w:bCs/>
                <w:color w:val="FFFFFF"/>
                <w:kern w:val="0"/>
                <w:sz w:val="20"/>
              </w:rPr>
            </w:pPr>
            <w:r>
              <w:rPr>
                <w:rFonts w:hint="eastAsia" w:ascii="宋体" w:hAnsi="宋体" w:cs="宋体"/>
                <w:b/>
                <w:bCs/>
                <w:color w:val="FFFFFF"/>
                <w:kern w:val="0"/>
                <w:sz w:val="20"/>
              </w:rPr>
              <w:t>含税总价(元)</w:t>
            </w:r>
          </w:p>
        </w:tc>
        <w:tc>
          <w:tcPr>
            <w:tcW w:w="937" w:type="dxa"/>
            <w:tcBorders>
              <w:top w:val="single" w:color="auto" w:sz="4" w:space="0"/>
              <w:left w:val="nil"/>
              <w:bottom w:val="single" w:color="auto" w:sz="4" w:space="0"/>
              <w:right w:val="single" w:color="auto" w:sz="4" w:space="0"/>
            </w:tcBorders>
            <w:shd w:val="clear" w:color="000000" w:fill="5B9BD5"/>
            <w:vAlign w:val="center"/>
          </w:tcPr>
          <w:p w14:paraId="245CC3A5">
            <w:pPr>
              <w:widowControl/>
              <w:jc w:val="center"/>
              <w:rPr>
                <w:rFonts w:hint="eastAsia" w:ascii="宋体" w:hAnsi="宋体" w:cs="宋体"/>
                <w:b/>
                <w:bCs/>
                <w:color w:val="FFFFFF"/>
                <w:kern w:val="0"/>
                <w:sz w:val="20"/>
              </w:rPr>
            </w:pPr>
          </w:p>
        </w:tc>
      </w:tr>
      <w:tr w14:paraId="3675F537">
        <w:tblPrEx>
          <w:tblCellMar>
            <w:top w:w="0" w:type="dxa"/>
            <w:left w:w="108" w:type="dxa"/>
            <w:bottom w:w="0" w:type="dxa"/>
            <w:right w:w="108" w:type="dxa"/>
          </w:tblCellMar>
        </w:tblPrEx>
        <w:trPr>
          <w:trHeight w:val="90" w:hRule="atLeast"/>
        </w:trPr>
        <w:tc>
          <w:tcPr>
            <w:tcW w:w="390" w:type="dxa"/>
            <w:tcBorders>
              <w:top w:val="nil"/>
              <w:left w:val="single" w:color="auto" w:sz="4" w:space="0"/>
              <w:bottom w:val="single" w:color="auto" w:sz="4" w:space="0"/>
              <w:right w:val="single" w:color="auto" w:sz="4" w:space="0"/>
            </w:tcBorders>
            <w:shd w:val="clear" w:color="auto" w:fill="auto"/>
            <w:vAlign w:val="center"/>
          </w:tcPr>
          <w:p w14:paraId="67D6F4CD">
            <w:pPr>
              <w:widowControl/>
              <w:jc w:val="center"/>
              <w:rPr>
                <w:rFonts w:hint="eastAsia" w:ascii="宋体" w:hAnsi="宋体" w:cs="宋体"/>
                <w:kern w:val="0"/>
                <w:sz w:val="20"/>
              </w:rPr>
            </w:pPr>
            <w:r>
              <w:rPr>
                <w:rFonts w:hint="eastAsia" w:ascii="宋体" w:hAnsi="宋体" w:cs="宋体"/>
                <w:kern w:val="0"/>
                <w:sz w:val="20"/>
              </w:rPr>
              <w:t>1</w:t>
            </w:r>
          </w:p>
        </w:tc>
        <w:tc>
          <w:tcPr>
            <w:tcW w:w="811" w:type="dxa"/>
            <w:tcBorders>
              <w:top w:val="nil"/>
              <w:left w:val="nil"/>
              <w:bottom w:val="single" w:color="auto" w:sz="4" w:space="0"/>
              <w:right w:val="single" w:color="auto" w:sz="4" w:space="0"/>
            </w:tcBorders>
            <w:shd w:val="clear" w:color="auto" w:fill="auto"/>
            <w:vAlign w:val="center"/>
          </w:tcPr>
          <w:p w14:paraId="540E60BF">
            <w:pPr>
              <w:widowControl/>
              <w:jc w:val="center"/>
              <w:rPr>
                <w:rFonts w:hint="eastAsia" w:ascii="宋体" w:hAnsi="宋体" w:cs="宋体"/>
                <w:kern w:val="0"/>
                <w:sz w:val="20"/>
              </w:rPr>
            </w:pPr>
            <w:r>
              <w:rPr>
                <w:rFonts w:hint="eastAsia" w:ascii="宋体" w:hAnsi="宋体" w:cs="宋体"/>
                <w:kern w:val="0"/>
                <w:sz w:val="20"/>
              </w:rPr>
              <w:t>深信服端点安全软件（PC</w:t>
            </w:r>
            <w:r>
              <w:rPr>
                <w:rFonts w:hint="eastAsia" w:ascii="宋体" w:hAnsi="宋体" w:cs="宋体"/>
                <w:kern w:val="0"/>
                <w:sz w:val="20"/>
                <w:lang w:val="en-US" w:eastAsia="zh-CN"/>
              </w:rPr>
              <w:t>高级</w:t>
            </w:r>
            <w:r>
              <w:rPr>
                <w:rFonts w:hint="eastAsia" w:ascii="宋体" w:hAnsi="宋体" w:cs="宋体"/>
                <w:kern w:val="0"/>
                <w:sz w:val="20"/>
              </w:rPr>
              <w:t>版）</w:t>
            </w:r>
          </w:p>
        </w:tc>
        <w:tc>
          <w:tcPr>
            <w:tcW w:w="576" w:type="dxa"/>
            <w:tcBorders>
              <w:top w:val="nil"/>
              <w:left w:val="nil"/>
              <w:bottom w:val="single" w:color="auto" w:sz="4" w:space="0"/>
              <w:right w:val="single" w:color="auto" w:sz="4" w:space="0"/>
            </w:tcBorders>
            <w:shd w:val="clear" w:color="auto" w:fill="auto"/>
            <w:vAlign w:val="center"/>
          </w:tcPr>
          <w:p w14:paraId="2EC0A58C">
            <w:pPr>
              <w:widowControl/>
              <w:jc w:val="center"/>
              <w:rPr>
                <w:rFonts w:hint="eastAsia" w:ascii="宋体" w:hAnsi="宋体" w:cs="宋体"/>
                <w:kern w:val="0"/>
                <w:sz w:val="20"/>
              </w:rPr>
            </w:pPr>
            <w:r>
              <w:rPr>
                <w:rFonts w:hint="eastAsia" w:ascii="宋体" w:hAnsi="宋体" w:cs="宋体"/>
                <w:kern w:val="0"/>
                <w:sz w:val="20"/>
              </w:rPr>
              <w:t>深信服端点安全软件</w:t>
            </w:r>
          </w:p>
        </w:tc>
        <w:tc>
          <w:tcPr>
            <w:tcW w:w="391" w:type="dxa"/>
            <w:tcBorders>
              <w:top w:val="nil"/>
              <w:left w:val="nil"/>
              <w:bottom w:val="single" w:color="auto" w:sz="4" w:space="0"/>
              <w:right w:val="single" w:color="auto" w:sz="4" w:space="0"/>
            </w:tcBorders>
            <w:shd w:val="clear" w:color="auto" w:fill="auto"/>
            <w:vAlign w:val="center"/>
          </w:tcPr>
          <w:p w14:paraId="3947A999">
            <w:pPr>
              <w:widowControl/>
              <w:jc w:val="center"/>
              <w:rPr>
                <w:rFonts w:hint="eastAsia" w:ascii="宋体" w:hAnsi="宋体" w:cs="宋体"/>
                <w:kern w:val="0"/>
                <w:sz w:val="20"/>
              </w:rPr>
            </w:pPr>
            <w:r>
              <w:rPr>
                <w:rFonts w:hint="eastAsia" w:ascii="宋体" w:hAnsi="宋体" w:cs="宋体"/>
                <w:kern w:val="0"/>
                <w:sz w:val="20"/>
              </w:rPr>
              <w:t>PC</w:t>
            </w:r>
            <w:r>
              <w:rPr>
                <w:rFonts w:hint="eastAsia" w:ascii="宋体" w:hAnsi="宋体" w:cs="宋体"/>
                <w:kern w:val="0"/>
                <w:sz w:val="20"/>
                <w:lang w:val="en-US" w:eastAsia="zh-CN"/>
              </w:rPr>
              <w:t>高级</w:t>
            </w:r>
            <w:r>
              <w:rPr>
                <w:rFonts w:hint="eastAsia" w:ascii="宋体" w:hAnsi="宋体" w:cs="宋体"/>
                <w:kern w:val="0"/>
                <w:sz w:val="20"/>
              </w:rPr>
              <w:t>版</w:t>
            </w:r>
          </w:p>
        </w:tc>
        <w:tc>
          <w:tcPr>
            <w:tcW w:w="3738" w:type="dxa"/>
            <w:tcBorders>
              <w:top w:val="nil"/>
              <w:left w:val="nil"/>
              <w:bottom w:val="single" w:color="auto" w:sz="4" w:space="0"/>
              <w:right w:val="single" w:color="auto" w:sz="4" w:space="0"/>
            </w:tcBorders>
            <w:shd w:val="clear" w:color="auto" w:fill="auto"/>
            <w:vAlign w:val="center"/>
          </w:tcPr>
          <w:p w14:paraId="2D3F41EC">
            <w:pPr>
              <w:widowControl/>
              <w:jc w:val="left"/>
              <w:rPr>
                <w:rFonts w:hint="eastAsia" w:ascii="宋体" w:hAnsi="宋体" w:cs="宋体"/>
                <w:kern w:val="0"/>
                <w:sz w:val="20"/>
              </w:rPr>
            </w:pPr>
            <w:r>
              <w:rPr>
                <w:rFonts w:hint="eastAsia" w:ascii="宋体" w:hAnsi="宋体" w:cs="宋体"/>
                <w:kern w:val="0"/>
                <w:sz w:val="20"/>
              </w:rPr>
              <w:t>PC全量版=PC高级版，含有PC侧全部能力项。</w:t>
            </w:r>
            <w:r>
              <w:rPr>
                <w:rFonts w:hint="eastAsia" w:ascii="宋体" w:hAnsi="宋体" w:cs="宋体"/>
                <w:kern w:val="0"/>
                <w:sz w:val="20"/>
              </w:rPr>
              <w:br w:type="textWrapping"/>
            </w:r>
            <w:r>
              <w:rPr>
                <w:rFonts w:hint="eastAsia" w:ascii="宋体" w:hAnsi="宋体" w:cs="宋体"/>
                <w:kern w:val="0"/>
                <w:sz w:val="20"/>
              </w:rPr>
              <w:t xml:space="preserve">周密预防：系统漏洞扫描，补丁修复管理、终端基线检查，资产盘点，资产主动发现，轻补丁漏洞免疫； </w:t>
            </w:r>
            <w:r>
              <w:rPr>
                <w:rFonts w:hint="eastAsia" w:ascii="宋体" w:hAnsi="宋体" w:cs="宋体"/>
                <w:kern w:val="0"/>
                <w:sz w:val="20"/>
              </w:rPr>
              <w:br w:type="textWrapping"/>
            </w:r>
            <w:r>
              <w:rPr>
                <w:rFonts w:hint="eastAsia" w:ascii="宋体" w:hAnsi="宋体" w:cs="宋体"/>
                <w:kern w:val="0"/>
                <w:sz w:val="20"/>
              </w:rPr>
              <w:t>全面防护：文件实时监控、勒索诱饵防护、静态文件AI引擎、动态勒索行为AI引擎、勒索攻击对抗、无文件攻击防护、RDP二次认证、可信进程防护、关键目录加固</w:t>
            </w:r>
            <w:r>
              <w:rPr>
                <w:rFonts w:hint="eastAsia" w:ascii="宋体" w:hAnsi="宋体" w:cs="宋体"/>
                <w:kern w:val="0"/>
                <w:sz w:val="20"/>
              </w:rPr>
              <w:br w:type="textWrapping"/>
            </w:r>
            <w:r>
              <w:rPr>
                <w:rFonts w:hint="eastAsia" w:ascii="宋体" w:hAnsi="宋体" w:cs="宋体"/>
                <w:kern w:val="0"/>
                <w:sz w:val="20"/>
              </w:rPr>
              <w:t xml:space="preserve">灵敏检测：恶意文件检测、暴力破解检测、网端联动杀毒（SIP、AC、AF、XDR） </w:t>
            </w:r>
            <w:r>
              <w:rPr>
                <w:rFonts w:hint="eastAsia" w:ascii="宋体" w:hAnsi="宋体" w:cs="宋体"/>
                <w:kern w:val="0"/>
                <w:sz w:val="20"/>
              </w:rPr>
              <w:br w:type="textWrapping"/>
            </w:r>
            <w:r>
              <w:rPr>
                <w:rFonts w:hint="eastAsia" w:ascii="宋体" w:hAnsi="宋体" w:cs="宋体"/>
                <w:kern w:val="0"/>
                <w:sz w:val="20"/>
              </w:rPr>
              <w:t>深度检测：终端行为数据采集、（单品）高级威胁行为检测（IOA）、（单品）攻击进程链可视化展示</w:t>
            </w:r>
            <w:r>
              <w:rPr>
                <w:rFonts w:hint="eastAsia" w:ascii="宋体" w:hAnsi="宋体" w:cs="宋体"/>
                <w:kern w:val="0"/>
                <w:sz w:val="20"/>
              </w:rPr>
              <w:br w:type="textWrapping"/>
            </w:r>
            <w:r>
              <w:rPr>
                <w:rFonts w:hint="eastAsia" w:ascii="宋体" w:hAnsi="宋体" w:cs="宋体"/>
                <w:kern w:val="0"/>
                <w:sz w:val="20"/>
              </w:rPr>
              <w:t>（单品）威胁狩猎、内存马检测等</w:t>
            </w:r>
            <w:r>
              <w:rPr>
                <w:rFonts w:hint="eastAsia" w:ascii="宋体" w:hAnsi="宋体" w:cs="宋体"/>
                <w:kern w:val="0"/>
                <w:sz w:val="20"/>
              </w:rPr>
              <w:br w:type="textWrapping"/>
            </w:r>
            <w:r>
              <w:rPr>
                <w:rFonts w:hint="eastAsia" w:ascii="宋体" w:hAnsi="宋体" w:cs="宋体"/>
                <w:kern w:val="0"/>
                <w:sz w:val="20"/>
              </w:rPr>
              <w:t xml:space="preserve">快速响应：文件急速隔离、终端一键隔离、感染文件修复、病毒处置响应、域名隔离、进程阻断、网端深度联动（与SIP、AC、AF、XDR）、全网威胁定位 </w:t>
            </w:r>
            <w:r>
              <w:rPr>
                <w:rFonts w:hint="eastAsia" w:ascii="宋体" w:hAnsi="宋体" w:cs="宋体"/>
                <w:kern w:val="0"/>
                <w:sz w:val="20"/>
              </w:rPr>
              <w:br w:type="textWrapping"/>
            </w:r>
            <w:r>
              <w:rPr>
                <w:rFonts w:hint="eastAsia" w:ascii="宋体" w:hAnsi="宋体" w:cs="宋体"/>
                <w:kern w:val="0"/>
                <w:sz w:val="20"/>
              </w:rPr>
              <w:t>简便运维：外设管控、违规外联检测、远程桌面、广告弹窗拦截（高级版）、屏幕水印、应用管控</w:t>
            </w:r>
          </w:p>
        </w:tc>
        <w:tc>
          <w:tcPr>
            <w:tcW w:w="664" w:type="dxa"/>
            <w:tcBorders>
              <w:top w:val="nil"/>
              <w:left w:val="nil"/>
              <w:bottom w:val="single" w:color="auto" w:sz="4" w:space="0"/>
              <w:right w:val="single" w:color="auto" w:sz="4" w:space="0"/>
            </w:tcBorders>
            <w:shd w:val="clear" w:color="auto" w:fill="auto"/>
            <w:vAlign w:val="center"/>
          </w:tcPr>
          <w:p w14:paraId="391A67DA">
            <w:pPr>
              <w:widowControl/>
              <w:jc w:val="center"/>
              <w:rPr>
                <w:rFonts w:hint="eastAsia" w:ascii="宋体" w:hAnsi="宋体" w:cs="宋体"/>
                <w:kern w:val="0"/>
                <w:sz w:val="20"/>
              </w:rPr>
            </w:pPr>
            <w:r>
              <w:rPr>
                <w:rFonts w:hint="eastAsia" w:ascii="宋体" w:hAnsi="宋体" w:cs="宋体"/>
                <w:kern w:val="0"/>
                <w:sz w:val="20"/>
              </w:rPr>
              <w:t>2</w:t>
            </w:r>
            <w:r>
              <w:rPr>
                <w:rFonts w:hint="eastAsia" w:ascii="宋体" w:hAnsi="宋体" w:cs="宋体"/>
                <w:kern w:val="0"/>
                <w:sz w:val="20"/>
                <w:lang w:val="en-US" w:eastAsia="zh-CN"/>
              </w:rPr>
              <w:t>0</w:t>
            </w:r>
            <w:r>
              <w:rPr>
                <w:rFonts w:hint="eastAsia" w:ascii="宋体" w:hAnsi="宋体" w:cs="宋体"/>
                <w:kern w:val="0"/>
                <w:sz w:val="20"/>
              </w:rPr>
              <w:t>00</w:t>
            </w:r>
          </w:p>
        </w:tc>
        <w:tc>
          <w:tcPr>
            <w:tcW w:w="352" w:type="dxa"/>
            <w:tcBorders>
              <w:top w:val="nil"/>
              <w:left w:val="nil"/>
              <w:bottom w:val="single" w:color="auto" w:sz="4" w:space="0"/>
              <w:right w:val="single" w:color="auto" w:sz="4" w:space="0"/>
            </w:tcBorders>
            <w:shd w:val="clear" w:color="auto" w:fill="auto"/>
            <w:vAlign w:val="center"/>
          </w:tcPr>
          <w:p w14:paraId="5BF3ABF6">
            <w:pPr>
              <w:widowControl/>
              <w:jc w:val="center"/>
              <w:rPr>
                <w:rFonts w:hint="eastAsia" w:ascii="宋体" w:hAnsi="宋体" w:cs="宋体"/>
                <w:kern w:val="0"/>
                <w:sz w:val="20"/>
              </w:rPr>
            </w:pPr>
            <w:r>
              <w:rPr>
                <w:rFonts w:hint="eastAsia" w:ascii="宋体" w:hAnsi="宋体" w:cs="宋体"/>
                <w:kern w:val="0"/>
                <w:sz w:val="20"/>
              </w:rPr>
              <w:t>套</w:t>
            </w:r>
          </w:p>
        </w:tc>
        <w:tc>
          <w:tcPr>
            <w:tcW w:w="673" w:type="dxa"/>
            <w:tcBorders>
              <w:top w:val="nil"/>
              <w:left w:val="nil"/>
              <w:bottom w:val="single" w:color="auto" w:sz="4" w:space="0"/>
              <w:right w:val="single" w:color="auto" w:sz="4" w:space="0"/>
            </w:tcBorders>
            <w:shd w:val="clear" w:color="auto" w:fill="auto"/>
            <w:vAlign w:val="center"/>
          </w:tcPr>
          <w:p w14:paraId="35349313">
            <w:pPr>
              <w:widowControl/>
              <w:jc w:val="right"/>
              <w:rPr>
                <w:rFonts w:hint="eastAsia" w:ascii="宋体" w:hAnsi="宋体" w:cs="宋体"/>
                <w:kern w:val="0"/>
                <w:sz w:val="20"/>
              </w:rPr>
            </w:pPr>
            <w:r>
              <w:rPr>
                <w:rFonts w:hint="eastAsia" w:ascii="宋体" w:hAnsi="宋体" w:cs="宋体"/>
                <w:kern w:val="0"/>
                <w:sz w:val="20"/>
              </w:rPr>
              <w:t>150</w:t>
            </w:r>
          </w:p>
        </w:tc>
        <w:tc>
          <w:tcPr>
            <w:tcW w:w="1463" w:type="dxa"/>
            <w:tcBorders>
              <w:top w:val="nil"/>
              <w:left w:val="nil"/>
              <w:bottom w:val="single" w:color="auto" w:sz="4" w:space="0"/>
              <w:right w:val="single" w:color="auto" w:sz="4" w:space="0"/>
            </w:tcBorders>
            <w:shd w:val="clear" w:color="auto" w:fill="auto"/>
            <w:vAlign w:val="center"/>
          </w:tcPr>
          <w:p w14:paraId="49390BF3">
            <w:pPr>
              <w:widowControl/>
              <w:jc w:val="center"/>
              <w:rPr>
                <w:rFonts w:hint="eastAsia" w:ascii="宋体" w:hAnsi="宋体" w:cs="宋体"/>
                <w:kern w:val="0"/>
                <w:sz w:val="20"/>
              </w:rPr>
            </w:pPr>
            <w:r>
              <w:rPr>
                <w:rFonts w:hint="eastAsia" w:ascii="宋体" w:hAnsi="宋体" w:cs="宋体"/>
                <w:kern w:val="0"/>
                <w:sz w:val="20"/>
              </w:rPr>
              <w:t>3</w:t>
            </w:r>
            <w:r>
              <w:rPr>
                <w:rFonts w:hint="eastAsia" w:ascii="宋体" w:hAnsi="宋体" w:cs="宋体"/>
                <w:kern w:val="0"/>
                <w:sz w:val="20"/>
                <w:lang w:val="en-US" w:eastAsia="zh-CN"/>
              </w:rPr>
              <w:t>00,</w:t>
            </w:r>
            <w:bookmarkStart w:id="2" w:name="_GoBack"/>
            <w:bookmarkEnd w:id="2"/>
            <w:r>
              <w:rPr>
                <w:rFonts w:hint="eastAsia" w:ascii="宋体" w:hAnsi="宋体" w:cs="宋体"/>
                <w:kern w:val="0"/>
                <w:sz w:val="20"/>
              </w:rPr>
              <w:t>000.00</w:t>
            </w:r>
          </w:p>
        </w:tc>
        <w:tc>
          <w:tcPr>
            <w:tcW w:w="937" w:type="dxa"/>
            <w:tcBorders>
              <w:top w:val="nil"/>
              <w:left w:val="nil"/>
              <w:bottom w:val="single" w:color="auto" w:sz="4" w:space="0"/>
              <w:right w:val="single" w:color="auto" w:sz="4" w:space="0"/>
            </w:tcBorders>
            <w:shd w:val="clear" w:color="auto" w:fill="auto"/>
            <w:vAlign w:val="center"/>
          </w:tcPr>
          <w:p w14:paraId="419937AC">
            <w:pPr>
              <w:widowControl/>
              <w:jc w:val="center"/>
              <w:rPr>
                <w:rFonts w:hint="eastAsia" w:ascii="宋体" w:hAnsi="宋体" w:cs="宋体"/>
                <w:kern w:val="0"/>
                <w:sz w:val="20"/>
              </w:rPr>
            </w:pPr>
            <w:r>
              <w:rPr>
                <w:rFonts w:hint="eastAsia" w:ascii="宋体" w:hAnsi="宋体" w:cs="宋体"/>
                <w:kern w:val="0"/>
                <w:sz w:val="20"/>
              </w:rPr>
              <w:t>软件报价含税，增值税13%</w:t>
            </w:r>
          </w:p>
        </w:tc>
      </w:tr>
    </w:tbl>
    <w:p w14:paraId="0683535E">
      <w:pPr>
        <w:spacing w:line="360" w:lineRule="auto"/>
        <w:rPr>
          <w:rFonts w:hint="eastAsia" w:ascii="宋体" w:hAnsi="宋体"/>
          <w:szCs w:val="21"/>
        </w:rPr>
      </w:pPr>
      <w:r>
        <w:rPr>
          <w:rFonts w:hint="eastAsia" w:ascii="宋体" w:hAnsi="宋体"/>
          <w:szCs w:val="21"/>
        </w:rPr>
        <w:t>备注：</w:t>
      </w:r>
    </w:p>
    <w:p w14:paraId="090F0E21">
      <w:pPr>
        <w:numPr>
          <w:ilvl w:val="0"/>
          <w:numId w:val="8"/>
        </w:numPr>
        <w:spacing w:line="360" w:lineRule="auto"/>
        <w:ind w:firstLine="367" w:firstLineChars="175"/>
        <w:jc w:val="left"/>
        <w:rPr>
          <w:rFonts w:hint="eastAsia" w:ascii="宋体" w:hAnsi="宋体"/>
          <w:szCs w:val="21"/>
        </w:rPr>
      </w:pPr>
      <w:r>
        <w:rPr>
          <w:rFonts w:hint="eastAsia" w:ascii="宋体" w:hAnsi="宋体"/>
          <w:szCs w:val="21"/>
        </w:rPr>
        <w:t>甲方保证获得授权主体已经知悉授权软件运行环境要求，自行准备授权软件运行所需的软硬件环境。</w:t>
      </w:r>
    </w:p>
    <w:p w14:paraId="1133F278">
      <w:pPr>
        <w:numPr>
          <w:ilvl w:val="0"/>
          <w:numId w:val="8"/>
        </w:numPr>
        <w:autoSpaceDN w:val="0"/>
        <w:spacing w:line="360" w:lineRule="auto"/>
        <w:ind w:firstLine="367" w:firstLineChars="175"/>
        <w:jc w:val="left"/>
        <w:textAlignment w:val="baseline"/>
      </w:pPr>
      <w:r>
        <w:rPr>
          <w:rFonts w:hint="eastAsia" w:ascii="宋体" w:hAnsi="宋体"/>
          <w:szCs w:val="21"/>
        </w:rPr>
        <w:t>双方一致认可，本合同项下以【2</w:t>
      </w:r>
      <w:r>
        <w:rPr>
          <w:rFonts w:hint="eastAsia" w:ascii="宋体" w:hAnsi="宋体"/>
          <w:szCs w:val="21"/>
          <w:lang w:val="en-US" w:eastAsia="zh-CN"/>
        </w:rPr>
        <w:t>0</w:t>
      </w:r>
      <w:r>
        <w:rPr>
          <w:rFonts w:hint="eastAsia" w:ascii="宋体" w:hAnsi="宋体"/>
          <w:szCs w:val="21"/>
        </w:rPr>
        <w:t>00】用户授权作为计价数量，即甲方向乙方支付【2</w:t>
      </w:r>
      <w:r>
        <w:rPr>
          <w:rFonts w:hint="eastAsia" w:ascii="宋体" w:hAnsi="宋体"/>
          <w:szCs w:val="21"/>
          <w:lang w:val="en-US" w:eastAsia="zh-CN"/>
        </w:rPr>
        <w:t>0</w:t>
      </w:r>
      <w:r>
        <w:rPr>
          <w:rFonts w:hint="eastAsia" w:ascii="宋体" w:hAnsi="宋体"/>
          <w:szCs w:val="21"/>
        </w:rPr>
        <w:t>00】用户授权费用，获得授权主体即可根据</w:t>
      </w:r>
      <w:r>
        <w:rPr>
          <w:rFonts w:hint="eastAsia" w:ascii="宋体" w:hAnsi="宋体"/>
          <w:szCs w:val="21"/>
          <w:highlight w:val="none"/>
        </w:rPr>
        <w:t>本</w:t>
      </w:r>
      <w:r>
        <w:rPr>
          <w:rFonts w:hint="eastAsia" w:ascii="宋体" w:hAnsi="宋体"/>
          <w:szCs w:val="21"/>
          <w:highlight w:val="none"/>
          <w:lang w:val="en-US" w:eastAsia="zh-CN"/>
        </w:rPr>
        <w:t>合同</w:t>
      </w:r>
      <w:r>
        <w:rPr>
          <w:rFonts w:hint="eastAsia" w:ascii="宋体" w:hAnsi="宋体"/>
          <w:szCs w:val="21"/>
          <w:highlight w:val="none"/>
        </w:rPr>
        <w:t>约定享受合同周期内</w:t>
      </w:r>
      <w:r>
        <w:rPr>
          <w:rFonts w:hint="eastAsia" w:ascii="宋体" w:hAnsi="宋体"/>
          <w:szCs w:val="21"/>
          <w:lang w:val="en-US" w:eastAsia="zh-CN"/>
        </w:rPr>
        <w:t>的</w:t>
      </w:r>
      <w:r>
        <w:rPr>
          <w:rFonts w:hint="eastAsia" w:ascii="宋体" w:hAnsi="宋体"/>
          <w:szCs w:val="21"/>
        </w:rPr>
        <w:t>完整版本软件的场地授权；且上述计价数量是基于甲乙双方对获得授权主体依据本合同将实际使用授权软件的用户量的估算，仅用于双方确认本合同项下授权费用，与获得授权主体基于本合同获得的的授权软件使用许可数量无关。</w:t>
      </w:r>
      <w:bookmarkEnd w:id="0"/>
      <w:bookmarkEnd w:id="1"/>
    </w:p>
    <w:sectPr>
      <w:footerReference r:id="rId5" w:type="default"/>
      <w:pgSz w:w="11906" w:h="16838"/>
      <w:pgMar w:top="1157" w:right="1066" w:bottom="533" w:left="1066" w:header="624"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90A50">
    <w:pPr>
      <w:pStyle w:val="9"/>
      <w:jc w:val="center"/>
    </w:pPr>
    <w:r>
      <w:rPr>
        <w:kern w:val="0"/>
      </w:rPr>
      <w:t xml:space="preserve">- </w:t>
    </w:r>
    <w:r>
      <w:rPr>
        <w:kern w:val="0"/>
      </w:rPr>
      <w:fldChar w:fldCharType="begin"/>
    </w:r>
    <w:r>
      <w:rPr>
        <w:kern w:val="0"/>
      </w:rPr>
      <w:instrText xml:space="preserve"> PAGE </w:instrText>
    </w:r>
    <w:r>
      <w:rPr>
        <w:kern w:val="0"/>
      </w:rPr>
      <w:fldChar w:fldCharType="separate"/>
    </w:r>
    <w:r>
      <w:rPr>
        <w:kern w:val="0"/>
      </w:rPr>
      <w:t>8</w:t>
    </w:r>
    <w:r>
      <w:rPr>
        <w:kern w:val="0"/>
      </w:rPr>
      <w:fldChar w:fldCharType="end"/>
    </w:r>
    <w:r>
      <w:rPr>
        <w:kern w:val="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E4AA62"/>
    <w:multiLevelType w:val="singleLevel"/>
    <w:tmpl w:val="BBE4AA62"/>
    <w:lvl w:ilvl="0" w:tentative="0">
      <w:start w:val="1"/>
      <w:numFmt w:val="decimal"/>
      <w:suff w:val="nothing"/>
      <w:lvlText w:val="%1、"/>
      <w:lvlJc w:val="left"/>
    </w:lvl>
  </w:abstractNum>
  <w:abstractNum w:abstractNumId="1">
    <w:nsid w:val="C94F849D"/>
    <w:multiLevelType w:val="singleLevel"/>
    <w:tmpl w:val="C94F849D"/>
    <w:lvl w:ilvl="0" w:tentative="0">
      <w:start w:val="1"/>
      <w:numFmt w:val="decimal"/>
      <w:suff w:val="nothing"/>
      <w:lvlText w:val="%1、"/>
      <w:lvlJc w:val="left"/>
    </w:lvl>
  </w:abstractNum>
  <w:abstractNum w:abstractNumId="2">
    <w:nsid w:val="570610D3"/>
    <w:multiLevelType w:val="singleLevel"/>
    <w:tmpl w:val="570610D3"/>
    <w:lvl w:ilvl="0" w:tentative="0">
      <w:start w:val="1"/>
      <w:numFmt w:val="chineseCounting"/>
      <w:suff w:val="nothing"/>
      <w:lvlText w:val="%1、"/>
      <w:lvlJc w:val="left"/>
    </w:lvl>
  </w:abstractNum>
  <w:abstractNum w:abstractNumId="3">
    <w:nsid w:val="57061417"/>
    <w:multiLevelType w:val="singleLevel"/>
    <w:tmpl w:val="57061417"/>
    <w:lvl w:ilvl="0" w:tentative="0">
      <w:start w:val="1"/>
      <w:numFmt w:val="decimal"/>
      <w:suff w:val="nothing"/>
      <w:lvlText w:val="%1、"/>
      <w:lvlJc w:val="left"/>
    </w:lvl>
  </w:abstractNum>
  <w:abstractNum w:abstractNumId="4">
    <w:nsid w:val="570641D2"/>
    <w:multiLevelType w:val="singleLevel"/>
    <w:tmpl w:val="570641D2"/>
    <w:lvl w:ilvl="0" w:tentative="0">
      <w:start w:val="1"/>
      <w:numFmt w:val="decimal"/>
      <w:suff w:val="nothing"/>
      <w:lvlText w:val="%1、"/>
      <w:lvlJc w:val="left"/>
    </w:lvl>
  </w:abstractNum>
  <w:abstractNum w:abstractNumId="5">
    <w:nsid w:val="570F58A9"/>
    <w:multiLevelType w:val="singleLevel"/>
    <w:tmpl w:val="570F58A9"/>
    <w:lvl w:ilvl="0" w:tentative="0">
      <w:start w:val="1"/>
      <w:numFmt w:val="chineseCounting"/>
      <w:suff w:val="nothing"/>
      <w:lvlText w:val="%1、"/>
      <w:lvlJc w:val="left"/>
    </w:lvl>
  </w:abstractNum>
  <w:abstractNum w:abstractNumId="6">
    <w:nsid w:val="570F58F8"/>
    <w:multiLevelType w:val="singleLevel"/>
    <w:tmpl w:val="570F58F8"/>
    <w:lvl w:ilvl="0" w:tentative="0">
      <w:start w:val="1"/>
      <w:numFmt w:val="decimal"/>
      <w:suff w:val="nothing"/>
      <w:lvlText w:val="%1、"/>
      <w:lvlJc w:val="left"/>
    </w:lvl>
  </w:abstractNum>
  <w:abstractNum w:abstractNumId="7">
    <w:nsid w:val="571894C2"/>
    <w:multiLevelType w:val="singleLevel"/>
    <w:tmpl w:val="571894C2"/>
    <w:lvl w:ilvl="0" w:tentative="0">
      <w:start w:val="3"/>
      <w:numFmt w:val="decimal"/>
      <w:suff w:val="nothing"/>
      <w:lvlText w:val="%1、"/>
      <w:lvlJc w:val="left"/>
    </w:lvl>
  </w:abstractNum>
  <w:num w:numId="1">
    <w:abstractNumId w:val="2"/>
  </w:num>
  <w:num w:numId="2">
    <w:abstractNumId w:val="3"/>
  </w:num>
  <w:num w:numId="3">
    <w:abstractNumId w:val="1"/>
  </w:num>
  <w:num w:numId="4">
    <w:abstractNumId w:val="4"/>
  </w:num>
  <w:num w:numId="5">
    <w:abstractNumId w:val="0"/>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EwMTI4NTU5MTgzMzY1OTkzNGQxMTU2N2FhMTU2ZWMifQ=="/>
  </w:docVars>
  <w:rsids>
    <w:rsidRoot w:val="00172A27"/>
    <w:rsid w:val="000F1100"/>
    <w:rsid w:val="00107EB4"/>
    <w:rsid w:val="00172A27"/>
    <w:rsid w:val="001D6BD4"/>
    <w:rsid w:val="00434344"/>
    <w:rsid w:val="00455F55"/>
    <w:rsid w:val="006B2701"/>
    <w:rsid w:val="00A12045"/>
    <w:rsid w:val="00AA44F3"/>
    <w:rsid w:val="00B32A03"/>
    <w:rsid w:val="00C07858"/>
    <w:rsid w:val="00CC13A8"/>
    <w:rsid w:val="01510A0D"/>
    <w:rsid w:val="01ED6DE2"/>
    <w:rsid w:val="0C0B3BC6"/>
    <w:rsid w:val="0EF622F7"/>
    <w:rsid w:val="12F47AAA"/>
    <w:rsid w:val="17AA05B6"/>
    <w:rsid w:val="17C15C05"/>
    <w:rsid w:val="17F02514"/>
    <w:rsid w:val="185D1D5C"/>
    <w:rsid w:val="18B21884"/>
    <w:rsid w:val="193844ED"/>
    <w:rsid w:val="1E6A5889"/>
    <w:rsid w:val="1E8930A5"/>
    <w:rsid w:val="215F5B3F"/>
    <w:rsid w:val="22E22A19"/>
    <w:rsid w:val="29F27120"/>
    <w:rsid w:val="2DA14284"/>
    <w:rsid w:val="2E481345"/>
    <w:rsid w:val="2ED21C62"/>
    <w:rsid w:val="2F84307A"/>
    <w:rsid w:val="2F881883"/>
    <w:rsid w:val="328610BB"/>
    <w:rsid w:val="32D319AA"/>
    <w:rsid w:val="33215A7F"/>
    <w:rsid w:val="33B0446E"/>
    <w:rsid w:val="35F30B0F"/>
    <w:rsid w:val="35FB4EA0"/>
    <w:rsid w:val="36863CF8"/>
    <w:rsid w:val="394428F9"/>
    <w:rsid w:val="396F49BF"/>
    <w:rsid w:val="3A187F03"/>
    <w:rsid w:val="3A511FCA"/>
    <w:rsid w:val="3D051594"/>
    <w:rsid w:val="3DEF607E"/>
    <w:rsid w:val="3EBA424B"/>
    <w:rsid w:val="406F2999"/>
    <w:rsid w:val="47CE094C"/>
    <w:rsid w:val="4C74790A"/>
    <w:rsid w:val="4CF73F12"/>
    <w:rsid w:val="4D7B5CAE"/>
    <w:rsid w:val="4DAE54A8"/>
    <w:rsid w:val="50B20C0F"/>
    <w:rsid w:val="50FF31DF"/>
    <w:rsid w:val="52B81731"/>
    <w:rsid w:val="52D826B0"/>
    <w:rsid w:val="53210AE7"/>
    <w:rsid w:val="536215F0"/>
    <w:rsid w:val="547B0038"/>
    <w:rsid w:val="55775BA7"/>
    <w:rsid w:val="573DB580"/>
    <w:rsid w:val="581F585E"/>
    <w:rsid w:val="5AF7006A"/>
    <w:rsid w:val="5BB43C6F"/>
    <w:rsid w:val="5E4D4359"/>
    <w:rsid w:val="60C42308"/>
    <w:rsid w:val="61052A72"/>
    <w:rsid w:val="61272239"/>
    <w:rsid w:val="63851C1A"/>
    <w:rsid w:val="63B0554D"/>
    <w:rsid w:val="655B7313"/>
    <w:rsid w:val="6794EDE1"/>
    <w:rsid w:val="68695C2B"/>
    <w:rsid w:val="69BC007C"/>
    <w:rsid w:val="6B734FD3"/>
    <w:rsid w:val="6B8C6AD9"/>
    <w:rsid w:val="6CAF1319"/>
    <w:rsid w:val="6D9C534C"/>
    <w:rsid w:val="71E1420F"/>
    <w:rsid w:val="71F5D8E4"/>
    <w:rsid w:val="71FF45BB"/>
    <w:rsid w:val="761262E7"/>
    <w:rsid w:val="762D0922"/>
    <w:rsid w:val="76AF7102"/>
    <w:rsid w:val="76B32FBE"/>
    <w:rsid w:val="77233A61"/>
    <w:rsid w:val="772779E0"/>
    <w:rsid w:val="777A5726"/>
    <w:rsid w:val="77C70F1F"/>
    <w:rsid w:val="7AB37F44"/>
    <w:rsid w:val="7BE96BF5"/>
    <w:rsid w:val="7EE3C7C4"/>
    <w:rsid w:val="7F4A0BE1"/>
    <w:rsid w:val="7F8816B5"/>
    <w:rsid w:val="7FFA9151"/>
    <w:rsid w:val="9FBFA601"/>
    <w:rsid w:val="BEA10E5F"/>
    <w:rsid w:val="BFBD06E9"/>
    <w:rsid w:val="BFFF8131"/>
    <w:rsid w:val="DFFF7751"/>
    <w:rsid w:val="E9AA511E"/>
    <w:rsid w:val="F1F66B42"/>
    <w:rsid w:val="F37B6ABE"/>
    <w:rsid w:val="FEDE6819"/>
    <w:rsid w:val="FFBF4BA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1" w:name="heading 4"/>
    <w:lsdException w:qFormat="1" w:uiPriority="1" w:name="heading 5"/>
    <w:lsdException w:qFormat="1" w:uiPriority="1" w:name="heading 6"/>
    <w:lsdException w:qFormat="1" w:uiPriority="1" w:name="heading 7"/>
    <w:lsdException w:qFormat="1" w:uiPriority="1" w:name="heading 8"/>
    <w:lsdException w:qFormat="1" w:uiPriority="1" w:name="heading 9"/>
    <w:lsdException w:uiPriority="1" w:name="index 1"/>
    <w:lsdException w:uiPriority="1" w:name="index 2"/>
    <w:lsdException w:uiPriority="1" w:name="index 3"/>
    <w:lsdException w:uiPriority="1" w:name="index 4"/>
    <w:lsdException w:uiPriority="1" w:name="index 5"/>
    <w:lsdException w:uiPriority="1" w:name="index 6"/>
    <w:lsdException w:uiPriority="1" w:name="index 7"/>
    <w:lsdException w:uiPriority="1" w:name="index 8"/>
    <w:lsdException w:uiPriority="1" w:name="index 9"/>
    <w:lsdException w:uiPriority="1" w:name="toc 1"/>
    <w:lsdException w:uiPriority="1" w:name="toc 2"/>
    <w:lsdException w:uiPriority="1" w:name="toc 3"/>
    <w:lsdException w:uiPriority="1" w:name="toc 4"/>
    <w:lsdException w:uiPriority="1" w:name="toc 5"/>
    <w:lsdException w:uiPriority="1" w:name="toc 6"/>
    <w:lsdException w:uiPriority="1" w:name="toc 7"/>
    <w:lsdException w:uiPriority="1" w:name="toc 8"/>
    <w:lsdException w:uiPriority="1" w:name="toc 9"/>
    <w:lsdException w:qFormat="1" w:uiPriority="99" w:semiHidden="0" w:name="Normal Indent"/>
    <w:lsdException w:uiPriority="1"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1" w:name="index heading"/>
    <w:lsdException w:qFormat="1" w:uiPriority="1" w:name="caption"/>
    <w:lsdException w:uiPriority="1" w:name="table of figures"/>
    <w:lsdException w:uiPriority="1" w:name="envelope address"/>
    <w:lsdException w:uiPriority="1" w:name="envelope return"/>
    <w:lsdException w:uiPriority="1" w:name="footnote reference"/>
    <w:lsdException w:qFormat="1" w:unhideWhenUsed="0" w:uiPriority="0" w:semiHidden="0" w:name="annotation reference"/>
    <w:lsdException w:uiPriority="1" w:name="line number"/>
    <w:lsdException w:uiPriority="1" w:name="page number"/>
    <w:lsdException w:uiPriority="1" w:name="endnote reference"/>
    <w:lsdException w:uiPriority="1" w:name="endnote text"/>
    <w:lsdException w:uiPriority="1" w:name="table of authorities"/>
    <w:lsdException w:uiPriority="1" w:name="macro"/>
    <w:lsdException w:uiPriority="1" w:name="toa heading"/>
    <w:lsdException w:uiPriority="1" w:name="List"/>
    <w:lsdException w:uiPriority="1" w:name="List Bullet"/>
    <w:lsdException w:uiPriority="1" w:name="List Number"/>
    <w:lsdException w:uiPriority="1"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uiPriority="1" w:name="List Number 3"/>
    <w:lsdException w:uiPriority="1" w:name="List Number 4"/>
    <w:lsdException w:uiPriority="1" w:name="List Number 5"/>
    <w:lsdException w:qFormat="1" w:unhideWhenUsed="0" w:uiPriority="1" w:semiHidden="0" w:name="Title"/>
    <w:lsdException w:uiPriority="1" w:name="Closing"/>
    <w:lsdException w:uiPriority="1" w:name="Signature"/>
    <w:lsdException w:qFormat="1" w:uiPriority="1" w:name="Default Paragraph Font"/>
    <w:lsdException w:uiPriority="1" w:name="Body Text"/>
    <w:lsdException w:qFormat="1" w:unhideWhenUsed="0" w:uiPriority="0" w:semiHidden="0"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1" w:semiHidden="0" w:name="Subtitle"/>
    <w:lsdException w:uiPriority="1" w:name="Salutation"/>
    <w:lsdException w:uiPriority="1" w:name="Date"/>
    <w:lsdException w:uiPriority="1" w:name="Body Text First Indent"/>
    <w:lsdException w:qFormat="1" w:uiPriority="99" w:semiHidden="0" w:name="Body Text First Indent 2"/>
    <w:lsdException w:uiPriority="1" w:name="Note Heading"/>
    <w:lsdException w:uiPriority="1" w:name="Body Text 2"/>
    <w:lsdException w:uiPriority="1" w:name="Body Text 3"/>
    <w:lsdException w:uiPriority="1" w:name="Body Text Indent 2"/>
    <w:lsdException w:uiPriority="1" w:name="Body Text Indent 3"/>
    <w:lsdException w:uiPriority="1" w:name="Block Text"/>
    <w:lsdException w:qFormat="1" w:unhideWhenUsed="0" w:uiPriority="0" w:semiHidden="0" w:name="Hyperlink"/>
    <w:lsdException w:uiPriority="1" w:name="FollowedHyperlink"/>
    <w:lsdException w:qFormat="1" w:unhideWhenUsed="0" w:uiPriority="1" w:semiHidden="0" w:name="Strong"/>
    <w:lsdException w:qFormat="1" w:unhideWhenUsed="0" w:uiPriority="1" w:semiHidden="0" w:name="Emphasis"/>
    <w:lsdException w:qFormat="1" w:unhideWhenUsed="0" w:uiPriority="0" w:semiHidden="0" w:name="Document Map"/>
    <w:lsdException w:uiPriority="1" w:name="Plain Text"/>
    <w:lsdException w:uiPriority="1" w:name="E-mail Signature"/>
    <w:lsdException w:qFormat="1" w:uiPriority="1" w:semiHidden="0" w:name="Normal (Web)"/>
    <w:lsdException w:uiPriority="1" w:name="HTML Acronym"/>
    <w:lsdException w:uiPriority="1" w:name="HTML Address"/>
    <w:lsdException w:uiPriority="1" w:name="HTML Cite"/>
    <w:lsdException w:uiPriority="1" w:name="HTML Code"/>
    <w:lsdException w:uiPriority="1" w:name="HTML Definition"/>
    <w:lsdException w:uiPriority="1" w:name="HTML Keyboard"/>
    <w:lsdException w:uiPriority="1" w:name="HTML Preformatted"/>
    <w:lsdException w:uiPriority="1" w:name="HTML Sample"/>
    <w:lsdException w:uiPriority="1" w:name="HTML Typewriter"/>
    <w:lsdException w:uiPriority="1" w:name="HTML Variable"/>
    <w:lsdException w:qFormat="1" w:uiPriority="99" w:name="Normal Table"/>
    <w:lsdException w:qFormat="1" w:unhideWhenUsed="0" w:uiPriority="0" w:semiHidden="0"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qFormat="1" w:unhideWhenUsed="0" w:uiPriority="0" w:semiHidden="0" w:name="Balloon Text"/>
    <w:lsdException w:qFormat="1" w:unhideWhenUsed="0" w:uiPriority="59" w:semiHidden="0" w:name="Table Grid"/>
    <w:lsdException w:uiPriority="1"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4"/>
    <w:link w:val="19"/>
    <w:qFormat/>
    <w:uiPriority w:val="0"/>
    <w:pPr>
      <w:keepNext/>
      <w:keepLines/>
      <w:spacing w:before="260" w:after="260" w:line="413" w:lineRule="auto"/>
      <w:outlineLvl w:val="2"/>
    </w:pPr>
    <w:rPr>
      <w:b/>
      <w:sz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99"/>
    <w:pPr>
      <w:spacing w:line="360" w:lineRule="auto"/>
      <w:ind w:firstLine="200" w:firstLineChars="200"/>
    </w:pPr>
    <w:rPr>
      <w:sz w:val="24"/>
    </w:rPr>
  </w:style>
  <w:style w:type="paragraph" w:styleId="5">
    <w:name w:val="Document Map"/>
    <w:basedOn w:val="1"/>
    <w:qFormat/>
    <w:uiPriority w:val="0"/>
    <w:pPr>
      <w:shd w:val="clear" w:color="auto" w:fill="000080"/>
    </w:pPr>
  </w:style>
  <w:style w:type="paragraph" w:styleId="6">
    <w:name w:val="annotation text"/>
    <w:basedOn w:val="1"/>
    <w:link w:val="20"/>
    <w:qFormat/>
    <w:uiPriority w:val="0"/>
    <w:pPr>
      <w:jc w:val="left"/>
    </w:pPr>
  </w:style>
  <w:style w:type="paragraph" w:styleId="7">
    <w:name w:val="Body Text Indent"/>
    <w:basedOn w:val="1"/>
    <w:link w:val="21"/>
    <w:qFormat/>
    <w:uiPriority w:val="0"/>
    <w:pPr>
      <w:spacing w:line="360" w:lineRule="auto"/>
      <w:ind w:left="420"/>
      <w:jc w:val="left"/>
    </w:pPr>
    <w:rPr>
      <w:rFonts w:ascii="宋体" w:hAnsi="宋体"/>
      <w:color w:val="000000"/>
      <w:sz w:val="24"/>
    </w:rPr>
  </w:style>
  <w:style w:type="paragraph" w:styleId="8">
    <w:name w:val="Balloon Text"/>
    <w:basedOn w:val="1"/>
    <w:qFormat/>
    <w:uiPriority w:val="0"/>
    <w:rPr>
      <w:sz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tabs>
        <w:tab w:val="center" w:pos="4153"/>
        <w:tab w:val="right" w:pos="8306"/>
      </w:tabs>
      <w:snapToGrid w:val="0"/>
    </w:pPr>
    <w:rPr>
      <w:sz w:val="18"/>
    </w:rPr>
  </w:style>
  <w:style w:type="paragraph" w:styleId="11">
    <w:name w:val="Normal (Web)"/>
    <w:basedOn w:val="1"/>
    <w:unhideWhenUsed/>
    <w:qFormat/>
    <w:uiPriority w:val="1"/>
    <w:rPr>
      <w:sz w:val="24"/>
    </w:rPr>
  </w:style>
  <w:style w:type="paragraph" w:styleId="12">
    <w:name w:val="annotation subject"/>
    <w:basedOn w:val="6"/>
    <w:next w:val="6"/>
    <w:qFormat/>
    <w:uiPriority w:val="0"/>
    <w:rPr>
      <w:b/>
    </w:rPr>
  </w:style>
  <w:style w:type="paragraph" w:styleId="13">
    <w:name w:val="Body Text First Indent 2"/>
    <w:basedOn w:val="7"/>
    <w:link w:val="22"/>
    <w:unhideWhenUsed/>
    <w:qFormat/>
    <w:uiPriority w:val="99"/>
    <w:pPr>
      <w:spacing w:after="120" w:line="240" w:lineRule="auto"/>
      <w:ind w:left="200" w:leftChars="200" w:firstLine="420" w:firstLineChars="200"/>
      <w:jc w:val="both"/>
    </w:pPr>
    <w:rPr>
      <w:rFonts w:ascii="Times New Roman" w:hAnsi="Times New Roman"/>
      <w:color w:val="auto"/>
      <w:sz w:val="21"/>
    </w:rPr>
  </w:style>
  <w:style w:type="table" w:styleId="15">
    <w:name w:val="Table Grid"/>
    <w:basedOn w:val="14"/>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qFormat/>
    <w:uiPriority w:val="0"/>
    <w:rPr>
      <w:color w:val="0000FF"/>
      <w:u w:val="single"/>
    </w:rPr>
  </w:style>
  <w:style w:type="character" w:styleId="18">
    <w:name w:val="annotation reference"/>
    <w:qFormat/>
    <w:uiPriority w:val="0"/>
    <w:rPr>
      <w:sz w:val="21"/>
    </w:rPr>
  </w:style>
  <w:style w:type="character" w:customStyle="1" w:styleId="19">
    <w:name w:val="标题 3 字符"/>
    <w:link w:val="3"/>
    <w:qFormat/>
    <w:uiPriority w:val="0"/>
    <w:rPr>
      <w:b/>
      <w:kern w:val="2"/>
      <w:sz w:val="32"/>
    </w:rPr>
  </w:style>
  <w:style w:type="character" w:customStyle="1" w:styleId="20">
    <w:name w:val="批注文字 字符"/>
    <w:link w:val="6"/>
    <w:qFormat/>
    <w:uiPriority w:val="0"/>
    <w:rPr>
      <w:kern w:val="2"/>
      <w:sz w:val="21"/>
    </w:rPr>
  </w:style>
  <w:style w:type="character" w:customStyle="1" w:styleId="21">
    <w:name w:val="正文文本缩进 字符"/>
    <w:link w:val="7"/>
    <w:qFormat/>
    <w:uiPriority w:val="0"/>
    <w:rPr>
      <w:rFonts w:ascii="宋体" w:hAnsi="宋体"/>
      <w:color w:val="000000"/>
      <w:kern w:val="2"/>
      <w:sz w:val="24"/>
    </w:rPr>
  </w:style>
  <w:style w:type="character" w:customStyle="1" w:styleId="22">
    <w:name w:val="正文文本首行缩进 2 字符"/>
    <w:link w:val="13"/>
    <w:semiHidden/>
    <w:qFormat/>
    <w:uiPriority w:val="99"/>
    <w:rPr>
      <w:rFonts w:ascii="宋体" w:hAnsi="宋体"/>
      <w:color w:val="000000"/>
      <w:kern w:val="2"/>
      <w:sz w:val="21"/>
    </w:rPr>
  </w:style>
  <w:style w:type="character" w:customStyle="1" w:styleId="23">
    <w:name w:val="16"/>
    <w:qFormat/>
    <w:uiPriority w:val="0"/>
    <w:rPr>
      <w:rFonts w:hint="default" w:ascii="Times New Roman" w:hAnsi="Times New Roman" w:cs="Times New Roman"/>
      <w:color w:val="0000FF"/>
      <w:sz w:val="20"/>
      <w:szCs w:val="20"/>
      <w:u w:val="single"/>
    </w:rPr>
  </w:style>
  <w:style w:type="paragraph" w:customStyle="1" w:styleId="24">
    <w:name w:val="修订1"/>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25">
    <w:name w:val="0"/>
    <w:basedOn w:val="1"/>
    <w:qFormat/>
    <w:uiPriority w:val="0"/>
    <w:pPr>
      <w:widowControl/>
      <w:snapToGrid w:val="0"/>
    </w:pPr>
    <w:rPr>
      <w:kern w:val="0"/>
    </w:rPr>
  </w:style>
  <w:style w:type="paragraph" w:customStyle="1" w:styleId="26">
    <w:name w:val="p0"/>
    <w:basedOn w:val="1"/>
    <w:qFormat/>
    <w:uiPriority w:val="0"/>
    <w:pPr>
      <w:widowControl/>
    </w:pPr>
    <w:rPr>
      <w:kern w:val="0"/>
      <w:szCs w:val="21"/>
    </w:rPr>
  </w:style>
  <w:style w:type="paragraph" w:customStyle="1" w:styleId="27">
    <w:name w:val="p15"/>
    <w:basedOn w:val="1"/>
    <w:qFormat/>
    <w:uiPriority w:val="0"/>
    <w:pPr>
      <w:widowControl/>
      <w:jc w:val="left"/>
    </w:pPr>
    <w:rPr>
      <w:kern w:val="0"/>
      <w:szCs w:val="21"/>
    </w:rPr>
  </w:style>
  <w:style w:type="paragraph" w:customStyle="1" w:styleId="28">
    <w:name w:val="p17"/>
    <w:basedOn w:val="1"/>
    <w:qFormat/>
    <w:uiPriority w:val="0"/>
    <w:pPr>
      <w:widowControl/>
    </w:pPr>
    <w:rPr>
      <w:kern w:val="0"/>
      <w:szCs w:val="21"/>
    </w:rPr>
  </w:style>
  <w:style w:type="paragraph" w:customStyle="1" w:styleId="29">
    <w:name w:val="正文文本 Char Char"/>
    <w:basedOn w:val="1"/>
    <w:qFormat/>
    <w:uiPriority w:val="0"/>
    <w:pPr>
      <w:spacing w:line="606" w:lineRule="atLeast"/>
      <w:ind w:left="357" w:hanging="351"/>
      <w:textAlignment w:val="baseline"/>
    </w:pPr>
    <w:rPr>
      <w:rFonts w:ascii="宋体"/>
      <w:color w:val="000000"/>
      <w:sz w:val="24"/>
      <w:u w:color="000000"/>
    </w:rPr>
  </w:style>
  <w:style w:type="character" w:customStyle="1" w:styleId="30">
    <w:name w:val="未处理的提及1"/>
    <w:basedOn w:val="16"/>
    <w:semiHidden/>
    <w:unhideWhenUsed/>
    <w:qFormat/>
    <w:uiPriority w:val="99"/>
    <w:rPr>
      <w:color w:val="605E5C"/>
      <w:shd w:val="clear" w:color="auto" w:fill="E1DFDD"/>
    </w:rPr>
  </w:style>
  <w:style w:type="paragraph" w:customStyle="1" w:styleId="31">
    <w:name w:val="Revision"/>
    <w:hidden/>
    <w:unhideWhenUsed/>
    <w:qFormat/>
    <w:uiPriority w:val="99"/>
    <w:pPr>
      <w:spacing w:after="0" w:line="240" w:lineRule="auto"/>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437</Words>
  <Characters>450</Characters>
  <Lines>33</Lines>
  <Paragraphs>9</Paragraphs>
  <TotalTime>9</TotalTime>
  <ScaleCrop>false</ScaleCrop>
  <LinksUpToDate>false</LinksUpToDate>
  <CharactersWithSpaces>451</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2022-06-21T00:48:00Z</dcterms:created>
  <dc:creator>Polly</dc:creator>
  <cp:lastModifiedBy>Administrator</cp:lastModifiedBy>
  <cp:lastPrinted>2007-11-23T22:59:00Z</cp:lastPrinted>
  <dcterms:modified xsi:type="dcterms:W3CDTF">2026-03-17T09:26:36Z</dcterms:modified>
  <dc:title>Normal.wpt</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7EF5B01E634B44CFA8F3AC2F80C83B62_13</vt:lpwstr>
  </property>
  <property fmtid="{D5CDD505-2E9C-101B-9397-08002B2CF9AE}" pid="4" name="KSOTemplateDocerSaveRecord">
    <vt:lpwstr>eyJoZGlkIjoiMzEwNTM5NzYwMDRjMzkwZTVkZjY2ODkwMGIxNGU0OTUiLCJ1c2VySWQiOiI5NTAzMDUyNzEifQ==</vt:lpwstr>
  </property>
</Properties>
</file>